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9CC4" w14:textId="77777777" w:rsidR="00040C3A" w:rsidRPr="00771EED" w:rsidRDefault="006311DA" w:rsidP="00627C9F">
      <w:pPr>
        <w:jc w:val="both"/>
        <w:rPr>
          <w:rFonts w:asciiTheme="majorHAnsi" w:hAnsiTheme="majorHAnsi" w:cs="Univers"/>
          <w:b/>
          <w:bCs/>
          <w:sz w:val="22"/>
          <w:szCs w:val="22"/>
        </w:rPr>
      </w:pPr>
      <w:r w:rsidRPr="00771EE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3C4F8A3" wp14:editId="26834D8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514A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771EE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641CC06" wp14:editId="753CBA7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234EF" w14:textId="77777777" w:rsidR="00D9736D" w:rsidRDefault="00D9736D">
                            <w:r>
                              <w:rPr>
                                <w:noProof/>
                              </w:rPr>
                              <w:drawing>
                                <wp:inline distT="0" distB="0" distL="0" distR="0" wp14:anchorId="15445881" wp14:editId="7A04044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1CC06"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238234EF" w14:textId="77777777" w:rsidR="00D9736D" w:rsidRDefault="00D9736D">
                      <w:r>
                        <w:rPr>
                          <w:noProof/>
                        </w:rPr>
                        <w:drawing>
                          <wp:inline distT="0" distB="0" distL="0" distR="0" wp14:anchorId="15445881" wp14:editId="7A04044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4848E664" w14:textId="77777777" w:rsidR="00040C3A" w:rsidRPr="00771EED" w:rsidRDefault="00040C3A" w:rsidP="00040C3A">
      <w:pPr>
        <w:tabs>
          <w:tab w:val="center" w:pos="5400"/>
        </w:tabs>
        <w:suppressAutoHyphens/>
        <w:jc w:val="both"/>
        <w:rPr>
          <w:rFonts w:asciiTheme="majorHAnsi" w:hAnsiTheme="majorHAnsi"/>
          <w:sz w:val="22"/>
          <w:szCs w:val="22"/>
        </w:rPr>
      </w:pPr>
    </w:p>
    <w:p w14:paraId="2FBB6657" w14:textId="77777777" w:rsidR="00040C3A" w:rsidRPr="00771EED" w:rsidRDefault="00040C3A" w:rsidP="00040C3A">
      <w:pPr>
        <w:tabs>
          <w:tab w:val="center" w:pos="5400"/>
        </w:tabs>
        <w:suppressAutoHyphens/>
        <w:jc w:val="both"/>
        <w:rPr>
          <w:rFonts w:asciiTheme="majorHAnsi" w:hAnsiTheme="majorHAnsi"/>
          <w:sz w:val="22"/>
          <w:szCs w:val="22"/>
        </w:rPr>
      </w:pPr>
    </w:p>
    <w:p w14:paraId="4351F38B" w14:textId="77777777" w:rsidR="005128E4" w:rsidRPr="00771EED" w:rsidRDefault="005128E4" w:rsidP="00040C3A">
      <w:pPr>
        <w:tabs>
          <w:tab w:val="center" w:pos="5400"/>
        </w:tabs>
        <w:suppressAutoHyphens/>
        <w:rPr>
          <w:rFonts w:asciiTheme="majorHAnsi" w:hAnsiTheme="majorHAnsi"/>
          <w:sz w:val="22"/>
          <w:szCs w:val="22"/>
        </w:rPr>
      </w:pPr>
    </w:p>
    <w:p w14:paraId="39F8F077" w14:textId="77777777" w:rsidR="005128E4" w:rsidRPr="00771EED" w:rsidRDefault="005128E4" w:rsidP="00040C3A">
      <w:pPr>
        <w:tabs>
          <w:tab w:val="center" w:pos="5400"/>
        </w:tabs>
        <w:suppressAutoHyphens/>
        <w:rPr>
          <w:rFonts w:asciiTheme="majorHAnsi" w:hAnsiTheme="majorHAnsi"/>
          <w:sz w:val="22"/>
          <w:szCs w:val="22"/>
        </w:rPr>
      </w:pPr>
    </w:p>
    <w:p w14:paraId="1E2DDE53" w14:textId="77777777" w:rsidR="005128E4" w:rsidRPr="00771EED" w:rsidRDefault="005128E4" w:rsidP="00040C3A">
      <w:pPr>
        <w:tabs>
          <w:tab w:val="center" w:pos="5400"/>
        </w:tabs>
        <w:suppressAutoHyphens/>
        <w:rPr>
          <w:rFonts w:asciiTheme="majorHAnsi" w:hAnsiTheme="majorHAnsi"/>
          <w:sz w:val="22"/>
          <w:szCs w:val="22"/>
        </w:rPr>
      </w:pPr>
    </w:p>
    <w:p w14:paraId="60B6C881" w14:textId="77777777" w:rsidR="00040C3A" w:rsidRPr="00771EED" w:rsidRDefault="00040C3A" w:rsidP="005128E4">
      <w:pPr>
        <w:tabs>
          <w:tab w:val="center" w:pos="5400"/>
        </w:tabs>
        <w:suppressAutoHyphens/>
        <w:jc w:val="center"/>
        <w:rPr>
          <w:rFonts w:asciiTheme="majorHAnsi" w:hAnsiTheme="majorHAnsi"/>
          <w:sz w:val="22"/>
          <w:szCs w:val="22"/>
        </w:rPr>
      </w:pPr>
    </w:p>
    <w:p w14:paraId="5F36D919" w14:textId="77777777" w:rsidR="00040C3A" w:rsidRPr="00771EED" w:rsidRDefault="00040C3A" w:rsidP="005128E4">
      <w:pPr>
        <w:tabs>
          <w:tab w:val="center" w:pos="5400"/>
        </w:tabs>
        <w:suppressAutoHyphens/>
        <w:jc w:val="center"/>
        <w:rPr>
          <w:rFonts w:asciiTheme="majorHAnsi" w:hAnsiTheme="majorHAnsi"/>
          <w:sz w:val="22"/>
          <w:szCs w:val="22"/>
        </w:rPr>
      </w:pPr>
    </w:p>
    <w:p w14:paraId="563384EC" w14:textId="77777777" w:rsidR="005B52B0" w:rsidRPr="00771EED" w:rsidRDefault="005B52B0" w:rsidP="005128E4">
      <w:pPr>
        <w:tabs>
          <w:tab w:val="center" w:pos="5400"/>
        </w:tabs>
        <w:suppressAutoHyphens/>
        <w:jc w:val="center"/>
        <w:rPr>
          <w:rFonts w:asciiTheme="majorHAnsi" w:hAnsiTheme="majorHAnsi"/>
          <w:sz w:val="22"/>
          <w:szCs w:val="22"/>
        </w:rPr>
      </w:pPr>
    </w:p>
    <w:p w14:paraId="117F40B5" w14:textId="77777777" w:rsidR="005B52B0" w:rsidRPr="00771EED" w:rsidRDefault="005B52B0" w:rsidP="005128E4">
      <w:pPr>
        <w:tabs>
          <w:tab w:val="center" w:pos="5400"/>
        </w:tabs>
        <w:suppressAutoHyphens/>
        <w:jc w:val="center"/>
        <w:rPr>
          <w:rFonts w:asciiTheme="majorHAnsi" w:hAnsiTheme="majorHAnsi"/>
          <w:sz w:val="22"/>
          <w:szCs w:val="22"/>
        </w:rPr>
      </w:pPr>
    </w:p>
    <w:p w14:paraId="59E2139A" w14:textId="77777777" w:rsidR="005B52B0" w:rsidRPr="00771EED" w:rsidRDefault="005B52B0" w:rsidP="005128E4">
      <w:pPr>
        <w:tabs>
          <w:tab w:val="center" w:pos="5400"/>
        </w:tabs>
        <w:suppressAutoHyphens/>
        <w:jc w:val="center"/>
        <w:rPr>
          <w:rFonts w:asciiTheme="majorHAnsi" w:hAnsiTheme="majorHAnsi"/>
          <w:sz w:val="22"/>
          <w:szCs w:val="22"/>
        </w:rPr>
      </w:pPr>
    </w:p>
    <w:p w14:paraId="5116EF75" w14:textId="77777777" w:rsidR="00040C3A" w:rsidRPr="00771EED" w:rsidRDefault="00040C3A" w:rsidP="00040C3A">
      <w:pPr>
        <w:tabs>
          <w:tab w:val="center" w:pos="5400"/>
        </w:tabs>
        <w:suppressAutoHyphens/>
        <w:jc w:val="center"/>
        <w:rPr>
          <w:rFonts w:asciiTheme="majorHAnsi" w:hAnsiTheme="majorHAnsi"/>
          <w:sz w:val="22"/>
          <w:szCs w:val="22"/>
        </w:rPr>
      </w:pPr>
    </w:p>
    <w:p w14:paraId="77ED46A6" w14:textId="77777777" w:rsidR="00040C3A" w:rsidRPr="00771EED" w:rsidRDefault="00040C3A" w:rsidP="00040C3A">
      <w:pPr>
        <w:tabs>
          <w:tab w:val="center" w:pos="5400"/>
        </w:tabs>
        <w:suppressAutoHyphens/>
        <w:jc w:val="center"/>
        <w:rPr>
          <w:rFonts w:asciiTheme="majorHAnsi" w:hAnsiTheme="majorHAnsi"/>
          <w:sz w:val="22"/>
          <w:szCs w:val="22"/>
        </w:rPr>
      </w:pPr>
    </w:p>
    <w:p w14:paraId="64BC44C4" w14:textId="77777777" w:rsidR="00040C3A" w:rsidRPr="00771EED" w:rsidRDefault="00040C3A" w:rsidP="00040C3A">
      <w:pPr>
        <w:tabs>
          <w:tab w:val="center" w:pos="5400"/>
        </w:tabs>
        <w:suppressAutoHyphens/>
        <w:jc w:val="center"/>
        <w:rPr>
          <w:rFonts w:asciiTheme="majorHAnsi" w:hAnsiTheme="majorHAnsi"/>
          <w:sz w:val="22"/>
          <w:szCs w:val="22"/>
        </w:rPr>
      </w:pPr>
    </w:p>
    <w:p w14:paraId="25A6F3CA" w14:textId="77777777" w:rsidR="00040C3A" w:rsidRPr="00771EED" w:rsidRDefault="00E533FF" w:rsidP="00040C3A">
      <w:pPr>
        <w:tabs>
          <w:tab w:val="center" w:pos="5400"/>
        </w:tabs>
        <w:suppressAutoHyphens/>
        <w:jc w:val="center"/>
        <w:rPr>
          <w:rFonts w:asciiTheme="majorHAnsi" w:hAnsiTheme="majorHAnsi"/>
          <w:sz w:val="22"/>
          <w:szCs w:val="22"/>
        </w:rPr>
      </w:pPr>
      <w:r w:rsidRPr="00771EE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5C9B76D" wp14:editId="168EAEEF">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D0077" w14:textId="77777777" w:rsidR="00D9736D" w:rsidRPr="004B7EB6" w:rsidRDefault="001908A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175</w:t>
                            </w:r>
                            <w:r w:rsidR="00D9736D" w:rsidRPr="004B7EB6">
                              <w:rPr>
                                <w:rFonts w:asciiTheme="majorHAnsi" w:hAnsiTheme="majorHAnsi" w:cs="Arial"/>
                                <w:b/>
                                <w:bCs/>
                                <w:color w:val="0D0D0D" w:themeColor="text1" w:themeTint="F2"/>
                                <w:sz w:val="36"/>
                                <w:szCs w:val="40"/>
                              </w:rPr>
                              <w:t>/</w:t>
                            </w:r>
                            <w:r w:rsidR="00D9736D">
                              <w:rPr>
                                <w:rFonts w:asciiTheme="majorHAnsi" w:hAnsiTheme="majorHAnsi" w:cs="Arial"/>
                                <w:b/>
                                <w:bCs/>
                                <w:color w:val="0D0D0D" w:themeColor="text1" w:themeTint="F2"/>
                                <w:sz w:val="36"/>
                                <w:szCs w:val="40"/>
                              </w:rPr>
                              <w:t>20</w:t>
                            </w:r>
                          </w:p>
                          <w:p w14:paraId="2807CC98" w14:textId="77777777" w:rsidR="00D9736D" w:rsidRPr="004B7EB6" w:rsidRDefault="00D9736D"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12.861</w:t>
                            </w:r>
                          </w:p>
                          <w:p w14:paraId="4E40A455" w14:textId="77777777" w:rsidR="00D9736D" w:rsidRPr="004B7EB6" w:rsidRDefault="00D9736D" w:rsidP="00272A82">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p>
                          <w:p w14:paraId="20ED24CD" w14:textId="77777777" w:rsidR="00D9736D" w:rsidRPr="004B7EB6" w:rsidRDefault="00D9736D" w:rsidP="004B7EB6">
                            <w:pPr>
                              <w:spacing w:line="276" w:lineRule="auto"/>
                              <w:rPr>
                                <w:rFonts w:asciiTheme="majorHAnsi" w:hAnsiTheme="majorHAnsi" w:cs="Arial"/>
                                <w:color w:val="0D0D0D" w:themeColor="text1" w:themeTint="F2"/>
                                <w:szCs w:val="22"/>
                              </w:rPr>
                            </w:pPr>
                          </w:p>
                          <w:p w14:paraId="44A990BB" w14:textId="77777777" w:rsidR="00D9736D" w:rsidRPr="004B7EB6" w:rsidRDefault="00D9736D" w:rsidP="004B7EB6">
                            <w:pPr>
                              <w:spacing w:line="276" w:lineRule="auto"/>
                              <w:rPr>
                                <w:rFonts w:asciiTheme="majorHAnsi" w:hAnsiTheme="majorHAnsi" w:cs="Arial"/>
                                <w:color w:val="0D0D0D" w:themeColor="text1" w:themeTint="F2"/>
                                <w:szCs w:val="22"/>
                              </w:rPr>
                            </w:pPr>
                          </w:p>
                          <w:p w14:paraId="382241FB" w14:textId="77777777" w:rsidR="00D9736D" w:rsidRPr="00272A82" w:rsidRDefault="00D9736D" w:rsidP="00272A82">
                            <w:pPr>
                              <w:spacing w:line="276" w:lineRule="auto"/>
                              <w:rPr>
                                <w:rFonts w:asciiTheme="majorHAnsi" w:hAnsiTheme="majorHAnsi" w:cs="Arial"/>
                                <w:color w:val="0D0D0D" w:themeColor="text1" w:themeTint="F2"/>
                                <w:szCs w:val="22"/>
                                <w:lang w:val="es-ES_tradnl"/>
                              </w:rPr>
                            </w:pPr>
                            <w:r w:rsidRPr="00272A82">
                              <w:rPr>
                                <w:rFonts w:asciiTheme="majorHAnsi" w:hAnsiTheme="majorHAnsi" w:cs="Arial"/>
                                <w:color w:val="0D0D0D" w:themeColor="text1" w:themeTint="F2"/>
                                <w:szCs w:val="22"/>
                                <w:lang w:val="es-ES_tradnl"/>
                              </w:rPr>
                              <w:t>LUIS FERNANDO GUEVARA DÍAZ</w:t>
                            </w:r>
                          </w:p>
                          <w:p w14:paraId="154A112E" w14:textId="77777777" w:rsidR="00D9736D" w:rsidRPr="004B7EB6" w:rsidRDefault="00D9736D" w:rsidP="00272A82">
                            <w:pPr>
                              <w:spacing w:line="276" w:lineRule="auto"/>
                              <w:rPr>
                                <w:rFonts w:asciiTheme="majorHAnsi" w:hAnsiTheme="majorHAnsi"/>
                                <w:color w:val="0D0D0D" w:themeColor="text1" w:themeTint="F2"/>
                                <w:lang w:val="es-ES_tradnl"/>
                              </w:rPr>
                            </w:pPr>
                            <w:r w:rsidRPr="00272A82">
                              <w:rPr>
                                <w:rFonts w:asciiTheme="majorHAnsi" w:hAnsiTheme="majorHAnsi" w:cs="Arial"/>
                                <w:color w:val="0D0D0D" w:themeColor="text1" w:themeTint="F2"/>
                                <w:szCs w:val="22"/>
                                <w:lang w:val="es-ES_tradnl"/>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9B76D"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7FFD0077" w14:textId="77777777" w:rsidR="00D9736D" w:rsidRPr="004B7EB6" w:rsidRDefault="001908A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175</w:t>
                      </w:r>
                      <w:r w:rsidR="00D9736D" w:rsidRPr="004B7EB6">
                        <w:rPr>
                          <w:rFonts w:asciiTheme="majorHAnsi" w:hAnsiTheme="majorHAnsi" w:cs="Arial"/>
                          <w:b/>
                          <w:bCs/>
                          <w:color w:val="0D0D0D" w:themeColor="text1" w:themeTint="F2"/>
                          <w:sz w:val="36"/>
                          <w:szCs w:val="40"/>
                        </w:rPr>
                        <w:t>/</w:t>
                      </w:r>
                      <w:r w:rsidR="00D9736D">
                        <w:rPr>
                          <w:rFonts w:asciiTheme="majorHAnsi" w:hAnsiTheme="majorHAnsi" w:cs="Arial"/>
                          <w:b/>
                          <w:bCs/>
                          <w:color w:val="0D0D0D" w:themeColor="text1" w:themeTint="F2"/>
                          <w:sz w:val="36"/>
                          <w:szCs w:val="40"/>
                        </w:rPr>
                        <w:t>20</w:t>
                      </w:r>
                    </w:p>
                    <w:p w14:paraId="2807CC98" w14:textId="77777777" w:rsidR="00D9736D" w:rsidRPr="004B7EB6" w:rsidRDefault="00D9736D"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12.861</w:t>
                      </w:r>
                    </w:p>
                    <w:p w14:paraId="4E40A455" w14:textId="77777777" w:rsidR="00D9736D" w:rsidRPr="004B7EB6" w:rsidRDefault="00D9736D" w:rsidP="00272A82">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p>
                    <w:p w14:paraId="20ED24CD" w14:textId="77777777" w:rsidR="00D9736D" w:rsidRPr="004B7EB6" w:rsidRDefault="00D9736D" w:rsidP="004B7EB6">
                      <w:pPr>
                        <w:spacing w:line="276" w:lineRule="auto"/>
                        <w:rPr>
                          <w:rFonts w:asciiTheme="majorHAnsi" w:hAnsiTheme="majorHAnsi" w:cs="Arial"/>
                          <w:color w:val="0D0D0D" w:themeColor="text1" w:themeTint="F2"/>
                          <w:szCs w:val="22"/>
                        </w:rPr>
                      </w:pPr>
                    </w:p>
                    <w:p w14:paraId="44A990BB" w14:textId="77777777" w:rsidR="00D9736D" w:rsidRPr="004B7EB6" w:rsidRDefault="00D9736D" w:rsidP="004B7EB6">
                      <w:pPr>
                        <w:spacing w:line="276" w:lineRule="auto"/>
                        <w:rPr>
                          <w:rFonts w:asciiTheme="majorHAnsi" w:hAnsiTheme="majorHAnsi" w:cs="Arial"/>
                          <w:color w:val="0D0D0D" w:themeColor="text1" w:themeTint="F2"/>
                          <w:szCs w:val="22"/>
                        </w:rPr>
                      </w:pPr>
                    </w:p>
                    <w:p w14:paraId="382241FB" w14:textId="77777777" w:rsidR="00D9736D" w:rsidRPr="00272A82" w:rsidRDefault="00D9736D" w:rsidP="00272A82">
                      <w:pPr>
                        <w:spacing w:line="276" w:lineRule="auto"/>
                        <w:rPr>
                          <w:rFonts w:asciiTheme="majorHAnsi" w:hAnsiTheme="majorHAnsi" w:cs="Arial"/>
                          <w:color w:val="0D0D0D" w:themeColor="text1" w:themeTint="F2"/>
                          <w:szCs w:val="22"/>
                          <w:lang w:val="es-ES_tradnl"/>
                        </w:rPr>
                      </w:pPr>
                      <w:r w:rsidRPr="00272A82">
                        <w:rPr>
                          <w:rFonts w:asciiTheme="majorHAnsi" w:hAnsiTheme="majorHAnsi" w:cs="Arial"/>
                          <w:color w:val="0D0D0D" w:themeColor="text1" w:themeTint="F2"/>
                          <w:szCs w:val="22"/>
                          <w:lang w:val="es-ES_tradnl"/>
                        </w:rPr>
                        <w:t>LUIS FERNANDO GUEVARA DÍAZ</w:t>
                      </w:r>
                    </w:p>
                    <w:p w14:paraId="154A112E" w14:textId="77777777" w:rsidR="00D9736D" w:rsidRPr="004B7EB6" w:rsidRDefault="00D9736D" w:rsidP="00272A82">
                      <w:pPr>
                        <w:spacing w:line="276" w:lineRule="auto"/>
                        <w:rPr>
                          <w:rFonts w:asciiTheme="majorHAnsi" w:hAnsiTheme="majorHAnsi"/>
                          <w:color w:val="0D0D0D" w:themeColor="text1" w:themeTint="F2"/>
                          <w:lang w:val="es-ES_tradnl"/>
                        </w:rPr>
                      </w:pPr>
                      <w:r w:rsidRPr="00272A82">
                        <w:rPr>
                          <w:rFonts w:asciiTheme="majorHAnsi" w:hAnsiTheme="majorHAnsi" w:cs="Arial"/>
                          <w:color w:val="0D0D0D" w:themeColor="text1" w:themeTint="F2"/>
                          <w:szCs w:val="22"/>
                          <w:lang w:val="es-ES_tradnl"/>
                        </w:rPr>
                        <w:t>COSTA RICA</w:t>
                      </w:r>
                    </w:p>
                  </w:txbxContent>
                </v:textbox>
              </v:shape>
            </w:pict>
          </mc:Fallback>
        </mc:AlternateContent>
      </w:r>
      <w:r w:rsidR="004B7EB6" w:rsidRPr="00771EE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AD9D499" wp14:editId="11BDE04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CCFBBD" w14:textId="77777777" w:rsidR="00D9736D" w:rsidRPr="004B7EB6" w:rsidRDefault="001908A6"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p>
                          <w:p w14:paraId="6BE26803" w14:textId="77777777" w:rsidR="00D9736D" w:rsidRPr="004B7EB6" w:rsidRDefault="001908A6"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185</w:t>
                            </w:r>
                          </w:p>
                          <w:p w14:paraId="67BD19B9" w14:textId="77777777" w:rsidR="00D9736D" w:rsidRPr="004B7EB6" w:rsidRDefault="001908A6" w:rsidP="002C1641">
                            <w:pPr>
                              <w:jc w:val="right"/>
                              <w:rPr>
                                <w:rFonts w:asciiTheme="minorHAnsi" w:hAnsiTheme="minorHAnsi"/>
                                <w:color w:val="FFFFFF" w:themeColor="background1"/>
                                <w:sz w:val="22"/>
                              </w:rPr>
                            </w:pPr>
                            <w:r>
                              <w:rPr>
                                <w:rFonts w:asciiTheme="minorHAnsi" w:hAnsiTheme="minorHAnsi"/>
                                <w:color w:val="FFFFFF" w:themeColor="background1"/>
                                <w:sz w:val="22"/>
                              </w:rPr>
                              <w:t>July 2,</w:t>
                            </w:r>
                            <w:r w:rsidR="00D9736D" w:rsidRPr="004B7EB6">
                              <w:rPr>
                                <w:rFonts w:asciiTheme="minorHAnsi" w:hAnsiTheme="minorHAnsi"/>
                                <w:color w:val="FFFFFF" w:themeColor="background1"/>
                                <w:sz w:val="22"/>
                              </w:rPr>
                              <w:t xml:space="preserve"> </w:t>
                            </w:r>
                            <w:r w:rsidR="00D9736D">
                              <w:rPr>
                                <w:rFonts w:asciiTheme="minorHAnsi" w:hAnsiTheme="minorHAnsi"/>
                                <w:color w:val="FFFFFF" w:themeColor="background1"/>
                                <w:sz w:val="22"/>
                              </w:rPr>
                              <w:t>2020</w:t>
                            </w:r>
                          </w:p>
                          <w:p w14:paraId="5C90B7EE" w14:textId="77777777" w:rsidR="00D9736D" w:rsidRPr="004B7EB6" w:rsidRDefault="00D9736D"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1908A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9D49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DCCFBBD" w14:textId="77777777" w:rsidR="00D9736D" w:rsidRPr="004B7EB6" w:rsidRDefault="001908A6"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p>
                    <w:p w14:paraId="6BE26803" w14:textId="77777777" w:rsidR="00D9736D" w:rsidRPr="004B7EB6" w:rsidRDefault="001908A6"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185</w:t>
                      </w:r>
                    </w:p>
                    <w:p w14:paraId="67BD19B9" w14:textId="77777777" w:rsidR="00D9736D" w:rsidRPr="004B7EB6" w:rsidRDefault="001908A6" w:rsidP="002C1641">
                      <w:pPr>
                        <w:jc w:val="right"/>
                        <w:rPr>
                          <w:rFonts w:asciiTheme="minorHAnsi" w:hAnsiTheme="minorHAnsi"/>
                          <w:color w:val="FFFFFF" w:themeColor="background1"/>
                          <w:sz w:val="22"/>
                        </w:rPr>
                      </w:pPr>
                      <w:r>
                        <w:rPr>
                          <w:rFonts w:asciiTheme="minorHAnsi" w:hAnsiTheme="minorHAnsi"/>
                          <w:color w:val="FFFFFF" w:themeColor="background1"/>
                          <w:sz w:val="22"/>
                        </w:rPr>
                        <w:t>July 2,</w:t>
                      </w:r>
                      <w:r w:rsidR="00D9736D" w:rsidRPr="004B7EB6">
                        <w:rPr>
                          <w:rFonts w:asciiTheme="minorHAnsi" w:hAnsiTheme="minorHAnsi"/>
                          <w:color w:val="FFFFFF" w:themeColor="background1"/>
                          <w:sz w:val="22"/>
                        </w:rPr>
                        <w:t xml:space="preserve"> </w:t>
                      </w:r>
                      <w:r w:rsidR="00D9736D">
                        <w:rPr>
                          <w:rFonts w:asciiTheme="minorHAnsi" w:hAnsiTheme="minorHAnsi"/>
                          <w:color w:val="FFFFFF" w:themeColor="background1"/>
                          <w:sz w:val="22"/>
                        </w:rPr>
                        <w:t>2020</w:t>
                      </w:r>
                    </w:p>
                    <w:p w14:paraId="5C90B7EE" w14:textId="77777777" w:rsidR="00D9736D" w:rsidRPr="004B7EB6" w:rsidRDefault="00D9736D"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1908A6">
                        <w:rPr>
                          <w:rFonts w:asciiTheme="minorHAnsi" w:hAnsiTheme="minorHAnsi"/>
                          <w:color w:val="FFFFFF" w:themeColor="background1"/>
                          <w:sz w:val="22"/>
                        </w:rPr>
                        <w:t>Spanish</w:t>
                      </w:r>
                    </w:p>
                  </w:txbxContent>
                </v:textbox>
              </v:shape>
            </w:pict>
          </mc:Fallback>
        </mc:AlternateContent>
      </w:r>
    </w:p>
    <w:p w14:paraId="10E34508" w14:textId="77777777" w:rsidR="00040C3A" w:rsidRPr="00771EED" w:rsidRDefault="00040C3A" w:rsidP="00040C3A">
      <w:pPr>
        <w:tabs>
          <w:tab w:val="center" w:pos="5400"/>
        </w:tabs>
        <w:suppressAutoHyphens/>
        <w:jc w:val="center"/>
        <w:rPr>
          <w:rFonts w:asciiTheme="majorHAnsi" w:hAnsiTheme="majorHAnsi"/>
          <w:sz w:val="22"/>
          <w:szCs w:val="22"/>
        </w:rPr>
      </w:pPr>
    </w:p>
    <w:p w14:paraId="79DC03AB" w14:textId="77777777" w:rsidR="00040C3A" w:rsidRPr="00771EED" w:rsidRDefault="00040C3A" w:rsidP="00040C3A">
      <w:pPr>
        <w:tabs>
          <w:tab w:val="center" w:pos="5400"/>
        </w:tabs>
        <w:suppressAutoHyphens/>
        <w:jc w:val="center"/>
        <w:rPr>
          <w:rFonts w:asciiTheme="majorHAnsi" w:hAnsiTheme="majorHAnsi" w:cs="Arial"/>
          <w:sz w:val="22"/>
          <w:szCs w:val="22"/>
        </w:rPr>
      </w:pPr>
    </w:p>
    <w:p w14:paraId="0885A711" w14:textId="77777777" w:rsidR="00040C3A" w:rsidRPr="00771EED" w:rsidRDefault="00040C3A" w:rsidP="00040C3A">
      <w:pPr>
        <w:tabs>
          <w:tab w:val="center" w:pos="5400"/>
        </w:tabs>
        <w:suppressAutoHyphens/>
        <w:jc w:val="center"/>
        <w:rPr>
          <w:rFonts w:asciiTheme="majorHAnsi" w:hAnsiTheme="majorHAnsi"/>
          <w:sz w:val="22"/>
          <w:szCs w:val="22"/>
        </w:rPr>
      </w:pPr>
    </w:p>
    <w:p w14:paraId="0A66F90B" w14:textId="77777777" w:rsidR="00040C3A" w:rsidRPr="00771EED" w:rsidRDefault="00040C3A" w:rsidP="00040C3A">
      <w:pPr>
        <w:tabs>
          <w:tab w:val="center" w:pos="5400"/>
        </w:tabs>
        <w:suppressAutoHyphens/>
        <w:jc w:val="center"/>
        <w:rPr>
          <w:rFonts w:asciiTheme="majorHAnsi" w:hAnsiTheme="majorHAnsi"/>
          <w:sz w:val="22"/>
          <w:szCs w:val="22"/>
        </w:rPr>
      </w:pPr>
    </w:p>
    <w:p w14:paraId="2B6CC183" w14:textId="77777777" w:rsidR="00040C3A" w:rsidRPr="00771EED" w:rsidRDefault="00040C3A" w:rsidP="00040C3A">
      <w:pPr>
        <w:tabs>
          <w:tab w:val="center" w:pos="5400"/>
        </w:tabs>
        <w:suppressAutoHyphens/>
        <w:jc w:val="center"/>
        <w:rPr>
          <w:rFonts w:asciiTheme="majorHAnsi" w:hAnsiTheme="majorHAnsi"/>
          <w:sz w:val="22"/>
          <w:szCs w:val="22"/>
        </w:rPr>
      </w:pPr>
    </w:p>
    <w:p w14:paraId="06488002" w14:textId="77777777" w:rsidR="00040C3A" w:rsidRPr="00771EED" w:rsidRDefault="00040C3A" w:rsidP="00040C3A">
      <w:pPr>
        <w:tabs>
          <w:tab w:val="center" w:pos="5400"/>
        </w:tabs>
        <w:suppressAutoHyphens/>
        <w:jc w:val="center"/>
        <w:rPr>
          <w:rFonts w:asciiTheme="majorHAnsi" w:hAnsiTheme="majorHAnsi"/>
          <w:sz w:val="22"/>
          <w:szCs w:val="22"/>
        </w:rPr>
      </w:pPr>
    </w:p>
    <w:p w14:paraId="26636FCB" w14:textId="77777777" w:rsidR="005128E4" w:rsidRPr="00771EED" w:rsidRDefault="005128E4" w:rsidP="00040C3A">
      <w:pPr>
        <w:tabs>
          <w:tab w:val="center" w:pos="5400"/>
        </w:tabs>
        <w:suppressAutoHyphens/>
        <w:jc w:val="center"/>
        <w:rPr>
          <w:rFonts w:asciiTheme="majorHAnsi" w:hAnsiTheme="majorHAnsi"/>
          <w:sz w:val="22"/>
          <w:szCs w:val="22"/>
        </w:rPr>
      </w:pPr>
    </w:p>
    <w:p w14:paraId="4FC498E2" w14:textId="77777777" w:rsidR="00040C3A" w:rsidRPr="00771EED" w:rsidRDefault="00040C3A" w:rsidP="00040C3A">
      <w:pPr>
        <w:tabs>
          <w:tab w:val="center" w:pos="5400"/>
        </w:tabs>
        <w:suppressAutoHyphens/>
        <w:jc w:val="center"/>
        <w:rPr>
          <w:rFonts w:asciiTheme="majorHAnsi" w:hAnsiTheme="majorHAnsi"/>
          <w:sz w:val="22"/>
          <w:szCs w:val="22"/>
        </w:rPr>
      </w:pPr>
    </w:p>
    <w:p w14:paraId="442A03A6" w14:textId="77777777" w:rsidR="005128E4" w:rsidRPr="00771EED" w:rsidRDefault="005128E4" w:rsidP="00040C3A">
      <w:pPr>
        <w:tabs>
          <w:tab w:val="center" w:pos="5400"/>
        </w:tabs>
        <w:suppressAutoHyphens/>
        <w:jc w:val="center"/>
        <w:rPr>
          <w:rFonts w:asciiTheme="majorHAnsi" w:hAnsiTheme="majorHAnsi"/>
          <w:sz w:val="22"/>
          <w:szCs w:val="22"/>
        </w:rPr>
      </w:pPr>
    </w:p>
    <w:p w14:paraId="1ADAC036" w14:textId="77777777" w:rsidR="005128E4" w:rsidRPr="00771EED" w:rsidRDefault="005128E4" w:rsidP="00040C3A">
      <w:pPr>
        <w:tabs>
          <w:tab w:val="center" w:pos="5400"/>
        </w:tabs>
        <w:suppressAutoHyphens/>
        <w:jc w:val="center"/>
        <w:rPr>
          <w:rFonts w:asciiTheme="majorHAnsi" w:hAnsiTheme="majorHAnsi"/>
          <w:sz w:val="22"/>
          <w:szCs w:val="22"/>
        </w:rPr>
      </w:pPr>
    </w:p>
    <w:p w14:paraId="550CA757" w14:textId="77777777" w:rsidR="005128E4" w:rsidRPr="00771EED" w:rsidRDefault="005128E4" w:rsidP="00040C3A">
      <w:pPr>
        <w:tabs>
          <w:tab w:val="center" w:pos="5400"/>
        </w:tabs>
        <w:suppressAutoHyphens/>
        <w:jc w:val="center"/>
        <w:rPr>
          <w:rFonts w:asciiTheme="majorHAnsi" w:hAnsiTheme="majorHAnsi"/>
          <w:sz w:val="22"/>
          <w:szCs w:val="22"/>
        </w:rPr>
      </w:pPr>
    </w:p>
    <w:p w14:paraId="617C98A2" w14:textId="77777777" w:rsidR="00040C3A" w:rsidRPr="00771EED" w:rsidRDefault="00040C3A" w:rsidP="00040C3A">
      <w:pPr>
        <w:tabs>
          <w:tab w:val="center" w:pos="5400"/>
        </w:tabs>
        <w:suppressAutoHyphens/>
        <w:jc w:val="center"/>
        <w:rPr>
          <w:rFonts w:asciiTheme="majorHAnsi" w:hAnsiTheme="majorHAnsi"/>
          <w:sz w:val="22"/>
          <w:szCs w:val="22"/>
        </w:rPr>
      </w:pPr>
    </w:p>
    <w:p w14:paraId="03F86B80" w14:textId="77777777" w:rsidR="00040C3A" w:rsidRPr="00771EED" w:rsidRDefault="00040C3A" w:rsidP="00040C3A">
      <w:pPr>
        <w:tabs>
          <w:tab w:val="center" w:pos="5400"/>
        </w:tabs>
        <w:suppressAutoHyphens/>
        <w:jc w:val="center"/>
        <w:rPr>
          <w:rFonts w:asciiTheme="majorHAnsi" w:hAnsiTheme="majorHAnsi"/>
          <w:sz w:val="22"/>
          <w:szCs w:val="22"/>
        </w:rPr>
      </w:pPr>
    </w:p>
    <w:p w14:paraId="6C40CF82" w14:textId="77777777" w:rsidR="002C1641" w:rsidRPr="00771EED" w:rsidRDefault="002C1641" w:rsidP="00040C3A">
      <w:pPr>
        <w:tabs>
          <w:tab w:val="center" w:pos="5400"/>
        </w:tabs>
        <w:suppressAutoHyphens/>
        <w:jc w:val="center"/>
        <w:rPr>
          <w:rFonts w:asciiTheme="majorHAnsi" w:hAnsiTheme="majorHAnsi"/>
          <w:sz w:val="18"/>
          <w:szCs w:val="22"/>
        </w:rPr>
      </w:pPr>
    </w:p>
    <w:p w14:paraId="0D65AF68" w14:textId="77777777" w:rsidR="002C1641" w:rsidRPr="00771EED" w:rsidRDefault="002C1641" w:rsidP="00040C3A">
      <w:pPr>
        <w:tabs>
          <w:tab w:val="center" w:pos="5400"/>
        </w:tabs>
        <w:suppressAutoHyphens/>
        <w:jc w:val="center"/>
        <w:rPr>
          <w:rFonts w:asciiTheme="majorHAnsi" w:hAnsiTheme="majorHAnsi"/>
          <w:sz w:val="18"/>
          <w:szCs w:val="22"/>
        </w:rPr>
      </w:pPr>
    </w:p>
    <w:p w14:paraId="1106E1F4" w14:textId="77777777" w:rsidR="002C1641" w:rsidRPr="00771EED" w:rsidRDefault="002C1641" w:rsidP="00040C3A">
      <w:pPr>
        <w:tabs>
          <w:tab w:val="center" w:pos="5400"/>
        </w:tabs>
        <w:suppressAutoHyphens/>
        <w:jc w:val="center"/>
        <w:rPr>
          <w:rFonts w:asciiTheme="majorHAnsi" w:hAnsiTheme="majorHAnsi"/>
          <w:sz w:val="18"/>
          <w:szCs w:val="22"/>
        </w:rPr>
      </w:pPr>
    </w:p>
    <w:p w14:paraId="501717D2" w14:textId="77777777" w:rsidR="002C1641" w:rsidRPr="00771EED" w:rsidRDefault="002C1641" w:rsidP="00040C3A">
      <w:pPr>
        <w:tabs>
          <w:tab w:val="center" w:pos="5400"/>
        </w:tabs>
        <w:suppressAutoHyphens/>
        <w:jc w:val="center"/>
        <w:rPr>
          <w:rFonts w:asciiTheme="majorHAnsi" w:hAnsiTheme="majorHAnsi"/>
          <w:sz w:val="18"/>
          <w:szCs w:val="22"/>
        </w:rPr>
      </w:pPr>
    </w:p>
    <w:p w14:paraId="20F9A663" w14:textId="77777777" w:rsidR="002C1641" w:rsidRPr="00771EED" w:rsidRDefault="002C1641" w:rsidP="00040C3A">
      <w:pPr>
        <w:tabs>
          <w:tab w:val="center" w:pos="5400"/>
        </w:tabs>
        <w:suppressAutoHyphens/>
        <w:jc w:val="center"/>
        <w:rPr>
          <w:rFonts w:asciiTheme="majorHAnsi" w:hAnsiTheme="majorHAnsi"/>
          <w:sz w:val="18"/>
          <w:szCs w:val="22"/>
        </w:rPr>
      </w:pPr>
    </w:p>
    <w:p w14:paraId="2470E84D" w14:textId="77777777" w:rsidR="002C1641" w:rsidRPr="00771EED" w:rsidRDefault="002C1641" w:rsidP="00040C3A">
      <w:pPr>
        <w:tabs>
          <w:tab w:val="center" w:pos="5400"/>
        </w:tabs>
        <w:suppressAutoHyphens/>
        <w:jc w:val="center"/>
        <w:rPr>
          <w:rFonts w:asciiTheme="majorHAnsi" w:hAnsiTheme="majorHAnsi"/>
          <w:sz w:val="18"/>
          <w:szCs w:val="22"/>
        </w:rPr>
      </w:pPr>
    </w:p>
    <w:p w14:paraId="1A8C9EA0" w14:textId="77777777" w:rsidR="002C1641" w:rsidRPr="00771EED" w:rsidRDefault="002C1641" w:rsidP="00040C3A">
      <w:pPr>
        <w:tabs>
          <w:tab w:val="center" w:pos="5400"/>
        </w:tabs>
        <w:suppressAutoHyphens/>
        <w:jc w:val="center"/>
        <w:rPr>
          <w:rFonts w:asciiTheme="majorHAnsi" w:hAnsiTheme="majorHAnsi"/>
          <w:sz w:val="18"/>
          <w:szCs w:val="22"/>
        </w:rPr>
      </w:pPr>
    </w:p>
    <w:p w14:paraId="1FAE32FF" w14:textId="77777777" w:rsidR="002C1641" w:rsidRPr="00771EED" w:rsidRDefault="002C1641" w:rsidP="00040C3A">
      <w:pPr>
        <w:tabs>
          <w:tab w:val="center" w:pos="5400"/>
        </w:tabs>
        <w:suppressAutoHyphens/>
        <w:jc w:val="center"/>
        <w:rPr>
          <w:rFonts w:asciiTheme="majorHAnsi" w:hAnsiTheme="majorHAnsi"/>
          <w:sz w:val="18"/>
          <w:szCs w:val="22"/>
        </w:rPr>
      </w:pPr>
    </w:p>
    <w:p w14:paraId="78E7366D" w14:textId="77777777" w:rsidR="002C1641" w:rsidRPr="00771EED" w:rsidRDefault="002C1641" w:rsidP="00040C3A">
      <w:pPr>
        <w:tabs>
          <w:tab w:val="center" w:pos="5400"/>
        </w:tabs>
        <w:suppressAutoHyphens/>
        <w:jc w:val="center"/>
        <w:rPr>
          <w:rFonts w:asciiTheme="majorHAnsi" w:hAnsiTheme="majorHAnsi"/>
          <w:sz w:val="18"/>
          <w:szCs w:val="22"/>
        </w:rPr>
      </w:pPr>
    </w:p>
    <w:p w14:paraId="591FF2F9" w14:textId="77777777" w:rsidR="002C1641" w:rsidRPr="00771EED" w:rsidRDefault="002C1641" w:rsidP="00040C3A">
      <w:pPr>
        <w:tabs>
          <w:tab w:val="center" w:pos="5400"/>
        </w:tabs>
        <w:suppressAutoHyphens/>
        <w:jc w:val="center"/>
        <w:rPr>
          <w:rFonts w:asciiTheme="majorHAnsi" w:hAnsiTheme="majorHAnsi"/>
          <w:sz w:val="18"/>
          <w:szCs w:val="22"/>
        </w:rPr>
      </w:pPr>
    </w:p>
    <w:p w14:paraId="39B93291" w14:textId="77777777" w:rsidR="002C1641" w:rsidRPr="00771EED" w:rsidRDefault="002C1641" w:rsidP="00040C3A">
      <w:pPr>
        <w:tabs>
          <w:tab w:val="center" w:pos="5400"/>
        </w:tabs>
        <w:suppressAutoHyphens/>
        <w:jc w:val="center"/>
        <w:rPr>
          <w:rFonts w:asciiTheme="majorHAnsi" w:hAnsiTheme="majorHAnsi"/>
          <w:sz w:val="18"/>
          <w:szCs w:val="22"/>
        </w:rPr>
      </w:pPr>
    </w:p>
    <w:p w14:paraId="10D5C509" w14:textId="77777777" w:rsidR="002C1641" w:rsidRPr="00771EED" w:rsidRDefault="002C1641" w:rsidP="00040C3A">
      <w:pPr>
        <w:tabs>
          <w:tab w:val="center" w:pos="5400"/>
        </w:tabs>
        <w:suppressAutoHyphens/>
        <w:jc w:val="center"/>
        <w:rPr>
          <w:rFonts w:asciiTheme="majorHAnsi" w:hAnsiTheme="majorHAnsi"/>
          <w:sz w:val="18"/>
          <w:szCs w:val="22"/>
        </w:rPr>
      </w:pPr>
    </w:p>
    <w:p w14:paraId="73F4B45F" w14:textId="77777777" w:rsidR="002C1641" w:rsidRPr="00771EED" w:rsidRDefault="003C32BC" w:rsidP="00040C3A">
      <w:pPr>
        <w:tabs>
          <w:tab w:val="center" w:pos="5400"/>
        </w:tabs>
        <w:suppressAutoHyphens/>
        <w:jc w:val="center"/>
        <w:rPr>
          <w:rFonts w:asciiTheme="majorHAnsi" w:hAnsiTheme="majorHAnsi"/>
          <w:sz w:val="18"/>
          <w:szCs w:val="22"/>
        </w:rPr>
      </w:pPr>
      <w:r w:rsidRPr="00771EE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C50DC07" wp14:editId="0515DE26">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D0B1E" w14:textId="77777777" w:rsidR="00D9736D" w:rsidRPr="003C32BC" w:rsidRDefault="00D9736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1908A6">
                              <w:rPr>
                                <w:rFonts w:asciiTheme="majorHAnsi" w:hAnsiTheme="majorHAnsi"/>
                                <w:color w:val="0D0D0D" w:themeColor="text1" w:themeTint="F2"/>
                                <w:sz w:val="18"/>
                                <w:szCs w:val="20"/>
                              </w:rPr>
                              <w:t>July 2,</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2020</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0DC0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3EBD0B1E" w14:textId="77777777" w:rsidR="00D9736D" w:rsidRPr="003C32BC" w:rsidRDefault="00D9736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1908A6">
                        <w:rPr>
                          <w:rFonts w:asciiTheme="majorHAnsi" w:hAnsiTheme="majorHAnsi"/>
                          <w:color w:val="0D0D0D" w:themeColor="text1" w:themeTint="F2"/>
                          <w:sz w:val="18"/>
                          <w:szCs w:val="20"/>
                        </w:rPr>
                        <w:t>July 2,</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2020</w:t>
                      </w:r>
                      <w:r w:rsidRPr="003C32BC">
                        <w:rPr>
                          <w:rFonts w:asciiTheme="majorHAnsi" w:hAnsiTheme="majorHAnsi"/>
                          <w:color w:val="0D0D0D" w:themeColor="text1" w:themeTint="F2"/>
                          <w:sz w:val="18"/>
                          <w:szCs w:val="20"/>
                        </w:rPr>
                        <w:br/>
                      </w:r>
                    </w:p>
                  </w:txbxContent>
                </v:textbox>
              </v:shape>
            </w:pict>
          </mc:Fallback>
        </mc:AlternateContent>
      </w:r>
    </w:p>
    <w:p w14:paraId="0DB89301" w14:textId="77777777" w:rsidR="002C1641" w:rsidRPr="00771EED" w:rsidRDefault="002C1641" w:rsidP="00040C3A">
      <w:pPr>
        <w:tabs>
          <w:tab w:val="center" w:pos="5400"/>
        </w:tabs>
        <w:suppressAutoHyphens/>
        <w:jc w:val="center"/>
        <w:rPr>
          <w:rFonts w:asciiTheme="majorHAnsi" w:hAnsiTheme="majorHAnsi"/>
          <w:sz w:val="18"/>
          <w:szCs w:val="22"/>
        </w:rPr>
      </w:pPr>
    </w:p>
    <w:p w14:paraId="7CEC55D1" w14:textId="77777777" w:rsidR="002C1641" w:rsidRPr="00771EED" w:rsidRDefault="002C1641" w:rsidP="00040C3A">
      <w:pPr>
        <w:tabs>
          <w:tab w:val="center" w:pos="5400"/>
        </w:tabs>
        <w:suppressAutoHyphens/>
        <w:jc w:val="center"/>
        <w:rPr>
          <w:rFonts w:asciiTheme="majorHAnsi" w:hAnsiTheme="majorHAnsi"/>
          <w:sz w:val="18"/>
          <w:szCs w:val="22"/>
        </w:rPr>
      </w:pPr>
    </w:p>
    <w:p w14:paraId="11A52592" w14:textId="77777777" w:rsidR="002C1641" w:rsidRPr="00771EED" w:rsidRDefault="002C1641" w:rsidP="00040C3A">
      <w:pPr>
        <w:tabs>
          <w:tab w:val="center" w:pos="5400"/>
        </w:tabs>
        <w:suppressAutoHyphens/>
        <w:jc w:val="center"/>
        <w:rPr>
          <w:rFonts w:asciiTheme="majorHAnsi" w:hAnsiTheme="majorHAnsi"/>
          <w:sz w:val="18"/>
          <w:szCs w:val="22"/>
        </w:rPr>
      </w:pPr>
    </w:p>
    <w:p w14:paraId="079F0239" w14:textId="77777777" w:rsidR="002C1641" w:rsidRPr="00771EED" w:rsidRDefault="002C1641" w:rsidP="00040C3A">
      <w:pPr>
        <w:tabs>
          <w:tab w:val="center" w:pos="5400"/>
        </w:tabs>
        <w:suppressAutoHyphens/>
        <w:jc w:val="center"/>
        <w:rPr>
          <w:rFonts w:asciiTheme="majorHAnsi" w:hAnsiTheme="majorHAnsi"/>
          <w:sz w:val="18"/>
          <w:szCs w:val="22"/>
        </w:rPr>
      </w:pPr>
    </w:p>
    <w:p w14:paraId="7A24F050" w14:textId="77777777" w:rsidR="002C1641" w:rsidRPr="00771EED" w:rsidRDefault="003C32BC" w:rsidP="00040C3A">
      <w:pPr>
        <w:tabs>
          <w:tab w:val="center" w:pos="5400"/>
        </w:tabs>
        <w:suppressAutoHyphens/>
        <w:jc w:val="center"/>
        <w:rPr>
          <w:rFonts w:asciiTheme="majorHAnsi" w:hAnsiTheme="majorHAnsi"/>
          <w:sz w:val="18"/>
          <w:szCs w:val="22"/>
        </w:rPr>
      </w:pPr>
      <w:r w:rsidRPr="00771EED">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2F816F8" wp14:editId="729606A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BCAEBA" w14:textId="77777777" w:rsidR="00D9736D" w:rsidRPr="00272A82" w:rsidRDefault="00D9736D" w:rsidP="00F644E6">
                            <w:pPr>
                              <w:spacing w:line="276" w:lineRule="auto"/>
                              <w:rPr>
                                <w:rFonts w:asciiTheme="majorHAnsi" w:hAnsiTheme="majorHAnsi"/>
                                <w:color w:val="595959" w:themeColor="text1" w:themeTint="A6"/>
                                <w:sz w:val="18"/>
                                <w:lang w:val="es-U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1908A6">
                              <w:rPr>
                                <w:rFonts w:asciiTheme="majorHAnsi" w:hAnsiTheme="majorHAnsi"/>
                                <w:color w:val="595959" w:themeColor="text1" w:themeTint="A6"/>
                                <w:sz w:val="18"/>
                              </w:rPr>
                              <w:t>175</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12.861</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Merits</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272A82">
                              <w:rPr>
                                <w:rFonts w:asciiTheme="majorHAnsi" w:hAnsiTheme="majorHAnsi"/>
                                <w:color w:val="595959" w:themeColor="text1" w:themeTint="A6"/>
                                <w:sz w:val="18"/>
                                <w:lang w:val="es-US"/>
                              </w:rPr>
                              <w:t>Luis Fernando Guevara D</w:t>
                            </w:r>
                            <w:r w:rsidR="001908A6">
                              <w:rPr>
                                <w:rFonts w:asciiTheme="majorHAnsi" w:hAnsiTheme="majorHAnsi"/>
                                <w:color w:val="595959" w:themeColor="text1" w:themeTint="A6"/>
                                <w:sz w:val="18"/>
                                <w:lang w:val="es-US"/>
                              </w:rPr>
                              <w:t>í</w:t>
                            </w:r>
                            <w:r>
                              <w:rPr>
                                <w:rFonts w:asciiTheme="majorHAnsi" w:hAnsiTheme="majorHAnsi"/>
                                <w:color w:val="595959" w:themeColor="text1" w:themeTint="A6"/>
                                <w:sz w:val="18"/>
                                <w:lang w:val="es-US"/>
                              </w:rPr>
                              <w:t>az.</w:t>
                            </w:r>
                            <w:r w:rsidRPr="00272A82">
                              <w:rPr>
                                <w:rFonts w:asciiTheme="majorHAnsi" w:hAnsiTheme="majorHAnsi"/>
                                <w:color w:val="595959" w:themeColor="text1" w:themeTint="A6"/>
                                <w:sz w:val="18"/>
                                <w:lang w:val="es-US"/>
                              </w:rPr>
                              <w:t xml:space="preserve"> 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816F8"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ABCAEBA" w14:textId="77777777" w:rsidR="00D9736D" w:rsidRPr="00272A82" w:rsidRDefault="00D9736D" w:rsidP="00F644E6">
                      <w:pPr>
                        <w:spacing w:line="276" w:lineRule="auto"/>
                        <w:rPr>
                          <w:rFonts w:asciiTheme="majorHAnsi" w:hAnsiTheme="majorHAnsi"/>
                          <w:color w:val="595959" w:themeColor="text1" w:themeTint="A6"/>
                          <w:sz w:val="18"/>
                          <w:lang w:val="es-U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1908A6">
                        <w:rPr>
                          <w:rFonts w:asciiTheme="majorHAnsi" w:hAnsiTheme="majorHAnsi"/>
                          <w:color w:val="595959" w:themeColor="text1" w:themeTint="A6"/>
                          <w:sz w:val="18"/>
                        </w:rPr>
                        <w:t>175</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12.861</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Merits</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272A82">
                        <w:rPr>
                          <w:rFonts w:asciiTheme="majorHAnsi" w:hAnsiTheme="majorHAnsi"/>
                          <w:color w:val="595959" w:themeColor="text1" w:themeTint="A6"/>
                          <w:sz w:val="18"/>
                          <w:lang w:val="es-US"/>
                        </w:rPr>
                        <w:t>Luis Fernando Guevara D</w:t>
                      </w:r>
                      <w:r w:rsidR="001908A6">
                        <w:rPr>
                          <w:rFonts w:asciiTheme="majorHAnsi" w:hAnsiTheme="majorHAnsi"/>
                          <w:color w:val="595959" w:themeColor="text1" w:themeTint="A6"/>
                          <w:sz w:val="18"/>
                          <w:lang w:val="es-US"/>
                        </w:rPr>
                        <w:t>í</w:t>
                      </w:r>
                      <w:r>
                        <w:rPr>
                          <w:rFonts w:asciiTheme="majorHAnsi" w:hAnsiTheme="majorHAnsi"/>
                          <w:color w:val="595959" w:themeColor="text1" w:themeTint="A6"/>
                          <w:sz w:val="18"/>
                          <w:lang w:val="es-US"/>
                        </w:rPr>
                        <w:t>az.</w:t>
                      </w:r>
                      <w:r w:rsidRPr="00272A82">
                        <w:rPr>
                          <w:rFonts w:asciiTheme="majorHAnsi" w:hAnsiTheme="majorHAnsi"/>
                          <w:color w:val="595959" w:themeColor="text1" w:themeTint="A6"/>
                          <w:sz w:val="18"/>
                          <w:lang w:val="es-US"/>
                        </w:rPr>
                        <w:t xml:space="preserve"> Costa Rica</w:t>
                      </w:r>
                    </w:p>
                  </w:txbxContent>
                </v:textbox>
              </v:shape>
            </w:pict>
          </mc:Fallback>
        </mc:AlternateContent>
      </w:r>
    </w:p>
    <w:p w14:paraId="76242253" w14:textId="77777777" w:rsidR="002C1641" w:rsidRPr="00771EED" w:rsidRDefault="002C1641" w:rsidP="00040C3A">
      <w:pPr>
        <w:tabs>
          <w:tab w:val="center" w:pos="5400"/>
        </w:tabs>
        <w:suppressAutoHyphens/>
        <w:jc w:val="center"/>
        <w:rPr>
          <w:rFonts w:asciiTheme="majorHAnsi" w:hAnsiTheme="majorHAnsi"/>
          <w:sz w:val="18"/>
          <w:szCs w:val="22"/>
        </w:rPr>
      </w:pPr>
    </w:p>
    <w:p w14:paraId="6345AE54" w14:textId="77777777" w:rsidR="002C1641" w:rsidRPr="00771EED" w:rsidRDefault="002C1641" w:rsidP="00040C3A">
      <w:pPr>
        <w:tabs>
          <w:tab w:val="center" w:pos="5400"/>
        </w:tabs>
        <w:suppressAutoHyphens/>
        <w:jc w:val="center"/>
        <w:rPr>
          <w:rFonts w:asciiTheme="majorHAnsi" w:hAnsiTheme="majorHAnsi"/>
          <w:sz w:val="18"/>
          <w:szCs w:val="22"/>
        </w:rPr>
      </w:pPr>
    </w:p>
    <w:p w14:paraId="033DC72D" w14:textId="77777777" w:rsidR="003C32BC" w:rsidRPr="00771EED" w:rsidRDefault="003C32BC" w:rsidP="003C32BC">
      <w:pPr>
        <w:tabs>
          <w:tab w:val="center" w:pos="5400"/>
        </w:tabs>
        <w:suppressAutoHyphens/>
        <w:jc w:val="center"/>
        <w:rPr>
          <w:rFonts w:asciiTheme="majorHAnsi" w:hAnsiTheme="majorHAnsi"/>
          <w:sz w:val="18"/>
          <w:szCs w:val="22"/>
        </w:rPr>
      </w:pPr>
    </w:p>
    <w:p w14:paraId="740ECA15" w14:textId="77777777" w:rsidR="003C32BC" w:rsidRPr="00771EED" w:rsidRDefault="006311DA" w:rsidP="003C32BC">
      <w:pPr>
        <w:tabs>
          <w:tab w:val="center" w:pos="5400"/>
        </w:tabs>
        <w:suppressAutoHyphens/>
        <w:jc w:val="center"/>
        <w:rPr>
          <w:rFonts w:asciiTheme="majorHAnsi" w:hAnsiTheme="majorHAnsi"/>
          <w:sz w:val="18"/>
          <w:szCs w:val="22"/>
        </w:rPr>
      </w:pPr>
      <w:r w:rsidRPr="00771EE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08A175A" wp14:editId="4CAE93B6">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B3209" w14:textId="77777777" w:rsidR="00D9736D" w:rsidRPr="004B7EB6" w:rsidRDefault="00D9736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A175A"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9EB3209" w14:textId="77777777" w:rsidR="00D9736D" w:rsidRPr="004B7EB6" w:rsidRDefault="00D9736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771EE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06599EA" wp14:editId="34CE816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53150" w14:textId="77777777" w:rsidR="00D9736D" w:rsidRDefault="00D9736D">
                            <w:r>
                              <w:rPr>
                                <w:noProof/>
                              </w:rPr>
                              <w:drawing>
                                <wp:inline distT="0" distB="0" distL="0" distR="0" wp14:anchorId="0726346D" wp14:editId="5FB5F876">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599EA"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43353150" w14:textId="77777777" w:rsidR="00D9736D" w:rsidRDefault="00D9736D">
                      <w:r>
                        <w:rPr>
                          <w:noProof/>
                        </w:rPr>
                        <w:drawing>
                          <wp:inline distT="0" distB="0" distL="0" distR="0" wp14:anchorId="0726346D" wp14:editId="5FB5F876">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766B856F" w14:textId="77777777" w:rsidR="007607C4" w:rsidRPr="00771EED" w:rsidRDefault="007607C4" w:rsidP="003C32BC">
      <w:pPr>
        <w:tabs>
          <w:tab w:val="center" w:pos="5400"/>
        </w:tabs>
        <w:suppressAutoHyphens/>
        <w:jc w:val="center"/>
        <w:rPr>
          <w:rFonts w:asciiTheme="majorHAnsi" w:hAnsiTheme="majorHAnsi"/>
          <w:sz w:val="18"/>
          <w:szCs w:val="22"/>
        </w:rPr>
        <w:sectPr w:rsidR="007607C4" w:rsidRPr="00771EED"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15EAE332" w14:textId="77777777" w:rsidR="00272A82" w:rsidRPr="00771EED" w:rsidRDefault="00272A82" w:rsidP="00272A82">
      <w:pPr>
        <w:pStyle w:val="Heading1"/>
      </w:pPr>
      <w:bookmarkStart w:id="0" w:name="_Toc536549374"/>
      <w:bookmarkStart w:id="1" w:name="_Toc3453769"/>
      <w:bookmarkStart w:id="2" w:name="_Toc4075187"/>
      <w:bookmarkStart w:id="3" w:name="_Toc34746169"/>
      <w:bookmarkStart w:id="4" w:name="_Toc446857985"/>
      <w:bookmarkStart w:id="5" w:name="_Toc37678656"/>
      <w:bookmarkStart w:id="6" w:name="_Toc37681804"/>
      <w:bookmarkStart w:id="7" w:name="_Toc42239522"/>
      <w:r w:rsidRPr="00771EED">
        <w:lastRenderedPageBreak/>
        <w:t>INTRODUC</w:t>
      </w:r>
      <w:bookmarkEnd w:id="0"/>
      <w:bookmarkEnd w:id="1"/>
      <w:bookmarkEnd w:id="2"/>
      <w:bookmarkEnd w:id="3"/>
      <w:bookmarkEnd w:id="4"/>
      <w:bookmarkEnd w:id="5"/>
      <w:bookmarkEnd w:id="6"/>
      <w:bookmarkEnd w:id="7"/>
      <w:r w:rsidR="0069640E" w:rsidRPr="00771EED">
        <w:t>TION</w:t>
      </w:r>
    </w:p>
    <w:p w14:paraId="6F1AAFFB" w14:textId="77777777" w:rsidR="00272A82" w:rsidRPr="00771EED" w:rsidRDefault="00272A82" w:rsidP="00272A82">
      <w:pPr>
        <w:pStyle w:val="parrafos"/>
        <w:rPr>
          <w:color w:val="auto"/>
          <w:bdr w:val="none" w:sz="0" w:space="0" w:color="auto"/>
        </w:rPr>
      </w:pPr>
    </w:p>
    <w:p w14:paraId="6DDE2093" w14:textId="77777777" w:rsidR="00272A82" w:rsidRPr="00771EED" w:rsidRDefault="00771EED" w:rsidP="00272A82">
      <w:pPr>
        <w:pStyle w:val="parrafos"/>
        <w:numPr>
          <w:ilvl w:val="0"/>
          <w:numId w:val="106"/>
        </w:numPr>
        <w:tabs>
          <w:tab w:val="clear" w:pos="1440"/>
        </w:tabs>
        <w:ind w:left="0" w:firstLine="0"/>
        <w:rPr>
          <w:color w:val="auto"/>
        </w:rPr>
      </w:pPr>
      <w:r>
        <w:t xml:space="preserve">On July </w:t>
      </w:r>
      <w:r w:rsidR="00272A82" w:rsidRPr="00771EED">
        <w:t>12</w:t>
      </w:r>
      <w:r>
        <w:t>,</w:t>
      </w:r>
      <w:r w:rsidR="00272A82" w:rsidRPr="00771EED">
        <w:t xml:space="preserve"> 2005</w:t>
      </w:r>
      <w:r w:rsidR="00AD081C">
        <w:t>, the Inter-American Commission on Human Rights (hereinafter “the Inter-American Commission,” “the Commission” or the “IACHR</w:t>
      </w:r>
      <w:r w:rsidR="00082F93">
        <w:t xml:space="preserve">”) received a petition lodged by the </w:t>
      </w:r>
      <w:r w:rsidR="00ED4F98" w:rsidRPr="00FE67F5">
        <w:rPr>
          <w:i/>
          <w:iCs/>
        </w:rPr>
        <w:t>Sindicato de Empleados del Ministerio de Hacienda</w:t>
      </w:r>
      <w:r w:rsidR="00ED4F98" w:rsidRPr="00771EED">
        <w:t xml:space="preserve"> </w:t>
      </w:r>
      <w:r w:rsidR="00ED4F98">
        <w:t xml:space="preserve">or </w:t>
      </w:r>
      <w:r w:rsidR="00FE67F5">
        <w:t xml:space="preserve">Finance Ministry Employees’ Union </w:t>
      </w:r>
      <w:r w:rsidR="00272A82" w:rsidRPr="00771EED">
        <w:t>(</w:t>
      </w:r>
      <w:r w:rsidR="00FE67F5">
        <w:t>hereinafter “the petitioner</w:t>
      </w:r>
      <w:r w:rsidR="006135AB">
        <w:t>s</w:t>
      </w:r>
      <w:r w:rsidR="00FE67F5">
        <w:t>”)</w:t>
      </w:r>
      <w:r w:rsidR="00BB133F">
        <w:t>,</w:t>
      </w:r>
      <w:r w:rsidR="003A39AD">
        <w:t xml:space="preserve"> alleging </w:t>
      </w:r>
      <w:r w:rsidR="004E1E59">
        <w:t xml:space="preserve">the </w:t>
      </w:r>
      <w:r w:rsidR="003A39AD">
        <w:t>international responsibility of</w:t>
      </w:r>
      <w:r w:rsidR="004E1E59">
        <w:t xml:space="preserve"> the</w:t>
      </w:r>
      <w:r w:rsidR="003A39AD">
        <w:t xml:space="preserve"> </w:t>
      </w:r>
      <w:r w:rsidR="006D305E">
        <w:t>Republic of Costa Rica (hereinafter “the Costa Rican State,” “the State” or “Costa Rica”)</w:t>
      </w:r>
      <w:r w:rsidR="004E1E59">
        <w:t>,</w:t>
      </w:r>
      <w:r w:rsidR="006D305E">
        <w:t xml:space="preserve"> </w:t>
      </w:r>
      <w:r w:rsidR="00CE44BB">
        <w:t>for the violation of several rights enshrined in the American Convention on Human Rights (hereinafter “the Convention</w:t>
      </w:r>
      <w:r w:rsidR="00CC403D">
        <w:t xml:space="preserve">” or “the American Convention”) as a consequence </w:t>
      </w:r>
      <w:r w:rsidR="003206A2">
        <w:t xml:space="preserve">of the </w:t>
      </w:r>
      <w:r w:rsidR="000C2D01">
        <w:t xml:space="preserve">competitive </w:t>
      </w:r>
      <w:r w:rsidR="00DE474F">
        <w:t xml:space="preserve">hiring </w:t>
      </w:r>
      <w:r w:rsidR="003206A2">
        <w:t xml:space="preserve">selection process in which the alleged victim was not selected </w:t>
      </w:r>
      <w:r w:rsidR="002476A8">
        <w:t xml:space="preserve">because of his disability and that led to </w:t>
      </w:r>
      <w:r w:rsidR="007C2890">
        <w:t xml:space="preserve">his dismissal from the Finance Ministry. </w:t>
      </w:r>
      <w:r w:rsidR="00CC403D">
        <w:t xml:space="preserve"> </w:t>
      </w:r>
    </w:p>
    <w:p w14:paraId="7D9492EC" w14:textId="77777777" w:rsidR="00272A82" w:rsidRPr="00771EED" w:rsidRDefault="00272A82" w:rsidP="00272A82">
      <w:pPr>
        <w:pStyle w:val="parrafos"/>
      </w:pPr>
    </w:p>
    <w:p w14:paraId="47D55AC0" w14:textId="77777777" w:rsidR="00272A82" w:rsidRPr="00771EED" w:rsidRDefault="004D2260" w:rsidP="00272A82">
      <w:pPr>
        <w:pStyle w:val="parrafos"/>
        <w:numPr>
          <w:ilvl w:val="0"/>
          <w:numId w:val="106"/>
        </w:numPr>
        <w:tabs>
          <w:tab w:val="clear" w:pos="1440"/>
        </w:tabs>
        <w:ind w:left="0" w:firstLine="0"/>
      </w:pPr>
      <w:bookmarkStart w:id="8" w:name="_Toc370840841"/>
      <w:bookmarkStart w:id="9" w:name="_Toc370840745"/>
      <w:r>
        <w:t xml:space="preserve">The Commission approved Report on Admissibility </w:t>
      </w:r>
      <w:r w:rsidR="00272A82" w:rsidRPr="00771EED">
        <w:t xml:space="preserve">No. 13/12 </w:t>
      </w:r>
      <w:r w:rsidR="00547E38">
        <w:t xml:space="preserve">on March </w:t>
      </w:r>
      <w:r w:rsidR="00272A82" w:rsidRPr="00771EED">
        <w:t>20</w:t>
      </w:r>
      <w:r w:rsidR="00547E38">
        <w:t>,</w:t>
      </w:r>
      <w:r w:rsidR="00272A82" w:rsidRPr="00771EED">
        <w:t xml:space="preserve"> 2012</w:t>
      </w:r>
      <w:r w:rsidR="000C3DE0">
        <w:t>.</w:t>
      </w:r>
      <w:r w:rsidR="00272A82" w:rsidRPr="00771EED">
        <w:rPr>
          <w:rStyle w:val="FootnoteReference"/>
          <w:rFonts w:ascii="Cambria" w:hAnsi="Cambria"/>
        </w:rPr>
        <w:footnoteReference w:id="2"/>
      </w:r>
      <w:r w:rsidR="00272A82" w:rsidRPr="00771EED">
        <w:t xml:space="preserve"> </w:t>
      </w:r>
      <w:r w:rsidR="0078399F">
        <w:t xml:space="preserve"> </w:t>
      </w:r>
      <w:r w:rsidR="006B54D5">
        <w:t>On May</w:t>
      </w:r>
      <w:r w:rsidR="00336F61">
        <w:t xml:space="preserve"> </w:t>
      </w:r>
      <w:r w:rsidR="00272A82" w:rsidRPr="00771EED">
        <w:t>12</w:t>
      </w:r>
      <w:r w:rsidR="00336F61">
        <w:t>,</w:t>
      </w:r>
      <w:r w:rsidR="00272A82" w:rsidRPr="00771EED">
        <w:t xml:space="preserve"> 2012</w:t>
      </w:r>
      <w:r w:rsidR="00336F61">
        <w:t xml:space="preserve">, the Commission notified the parties of this report and placed itself at their disposal </w:t>
      </w:r>
      <w:r w:rsidR="00BB6BA4">
        <w:t>with a view toward reaching a</w:t>
      </w:r>
      <w:r w:rsidR="00584FFE">
        <w:t xml:space="preserve"> friendly settlement, </w:t>
      </w:r>
      <w:r w:rsidR="00582CE1">
        <w:t xml:space="preserve">though </w:t>
      </w:r>
      <w:r w:rsidR="00206D11">
        <w:t xml:space="preserve">the time was </w:t>
      </w:r>
      <w:r w:rsidR="00715C6E">
        <w:t xml:space="preserve">not ripe </w:t>
      </w:r>
      <w:r w:rsidR="00AD5393">
        <w:t xml:space="preserve">settle </w:t>
      </w:r>
      <w:r w:rsidR="007C2CF2">
        <w:t xml:space="preserve">the case </w:t>
      </w:r>
      <w:r w:rsidR="00B03148">
        <w:t xml:space="preserve">through that procedure. </w:t>
      </w:r>
      <w:r w:rsidR="00272A82" w:rsidRPr="00771EED">
        <w:t xml:space="preserve"> </w:t>
      </w:r>
      <w:r w:rsidR="00750B52">
        <w:t xml:space="preserve">The parties </w:t>
      </w:r>
      <w:r w:rsidR="002A1B13">
        <w:t xml:space="preserve">were given </w:t>
      </w:r>
      <w:r w:rsidR="00FA6A7B">
        <w:t xml:space="preserve">the time provided for in the rules to submit their additional observations on the merits. </w:t>
      </w:r>
      <w:r w:rsidR="00FF45E4">
        <w:t xml:space="preserve">All information received was appropriately forwarded </w:t>
      </w:r>
      <w:r w:rsidR="00BB5D54">
        <w:t xml:space="preserve">to </w:t>
      </w:r>
      <w:r w:rsidR="00D62B81">
        <w:t xml:space="preserve">the opposing </w:t>
      </w:r>
      <w:r w:rsidR="00570E1E">
        <w:t xml:space="preserve">party. </w:t>
      </w:r>
    </w:p>
    <w:p w14:paraId="5F074AB2" w14:textId="77777777" w:rsidR="00272A82" w:rsidRPr="00771EED" w:rsidRDefault="00272A82" w:rsidP="00272A82">
      <w:pPr>
        <w:tabs>
          <w:tab w:val="left" w:pos="567"/>
          <w:tab w:val="left" w:pos="1440"/>
        </w:tabs>
        <w:jc w:val="both"/>
        <w:rPr>
          <w:rFonts w:ascii="Cambria" w:hAnsi="Cambria"/>
          <w:sz w:val="20"/>
          <w:szCs w:val="20"/>
        </w:rPr>
      </w:pPr>
    </w:p>
    <w:p w14:paraId="35C96B6D" w14:textId="77777777" w:rsidR="00272A82" w:rsidRPr="00771EED" w:rsidRDefault="00FD164D" w:rsidP="00272A82">
      <w:pPr>
        <w:pStyle w:val="Heading1"/>
      </w:pPr>
      <w:bookmarkStart w:id="10" w:name="_Toc536549375"/>
      <w:bookmarkStart w:id="11" w:name="_Toc444958126"/>
      <w:bookmarkStart w:id="12" w:name="_Toc433115983"/>
      <w:bookmarkStart w:id="13" w:name="_Toc423514407"/>
      <w:bookmarkStart w:id="14" w:name="_Toc3453770"/>
      <w:bookmarkStart w:id="15" w:name="_Toc4075188"/>
      <w:bookmarkStart w:id="16" w:name="_Toc34746170"/>
      <w:bookmarkStart w:id="17" w:name="_Toc446857986"/>
      <w:bookmarkStart w:id="18" w:name="_Toc37678657"/>
      <w:bookmarkStart w:id="19" w:name="_Toc37681805"/>
      <w:bookmarkStart w:id="20" w:name="_Toc42239523"/>
      <w:r>
        <w:t xml:space="preserve">POSITIONS OF THE PARTIES </w:t>
      </w:r>
      <w:bookmarkStart w:id="21" w:name="_Toc444958127"/>
      <w:bookmarkStart w:id="22" w:name="_Toc433115984"/>
      <w:bookmarkStart w:id="23" w:name="_Toc423514408"/>
      <w:bookmarkStart w:id="24" w:name="_Toc536549376"/>
      <w:bookmarkEnd w:id="8"/>
      <w:bookmarkEnd w:id="9"/>
      <w:bookmarkEnd w:id="10"/>
      <w:bookmarkEnd w:id="11"/>
      <w:bookmarkEnd w:id="12"/>
      <w:bookmarkEnd w:id="13"/>
      <w:bookmarkEnd w:id="14"/>
      <w:bookmarkEnd w:id="15"/>
      <w:bookmarkEnd w:id="16"/>
      <w:bookmarkEnd w:id="17"/>
      <w:bookmarkEnd w:id="18"/>
      <w:bookmarkEnd w:id="19"/>
      <w:bookmarkEnd w:id="20"/>
    </w:p>
    <w:p w14:paraId="0B2B097F" w14:textId="77777777" w:rsidR="00272A82" w:rsidRPr="00771EED" w:rsidRDefault="00272A82" w:rsidP="00272A82">
      <w:pPr>
        <w:rPr>
          <w:rFonts w:ascii="Cambria" w:hAnsi="Cambria"/>
        </w:rPr>
      </w:pPr>
    </w:p>
    <w:p w14:paraId="0D17F8E6" w14:textId="77777777" w:rsidR="00272A82" w:rsidRPr="00771EED" w:rsidRDefault="001A7169" w:rsidP="00272A82">
      <w:pPr>
        <w:pStyle w:val="Heading2"/>
        <w:ind w:left="360" w:hanging="360"/>
      </w:pPr>
      <w:bookmarkStart w:id="25" w:name="_Toc3453771"/>
      <w:bookmarkStart w:id="26" w:name="_Toc4075189"/>
      <w:bookmarkStart w:id="27" w:name="_Toc34746171"/>
      <w:bookmarkStart w:id="28" w:name="_Toc446857987"/>
      <w:bookmarkStart w:id="29" w:name="_Toc37678658"/>
      <w:bookmarkStart w:id="30" w:name="_Toc37681806"/>
      <w:bookmarkStart w:id="31" w:name="_Toc42239524"/>
      <w:r>
        <w:t>Petitioner</w:t>
      </w:r>
      <w:bookmarkEnd w:id="21"/>
      <w:bookmarkEnd w:id="22"/>
      <w:bookmarkEnd w:id="23"/>
      <w:bookmarkEnd w:id="24"/>
      <w:bookmarkEnd w:id="25"/>
      <w:bookmarkEnd w:id="26"/>
      <w:bookmarkEnd w:id="27"/>
      <w:bookmarkEnd w:id="28"/>
      <w:bookmarkEnd w:id="29"/>
      <w:bookmarkEnd w:id="30"/>
      <w:bookmarkEnd w:id="31"/>
      <w:r w:rsidR="0059286B">
        <w:t>s</w:t>
      </w:r>
    </w:p>
    <w:p w14:paraId="6BB44606" w14:textId="77777777" w:rsidR="00272A82" w:rsidRPr="00771EED" w:rsidRDefault="00272A82" w:rsidP="00272A82">
      <w:pPr>
        <w:tabs>
          <w:tab w:val="left" w:pos="567"/>
          <w:tab w:val="left" w:pos="1440"/>
        </w:tabs>
        <w:jc w:val="both"/>
        <w:rPr>
          <w:rFonts w:ascii="Cambria" w:hAnsi="Cambria"/>
          <w:sz w:val="20"/>
          <w:szCs w:val="20"/>
        </w:rPr>
      </w:pPr>
    </w:p>
    <w:p w14:paraId="7DEF5667" w14:textId="77777777" w:rsidR="00272A82" w:rsidRPr="00771EED" w:rsidRDefault="00A06561" w:rsidP="00272A82">
      <w:pPr>
        <w:pStyle w:val="parrafos"/>
        <w:numPr>
          <w:ilvl w:val="0"/>
          <w:numId w:val="106"/>
        </w:numPr>
        <w:tabs>
          <w:tab w:val="clear" w:pos="1440"/>
        </w:tabs>
        <w:ind w:left="0" w:firstLine="0"/>
      </w:pPr>
      <w:r>
        <w:rPr>
          <w:rFonts w:eastAsia="Times New Roman"/>
        </w:rPr>
        <w:t>The petitioner</w:t>
      </w:r>
      <w:r w:rsidR="0059286B">
        <w:rPr>
          <w:rFonts w:eastAsia="Times New Roman"/>
        </w:rPr>
        <w:t>s</w:t>
      </w:r>
      <w:r>
        <w:rPr>
          <w:rFonts w:eastAsia="Times New Roman"/>
        </w:rPr>
        <w:t xml:space="preserve"> cla</w:t>
      </w:r>
      <w:r w:rsidR="00F27763">
        <w:rPr>
          <w:rFonts w:eastAsia="Times New Roman"/>
        </w:rPr>
        <w:t xml:space="preserve">im that </w:t>
      </w:r>
      <w:r w:rsidR="00272A82" w:rsidRPr="00771EED">
        <w:rPr>
          <w:rFonts w:cs="Garamond"/>
        </w:rPr>
        <w:t xml:space="preserve">Luis Fernando Guevara Díaz, </w:t>
      </w:r>
      <w:r w:rsidR="00F27763">
        <w:rPr>
          <w:rFonts w:cs="Garamond"/>
        </w:rPr>
        <w:t xml:space="preserve">a Costa Rican national, </w:t>
      </w:r>
      <w:r w:rsidR="00197A84">
        <w:rPr>
          <w:rFonts w:cs="Garamond"/>
        </w:rPr>
        <w:t xml:space="preserve">is a person with a cognitive disability. </w:t>
      </w:r>
      <w:r w:rsidR="009B58BC">
        <w:rPr>
          <w:rFonts w:cs="Garamond"/>
        </w:rPr>
        <w:t>They</w:t>
      </w:r>
      <w:r w:rsidR="00A02559">
        <w:rPr>
          <w:rFonts w:cs="Garamond"/>
        </w:rPr>
        <w:t xml:space="preserve"> assert that he provided services free of charge to the Ministry of Finance of Costa Rica for approximately eight years until, on June 4, 2001, </w:t>
      </w:r>
      <w:r w:rsidR="00CA5D81">
        <w:rPr>
          <w:rFonts w:cs="Garamond"/>
        </w:rPr>
        <w:t xml:space="preserve">when </w:t>
      </w:r>
      <w:r w:rsidR="00A02559">
        <w:rPr>
          <w:rFonts w:cs="Garamond"/>
        </w:rPr>
        <w:t xml:space="preserve">he was hired on an interim basis </w:t>
      </w:r>
      <w:r w:rsidR="00747372">
        <w:rPr>
          <w:rFonts w:cs="Garamond"/>
        </w:rPr>
        <w:t>under the grade of</w:t>
      </w:r>
      <w:r w:rsidR="002D11C8">
        <w:rPr>
          <w:rFonts w:cs="Garamond"/>
        </w:rPr>
        <w:t xml:space="preserve"> “Miscellaneous Worke</w:t>
      </w:r>
      <w:r w:rsidR="00ED7297">
        <w:rPr>
          <w:rFonts w:cs="Garamond"/>
        </w:rPr>
        <w:t xml:space="preserve">r </w:t>
      </w:r>
      <w:r w:rsidR="002D11C8">
        <w:rPr>
          <w:rFonts w:cs="Garamond"/>
        </w:rPr>
        <w:t xml:space="preserve">1.” </w:t>
      </w:r>
    </w:p>
    <w:p w14:paraId="61D2A1EE" w14:textId="77777777" w:rsidR="00272A82" w:rsidRPr="00771EED" w:rsidRDefault="00272A82" w:rsidP="00272A82">
      <w:pPr>
        <w:pStyle w:val="parrafos"/>
      </w:pPr>
    </w:p>
    <w:p w14:paraId="689B12AE" w14:textId="77777777" w:rsidR="00272A82" w:rsidRPr="00771EED" w:rsidRDefault="008C384E" w:rsidP="00272A82">
      <w:pPr>
        <w:pStyle w:val="parrafos"/>
        <w:numPr>
          <w:ilvl w:val="0"/>
          <w:numId w:val="106"/>
        </w:numPr>
        <w:tabs>
          <w:tab w:val="clear" w:pos="1440"/>
        </w:tabs>
        <w:ind w:left="0" w:firstLine="0"/>
        <w:rPr>
          <w:rFonts w:cs="Garamond"/>
          <w:spacing w:val="-2"/>
        </w:rPr>
      </w:pPr>
      <w:r>
        <w:t>They</w:t>
      </w:r>
      <w:r w:rsidR="00B71503">
        <w:t xml:space="preserve"> report</w:t>
      </w:r>
      <w:r w:rsidR="002C53E5">
        <w:t xml:space="preserve"> that while performing his duties as an interim worker, the alleged victim </w:t>
      </w:r>
      <w:r w:rsidR="002B1947">
        <w:t xml:space="preserve">voluntarily </w:t>
      </w:r>
      <w:r w:rsidR="00CA19F9">
        <w:t xml:space="preserve">entered </w:t>
      </w:r>
      <w:r w:rsidR="002B1947">
        <w:t>a competitive hiring process</w:t>
      </w:r>
      <w:r w:rsidR="00E877B7">
        <w:t xml:space="preserve"> to be appointed on a permanent basis </w:t>
      </w:r>
      <w:r w:rsidR="003E539A">
        <w:t>to his position.</w:t>
      </w:r>
      <w:r w:rsidR="002B1947">
        <w:t xml:space="preserve"> </w:t>
      </w:r>
      <w:r w:rsidR="000F25F7">
        <w:t xml:space="preserve">They </w:t>
      </w:r>
      <w:r w:rsidR="008D0947">
        <w:t xml:space="preserve">note </w:t>
      </w:r>
      <w:r w:rsidR="000F25F7">
        <w:t xml:space="preserve">that after taking </w:t>
      </w:r>
      <w:r w:rsidR="00156C1F">
        <w:t>the preliminary tests</w:t>
      </w:r>
      <w:r w:rsidR="00747372">
        <w:rPr>
          <w:rFonts w:cs="Garamond"/>
          <w:spacing w:val="-2"/>
        </w:rPr>
        <w:t>,</w:t>
      </w:r>
      <w:r w:rsidR="00812E21">
        <w:rPr>
          <w:spacing w:val="-2"/>
        </w:rPr>
        <w:t xml:space="preserve"> </w:t>
      </w:r>
      <w:r w:rsidR="0011537D">
        <w:rPr>
          <w:spacing w:val="-2"/>
        </w:rPr>
        <w:t xml:space="preserve">for </w:t>
      </w:r>
      <w:r w:rsidR="00812E21">
        <w:rPr>
          <w:spacing w:val="-2"/>
        </w:rPr>
        <w:t xml:space="preserve">which </w:t>
      </w:r>
      <w:r w:rsidR="009D0783">
        <w:rPr>
          <w:spacing w:val="-2"/>
        </w:rPr>
        <w:t>accommodations were made because of his disability</w:t>
      </w:r>
      <w:r w:rsidR="00272A82" w:rsidRPr="00771EED">
        <w:rPr>
          <w:rFonts w:cs="Garamond"/>
        </w:rPr>
        <w:t xml:space="preserve">, </w:t>
      </w:r>
      <w:r w:rsidR="00D949BC">
        <w:rPr>
          <w:rFonts w:cs="Garamond"/>
        </w:rPr>
        <w:t xml:space="preserve">a </w:t>
      </w:r>
      <w:r w:rsidR="00AF2C51">
        <w:rPr>
          <w:rFonts w:cs="Garamond"/>
        </w:rPr>
        <w:t xml:space="preserve">slate </w:t>
      </w:r>
      <w:r w:rsidR="00870922">
        <w:rPr>
          <w:rFonts w:cs="Garamond"/>
        </w:rPr>
        <w:t xml:space="preserve">was drawn up </w:t>
      </w:r>
      <w:r w:rsidR="00AF2C51">
        <w:rPr>
          <w:rFonts w:cs="Garamond"/>
        </w:rPr>
        <w:t>of</w:t>
      </w:r>
      <w:r w:rsidR="00B745A3">
        <w:rPr>
          <w:rFonts w:cs="Garamond"/>
        </w:rPr>
        <w:t xml:space="preserve"> three</w:t>
      </w:r>
      <w:r w:rsidR="00AF2C51">
        <w:rPr>
          <w:rFonts w:cs="Garamond"/>
        </w:rPr>
        <w:t xml:space="preserve"> eligible candidates</w:t>
      </w:r>
      <w:r w:rsidR="00741061">
        <w:rPr>
          <w:rFonts w:cs="Garamond"/>
        </w:rPr>
        <w:t xml:space="preserve">, </w:t>
      </w:r>
      <w:r w:rsidR="00C06D4A">
        <w:rPr>
          <w:rFonts w:cs="Garamond"/>
        </w:rPr>
        <w:t xml:space="preserve">who were subsequently </w:t>
      </w:r>
      <w:r w:rsidR="0068702A">
        <w:rPr>
          <w:rFonts w:cs="Garamond"/>
        </w:rPr>
        <w:t>interviewed</w:t>
      </w:r>
      <w:r w:rsidR="00EE1B92">
        <w:rPr>
          <w:rFonts w:cs="Garamond"/>
        </w:rPr>
        <w:t>.</w:t>
      </w:r>
      <w:r w:rsidR="008D0947">
        <w:rPr>
          <w:rFonts w:cs="Garamond"/>
        </w:rPr>
        <w:t xml:space="preserve"> The petitioners </w:t>
      </w:r>
      <w:r w:rsidR="00825A64">
        <w:rPr>
          <w:rFonts w:cs="Garamond"/>
        </w:rPr>
        <w:t>contend that</w:t>
      </w:r>
      <w:r w:rsidR="003525BE">
        <w:rPr>
          <w:rFonts w:cs="Garamond"/>
        </w:rPr>
        <w:t xml:space="preserve"> </w:t>
      </w:r>
      <w:r w:rsidR="00F16984">
        <w:rPr>
          <w:rFonts w:cs="Garamond"/>
        </w:rPr>
        <w:t xml:space="preserve">Mr. Guevara Díaz </w:t>
      </w:r>
      <w:r w:rsidR="007C7430">
        <w:rPr>
          <w:rFonts w:cs="Garamond"/>
        </w:rPr>
        <w:t xml:space="preserve">placed at the </w:t>
      </w:r>
      <w:r w:rsidR="00F16984">
        <w:rPr>
          <w:rFonts w:cs="Garamond"/>
        </w:rPr>
        <w:t xml:space="preserve">top </w:t>
      </w:r>
      <w:r w:rsidR="00954D3A">
        <w:rPr>
          <w:rFonts w:cs="Garamond"/>
        </w:rPr>
        <w:t xml:space="preserve">of </w:t>
      </w:r>
      <w:r w:rsidR="0055009E">
        <w:rPr>
          <w:rFonts w:cs="Garamond"/>
        </w:rPr>
        <w:t xml:space="preserve">this slate </w:t>
      </w:r>
      <w:r w:rsidR="00F16984">
        <w:rPr>
          <w:rFonts w:cs="Garamond"/>
        </w:rPr>
        <w:t xml:space="preserve">by virtue of obtaining the </w:t>
      </w:r>
      <w:r w:rsidR="0046397C">
        <w:rPr>
          <w:rFonts w:cs="Garamond"/>
        </w:rPr>
        <w:t xml:space="preserve">highest </w:t>
      </w:r>
      <w:r w:rsidR="00F16984">
        <w:rPr>
          <w:rFonts w:cs="Garamond"/>
        </w:rPr>
        <w:t xml:space="preserve">score </w:t>
      </w:r>
      <w:r w:rsidR="00272A82" w:rsidRPr="00771EED">
        <w:rPr>
          <w:rFonts w:cs="Garamond"/>
        </w:rPr>
        <w:t>(</w:t>
      </w:r>
      <w:r w:rsidR="00272A82" w:rsidRPr="00771EED">
        <w:t>78</w:t>
      </w:r>
      <w:r w:rsidR="00C1791F">
        <w:t>.</w:t>
      </w:r>
      <w:r w:rsidR="00272A82" w:rsidRPr="00771EED">
        <w:t>97%)</w:t>
      </w:r>
      <w:r w:rsidR="00272A82" w:rsidRPr="00771EED">
        <w:rPr>
          <w:rFonts w:cs="Garamond"/>
          <w:spacing w:val="-2"/>
        </w:rPr>
        <w:t xml:space="preserve">. </w:t>
      </w:r>
    </w:p>
    <w:p w14:paraId="20289AA5" w14:textId="77777777" w:rsidR="00272A82" w:rsidRPr="00771EED" w:rsidRDefault="00272A82" w:rsidP="00272A82">
      <w:pPr>
        <w:pStyle w:val="parrafos"/>
        <w:rPr>
          <w:rFonts w:cs="Garamond"/>
          <w:spacing w:val="-2"/>
        </w:rPr>
      </w:pPr>
    </w:p>
    <w:p w14:paraId="50C161F7" w14:textId="77777777" w:rsidR="00272A82" w:rsidRPr="00771EED" w:rsidRDefault="00DB6E23" w:rsidP="00272A82">
      <w:pPr>
        <w:pStyle w:val="parrafos"/>
        <w:numPr>
          <w:ilvl w:val="0"/>
          <w:numId w:val="106"/>
        </w:numPr>
        <w:tabs>
          <w:tab w:val="clear" w:pos="1440"/>
        </w:tabs>
        <w:ind w:left="0" w:firstLine="0"/>
        <w:rPr>
          <w:rFonts w:cs="Garamond"/>
          <w:spacing w:val="-2"/>
        </w:rPr>
      </w:pPr>
      <w:r>
        <w:rPr>
          <w:rFonts w:cs="Garamond"/>
          <w:spacing w:val="-2"/>
        </w:rPr>
        <w:t xml:space="preserve">They explain that </w:t>
      </w:r>
      <w:r w:rsidR="00971C4A">
        <w:rPr>
          <w:rFonts w:cs="Garamond"/>
          <w:spacing w:val="-2"/>
        </w:rPr>
        <w:t xml:space="preserve">on June 12, 2003, the alleged victim was notified that he was relieved of his position </w:t>
      </w:r>
      <w:r w:rsidR="00C140AC">
        <w:rPr>
          <w:rFonts w:cs="Garamond"/>
          <w:spacing w:val="-2"/>
        </w:rPr>
        <w:t xml:space="preserve">because </w:t>
      </w:r>
      <w:r w:rsidR="005B335F">
        <w:rPr>
          <w:rFonts w:cs="Garamond"/>
          <w:spacing w:val="-2"/>
        </w:rPr>
        <w:t xml:space="preserve">he </w:t>
      </w:r>
      <w:r w:rsidR="00082453">
        <w:rPr>
          <w:rFonts w:cs="Garamond"/>
          <w:spacing w:val="-2"/>
        </w:rPr>
        <w:t xml:space="preserve">had not been </w:t>
      </w:r>
      <w:r w:rsidR="00FC0390">
        <w:rPr>
          <w:rFonts w:cs="Garamond"/>
          <w:spacing w:val="-2"/>
        </w:rPr>
        <w:t xml:space="preserve">selected </w:t>
      </w:r>
      <w:r w:rsidR="001234B6">
        <w:rPr>
          <w:rFonts w:cs="Garamond"/>
          <w:spacing w:val="-2"/>
        </w:rPr>
        <w:t xml:space="preserve">to hold </w:t>
      </w:r>
      <w:r w:rsidR="00FC0390">
        <w:rPr>
          <w:rFonts w:cs="Garamond"/>
          <w:spacing w:val="-2"/>
        </w:rPr>
        <w:t xml:space="preserve">the position </w:t>
      </w:r>
      <w:r w:rsidR="001234B6">
        <w:rPr>
          <w:rFonts w:cs="Garamond"/>
          <w:spacing w:val="-2"/>
        </w:rPr>
        <w:t xml:space="preserve">for which he had competed and held </w:t>
      </w:r>
      <w:r w:rsidR="004568AB">
        <w:rPr>
          <w:rFonts w:cs="Garamond"/>
          <w:spacing w:val="-2"/>
        </w:rPr>
        <w:t xml:space="preserve">on an interim basis and that </w:t>
      </w:r>
      <w:r w:rsidR="00F8515B">
        <w:rPr>
          <w:rFonts w:cs="Garamond"/>
          <w:spacing w:val="-2"/>
        </w:rPr>
        <w:t xml:space="preserve">he found out through unofficial sources </w:t>
      </w:r>
      <w:r w:rsidR="002C5A0C">
        <w:rPr>
          <w:rFonts w:cs="Garamond"/>
          <w:spacing w:val="-2"/>
        </w:rPr>
        <w:t xml:space="preserve">that </w:t>
      </w:r>
      <w:r w:rsidR="00A43B1E">
        <w:rPr>
          <w:rFonts w:cs="Garamond"/>
          <w:spacing w:val="-2"/>
        </w:rPr>
        <w:t>a person from outside the institution, who did not have any disability</w:t>
      </w:r>
      <w:r w:rsidR="00672B33">
        <w:rPr>
          <w:rFonts w:cs="Garamond"/>
          <w:spacing w:val="-2"/>
        </w:rPr>
        <w:t>,</w:t>
      </w:r>
      <w:r w:rsidR="00A43B1E">
        <w:rPr>
          <w:rFonts w:cs="Garamond"/>
          <w:spacing w:val="-2"/>
        </w:rPr>
        <w:t xml:space="preserve"> </w:t>
      </w:r>
      <w:r w:rsidR="00992E0F">
        <w:rPr>
          <w:rFonts w:cs="Garamond"/>
          <w:spacing w:val="-2"/>
        </w:rPr>
        <w:t xml:space="preserve">had been appointed </w:t>
      </w:r>
      <w:r w:rsidR="002C5A0C">
        <w:rPr>
          <w:rFonts w:cs="Garamond"/>
          <w:spacing w:val="-2"/>
        </w:rPr>
        <w:t xml:space="preserve">in his </w:t>
      </w:r>
      <w:r w:rsidR="00F8515B">
        <w:rPr>
          <w:rFonts w:cs="Garamond"/>
          <w:spacing w:val="-2"/>
        </w:rPr>
        <w:t>place</w:t>
      </w:r>
      <w:r w:rsidR="002C5A0C">
        <w:rPr>
          <w:rFonts w:cs="Garamond"/>
          <w:spacing w:val="-2"/>
        </w:rPr>
        <w:t xml:space="preserve">. </w:t>
      </w:r>
    </w:p>
    <w:p w14:paraId="25D81926" w14:textId="77777777" w:rsidR="00272A82" w:rsidRPr="00771EED" w:rsidRDefault="00272A82" w:rsidP="00272A82">
      <w:pPr>
        <w:pStyle w:val="parrafos"/>
        <w:rPr>
          <w:rFonts w:cs="Garamond"/>
          <w:spacing w:val="-2"/>
        </w:rPr>
      </w:pPr>
    </w:p>
    <w:p w14:paraId="6E49872A" w14:textId="77777777" w:rsidR="00272A82" w:rsidRPr="00771EED" w:rsidRDefault="004C3FF8" w:rsidP="00272A82">
      <w:pPr>
        <w:pStyle w:val="parrafos"/>
        <w:numPr>
          <w:ilvl w:val="0"/>
          <w:numId w:val="106"/>
        </w:numPr>
        <w:tabs>
          <w:tab w:val="clear" w:pos="1440"/>
        </w:tabs>
        <w:ind w:left="0" w:firstLine="0"/>
      </w:pPr>
      <w:r>
        <w:t xml:space="preserve">The petitioners </w:t>
      </w:r>
      <w:r w:rsidR="00341A97">
        <w:t xml:space="preserve">claim that the main reason why </w:t>
      </w:r>
      <w:r w:rsidR="00DF22F2">
        <w:t xml:space="preserve">he was not appointed to the position was a Report </w:t>
      </w:r>
      <w:r w:rsidR="00B167B1">
        <w:t xml:space="preserve">of the </w:t>
      </w:r>
      <w:r w:rsidR="00D61964">
        <w:t xml:space="preserve">Head </w:t>
      </w:r>
      <w:r w:rsidR="00DF22F2">
        <w:t>of Area of the Ministry of Finance recommending that he not be appointed because of his “problems of mental retardation and emotional blockage</w:t>
      </w:r>
      <w:r w:rsidR="005C05C4">
        <w:t xml:space="preserve">” and that he was unqualified </w:t>
      </w:r>
      <w:r w:rsidR="00A55457">
        <w:t xml:space="preserve">for the position. </w:t>
      </w:r>
      <w:r w:rsidR="00DF22F2">
        <w:t xml:space="preserve"> </w:t>
      </w:r>
      <w:r w:rsidR="00362263">
        <w:t>They claim that this person</w:t>
      </w:r>
      <w:r w:rsidR="0030658D">
        <w:t>, the head of the area,</w:t>
      </w:r>
      <w:r w:rsidR="00362263">
        <w:t xml:space="preserve"> does not have the professional competence or the formal authority </w:t>
      </w:r>
      <w:r w:rsidR="0097781D">
        <w:t xml:space="preserve">to issue such a recommendation, much less to </w:t>
      </w:r>
      <w:r w:rsidR="0008072E">
        <w:t xml:space="preserve">contradict </w:t>
      </w:r>
      <w:r w:rsidR="00CC4945">
        <w:t xml:space="preserve">the judgment of the National Council for Rehabilitation and </w:t>
      </w:r>
      <w:r w:rsidR="00BA2207">
        <w:t xml:space="preserve">Special </w:t>
      </w:r>
      <w:r w:rsidR="00CC4945">
        <w:t xml:space="preserve">Education </w:t>
      </w:r>
      <w:r w:rsidR="00272A82" w:rsidRPr="00771EED">
        <w:t xml:space="preserve">(CONARE), </w:t>
      </w:r>
      <w:r w:rsidR="00BA2207">
        <w:t xml:space="preserve">the body </w:t>
      </w:r>
      <w:r w:rsidR="008D43E0">
        <w:t xml:space="preserve">they claim </w:t>
      </w:r>
      <w:r w:rsidR="00BA2207">
        <w:t xml:space="preserve">officially certified </w:t>
      </w:r>
      <w:r w:rsidR="00644BC6">
        <w:t>Mr. Guevara Díaz as</w:t>
      </w:r>
      <w:r w:rsidR="00B94B90">
        <w:t xml:space="preserve"> a</w:t>
      </w:r>
      <w:r w:rsidR="00644BC6">
        <w:t xml:space="preserve"> “miscellaneous” worker.</w:t>
      </w:r>
      <w:r w:rsidR="00272A82" w:rsidRPr="00771EED">
        <w:t xml:space="preserve">”  </w:t>
      </w:r>
    </w:p>
    <w:p w14:paraId="15D35796" w14:textId="77777777" w:rsidR="00272A82" w:rsidRPr="00771EED" w:rsidRDefault="00272A82" w:rsidP="00272A82">
      <w:pPr>
        <w:pStyle w:val="parrafos"/>
      </w:pPr>
    </w:p>
    <w:p w14:paraId="67D3DCBF" w14:textId="77777777" w:rsidR="00272A82" w:rsidRPr="00771EED" w:rsidRDefault="004705B9" w:rsidP="00272A82">
      <w:pPr>
        <w:pStyle w:val="parrafos"/>
        <w:numPr>
          <w:ilvl w:val="0"/>
          <w:numId w:val="106"/>
        </w:numPr>
        <w:tabs>
          <w:tab w:val="clear" w:pos="1440"/>
        </w:tabs>
        <w:ind w:left="0" w:firstLine="0"/>
        <w:rPr>
          <w:rFonts w:cs="Garamond"/>
          <w:spacing w:val="-2"/>
        </w:rPr>
      </w:pPr>
      <w:r>
        <w:t xml:space="preserve">The petitioners note that the </w:t>
      </w:r>
      <w:r w:rsidR="00F60967">
        <w:t xml:space="preserve">termination </w:t>
      </w:r>
      <w:r>
        <w:t xml:space="preserve">of </w:t>
      </w:r>
      <w:r w:rsidR="005171AD">
        <w:t xml:space="preserve">the alleged victim’s </w:t>
      </w:r>
      <w:r>
        <w:t>interim appointment</w:t>
      </w:r>
      <w:r w:rsidR="00DF71CC">
        <w:t xml:space="preserve"> took effect on June 16, 2003, and as of that date he has been unemployed </w:t>
      </w:r>
      <w:r w:rsidR="00F23097">
        <w:t xml:space="preserve">and has not been able </w:t>
      </w:r>
      <w:r w:rsidR="002359D4">
        <w:t>find gainful and decent employment</w:t>
      </w:r>
      <w:r w:rsidR="00310EEA">
        <w:t xml:space="preserve">. </w:t>
      </w:r>
      <w:r>
        <w:t xml:space="preserve"> </w:t>
      </w:r>
      <w:r w:rsidR="0057285B">
        <w:t xml:space="preserve">They </w:t>
      </w:r>
      <w:r w:rsidR="009F3DCA">
        <w:t xml:space="preserve">report that on June 18, 2003, he filed </w:t>
      </w:r>
      <w:r w:rsidR="00ED72CF">
        <w:t>a</w:t>
      </w:r>
      <w:r w:rsidR="00276DBD">
        <w:t xml:space="preserve">n appeal for reversal of decision </w:t>
      </w:r>
      <w:r w:rsidR="00E82897">
        <w:rPr>
          <w:rFonts w:cs="Garamond"/>
          <w:spacing w:val="-2"/>
        </w:rPr>
        <w:t>(</w:t>
      </w:r>
      <w:r w:rsidR="00272A82" w:rsidRPr="00E82897">
        <w:rPr>
          <w:rFonts w:cs="Garamond"/>
          <w:i/>
          <w:iCs/>
          <w:spacing w:val="-2"/>
        </w:rPr>
        <w:t>recurso de nulidad y revocatoria</w:t>
      </w:r>
      <w:r w:rsidR="00E82897">
        <w:rPr>
          <w:rFonts w:cs="Garamond"/>
          <w:spacing w:val="-2"/>
        </w:rPr>
        <w:t>)</w:t>
      </w:r>
      <w:r w:rsidR="00272A82" w:rsidRPr="00771EED">
        <w:rPr>
          <w:rFonts w:cs="Garamond"/>
          <w:spacing w:val="-2"/>
        </w:rPr>
        <w:t xml:space="preserve">, </w:t>
      </w:r>
      <w:r w:rsidR="00E82897">
        <w:rPr>
          <w:rFonts w:cs="Garamond"/>
          <w:spacing w:val="-2"/>
        </w:rPr>
        <w:t xml:space="preserve">which was </w:t>
      </w:r>
      <w:r w:rsidR="002D61EE">
        <w:rPr>
          <w:rFonts w:cs="Garamond"/>
          <w:spacing w:val="-2"/>
        </w:rPr>
        <w:t xml:space="preserve">found groundless </w:t>
      </w:r>
      <w:r w:rsidR="00E82897">
        <w:rPr>
          <w:rFonts w:cs="Garamond"/>
          <w:spacing w:val="-2"/>
        </w:rPr>
        <w:t xml:space="preserve">on July 11, 2003 by </w:t>
      </w:r>
      <w:r w:rsidR="005250FB">
        <w:rPr>
          <w:rFonts w:cs="Garamond"/>
          <w:spacing w:val="-2"/>
        </w:rPr>
        <w:t xml:space="preserve">the </w:t>
      </w:r>
      <w:r w:rsidR="002444BF">
        <w:rPr>
          <w:rFonts w:cs="Garamond"/>
          <w:spacing w:val="-2"/>
        </w:rPr>
        <w:t>Chief</w:t>
      </w:r>
      <w:r w:rsidR="00276DBD">
        <w:rPr>
          <w:rFonts w:cs="Garamond"/>
          <w:spacing w:val="-2"/>
        </w:rPr>
        <w:t xml:space="preserve"> Officer and</w:t>
      </w:r>
      <w:r w:rsidR="005250FB">
        <w:rPr>
          <w:rFonts w:cs="Garamond"/>
          <w:spacing w:val="-2"/>
        </w:rPr>
        <w:t xml:space="preserve"> Administrative </w:t>
      </w:r>
      <w:r w:rsidR="00276DBD">
        <w:rPr>
          <w:rFonts w:cs="Garamond"/>
          <w:spacing w:val="-2"/>
        </w:rPr>
        <w:t xml:space="preserve">Directorate </w:t>
      </w:r>
      <w:r w:rsidR="00D511A2">
        <w:rPr>
          <w:rFonts w:cs="Garamond"/>
          <w:spacing w:val="-2"/>
        </w:rPr>
        <w:t>of the Ministry of Finance</w:t>
      </w:r>
      <w:r w:rsidR="00003CDB">
        <w:rPr>
          <w:rFonts w:cs="Garamond"/>
          <w:spacing w:val="-2"/>
        </w:rPr>
        <w:t xml:space="preserve">, and then </w:t>
      </w:r>
      <w:r w:rsidR="00382760">
        <w:rPr>
          <w:rFonts w:cs="Garamond"/>
          <w:spacing w:val="-2"/>
        </w:rPr>
        <w:t xml:space="preserve">was </w:t>
      </w:r>
      <w:r w:rsidR="00003CDB">
        <w:rPr>
          <w:rFonts w:cs="Garamond"/>
          <w:spacing w:val="-2"/>
        </w:rPr>
        <w:t xml:space="preserve">appealed and denied on June 18, 2003. </w:t>
      </w:r>
    </w:p>
    <w:p w14:paraId="45C881A0" w14:textId="77777777" w:rsidR="00272A82" w:rsidRPr="00771EED" w:rsidRDefault="00272A82" w:rsidP="00272A82">
      <w:pPr>
        <w:pStyle w:val="parrafos"/>
        <w:rPr>
          <w:rFonts w:cs="Garamond"/>
          <w:spacing w:val="-2"/>
        </w:rPr>
      </w:pPr>
      <w:r w:rsidRPr="00771EED">
        <w:rPr>
          <w:rFonts w:cs="Garamond"/>
          <w:spacing w:val="-2"/>
        </w:rPr>
        <w:t xml:space="preserve"> </w:t>
      </w:r>
    </w:p>
    <w:p w14:paraId="3821A2BA" w14:textId="77777777" w:rsidR="00272A82" w:rsidRPr="00771EED" w:rsidRDefault="002A7AC3" w:rsidP="00272A82">
      <w:pPr>
        <w:pStyle w:val="parrafos"/>
        <w:numPr>
          <w:ilvl w:val="0"/>
          <w:numId w:val="106"/>
        </w:numPr>
        <w:tabs>
          <w:tab w:val="clear" w:pos="1440"/>
        </w:tabs>
        <w:ind w:left="0" w:firstLine="0"/>
        <w:rPr>
          <w:rFonts w:cs="Garamond"/>
          <w:spacing w:val="-2"/>
        </w:rPr>
      </w:pPr>
      <w:r>
        <w:rPr>
          <w:rFonts w:cs="Garamond"/>
          <w:spacing w:val="-2"/>
        </w:rPr>
        <w:lastRenderedPageBreak/>
        <w:t xml:space="preserve">They </w:t>
      </w:r>
      <w:r w:rsidR="00755161">
        <w:rPr>
          <w:rFonts w:cs="Garamond"/>
          <w:spacing w:val="-2"/>
        </w:rPr>
        <w:t xml:space="preserve">assert that, subsequently, on August 5, 2003, the alleged victim filed for constitutional relief via an </w:t>
      </w:r>
      <w:r w:rsidR="00755161">
        <w:rPr>
          <w:rFonts w:cs="Garamond"/>
          <w:i/>
          <w:iCs/>
          <w:spacing w:val="-2"/>
        </w:rPr>
        <w:t xml:space="preserve">amparo </w:t>
      </w:r>
      <w:r w:rsidR="007823A2">
        <w:rPr>
          <w:rFonts w:cs="Garamond"/>
          <w:spacing w:val="-2"/>
        </w:rPr>
        <w:t xml:space="preserve">petition </w:t>
      </w:r>
      <w:r w:rsidR="00755161">
        <w:rPr>
          <w:rFonts w:cs="Garamond"/>
          <w:spacing w:val="-2"/>
        </w:rPr>
        <w:t xml:space="preserve">against the Ministry of Finance </w:t>
      </w:r>
      <w:r w:rsidR="007A1A4E">
        <w:rPr>
          <w:rFonts w:cs="Garamond"/>
          <w:spacing w:val="-2"/>
        </w:rPr>
        <w:t xml:space="preserve">with the Constitutional Chamber of the Supreme Court, which was </w:t>
      </w:r>
      <w:r w:rsidR="00267627">
        <w:rPr>
          <w:rFonts w:cs="Garamond"/>
          <w:spacing w:val="-2"/>
        </w:rPr>
        <w:t xml:space="preserve">denied </w:t>
      </w:r>
      <w:r w:rsidR="008A5C07">
        <w:rPr>
          <w:rFonts w:cs="Garamond"/>
          <w:spacing w:val="-2"/>
        </w:rPr>
        <w:t xml:space="preserve">by this body on February 14, 2005, on the grounds that that the agency did not </w:t>
      </w:r>
      <w:r w:rsidR="00505DCB">
        <w:rPr>
          <w:rFonts w:cs="Garamond"/>
          <w:spacing w:val="-2"/>
        </w:rPr>
        <w:t xml:space="preserve">act in a discriminatory manner. </w:t>
      </w:r>
    </w:p>
    <w:p w14:paraId="7D6C9DF9" w14:textId="77777777" w:rsidR="00272A82" w:rsidRPr="00771EED" w:rsidRDefault="00272A82" w:rsidP="00272A82">
      <w:pPr>
        <w:pStyle w:val="parrafos"/>
        <w:rPr>
          <w:rFonts w:cs="Garamond"/>
          <w:spacing w:val="-2"/>
        </w:rPr>
      </w:pPr>
    </w:p>
    <w:p w14:paraId="4AF54295" w14:textId="77777777" w:rsidR="00272A82" w:rsidRPr="00771EED" w:rsidRDefault="00970636" w:rsidP="00272A82">
      <w:pPr>
        <w:pStyle w:val="parrafos"/>
        <w:numPr>
          <w:ilvl w:val="0"/>
          <w:numId w:val="106"/>
        </w:numPr>
        <w:tabs>
          <w:tab w:val="clear" w:pos="1440"/>
        </w:tabs>
        <w:ind w:left="0" w:firstLine="0"/>
        <w:rPr>
          <w:rFonts w:cs="Garamond"/>
          <w:spacing w:val="-2"/>
        </w:rPr>
      </w:pPr>
      <w:r>
        <w:rPr>
          <w:rFonts w:cs="Garamond"/>
          <w:spacing w:val="-2"/>
        </w:rPr>
        <w:t xml:space="preserve">The petitioners </w:t>
      </w:r>
      <w:r w:rsidR="004C6022">
        <w:rPr>
          <w:rFonts w:cs="Garamond"/>
          <w:spacing w:val="-2"/>
        </w:rPr>
        <w:t>contend that the</w:t>
      </w:r>
      <w:r w:rsidR="00457BFD">
        <w:rPr>
          <w:rFonts w:cs="Garamond"/>
          <w:spacing w:val="-2"/>
        </w:rPr>
        <w:t xml:space="preserve"> rules of the</w:t>
      </w:r>
      <w:r w:rsidR="004C6022">
        <w:rPr>
          <w:rFonts w:cs="Garamond"/>
          <w:spacing w:val="-2"/>
        </w:rPr>
        <w:t xml:space="preserve"> competitive selection process</w:t>
      </w:r>
      <w:r w:rsidR="009D041A">
        <w:rPr>
          <w:rFonts w:cs="Garamond"/>
          <w:spacing w:val="-2"/>
        </w:rPr>
        <w:t xml:space="preserve"> are discriminatory. </w:t>
      </w:r>
      <w:r w:rsidR="00446422">
        <w:rPr>
          <w:rFonts w:cs="Garamond"/>
          <w:spacing w:val="-2"/>
        </w:rPr>
        <w:t>Specifically, they claim that the appropriate labor authority is able to appoint any of the three persons comprising the slate of proposed candidates</w:t>
      </w:r>
      <w:r w:rsidR="00C01CA7">
        <w:rPr>
          <w:rFonts w:cs="Garamond"/>
          <w:spacing w:val="-2"/>
        </w:rPr>
        <w:t xml:space="preserve">, because it has discretionary power to do so, </w:t>
      </w:r>
      <w:r w:rsidR="00B006D8">
        <w:rPr>
          <w:rFonts w:cs="Garamond"/>
          <w:spacing w:val="-2"/>
        </w:rPr>
        <w:t xml:space="preserve">which is a </w:t>
      </w:r>
      <w:r w:rsidR="00FC653D">
        <w:rPr>
          <w:rFonts w:cs="Garamond"/>
          <w:spacing w:val="-2"/>
        </w:rPr>
        <w:t xml:space="preserve">flaw </w:t>
      </w:r>
      <w:r w:rsidR="00B006D8">
        <w:rPr>
          <w:rFonts w:cs="Garamond"/>
          <w:spacing w:val="-2"/>
        </w:rPr>
        <w:t xml:space="preserve">in the system. </w:t>
      </w:r>
      <w:r w:rsidR="00CD6EB1">
        <w:rPr>
          <w:rFonts w:cs="Garamond"/>
          <w:spacing w:val="-2"/>
        </w:rPr>
        <w:t xml:space="preserve">They </w:t>
      </w:r>
      <w:r w:rsidR="00DF40BC">
        <w:rPr>
          <w:rFonts w:cs="Garamond"/>
          <w:spacing w:val="-2"/>
        </w:rPr>
        <w:t>argue that</w:t>
      </w:r>
      <w:r w:rsidR="00E56CF0">
        <w:rPr>
          <w:rFonts w:cs="Garamond"/>
          <w:spacing w:val="-2"/>
        </w:rPr>
        <w:t>,</w:t>
      </w:r>
      <w:r w:rsidR="00DF40BC">
        <w:rPr>
          <w:rFonts w:cs="Garamond"/>
          <w:spacing w:val="-2"/>
        </w:rPr>
        <w:t xml:space="preserve"> in the instant case, in order to ensure equality</w:t>
      </w:r>
      <w:r w:rsidR="00C421C1">
        <w:rPr>
          <w:rFonts w:cs="Garamond"/>
          <w:spacing w:val="-2"/>
        </w:rPr>
        <w:t xml:space="preserve">, </w:t>
      </w:r>
      <w:r w:rsidR="005971B1">
        <w:rPr>
          <w:rFonts w:cs="Garamond"/>
          <w:spacing w:val="-2"/>
        </w:rPr>
        <w:t xml:space="preserve">the scores obtained and work performed by the alleged victim </w:t>
      </w:r>
      <w:r w:rsidR="006D059B">
        <w:rPr>
          <w:rFonts w:cs="Garamond"/>
          <w:spacing w:val="-2"/>
        </w:rPr>
        <w:t xml:space="preserve">during his years of service provided free of charge to the State and as an interim worker must be considered. </w:t>
      </w:r>
    </w:p>
    <w:p w14:paraId="3E0821F9" w14:textId="77777777" w:rsidR="00272A82" w:rsidRPr="00771EED" w:rsidRDefault="00272A82" w:rsidP="00272A82">
      <w:pPr>
        <w:pStyle w:val="parrafos"/>
      </w:pPr>
    </w:p>
    <w:p w14:paraId="590C311C" w14:textId="77777777" w:rsidR="00272A82" w:rsidRPr="00771EED" w:rsidRDefault="000E713A" w:rsidP="00272A82">
      <w:pPr>
        <w:pStyle w:val="parrafos"/>
        <w:numPr>
          <w:ilvl w:val="0"/>
          <w:numId w:val="106"/>
        </w:numPr>
        <w:tabs>
          <w:tab w:val="clear" w:pos="1440"/>
        </w:tabs>
        <w:ind w:left="0" w:firstLine="0"/>
        <w:rPr>
          <w:rFonts w:cs="Garamond"/>
          <w:spacing w:val="-2"/>
        </w:rPr>
      </w:pPr>
      <w:r>
        <w:t xml:space="preserve">They explain that, even though </w:t>
      </w:r>
      <w:r w:rsidR="00FF01E9">
        <w:t xml:space="preserve">interim workers </w:t>
      </w:r>
      <w:r w:rsidR="003A4D1F">
        <w:t xml:space="preserve">are not granted special rights </w:t>
      </w:r>
      <w:r w:rsidR="00375790">
        <w:t>for purposes of</w:t>
      </w:r>
      <w:r w:rsidR="00FF01E9">
        <w:t xml:space="preserve"> participat</w:t>
      </w:r>
      <w:r w:rsidR="00375790">
        <w:t>ing</w:t>
      </w:r>
      <w:r w:rsidR="00FF01E9">
        <w:t xml:space="preserve"> in a competitive hiring process for </w:t>
      </w:r>
      <w:r w:rsidR="00E56CF0">
        <w:t xml:space="preserve">permanent </w:t>
      </w:r>
      <w:r w:rsidR="00641CEE">
        <w:t xml:space="preserve">appointment to </w:t>
      </w:r>
      <w:r w:rsidR="00FF01E9">
        <w:t>their position</w:t>
      </w:r>
      <w:r w:rsidR="00FD73D0">
        <w:t xml:space="preserve">, </w:t>
      </w:r>
      <w:r w:rsidR="00477525">
        <w:t xml:space="preserve">when </w:t>
      </w:r>
      <w:r w:rsidR="00FD73D0">
        <w:t>persons with disability</w:t>
      </w:r>
      <w:r w:rsidR="00477525">
        <w:t xml:space="preserve"> are involved</w:t>
      </w:r>
      <w:r w:rsidR="00FD73D0">
        <w:t xml:space="preserve">, </w:t>
      </w:r>
      <w:r w:rsidR="00DD2E0B">
        <w:t xml:space="preserve">they must be </w:t>
      </w:r>
      <w:r w:rsidR="00BF7A42">
        <w:t xml:space="preserve">given </w:t>
      </w:r>
      <w:r w:rsidR="00FD73D0">
        <w:t xml:space="preserve">special treatment </w:t>
      </w:r>
      <w:r w:rsidR="00527E5A">
        <w:t xml:space="preserve">in </w:t>
      </w:r>
      <w:r w:rsidR="00932E0D">
        <w:t xml:space="preserve">the </w:t>
      </w:r>
      <w:r w:rsidR="00527E5A">
        <w:t>processing and dec</w:t>
      </w:r>
      <w:r w:rsidR="002F6B2A">
        <w:t>is</w:t>
      </w:r>
      <w:r w:rsidR="00527E5A">
        <w:t>i</w:t>
      </w:r>
      <w:r w:rsidR="00FE7B9E">
        <w:t>on</w:t>
      </w:r>
      <w:r w:rsidR="004D3996">
        <w:t xml:space="preserve">-making </w:t>
      </w:r>
      <w:r w:rsidR="00C059E2">
        <w:t xml:space="preserve">of </w:t>
      </w:r>
      <w:r w:rsidR="0075672F">
        <w:t xml:space="preserve">the </w:t>
      </w:r>
      <w:r w:rsidR="00C059E2">
        <w:t xml:space="preserve">selection. </w:t>
      </w:r>
      <w:r w:rsidR="00AF7895">
        <w:t xml:space="preserve">Specifically, </w:t>
      </w:r>
      <w:r w:rsidR="00067A50">
        <w:t>the</w:t>
      </w:r>
      <w:r w:rsidR="00864875">
        <w:t xml:space="preserve"> petitioners</w:t>
      </w:r>
      <w:r w:rsidR="00067A50">
        <w:t xml:space="preserve"> claim that if a person with a disability has provided years of service to the State, their work history and the services they provided should be taken into consideration</w:t>
      </w:r>
      <w:r w:rsidR="00C042BC">
        <w:t xml:space="preserve">, </w:t>
      </w:r>
      <w:r w:rsidR="009606EF">
        <w:t xml:space="preserve">and </w:t>
      </w:r>
      <w:r w:rsidR="00751726">
        <w:t xml:space="preserve">a reasoned decision </w:t>
      </w:r>
      <w:r w:rsidR="002358B9">
        <w:t xml:space="preserve">should also be made in the final selection and not be </w:t>
      </w:r>
      <w:r w:rsidR="005B1D55">
        <w:t xml:space="preserve">merely </w:t>
      </w:r>
      <w:r w:rsidR="002358B9">
        <w:t>discretionary</w:t>
      </w:r>
      <w:r w:rsidR="00CF0740">
        <w:t xml:space="preserve">, so that such persons are provided equal and fair treatment. </w:t>
      </w:r>
    </w:p>
    <w:p w14:paraId="43C4EF57" w14:textId="77777777" w:rsidR="00272A82" w:rsidRPr="00771EED" w:rsidRDefault="00272A82" w:rsidP="00272A82">
      <w:pPr>
        <w:pStyle w:val="parrafos"/>
        <w:rPr>
          <w:rFonts w:cs="Garamond"/>
          <w:spacing w:val="-2"/>
        </w:rPr>
      </w:pPr>
    </w:p>
    <w:p w14:paraId="751EB338" w14:textId="77777777" w:rsidR="00272A82" w:rsidRPr="00771EED" w:rsidRDefault="00615E21" w:rsidP="00272A82">
      <w:pPr>
        <w:pStyle w:val="parrafos"/>
        <w:numPr>
          <w:ilvl w:val="0"/>
          <w:numId w:val="106"/>
        </w:numPr>
        <w:tabs>
          <w:tab w:val="clear" w:pos="1440"/>
        </w:tabs>
        <w:ind w:left="0" w:firstLine="0"/>
        <w:rPr>
          <w:rFonts w:cs="Garamond"/>
          <w:spacing w:val="-2"/>
        </w:rPr>
      </w:pPr>
      <w:r>
        <w:t xml:space="preserve">As for </w:t>
      </w:r>
      <w:r w:rsidR="002B5E15">
        <w:t>the law</w:t>
      </w:r>
      <w:r>
        <w:t xml:space="preserve">, they </w:t>
      </w:r>
      <w:r w:rsidR="00582F56">
        <w:t xml:space="preserve">claim </w:t>
      </w:r>
      <w:r w:rsidR="003A3C72">
        <w:t xml:space="preserve">a </w:t>
      </w:r>
      <w:r>
        <w:t>violation of the principle of equality in connection with the right to a fair trial and judicial protection</w:t>
      </w:r>
      <w:r w:rsidR="00272A82" w:rsidRPr="00771EED">
        <w:t xml:space="preserve">. </w:t>
      </w:r>
      <w:r w:rsidR="00A57F9A">
        <w:t>On this score, they contend that the resolution of the Consti</w:t>
      </w:r>
      <w:r w:rsidR="00E9360C">
        <w:t xml:space="preserve">tutional Chamber </w:t>
      </w:r>
      <w:r w:rsidR="0062505C">
        <w:t xml:space="preserve">was excessively </w:t>
      </w:r>
      <w:r w:rsidR="00365CCA">
        <w:t>focused on formal procedure</w:t>
      </w:r>
      <w:r w:rsidR="00E719BC">
        <w:t xml:space="preserve">, </w:t>
      </w:r>
      <w:r w:rsidR="00E9360C">
        <w:t xml:space="preserve">and did not </w:t>
      </w:r>
      <w:r w:rsidR="004201ED">
        <w:t xml:space="preserve">settle </w:t>
      </w:r>
      <w:r w:rsidR="00FC67E7">
        <w:t xml:space="preserve">the </w:t>
      </w:r>
      <w:r w:rsidR="00A13FAF">
        <w:t xml:space="preserve">allegation </w:t>
      </w:r>
      <w:r w:rsidR="00FC67E7">
        <w:t xml:space="preserve">of discrimination, which </w:t>
      </w:r>
      <w:r w:rsidR="007A0C26">
        <w:t xml:space="preserve">has </w:t>
      </w:r>
      <w:r w:rsidR="00FC67E7">
        <w:t xml:space="preserve">led to </w:t>
      </w:r>
      <w:r w:rsidR="001D6C58">
        <w:t xml:space="preserve">countless </w:t>
      </w:r>
      <w:r w:rsidR="003929EF">
        <w:t xml:space="preserve">persons </w:t>
      </w:r>
      <w:r w:rsidR="008C746F">
        <w:t xml:space="preserve">with disability </w:t>
      </w:r>
      <w:r w:rsidR="003130DE">
        <w:t>being left with</w:t>
      </w:r>
      <w:r w:rsidR="00020F6D">
        <w:t>out a</w:t>
      </w:r>
      <w:r w:rsidR="003130DE">
        <w:t xml:space="preserve"> decent job. </w:t>
      </w:r>
      <w:r w:rsidR="00E9360C">
        <w:t xml:space="preserve"> </w:t>
      </w:r>
    </w:p>
    <w:p w14:paraId="35CE6AA6" w14:textId="77777777" w:rsidR="00272A82" w:rsidRPr="00771EED" w:rsidRDefault="00272A82" w:rsidP="00272A82">
      <w:pPr>
        <w:tabs>
          <w:tab w:val="left" w:pos="567"/>
          <w:tab w:val="left" w:pos="1440"/>
        </w:tabs>
        <w:jc w:val="both"/>
        <w:rPr>
          <w:rFonts w:ascii="Cambria" w:hAnsi="Cambria"/>
          <w:sz w:val="20"/>
          <w:szCs w:val="20"/>
        </w:rPr>
      </w:pPr>
    </w:p>
    <w:p w14:paraId="4ADE2D28" w14:textId="77777777" w:rsidR="00272A82" w:rsidRPr="00771EED" w:rsidRDefault="007F1B22" w:rsidP="004E1E59">
      <w:pPr>
        <w:pStyle w:val="Heading2"/>
        <w:ind w:left="1440" w:hanging="1440"/>
      </w:pPr>
      <w:bookmarkStart w:id="32" w:name="_Toc3453772"/>
      <w:bookmarkStart w:id="33" w:name="_Toc4075190"/>
      <w:bookmarkStart w:id="34" w:name="_Toc34746172"/>
      <w:bookmarkStart w:id="35" w:name="_Toc446857988"/>
      <w:bookmarkStart w:id="36" w:name="_Toc37678659"/>
      <w:bookmarkStart w:id="37" w:name="_Toc37681807"/>
      <w:bookmarkStart w:id="38" w:name="_Toc42239525"/>
      <w:r>
        <w:t xml:space="preserve">State </w:t>
      </w:r>
      <w:bookmarkEnd w:id="32"/>
      <w:bookmarkEnd w:id="33"/>
      <w:bookmarkEnd w:id="34"/>
      <w:bookmarkEnd w:id="35"/>
      <w:bookmarkEnd w:id="36"/>
      <w:bookmarkEnd w:id="37"/>
      <w:bookmarkEnd w:id="38"/>
    </w:p>
    <w:p w14:paraId="487742FA" w14:textId="77777777" w:rsidR="00272A82" w:rsidRPr="00771EED" w:rsidRDefault="00272A82" w:rsidP="00272A82">
      <w:pPr>
        <w:pStyle w:val="parrafos"/>
      </w:pPr>
    </w:p>
    <w:p w14:paraId="22515CCB" w14:textId="77777777" w:rsidR="00272A82" w:rsidRPr="00771EED" w:rsidRDefault="00C86A79" w:rsidP="00272A82">
      <w:pPr>
        <w:pStyle w:val="parrafos"/>
        <w:numPr>
          <w:ilvl w:val="0"/>
          <w:numId w:val="106"/>
        </w:numPr>
        <w:tabs>
          <w:tab w:val="clear" w:pos="1440"/>
        </w:tabs>
        <w:ind w:left="0" w:firstLine="0"/>
        <w:rPr>
          <w:spacing w:val="4"/>
        </w:rPr>
      </w:pPr>
      <w:r>
        <w:rPr>
          <w:spacing w:val="4"/>
        </w:rPr>
        <w:t>The State argues that</w:t>
      </w:r>
      <w:r w:rsidR="00541E2E">
        <w:rPr>
          <w:spacing w:val="4"/>
        </w:rPr>
        <w:t>,</w:t>
      </w:r>
      <w:r>
        <w:rPr>
          <w:spacing w:val="4"/>
        </w:rPr>
        <w:t xml:space="preserve"> contrary to the claims of the petitioners, the alleged victim did not provide service free of charge for eight years to the Ministry of Finance, but accompanied his mother over that time </w:t>
      </w:r>
      <w:r w:rsidR="006A4E1A">
        <w:rPr>
          <w:spacing w:val="4"/>
        </w:rPr>
        <w:t>in</w:t>
      </w:r>
      <w:r w:rsidR="00F76496">
        <w:rPr>
          <w:spacing w:val="4"/>
        </w:rPr>
        <w:t xml:space="preserve"> her job </w:t>
      </w:r>
      <w:r w:rsidR="001C2A73">
        <w:rPr>
          <w:spacing w:val="4"/>
        </w:rPr>
        <w:t xml:space="preserve">at this institution, inasmuch as she worked for the Ministry of Finance from June 1976 to December 2007 and </w:t>
      </w:r>
      <w:r w:rsidR="00A42C96">
        <w:rPr>
          <w:spacing w:val="4"/>
        </w:rPr>
        <w:t xml:space="preserve">was in the habit of </w:t>
      </w:r>
      <w:r w:rsidR="00392749">
        <w:rPr>
          <w:spacing w:val="4"/>
        </w:rPr>
        <w:t>taking her son to work with her.</w:t>
      </w:r>
      <w:r w:rsidR="00A84DC2">
        <w:rPr>
          <w:spacing w:val="4"/>
        </w:rPr>
        <w:t xml:space="preserve"> </w:t>
      </w:r>
    </w:p>
    <w:p w14:paraId="2661A7C5" w14:textId="77777777" w:rsidR="00272A82" w:rsidRPr="00771EED" w:rsidRDefault="00272A82" w:rsidP="00272A82">
      <w:pPr>
        <w:pStyle w:val="parrafos"/>
        <w:rPr>
          <w:spacing w:val="4"/>
        </w:rPr>
      </w:pPr>
    </w:p>
    <w:p w14:paraId="0B6E0A1C" w14:textId="77777777" w:rsidR="00272A82" w:rsidRPr="00771EED" w:rsidRDefault="00E95E5C" w:rsidP="00272A82">
      <w:pPr>
        <w:pStyle w:val="parrafos"/>
        <w:numPr>
          <w:ilvl w:val="0"/>
          <w:numId w:val="106"/>
        </w:numPr>
        <w:tabs>
          <w:tab w:val="clear" w:pos="1440"/>
        </w:tabs>
        <w:ind w:left="0" w:firstLine="0"/>
        <w:rPr>
          <w:spacing w:val="4"/>
        </w:rPr>
      </w:pPr>
      <w:r>
        <w:rPr>
          <w:spacing w:val="4"/>
        </w:rPr>
        <w:t xml:space="preserve">It reports that on June </w:t>
      </w:r>
      <w:r w:rsidR="00272A82" w:rsidRPr="00771EED">
        <w:rPr>
          <w:spacing w:val="4"/>
        </w:rPr>
        <w:t>4</w:t>
      </w:r>
      <w:r>
        <w:rPr>
          <w:spacing w:val="4"/>
        </w:rPr>
        <w:t>,</w:t>
      </w:r>
      <w:r w:rsidR="00272A82" w:rsidRPr="00771EED">
        <w:rPr>
          <w:spacing w:val="4"/>
        </w:rPr>
        <w:t xml:space="preserve"> 2001</w:t>
      </w:r>
      <w:r w:rsidR="00EE467C">
        <w:rPr>
          <w:spacing w:val="4"/>
        </w:rPr>
        <w:t>,</w:t>
      </w:r>
      <w:r w:rsidR="00272A82" w:rsidRPr="00771EED">
        <w:rPr>
          <w:spacing w:val="4"/>
        </w:rPr>
        <w:t xml:space="preserve"> Luis Fernando Guevara Díaz </w:t>
      </w:r>
      <w:r w:rsidR="00CE464B">
        <w:rPr>
          <w:spacing w:val="4"/>
        </w:rPr>
        <w:t xml:space="preserve">was hired for position </w:t>
      </w:r>
      <w:r w:rsidR="00272A82" w:rsidRPr="00771EED">
        <w:t xml:space="preserve">No. 010179, </w:t>
      </w:r>
      <w:r w:rsidR="00B546A1">
        <w:t xml:space="preserve">on an interim basis, by the Ministry of Finance as a miscellaneous worker in the “Technical Unit </w:t>
      </w:r>
      <w:r w:rsidR="00D3749E">
        <w:t>for</w:t>
      </w:r>
      <w:r w:rsidR="00B546A1">
        <w:t xml:space="preserve"> Supp</w:t>
      </w:r>
      <w:r w:rsidR="002262A4">
        <w:t>l</w:t>
      </w:r>
      <w:r w:rsidR="00B546A1">
        <w:t>y</w:t>
      </w:r>
      <w:r w:rsidR="001C6FDA">
        <w:t>ing</w:t>
      </w:r>
      <w:r w:rsidR="00B546A1">
        <w:t xml:space="preserve"> and Services of the Ministry of Finance”</w:t>
      </w:r>
      <w:r w:rsidR="00B3472E">
        <w:t xml:space="preserve"> (U.T.A.S.)</w:t>
      </w:r>
      <w:r w:rsidR="003300AA">
        <w:t>.</w:t>
      </w:r>
      <w:r w:rsidR="008F5E8C">
        <w:t xml:space="preserve"> </w:t>
      </w:r>
      <w:r w:rsidR="00B546A1">
        <w:t xml:space="preserve"> </w:t>
      </w:r>
      <w:r w:rsidR="00AD168E">
        <w:rPr>
          <w:spacing w:val="4"/>
        </w:rPr>
        <w:t xml:space="preserve">It </w:t>
      </w:r>
      <w:r w:rsidR="00197680">
        <w:rPr>
          <w:spacing w:val="4"/>
        </w:rPr>
        <w:t xml:space="preserve">asserts that in 2002, the Human Resources </w:t>
      </w:r>
      <w:r w:rsidR="008F5E8C">
        <w:rPr>
          <w:spacing w:val="4"/>
        </w:rPr>
        <w:t xml:space="preserve">unit </w:t>
      </w:r>
      <w:r w:rsidR="00197680">
        <w:rPr>
          <w:spacing w:val="4"/>
        </w:rPr>
        <w:t xml:space="preserve">of the aforementioned </w:t>
      </w:r>
      <w:r w:rsidR="00EF6A4F">
        <w:rPr>
          <w:spacing w:val="4"/>
        </w:rPr>
        <w:t>Ministry proceeded to</w:t>
      </w:r>
      <w:r w:rsidR="001978E8">
        <w:rPr>
          <w:spacing w:val="4"/>
        </w:rPr>
        <w:t xml:space="preserve"> </w:t>
      </w:r>
      <w:r w:rsidR="00C8709E">
        <w:rPr>
          <w:spacing w:val="4"/>
        </w:rPr>
        <w:t xml:space="preserve">conduct </w:t>
      </w:r>
      <w:r w:rsidR="001978E8">
        <w:rPr>
          <w:spacing w:val="4"/>
        </w:rPr>
        <w:t xml:space="preserve">external competitive hiring process </w:t>
      </w:r>
      <w:r w:rsidR="00EF6A4F">
        <w:rPr>
          <w:spacing w:val="4"/>
        </w:rPr>
        <w:t xml:space="preserve"> </w:t>
      </w:r>
      <w:r w:rsidR="001978E8">
        <w:rPr>
          <w:spacing w:val="4"/>
        </w:rPr>
        <w:t>(</w:t>
      </w:r>
      <w:r w:rsidR="00272A82" w:rsidRPr="001978E8">
        <w:rPr>
          <w:i/>
          <w:iCs/>
        </w:rPr>
        <w:t>concurso externo</w:t>
      </w:r>
      <w:r w:rsidR="001978E8">
        <w:t>)</w:t>
      </w:r>
      <w:r w:rsidR="00272A82" w:rsidRPr="00771EED">
        <w:t xml:space="preserve"> No. 01-02 </w:t>
      </w:r>
      <w:r w:rsidR="006C30C6">
        <w:t xml:space="preserve">in order to fill several vacant positions, including the aforementioned position </w:t>
      </w:r>
      <w:r w:rsidR="00272A82" w:rsidRPr="00771EED">
        <w:t xml:space="preserve">No. 010179 </w:t>
      </w:r>
      <w:r w:rsidR="00026BA8">
        <w:t>which</w:t>
      </w:r>
      <w:r w:rsidR="00AD6647">
        <w:t>,</w:t>
      </w:r>
      <w:r w:rsidR="00026BA8">
        <w:t xml:space="preserve"> as was noted earlier, was held on an interim basis by the alleged victim. </w:t>
      </w:r>
      <w:r w:rsidR="00124F1C">
        <w:t xml:space="preserve">The State explains that Mr. Guevara </w:t>
      </w:r>
      <w:r w:rsidR="001C1DBF">
        <w:t xml:space="preserve">entered the aforementioned selection process on March 18, 2002 to apply for </w:t>
      </w:r>
      <w:r w:rsidR="00D679A6">
        <w:t>a permanent appointment to the category of miscellaneous worker 1 and 2</w:t>
      </w:r>
      <w:r w:rsidR="003D3671">
        <w:t xml:space="preserve">, as </w:t>
      </w:r>
      <w:r w:rsidR="000166C4">
        <w:t xml:space="preserve">a janitor. </w:t>
      </w:r>
    </w:p>
    <w:p w14:paraId="178689F9" w14:textId="77777777" w:rsidR="00272A82" w:rsidRPr="00771EED" w:rsidRDefault="00272A82" w:rsidP="00272A82">
      <w:pPr>
        <w:pStyle w:val="parrafos"/>
      </w:pPr>
    </w:p>
    <w:p w14:paraId="1F67D8F8" w14:textId="77777777" w:rsidR="00272A82" w:rsidRPr="00771EED" w:rsidRDefault="007068FE" w:rsidP="00272A82">
      <w:pPr>
        <w:pStyle w:val="parrafos"/>
        <w:numPr>
          <w:ilvl w:val="0"/>
          <w:numId w:val="106"/>
        </w:numPr>
        <w:tabs>
          <w:tab w:val="clear" w:pos="1440"/>
        </w:tabs>
        <w:ind w:left="0" w:firstLine="0"/>
        <w:rPr>
          <w:spacing w:val="4"/>
        </w:rPr>
      </w:pPr>
      <w:r>
        <w:t xml:space="preserve">The State </w:t>
      </w:r>
      <w:r w:rsidR="00DC6AAE">
        <w:t xml:space="preserve">asserts that, in order to </w:t>
      </w:r>
      <w:r w:rsidR="00C002BA">
        <w:t xml:space="preserve">carry out this </w:t>
      </w:r>
      <w:r w:rsidR="00B31C72">
        <w:t xml:space="preserve">competitive </w:t>
      </w:r>
      <w:r w:rsidR="00C002BA">
        <w:t>selection process</w:t>
      </w:r>
      <w:r w:rsidR="009103D4">
        <w:t xml:space="preserve">, the rules </w:t>
      </w:r>
      <w:r w:rsidR="00FA33C5">
        <w:t xml:space="preserve">pertaining </w:t>
      </w:r>
      <w:r w:rsidR="009103D4">
        <w:t xml:space="preserve">to </w:t>
      </w:r>
      <w:r w:rsidR="001355FD">
        <w:t xml:space="preserve">workers with </w:t>
      </w:r>
      <w:r w:rsidR="00FA33C5">
        <w:t>some degree of disability</w:t>
      </w:r>
      <w:r w:rsidR="003D128B">
        <w:t xml:space="preserve"> were ap</w:t>
      </w:r>
      <w:r w:rsidR="00F24224">
        <w:t>plicable</w:t>
      </w:r>
      <w:r w:rsidR="003C3384">
        <w:t xml:space="preserve"> and, consequently, </w:t>
      </w:r>
      <w:r w:rsidR="000A036A">
        <w:t xml:space="preserve">special tests were performed on the alleged victim, because he obtained a score of 78.97 points on the general service workers tests and was therefore included </w:t>
      </w:r>
      <w:r w:rsidR="004D00EB">
        <w:t xml:space="preserve">on slate of three finalists </w:t>
      </w:r>
      <w:r w:rsidR="00272A82" w:rsidRPr="00771EED">
        <w:t xml:space="preserve">No. 16-2003 </w:t>
      </w:r>
      <w:r w:rsidR="004D00EB">
        <w:t xml:space="preserve">dated March </w:t>
      </w:r>
      <w:r w:rsidR="00272A82" w:rsidRPr="00771EED">
        <w:t>6</w:t>
      </w:r>
      <w:r w:rsidR="004D00EB">
        <w:t>,</w:t>
      </w:r>
      <w:r w:rsidR="00272A82" w:rsidRPr="00771EED">
        <w:t xml:space="preserve"> 2003.</w:t>
      </w:r>
      <w:r w:rsidR="00272A82" w:rsidRPr="00771EED">
        <w:rPr>
          <w:spacing w:val="4"/>
        </w:rPr>
        <w:t xml:space="preserve"> </w:t>
      </w:r>
      <w:r w:rsidR="001A29A9">
        <w:rPr>
          <w:spacing w:val="4"/>
        </w:rPr>
        <w:t xml:space="preserve">The State </w:t>
      </w:r>
      <w:r w:rsidR="00737300">
        <w:rPr>
          <w:spacing w:val="4"/>
        </w:rPr>
        <w:t xml:space="preserve">notes that the aforementioned slate of </w:t>
      </w:r>
      <w:r w:rsidR="00780DB9">
        <w:rPr>
          <w:spacing w:val="4"/>
        </w:rPr>
        <w:t xml:space="preserve">finalist </w:t>
      </w:r>
      <w:r w:rsidR="00737300">
        <w:rPr>
          <w:spacing w:val="4"/>
        </w:rPr>
        <w:t>candidates was submit</w:t>
      </w:r>
      <w:r w:rsidR="00FA622F">
        <w:rPr>
          <w:spacing w:val="4"/>
        </w:rPr>
        <w:t xml:space="preserve">ted </w:t>
      </w:r>
      <w:r w:rsidR="00D9218B">
        <w:rPr>
          <w:spacing w:val="4"/>
        </w:rPr>
        <w:t>to the consideration of the Coordinator of the Technical Unit for Supplying and Services</w:t>
      </w:r>
      <w:r w:rsidR="002B11A4">
        <w:rPr>
          <w:spacing w:val="4"/>
        </w:rPr>
        <w:t xml:space="preserve">, in order to proceed to the interview round, which took place </w:t>
      </w:r>
      <w:r w:rsidR="008F50BD">
        <w:rPr>
          <w:spacing w:val="4"/>
        </w:rPr>
        <w:t xml:space="preserve">on March 31, 2003, and the winning candidate was </w:t>
      </w:r>
      <w:r w:rsidR="00463E8D">
        <w:rPr>
          <w:spacing w:val="4"/>
        </w:rPr>
        <w:t xml:space="preserve">subsequently </w:t>
      </w:r>
      <w:r w:rsidR="008F50BD">
        <w:rPr>
          <w:spacing w:val="4"/>
        </w:rPr>
        <w:t xml:space="preserve">named. </w:t>
      </w:r>
    </w:p>
    <w:p w14:paraId="6DFB6ED1" w14:textId="77777777" w:rsidR="00272A82" w:rsidRPr="00771EED" w:rsidRDefault="00272A82" w:rsidP="00272A82">
      <w:pPr>
        <w:pStyle w:val="parrafos"/>
        <w:rPr>
          <w:spacing w:val="4"/>
        </w:rPr>
      </w:pPr>
    </w:p>
    <w:p w14:paraId="61D74820" w14:textId="77777777" w:rsidR="00272A82" w:rsidRPr="00771EED" w:rsidRDefault="000E71FC" w:rsidP="00272A82">
      <w:pPr>
        <w:pStyle w:val="parrafos"/>
        <w:numPr>
          <w:ilvl w:val="0"/>
          <w:numId w:val="106"/>
        </w:numPr>
        <w:tabs>
          <w:tab w:val="clear" w:pos="1440"/>
        </w:tabs>
        <w:ind w:left="0" w:firstLine="0"/>
        <w:rPr>
          <w:spacing w:val="4"/>
        </w:rPr>
      </w:pPr>
      <w:r>
        <w:rPr>
          <w:spacing w:val="4"/>
        </w:rPr>
        <w:t xml:space="preserve">It claims that the selection process was carried out in accordance with the </w:t>
      </w:r>
      <w:r w:rsidR="00C45FB9">
        <w:rPr>
          <w:spacing w:val="4"/>
        </w:rPr>
        <w:t xml:space="preserve">Civil Service </w:t>
      </w:r>
      <w:r w:rsidR="004D5B9D">
        <w:rPr>
          <w:spacing w:val="4"/>
        </w:rPr>
        <w:t>Statute</w:t>
      </w:r>
      <w:r w:rsidR="00F646B0">
        <w:rPr>
          <w:spacing w:val="4"/>
        </w:rPr>
        <w:t xml:space="preserve"> and </w:t>
      </w:r>
      <w:r w:rsidR="00042F36">
        <w:rPr>
          <w:spacing w:val="4"/>
        </w:rPr>
        <w:t xml:space="preserve">notes that </w:t>
      </w:r>
      <w:r w:rsidR="004772CC">
        <w:rPr>
          <w:spacing w:val="4"/>
        </w:rPr>
        <w:t xml:space="preserve">discretionary power may be exercised </w:t>
      </w:r>
      <w:r w:rsidR="00042F36">
        <w:rPr>
          <w:spacing w:val="4"/>
        </w:rPr>
        <w:t>in the afor</w:t>
      </w:r>
      <w:r w:rsidR="004772CC">
        <w:rPr>
          <w:spacing w:val="4"/>
        </w:rPr>
        <w:t>e</w:t>
      </w:r>
      <w:r w:rsidR="00183AA4">
        <w:rPr>
          <w:spacing w:val="4"/>
        </w:rPr>
        <w:t>mentioned</w:t>
      </w:r>
      <w:r w:rsidR="004772CC">
        <w:rPr>
          <w:spacing w:val="4"/>
        </w:rPr>
        <w:t xml:space="preserve"> selection process</w:t>
      </w:r>
      <w:r w:rsidR="00923FBF">
        <w:rPr>
          <w:spacing w:val="4"/>
        </w:rPr>
        <w:t xml:space="preserve"> and it is not mandatory to select the candidate with the highest score</w:t>
      </w:r>
      <w:r w:rsidR="004772CC">
        <w:rPr>
          <w:spacing w:val="4"/>
        </w:rPr>
        <w:t xml:space="preserve"> </w:t>
      </w:r>
      <w:r w:rsidR="00E05747">
        <w:rPr>
          <w:spacing w:val="4"/>
        </w:rPr>
        <w:t xml:space="preserve">since the three candidates making up the slate of finalists </w:t>
      </w:r>
      <w:r w:rsidR="003E58A9">
        <w:rPr>
          <w:spacing w:val="4"/>
        </w:rPr>
        <w:t xml:space="preserve">come into the interview on an equal footing. </w:t>
      </w:r>
      <w:r w:rsidR="005269B6">
        <w:rPr>
          <w:spacing w:val="4"/>
        </w:rPr>
        <w:t xml:space="preserve">It further contends that with respect to the time that Mr. Guevara Díaz </w:t>
      </w:r>
      <w:r w:rsidR="00111AD4">
        <w:rPr>
          <w:spacing w:val="4"/>
        </w:rPr>
        <w:t xml:space="preserve">worked </w:t>
      </w:r>
      <w:r w:rsidR="00934BD5">
        <w:rPr>
          <w:spacing w:val="4"/>
        </w:rPr>
        <w:t xml:space="preserve">on an interim basis for the Ministry of </w:t>
      </w:r>
      <w:r w:rsidR="0069016F">
        <w:rPr>
          <w:spacing w:val="4"/>
        </w:rPr>
        <w:t>Finance</w:t>
      </w:r>
      <w:r w:rsidR="00293F50">
        <w:rPr>
          <w:spacing w:val="4"/>
        </w:rPr>
        <w:t xml:space="preserve">, that said period </w:t>
      </w:r>
      <w:r w:rsidR="0041513B">
        <w:rPr>
          <w:spacing w:val="4"/>
        </w:rPr>
        <w:t xml:space="preserve">of time does not </w:t>
      </w:r>
      <w:r w:rsidR="00D15602">
        <w:rPr>
          <w:spacing w:val="4"/>
        </w:rPr>
        <w:t xml:space="preserve">automatically grant him permanent status in the position, as was established by the Constitutional Chamber of the Supreme Court. </w:t>
      </w:r>
      <w:r w:rsidR="00183AA4">
        <w:rPr>
          <w:spacing w:val="4"/>
        </w:rPr>
        <w:t xml:space="preserve"> </w:t>
      </w:r>
    </w:p>
    <w:p w14:paraId="1AF6EBBD" w14:textId="77777777" w:rsidR="00272A82" w:rsidRPr="00771EED" w:rsidRDefault="00272A82" w:rsidP="00272A82">
      <w:pPr>
        <w:pStyle w:val="parrafos"/>
      </w:pPr>
    </w:p>
    <w:p w14:paraId="0DBE6BA8" w14:textId="77777777" w:rsidR="00272A82" w:rsidRPr="00771EED" w:rsidRDefault="008A74EA" w:rsidP="00272A82">
      <w:pPr>
        <w:pStyle w:val="parrafos"/>
        <w:numPr>
          <w:ilvl w:val="0"/>
          <w:numId w:val="106"/>
        </w:numPr>
        <w:tabs>
          <w:tab w:val="clear" w:pos="1440"/>
        </w:tabs>
        <w:ind w:left="0" w:firstLine="0"/>
        <w:rPr>
          <w:spacing w:val="4"/>
        </w:rPr>
      </w:pPr>
      <w:r>
        <w:t xml:space="preserve">The State reports that Mr. </w:t>
      </w:r>
      <w:r w:rsidR="00272A82" w:rsidRPr="00771EED">
        <w:t xml:space="preserve">Guevara Díaz </w:t>
      </w:r>
      <w:r w:rsidR="009C4DFC">
        <w:t xml:space="preserve">was relieved of his duties as of June 16, 2003, because he was not selected to fill the vacant position, and he was properly notified of the situation </w:t>
      </w:r>
      <w:r w:rsidR="00D434F5">
        <w:t xml:space="preserve">on June 13, 2003, in an official letter dated June 12, 2003. </w:t>
      </w:r>
    </w:p>
    <w:p w14:paraId="5D34D622" w14:textId="77777777" w:rsidR="00272A82" w:rsidRPr="00771EED" w:rsidRDefault="00272A82" w:rsidP="00272A82">
      <w:pPr>
        <w:pStyle w:val="parrafos"/>
        <w:rPr>
          <w:spacing w:val="4"/>
        </w:rPr>
      </w:pPr>
    </w:p>
    <w:p w14:paraId="4F07C8D7" w14:textId="77777777" w:rsidR="00272A82" w:rsidRPr="00771EED" w:rsidRDefault="0046153F" w:rsidP="00272A82">
      <w:pPr>
        <w:pStyle w:val="parrafos"/>
        <w:numPr>
          <w:ilvl w:val="0"/>
          <w:numId w:val="106"/>
        </w:numPr>
        <w:tabs>
          <w:tab w:val="clear" w:pos="1440"/>
        </w:tabs>
        <w:ind w:left="0" w:firstLine="0"/>
        <w:rPr>
          <w:spacing w:val="4"/>
        </w:rPr>
      </w:pPr>
      <w:r>
        <w:rPr>
          <w:bCs/>
          <w:spacing w:val="4"/>
        </w:rPr>
        <w:t xml:space="preserve">It </w:t>
      </w:r>
      <w:r w:rsidR="00402E2B">
        <w:rPr>
          <w:bCs/>
          <w:spacing w:val="4"/>
        </w:rPr>
        <w:t xml:space="preserve">reports that on June 13, 2003, the Coordinator of the Technical Unit </w:t>
      </w:r>
      <w:r w:rsidR="00527E41">
        <w:rPr>
          <w:bCs/>
          <w:spacing w:val="4"/>
        </w:rPr>
        <w:t>for</w:t>
      </w:r>
      <w:r w:rsidR="00402E2B">
        <w:rPr>
          <w:bCs/>
          <w:spacing w:val="4"/>
        </w:rPr>
        <w:t xml:space="preserve"> Supply</w:t>
      </w:r>
      <w:r w:rsidR="00527E41">
        <w:rPr>
          <w:bCs/>
          <w:spacing w:val="4"/>
        </w:rPr>
        <w:t>ing</w:t>
      </w:r>
      <w:r w:rsidR="00402E2B">
        <w:rPr>
          <w:bCs/>
          <w:spacing w:val="4"/>
        </w:rPr>
        <w:t xml:space="preserve"> and Services </w:t>
      </w:r>
      <w:r w:rsidR="00272A82" w:rsidRPr="00771EED">
        <w:rPr>
          <w:spacing w:val="4"/>
        </w:rPr>
        <w:t>–</w:t>
      </w:r>
      <w:r w:rsidR="00FE1D24">
        <w:rPr>
          <w:spacing w:val="4"/>
        </w:rPr>
        <w:t>who was in charge of the selection process to fill the vacant position- issued an official letter noting that Luis Fernando’s behavior “has had a negative effect on his</w:t>
      </w:r>
      <w:r w:rsidR="007939A7">
        <w:rPr>
          <w:spacing w:val="4"/>
        </w:rPr>
        <w:t xml:space="preserve"> future employment and even his attitude </w:t>
      </w:r>
      <w:r w:rsidR="0034422F">
        <w:rPr>
          <w:spacing w:val="4"/>
        </w:rPr>
        <w:t xml:space="preserve">may impact </w:t>
      </w:r>
      <w:r w:rsidR="00DF5C49">
        <w:rPr>
          <w:spacing w:val="4"/>
        </w:rPr>
        <w:t>his personal</w:t>
      </w:r>
      <w:r w:rsidR="00510D6D">
        <w:rPr>
          <w:spacing w:val="4"/>
        </w:rPr>
        <w:t xml:space="preserve"> safety</w:t>
      </w:r>
      <w:r w:rsidR="00DF5C49">
        <w:rPr>
          <w:spacing w:val="4"/>
        </w:rPr>
        <w:t>, I reiterate because of the type of duties that are performed</w:t>
      </w:r>
      <w:r w:rsidR="00402439">
        <w:rPr>
          <w:spacing w:val="4"/>
        </w:rPr>
        <w:t xml:space="preserve"> and therefore suggest reconsidering his appointment,” </w:t>
      </w:r>
      <w:r w:rsidR="005B6D96">
        <w:rPr>
          <w:spacing w:val="4"/>
        </w:rPr>
        <w:t xml:space="preserve">to which </w:t>
      </w:r>
      <w:r w:rsidR="001F0BE4">
        <w:rPr>
          <w:spacing w:val="4"/>
        </w:rPr>
        <w:t xml:space="preserve">was attached </w:t>
      </w:r>
      <w:r w:rsidR="005B6D96">
        <w:rPr>
          <w:spacing w:val="4"/>
        </w:rPr>
        <w:t>a copy of the official letter of June 13, 2003</w:t>
      </w:r>
      <w:r w:rsidR="001F0BE4">
        <w:rPr>
          <w:spacing w:val="4"/>
        </w:rPr>
        <w:t xml:space="preserve">, signed by the </w:t>
      </w:r>
      <w:r w:rsidR="00E5631A">
        <w:rPr>
          <w:spacing w:val="4"/>
        </w:rPr>
        <w:t>H</w:t>
      </w:r>
      <w:r w:rsidR="001F0BE4">
        <w:rPr>
          <w:spacing w:val="4"/>
        </w:rPr>
        <w:t xml:space="preserve">ead of the </w:t>
      </w:r>
      <w:r w:rsidR="00E5631A">
        <w:rPr>
          <w:spacing w:val="4"/>
        </w:rPr>
        <w:t>M</w:t>
      </w:r>
      <w:r w:rsidR="001F0BE4">
        <w:rPr>
          <w:spacing w:val="4"/>
        </w:rPr>
        <w:t xml:space="preserve">aintenance </w:t>
      </w:r>
      <w:r w:rsidR="00C40118">
        <w:rPr>
          <w:spacing w:val="4"/>
        </w:rPr>
        <w:t>A</w:t>
      </w:r>
      <w:r w:rsidR="001F0BE4">
        <w:rPr>
          <w:spacing w:val="4"/>
        </w:rPr>
        <w:t>rea,</w:t>
      </w:r>
      <w:r w:rsidR="005F18F4">
        <w:rPr>
          <w:spacing w:val="4"/>
        </w:rPr>
        <w:t xml:space="preserve"> Mr. Guevara Díaz’s immediate </w:t>
      </w:r>
      <w:r w:rsidR="009275F3">
        <w:rPr>
          <w:spacing w:val="4"/>
        </w:rPr>
        <w:t xml:space="preserve">supervisor </w:t>
      </w:r>
      <w:r w:rsidR="00F66C31">
        <w:rPr>
          <w:spacing w:val="4"/>
        </w:rPr>
        <w:t xml:space="preserve">to </w:t>
      </w:r>
      <w:r w:rsidR="001A5BB7">
        <w:rPr>
          <w:spacing w:val="4"/>
        </w:rPr>
        <w:t xml:space="preserve">whom </w:t>
      </w:r>
      <w:r w:rsidR="00F66C31">
        <w:rPr>
          <w:spacing w:val="4"/>
        </w:rPr>
        <w:t xml:space="preserve">the petitioners make reference. </w:t>
      </w:r>
    </w:p>
    <w:p w14:paraId="78B0CEEC" w14:textId="77777777" w:rsidR="00272A82" w:rsidRPr="00771EED" w:rsidRDefault="00272A82" w:rsidP="00272A82">
      <w:pPr>
        <w:pStyle w:val="parrafos"/>
        <w:rPr>
          <w:spacing w:val="4"/>
        </w:rPr>
      </w:pPr>
    </w:p>
    <w:p w14:paraId="31FF2660" w14:textId="77777777" w:rsidR="00272A82" w:rsidRPr="00771EED" w:rsidRDefault="00272A82" w:rsidP="00272A82">
      <w:pPr>
        <w:pStyle w:val="parrafos"/>
        <w:numPr>
          <w:ilvl w:val="0"/>
          <w:numId w:val="106"/>
        </w:numPr>
        <w:tabs>
          <w:tab w:val="clear" w:pos="1440"/>
        </w:tabs>
        <w:ind w:left="0" w:firstLine="0"/>
        <w:rPr>
          <w:spacing w:val="4"/>
        </w:rPr>
      </w:pPr>
      <w:r w:rsidRPr="00771EED">
        <w:rPr>
          <w:spacing w:val="4"/>
        </w:rPr>
        <w:t xml:space="preserve"> </w:t>
      </w:r>
      <w:r w:rsidR="00E64267">
        <w:rPr>
          <w:spacing w:val="4"/>
        </w:rPr>
        <w:t xml:space="preserve">The State argues that the </w:t>
      </w:r>
      <w:r w:rsidR="00264481">
        <w:rPr>
          <w:spacing w:val="4"/>
        </w:rPr>
        <w:t xml:space="preserve">Head </w:t>
      </w:r>
      <w:r w:rsidR="00E64267">
        <w:rPr>
          <w:spacing w:val="4"/>
        </w:rPr>
        <w:t xml:space="preserve">of </w:t>
      </w:r>
      <w:r w:rsidR="00264481">
        <w:rPr>
          <w:spacing w:val="4"/>
        </w:rPr>
        <w:t xml:space="preserve">the Maintenance </w:t>
      </w:r>
      <w:r w:rsidR="00E64267">
        <w:rPr>
          <w:spacing w:val="4"/>
        </w:rPr>
        <w:t xml:space="preserve">Area </w:t>
      </w:r>
      <w:r w:rsidR="00FD7549">
        <w:rPr>
          <w:spacing w:val="4"/>
        </w:rPr>
        <w:t xml:space="preserve">did not directly take part in the choice of the candidates and that both official letters were received in the Technical </w:t>
      </w:r>
      <w:r w:rsidR="00AD342D">
        <w:rPr>
          <w:spacing w:val="4"/>
        </w:rPr>
        <w:t xml:space="preserve">Unit for </w:t>
      </w:r>
      <w:r w:rsidR="00FD7549">
        <w:rPr>
          <w:spacing w:val="4"/>
        </w:rPr>
        <w:t xml:space="preserve">Human Resources on June 13, 2003, that is, one day after the official letter </w:t>
      </w:r>
      <w:r w:rsidR="009D4C51">
        <w:rPr>
          <w:spacing w:val="4"/>
        </w:rPr>
        <w:t xml:space="preserve">dismissing </w:t>
      </w:r>
      <w:r w:rsidR="005D0297">
        <w:rPr>
          <w:spacing w:val="4"/>
        </w:rPr>
        <w:t xml:space="preserve">Mr. Guevara Díaz. </w:t>
      </w:r>
      <w:r w:rsidR="005B23E1">
        <w:rPr>
          <w:spacing w:val="4"/>
        </w:rPr>
        <w:t xml:space="preserve">The State </w:t>
      </w:r>
      <w:r w:rsidR="00ED03FC">
        <w:rPr>
          <w:spacing w:val="4"/>
        </w:rPr>
        <w:t>asserts that the fact of notif</w:t>
      </w:r>
      <w:r w:rsidR="00656966">
        <w:rPr>
          <w:spacing w:val="4"/>
        </w:rPr>
        <w:t>ying</w:t>
      </w:r>
      <w:r w:rsidR="00ED03FC">
        <w:rPr>
          <w:spacing w:val="4"/>
        </w:rPr>
        <w:t xml:space="preserve"> Mr. Guevara Díaz of the </w:t>
      </w:r>
      <w:r w:rsidR="00F029DD">
        <w:rPr>
          <w:spacing w:val="4"/>
        </w:rPr>
        <w:t xml:space="preserve">termination </w:t>
      </w:r>
      <w:r w:rsidR="00ED03FC">
        <w:rPr>
          <w:spacing w:val="4"/>
        </w:rPr>
        <w:t xml:space="preserve">on the same day that </w:t>
      </w:r>
      <w:r w:rsidR="00C63771">
        <w:rPr>
          <w:spacing w:val="4"/>
        </w:rPr>
        <w:t xml:space="preserve">the above-cited official letters were sent to the </w:t>
      </w:r>
      <w:r w:rsidR="000C1897">
        <w:rPr>
          <w:spacing w:val="4"/>
        </w:rPr>
        <w:t xml:space="preserve">Technical Unit </w:t>
      </w:r>
      <w:r w:rsidR="00CF2BC3">
        <w:rPr>
          <w:spacing w:val="4"/>
        </w:rPr>
        <w:t xml:space="preserve">for </w:t>
      </w:r>
      <w:r w:rsidR="000C1897">
        <w:rPr>
          <w:spacing w:val="4"/>
        </w:rPr>
        <w:t xml:space="preserve">Human Resources, </w:t>
      </w:r>
      <w:r w:rsidR="00C8140C">
        <w:rPr>
          <w:spacing w:val="4"/>
        </w:rPr>
        <w:t>is mere coincidence</w:t>
      </w:r>
      <w:r w:rsidR="00DC7FAD">
        <w:rPr>
          <w:spacing w:val="4"/>
        </w:rPr>
        <w:t>.</w:t>
      </w:r>
    </w:p>
    <w:p w14:paraId="2470076B" w14:textId="77777777" w:rsidR="00272A82" w:rsidRPr="00771EED" w:rsidRDefault="00272A82" w:rsidP="00272A82">
      <w:pPr>
        <w:pStyle w:val="parrafos"/>
        <w:rPr>
          <w:spacing w:val="4"/>
        </w:rPr>
      </w:pPr>
    </w:p>
    <w:p w14:paraId="78D965D7" w14:textId="77777777" w:rsidR="00272A82" w:rsidRPr="00771EED" w:rsidRDefault="007A3D37" w:rsidP="00272A82">
      <w:pPr>
        <w:pStyle w:val="parrafos"/>
        <w:numPr>
          <w:ilvl w:val="0"/>
          <w:numId w:val="106"/>
        </w:numPr>
        <w:tabs>
          <w:tab w:val="clear" w:pos="1440"/>
        </w:tabs>
        <w:ind w:left="0" w:firstLine="0"/>
        <w:rPr>
          <w:spacing w:val="4"/>
        </w:rPr>
      </w:pPr>
      <w:r>
        <w:rPr>
          <w:spacing w:val="4"/>
        </w:rPr>
        <w:t xml:space="preserve">It claims that on June 18, 2003, the alleged victim filed the </w:t>
      </w:r>
      <w:r w:rsidR="00B262FD">
        <w:rPr>
          <w:spacing w:val="4"/>
        </w:rPr>
        <w:t xml:space="preserve">appeal for reversal of </w:t>
      </w:r>
      <w:r>
        <w:rPr>
          <w:spacing w:val="4"/>
        </w:rPr>
        <w:t>decision</w:t>
      </w:r>
      <w:r w:rsidR="009F47A4">
        <w:rPr>
          <w:spacing w:val="4"/>
        </w:rPr>
        <w:t xml:space="preserve">, which was denied on July 11, 2003, when </w:t>
      </w:r>
      <w:r w:rsidR="00052A3C">
        <w:rPr>
          <w:spacing w:val="4"/>
        </w:rPr>
        <w:t>it was ruled that</w:t>
      </w:r>
      <w:r w:rsidR="000419EC">
        <w:rPr>
          <w:spacing w:val="4"/>
        </w:rPr>
        <w:t xml:space="preserve"> there were</w:t>
      </w:r>
      <w:r w:rsidR="00052A3C">
        <w:rPr>
          <w:spacing w:val="4"/>
        </w:rPr>
        <w:t xml:space="preserve"> no irregularities or </w:t>
      </w:r>
      <w:r w:rsidR="00CD39D4">
        <w:rPr>
          <w:spacing w:val="4"/>
        </w:rPr>
        <w:t>u</w:t>
      </w:r>
      <w:r w:rsidR="00052A3C">
        <w:rPr>
          <w:spacing w:val="4"/>
        </w:rPr>
        <w:t xml:space="preserve">nequal treatment </w:t>
      </w:r>
      <w:r w:rsidR="00B7794C">
        <w:rPr>
          <w:spacing w:val="4"/>
        </w:rPr>
        <w:t xml:space="preserve">in the competitive selection process in question. </w:t>
      </w:r>
    </w:p>
    <w:p w14:paraId="4724DE5E" w14:textId="77777777" w:rsidR="00272A82" w:rsidRPr="00771EED" w:rsidRDefault="00272A82" w:rsidP="00272A82">
      <w:pPr>
        <w:pStyle w:val="parrafos"/>
        <w:rPr>
          <w:spacing w:val="4"/>
        </w:rPr>
      </w:pPr>
    </w:p>
    <w:p w14:paraId="6C73A053" w14:textId="77777777" w:rsidR="00272A82" w:rsidRPr="00771EED" w:rsidRDefault="00272F5D" w:rsidP="00272A82">
      <w:pPr>
        <w:pStyle w:val="parrafos"/>
        <w:numPr>
          <w:ilvl w:val="0"/>
          <w:numId w:val="106"/>
        </w:numPr>
        <w:tabs>
          <w:tab w:val="clear" w:pos="1440"/>
        </w:tabs>
        <w:ind w:left="0" w:firstLine="0"/>
        <w:rPr>
          <w:spacing w:val="4"/>
        </w:rPr>
      </w:pPr>
      <w:r>
        <w:rPr>
          <w:spacing w:val="4"/>
        </w:rPr>
        <w:t xml:space="preserve">The State asserts that on August 5, </w:t>
      </w:r>
      <w:r w:rsidR="00272A82" w:rsidRPr="00771EED">
        <w:rPr>
          <w:spacing w:val="4"/>
        </w:rPr>
        <w:t>2003</w:t>
      </w:r>
      <w:r>
        <w:rPr>
          <w:spacing w:val="4"/>
        </w:rPr>
        <w:t xml:space="preserve">, the alleged victim filed an </w:t>
      </w:r>
      <w:r>
        <w:rPr>
          <w:i/>
          <w:iCs/>
          <w:spacing w:val="4"/>
        </w:rPr>
        <w:t xml:space="preserve">amparo </w:t>
      </w:r>
      <w:r>
        <w:rPr>
          <w:spacing w:val="4"/>
        </w:rPr>
        <w:t>claim against the Ministry of Finance with the</w:t>
      </w:r>
      <w:r w:rsidR="000E18B0">
        <w:rPr>
          <w:spacing w:val="4"/>
        </w:rPr>
        <w:t xml:space="preserve"> Constitutional Chamber of the Supreme Court, which was declared groundless by this court on February 14, 2005, as the Panel of Judges found that the alleged victim had full opportunity to participate in the competitive selection process to </w:t>
      </w:r>
      <w:r w:rsidR="00D76D24">
        <w:rPr>
          <w:spacing w:val="4"/>
        </w:rPr>
        <w:t xml:space="preserve">be appointed permanently </w:t>
      </w:r>
      <w:r w:rsidR="00FD50BD">
        <w:rPr>
          <w:spacing w:val="4"/>
        </w:rPr>
        <w:t xml:space="preserve">to the position that he had been performing on an interim basis. </w:t>
      </w:r>
      <w:r w:rsidR="00D81830">
        <w:rPr>
          <w:spacing w:val="4"/>
        </w:rPr>
        <w:t xml:space="preserve">It notes that this Chamber also found that the fact that </w:t>
      </w:r>
      <w:r w:rsidR="005F2E3C">
        <w:rPr>
          <w:spacing w:val="4"/>
        </w:rPr>
        <w:t>the alleged victim</w:t>
      </w:r>
      <w:r w:rsidR="00711D48">
        <w:rPr>
          <w:spacing w:val="4"/>
        </w:rPr>
        <w:t xml:space="preserve"> was given special tests</w:t>
      </w:r>
      <w:r w:rsidR="00567F52">
        <w:rPr>
          <w:spacing w:val="4"/>
        </w:rPr>
        <w:t xml:space="preserve">, which were assessed by a psychologist, </w:t>
      </w:r>
      <w:r w:rsidR="00F15FE0">
        <w:rPr>
          <w:spacing w:val="4"/>
        </w:rPr>
        <w:t xml:space="preserve">ensured </w:t>
      </w:r>
      <w:r w:rsidR="00622DE3">
        <w:rPr>
          <w:spacing w:val="4"/>
        </w:rPr>
        <w:t xml:space="preserve">that the appellant </w:t>
      </w:r>
      <w:r w:rsidR="00E302A5">
        <w:rPr>
          <w:spacing w:val="4"/>
        </w:rPr>
        <w:t xml:space="preserve">competed on an equal </w:t>
      </w:r>
      <w:r w:rsidR="003A4B05">
        <w:rPr>
          <w:spacing w:val="4"/>
        </w:rPr>
        <w:t xml:space="preserve">basis </w:t>
      </w:r>
      <w:r w:rsidR="00E302A5">
        <w:rPr>
          <w:spacing w:val="4"/>
        </w:rPr>
        <w:t xml:space="preserve">with the rest of the applicants. </w:t>
      </w:r>
    </w:p>
    <w:p w14:paraId="2ADA8ABD" w14:textId="77777777" w:rsidR="00272A82" w:rsidRPr="00771EED" w:rsidRDefault="00272A82" w:rsidP="00272A82">
      <w:pPr>
        <w:pStyle w:val="parrafos"/>
        <w:rPr>
          <w:spacing w:val="4"/>
        </w:rPr>
      </w:pPr>
    </w:p>
    <w:p w14:paraId="1D092E6F" w14:textId="77777777" w:rsidR="00272A82" w:rsidRPr="00771EED" w:rsidRDefault="00024747" w:rsidP="00272A82">
      <w:pPr>
        <w:pStyle w:val="parrafos"/>
        <w:numPr>
          <w:ilvl w:val="0"/>
          <w:numId w:val="106"/>
        </w:numPr>
        <w:tabs>
          <w:tab w:val="clear" w:pos="1440"/>
        </w:tabs>
        <w:ind w:left="0" w:firstLine="0"/>
        <w:rPr>
          <w:spacing w:val="4"/>
        </w:rPr>
      </w:pPr>
      <w:r>
        <w:rPr>
          <w:spacing w:val="4"/>
        </w:rPr>
        <w:t>Additionally, it argued that the</w:t>
      </w:r>
      <w:r w:rsidR="00256D00">
        <w:rPr>
          <w:spacing w:val="4"/>
        </w:rPr>
        <w:t xml:space="preserve"> officials’</w:t>
      </w:r>
      <w:r>
        <w:rPr>
          <w:spacing w:val="4"/>
        </w:rPr>
        <w:t xml:space="preserve"> specific choice</w:t>
      </w:r>
      <w:r w:rsidR="00E15A53">
        <w:rPr>
          <w:spacing w:val="4"/>
        </w:rPr>
        <w:t xml:space="preserve"> </w:t>
      </w:r>
      <w:r w:rsidR="000B7F42">
        <w:rPr>
          <w:spacing w:val="4"/>
        </w:rPr>
        <w:t xml:space="preserve">from </w:t>
      </w:r>
      <w:r w:rsidR="00E15A53">
        <w:rPr>
          <w:spacing w:val="4"/>
        </w:rPr>
        <w:t xml:space="preserve">the slate of three candidates </w:t>
      </w:r>
      <w:r w:rsidR="00677D1F">
        <w:rPr>
          <w:spacing w:val="4"/>
        </w:rPr>
        <w:t>is</w:t>
      </w:r>
      <w:r w:rsidR="00513F4F">
        <w:rPr>
          <w:spacing w:val="4"/>
        </w:rPr>
        <w:t xml:space="preserve"> based on</w:t>
      </w:r>
      <w:r w:rsidR="009F14EC">
        <w:rPr>
          <w:spacing w:val="4"/>
        </w:rPr>
        <w:t xml:space="preserve"> </w:t>
      </w:r>
      <w:r w:rsidR="00677D1F">
        <w:rPr>
          <w:spacing w:val="4"/>
        </w:rPr>
        <w:t xml:space="preserve">the exercise of discretionary powers of the administration, which was recognized by the Constitutional Chamber. </w:t>
      </w:r>
    </w:p>
    <w:p w14:paraId="04470D87" w14:textId="77777777" w:rsidR="00272A82" w:rsidRPr="00771EED" w:rsidRDefault="00272A82" w:rsidP="00272A82">
      <w:pPr>
        <w:pStyle w:val="parrafos"/>
        <w:rPr>
          <w:spacing w:val="4"/>
        </w:rPr>
      </w:pPr>
    </w:p>
    <w:p w14:paraId="34DEA62C" w14:textId="77777777" w:rsidR="00272A82" w:rsidRPr="00771EED" w:rsidRDefault="00E91746" w:rsidP="00272A82">
      <w:pPr>
        <w:pStyle w:val="parrafos"/>
        <w:numPr>
          <w:ilvl w:val="0"/>
          <w:numId w:val="106"/>
        </w:numPr>
        <w:tabs>
          <w:tab w:val="clear" w:pos="1440"/>
        </w:tabs>
        <w:ind w:left="0" w:firstLine="0"/>
        <w:rPr>
          <w:spacing w:val="4"/>
        </w:rPr>
      </w:pPr>
      <w:r>
        <w:rPr>
          <w:spacing w:val="4"/>
        </w:rPr>
        <w:t xml:space="preserve">As for </w:t>
      </w:r>
      <w:r w:rsidR="005244F2">
        <w:rPr>
          <w:spacing w:val="4"/>
        </w:rPr>
        <w:t xml:space="preserve">the </w:t>
      </w:r>
      <w:r w:rsidR="000A2F9C">
        <w:rPr>
          <w:spacing w:val="4"/>
        </w:rPr>
        <w:t>law</w:t>
      </w:r>
      <w:r w:rsidR="005244F2">
        <w:rPr>
          <w:spacing w:val="4"/>
        </w:rPr>
        <w:t xml:space="preserve">, </w:t>
      </w:r>
      <w:r w:rsidR="00FC6BDE">
        <w:rPr>
          <w:spacing w:val="4"/>
        </w:rPr>
        <w:t>the State</w:t>
      </w:r>
      <w:r w:rsidR="0003530F">
        <w:rPr>
          <w:spacing w:val="4"/>
        </w:rPr>
        <w:t xml:space="preserve"> contends that it did not violate</w:t>
      </w:r>
      <w:r w:rsidR="00217367">
        <w:rPr>
          <w:spacing w:val="4"/>
        </w:rPr>
        <w:t xml:space="preserve"> the principle of equality or the rights to a fair trial or judicial protection because the alleged victim had </w:t>
      </w:r>
      <w:r w:rsidR="00767B39">
        <w:rPr>
          <w:spacing w:val="4"/>
        </w:rPr>
        <w:t xml:space="preserve">equal access to participate in the </w:t>
      </w:r>
      <w:r w:rsidR="000B0142">
        <w:rPr>
          <w:spacing w:val="4"/>
        </w:rPr>
        <w:t xml:space="preserve">competitive </w:t>
      </w:r>
      <w:r w:rsidR="00767B39">
        <w:rPr>
          <w:spacing w:val="4"/>
        </w:rPr>
        <w:t>selection process</w:t>
      </w:r>
      <w:r w:rsidR="00CE0C39">
        <w:rPr>
          <w:spacing w:val="4"/>
        </w:rPr>
        <w:t xml:space="preserve"> </w:t>
      </w:r>
      <w:r w:rsidR="006C37F6">
        <w:rPr>
          <w:spacing w:val="4"/>
        </w:rPr>
        <w:t xml:space="preserve">along with the other </w:t>
      </w:r>
      <w:r w:rsidR="00D56952">
        <w:rPr>
          <w:spacing w:val="4"/>
        </w:rPr>
        <w:t xml:space="preserve">eligible </w:t>
      </w:r>
      <w:r w:rsidR="006C37F6">
        <w:rPr>
          <w:spacing w:val="4"/>
        </w:rPr>
        <w:t>applicants and candidates</w:t>
      </w:r>
      <w:r w:rsidR="003251A1">
        <w:rPr>
          <w:spacing w:val="4"/>
        </w:rPr>
        <w:t xml:space="preserve">, as well as timely and effective access to constitutional relief. </w:t>
      </w:r>
      <w:r w:rsidR="006C37F6">
        <w:rPr>
          <w:spacing w:val="4"/>
        </w:rPr>
        <w:t xml:space="preserve"> </w:t>
      </w:r>
      <w:r w:rsidR="00F01157">
        <w:rPr>
          <w:spacing w:val="4"/>
        </w:rPr>
        <w:t xml:space="preserve">In this regard, </w:t>
      </w:r>
      <w:r w:rsidR="001D4E90">
        <w:rPr>
          <w:spacing w:val="4"/>
        </w:rPr>
        <w:t>it</w:t>
      </w:r>
      <w:r w:rsidR="00F01157">
        <w:rPr>
          <w:spacing w:val="4"/>
        </w:rPr>
        <w:t xml:space="preserve"> asserts</w:t>
      </w:r>
      <w:r w:rsidR="00CC7BC9">
        <w:rPr>
          <w:spacing w:val="4"/>
        </w:rPr>
        <w:t xml:space="preserve"> that</w:t>
      </w:r>
      <w:r w:rsidR="00F01157">
        <w:rPr>
          <w:spacing w:val="4"/>
        </w:rPr>
        <w:t xml:space="preserve"> </w:t>
      </w:r>
      <w:r w:rsidR="002A0502">
        <w:rPr>
          <w:spacing w:val="4"/>
        </w:rPr>
        <w:t>the fact that a particular remedy is unfavorable</w:t>
      </w:r>
      <w:r w:rsidR="00F447D5">
        <w:rPr>
          <w:spacing w:val="4"/>
        </w:rPr>
        <w:t xml:space="preserve"> is not necessarily tantamount to a </w:t>
      </w:r>
      <w:r w:rsidR="002A0502">
        <w:rPr>
          <w:spacing w:val="4"/>
        </w:rPr>
        <w:t xml:space="preserve">violation of the right to judicial protection. </w:t>
      </w:r>
    </w:p>
    <w:p w14:paraId="5C99AD51" w14:textId="77777777" w:rsidR="00272A82" w:rsidRPr="00771EED" w:rsidRDefault="00272A82" w:rsidP="00272A82">
      <w:pPr>
        <w:pStyle w:val="parrafos"/>
        <w:rPr>
          <w:rFonts w:cs="Calibri"/>
        </w:rPr>
      </w:pPr>
    </w:p>
    <w:p w14:paraId="0E9AD345" w14:textId="77777777" w:rsidR="00272A82" w:rsidRPr="00771EED" w:rsidRDefault="00147482" w:rsidP="00272A82">
      <w:pPr>
        <w:pStyle w:val="Heading1"/>
      </w:pPr>
      <w:bookmarkStart w:id="39" w:name="_Toc34746173"/>
      <w:bookmarkStart w:id="40" w:name="_Toc446857989"/>
      <w:bookmarkStart w:id="41" w:name="_Toc37678660"/>
      <w:bookmarkStart w:id="42" w:name="_Toc37681808"/>
      <w:bookmarkStart w:id="43" w:name="_Toc42239526"/>
      <w:r>
        <w:t xml:space="preserve">FINDINGS OF FACT </w:t>
      </w:r>
      <w:bookmarkEnd w:id="39"/>
      <w:bookmarkEnd w:id="40"/>
      <w:bookmarkEnd w:id="41"/>
      <w:bookmarkEnd w:id="42"/>
      <w:bookmarkEnd w:id="43"/>
    </w:p>
    <w:p w14:paraId="64A7C58C" w14:textId="77777777" w:rsidR="00272A82" w:rsidRPr="00771EED" w:rsidRDefault="00272A82" w:rsidP="00272A82">
      <w:pPr>
        <w:pStyle w:val="parrafos"/>
      </w:pPr>
    </w:p>
    <w:p w14:paraId="135270A4" w14:textId="77777777" w:rsidR="00272A82" w:rsidRPr="00771EED" w:rsidRDefault="004E1E88" w:rsidP="00913F69">
      <w:pPr>
        <w:pStyle w:val="Heading2"/>
        <w:numPr>
          <w:ilvl w:val="0"/>
          <w:numId w:val="107"/>
        </w:numPr>
        <w:ind w:hanging="1080"/>
      </w:pPr>
      <w:bookmarkStart w:id="44" w:name="_Toc446857990"/>
      <w:bookmarkStart w:id="45" w:name="_Toc37678661"/>
      <w:bookmarkStart w:id="46" w:name="_Toc37681809"/>
      <w:bookmarkStart w:id="47" w:name="_Toc42239527"/>
      <w:r>
        <w:t xml:space="preserve">Interim appointment and competitive selection process </w:t>
      </w:r>
      <w:bookmarkEnd w:id="44"/>
      <w:bookmarkEnd w:id="45"/>
      <w:bookmarkEnd w:id="46"/>
      <w:bookmarkEnd w:id="47"/>
    </w:p>
    <w:p w14:paraId="5CB802D1" w14:textId="77777777" w:rsidR="00272A82" w:rsidRPr="00771EED" w:rsidRDefault="00272A82" w:rsidP="00272A82">
      <w:pPr>
        <w:pStyle w:val="parrafos"/>
      </w:pPr>
    </w:p>
    <w:p w14:paraId="1A50F175" w14:textId="77777777" w:rsidR="00272A82" w:rsidRPr="00771EED" w:rsidRDefault="00EF29E0" w:rsidP="00272A82">
      <w:pPr>
        <w:pStyle w:val="parrafos"/>
        <w:numPr>
          <w:ilvl w:val="0"/>
          <w:numId w:val="106"/>
        </w:numPr>
        <w:tabs>
          <w:tab w:val="clear" w:pos="1440"/>
        </w:tabs>
        <w:ind w:left="0" w:firstLine="0"/>
      </w:pPr>
      <w:r>
        <w:t xml:space="preserve">On June </w:t>
      </w:r>
      <w:r w:rsidR="00272A82" w:rsidRPr="00771EED">
        <w:t>1</w:t>
      </w:r>
      <w:r>
        <w:t>,</w:t>
      </w:r>
      <w:r w:rsidR="00272A82" w:rsidRPr="00771EED">
        <w:t xml:space="preserve"> 2001</w:t>
      </w:r>
      <w:r w:rsidR="00C75F4C">
        <w:t xml:space="preserve">, the alleged victim was appointed </w:t>
      </w:r>
      <w:r w:rsidR="00CE0CB6">
        <w:t xml:space="preserve">on an interim basis to </w:t>
      </w:r>
      <w:r w:rsidR="00C4731C">
        <w:t xml:space="preserve">position </w:t>
      </w:r>
      <w:r w:rsidR="00272A82" w:rsidRPr="00771EED">
        <w:t>010179</w:t>
      </w:r>
      <w:r w:rsidR="000E70E4">
        <w:t>, the</w:t>
      </w:r>
      <w:r w:rsidR="00272A82" w:rsidRPr="00771EED">
        <w:t xml:space="preserve"> </w:t>
      </w:r>
      <w:r w:rsidR="0015100A">
        <w:t xml:space="preserve">grade </w:t>
      </w:r>
      <w:r w:rsidR="00D51DC9">
        <w:t xml:space="preserve">of miscellaneous worker of the Ministry of Finance, to </w:t>
      </w:r>
      <w:r w:rsidR="002436D5">
        <w:t>begin serving on June 4, of the same year.</w:t>
      </w:r>
      <w:r w:rsidR="00272A82" w:rsidRPr="00771EED">
        <w:rPr>
          <w:rStyle w:val="FootnoteReference"/>
          <w:rFonts w:ascii="Cambria" w:hAnsi="Cambria"/>
          <w:sz w:val="18"/>
          <w:szCs w:val="18"/>
        </w:rPr>
        <w:footnoteReference w:id="3"/>
      </w:r>
    </w:p>
    <w:p w14:paraId="2E4BCDB4" w14:textId="77777777" w:rsidR="00272A82" w:rsidRPr="00771EED" w:rsidRDefault="00272A82" w:rsidP="00272A82">
      <w:pPr>
        <w:pStyle w:val="parrafos"/>
      </w:pPr>
      <w:r w:rsidRPr="00771EED">
        <w:t xml:space="preserve"> </w:t>
      </w:r>
    </w:p>
    <w:p w14:paraId="2D1F2EB6" w14:textId="77777777" w:rsidR="00272A82" w:rsidRPr="00771EED" w:rsidRDefault="002F7B10" w:rsidP="00272A82">
      <w:pPr>
        <w:pStyle w:val="parrafos"/>
        <w:numPr>
          <w:ilvl w:val="0"/>
          <w:numId w:val="106"/>
        </w:numPr>
        <w:tabs>
          <w:tab w:val="clear" w:pos="1440"/>
        </w:tabs>
        <w:ind w:left="0" w:firstLine="0"/>
      </w:pPr>
      <w:r>
        <w:t xml:space="preserve">Subsequently, the alleged victim </w:t>
      </w:r>
      <w:r w:rsidR="00612693">
        <w:t xml:space="preserve">entered a competitive selection process to be appointed to permanent status as a miscellaneous </w:t>
      </w:r>
      <w:r w:rsidR="004F464B">
        <w:t xml:space="preserve">worker. </w:t>
      </w:r>
      <w:r w:rsidR="003E58E8">
        <w:t xml:space="preserve">On March 6, 2003, the General Coordinator of </w:t>
      </w:r>
      <w:r w:rsidR="00D50C07">
        <w:t xml:space="preserve">Technical Unit </w:t>
      </w:r>
      <w:r w:rsidR="006171D6">
        <w:t>for</w:t>
      </w:r>
      <w:r w:rsidR="00D50C07">
        <w:t xml:space="preserve"> Human Resources forwarded a slate of three names as </w:t>
      </w:r>
      <w:r w:rsidR="00395B1F">
        <w:t xml:space="preserve">finalists for selection process </w:t>
      </w:r>
      <w:r w:rsidR="00272A82" w:rsidRPr="00771EED">
        <w:t>010179</w:t>
      </w:r>
      <w:r w:rsidR="00AA60DE">
        <w:t>, including the alleged v</w:t>
      </w:r>
      <w:r w:rsidR="002560BF">
        <w:t>i</w:t>
      </w:r>
      <w:r w:rsidR="00AA60DE">
        <w:t>ctim</w:t>
      </w:r>
      <w:r w:rsidR="002008AC">
        <w:t>, who had obtained</w:t>
      </w:r>
      <w:r w:rsidR="00AA60DE">
        <w:t xml:space="preserve"> the highest score. </w:t>
      </w:r>
      <w:r w:rsidR="00A61804">
        <w:t xml:space="preserve">In </w:t>
      </w:r>
      <w:r w:rsidR="00163026">
        <w:t xml:space="preserve">relevant portions of </w:t>
      </w:r>
      <w:r w:rsidR="00A61804">
        <w:t xml:space="preserve">this communication, she writes: </w:t>
      </w:r>
    </w:p>
    <w:p w14:paraId="204FB810" w14:textId="77777777" w:rsidR="00272A82" w:rsidRPr="00771EED" w:rsidRDefault="00272A82" w:rsidP="00272A82">
      <w:pPr>
        <w:pStyle w:val="citas"/>
        <w:ind w:right="27"/>
        <w:rPr>
          <w:lang w:val="en-US"/>
        </w:rPr>
      </w:pPr>
    </w:p>
    <w:p w14:paraId="2D54FD47" w14:textId="77777777" w:rsidR="00272A82" w:rsidRPr="00771EED" w:rsidRDefault="00272A82" w:rsidP="00272A82">
      <w:pPr>
        <w:pStyle w:val="citas"/>
        <w:ind w:right="27"/>
        <w:rPr>
          <w:lang w:val="en-US"/>
        </w:rPr>
      </w:pPr>
      <w:r w:rsidRPr="00771EED">
        <w:rPr>
          <w:lang w:val="en-US"/>
        </w:rPr>
        <w:t xml:space="preserve">(…) </w:t>
      </w:r>
      <w:r w:rsidR="00EA280B">
        <w:rPr>
          <w:lang w:val="en-US"/>
        </w:rPr>
        <w:t xml:space="preserve">we submit </w:t>
      </w:r>
      <w:r w:rsidR="00C34624">
        <w:rPr>
          <w:lang w:val="en-US"/>
        </w:rPr>
        <w:t xml:space="preserve">for your consideration the instant list </w:t>
      </w:r>
      <w:r w:rsidR="009063A3">
        <w:rPr>
          <w:lang w:val="en-US"/>
        </w:rPr>
        <w:t>to carry out</w:t>
      </w:r>
      <w:r w:rsidR="00C34624">
        <w:rPr>
          <w:lang w:val="en-US"/>
        </w:rPr>
        <w:t xml:space="preserve"> the appropriate selection: </w:t>
      </w:r>
    </w:p>
    <w:p w14:paraId="308560DD" w14:textId="77777777" w:rsidR="00272A82" w:rsidRPr="00771EED" w:rsidRDefault="00272A82" w:rsidP="00272A82">
      <w:pPr>
        <w:pStyle w:val="citas"/>
        <w:ind w:right="27"/>
        <w:rPr>
          <w:lang w:val="en-US"/>
        </w:rPr>
      </w:pPr>
    </w:p>
    <w:p w14:paraId="07E1D07C" w14:textId="77777777" w:rsidR="00272A82" w:rsidRPr="004E1E59" w:rsidRDefault="00272A82" w:rsidP="00272A82">
      <w:pPr>
        <w:pStyle w:val="citas"/>
        <w:ind w:right="27"/>
      </w:pPr>
      <w:r w:rsidRPr="004E1E59">
        <w:t>N</w:t>
      </w:r>
      <w:r w:rsidR="00D365BC" w:rsidRPr="004E1E59">
        <w:t>ame</w:t>
      </w:r>
      <w:r w:rsidRPr="004E1E59">
        <w:tab/>
      </w:r>
      <w:r w:rsidRPr="004E1E59">
        <w:tab/>
      </w:r>
      <w:r w:rsidRPr="004E1E59">
        <w:tab/>
        <w:t xml:space="preserve">                                                                      </w:t>
      </w:r>
      <w:r w:rsidR="00D365BC" w:rsidRPr="004E1E59">
        <w:t>Score</w:t>
      </w:r>
    </w:p>
    <w:p w14:paraId="7D07E27C" w14:textId="77777777" w:rsidR="00272A82" w:rsidRPr="004E1E59" w:rsidRDefault="00272A82" w:rsidP="00272A82">
      <w:pPr>
        <w:pStyle w:val="citas"/>
        <w:ind w:right="27"/>
      </w:pPr>
      <w:r w:rsidRPr="004E1E59">
        <w:t>Guevara Díaz Luis Fernando                                                                              78.97</w:t>
      </w:r>
    </w:p>
    <w:p w14:paraId="3288AD27" w14:textId="77777777" w:rsidR="00272A82" w:rsidRPr="004E1E59" w:rsidRDefault="00272A82" w:rsidP="00272A82">
      <w:pPr>
        <w:pStyle w:val="citas"/>
        <w:ind w:right="27"/>
      </w:pPr>
      <w:r w:rsidRPr="004E1E59">
        <w:t>Pérez Valerio Martha                                                                                            78.50</w:t>
      </w:r>
    </w:p>
    <w:p w14:paraId="40677F9E" w14:textId="77777777" w:rsidR="00272A82" w:rsidRPr="004E1E59" w:rsidRDefault="00272A82" w:rsidP="00272A82">
      <w:pPr>
        <w:pStyle w:val="citas"/>
        <w:ind w:right="27"/>
      </w:pPr>
      <w:r w:rsidRPr="004E1E59">
        <w:t>Pérez Cascante Leonardo                                                                                    78.49</w:t>
      </w:r>
      <w:r w:rsidRPr="00771EED">
        <w:rPr>
          <w:rStyle w:val="FootnoteReference"/>
          <w:szCs w:val="18"/>
          <w:lang w:val="en-US"/>
        </w:rPr>
        <w:footnoteReference w:id="4"/>
      </w:r>
    </w:p>
    <w:p w14:paraId="5D97B10E" w14:textId="77777777" w:rsidR="00272A82" w:rsidRPr="004E1E59" w:rsidRDefault="00272A82" w:rsidP="00272A82">
      <w:pPr>
        <w:pStyle w:val="parrafos"/>
        <w:rPr>
          <w:lang w:val="es-ES"/>
        </w:rPr>
      </w:pPr>
    </w:p>
    <w:p w14:paraId="1F704C11" w14:textId="77777777" w:rsidR="00272A82" w:rsidRPr="00771EED" w:rsidRDefault="006C7636" w:rsidP="00272A82">
      <w:pPr>
        <w:pStyle w:val="parrafos"/>
        <w:numPr>
          <w:ilvl w:val="0"/>
          <w:numId w:val="106"/>
        </w:numPr>
        <w:tabs>
          <w:tab w:val="clear" w:pos="1440"/>
        </w:tabs>
        <w:ind w:left="0" w:firstLine="0"/>
      </w:pPr>
      <w:r>
        <w:t xml:space="preserve">On March </w:t>
      </w:r>
      <w:r w:rsidR="00272A82" w:rsidRPr="00771EED">
        <w:t>31</w:t>
      </w:r>
      <w:r>
        <w:t>,</w:t>
      </w:r>
      <w:r w:rsidR="00272A82" w:rsidRPr="00771EED">
        <w:t xml:space="preserve"> 2003</w:t>
      </w:r>
      <w:r w:rsidR="00EB3C81">
        <w:t xml:space="preserve">, the alleged victim </w:t>
      </w:r>
      <w:r w:rsidR="00D23AB3">
        <w:t xml:space="preserve">was interviewed at the Technical Unit </w:t>
      </w:r>
      <w:r w:rsidR="00B449B8">
        <w:t>for</w:t>
      </w:r>
      <w:r w:rsidR="00D23AB3">
        <w:t xml:space="preserve"> Supply</w:t>
      </w:r>
      <w:r w:rsidR="00601CAE">
        <w:t>ing</w:t>
      </w:r>
      <w:r w:rsidR="00D23AB3">
        <w:t xml:space="preserve"> and General Services of the Ministry of Finance.</w:t>
      </w:r>
      <w:r w:rsidR="00272A82" w:rsidRPr="00771EED">
        <w:rPr>
          <w:rStyle w:val="FootnoteReference"/>
          <w:rFonts w:ascii="Cambria" w:hAnsi="Cambria"/>
          <w:sz w:val="18"/>
          <w:szCs w:val="18"/>
        </w:rPr>
        <w:footnoteReference w:id="5"/>
      </w:r>
      <w:r w:rsidR="00272A82" w:rsidRPr="00771EED">
        <w:t xml:space="preserve"> </w:t>
      </w:r>
    </w:p>
    <w:p w14:paraId="3222E3D2" w14:textId="77777777" w:rsidR="00272A82" w:rsidRPr="00771EED" w:rsidRDefault="00272A82" w:rsidP="00272A82">
      <w:pPr>
        <w:pStyle w:val="parrafos"/>
      </w:pPr>
    </w:p>
    <w:p w14:paraId="7F8AB93D" w14:textId="77777777" w:rsidR="00272A82" w:rsidRPr="00771EED" w:rsidRDefault="00B17AC5" w:rsidP="00272A82">
      <w:pPr>
        <w:pStyle w:val="parrafos"/>
        <w:numPr>
          <w:ilvl w:val="0"/>
          <w:numId w:val="106"/>
        </w:numPr>
        <w:tabs>
          <w:tab w:val="clear" w:pos="1440"/>
        </w:tabs>
        <w:ind w:left="0" w:firstLine="0"/>
      </w:pPr>
      <w:r>
        <w:t xml:space="preserve">On June </w:t>
      </w:r>
      <w:r w:rsidR="00272A82" w:rsidRPr="00771EED">
        <w:t>13</w:t>
      </w:r>
      <w:r>
        <w:t>,</w:t>
      </w:r>
      <w:r w:rsidR="00272A82" w:rsidRPr="00771EED">
        <w:t xml:space="preserve"> 2003</w:t>
      </w:r>
      <w:r w:rsidR="00CF40B1">
        <w:t xml:space="preserve">, the </w:t>
      </w:r>
      <w:r w:rsidR="001D0B22">
        <w:t xml:space="preserve">Head </w:t>
      </w:r>
      <w:r w:rsidR="00CF40B1">
        <w:t>of the Maintenance Area, the direct supervisor of the alleged victim</w:t>
      </w:r>
      <w:r w:rsidR="0027605E">
        <w:t>,</w:t>
      </w:r>
      <w:r w:rsidR="00CF40B1">
        <w:t xml:space="preserve"> sent </w:t>
      </w:r>
      <w:r w:rsidR="00F051AF">
        <w:t>official letter</w:t>
      </w:r>
      <w:r w:rsidR="00B92664">
        <w:t xml:space="preserve"> </w:t>
      </w:r>
      <w:r w:rsidR="00272A82" w:rsidRPr="00771EED">
        <w:t xml:space="preserve">44-2003 </w:t>
      </w:r>
      <w:r w:rsidR="00B92664">
        <w:t xml:space="preserve">to the </w:t>
      </w:r>
      <w:r w:rsidR="0027605E">
        <w:t xml:space="preserve">General </w:t>
      </w:r>
      <w:r w:rsidR="00B92664">
        <w:t xml:space="preserve">Coordinator of the Technical Unit </w:t>
      </w:r>
      <w:r w:rsidR="004925B2">
        <w:t>for</w:t>
      </w:r>
      <w:r w:rsidR="00B92664">
        <w:t xml:space="preserve"> Supply</w:t>
      </w:r>
      <w:r w:rsidR="00A1028C">
        <w:t>ing</w:t>
      </w:r>
      <w:r w:rsidR="00B92664">
        <w:t xml:space="preserve"> and Services requesting that </w:t>
      </w:r>
      <w:r w:rsidR="000A2434">
        <w:t xml:space="preserve">the alleged victim not be appointed </w:t>
      </w:r>
      <w:r w:rsidR="00A5627A">
        <w:t xml:space="preserve">to the position of miscellaneous worker for the following reasons: </w:t>
      </w:r>
    </w:p>
    <w:p w14:paraId="07F16415" w14:textId="77777777" w:rsidR="00272A82" w:rsidRPr="00771EED" w:rsidRDefault="00272A82" w:rsidP="00272A82">
      <w:pPr>
        <w:pStyle w:val="parrafos"/>
      </w:pPr>
    </w:p>
    <w:p w14:paraId="5299241D" w14:textId="77777777" w:rsidR="00272A82" w:rsidRPr="00771EED" w:rsidRDefault="00C02B94" w:rsidP="00272A82">
      <w:pPr>
        <w:pStyle w:val="citas"/>
        <w:ind w:right="27"/>
        <w:rPr>
          <w:lang w:val="en-US"/>
        </w:rPr>
      </w:pPr>
      <w:r>
        <w:rPr>
          <w:lang w:val="en-US"/>
        </w:rPr>
        <w:t>Since last June 4, 2001, Mr. Luis Fernando Guevara Días [sic] was appointed to position No 010179 on an interim basis, I want to state that despite the opportunities that have been provided to him in the fields of Maintenance as an assistant</w:t>
      </w:r>
      <w:r w:rsidR="00907A2A">
        <w:rPr>
          <w:lang w:val="en-US"/>
        </w:rPr>
        <w:t xml:space="preserve">, cleaning Buildings, Elevators and other things, his </w:t>
      </w:r>
      <w:r w:rsidR="0005408F">
        <w:rPr>
          <w:lang w:val="en-US"/>
        </w:rPr>
        <w:t xml:space="preserve">performance is not satisfactory. Based on the foregoing and by virtue of the need </w:t>
      </w:r>
      <w:r w:rsidR="00393BE6">
        <w:rPr>
          <w:lang w:val="en-US"/>
        </w:rPr>
        <w:t xml:space="preserve">we have </w:t>
      </w:r>
      <w:r w:rsidR="0005408F">
        <w:rPr>
          <w:lang w:val="en-US"/>
        </w:rPr>
        <w:t xml:space="preserve">for personnel, I request appointing another functional person to the position. </w:t>
      </w:r>
    </w:p>
    <w:p w14:paraId="580B4600" w14:textId="77777777" w:rsidR="00272A82" w:rsidRPr="00771EED" w:rsidRDefault="00272A82" w:rsidP="00272A82">
      <w:pPr>
        <w:pStyle w:val="citas"/>
        <w:ind w:right="27"/>
        <w:rPr>
          <w:lang w:val="en-US"/>
        </w:rPr>
      </w:pPr>
    </w:p>
    <w:p w14:paraId="43894332" w14:textId="77777777" w:rsidR="00272A82" w:rsidRPr="00771EED" w:rsidRDefault="007169AE" w:rsidP="00272A82">
      <w:pPr>
        <w:pStyle w:val="citas"/>
        <w:ind w:right="27"/>
        <w:rPr>
          <w:lang w:val="en-US"/>
        </w:rPr>
      </w:pPr>
      <w:r>
        <w:rPr>
          <w:lang w:val="en-US"/>
        </w:rPr>
        <w:t>Furthermore, I state to you that because of his problems of retardation and emotional block</w:t>
      </w:r>
      <w:r w:rsidR="00D8757D">
        <w:rPr>
          <w:lang w:val="en-US"/>
        </w:rPr>
        <w:t>age</w:t>
      </w:r>
      <w:r>
        <w:rPr>
          <w:lang w:val="en-US"/>
        </w:rPr>
        <w:t xml:space="preserve"> he suffers, (information provided by his mother), I consider him not to be an act [sic</w:t>
      </w:r>
      <w:r w:rsidR="00320127">
        <w:rPr>
          <w:lang w:val="en-US"/>
        </w:rPr>
        <w:t>: apt</w:t>
      </w:r>
      <w:r>
        <w:rPr>
          <w:lang w:val="en-US"/>
        </w:rPr>
        <w:t xml:space="preserve">] person </w:t>
      </w:r>
      <w:r w:rsidR="00B75F5D">
        <w:rPr>
          <w:lang w:val="en-US"/>
        </w:rPr>
        <w:t xml:space="preserve">for the position. If </w:t>
      </w:r>
      <w:r w:rsidR="00711D1C">
        <w:rPr>
          <w:lang w:val="en-US"/>
        </w:rPr>
        <w:t>we would like to help him there are several ways of doing so.</w:t>
      </w:r>
      <w:r w:rsidR="00272A82" w:rsidRPr="00771EED">
        <w:rPr>
          <w:rStyle w:val="FootnoteReference"/>
          <w:szCs w:val="18"/>
          <w:lang w:val="en-US"/>
        </w:rPr>
        <w:footnoteReference w:id="6"/>
      </w:r>
      <w:r w:rsidR="00272A82" w:rsidRPr="00771EED">
        <w:rPr>
          <w:lang w:val="en-US"/>
        </w:rPr>
        <w:t xml:space="preserve"> </w:t>
      </w:r>
    </w:p>
    <w:p w14:paraId="03E39CCD" w14:textId="77777777" w:rsidR="00272A82" w:rsidRPr="00771EED" w:rsidRDefault="00272A82" w:rsidP="00272A82">
      <w:pPr>
        <w:pStyle w:val="citas"/>
        <w:ind w:right="27"/>
        <w:rPr>
          <w:lang w:val="en-US"/>
        </w:rPr>
      </w:pPr>
    </w:p>
    <w:p w14:paraId="4E030A76" w14:textId="77777777" w:rsidR="00272A82" w:rsidRPr="00771EED" w:rsidRDefault="00B3472E" w:rsidP="00272A82">
      <w:pPr>
        <w:pStyle w:val="parrafos"/>
        <w:numPr>
          <w:ilvl w:val="0"/>
          <w:numId w:val="106"/>
        </w:numPr>
        <w:tabs>
          <w:tab w:val="clear" w:pos="1440"/>
        </w:tabs>
        <w:ind w:left="0" w:firstLine="0"/>
      </w:pPr>
      <w:r>
        <w:t>On that same date, the Coordinator of the</w:t>
      </w:r>
      <w:r w:rsidR="003563CF">
        <w:t xml:space="preserve"> Services and Supply</w:t>
      </w:r>
      <w:r w:rsidR="00673759">
        <w:t>ing</w:t>
      </w:r>
      <w:r>
        <w:t xml:space="preserve"> Technical Unit</w:t>
      </w:r>
      <w:r w:rsidR="006763B8">
        <w:t xml:space="preserve">, who was in charge of </w:t>
      </w:r>
      <w:r w:rsidR="00276E15">
        <w:t xml:space="preserve">conducting </w:t>
      </w:r>
      <w:r w:rsidR="006763B8">
        <w:t xml:space="preserve">competitive selection process </w:t>
      </w:r>
      <w:r w:rsidR="00272A82" w:rsidRPr="00771EED">
        <w:t>010179</w:t>
      </w:r>
      <w:r w:rsidR="00745B89">
        <w:t xml:space="preserve">, wrote an official letter to the </w:t>
      </w:r>
      <w:r w:rsidR="00D10BAE">
        <w:t xml:space="preserve">General </w:t>
      </w:r>
      <w:r w:rsidR="00745B89">
        <w:t xml:space="preserve">Coordinator of the </w:t>
      </w:r>
      <w:r w:rsidR="00711B3A">
        <w:t xml:space="preserve">Technical Unit for </w:t>
      </w:r>
      <w:r w:rsidR="00745B89">
        <w:t xml:space="preserve">Human Resources, requesting </w:t>
      </w:r>
      <w:r w:rsidR="00484A60">
        <w:t xml:space="preserve">reconsideration of the appointment of the alleged victim as follows: </w:t>
      </w:r>
      <w:r w:rsidR="00272A82" w:rsidRPr="00771EED">
        <w:t xml:space="preserve"> </w:t>
      </w:r>
    </w:p>
    <w:p w14:paraId="65B52E3A" w14:textId="77777777" w:rsidR="00272A82" w:rsidRPr="00771EED" w:rsidRDefault="00272A82" w:rsidP="00272A82">
      <w:pPr>
        <w:pStyle w:val="parrafos"/>
      </w:pPr>
    </w:p>
    <w:p w14:paraId="72BB4D58" w14:textId="77777777" w:rsidR="00272A82" w:rsidRPr="00771EED" w:rsidRDefault="009C4325" w:rsidP="00272A82">
      <w:pPr>
        <w:pStyle w:val="citas"/>
        <w:ind w:right="27"/>
        <w:rPr>
          <w:lang w:val="en-US"/>
        </w:rPr>
      </w:pPr>
      <w:r>
        <w:rPr>
          <w:lang w:val="en-US"/>
        </w:rPr>
        <w:t>Attached to th</w:t>
      </w:r>
      <w:r w:rsidR="002501B4">
        <w:rPr>
          <w:lang w:val="en-US"/>
        </w:rPr>
        <w:t>is</w:t>
      </w:r>
      <w:r>
        <w:rPr>
          <w:lang w:val="en-US"/>
        </w:rPr>
        <w:t xml:space="preserve"> letter</w:t>
      </w:r>
      <w:r w:rsidR="00B33E7D">
        <w:rPr>
          <w:lang w:val="en-US"/>
        </w:rPr>
        <w:t xml:space="preserve">, I am forwarding official letter </w:t>
      </w:r>
      <w:r w:rsidR="00272A82" w:rsidRPr="00771EED">
        <w:rPr>
          <w:lang w:val="en-US"/>
        </w:rPr>
        <w:t xml:space="preserve">044-2003 </w:t>
      </w:r>
      <w:r w:rsidR="00B33E7D">
        <w:rPr>
          <w:lang w:val="en-US"/>
        </w:rPr>
        <w:t xml:space="preserve">from Mr. </w:t>
      </w:r>
      <w:r w:rsidR="00272A82" w:rsidRPr="00771EED">
        <w:rPr>
          <w:lang w:val="en-US"/>
        </w:rPr>
        <w:t xml:space="preserve">German Mora Salazar, </w:t>
      </w:r>
      <w:r w:rsidR="00C77FFD">
        <w:rPr>
          <w:lang w:val="en-US"/>
        </w:rPr>
        <w:t xml:space="preserve">the person in charge of the maintenance and hygiene section, in relation to </w:t>
      </w:r>
      <w:r w:rsidR="003C5B0B">
        <w:rPr>
          <w:lang w:val="en-US"/>
        </w:rPr>
        <w:t xml:space="preserve">the employment </w:t>
      </w:r>
      <w:r w:rsidR="00FD2E39">
        <w:rPr>
          <w:lang w:val="en-US"/>
        </w:rPr>
        <w:t>future of worker Luis Fernando Guevara Díaz</w:t>
      </w:r>
      <w:r w:rsidR="00237A53">
        <w:rPr>
          <w:lang w:val="en-US"/>
        </w:rPr>
        <w:t xml:space="preserve"> and his potential appointment to a miscellaneous position. </w:t>
      </w:r>
    </w:p>
    <w:p w14:paraId="169326DA" w14:textId="77777777" w:rsidR="00272A82" w:rsidRPr="00771EED" w:rsidRDefault="00272A82" w:rsidP="00272A82">
      <w:pPr>
        <w:pStyle w:val="citas"/>
        <w:ind w:right="27"/>
        <w:rPr>
          <w:lang w:val="en-US"/>
        </w:rPr>
      </w:pPr>
    </w:p>
    <w:p w14:paraId="264632AB" w14:textId="77777777" w:rsidR="00272A82" w:rsidRPr="00771EED" w:rsidRDefault="003E5F97" w:rsidP="00272A82">
      <w:pPr>
        <w:pStyle w:val="citas"/>
        <w:ind w:right="27"/>
        <w:rPr>
          <w:lang w:val="en-US"/>
        </w:rPr>
      </w:pPr>
      <w:r>
        <w:rPr>
          <w:lang w:val="en-US"/>
        </w:rPr>
        <w:t xml:space="preserve">As can be </w:t>
      </w:r>
      <w:r w:rsidR="00E97581">
        <w:rPr>
          <w:lang w:val="en-US"/>
        </w:rPr>
        <w:t xml:space="preserve">surmised from what is mentioned in this official letter, because of the duties that he performs and the opportunities that he has been given in the position the performance of Don Luis Fernando </w:t>
      </w:r>
      <w:r w:rsidR="005060B8">
        <w:rPr>
          <w:lang w:val="en-US"/>
        </w:rPr>
        <w:t xml:space="preserve">has had a negative effect on his </w:t>
      </w:r>
      <w:r w:rsidR="003C5B0B">
        <w:rPr>
          <w:lang w:val="en-US"/>
        </w:rPr>
        <w:t xml:space="preserve">employment </w:t>
      </w:r>
      <w:r w:rsidR="005060B8">
        <w:rPr>
          <w:lang w:val="en-US"/>
        </w:rPr>
        <w:t>future and even his attitudes</w:t>
      </w:r>
      <w:r w:rsidR="00CA6B0D">
        <w:rPr>
          <w:lang w:val="en-US"/>
        </w:rPr>
        <w:t xml:space="preserve">, can affect his personal safety, I reiterate </w:t>
      </w:r>
      <w:r w:rsidR="00294C79">
        <w:rPr>
          <w:lang w:val="en-US"/>
        </w:rPr>
        <w:t>because of the type of duties that are carried out and therefore suggest reconsidering his appointment.</w:t>
      </w:r>
      <w:r w:rsidR="00272A82" w:rsidRPr="00771EED">
        <w:rPr>
          <w:rStyle w:val="FootnoteReference"/>
          <w:szCs w:val="18"/>
          <w:lang w:val="en-US"/>
        </w:rPr>
        <w:footnoteReference w:id="7"/>
      </w:r>
    </w:p>
    <w:p w14:paraId="6E1289CF" w14:textId="77777777" w:rsidR="00272A82" w:rsidRPr="00771EED" w:rsidRDefault="00272A82" w:rsidP="00272A82">
      <w:pPr>
        <w:pStyle w:val="citas"/>
        <w:ind w:left="0" w:right="27"/>
        <w:rPr>
          <w:lang w:val="en-US"/>
        </w:rPr>
      </w:pPr>
    </w:p>
    <w:p w14:paraId="583DB32C" w14:textId="77777777" w:rsidR="00272A82" w:rsidRPr="00771EED" w:rsidRDefault="00AE4F90" w:rsidP="00272A82">
      <w:pPr>
        <w:pStyle w:val="parrafos"/>
        <w:numPr>
          <w:ilvl w:val="0"/>
          <w:numId w:val="106"/>
        </w:numPr>
        <w:tabs>
          <w:tab w:val="clear" w:pos="1440"/>
        </w:tabs>
        <w:ind w:left="0" w:firstLine="0"/>
      </w:pPr>
      <w:r>
        <w:t xml:space="preserve">On June </w:t>
      </w:r>
      <w:r w:rsidR="00272A82" w:rsidRPr="00771EED">
        <w:t>13</w:t>
      </w:r>
      <w:r>
        <w:t>,</w:t>
      </w:r>
      <w:r w:rsidR="00272A82" w:rsidRPr="00771EED">
        <w:t xml:space="preserve"> 2003</w:t>
      </w:r>
      <w:r w:rsidR="004A0AC2">
        <w:t xml:space="preserve">, the Chief Officer and Administrative and Financial Director of the Ministry of Finance of Costa Rica informed the alleged victim that he was not selected in competitive hiring process </w:t>
      </w:r>
      <w:r w:rsidR="00272A82" w:rsidRPr="00771EED">
        <w:t xml:space="preserve">010179 </w:t>
      </w:r>
      <w:r w:rsidR="004A0AC2">
        <w:t>and therefore his interim appointment as a miscellaneous worker would terminate on June 16, 2003. He</w:t>
      </w:r>
      <w:r w:rsidR="00621281">
        <w:t xml:space="preserve"> stated to him that: </w:t>
      </w:r>
      <w:r w:rsidR="004A0AC2">
        <w:t xml:space="preserve"> </w:t>
      </w:r>
    </w:p>
    <w:p w14:paraId="520F8B41" w14:textId="77777777" w:rsidR="00272A82" w:rsidRPr="00771EED" w:rsidRDefault="00272A82" w:rsidP="00272A82">
      <w:pPr>
        <w:pStyle w:val="parrafos"/>
      </w:pPr>
    </w:p>
    <w:p w14:paraId="395E2883" w14:textId="77777777" w:rsidR="00272A82" w:rsidRPr="00771EED" w:rsidRDefault="00272A82" w:rsidP="00272A82">
      <w:pPr>
        <w:pStyle w:val="citas"/>
        <w:ind w:right="27"/>
        <w:rPr>
          <w:lang w:val="en-US"/>
        </w:rPr>
      </w:pPr>
      <w:r w:rsidRPr="00771EED">
        <w:rPr>
          <w:lang w:val="en-US"/>
        </w:rPr>
        <w:t xml:space="preserve">(…) </w:t>
      </w:r>
      <w:r w:rsidR="002A57E1">
        <w:rPr>
          <w:lang w:val="en-US"/>
        </w:rPr>
        <w:t xml:space="preserve">in accordance with Article </w:t>
      </w:r>
      <w:r w:rsidRPr="00771EED">
        <w:rPr>
          <w:lang w:val="en-US"/>
        </w:rPr>
        <w:t xml:space="preserve">121 </w:t>
      </w:r>
      <w:r w:rsidR="00276070">
        <w:rPr>
          <w:lang w:val="en-US"/>
        </w:rPr>
        <w:t xml:space="preserve">of the Autonomous Regulations of this Ministry which states: in the </w:t>
      </w:r>
      <w:r w:rsidR="002C6F97">
        <w:rPr>
          <w:lang w:val="en-US"/>
        </w:rPr>
        <w:t xml:space="preserve">case of </w:t>
      </w:r>
      <w:r w:rsidR="00276070">
        <w:rPr>
          <w:lang w:val="en-US"/>
        </w:rPr>
        <w:t>interim workers</w:t>
      </w:r>
      <w:r w:rsidR="00783EDB">
        <w:rPr>
          <w:lang w:val="en-US"/>
        </w:rPr>
        <w:t>, the</w:t>
      </w:r>
      <w:r w:rsidR="00F217DB">
        <w:rPr>
          <w:lang w:val="en-US"/>
        </w:rPr>
        <w:t>y</w:t>
      </w:r>
      <w:r w:rsidR="00276070">
        <w:rPr>
          <w:lang w:val="en-US"/>
        </w:rPr>
        <w:t xml:space="preserve"> terminate their service relationship: b) when a candidate is chosen from a slate of three candidates (a) to hold a permanent </w:t>
      </w:r>
      <w:r w:rsidR="00D85CCE">
        <w:rPr>
          <w:lang w:val="en-US"/>
        </w:rPr>
        <w:t xml:space="preserve">position. </w:t>
      </w:r>
    </w:p>
    <w:p w14:paraId="6C44F2A4" w14:textId="77777777" w:rsidR="00272A82" w:rsidRPr="00771EED" w:rsidRDefault="00272A82" w:rsidP="00272A82">
      <w:pPr>
        <w:pStyle w:val="citas"/>
        <w:ind w:right="27"/>
        <w:rPr>
          <w:lang w:val="en-US"/>
        </w:rPr>
      </w:pPr>
    </w:p>
    <w:p w14:paraId="2C1D819A" w14:textId="77777777" w:rsidR="00272A82" w:rsidRPr="00771EED" w:rsidRDefault="003B6832" w:rsidP="00272A82">
      <w:pPr>
        <w:pStyle w:val="citas"/>
        <w:ind w:right="27"/>
        <w:rPr>
          <w:lang w:val="en-US"/>
        </w:rPr>
      </w:pPr>
      <w:r>
        <w:rPr>
          <w:lang w:val="en-US"/>
        </w:rPr>
        <w:lastRenderedPageBreak/>
        <w:t xml:space="preserve">On behalf of this Institution, I thank you for the interest and </w:t>
      </w:r>
      <w:r w:rsidR="00FC0EEA">
        <w:rPr>
          <w:lang w:val="en-US"/>
        </w:rPr>
        <w:t xml:space="preserve">effectiveness that you have displayed in </w:t>
      </w:r>
      <w:r w:rsidR="00DF1CA6">
        <w:rPr>
          <w:lang w:val="en-US"/>
        </w:rPr>
        <w:t xml:space="preserve">the performance of the duties assigned during your labor relationship; and we reiterate to you our deepest desire to collaborate with you in any </w:t>
      </w:r>
      <w:r w:rsidR="00527577">
        <w:rPr>
          <w:lang w:val="en-US"/>
        </w:rPr>
        <w:t xml:space="preserve">step that is related to the administrative function of the institution </w:t>
      </w:r>
      <w:r w:rsidR="00272A82" w:rsidRPr="00771EED">
        <w:rPr>
          <w:lang w:val="en-US"/>
        </w:rPr>
        <w:t>(…)</w:t>
      </w:r>
      <w:r w:rsidR="000D6EB2">
        <w:rPr>
          <w:lang w:val="en-US"/>
        </w:rPr>
        <w:t>.</w:t>
      </w:r>
      <w:r w:rsidR="00272A82" w:rsidRPr="00771EED">
        <w:rPr>
          <w:rStyle w:val="FootnoteReference"/>
          <w:szCs w:val="18"/>
          <w:lang w:val="en-US"/>
        </w:rPr>
        <w:footnoteReference w:id="8"/>
      </w:r>
    </w:p>
    <w:p w14:paraId="0301CCE3" w14:textId="77777777" w:rsidR="00272A82" w:rsidRPr="00771EED" w:rsidRDefault="00272A82" w:rsidP="00272A82">
      <w:pPr>
        <w:pStyle w:val="parrafos"/>
      </w:pPr>
    </w:p>
    <w:p w14:paraId="771DCF11" w14:textId="77777777" w:rsidR="00272A82" w:rsidRPr="00771EED" w:rsidRDefault="006942EB" w:rsidP="00913F69">
      <w:pPr>
        <w:pStyle w:val="Heading2"/>
        <w:numPr>
          <w:ilvl w:val="0"/>
          <w:numId w:val="107"/>
        </w:numPr>
        <w:ind w:hanging="1080"/>
      </w:pPr>
      <w:bookmarkStart w:id="48" w:name="_Toc446857991"/>
      <w:bookmarkStart w:id="49" w:name="_Toc37678662"/>
      <w:bookmarkStart w:id="50" w:name="_Toc37681810"/>
      <w:bookmarkStart w:id="51" w:name="_Toc42239528"/>
      <w:r>
        <w:t xml:space="preserve">Appeal for reversal of decision </w:t>
      </w:r>
      <w:r w:rsidR="000657A2">
        <w:t>(</w:t>
      </w:r>
      <w:r w:rsidR="000657A2" w:rsidRPr="005D0368">
        <w:rPr>
          <w:i/>
          <w:iCs/>
        </w:rPr>
        <w:t xml:space="preserve">Recurso de </w:t>
      </w:r>
      <w:r w:rsidR="00272A82" w:rsidRPr="005D0368">
        <w:rPr>
          <w:i/>
          <w:iCs/>
        </w:rPr>
        <w:t>revocatoria</w:t>
      </w:r>
      <w:bookmarkEnd w:id="48"/>
      <w:bookmarkEnd w:id="49"/>
      <w:bookmarkEnd w:id="50"/>
      <w:bookmarkEnd w:id="51"/>
      <w:r w:rsidR="00766A68">
        <w:t>)</w:t>
      </w:r>
    </w:p>
    <w:p w14:paraId="4D9DBEA1" w14:textId="77777777" w:rsidR="00272A82" w:rsidRPr="00771EED" w:rsidRDefault="00272A82" w:rsidP="00272A82">
      <w:pPr>
        <w:pStyle w:val="parrafos"/>
      </w:pPr>
    </w:p>
    <w:p w14:paraId="37A71635" w14:textId="77777777" w:rsidR="00272A82" w:rsidRPr="00771EED" w:rsidRDefault="00377AE0" w:rsidP="00272A82">
      <w:pPr>
        <w:pStyle w:val="parrafos"/>
        <w:numPr>
          <w:ilvl w:val="0"/>
          <w:numId w:val="106"/>
        </w:numPr>
        <w:tabs>
          <w:tab w:val="clear" w:pos="1440"/>
        </w:tabs>
        <w:ind w:left="0" w:firstLine="0"/>
      </w:pPr>
      <w:r>
        <w:t xml:space="preserve">On June </w:t>
      </w:r>
      <w:r w:rsidR="00272A82" w:rsidRPr="00771EED">
        <w:t>18</w:t>
      </w:r>
      <w:r w:rsidR="007D7C51">
        <w:t>,</w:t>
      </w:r>
      <w:r w:rsidR="00272A82" w:rsidRPr="00771EED">
        <w:t xml:space="preserve"> 2003</w:t>
      </w:r>
      <w:r w:rsidR="001150FB">
        <w:t>,</w:t>
      </w:r>
      <w:r w:rsidR="000D16D6">
        <w:t xml:space="preserve"> the alleged victim filed a</w:t>
      </w:r>
      <w:r w:rsidR="006F6566">
        <w:t>n</w:t>
      </w:r>
      <w:r w:rsidR="000D16D6">
        <w:t xml:space="preserve"> “</w:t>
      </w:r>
      <w:r w:rsidR="00153D79">
        <w:t xml:space="preserve">appeal </w:t>
      </w:r>
      <w:r w:rsidR="005B4954">
        <w:t>for reversal</w:t>
      </w:r>
      <w:r w:rsidR="009E5D98">
        <w:t xml:space="preserve"> of decision</w:t>
      </w:r>
      <w:r w:rsidR="005B4954">
        <w:t xml:space="preserve"> and </w:t>
      </w:r>
      <w:r w:rsidR="00B715AE">
        <w:t xml:space="preserve">to </w:t>
      </w:r>
      <w:r w:rsidR="005B4954">
        <w:t>vacate</w:t>
      </w:r>
      <w:r w:rsidR="005A6FE0">
        <w:t xml:space="preserve"> </w:t>
      </w:r>
      <w:r w:rsidR="008D0F5E">
        <w:t>(</w:t>
      </w:r>
      <w:r w:rsidR="00272A82" w:rsidRPr="008D0F5E">
        <w:rPr>
          <w:i/>
          <w:iCs/>
        </w:rPr>
        <w:t>recurso de revocatoria con apelación en subsidio y nulidad absoluta</w:t>
      </w:r>
      <w:r w:rsidR="008D0F5E">
        <w:t>)</w:t>
      </w:r>
      <w:r w:rsidR="00272A82" w:rsidRPr="00771EED">
        <w:t xml:space="preserve"> </w:t>
      </w:r>
      <w:r w:rsidR="00174A94">
        <w:t>against the decision</w:t>
      </w:r>
      <w:r w:rsidR="00DC4080">
        <w:t xml:space="preserve"> that terminated him in his position. He argued that: </w:t>
      </w:r>
    </w:p>
    <w:p w14:paraId="200BC26D" w14:textId="77777777" w:rsidR="00272A82" w:rsidRPr="00771EED" w:rsidRDefault="00272A82" w:rsidP="00272A82">
      <w:pPr>
        <w:pStyle w:val="parrafos"/>
      </w:pPr>
    </w:p>
    <w:p w14:paraId="7E2E9AE6" w14:textId="77777777" w:rsidR="00272A82" w:rsidRPr="00771EED" w:rsidRDefault="00272A82" w:rsidP="00272A82">
      <w:pPr>
        <w:pStyle w:val="citas"/>
        <w:ind w:right="27"/>
        <w:rPr>
          <w:lang w:val="en-US"/>
        </w:rPr>
      </w:pPr>
      <w:r w:rsidRPr="00771EED">
        <w:rPr>
          <w:lang w:val="en-US"/>
        </w:rPr>
        <w:t xml:space="preserve">(…) </w:t>
      </w:r>
      <w:r w:rsidR="00443325">
        <w:rPr>
          <w:lang w:val="en-US"/>
        </w:rPr>
        <w:t xml:space="preserve">in accordance with the certification extended by CENARE </w:t>
      </w:r>
      <w:r w:rsidR="005C5582">
        <w:rPr>
          <w:lang w:val="en-US"/>
        </w:rPr>
        <w:t xml:space="preserve">on December 13, 1999, it attests that I </w:t>
      </w:r>
      <w:r w:rsidR="006A06B2">
        <w:rPr>
          <w:lang w:val="en-US"/>
        </w:rPr>
        <w:t xml:space="preserve">have </w:t>
      </w:r>
      <w:r w:rsidR="005C5582">
        <w:rPr>
          <w:lang w:val="en-US"/>
        </w:rPr>
        <w:t xml:space="preserve">“Mental Retardation with serious emotional blockage,” </w:t>
      </w:r>
      <w:r w:rsidR="004722E0">
        <w:rPr>
          <w:lang w:val="en-US"/>
        </w:rPr>
        <w:t>which makes me a person subject to application of Law 7600 and its Regulations and ILO Convention 159, in my case, they</w:t>
      </w:r>
      <w:r w:rsidR="00FC3D6F">
        <w:rPr>
          <w:lang w:val="en-US"/>
        </w:rPr>
        <w:t xml:space="preserve"> [these provisions]</w:t>
      </w:r>
      <w:r w:rsidR="004722E0">
        <w:rPr>
          <w:lang w:val="en-US"/>
        </w:rPr>
        <w:t xml:space="preserve"> have not been observed</w:t>
      </w:r>
      <w:r w:rsidR="00F3476F">
        <w:rPr>
          <w:lang w:val="en-US"/>
        </w:rPr>
        <w:t xml:space="preserve">, leaving me defenseless and </w:t>
      </w:r>
      <w:r w:rsidR="00C12A13">
        <w:rPr>
          <w:lang w:val="en-US"/>
        </w:rPr>
        <w:t>perpetrating</w:t>
      </w:r>
      <w:r w:rsidR="006012D0">
        <w:rPr>
          <w:lang w:val="en-US"/>
        </w:rPr>
        <w:t xml:space="preserve"> </w:t>
      </w:r>
      <w:r w:rsidR="003F0FFA">
        <w:rPr>
          <w:lang w:val="en-US"/>
        </w:rPr>
        <w:t xml:space="preserve">violations </w:t>
      </w:r>
      <w:r w:rsidR="006012D0">
        <w:rPr>
          <w:lang w:val="en-US"/>
        </w:rPr>
        <w:t xml:space="preserve">of due process and </w:t>
      </w:r>
      <w:r w:rsidR="00F70A16">
        <w:rPr>
          <w:lang w:val="en-US"/>
        </w:rPr>
        <w:t xml:space="preserve">the </w:t>
      </w:r>
      <w:r w:rsidR="006012D0">
        <w:rPr>
          <w:lang w:val="en-US"/>
        </w:rPr>
        <w:t xml:space="preserve">right to a defense. </w:t>
      </w:r>
    </w:p>
    <w:p w14:paraId="5CF95872" w14:textId="77777777" w:rsidR="00272A82" w:rsidRPr="00771EED" w:rsidRDefault="00272A82" w:rsidP="00272A82">
      <w:pPr>
        <w:pStyle w:val="citas"/>
        <w:ind w:right="27"/>
        <w:rPr>
          <w:lang w:val="en-US"/>
        </w:rPr>
      </w:pPr>
    </w:p>
    <w:p w14:paraId="64C30705" w14:textId="77777777" w:rsidR="00272A82" w:rsidRPr="00771EED" w:rsidRDefault="001F2CC1" w:rsidP="00272A82">
      <w:pPr>
        <w:pStyle w:val="citas"/>
        <w:ind w:right="27"/>
        <w:rPr>
          <w:lang w:val="en-US"/>
        </w:rPr>
      </w:pPr>
      <w:r>
        <w:rPr>
          <w:lang w:val="en-US"/>
        </w:rPr>
        <w:t xml:space="preserve">I am unaware whether in my case, the Ministry of Finance followed all of the rules that Law 7600 and the Regulation thereof establish, as well as ILO Convention 159, ratified on July 23, 1991. </w:t>
      </w:r>
      <w:r w:rsidR="00F123F5">
        <w:rPr>
          <w:lang w:val="en-US"/>
        </w:rPr>
        <w:t xml:space="preserve">These [rules] include: </w:t>
      </w:r>
      <w:r w:rsidR="00C1131D">
        <w:rPr>
          <w:lang w:val="en-US"/>
        </w:rPr>
        <w:t xml:space="preserve">determination </w:t>
      </w:r>
      <w:r w:rsidR="007D0A4C">
        <w:rPr>
          <w:lang w:val="en-US"/>
        </w:rPr>
        <w:t xml:space="preserve">in line with </w:t>
      </w:r>
      <w:r w:rsidR="00C1131D">
        <w:rPr>
          <w:lang w:val="en-US"/>
        </w:rPr>
        <w:t>professional criteria, what tasks could be performed in accordance with my human potential.</w:t>
      </w:r>
      <w:r w:rsidR="00823FA6">
        <w:rPr>
          <w:lang w:val="en-US"/>
        </w:rPr>
        <w:t xml:space="preserve">  Impeding </w:t>
      </w:r>
      <w:r w:rsidR="006C4697">
        <w:rPr>
          <w:lang w:val="en-US"/>
        </w:rPr>
        <w:t xml:space="preserve">me </w:t>
      </w:r>
      <w:r w:rsidR="00823FA6">
        <w:rPr>
          <w:lang w:val="en-US"/>
        </w:rPr>
        <w:t>from being in a function that injures my dignity. Or whether my superiors received technical directives to enable m</w:t>
      </w:r>
      <w:r w:rsidR="00372598">
        <w:rPr>
          <w:lang w:val="en-US"/>
        </w:rPr>
        <w:t xml:space="preserve">e to be better integrated </w:t>
      </w:r>
      <w:r w:rsidR="006E5D39">
        <w:rPr>
          <w:lang w:val="en-US"/>
        </w:rPr>
        <w:t>into</w:t>
      </w:r>
      <w:r w:rsidR="00372598">
        <w:rPr>
          <w:lang w:val="en-US"/>
        </w:rPr>
        <w:t xml:space="preserve"> the job</w:t>
      </w:r>
      <w:r w:rsidR="00AE425E">
        <w:rPr>
          <w:lang w:val="en-US"/>
        </w:rPr>
        <w:t>.</w:t>
      </w:r>
      <w:r w:rsidR="00272A82" w:rsidRPr="00771EED">
        <w:rPr>
          <w:lang w:val="en-US"/>
        </w:rPr>
        <w:t xml:space="preserve"> (…)</w:t>
      </w:r>
    </w:p>
    <w:p w14:paraId="28F14374" w14:textId="77777777" w:rsidR="00272A82" w:rsidRPr="00771EED" w:rsidRDefault="00272A82" w:rsidP="00272A82">
      <w:pPr>
        <w:pStyle w:val="citas"/>
        <w:ind w:right="27"/>
        <w:rPr>
          <w:lang w:val="en-US"/>
        </w:rPr>
      </w:pPr>
    </w:p>
    <w:p w14:paraId="4AB57D8D" w14:textId="77777777" w:rsidR="00272A82" w:rsidRPr="00771EED" w:rsidRDefault="000661F6" w:rsidP="00272A82">
      <w:pPr>
        <w:pStyle w:val="citas"/>
        <w:ind w:right="27"/>
        <w:rPr>
          <w:lang w:val="en-US"/>
        </w:rPr>
      </w:pPr>
      <w:r>
        <w:rPr>
          <w:lang w:val="en-US"/>
        </w:rPr>
        <w:t xml:space="preserve">From the formal point of view, there are a </w:t>
      </w:r>
      <w:r w:rsidR="00BA31B6">
        <w:rPr>
          <w:lang w:val="en-US"/>
        </w:rPr>
        <w:t xml:space="preserve">host </w:t>
      </w:r>
      <w:r>
        <w:rPr>
          <w:lang w:val="en-US"/>
        </w:rPr>
        <w:t xml:space="preserve">of severe omissions that lead to conclude there is no equal treatment, the criterion is that the ADMINISTRATIVE </w:t>
      </w:r>
      <w:r w:rsidR="00600296">
        <w:rPr>
          <w:lang w:val="en-US"/>
        </w:rPr>
        <w:t>DECISION</w:t>
      </w:r>
      <w:r>
        <w:rPr>
          <w:lang w:val="en-US"/>
        </w:rPr>
        <w:t xml:space="preserve"> of dismissal is NULL AND VOID in accordance with </w:t>
      </w:r>
      <w:r w:rsidR="001B66B4">
        <w:rPr>
          <w:lang w:val="en-US"/>
        </w:rPr>
        <w:t xml:space="preserve">Article 63 of Law 7600 </w:t>
      </w:r>
      <w:r w:rsidR="00272A82" w:rsidRPr="00771EED">
        <w:rPr>
          <w:lang w:val="en-US"/>
        </w:rPr>
        <w:t>(…)</w:t>
      </w:r>
      <w:r w:rsidR="00D9460E">
        <w:rPr>
          <w:lang w:val="en-US"/>
        </w:rPr>
        <w:t>.</w:t>
      </w:r>
      <w:r w:rsidR="00272A82" w:rsidRPr="00771EED">
        <w:rPr>
          <w:rStyle w:val="FootnoteReference"/>
          <w:szCs w:val="18"/>
          <w:lang w:val="en-US"/>
        </w:rPr>
        <w:footnoteReference w:id="9"/>
      </w:r>
    </w:p>
    <w:p w14:paraId="2F9E5DD8" w14:textId="77777777" w:rsidR="00272A82" w:rsidRPr="00771EED" w:rsidRDefault="00272A82" w:rsidP="00272A82">
      <w:pPr>
        <w:pStyle w:val="citas"/>
        <w:ind w:right="27"/>
        <w:rPr>
          <w:lang w:val="en-US"/>
        </w:rPr>
      </w:pPr>
    </w:p>
    <w:p w14:paraId="6982F637" w14:textId="77777777" w:rsidR="00272A82" w:rsidRPr="00771EED" w:rsidRDefault="00D9460E" w:rsidP="00272A82">
      <w:pPr>
        <w:pStyle w:val="parrafos"/>
        <w:numPr>
          <w:ilvl w:val="0"/>
          <w:numId w:val="106"/>
        </w:numPr>
        <w:tabs>
          <w:tab w:val="clear" w:pos="1440"/>
        </w:tabs>
        <w:ind w:left="0" w:firstLine="0"/>
      </w:pPr>
      <w:r>
        <w:t xml:space="preserve">On July 11, 2003, the Chief Officer and Administrative Directorate declared the motion groundless. In this regard, </w:t>
      </w:r>
      <w:r w:rsidR="00874103">
        <w:t>they</w:t>
      </w:r>
      <w:r w:rsidR="00C3069A">
        <w:t xml:space="preserve"> found that: </w:t>
      </w:r>
      <w:r>
        <w:t xml:space="preserve"> </w:t>
      </w:r>
    </w:p>
    <w:p w14:paraId="602C9882" w14:textId="77777777" w:rsidR="00272A82" w:rsidRPr="00771EED" w:rsidRDefault="00272A82" w:rsidP="00272A82">
      <w:pPr>
        <w:pStyle w:val="parrafos"/>
      </w:pPr>
    </w:p>
    <w:p w14:paraId="29E3AF16" w14:textId="77777777" w:rsidR="00272A82" w:rsidRPr="00771EED" w:rsidRDefault="00272A82" w:rsidP="00272A82">
      <w:pPr>
        <w:pStyle w:val="citas"/>
        <w:ind w:right="27"/>
        <w:rPr>
          <w:lang w:val="en-US"/>
        </w:rPr>
      </w:pPr>
      <w:r w:rsidRPr="00771EED">
        <w:rPr>
          <w:lang w:val="en-US"/>
        </w:rPr>
        <w:t xml:space="preserve">(…) </w:t>
      </w:r>
      <w:r w:rsidR="00E32340">
        <w:rPr>
          <w:lang w:val="en-US"/>
        </w:rPr>
        <w:t>this office does not find omissions or irr</w:t>
      </w:r>
      <w:r w:rsidR="004879D8">
        <w:rPr>
          <w:lang w:val="en-US"/>
        </w:rPr>
        <w:t>e</w:t>
      </w:r>
      <w:r w:rsidR="00E32340">
        <w:rPr>
          <w:lang w:val="en-US"/>
        </w:rPr>
        <w:t xml:space="preserve">gularities </w:t>
      </w:r>
      <w:r w:rsidR="00677760">
        <w:rPr>
          <w:lang w:val="en-US"/>
        </w:rPr>
        <w:t xml:space="preserve">in the </w:t>
      </w:r>
      <w:r w:rsidR="006A6390">
        <w:rPr>
          <w:lang w:val="en-US"/>
        </w:rPr>
        <w:t xml:space="preserve">proceeding </w:t>
      </w:r>
      <w:r w:rsidR="00493A07">
        <w:rPr>
          <w:lang w:val="en-US"/>
        </w:rPr>
        <w:t xml:space="preserve">that was brought </w:t>
      </w:r>
      <w:r w:rsidR="00EE4268">
        <w:rPr>
          <w:lang w:val="en-US"/>
        </w:rPr>
        <w:t xml:space="preserve">claiming </w:t>
      </w:r>
      <w:r w:rsidR="00493A07">
        <w:rPr>
          <w:lang w:val="en-US"/>
        </w:rPr>
        <w:t xml:space="preserve">unequal treatment, inasmuch as the particular process determined by law </w:t>
      </w:r>
      <w:r w:rsidR="007C1C47">
        <w:rPr>
          <w:lang w:val="en-US"/>
        </w:rPr>
        <w:t xml:space="preserve">for cases such as the one that concerns us </w:t>
      </w:r>
      <w:r w:rsidR="00493A07">
        <w:rPr>
          <w:lang w:val="en-US"/>
        </w:rPr>
        <w:t xml:space="preserve">has been </w:t>
      </w:r>
      <w:r w:rsidR="00955017">
        <w:rPr>
          <w:lang w:val="en-US"/>
        </w:rPr>
        <w:t xml:space="preserve">irrefutably abided </w:t>
      </w:r>
      <w:r w:rsidR="00333F6E">
        <w:rPr>
          <w:lang w:val="en-US"/>
        </w:rPr>
        <w:t>by</w:t>
      </w:r>
      <w:r w:rsidR="00A31791">
        <w:rPr>
          <w:lang w:val="en-US"/>
        </w:rPr>
        <w:t xml:space="preserve">, ensuring </w:t>
      </w:r>
      <w:r w:rsidR="00946079">
        <w:rPr>
          <w:lang w:val="en-US"/>
        </w:rPr>
        <w:t xml:space="preserve">that </w:t>
      </w:r>
      <w:r w:rsidR="00A31791">
        <w:rPr>
          <w:lang w:val="en-US"/>
        </w:rPr>
        <w:t xml:space="preserve">Mr. Guevara Díaz </w:t>
      </w:r>
      <w:r w:rsidR="00DB6977">
        <w:rPr>
          <w:lang w:val="en-US"/>
        </w:rPr>
        <w:t>participate</w:t>
      </w:r>
      <w:r w:rsidR="0035206C">
        <w:rPr>
          <w:lang w:val="en-US"/>
        </w:rPr>
        <w:t>d</w:t>
      </w:r>
      <w:r w:rsidR="00DB6977">
        <w:rPr>
          <w:lang w:val="en-US"/>
        </w:rPr>
        <w:t xml:space="preserve"> </w:t>
      </w:r>
      <w:r w:rsidR="00481752">
        <w:rPr>
          <w:lang w:val="en-US"/>
        </w:rPr>
        <w:t xml:space="preserve">on an equal </w:t>
      </w:r>
      <w:r w:rsidR="00B0698E">
        <w:rPr>
          <w:lang w:val="en-US"/>
        </w:rPr>
        <w:t xml:space="preserve">basis </w:t>
      </w:r>
      <w:r w:rsidR="00977CD8">
        <w:rPr>
          <w:lang w:val="en-US"/>
        </w:rPr>
        <w:t>with the other applicants of the competitive selection process and with the other eligible candidates</w:t>
      </w:r>
      <w:r w:rsidRPr="00771EED">
        <w:rPr>
          <w:lang w:val="en-US"/>
        </w:rPr>
        <w:t>.</w:t>
      </w:r>
      <w:r w:rsidR="004978AD">
        <w:rPr>
          <w:lang w:val="en-US"/>
        </w:rPr>
        <w:t xml:space="preserve"> </w:t>
      </w:r>
      <w:r w:rsidRPr="00771EED">
        <w:rPr>
          <w:lang w:val="en-US"/>
        </w:rPr>
        <w:t xml:space="preserve">(…) </w:t>
      </w:r>
      <w:r w:rsidR="007D2ADE">
        <w:rPr>
          <w:lang w:val="en-US"/>
        </w:rPr>
        <w:t xml:space="preserve">the time that he worked for this Ministry, on an interim basis, cannot be </w:t>
      </w:r>
      <w:r w:rsidR="00DE6D3E">
        <w:rPr>
          <w:lang w:val="en-US"/>
        </w:rPr>
        <w:t xml:space="preserve">regarded </w:t>
      </w:r>
      <w:r w:rsidR="003E35FB">
        <w:rPr>
          <w:lang w:val="en-US"/>
        </w:rPr>
        <w:t>as</w:t>
      </w:r>
      <w:r w:rsidR="00752E54">
        <w:rPr>
          <w:lang w:val="en-US"/>
        </w:rPr>
        <w:t xml:space="preserve"> qualify</w:t>
      </w:r>
      <w:r w:rsidR="003E35FB">
        <w:rPr>
          <w:lang w:val="en-US"/>
        </w:rPr>
        <w:t>ing</w:t>
      </w:r>
      <w:r w:rsidR="00752E54">
        <w:rPr>
          <w:lang w:val="en-US"/>
        </w:rPr>
        <w:t xml:space="preserve"> him for a permanent </w:t>
      </w:r>
      <w:r w:rsidR="009A7E06">
        <w:rPr>
          <w:lang w:val="en-US"/>
        </w:rPr>
        <w:t xml:space="preserve">position, as </w:t>
      </w:r>
      <w:r w:rsidR="00AF05B3">
        <w:rPr>
          <w:lang w:val="en-US"/>
        </w:rPr>
        <w:t xml:space="preserve">was </w:t>
      </w:r>
      <w:r w:rsidR="009A7E06">
        <w:rPr>
          <w:lang w:val="en-US"/>
        </w:rPr>
        <w:t xml:space="preserve">so established by the Constitutional Chamber </w:t>
      </w:r>
      <w:r w:rsidRPr="00771EED">
        <w:rPr>
          <w:lang w:val="en-US"/>
        </w:rPr>
        <w:t>(…)</w:t>
      </w:r>
      <w:r w:rsidR="0063034F">
        <w:rPr>
          <w:lang w:val="en-US"/>
        </w:rPr>
        <w:t>.</w:t>
      </w:r>
    </w:p>
    <w:p w14:paraId="1EC09C23" w14:textId="77777777" w:rsidR="00272A82" w:rsidRPr="00771EED" w:rsidRDefault="00272A82" w:rsidP="00272A82">
      <w:pPr>
        <w:pStyle w:val="citas"/>
        <w:ind w:right="27"/>
        <w:rPr>
          <w:lang w:val="en-US"/>
        </w:rPr>
      </w:pPr>
    </w:p>
    <w:p w14:paraId="5E32A695" w14:textId="77777777" w:rsidR="00272A82" w:rsidRPr="00771EED" w:rsidRDefault="00272A82" w:rsidP="00272A82">
      <w:pPr>
        <w:pStyle w:val="citas"/>
        <w:ind w:right="27"/>
        <w:rPr>
          <w:lang w:val="en-US"/>
        </w:rPr>
      </w:pPr>
      <w:r w:rsidRPr="00771EED">
        <w:rPr>
          <w:lang w:val="en-US"/>
        </w:rPr>
        <w:t xml:space="preserve">(…) </w:t>
      </w:r>
      <w:r w:rsidR="00E63B60">
        <w:rPr>
          <w:lang w:val="en-US"/>
        </w:rPr>
        <w:t>in</w:t>
      </w:r>
      <w:r w:rsidR="0063034F">
        <w:rPr>
          <w:lang w:val="en-US"/>
        </w:rPr>
        <w:t xml:space="preserve"> the case of Mr. </w:t>
      </w:r>
      <w:r w:rsidRPr="00771EED">
        <w:rPr>
          <w:lang w:val="en-US"/>
        </w:rPr>
        <w:t xml:space="preserve">Guevara Díaz, </w:t>
      </w:r>
      <w:r w:rsidR="00497BCB">
        <w:rPr>
          <w:lang w:val="en-US"/>
        </w:rPr>
        <w:t xml:space="preserve">the rules regulating </w:t>
      </w:r>
      <w:r w:rsidR="00D950D7">
        <w:rPr>
          <w:lang w:val="en-US"/>
        </w:rPr>
        <w:t xml:space="preserve">the subject matter of workers with some degree of disability were applied, by way of example it should be mentioned that special tests were </w:t>
      </w:r>
      <w:r w:rsidR="007F2F9F">
        <w:rPr>
          <w:lang w:val="en-US"/>
        </w:rPr>
        <w:t xml:space="preserve">given </w:t>
      </w:r>
      <w:r w:rsidR="00D950D7">
        <w:rPr>
          <w:lang w:val="en-US"/>
        </w:rPr>
        <w:t>to him, such as the specific test</w:t>
      </w:r>
      <w:r w:rsidR="00147688">
        <w:rPr>
          <w:lang w:val="en-US"/>
        </w:rPr>
        <w:t xml:space="preserve"> for miscellaneous </w:t>
      </w:r>
      <w:r w:rsidR="000D0E45">
        <w:rPr>
          <w:lang w:val="en-US"/>
        </w:rPr>
        <w:t>worker and mini-multiple choice questions were</w:t>
      </w:r>
      <w:r w:rsidR="00AF324B">
        <w:rPr>
          <w:lang w:val="en-US"/>
        </w:rPr>
        <w:t xml:space="preserve"> used</w:t>
      </w:r>
      <w:r w:rsidR="000D0E45">
        <w:rPr>
          <w:lang w:val="en-US"/>
        </w:rPr>
        <w:t xml:space="preserve">, because of his disability </w:t>
      </w:r>
      <w:r w:rsidRPr="00771EED">
        <w:rPr>
          <w:lang w:val="en-US"/>
        </w:rPr>
        <w:t>(…)</w:t>
      </w:r>
      <w:r w:rsidR="00F103C4">
        <w:rPr>
          <w:lang w:val="en-US"/>
        </w:rPr>
        <w:t>.</w:t>
      </w:r>
    </w:p>
    <w:p w14:paraId="582D80FD" w14:textId="77777777" w:rsidR="00272A82" w:rsidRPr="00771EED" w:rsidRDefault="00272A82" w:rsidP="00272A82">
      <w:pPr>
        <w:pStyle w:val="citas"/>
        <w:ind w:right="27"/>
        <w:rPr>
          <w:lang w:val="en-US"/>
        </w:rPr>
      </w:pPr>
    </w:p>
    <w:p w14:paraId="64BA4219" w14:textId="77777777" w:rsidR="00272A82" w:rsidRPr="00771EED" w:rsidRDefault="00272A82" w:rsidP="00272A82">
      <w:pPr>
        <w:pStyle w:val="citas"/>
        <w:ind w:right="27"/>
        <w:rPr>
          <w:lang w:val="en-US"/>
        </w:rPr>
      </w:pPr>
      <w:r w:rsidRPr="00771EED">
        <w:rPr>
          <w:lang w:val="en-US"/>
        </w:rPr>
        <w:t xml:space="preserve">(…) </w:t>
      </w:r>
      <w:r w:rsidR="00F103C4">
        <w:rPr>
          <w:lang w:val="en-US"/>
        </w:rPr>
        <w:t>Moreover</w:t>
      </w:r>
      <w:r w:rsidR="00BB5F24">
        <w:rPr>
          <w:lang w:val="en-US"/>
        </w:rPr>
        <w:t>,</w:t>
      </w:r>
      <w:r w:rsidR="00F103C4">
        <w:rPr>
          <w:lang w:val="en-US"/>
        </w:rPr>
        <w:t xml:space="preserve"> it should be noted that after reviewing the personnel file of Mr. Guevara Díaz, it was </w:t>
      </w:r>
      <w:r w:rsidR="00991886">
        <w:rPr>
          <w:lang w:val="en-US"/>
        </w:rPr>
        <w:t xml:space="preserve">determined that there was no report at all about what is termed “alleged unsuitable workplace conduct.” </w:t>
      </w:r>
      <w:r w:rsidR="000F6266">
        <w:rPr>
          <w:lang w:val="en-US"/>
        </w:rPr>
        <w:t xml:space="preserve">Nonetheless, on this point it should be noted that in using his discretionary power Mr. Eugenio Porras chose the candidate that he considered </w:t>
      </w:r>
      <w:r w:rsidR="00F87F9C">
        <w:rPr>
          <w:lang w:val="en-US"/>
        </w:rPr>
        <w:t xml:space="preserve">qualified to </w:t>
      </w:r>
      <w:r w:rsidR="00CE3B7C">
        <w:rPr>
          <w:lang w:val="en-US"/>
        </w:rPr>
        <w:t xml:space="preserve">perform the job, as was stated above; likewise through official letter </w:t>
      </w:r>
      <w:r w:rsidRPr="00771EED">
        <w:rPr>
          <w:lang w:val="en-US"/>
        </w:rPr>
        <w:t xml:space="preserve">UTAS-124-2003 </w:t>
      </w:r>
      <w:r w:rsidR="00012A06">
        <w:rPr>
          <w:lang w:val="en-US"/>
        </w:rPr>
        <w:t xml:space="preserve">he asserted that </w:t>
      </w:r>
      <w:r w:rsidRPr="00771EED">
        <w:rPr>
          <w:lang w:val="en-US"/>
        </w:rPr>
        <w:t xml:space="preserve"> “…</w:t>
      </w:r>
      <w:r w:rsidR="00012A06">
        <w:rPr>
          <w:lang w:val="en-US"/>
        </w:rPr>
        <w:t xml:space="preserve">the behavior of </w:t>
      </w:r>
      <w:r w:rsidR="005E187D">
        <w:rPr>
          <w:lang w:val="en-US"/>
        </w:rPr>
        <w:t xml:space="preserve">Don Luis Fernando has had a negative impact on his employment future and even his attitudes </w:t>
      </w:r>
      <w:r w:rsidR="00C07A7E">
        <w:rPr>
          <w:lang w:val="en-US"/>
        </w:rPr>
        <w:t xml:space="preserve">may </w:t>
      </w:r>
      <w:r w:rsidR="003422A8">
        <w:rPr>
          <w:lang w:val="en-US"/>
        </w:rPr>
        <w:t xml:space="preserve">affect </w:t>
      </w:r>
      <w:r w:rsidR="00C07A7E">
        <w:rPr>
          <w:lang w:val="en-US"/>
        </w:rPr>
        <w:t>his personal safety</w:t>
      </w:r>
      <w:r w:rsidR="00F32274">
        <w:rPr>
          <w:lang w:val="en-US"/>
        </w:rPr>
        <w:t xml:space="preserve">, I reiterate </w:t>
      </w:r>
      <w:r w:rsidR="003964DD">
        <w:rPr>
          <w:lang w:val="en-US"/>
        </w:rPr>
        <w:t xml:space="preserve">because of the type of duties that </w:t>
      </w:r>
      <w:r w:rsidR="00D57210">
        <w:rPr>
          <w:lang w:val="en-US"/>
        </w:rPr>
        <w:t xml:space="preserve">are </w:t>
      </w:r>
      <w:r w:rsidR="003964DD">
        <w:rPr>
          <w:lang w:val="en-US"/>
        </w:rPr>
        <w:t>carried out it is therefore suggested to reconsider his appointment.</w:t>
      </w:r>
      <w:r w:rsidRPr="00771EED">
        <w:rPr>
          <w:rStyle w:val="FootnoteReference"/>
          <w:szCs w:val="18"/>
          <w:lang w:val="en-US"/>
        </w:rPr>
        <w:footnoteReference w:id="10"/>
      </w:r>
      <w:r w:rsidRPr="00771EED">
        <w:rPr>
          <w:lang w:val="en-US"/>
        </w:rPr>
        <w:t xml:space="preserve"> </w:t>
      </w:r>
    </w:p>
    <w:p w14:paraId="5886B144" w14:textId="77777777" w:rsidR="00272A82" w:rsidRPr="00771EED" w:rsidRDefault="00272A82" w:rsidP="00272A82">
      <w:pPr>
        <w:pStyle w:val="parrafos"/>
      </w:pPr>
    </w:p>
    <w:p w14:paraId="424B6508" w14:textId="77777777" w:rsidR="00272A82" w:rsidRPr="00771EED" w:rsidRDefault="006C3A14" w:rsidP="00272A82">
      <w:pPr>
        <w:pStyle w:val="parrafos"/>
        <w:numPr>
          <w:ilvl w:val="0"/>
          <w:numId w:val="106"/>
        </w:numPr>
        <w:tabs>
          <w:tab w:val="clear" w:pos="1440"/>
        </w:tabs>
        <w:ind w:left="0" w:firstLine="0"/>
      </w:pPr>
      <w:r>
        <w:t xml:space="preserve">On July </w:t>
      </w:r>
      <w:r w:rsidR="00272A82" w:rsidRPr="00771EED">
        <w:t>7</w:t>
      </w:r>
      <w:r>
        <w:t>,</w:t>
      </w:r>
      <w:r w:rsidR="00272A82" w:rsidRPr="00771EED">
        <w:t xml:space="preserve"> 2003</w:t>
      </w:r>
      <w:r w:rsidR="008D4689">
        <w:t>, in response to a request for information, the</w:t>
      </w:r>
      <w:r w:rsidR="003A5C60" w:rsidRPr="003A5C60">
        <w:t xml:space="preserve"> </w:t>
      </w:r>
      <w:r w:rsidR="003A5C60">
        <w:t>General</w:t>
      </w:r>
      <w:r w:rsidR="008D4689">
        <w:t xml:space="preserve"> Coordinator </w:t>
      </w:r>
      <w:r w:rsidR="00C77EDB">
        <w:t xml:space="preserve">of the Technical Unit for Human Resources of the Ministry of Finance reported that the alleged victim obtained the highest score of the slate of three finalists of the competitive selection process in which he participated, but another person was selected. </w:t>
      </w:r>
      <w:r w:rsidR="006153FF">
        <w:t xml:space="preserve">She stated that: </w:t>
      </w:r>
      <w:r w:rsidR="00272A82" w:rsidRPr="00771EED">
        <w:t xml:space="preserve"> </w:t>
      </w:r>
    </w:p>
    <w:p w14:paraId="616FA9E3" w14:textId="77777777" w:rsidR="00272A82" w:rsidRPr="00771EED" w:rsidRDefault="00272A82" w:rsidP="00272A82">
      <w:pPr>
        <w:pStyle w:val="citas"/>
        <w:ind w:right="27"/>
        <w:rPr>
          <w:lang w:val="en-US"/>
        </w:rPr>
      </w:pPr>
    </w:p>
    <w:p w14:paraId="13D55C55" w14:textId="77777777" w:rsidR="00272A82" w:rsidRPr="00771EED" w:rsidRDefault="00272A82" w:rsidP="00272A82">
      <w:pPr>
        <w:pStyle w:val="citas"/>
        <w:ind w:right="27"/>
        <w:rPr>
          <w:lang w:val="en-US"/>
        </w:rPr>
      </w:pPr>
      <w:r w:rsidRPr="00771EED">
        <w:rPr>
          <w:lang w:val="en-US"/>
        </w:rPr>
        <w:lastRenderedPageBreak/>
        <w:t xml:space="preserve">(…) c. </w:t>
      </w:r>
      <w:r w:rsidR="00CD397F">
        <w:rPr>
          <w:lang w:val="en-US"/>
        </w:rPr>
        <w:t xml:space="preserve">the candidate chosen was Mr. </w:t>
      </w:r>
      <w:r w:rsidRPr="00771EED">
        <w:rPr>
          <w:lang w:val="en-US"/>
        </w:rPr>
        <w:t xml:space="preserve">Leonardo Pérez Cascante </w:t>
      </w:r>
      <w:r w:rsidR="00875E27">
        <w:rPr>
          <w:lang w:val="en-US"/>
        </w:rPr>
        <w:t>and his permanent appointment went into effect on June 16, of the current year.</w:t>
      </w:r>
    </w:p>
    <w:p w14:paraId="7B43EDCF" w14:textId="77777777" w:rsidR="00272A82" w:rsidRPr="00771EED" w:rsidRDefault="00272A82" w:rsidP="00272A82">
      <w:pPr>
        <w:pStyle w:val="citas"/>
        <w:ind w:right="27"/>
        <w:rPr>
          <w:lang w:val="en-US"/>
        </w:rPr>
      </w:pPr>
      <w:r w:rsidRPr="00771EED">
        <w:rPr>
          <w:lang w:val="en-US"/>
        </w:rPr>
        <w:t xml:space="preserve">d. </w:t>
      </w:r>
      <w:r w:rsidR="000D3D85">
        <w:rPr>
          <w:lang w:val="en-US"/>
        </w:rPr>
        <w:t xml:space="preserve">Furthermore, we </w:t>
      </w:r>
      <w:r w:rsidR="00EE63A0">
        <w:rPr>
          <w:lang w:val="en-US"/>
        </w:rPr>
        <w:t xml:space="preserve">inform </w:t>
      </w:r>
      <w:r w:rsidR="000D3D85">
        <w:rPr>
          <w:lang w:val="en-US"/>
        </w:rPr>
        <w:t xml:space="preserve">to you that Mr. Guevara Díaz obtained </w:t>
      </w:r>
      <w:r w:rsidR="00D61299">
        <w:rPr>
          <w:lang w:val="en-US"/>
        </w:rPr>
        <w:t>the score of</w:t>
      </w:r>
      <w:r w:rsidRPr="00771EED">
        <w:rPr>
          <w:lang w:val="en-US"/>
        </w:rPr>
        <w:t xml:space="preserve"> 78.97, </w:t>
      </w:r>
      <w:r w:rsidR="00140618">
        <w:rPr>
          <w:lang w:val="en-US"/>
        </w:rPr>
        <w:t>ranking first place of the three members of the slate of finalists.</w:t>
      </w:r>
    </w:p>
    <w:p w14:paraId="78072298" w14:textId="77777777" w:rsidR="00272A82" w:rsidRPr="00771EED" w:rsidRDefault="00272A82" w:rsidP="00272A82">
      <w:pPr>
        <w:pStyle w:val="citas"/>
        <w:ind w:right="27"/>
        <w:rPr>
          <w:lang w:val="en-US"/>
        </w:rPr>
      </w:pPr>
    </w:p>
    <w:p w14:paraId="44C71FEC" w14:textId="77777777" w:rsidR="00272A82" w:rsidRPr="00771EED" w:rsidRDefault="00272A82" w:rsidP="00272A82">
      <w:pPr>
        <w:pStyle w:val="citas"/>
        <w:ind w:right="27"/>
        <w:rPr>
          <w:lang w:val="en-US"/>
        </w:rPr>
      </w:pPr>
      <w:r w:rsidRPr="00771EED">
        <w:rPr>
          <w:lang w:val="en-US"/>
        </w:rPr>
        <w:t xml:space="preserve">e. </w:t>
      </w:r>
      <w:r w:rsidR="004B4FBB">
        <w:rPr>
          <w:lang w:val="en-US"/>
        </w:rPr>
        <w:t xml:space="preserve">In reviewing the personnel file of said worker it was determined that there is no report of any work-related problems or of conduct. </w:t>
      </w:r>
      <w:r w:rsidR="00340886">
        <w:rPr>
          <w:lang w:val="en-US"/>
        </w:rPr>
        <w:t>I</w:t>
      </w:r>
      <w:r w:rsidR="00AE6290">
        <w:rPr>
          <w:lang w:val="en-US"/>
        </w:rPr>
        <w:t xml:space="preserve"> must not fail </w:t>
      </w:r>
      <w:r w:rsidR="00340886">
        <w:rPr>
          <w:lang w:val="en-US"/>
        </w:rPr>
        <w:t xml:space="preserve">to mention that said choice was made by Engineer Eugenio Porras Vargas, General Coordinator of the Technical Unit for </w:t>
      </w:r>
      <w:r w:rsidR="009C132F">
        <w:rPr>
          <w:lang w:val="en-US"/>
        </w:rPr>
        <w:t xml:space="preserve">Supplying </w:t>
      </w:r>
      <w:r w:rsidR="00340886">
        <w:rPr>
          <w:lang w:val="en-US"/>
        </w:rPr>
        <w:t>and Services</w:t>
      </w:r>
      <w:r w:rsidR="003F40CB">
        <w:rPr>
          <w:lang w:val="en-US"/>
        </w:rPr>
        <w:t>.</w:t>
      </w:r>
      <w:r w:rsidRPr="00771EED">
        <w:rPr>
          <w:rStyle w:val="FootnoteReference"/>
          <w:szCs w:val="18"/>
          <w:lang w:val="en-US"/>
        </w:rPr>
        <w:footnoteReference w:id="11"/>
      </w:r>
    </w:p>
    <w:p w14:paraId="26208092" w14:textId="77777777" w:rsidR="00272A82" w:rsidRPr="00771EED" w:rsidRDefault="00272A82" w:rsidP="00272A82">
      <w:pPr>
        <w:pStyle w:val="parrafos"/>
      </w:pPr>
    </w:p>
    <w:p w14:paraId="47F120BA" w14:textId="77777777" w:rsidR="00272A82" w:rsidRPr="00771EED" w:rsidRDefault="00F35F1C" w:rsidP="00272A82">
      <w:pPr>
        <w:pStyle w:val="parrafos"/>
        <w:numPr>
          <w:ilvl w:val="0"/>
          <w:numId w:val="106"/>
        </w:numPr>
        <w:tabs>
          <w:tab w:val="clear" w:pos="1440"/>
        </w:tabs>
        <w:ind w:left="0" w:firstLine="0"/>
      </w:pPr>
      <w:r>
        <w:t xml:space="preserve">On July </w:t>
      </w:r>
      <w:r w:rsidR="00272A82" w:rsidRPr="00771EED">
        <w:t>22</w:t>
      </w:r>
      <w:r>
        <w:t>,</w:t>
      </w:r>
      <w:r w:rsidR="00272A82" w:rsidRPr="00771EED">
        <w:t xml:space="preserve"> 2003</w:t>
      </w:r>
      <w:r w:rsidR="001F170A">
        <w:t>, the Office of Legal Counsel of the National Council for Rehabilitation and Special Education issued a report concluding that because he was not selected for the miscellaneous worker position,</w:t>
      </w:r>
      <w:r w:rsidR="00697D46">
        <w:t xml:space="preserve"> the alleged victim’s </w:t>
      </w:r>
      <w:r w:rsidR="002D0FA9">
        <w:t xml:space="preserve">termination </w:t>
      </w:r>
      <w:r w:rsidR="00FA613B">
        <w:t xml:space="preserve">constituted a violation of the Law of Equal Opportunities for Persons with Disability and a discriminatory </w:t>
      </w:r>
      <w:r w:rsidR="00546AD7">
        <w:t>work access</w:t>
      </w:r>
      <w:r w:rsidR="00B06AAB">
        <w:t xml:space="preserve"> decision</w:t>
      </w:r>
      <w:r w:rsidR="00637CA8">
        <w:t xml:space="preserve">. </w:t>
      </w:r>
      <w:r w:rsidR="002952A5">
        <w:t xml:space="preserve">In said report, it </w:t>
      </w:r>
      <w:r w:rsidR="00325C49">
        <w:t>is noted</w:t>
      </w:r>
      <w:r w:rsidR="002952A5">
        <w:t xml:space="preserve">: </w:t>
      </w:r>
      <w:r w:rsidR="00FA613B">
        <w:t xml:space="preserve"> </w:t>
      </w:r>
    </w:p>
    <w:p w14:paraId="0881688C" w14:textId="77777777" w:rsidR="00272A82" w:rsidRPr="00771EED" w:rsidRDefault="00272A82" w:rsidP="00272A82">
      <w:pPr>
        <w:pStyle w:val="parrafos"/>
      </w:pPr>
    </w:p>
    <w:p w14:paraId="679488B1" w14:textId="77777777" w:rsidR="00272A82" w:rsidRPr="00771EED" w:rsidRDefault="00272A82" w:rsidP="00272A82">
      <w:pPr>
        <w:pStyle w:val="citas"/>
        <w:ind w:right="27"/>
        <w:rPr>
          <w:lang w:val="en-US"/>
        </w:rPr>
      </w:pPr>
      <w:r w:rsidRPr="00771EED">
        <w:rPr>
          <w:lang w:val="en-US"/>
        </w:rPr>
        <w:t xml:space="preserve">(…) </w:t>
      </w:r>
      <w:r w:rsidR="005B2B35">
        <w:rPr>
          <w:lang w:val="en-US"/>
        </w:rPr>
        <w:t xml:space="preserve">Mr. </w:t>
      </w:r>
      <w:r w:rsidRPr="00771EED">
        <w:rPr>
          <w:lang w:val="en-US"/>
        </w:rPr>
        <w:t xml:space="preserve">Guevara Díaz </w:t>
      </w:r>
      <w:r w:rsidR="00D27AC7">
        <w:rPr>
          <w:lang w:val="en-US"/>
        </w:rPr>
        <w:t xml:space="preserve">was removed from the position that he had been holding because he was submitted to a public competitive selection process and even though Mr. Guevara was assessed as qualified: it was determined to give the position to another candidate. </w:t>
      </w:r>
      <w:r w:rsidR="00FE0EE6">
        <w:rPr>
          <w:lang w:val="en-US"/>
        </w:rPr>
        <w:t xml:space="preserve">The </w:t>
      </w:r>
      <w:r w:rsidR="00F2553D">
        <w:rPr>
          <w:lang w:val="en-US"/>
        </w:rPr>
        <w:t xml:space="preserve">stance </w:t>
      </w:r>
      <w:r w:rsidR="00FE0EE6">
        <w:rPr>
          <w:lang w:val="en-US"/>
        </w:rPr>
        <w:t xml:space="preserve">of the person in charge </w:t>
      </w:r>
      <w:r w:rsidR="001B1B88">
        <w:rPr>
          <w:lang w:val="en-US"/>
        </w:rPr>
        <w:t xml:space="preserve">of Maintenance and Hygiene of the Ministry is even more serious, as he noted that the condition of retardation and emotional blockage </w:t>
      </w:r>
      <w:r w:rsidR="00783934">
        <w:rPr>
          <w:lang w:val="en-US"/>
        </w:rPr>
        <w:t xml:space="preserve">of the affected person renders him an inapt person for the position. </w:t>
      </w:r>
    </w:p>
    <w:p w14:paraId="484CD33B" w14:textId="77777777" w:rsidR="00272A82" w:rsidRPr="00771EED" w:rsidRDefault="00272A82" w:rsidP="00272A82">
      <w:pPr>
        <w:pStyle w:val="citas"/>
        <w:ind w:right="27"/>
        <w:rPr>
          <w:lang w:val="en-US"/>
        </w:rPr>
      </w:pPr>
    </w:p>
    <w:p w14:paraId="46504B9C" w14:textId="77777777" w:rsidR="00272A82" w:rsidRPr="00771EED" w:rsidRDefault="00272A82" w:rsidP="00272A82">
      <w:pPr>
        <w:pStyle w:val="citas"/>
        <w:ind w:right="27"/>
        <w:rPr>
          <w:lang w:val="en-US"/>
        </w:rPr>
      </w:pPr>
      <w:r w:rsidRPr="00771EED">
        <w:rPr>
          <w:lang w:val="en-US"/>
        </w:rPr>
        <w:t xml:space="preserve">(…) </w:t>
      </w:r>
      <w:r w:rsidR="0034280D">
        <w:rPr>
          <w:lang w:val="en-US"/>
        </w:rPr>
        <w:t xml:space="preserve">in the case that concerns us, we could determine a violation of the principles of Law 7600, both by the Ministry of Finance, </w:t>
      </w:r>
      <w:r w:rsidR="001459FA">
        <w:rPr>
          <w:lang w:val="en-US"/>
        </w:rPr>
        <w:t xml:space="preserve">inasmuch as </w:t>
      </w:r>
      <w:r w:rsidR="0034280D">
        <w:rPr>
          <w:lang w:val="en-US"/>
        </w:rPr>
        <w:t xml:space="preserve">it did not choose a qualified person because of </w:t>
      </w:r>
      <w:r w:rsidR="003070FE">
        <w:rPr>
          <w:lang w:val="en-US"/>
        </w:rPr>
        <w:t xml:space="preserve">his condition of “retardation and emotional blockage” and the General Directorate of the Civil Service, </w:t>
      </w:r>
      <w:r w:rsidR="00BE3F0F">
        <w:rPr>
          <w:lang w:val="en-US"/>
        </w:rPr>
        <w:t xml:space="preserve">inasmuch as it did not </w:t>
      </w:r>
      <w:r w:rsidR="00F41183">
        <w:rPr>
          <w:lang w:val="en-US"/>
        </w:rPr>
        <w:t xml:space="preserve">establish the specific selection </w:t>
      </w:r>
      <w:r w:rsidR="009B299B">
        <w:rPr>
          <w:lang w:val="en-US"/>
        </w:rPr>
        <w:t xml:space="preserve">for persons with disability </w:t>
      </w:r>
      <w:r w:rsidR="00F46F65">
        <w:rPr>
          <w:lang w:val="en-US"/>
        </w:rPr>
        <w:t xml:space="preserve">and did not promote the incorporation of </w:t>
      </w:r>
      <w:r w:rsidR="00F70819">
        <w:rPr>
          <w:lang w:val="en-US"/>
        </w:rPr>
        <w:t xml:space="preserve">this group into employment in the public sector. </w:t>
      </w:r>
      <w:r w:rsidR="007F3C06">
        <w:rPr>
          <w:lang w:val="en-US"/>
        </w:rPr>
        <w:t xml:space="preserve">Notwithstanding, </w:t>
      </w:r>
      <w:r w:rsidR="00320BF2">
        <w:rPr>
          <w:lang w:val="en-US"/>
        </w:rPr>
        <w:t xml:space="preserve">we cannot </w:t>
      </w:r>
      <w:r w:rsidR="00B613C1">
        <w:rPr>
          <w:lang w:val="en-US"/>
        </w:rPr>
        <w:t xml:space="preserve">clearly view </w:t>
      </w:r>
      <w:r w:rsidR="0066126E">
        <w:rPr>
          <w:lang w:val="en-US"/>
        </w:rPr>
        <w:t xml:space="preserve">the situation without conducting a study or inspection </w:t>
      </w:r>
      <w:r w:rsidR="0014605E">
        <w:rPr>
          <w:lang w:val="en-US"/>
        </w:rPr>
        <w:t xml:space="preserve">in which an opportunity is provided to the counterpart </w:t>
      </w:r>
      <w:r w:rsidR="007E0276">
        <w:rPr>
          <w:lang w:val="en-US"/>
        </w:rPr>
        <w:t xml:space="preserve">to exercise </w:t>
      </w:r>
      <w:r w:rsidR="00B613C1">
        <w:rPr>
          <w:lang w:val="en-US"/>
        </w:rPr>
        <w:t xml:space="preserve">its </w:t>
      </w:r>
      <w:r w:rsidR="007E0276">
        <w:rPr>
          <w:lang w:val="en-US"/>
        </w:rPr>
        <w:t xml:space="preserve">right to defense and introduce </w:t>
      </w:r>
      <w:r w:rsidR="00DC73BD">
        <w:rPr>
          <w:lang w:val="en-US"/>
        </w:rPr>
        <w:t xml:space="preserve">the appropriate </w:t>
      </w:r>
      <w:r w:rsidR="007E0276">
        <w:rPr>
          <w:lang w:val="en-US"/>
        </w:rPr>
        <w:t>evidence</w:t>
      </w:r>
      <w:r w:rsidR="006F6720">
        <w:rPr>
          <w:lang w:val="en-US"/>
        </w:rPr>
        <w:t>.</w:t>
      </w:r>
      <w:r w:rsidRPr="00771EED">
        <w:rPr>
          <w:rStyle w:val="FootnoteReference"/>
          <w:szCs w:val="18"/>
          <w:lang w:val="en-US"/>
        </w:rPr>
        <w:footnoteReference w:id="12"/>
      </w:r>
      <w:r w:rsidRPr="00771EED">
        <w:rPr>
          <w:lang w:val="en-US"/>
        </w:rPr>
        <w:t xml:space="preserve"> </w:t>
      </w:r>
    </w:p>
    <w:p w14:paraId="11717CF6" w14:textId="77777777" w:rsidR="00272A82" w:rsidRPr="00771EED" w:rsidRDefault="00272A82" w:rsidP="00272A82">
      <w:pPr>
        <w:pStyle w:val="parrafos"/>
      </w:pPr>
    </w:p>
    <w:p w14:paraId="49D3A250" w14:textId="77777777" w:rsidR="00272A82" w:rsidRPr="00771EED" w:rsidRDefault="002E0301" w:rsidP="00913F69">
      <w:pPr>
        <w:pStyle w:val="Heading2"/>
        <w:numPr>
          <w:ilvl w:val="0"/>
          <w:numId w:val="107"/>
        </w:numPr>
        <w:ind w:hanging="1080"/>
      </w:pPr>
      <w:bookmarkStart w:id="52" w:name="_Toc446857992"/>
      <w:bookmarkStart w:id="53" w:name="_Toc37678663"/>
      <w:bookmarkStart w:id="54" w:name="_Toc37681811"/>
      <w:bookmarkStart w:id="55" w:name="_Toc42239529"/>
      <w:r>
        <w:rPr>
          <w:i/>
          <w:iCs/>
        </w:rPr>
        <w:t xml:space="preserve">Amparo </w:t>
      </w:r>
      <w:r>
        <w:t xml:space="preserve">proceeding </w:t>
      </w:r>
      <w:bookmarkEnd w:id="52"/>
      <w:bookmarkEnd w:id="53"/>
      <w:bookmarkEnd w:id="54"/>
      <w:bookmarkEnd w:id="55"/>
    </w:p>
    <w:p w14:paraId="5706B2B3" w14:textId="77777777" w:rsidR="00272A82" w:rsidRPr="00771EED" w:rsidRDefault="00272A82" w:rsidP="00272A82">
      <w:pPr>
        <w:pStyle w:val="parrafos"/>
      </w:pPr>
    </w:p>
    <w:p w14:paraId="37025C7D" w14:textId="77777777" w:rsidR="00272A82" w:rsidRPr="00771EED" w:rsidRDefault="003875BE" w:rsidP="00272A82">
      <w:pPr>
        <w:pStyle w:val="parrafos"/>
        <w:numPr>
          <w:ilvl w:val="0"/>
          <w:numId w:val="106"/>
        </w:numPr>
        <w:tabs>
          <w:tab w:val="clear" w:pos="1440"/>
        </w:tabs>
        <w:ind w:left="0" w:firstLine="0"/>
      </w:pPr>
      <w:r>
        <w:t xml:space="preserve">On August </w:t>
      </w:r>
      <w:r w:rsidR="00272A82" w:rsidRPr="00771EED">
        <w:t>5</w:t>
      </w:r>
      <w:r>
        <w:t>,</w:t>
      </w:r>
      <w:r w:rsidR="00272A82" w:rsidRPr="00771EED">
        <w:t xml:space="preserve"> 2003</w:t>
      </w:r>
      <w:r w:rsidR="00DA5A20">
        <w:t xml:space="preserve">, the alleged victim filed a petition for constitutional relief via </w:t>
      </w:r>
      <w:r w:rsidR="00DA5A20">
        <w:rPr>
          <w:i/>
          <w:iCs/>
        </w:rPr>
        <w:t xml:space="preserve">amparo </w:t>
      </w:r>
      <w:r w:rsidR="00DA5A20">
        <w:t xml:space="preserve">with the Constitutional Chamber of the Supreme Court of Justice against the Ministry of Finance arguing </w:t>
      </w:r>
      <w:r w:rsidR="00865637">
        <w:t xml:space="preserve">“acts of work-place discrimination.” </w:t>
      </w:r>
      <w:r w:rsidR="00F05B4B">
        <w:t xml:space="preserve">He alleged that: </w:t>
      </w:r>
      <w:r w:rsidR="00272A82" w:rsidRPr="00771EED">
        <w:t xml:space="preserve"> </w:t>
      </w:r>
    </w:p>
    <w:p w14:paraId="70A2EA9E" w14:textId="77777777" w:rsidR="00272A82" w:rsidRPr="00771EED" w:rsidRDefault="00272A82" w:rsidP="00272A82">
      <w:pPr>
        <w:pStyle w:val="citas"/>
        <w:ind w:right="27"/>
        <w:rPr>
          <w:lang w:val="en-US"/>
        </w:rPr>
      </w:pPr>
    </w:p>
    <w:p w14:paraId="350FACFB" w14:textId="77777777" w:rsidR="00272A82" w:rsidRPr="00771EED" w:rsidRDefault="00272A82" w:rsidP="00272A82">
      <w:pPr>
        <w:pStyle w:val="citas"/>
        <w:ind w:right="27"/>
        <w:rPr>
          <w:lang w:val="en-US"/>
        </w:rPr>
      </w:pPr>
      <w:r w:rsidRPr="00771EED">
        <w:rPr>
          <w:lang w:val="en-US"/>
        </w:rPr>
        <w:t xml:space="preserve">(…) </w:t>
      </w:r>
      <w:r w:rsidR="00B00331">
        <w:rPr>
          <w:lang w:val="en-US"/>
        </w:rPr>
        <w:t xml:space="preserve">it is timely and necessary to </w:t>
      </w:r>
      <w:r w:rsidR="0039573E">
        <w:rPr>
          <w:lang w:val="en-US"/>
        </w:rPr>
        <w:t xml:space="preserve">note the severe contradictions </w:t>
      </w:r>
      <w:r w:rsidR="00B56C58">
        <w:rPr>
          <w:lang w:val="en-US"/>
        </w:rPr>
        <w:t xml:space="preserve">and lack of rectitude </w:t>
      </w:r>
      <w:r w:rsidR="00C92FFC">
        <w:rPr>
          <w:lang w:val="en-US"/>
        </w:rPr>
        <w:t xml:space="preserve">and humanity of management’s representatives, let us </w:t>
      </w:r>
      <w:r w:rsidR="00051900">
        <w:rPr>
          <w:lang w:val="en-US"/>
        </w:rPr>
        <w:t xml:space="preserve">look at </w:t>
      </w:r>
      <w:r w:rsidR="00C92FFC">
        <w:rPr>
          <w:lang w:val="en-US"/>
        </w:rPr>
        <w:t xml:space="preserve">why: </w:t>
      </w:r>
    </w:p>
    <w:p w14:paraId="356BDD25" w14:textId="77777777" w:rsidR="00272A82" w:rsidRPr="00771EED" w:rsidRDefault="00272A82" w:rsidP="00272A82">
      <w:pPr>
        <w:pStyle w:val="citas"/>
        <w:ind w:right="27"/>
        <w:rPr>
          <w:lang w:val="en-US"/>
        </w:rPr>
      </w:pPr>
    </w:p>
    <w:p w14:paraId="060FA49E" w14:textId="77777777" w:rsidR="00272A82" w:rsidRPr="00771EED" w:rsidRDefault="00272A82" w:rsidP="00272A82">
      <w:pPr>
        <w:pStyle w:val="citas"/>
        <w:ind w:right="27"/>
        <w:rPr>
          <w:lang w:val="en-US"/>
        </w:rPr>
      </w:pPr>
      <w:r w:rsidRPr="00771EED">
        <w:rPr>
          <w:lang w:val="en-US"/>
        </w:rPr>
        <w:t>1.M</w:t>
      </w:r>
      <w:r w:rsidR="000D6ABC">
        <w:rPr>
          <w:lang w:val="en-US"/>
        </w:rPr>
        <w:t xml:space="preserve">y periodic performance scores, on average are eighty </w:t>
      </w:r>
      <w:r w:rsidR="00741923">
        <w:rPr>
          <w:lang w:val="en-US"/>
        </w:rPr>
        <w:t>out of</w:t>
      </w:r>
      <w:r w:rsidR="000D6ABC">
        <w:rPr>
          <w:lang w:val="en-US"/>
        </w:rPr>
        <w:t xml:space="preserve"> a scale of a maximum of one hundred </w:t>
      </w:r>
      <w:r w:rsidRPr="00771EED">
        <w:rPr>
          <w:lang w:val="en-US"/>
        </w:rPr>
        <w:t xml:space="preserve">(100%) </w:t>
      </w:r>
      <w:r w:rsidR="00C721A4">
        <w:rPr>
          <w:lang w:val="en-US"/>
        </w:rPr>
        <w:t xml:space="preserve">even though </w:t>
      </w:r>
      <w:r w:rsidR="001830FA">
        <w:rPr>
          <w:lang w:val="en-US"/>
        </w:rPr>
        <w:t xml:space="preserve">a </w:t>
      </w:r>
      <w:r w:rsidR="00C721A4">
        <w:rPr>
          <w:lang w:val="en-US"/>
        </w:rPr>
        <w:t xml:space="preserve">differential </w:t>
      </w:r>
      <w:r w:rsidR="00B96A8D">
        <w:rPr>
          <w:lang w:val="en-US"/>
        </w:rPr>
        <w:t xml:space="preserve">[handicapped] </w:t>
      </w:r>
      <w:r w:rsidR="00C721A4">
        <w:rPr>
          <w:lang w:val="en-US"/>
        </w:rPr>
        <w:t xml:space="preserve">score </w:t>
      </w:r>
      <w:r w:rsidR="00523A54">
        <w:rPr>
          <w:lang w:val="en-US"/>
        </w:rPr>
        <w:t xml:space="preserve">is not applied to me </w:t>
      </w:r>
      <w:r w:rsidR="00C721A4">
        <w:rPr>
          <w:lang w:val="en-US"/>
        </w:rPr>
        <w:t xml:space="preserve">(See Annexes No 1 and 2) </w:t>
      </w:r>
    </w:p>
    <w:p w14:paraId="212B0283" w14:textId="77777777" w:rsidR="00272A82" w:rsidRPr="00771EED" w:rsidRDefault="00272A82" w:rsidP="00272A82">
      <w:pPr>
        <w:pStyle w:val="citas"/>
        <w:ind w:right="27"/>
        <w:rPr>
          <w:lang w:val="en-US"/>
        </w:rPr>
      </w:pPr>
      <w:r w:rsidRPr="00771EED">
        <w:rPr>
          <w:lang w:val="en-US"/>
        </w:rPr>
        <w:t>2.</w:t>
      </w:r>
      <w:r w:rsidR="0056481B">
        <w:rPr>
          <w:lang w:val="en-US"/>
        </w:rPr>
        <w:t xml:space="preserve">The </w:t>
      </w:r>
      <w:r w:rsidR="001E5479">
        <w:rPr>
          <w:lang w:val="en-US"/>
        </w:rPr>
        <w:t>undersigned ranked FIRST PLACE ON THE SLATE OF THREE CANDIDATES, with a score of 78.97 (See Annex No 3)</w:t>
      </w:r>
    </w:p>
    <w:p w14:paraId="0A0C2F83" w14:textId="77777777" w:rsidR="00272A82" w:rsidRPr="00771EED" w:rsidRDefault="00272A82" w:rsidP="00272A82">
      <w:pPr>
        <w:pStyle w:val="citas"/>
        <w:ind w:right="27"/>
        <w:rPr>
          <w:lang w:val="en-US"/>
        </w:rPr>
      </w:pPr>
      <w:r w:rsidRPr="00771EED">
        <w:rPr>
          <w:lang w:val="en-US"/>
        </w:rPr>
        <w:t>3.</w:t>
      </w:r>
      <w:r w:rsidR="00D72B9B">
        <w:rPr>
          <w:lang w:val="en-US"/>
        </w:rPr>
        <w:t xml:space="preserve">I have two years of seniority in the position </w:t>
      </w:r>
      <w:r w:rsidRPr="00771EED">
        <w:rPr>
          <w:lang w:val="en-US"/>
        </w:rPr>
        <w:t>(</w:t>
      </w:r>
      <w:r w:rsidR="00B04527">
        <w:rPr>
          <w:lang w:val="en-US"/>
        </w:rPr>
        <w:t>See Annex No.</w:t>
      </w:r>
      <w:r w:rsidRPr="00771EED">
        <w:rPr>
          <w:lang w:val="en-US"/>
        </w:rPr>
        <w:t xml:space="preserve"> 4)</w:t>
      </w:r>
    </w:p>
    <w:p w14:paraId="108778DA" w14:textId="77777777" w:rsidR="00272A82" w:rsidRPr="00771EED" w:rsidRDefault="00272A82" w:rsidP="00272A82">
      <w:pPr>
        <w:pStyle w:val="citas"/>
        <w:ind w:right="27"/>
        <w:rPr>
          <w:lang w:val="en-US"/>
        </w:rPr>
      </w:pPr>
      <w:r w:rsidRPr="00771EED">
        <w:rPr>
          <w:lang w:val="en-US"/>
        </w:rPr>
        <w:t>4.</w:t>
      </w:r>
      <w:r w:rsidR="00063BBD">
        <w:rPr>
          <w:lang w:val="en-US"/>
        </w:rPr>
        <w:t xml:space="preserve">I have received a letter of congratulations for my performance </w:t>
      </w:r>
      <w:r w:rsidRPr="00771EED">
        <w:rPr>
          <w:lang w:val="en-US"/>
        </w:rPr>
        <w:t>(</w:t>
      </w:r>
      <w:r w:rsidR="00493B4F">
        <w:rPr>
          <w:lang w:val="en-US"/>
        </w:rPr>
        <w:t xml:space="preserve">See Annex No </w:t>
      </w:r>
      <w:r w:rsidRPr="00771EED">
        <w:rPr>
          <w:lang w:val="en-US"/>
        </w:rPr>
        <w:t>5)</w:t>
      </w:r>
    </w:p>
    <w:p w14:paraId="383408E1" w14:textId="77777777" w:rsidR="00272A82" w:rsidRPr="00771EED" w:rsidRDefault="00272A82" w:rsidP="00272A82">
      <w:pPr>
        <w:pStyle w:val="citas"/>
        <w:ind w:right="27"/>
        <w:rPr>
          <w:lang w:val="en-US"/>
        </w:rPr>
      </w:pPr>
      <w:r w:rsidRPr="00771EED">
        <w:rPr>
          <w:lang w:val="en-US"/>
        </w:rPr>
        <w:t>5.</w:t>
      </w:r>
      <w:r w:rsidR="00060613">
        <w:rPr>
          <w:lang w:val="en-US"/>
        </w:rPr>
        <w:t xml:space="preserve">The Coordinator for Human Resources of the Ministry of Finance in official Letter No </w:t>
      </w:r>
      <w:r w:rsidRPr="00771EED">
        <w:rPr>
          <w:lang w:val="en-US"/>
        </w:rPr>
        <w:t xml:space="preserve">UTRH-RSI-827-2003 </w:t>
      </w:r>
      <w:r w:rsidR="007623BA">
        <w:rPr>
          <w:lang w:val="en-US"/>
        </w:rPr>
        <w:t xml:space="preserve">of July </w:t>
      </w:r>
      <w:r w:rsidRPr="00771EED">
        <w:rPr>
          <w:lang w:val="en-US"/>
        </w:rPr>
        <w:t>7</w:t>
      </w:r>
      <w:r w:rsidR="007623BA">
        <w:rPr>
          <w:lang w:val="en-US"/>
        </w:rPr>
        <w:t xml:space="preserve">, </w:t>
      </w:r>
      <w:r w:rsidRPr="00771EED">
        <w:rPr>
          <w:lang w:val="en-US"/>
        </w:rPr>
        <w:t xml:space="preserve">2003, </w:t>
      </w:r>
      <w:r w:rsidR="00B14D47">
        <w:rPr>
          <w:lang w:val="en-US"/>
        </w:rPr>
        <w:t xml:space="preserve">in the relevant portion </w:t>
      </w:r>
      <w:r w:rsidR="005B6334">
        <w:rPr>
          <w:lang w:val="en-US"/>
        </w:rPr>
        <w:t xml:space="preserve">writes </w:t>
      </w:r>
      <w:r w:rsidR="00B14D47">
        <w:rPr>
          <w:lang w:val="en-US"/>
        </w:rPr>
        <w:t>verbatim:</w:t>
      </w:r>
      <w:r w:rsidRPr="00771EED">
        <w:rPr>
          <w:lang w:val="en-US"/>
        </w:rPr>
        <w:t xml:space="preserve"> “</w:t>
      </w:r>
      <w:r w:rsidR="00B14D47">
        <w:rPr>
          <w:lang w:val="en-US"/>
        </w:rPr>
        <w:t xml:space="preserve">After reviewing the personnel file of said worker it was determined that </w:t>
      </w:r>
      <w:r w:rsidR="006309C6">
        <w:rPr>
          <w:lang w:val="en-US"/>
        </w:rPr>
        <w:t xml:space="preserve">there is no report about work-place or behavioral problems </w:t>
      </w:r>
      <w:r w:rsidRPr="00771EED">
        <w:rPr>
          <w:lang w:val="en-US"/>
        </w:rPr>
        <w:t>(</w:t>
      </w:r>
      <w:r w:rsidR="006309C6">
        <w:rPr>
          <w:lang w:val="en-US"/>
        </w:rPr>
        <w:t>See Annex No.</w:t>
      </w:r>
      <w:r w:rsidRPr="00771EED">
        <w:rPr>
          <w:lang w:val="en-US"/>
        </w:rPr>
        <w:t xml:space="preserve"> 6).</w:t>
      </w:r>
    </w:p>
    <w:p w14:paraId="3F4576BB" w14:textId="77777777" w:rsidR="00272A82" w:rsidRPr="00771EED" w:rsidRDefault="00272A82" w:rsidP="00272A82">
      <w:pPr>
        <w:pStyle w:val="citas"/>
        <w:ind w:right="27"/>
        <w:rPr>
          <w:lang w:val="en-US"/>
        </w:rPr>
      </w:pPr>
      <w:r w:rsidRPr="00771EED">
        <w:rPr>
          <w:lang w:val="en-US"/>
        </w:rPr>
        <w:t>(…)</w:t>
      </w:r>
      <w:r w:rsidR="00636194">
        <w:rPr>
          <w:lang w:val="en-US"/>
        </w:rPr>
        <w:t xml:space="preserve"> the discriminatory act is exposed by the statement of the representative of management in saying </w:t>
      </w:r>
      <w:r w:rsidR="00D6525D">
        <w:rPr>
          <w:lang w:val="en-US"/>
        </w:rPr>
        <w:t xml:space="preserve">that because of the problems of retardation and emotional blockage I am not a person apt </w:t>
      </w:r>
      <w:r w:rsidR="00026E7C">
        <w:rPr>
          <w:lang w:val="en-US"/>
        </w:rPr>
        <w:t xml:space="preserve">for exercising the right to work </w:t>
      </w:r>
      <w:r w:rsidRPr="00771EED">
        <w:rPr>
          <w:lang w:val="en-US"/>
        </w:rPr>
        <w:t xml:space="preserve">(…) </w:t>
      </w:r>
      <w:r w:rsidR="00026E7C">
        <w:rPr>
          <w:lang w:val="en-US"/>
        </w:rPr>
        <w:t xml:space="preserve">undoubtably, the dismissal is mainly based on the disability of which I am a bearer and </w:t>
      </w:r>
      <w:r w:rsidR="00E6225D">
        <w:rPr>
          <w:lang w:val="en-US"/>
        </w:rPr>
        <w:t xml:space="preserve">no other </w:t>
      </w:r>
      <w:r w:rsidR="00AB5D30">
        <w:rPr>
          <w:lang w:val="en-US"/>
        </w:rPr>
        <w:t xml:space="preserve">valid or rational reason, thus violating fundamental human rights </w:t>
      </w:r>
      <w:r w:rsidRPr="00771EED">
        <w:rPr>
          <w:lang w:val="en-US"/>
        </w:rPr>
        <w:t>(…)</w:t>
      </w:r>
      <w:r w:rsidR="00AB5D30">
        <w:rPr>
          <w:lang w:val="en-US"/>
        </w:rPr>
        <w:t>.</w:t>
      </w:r>
      <w:r w:rsidRPr="00771EED">
        <w:rPr>
          <w:rStyle w:val="FootnoteReference"/>
          <w:szCs w:val="18"/>
          <w:lang w:val="en-US"/>
        </w:rPr>
        <w:footnoteReference w:id="13"/>
      </w:r>
    </w:p>
    <w:p w14:paraId="66E8B95A" w14:textId="77777777" w:rsidR="00272A82" w:rsidRPr="00771EED" w:rsidRDefault="00272A82" w:rsidP="00272A82">
      <w:pPr>
        <w:pStyle w:val="parrafos"/>
      </w:pPr>
    </w:p>
    <w:p w14:paraId="091B8E3C" w14:textId="77777777" w:rsidR="00272A82" w:rsidRPr="00771EED" w:rsidRDefault="00AB5D30" w:rsidP="00BC2764">
      <w:pPr>
        <w:pStyle w:val="parrafos"/>
        <w:numPr>
          <w:ilvl w:val="0"/>
          <w:numId w:val="106"/>
        </w:numPr>
        <w:tabs>
          <w:tab w:val="clear" w:pos="1440"/>
        </w:tabs>
        <w:ind w:left="0" w:firstLine="0"/>
      </w:pPr>
      <w:r>
        <w:t xml:space="preserve">On September </w:t>
      </w:r>
      <w:r w:rsidR="00272A82" w:rsidRPr="00771EED">
        <w:t>1</w:t>
      </w:r>
      <w:r>
        <w:t>,</w:t>
      </w:r>
      <w:r w:rsidR="00272A82" w:rsidRPr="00771EED">
        <w:t xml:space="preserve"> 2003</w:t>
      </w:r>
      <w:r w:rsidR="003C715C">
        <w:t xml:space="preserve">, the Chief Officer and Director General of the Ministry of Finance replied to the </w:t>
      </w:r>
      <w:r w:rsidR="003C715C" w:rsidRPr="00A7040A">
        <w:rPr>
          <w:i/>
          <w:iCs/>
        </w:rPr>
        <w:t xml:space="preserve">amparo </w:t>
      </w:r>
      <w:r w:rsidR="003C715C">
        <w:t xml:space="preserve">claim rejecting </w:t>
      </w:r>
      <w:r w:rsidR="003B3F4A">
        <w:t>the charges levelled by the all</w:t>
      </w:r>
      <w:r w:rsidR="00835023">
        <w:t xml:space="preserve">eged victim. </w:t>
      </w:r>
      <w:r w:rsidR="000D50FF">
        <w:t>H</w:t>
      </w:r>
      <w:r w:rsidR="00835023">
        <w:t xml:space="preserve">e </w:t>
      </w:r>
      <w:r w:rsidR="000D50FF">
        <w:t xml:space="preserve">further </w:t>
      </w:r>
      <w:r w:rsidR="00835023">
        <w:t xml:space="preserve">noted that: </w:t>
      </w:r>
      <w:r w:rsidR="00272A82" w:rsidRPr="00771EED">
        <w:t xml:space="preserve"> </w:t>
      </w:r>
    </w:p>
    <w:p w14:paraId="012C53CA" w14:textId="77777777" w:rsidR="00272A82" w:rsidRPr="00771EED" w:rsidRDefault="00272A82" w:rsidP="00272A82">
      <w:pPr>
        <w:pStyle w:val="citas"/>
        <w:ind w:right="27"/>
        <w:rPr>
          <w:lang w:val="en-US"/>
        </w:rPr>
      </w:pPr>
      <w:r w:rsidRPr="00771EED">
        <w:rPr>
          <w:lang w:val="en-US"/>
        </w:rPr>
        <w:lastRenderedPageBreak/>
        <w:t xml:space="preserve">(…) </w:t>
      </w:r>
      <w:r w:rsidR="00A7040A">
        <w:rPr>
          <w:lang w:val="en-US"/>
        </w:rPr>
        <w:t xml:space="preserve">using his discretionary power Engineer Porras Vargas, chooses </w:t>
      </w:r>
      <w:r w:rsidR="00E507EE">
        <w:rPr>
          <w:lang w:val="en-US"/>
        </w:rPr>
        <w:t xml:space="preserve">the candidate that he considered </w:t>
      </w:r>
      <w:r w:rsidR="00795A12">
        <w:rPr>
          <w:lang w:val="en-US"/>
        </w:rPr>
        <w:t xml:space="preserve">suitable to hold the position by means of the interviews held on March 31, 2003. </w:t>
      </w:r>
      <w:r w:rsidR="00204EAB">
        <w:rPr>
          <w:lang w:val="en-US"/>
        </w:rPr>
        <w:t xml:space="preserve">It must be noted that the same day the interviews are conducted the candidate to hold the permanent position is chosen, to wit, this choice was made on March 31, 2003 </w:t>
      </w:r>
      <w:r w:rsidRPr="00771EED">
        <w:rPr>
          <w:lang w:val="en-US"/>
        </w:rPr>
        <w:t>(…)</w:t>
      </w:r>
    </w:p>
    <w:p w14:paraId="1C972482" w14:textId="77777777" w:rsidR="00272A82" w:rsidRPr="00771EED" w:rsidRDefault="00C75EEE" w:rsidP="00272A82">
      <w:pPr>
        <w:pStyle w:val="citas"/>
        <w:ind w:right="27"/>
        <w:rPr>
          <w:lang w:val="en-US"/>
        </w:rPr>
      </w:pPr>
      <w:r>
        <w:rPr>
          <w:lang w:val="en-US"/>
        </w:rPr>
        <w:t xml:space="preserve">With relation to official letter </w:t>
      </w:r>
      <w:r w:rsidR="00272A82" w:rsidRPr="00771EED">
        <w:rPr>
          <w:lang w:val="en-US"/>
        </w:rPr>
        <w:t xml:space="preserve">UTAS-124-2003 </w:t>
      </w:r>
      <w:r>
        <w:rPr>
          <w:lang w:val="en-US"/>
        </w:rPr>
        <w:t xml:space="preserve">dated </w:t>
      </w:r>
      <w:r w:rsidR="00B54FFB">
        <w:rPr>
          <w:lang w:val="en-US"/>
        </w:rPr>
        <w:t xml:space="preserve">June </w:t>
      </w:r>
      <w:r w:rsidR="00272A82" w:rsidRPr="00771EED">
        <w:rPr>
          <w:lang w:val="en-US"/>
        </w:rPr>
        <w:t>13</w:t>
      </w:r>
      <w:r w:rsidR="00B54FFB">
        <w:rPr>
          <w:lang w:val="en-US"/>
        </w:rPr>
        <w:t>,</w:t>
      </w:r>
      <w:r w:rsidR="00272A82" w:rsidRPr="00771EED">
        <w:rPr>
          <w:lang w:val="en-US"/>
        </w:rPr>
        <w:t xml:space="preserve"> 2003, </w:t>
      </w:r>
      <w:r w:rsidR="00A06B68">
        <w:rPr>
          <w:lang w:val="en-US"/>
        </w:rPr>
        <w:t>signed by Engineer</w:t>
      </w:r>
      <w:r w:rsidR="00272A82" w:rsidRPr="00771EED">
        <w:rPr>
          <w:lang w:val="en-US"/>
        </w:rPr>
        <w:t xml:space="preserve"> Porras Vargas (…) </w:t>
      </w:r>
      <w:r w:rsidR="00A06B68">
        <w:rPr>
          <w:lang w:val="en-US"/>
        </w:rPr>
        <w:t xml:space="preserve">in the aforementioned letter a copy of official letter </w:t>
      </w:r>
      <w:r w:rsidR="00272A82" w:rsidRPr="00771EED">
        <w:rPr>
          <w:lang w:val="en-US"/>
        </w:rPr>
        <w:t xml:space="preserve">AM-044-2003 </w:t>
      </w:r>
      <w:r w:rsidR="00A06B68">
        <w:rPr>
          <w:lang w:val="en-US"/>
        </w:rPr>
        <w:t xml:space="preserve">dated June </w:t>
      </w:r>
      <w:r w:rsidR="00272A82" w:rsidRPr="00771EED">
        <w:rPr>
          <w:lang w:val="en-US"/>
        </w:rPr>
        <w:t>13</w:t>
      </w:r>
      <w:r w:rsidR="00A06B68">
        <w:rPr>
          <w:lang w:val="en-US"/>
        </w:rPr>
        <w:t>,</w:t>
      </w:r>
      <w:r w:rsidR="00272A82" w:rsidRPr="00771EED">
        <w:rPr>
          <w:lang w:val="en-US"/>
        </w:rPr>
        <w:t xml:space="preserve"> 2003</w:t>
      </w:r>
      <w:r w:rsidR="00F06AA8">
        <w:rPr>
          <w:lang w:val="en-US"/>
        </w:rPr>
        <w:t xml:space="preserve">, signed by Mr. </w:t>
      </w:r>
      <w:r w:rsidR="00272A82" w:rsidRPr="00771EED">
        <w:rPr>
          <w:lang w:val="en-US"/>
        </w:rPr>
        <w:t>German Mora Salazar,</w:t>
      </w:r>
      <w:r w:rsidR="00F902CA">
        <w:rPr>
          <w:lang w:val="en-US"/>
        </w:rPr>
        <w:t xml:space="preserve"> Head of the Maintenance Area is forwarded, which makes reference to the </w:t>
      </w:r>
      <w:r w:rsidR="00F902CA">
        <w:rPr>
          <w:i/>
          <w:iCs/>
          <w:lang w:val="en-US"/>
        </w:rPr>
        <w:t xml:space="preserve">amparo </w:t>
      </w:r>
      <w:r w:rsidR="00F902CA">
        <w:rPr>
          <w:lang w:val="en-US"/>
        </w:rPr>
        <w:t xml:space="preserve">claimant; it must be clarified that Mr. </w:t>
      </w:r>
      <w:r w:rsidR="00272A82" w:rsidRPr="00771EED">
        <w:rPr>
          <w:lang w:val="en-US"/>
        </w:rPr>
        <w:t xml:space="preserve"> Mora Salazar </w:t>
      </w:r>
      <w:r w:rsidR="00F902CA">
        <w:rPr>
          <w:lang w:val="en-US"/>
        </w:rPr>
        <w:t xml:space="preserve">acted as Mr. Guevara Díaz’s immediate </w:t>
      </w:r>
      <w:r w:rsidR="009A1852">
        <w:rPr>
          <w:lang w:val="en-US"/>
        </w:rPr>
        <w:t xml:space="preserve">supervisor </w:t>
      </w:r>
      <w:r w:rsidR="00F902CA">
        <w:rPr>
          <w:lang w:val="en-US"/>
        </w:rPr>
        <w:t xml:space="preserve">while he worked for the Ministry, nonetheless, Mr. </w:t>
      </w:r>
      <w:r w:rsidR="00272A82" w:rsidRPr="00771EED">
        <w:rPr>
          <w:lang w:val="en-US"/>
        </w:rPr>
        <w:t xml:space="preserve">Mora Salazar </w:t>
      </w:r>
      <w:r w:rsidR="00F902CA">
        <w:rPr>
          <w:lang w:val="en-US"/>
        </w:rPr>
        <w:t xml:space="preserve">did not directly participate in the choice of the candidate to hold the permanent position </w:t>
      </w:r>
      <w:r w:rsidR="00272A82" w:rsidRPr="00771EED">
        <w:rPr>
          <w:lang w:val="en-US"/>
        </w:rPr>
        <w:t>(…)</w:t>
      </w:r>
    </w:p>
    <w:p w14:paraId="6D604493" w14:textId="77777777" w:rsidR="00272A82" w:rsidRPr="00771EED" w:rsidRDefault="00272A82" w:rsidP="00272A82">
      <w:pPr>
        <w:pStyle w:val="citas"/>
        <w:ind w:right="27"/>
        <w:rPr>
          <w:lang w:val="en-US"/>
        </w:rPr>
      </w:pPr>
    </w:p>
    <w:p w14:paraId="2133AD55" w14:textId="77777777" w:rsidR="00272A82" w:rsidRPr="00771EED" w:rsidRDefault="003A2BE8" w:rsidP="00272A82">
      <w:pPr>
        <w:pStyle w:val="citas"/>
        <w:ind w:right="27"/>
        <w:rPr>
          <w:lang w:val="en-US"/>
        </w:rPr>
      </w:pPr>
      <w:r>
        <w:rPr>
          <w:lang w:val="en-US"/>
        </w:rPr>
        <w:t xml:space="preserve">It should be clarified </w:t>
      </w:r>
      <w:r w:rsidR="00B46922">
        <w:rPr>
          <w:lang w:val="en-US"/>
        </w:rPr>
        <w:t xml:space="preserve">that both official letters were received at the Technical Unit </w:t>
      </w:r>
      <w:r w:rsidR="00B04AB2">
        <w:rPr>
          <w:lang w:val="en-US"/>
        </w:rPr>
        <w:t xml:space="preserve">for Human Resources on June 13, 2003, at 12:19 PM; to wit, one day after the dismissal </w:t>
      </w:r>
      <w:r w:rsidR="00F70ABE">
        <w:rPr>
          <w:lang w:val="en-US"/>
        </w:rPr>
        <w:t xml:space="preserve">notice </w:t>
      </w:r>
      <w:r w:rsidR="00B04AB2">
        <w:rPr>
          <w:lang w:val="en-US"/>
        </w:rPr>
        <w:t>of Mr. Guevara Díaz was drawn up and signed</w:t>
      </w:r>
      <w:r w:rsidR="005B146C">
        <w:rPr>
          <w:lang w:val="en-US"/>
        </w:rPr>
        <w:t xml:space="preserve"> through official letter </w:t>
      </w:r>
      <w:r w:rsidR="00B04AB2">
        <w:rPr>
          <w:lang w:val="en-US"/>
        </w:rPr>
        <w:t xml:space="preserve"> </w:t>
      </w:r>
      <w:r w:rsidR="00272A82" w:rsidRPr="00771EED">
        <w:rPr>
          <w:lang w:val="en-US"/>
        </w:rPr>
        <w:t xml:space="preserve">UTRH-RSI-420-2003 </w:t>
      </w:r>
      <w:r w:rsidR="00761084">
        <w:rPr>
          <w:lang w:val="en-US"/>
        </w:rPr>
        <w:t xml:space="preserve">dated June </w:t>
      </w:r>
      <w:r w:rsidR="00272A82" w:rsidRPr="00771EED">
        <w:rPr>
          <w:lang w:val="en-US"/>
        </w:rPr>
        <w:t>12</w:t>
      </w:r>
      <w:r w:rsidR="00761084">
        <w:rPr>
          <w:lang w:val="en-US"/>
        </w:rPr>
        <w:t>,</w:t>
      </w:r>
      <w:r w:rsidR="00272A82" w:rsidRPr="00771EED">
        <w:rPr>
          <w:lang w:val="en-US"/>
        </w:rPr>
        <w:t xml:space="preserve"> 2003 </w:t>
      </w:r>
      <w:r w:rsidR="00405DA9">
        <w:rPr>
          <w:lang w:val="en-US"/>
        </w:rPr>
        <w:t xml:space="preserve">and signed by myself, notified on June 13 </w:t>
      </w:r>
      <w:r w:rsidR="00272A82" w:rsidRPr="00771EED">
        <w:rPr>
          <w:lang w:val="en-US"/>
        </w:rPr>
        <w:t>(…)</w:t>
      </w:r>
      <w:r w:rsidR="00405DA9">
        <w:rPr>
          <w:lang w:val="en-US"/>
        </w:rPr>
        <w:t>.</w:t>
      </w:r>
      <w:r w:rsidR="00272A82" w:rsidRPr="00771EED">
        <w:rPr>
          <w:rStyle w:val="FootnoteReference"/>
          <w:szCs w:val="18"/>
          <w:lang w:val="en-US"/>
        </w:rPr>
        <w:footnoteReference w:id="14"/>
      </w:r>
    </w:p>
    <w:p w14:paraId="568D63BA" w14:textId="77777777" w:rsidR="00272A82" w:rsidRPr="00771EED" w:rsidRDefault="00272A82" w:rsidP="00272A82">
      <w:pPr>
        <w:pStyle w:val="parrafos"/>
      </w:pPr>
    </w:p>
    <w:p w14:paraId="0937CC36" w14:textId="77777777" w:rsidR="00272A82" w:rsidRPr="00771EED" w:rsidRDefault="00405DA9" w:rsidP="00272A82">
      <w:pPr>
        <w:pStyle w:val="parrafos"/>
        <w:numPr>
          <w:ilvl w:val="0"/>
          <w:numId w:val="106"/>
        </w:numPr>
        <w:tabs>
          <w:tab w:val="clear" w:pos="1440"/>
        </w:tabs>
        <w:ind w:left="0" w:firstLine="0"/>
      </w:pPr>
      <w:r>
        <w:t xml:space="preserve">On October </w:t>
      </w:r>
      <w:r w:rsidR="00272A82" w:rsidRPr="00771EED">
        <w:t>14</w:t>
      </w:r>
      <w:r>
        <w:t>,</w:t>
      </w:r>
      <w:r w:rsidR="00272A82" w:rsidRPr="00771EED">
        <w:t xml:space="preserve"> 2003</w:t>
      </w:r>
      <w:r w:rsidR="00C5008F">
        <w:t xml:space="preserve">, the Ombudsman of the Inhabitants of the Republic of Costa Rica filed his </w:t>
      </w:r>
      <w:r w:rsidR="008D78C9">
        <w:t xml:space="preserve">brief in support of the </w:t>
      </w:r>
      <w:r w:rsidR="008D78C9">
        <w:rPr>
          <w:i/>
          <w:iCs/>
        </w:rPr>
        <w:t xml:space="preserve">amparo </w:t>
      </w:r>
      <w:r w:rsidR="008D78C9">
        <w:t>claim and requested that the external competitive selection process for position 010179 be vacated</w:t>
      </w:r>
      <w:r w:rsidR="00272A82" w:rsidRPr="00771EED">
        <w:t xml:space="preserve">. </w:t>
      </w:r>
      <w:r w:rsidR="001A329E">
        <w:t>He found the following</w:t>
      </w:r>
      <w:r w:rsidR="00272A82" w:rsidRPr="00771EED">
        <w:t>:</w:t>
      </w:r>
    </w:p>
    <w:p w14:paraId="3CA1EDD6" w14:textId="77777777" w:rsidR="00272A82" w:rsidRPr="00771EED" w:rsidRDefault="00272A82" w:rsidP="00272A82">
      <w:pPr>
        <w:pStyle w:val="parrafos"/>
      </w:pPr>
    </w:p>
    <w:p w14:paraId="2B2E09C1" w14:textId="77777777" w:rsidR="00272A82" w:rsidRPr="00771EED" w:rsidRDefault="00272A82" w:rsidP="00272A82">
      <w:pPr>
        <w:pStyle w:val="citas"/>
        <w:ind w:right="27"/>
        <w:rPr>
          <w:lang w:val="en-US"/>
        </w:rPr>
      </w:pPr>
      <w:r w:rsidRPr="00771EED">
        <w:rPr>
          <w:lang w:val="en-US"/>
        </w:rPr>
        <w:t xml:space="preserve">(…) </w:t>
      </w:r>
      <w:r w:rsidR="00EB6EC8">
        <w:rPr>
          <w:lang w:val="en-US"/>
        </w:rPr>
        <w:t xml:space="preserve">As far as the facts that prompted the filing of the </w:t>
      </w:r>
      <w:r w:rsidR="00EB6EC8">
        <w:rPr>
          <w:i/>
          <w:iCs/>
          <w:lang w:val="en-US"/>
        </w:rPr>
        <w:t xml:space="preserve">amparo </w:t>
      </w:r>
      <w:r w:rsidR="00EB6EC8">
        <w:rPr>
          <w:lang w:val="en-US"/>
        </w:rPr>
        <w:t xml:space="preserve">petition by Mr. Guevara Díaz are concerned, it must be </w:t>
      </w:r>
      <w:r w:rsidR="00FD0C90">
        <w:rPr>
          <w:lang w:val="en-US"/>
        </w:rPr>
        <w:t xml:space="preserve">noted that even though the Ministry of Finance </w:t>
      </w:r>
      <w:r w:rsidR="004B3682">
        <w:rPr>
          <w:lang w:val="en-US"/>
        </w:rPr>
        <w:t xml:space="preserve">has discretionary power to appoint any of the members of the slate of three finalists, it cannot exclude any member of it, as has happened </w:t>
      </w:r>
      <w:r w:rsidR="004C3374">
        <w:rPr>
          <w:lang w:val="en-US"/>
        </w:rPr>
        <w:t xml:space="preserve">in practice </w:t>
      </w:r>
      <w:r w:rsidR="004B3682">
        <w:rPr>
          <w:lang w:val="en-US"/>
        </w:rPr>
        <w:t>with the claimant</w:t>
      </w:r>
      <w:r w:rsidR="00615259">
        <w:rPr>
          <w:lang w:val="en-US"/>
        </w:rPr>
        <w:t xml:space="preserve">, based on the fact that he presents a mental retardation with emotional blockage, </w:t>
      </w:r>
      <w:r w:rsidR="002B01DA">
        <w:rPr>
          <w:lang w:val="en-US"/>
        </w:rPr>
        <w:t xml:space="preserve">because </w:t>
      </w:r>
      <w:r w:rsidR="00615259">
        <w:rPr>
          <w:lang w:val="en-US"/>
        </w:rPr>
        <w:t xml:space="preserve">that </w:t>
      </w:r>
      <w:r w:rsidR="00F61C80">
        <w:rPr>
          <w:lang w:val="en-US"/>
        </w:rPr>
        <w:t>oversteps the limits of the discretion</w:t>
      </w:r>
      <w:r w:rsidR="00A35C52">
        <w:rPr>
          <w:lang w:val="en-US"/>
        </w:rPr>
        <w:t xml:space="preserve">ary power </w:t>
      </w:r>
      <w:r w:rsidR="004D6C22">
        <w:rPr>
          <w:lang w:val="en-US"/>
        </w:rPr>
        <w:t>as it violates the principle of equality</w:t>
      </w:r>
      <w:r w:rsidR="00BE3238">
        <w:rPr>
          <w:lang w:val="en-US"/>
        </w:rPr>
        <w:t xml:space="preserve"> that governs </w:t>
      </w:r>
      <w:r w:rsidR="004C6F35">
        <w:rPr>
          <w:lang w:val="en-US"/>
        </w:rPr>
        <w:t xml:space="preserve">as a </w:t>
      </w:r>
      <w:r w:rsidR="00752908">
        <w:rPr>
          <w:lang w:val="en-US"/>
        </w:rPr>
        <w:t xml:space="preserve">limit </w:t>
      </w:r>
      <w:r w:rsidR="00C551F8">
        <w:rPr>
          <w:lang w:val="en-US"/>
        </w:rPr>
        <w:t xml:space="preserve">that is part of the legal system. </w:t>
      </w:r>
      <w:r w:rsidR="003E30A1">
        <w:rPr>
          <w:lang w:val="en-US"/>
        </w:rPr>
        <w:t xml:space="preserve">With the instant brief supporting the </w:t>
      </w:r>
      <w:r w:rsidR="003E30A1">
        <w:rPr>
          <w:i/>
          <w:iCs/>
          <w:lang w:val="en-US"/>
        </w:rPr>
        <w:t xml:space="preserve">amparo </w:t>
      </w:r>
      <w:r w:rsidR="003E30A1">
        <w:rPr>
          <w:lang w:val="en-US"/>
        </w:rPr>
        <w:t xml:space="preserve">claim, it is not the intent to directly appoint Mr. Guevara Díaz, but to repeat the competitive selection process free of discriminatory assessments. </w:t>
      </w:r>
    </w:p>
    <w:p w14:paraId="2038F0E1" w14:textId="77777777" w:rsidR="00272A82" w:rsidRPr="00771EED" w:rsidRDefault="00272A82" w:rsidP="00272A82">
      <w:pPr>
        <w:pStyle w:val="citas"/>
        <w:ind w:right="27"/>
        <w:rPr>
          <w:lang w:val="en-US"/>
        </w:rPr>
      </w:pPr>
    </w:p>
    <w:p w14:paraId="437DB151" w14:textId="77777777" w:rsidR="00272A82" w:rsidRPr="00771EED" w:rsidRDefault="00272A82" w:rsidP="00272A82">
      <w:pPr>
        <w:pStyle w:val="citas"/>
        <w:ind w:right="27"/>
        <w:rPr>
          <w:lang w:val="en-US"/>
        </w:rPr>
      </w:pPr>
      <w:r w:rsidRPr="00771EED">
        <w:rPr>
          <w:lang w:val="en-US"/>
        </w:rPr>
        <w:t xml:space="preserve">(…) </w:t>
      </w:r>
      <w:r w:rsidR="00A1225C">
        <w:rPr>
          <w:lang w:val="en-US"/>
        </w:rPr>
        <w:t xml:space="preserve">Furthermore, after </w:t>
      </w:r>
      <w:r w:rsidR="00666266">
        <w:rPr>
          <w:lang w:val="en-US"/>
        </w:rPr>
        <w:t xml:space="preserve">reviewing </w:t>
      </w:r>
      <w:r w:rsidR="00A1225C">
        <w:rPr>
          <w:lang w:val="en-US"/>
        </w:rPr>
        <w:t xml:space="preserve">the file of the aforementioned </w:t>
      </w:r>
      <w:r w:rsidR="005502CD">
        <w:rPr>
          <w:lang w:val="en-US"/>
        </w:rPr>
        <w:t xml:space="preserve">competitive selection process, there is no document putting on the record the </w:t>
      </w:r>
      <w:r w:rsidR="00EA2941">
        <w:rPr>
          <w:lang w:val="en-US"/>
        </w:rPr>
        <w:t xml:space="preserve">basis </w:t>
      </w:r>
      <w:r w:rsidR="005502CD">
        <w:rPr>
          <w:lang w:val="en-US"/>
        </w:rPr>
        <w:t xml:space="preserve">for the administrative </w:t>
      </w:r>
      <w:r w:rsidR="001326AD">
        <w:rPr>
          <w:lang w:val="en-US"/>
        </w:rPr>
        <w:t xml:space="preserve">decision </w:t>
      </w:r>
      <w:r w:rsidR="009D4346">
        <w:rPr>
          <w:lang w:val="en-US"/>
        </w:rPr>
        <w:t xml:space="preserve">in which the appointment is made. </w:t>
      </w:r>
      <w:r w:rsidR="0079261F">
        <w:rPr>
          <w:lang w:val="en-US"/>
        </w:rPr>
        <w:t xml:space="preserve">We only have the document of March 6, 2003, in which the slate of three finalists in the competitive selection process </w:t>
      </w:r>
      <w:r w:rsidR="00A50D8E">
        <w:rPr>
          <w:lang w:val="en-US"/>
        </w:rPr>
        <w:t xml:space="preserve">are announced </w:t>
      </w:r>
      <w:r w:rsidR="00965827">
        <w:rPr>
          <w:lang w:val="en-US"/>
        </w:rPr>
        <w:t xml:space="preserve">and one of the candidates is appointed. </w:t>
      </w:r>
      <w:r w:rsidR="001A42C8">
        <w:rPr>
          <w:lang w:val="en-US"/>
        </w:rPr>
        <w:t xml:space="preserve">The selection was not reasoned, as required by Article 133 of the General Lay of Public Administration. </w:t>
      </w:r>
      <w:r w:rsidR="00316A74">
        <w:rPr>
          <w:lang w:val="en-US"/>
        </w:rPr>
        <w:t>Therefore, the appointment in question, as an administrative</w:t>
      </w:r>
      <w:r w:rsidR="006665DA">
        <w:rPr>
          <w:lang w:val="en-US"/>
        </w:rPr>
        <w:t xml:space="preserve"> decision</w:t>
      </w:r>
      <w:r w:rsidR="00316A74">
        <w:rPr>
          <w:lang w:val="en-US"/>
        </w:rPr>
        <w:t>, is rendered absolutely null and void as provided by Article 166 of the General Law of Public Administration</w:t>
      </w:r>
      <w:r w:rsidRPr="00771EED">
        <w:rPr>
          <w:lang w:val="en-US"/>
        </w:rPr>
        <w:t xml:space="preserve">.  </w:t>
      </w:r>
    </w:p>
    <w:p w14:paraId="48085880" w14:textId="77777777" w:rsidR="00272A82" w:rsidRPr="00771EED" w:rsidRDefault="00272A82" w:rsidP="00272A82">
      <w:pPr>
        <w:pStyle w:val="citas"/>
        <w:ind w:right="27"/>
        <w:rPr>
          <w:lang w:val="en-US"/>
        </w:rPr>
      </w:pPr>
    </w:p>
    <w:p w14:paraId="03380BCF" w14:textId="77777777" w:rsidR="00272A82" w:rsidRPr="00771EED" w:rsidRDefault="00272A82" w:rsidP="00272A82">
      <w:pPr>
        <w:pStyle w:val="citas"/>
        <w:ind w:right="27"/>
        <w:rPr>
          <w:lang w:val="en-US"/>
        </w:rPr>
      </w:pPr>
      <w:r w:rsidRPr="00771EED">
        <w:rPr>
          <w:lang w:val="en-US"/>
        </w:rPr>
        <w:t xml:space="preserve">(…) </w:t>
      </w:r>
      <w:r w:rsidR="005A7554">
        <w:rPr>
          <w:lang w:val="en-US"/>
        </w:rPr>
        <w:t xml:space="preserve">considers that in the selection process and subsequent appointment that had been carried out to fill the position of General Services Worker (miscellaneous), Mr. </w:t>
      </w:r>
      <w:r w:rsidRPr="00771EED">
        <w:rPr>
          <w:lang w:val="en-US"/>
        </w:rPr>
        <w:t xml:space="preserve">Guevara Díaz </w:t>
      </w:r>
      <w:r w:rsidR="000B5FE3">
        <w:rPr>
          <w:lang w:val="en-US"/>
        </w:rPr>
        <w:t>was discriminated against based on his disability and that in the exercise of the discretionary power of appointment by the administration the principle of equality was</w:t>
      </w:r>
      <w:r w:rsidR="00982D93">
        <w:rPr>
          <w:lang w:val="en-US"/>
        </w:rPr>
        <w:t xml:space="preserve"> not upheld</w:t>
      </w:r>
      <w:r w:rsidR="0010693D">
        <w:rPr>
          <w:lang w:val="en-US"/>
        </w:rPr>
        <w:t xml:space="preserve">, in view of the clarity that exists in relation to the </w:t>
      </w:r>
      <w:r w:rsidR="00283ADC">
        <w:rPr>
          <w:lang w:val="en-US"/>
        </w:rPr>
        <w:t xml:space="preserve">manifest </w:t>
      </w:r>
      <w:r w:rsidR="0010693D">
        <w:rPr>
          <w:lang w:val="en-US"/>
        </w:rPr>
        <w:t xml:space="preserve">reason to </w:t>
      </w:r>
      <w:r w:rsidR="00BA157E">
        <w:rPr>
          <w:lang w:val="en-US"/>
        </w:rPr>
        <w:t xml:space="preserve">expressly </w:t>
      </w:r>
      <w:r w:rsidR="0010693D">
        <w:rPr>
          <w:lang w:val="en-US"/>
        </w:rPr>
        <w:t>exclude</w:t>
      </w:r>
      <w:r w:rsidR="0042598C">
        <w:rPr>
          <w:lang w:val="en-US"/>
        </w:rPr>
        <w:t xml:space="preserve"> Mr. Guevara, </w:t>
      </w:r>
      <w:r w:rsidR="00D066BA">
        <w:rPr>
          <w:lang w:val="en-US"/>
        </w:rPr>
        <w:t xml:space="preserve">when no </w:t>
      </w:r>
      <w:r w:rsidR="0042598C">
        <w:rPr>
          <w:lang w:val="en-US"/>
        </w:rPr>
        <w:t xml:space="preserve"> reason to justify the appointment made</w:t>
      </w:r>
      <w:r w:rsidR="00D066BA">
        <w:rPr>
          <w:lang w:val="en-US"/>
        </w:rPr>
        <w:t xml:space="preserve"> exists</w:t>
      </w:r>
      <w:r w:rsidR="0042598C">
        <w:rPr>
          <w:lang w:val="en-US"/>
        </w:rPr>
        <w:t>.</w:t>
      </w:r>
      <w:r w:rsidRPr="00771EED">
        <w:rPr>
          <w:rStyle w:val="FootnoteReference"/>
          <w:szCs w:val="18"/>
          <w:lang w:val="en-US"/>
        </w:rPr>
        <w:footnoteReference w:id="15"/>
      </w:r>
      <w:r w:rsidRPr="00771EED">
        <w:rPr>
          <w:lang w:val="en-US"/>
        </w:rPr>
        <w:t xml:space="preserve"> </w:t>
      </w:r>
    </w:p>
    <w:p w14:paraId="1829A77E" w14:textId="77777777" w:rsidR="00272A82" w:rsidRPr="00771EED" w:rsidRDefault="00272A82" w:rsidP="00272A82">
      <w:pPr>
        <w:pStyle w:val="parrafos"/>
      </w:pPr>
    </w:p>
    <w:p w14:paraId="110B5576" w14:textId="77777777" w:rsidR="00272A82" w:rsidRPr="00771EED" w:rsidRDefault="00313AC1" w:rsidP="00272A82">
      <w:pPr>
        <w:pStyle w:val="parrafos"/>
        <w:numPr>
          <w:ilvl w:val="0"/>
          <w:numId w:val="106"/>
        </w:numPr>
        <w:tabs>
          <w:tab w:val="clear" w:pos="1440"/>
        </w:tabs>
        <w:ind w:left="0" w:firstLine="0"/>
      </w:pPr>
      <w:r>
        <w:t xml:space="preserve">On February </w:t>
      </w:r>
      <w:r w:rsidR="00272A82" w:rsidRPr="00771EED">
        <w:t>14</w:t>
      </w:r>
      <w:r>
        <w:t>,</w:t>
      </w:r>
      <w:r w:rsidR="00272A82" w:rsidRPr="00771EED">
        <w:t xml:space="preserve"> 2005</w:t>
      </w:r>
      <w:r w:rsidR="00502801">
        <w:t xml:space="preserve">, the Constitutional Chamber of the Supreme Court of Justice </w:t>
      </w:r>
      <w:r w:rsidR="000C2F99">
        <w:t xml:space="preserve">declared groundless the </w:t>
      </w:r>
      <w:r w:rsidR="000C2F99">
        <w:rPr>
          <w:i/>
          <w:iCs/>
        </w:rPr>
        <w:t xml:space="preserve">amparo </w:t>
      </w:r>
      <w:r w:rsidR="000C2F99">
        <w:t>claim</w:t>
      </w:r>
      <w:r w:rsidR="002C0705">
        <w:t xml:space="preserve"> filed by the alleged victim, </w:t>
      </w:r>
      <w:r w:rsidR="00717031">
        <w:t xml:space="preserve">writing </w:t>
      </w:r>
      <w:r w:rsidR="002C0705">
        <w:t xml:space="preserve">the following considerations: </w:t>
      </w:r>
      <w:r w:rsidR="000C2F99">
        <w:t xml:space="preserve"> </w:t>
      </w:r>
    </w:p>
    <w:p w14:paraId="7ADA3B53" w14:textId="77777777" w:rsidR="00272A82" w:rsidRPr="00771EED" w:rsidRDefault="00272A82" w:rsidP="00272A82">
      <w:pPr>
        <w:pStyle w:val="parrafos"/>
      </w:pPr>
    </w:p>
    <w:p w14:paraId="2122C67B" w14:textId="77777777" w:rsidR="00272A82" w:rsidRPr="00771EED" w:rsidRDefault="00272A82" w:rsidP="00272A82">
      <w:pPr>
        <w:pStyle w:val="citas"/>
        <w:ind w:right="27"/>
        <w:rPr>
          <w:lang w:val="en-US"/>
        </w:rPr>
      </w:pPr>
      <w:r w:rsidRPr="00771EED">
        <w:rPr>
          <w:lang w:val="en-US"/>
        </w:rPr>
        <w:t>(…)</w:t>
      </w:r>
      <w:r w:rsidR="006C3A14">
        <w:rPr>
          <w:lang w:val="en-US"/>
        </w:rPr>
        <w:t xml:space="preserve"> </w:t>
      </w:r>
      <w:r w:rsidR="0091183C">
        <w:rPr>
          <w:lang w:val="en-US"/>
        </w:rPr>
        <w:t xml:space="preserve">Based on the examination of the evidence introduced in the case proceedings file and on the information provided under oath, it is concluded that the claimant was appointed on an interim basis </w:t>
      </w:r>
      <w:r w:rsidR="00B96135">
        <w:rPr>
          <w:lang w:val="en-US"/>
        </w:rPr>
        <w:t xml:space="preserve">to the position of Miscellaneous Worker 1 within the respondent Ministry; </w:t>
      </w:r>
      <w:r w:rsidR="00A00BCA">
        <w:rPr>
          <w:lang w:val="en-US"/>
        </w:rPr>
        <w:t xml:space="preserve">subsequently, in the interest of filling a vacant position, an external </w:t>
      </w:r>
      <w:r w:rsidR="00DD0147">
        <w:rPr>
          <w:lang w:val="en-US"/>
        </w:rPr>
        <w:t xml:space="preserve">competitive selection process was </w:t>
      </w:r>
      <w:r w:rsidR="004D72BB">
        <w:rPr>
          <w:lang w:val="en-US"/>
        </w:rPr>
        <w:t xml:space="preserve">instituted </w:t>
      </w:r>
      <w:r w:rsidR="00A60B90">
        <w:rPr>
          <w:lang w:val="en-US"/>
        </w:rPr>
        <w:t xml:space="preserve">in which civil servant </w:t>
      </w:r>
      <w:r w:rsidR="00E10C95">
        <w:rPr>
          <w:lang w:val="en-US"/>
        </w:rPr>
        <w:t xml:space="preserve">Guevara Díaz had full opportunity to participate, for which he was given special and specific tests because of his disability, thus </w:t>
      </w:r>
      <w:r w:rsidR="0075612B">
        <w:rPr>
          <w:lang w:val="en-US"/>
        </w:rPr>
        <w:t xml:space="preserve">abiding by </w:t>
      </w:r>
      <w:r w:rsidR="001406F6">
        <w:rPr>
          <w:lang w:val="en-US"/>
        </w:rPr>
        <w:t xml:space="preserve">the laws in effect at the time, which were also assessed by </w:t>
      </w:r>
      <w:r w:rsidR="002E4EFA">
        <w:rPr>
          <w:lang w:val="en-US"/>
        </w:rPr>
        <w:t>the</w:t>
      </w:r>
      <w:r w:rsidR="001406F6">
        <w:rPr>
          <w:lang w:val="en-US"/>
        </w:rPr>
        <w:t xml:space="preserve"> </w:t>
      </w:r>
      <w:r w:rsidR="002E4EFA">
        <w:rPr>
          <w:lang w:val="en-US"/>
        </w:rPr>
        <w:t>P</w:t>
      </w:r>
      <w:r w:rsidR="001406F6">
        <w:rPr>
          <w:lang w:val="en-US"/>
        </w:rPr>
        <w:t>sychologist</w:t>
      </w:r>
      <w:r w:rsidR="00B85D60">
        <w:rPr>
          <w:lang w:val="en-US"/>
        </w:rPr>
        <w:t xml:space="preserve"> of the Technical Unit for Medical Services of that Body. </w:t>
      </w:r>
      <w:r w:rsidR="001406F6">
        <w:rPr>
          <w:lang w:val="en-US"/>
        </w:rPr>
        <w:t xml:space="preserve"> </w:t>
      </w:r>
      <w:r w:rsidR="00207440">
        <w:rPr>
          <w:lang w:val="en-US"/>
        </w:rPr>
        <w:t xml:space="preserve">The claimant was eligible to hold the position and fully participate in the </w:t>
      </w:r>
      <w:r w:rsidR="00886219">
        <w:rPr>
          <w:lang w:val="en-US"/>
        </w:rPr>
        <w:t xml:space="preserve">election </w:t>
      </w:r>
      <w:r w:rsidR="00207440">
        <w:rPr>
          <w:lang w:val="en-US"/>
        </w:rPr>
        <w:t xml:space="preserve">of the candidate to hold the position in question, thus he was one of the members of the respective slate of three finalists. </w:t>
      </w:r>
      <w:r w:rsidR="00320AA6">
        <w:rPr>
          <w:lang w:val="en-US"/>
        </w:rPr>
        <w:t xml:space="preserve">Based on the foregoing, </w:t>
      </w:r>
      <w:r w:rsidR="007D020A">
        <w:rPr>
          <w:lang w:val="en-US"/>
        </w:rPr>
        <w:t xml:space="preserve">it is evident </w:t>
      </w:r>
      <w:r w:rsidR="002F2293">
        <w:rPr>
          <w:lang w:val="en-US"/>
        </w:rPr>
        <w:t xml:space="preserve">that the claimant had access to the position </w:t>
      </w:r>
      <w:r w:rsidR="00EC754D">
        <w:rPr>
          <w:lang w:val="en-US"/>
        </w:rPr>
        <w:t xml:space="preserve">of his interest on an equal </w:t>
      </w:r>
      <w:r w:rsidR="0020652A">
        <w:rPr>
          <w:lang w:val="en-US"/>
        </w:rPr>
        <w:t xml:space="preserve">basis </w:t>
      </w:r>
      <w:r w:rsidR="003826AF">
        <w:rPr>
          <w:lang w:val="en-US"/>
        </w:rPr>
        <w:t>with the other candidates</w:t>
      </w:r>
      <w:r w:rsidRPr="00771EED">
        <w:rPr>
          <w:lang w:val="en-US"/>
        </w:rPr>
        <w:t>,</w:t>
      </w:r>
      <w:r w:rsidR="00FD354D">
        <w:rPr>
          <w:lang w:val="en-US"/>
        </w:rPr>
        <w:t xml:space="preserve"> and no acts are apparent in the procedure </w:t>
      </w:r>
      <w:r w:rsidR="00FA197C">
        <w:rPr>
          <w:lang w:val="en-US"/>
        </w:rPr>
        <w:t xml:space="preserve">that could be considered </w:t>
      </w:r>
      <w:r w:rsidR="00B37C9F">
        <w:rPr>
          <w:lang w:val="en-US"/>
        </w:rPr>
        <w:t xml:space="preserve">as discriminatory against him. </w:t>
      </w:r>
      <w:r w:rsidRPr="00771EED">
        <w:rPr>
          <w:lang w:val="en-US"/>
        </w:rPr>
        <w:t xml:space="preserve"> </w:t>
      </w:r>
      <w:r w:rsidR="008E06CE">
        <w:rPr>
          <w:lang w:val="en-US"/>
        </w:rPr>
        <w:t xml:space="preserve">While it is true that there exists a note from the Head of the </w:t>
      </w:r>
      <w:r w:rsidR="00AE74E7">
        <w:rPr>
          <w:lang w:val="en-US"/>
        </w:rPr>
        <w:t xml:space="preserve">Maintenance </w:t>
      </w:r>
      <w:r w:rsidR="008E06CE">
        <w:rPr>
          <w:lang w:val="en-US"/>
        </w:rPr>
        <w:t xml:space="preserve">Area of </w:t>
      </w:r>
      <w:r w:rsidR="00B7465C">
        <w:rPr>
          <w:lang w:val="en-US"/>
        </w:rPr>
        <w:t xml:space="preserve">the Ministry of Finance, </w:t>
      </w:r>
      <w:r w:rsidR="00350FA7">
        <w:rPr>
          <w:lang w:val="en-US"/>
        </w:rPr>
        <w:t xml:space="preserve">in which mention is made of the problems of disability that the appellant suffers from, this Court has been informed in sworn statement (with the consequences of the law) that the selection of </w:t>
      </w:r>
      <w:r w:rsidR="00983F8A">
        <w:rPr>
          <w:lang w:val="en-US"/>
        </w:rPr>
        <w:t xml:space="preserve">the </w:t>
      </w:r>
      <w:r w:rsidR="00350FA7">
        <w:rPr>
          <w:lang w:val="en-US"/>
        </w:rPr>
        <w:t xml:space="preserve">civil servant to hold the vacant position was </w:t>
      </w:r>
      <w:r w:rsidR="007173D9">
        <w:rPr>
          <w:lang w:val="en-US"/>
        </w:rPr>
        <w:t xml:space="preserve">made prior to the aforementioned note and that in no way did it influence </w:t>
      </w:r>
      <w:r w:rsidR="00D021ED">
        <w:rPr>
          <w:lang w:val="en-US"/>
        </w:rPr>
        <w:t xml:space="preserve">the choice of the suitable person for the position. </w:t>
      </w:r>
      <w:r w:rsidR="008B72FD">
        <w:rPr>
          <w:lang w:val="en-US"/>
        </w:rPr>
        <w:t xml:space="preserve">This being the case and in accordance with the </w:t>
      </w:r>
      <w:r w:rsidR="008B72FD">
        <w:rPr>
          <w:lang w:val="en-US"/>
        </w:rPr>
        <w:lastRenderedPageBreak/>
        <w:t xml:space="preserve">consistent judgment of this Constitutional Court, constitutional </w:t>
      </w:r>
      <w:r w:rsidR="008B72FD">
        <w:rPr>
          <w:i/>
          <w:iCs/>
          <w:lang w:val="en-US"/>
        </w:rPr>
        <w:t xml:space="preserve">amparo </w:t>
      </w:r>
      <w:r w:rsidR="00225A0D">
        <w:rPr>
          <w:lang w:val="en-US"/>
        </w:rPr>
        <w:t xml:space="preserve">does not provide protection </w:t>
      </w:r>
      <w:r w:rsidR="00885ABA">
        <w:rPr>
          <w:lang w:val="en-US"/>
        </w:rPr>
        <w:t xml:space="preserve">for equal participation of interested parties </w:t>
      </w:r>
      <w:r w:rsidR="00BF2B23">
        <w:rPr>
          <w:lang w:val="en-US"/>
        </w:rPr>
        <w:t xml:space="preserve">to be included on a list or be on the respective slate of three finalists and it is </w:t>
      </w:r>
      <w:r w:rsidR="00D45A3F">
        <w:rPr>
          <w:lang w:val="en-US"/>
        </w:rPr>
        <w:t xml:space="preserve">improper </w:t>
      </w:r>
      <w:r w:rsidR="00E4636C">
        <w:rPr>
          <w:lang w:val="en-US"/>
        </w:rPr>
        <w:t xml:space="preserve">for it to </w:t>
      </w:r>
      <w:r w:rsidR="00E02D4B">
        <w:rPr>
          <w:lang w:val="en-US"/>
        </w:rPr>
        <w:t xml:space="preserve">review the legality, timeliness </w:t>
      </w:r>
      <w:r w:rsidR="00F704BF">
        <w:rPr>
          <w:lang w:val="en-US"/>
        </w:rPr>
        <w:t xml:space="preserve">or appropriateness </w:t>
      </w:r>
      <w:r w:rsidR="003C74AF">
        <w:rPr>
          <w:lang w:val="en-US"/>
        </w:rPr>
        <w:t>of the decision of the competent bodies</w:t>
      </w:r>
      <w:r w:rsidR="001419C0">
        <w:rPr>
          <w:lang w:val="en-US"/>
        </w:rPr>
        <w:t xml:space="preserve"> in the specific </w:t>
      </w:r>
      <w:r w:rsidR="006B7A68">
        <w:rPr>
          <w:lang w:val="en-US"/>
        </w:rPr>
        <w:t>selection</w:t>
      </w:r>
      <w:r w:rsidR="001419C0">
        <w:rPr>
          <w:lang w:val="en-US"/>
        </w:rPr>
        <w:t xml:space="preserve">, which is done in the exercise of its discretionary powers. </w:t>
      </w:r>
      <w:r w:rsidR="003C74AF">
        <w:rPr>
          <w:lang w:val="en-US"/>
        </w:rPr>
        <w:t xml:space="preserve"> </w:t>
      </w:r>
    </w:p>
    <w:p w14:paraId="4E2522BE" w14:textId="77777777" w:rsidR="00272A82" w:rsidRPr="00771EED" w:rsidRDefault="00272A82" w:rsidP="00272A82">
      <w:pPr>
        <w:pStyle w:val="citas"/>
        <w:ind w:right="27"/>
        <w:rPr>
          <w:lang w:val="en-US"/>
        </w:rPr>
      </w:pPr>
    </w:p>
    <w:p w14:paraId="01B2A67F" w14:textId="77777777" w:rsidR="00272A82" w:rsidRPr="00771EED" w:rsidRDefault="00272A82" w:rsidP="00272A82">
      <w:pPr>
        <w:pStyle w:val="citas"/>
        <w:ind w:right="27"/>
        <w:rPr>
          <w:lang w:val="en-US"/>
        </w:rPr>
      </w:pPr>
      <w:r w:rsidRPr="00771EED">
        <w:rPr>
          <w:lang w:val="en-US"/>
        </w:rPr>
        <w:t>VII.-</w:t>
      </w:r>
      <w:r w:rsidR="0011319F">
        <w:rPr>
          <w:lang w:val="en-US"/>
        </w:rPr>
        <w:t xml:space="preserve">In accordance with the foregoing whereas clauses, </w:t>
      </w:r>
      <w:r w:rsidR="006925C6">
        <w:rPr>
          <w:lang w:val="en-US"/>
        </w:rPr>
        <w:t xml:space="preserve">we reach the conclusion that </w:t>
      </w:r>
      <w:r w:rsidR="00DE6715">
        <w:rPr>
          <w:lang w:val="en-US"/>
        </w:rPr>
        <w:t xml:space="preserve">the constitutional rights of the claimant have not been threatened or violated by the facts that </w:t>
      </w:r>
      <w:r w:rsidR="00E438DC">
        <w:rPr>
          <w:lang w:val="en-US"/>
        </w:rPr>
        <w:t xml:space="preserve">he </w:t>
      </w:r>
      <w:r w:rsidR="00FD7A33">
        <w:rPr>
          <w:lang w:val="en-US"/>
        </w:rPr>
        <w:t xml:space="preserve">contends, without prejudice to </w:t>
      </w:r>
      <w:r w:rsidR="00540937">
        <w:rPr>
          <w:lang w:val="en-US"/>
        </w:rPr>
        <w:t xml:space="preserve">discussing the legality of the procedure used for the selection of the candidates </w:t>
      </w:r>
      <w:r w:rsidR="00332DA6">
        <w:rPr>
          <w:lang w:val="en-US"/>
        </w:rPr>
        <w:t xml:space="preserve">to hold the position of interest to Mr. </w:t>
      </w:r>
      <w:r w:rsidR="001A44AE">
        <w:rPr>
          <w:lang w:val="en-US"/>
        </w:rPr>
        <w:t>Guevara</w:t>
      </w:r>
      <w:r w:rsidR="00332DA6">
        <w:rPr>
          <w:lang w:val="en-US"/>
        </w:rPr>
        <w:t xml:space="preserve"> Díaz at the appropriate administrative body, </w:t>
      </w:r>
      <w:r w:rsidR="00252AB0">
        <w:rPr>
          <w:lang w:val="en-US"/>
        </w:rPr>
        <w:t>which goes beyond the competence of this Constitutional Court.</w:t>
      </w:r>
      <w:r w:rsidRPr="00771EED">
        <w:rPr>
          <w:rStyle w:val="FootnoteReference"/>
          <w:szCs w:val="18"/>
          <w:lang w:val="en-US"/>
        </w:rPr>
        <w:footnoteReference w:id="16"/>
      </w:r>
    </w:p>
    <w:p w14:paraId="3DAA16F3" w14:textId="77777777" w:rsidR="00272A82" w:rsidRPr="00771EED" w:rsidRDefault="00272A82" w:rsidP="00272A82">
      <w:pPr>
        <w:pStyle w:val="parrafos"/>
      </w:pPr>
    </w:p>
    <w:p w14:paraId="413F46B1" w14:textId="77777777" w:rsidR="00272A82" w:rsidRPr="00771EED" w:rsidRDefault="00451A20" w:rsidP="00272A82">
      <w:pPr>
        <w:pStyle w:val="parrafos"/>
        <w:numPr>
          <w:ilvl w:val="0"/>
          <w:numId w:val="106"/>
        </w:numPr>
        <w:tabs>
          <w:tab w:val="clear" w:pos="1440"/>
        </w:tabs>
        <w:ind w:left="0" w:firstLine="0"/>
      </w:pPr>
      <w:r>
        <w:t xml:space="preserve">On August </w:t>
      </w:r>
      <w:r w:rsidR="00272A82" w:rsidRPr="00771EED">
        <w:t>22</w:t>
      </w:r>
      <w:r>
        <w:t>,</w:t>
      </w:r>
      <w:r w:rsidR="00272A82" w:rsidRPr="00771EED">
        <w:t xml:space="preserve"> 2005</w:t>
      </w:r>
      <w:r w:rsidR="00E8453C">
        <w:t xml:space="preserve">, the National Director of Social Security sent an official letter to the Ministry of Labor and Social Security, </w:t>
      </w:r>
      <w:r w:rsidR="00A20A99">
        <w:t xml:space="preserve">emphasizing to it that the selection process should be reviewed </w:t>
      </w:r>
      <w:r w:rsidR="00E04B98">
        <w:t xml:space="preserve">because it was not objective and did not take into account the Law of Equal Opportunities for Persons with Disability. </w:t>
      </w:r>
      <w:r w:rsidR="0038724C">
        <w:t xml:space="preserve">In this regard, she reasoned: </w:t>
      </w:r>
      <w:r w:rsidR="00272A82" w:rsidRPr="00771EED">
        <w:t xml:space="preserve"> </w:t>
      </w:r>
    </w:p>
    <w:p w14:paraId="3387B9AF" w14:textId="77777777" w:rsidR="00272A82" w:rsidRPr="00771EED" w:rsidRDefault="00272A82" w:rsidP="00272A82">
      <w:pPr>
        <w:pStyle w:val="parrafos"/>
      </w:pPr>
    </w:p>
    <w:p w14:paraId="78EB500E" w14:textId="77777777" w:rsidR="00272A82" w:rsidRPr="00771EED" w:rsidRDefault="00272A82" w:rsidP="00272A82">
      <w:pPr>
        <w:pStyle w:val="citas"/>
        <w:ind w:right="27"/>
        <w:rPr>
          <w:lang w:val="en-US"/>
        </w:rPr>
      </w:pPr>
      <w:r w:rsidRPr="00771EED">
        <w:rPr>
          <w:lang w:val="en-US"/>
        </w:rPr>
        <w:t xml:space="preserve">(…) </w:t>
      </w:r>
      <w:r w:rsidR="001B77AD">
        <w:rPr>
          <w:lang w:val="en-US"/>
        </w:rPr>
        <w:t xml:space="preserve">apparently, </w:t>
      </w:r>
      <w:r w:rsidR="00DF74F9">
        <w:rPr>
          <w:lang w:val="en-US"/>
        </w:rPr>
        <w:t xml:space="preserve">based on the argument put forward by the Administration of the Ministry of Finance to not appoint him on a permanent basis was the recommendation of the Head of Maintenance wherein it is asserted that “he does not recommend his appointment to permanent status because of his problems of mental retardation </w:t>
      </w:r>
      <w:r w:rsidR="009F5C51">
        <w:rPr>
          <w:lang w:val="en-US"/>
        </w:rPr>
        <w:t xml:space="preserve">and emotional blockage” which the </w:t>
      </w:r>
      <w:r w:rsidR="00E70D8A">
        <w:rPr>
          <w:lang w:val="en-US"/>
        </w:rPr>
        <w:t xml:space="preserve">worker is suffering from and because he does not consider him to be </w:t>
      </w:r>
      <w:r w:rsidR="00CE299F">
        <w:rPr>
          <w:lang w:val="en-US"/>
        </w:rPr>
        <w:t xml:space="preserve">a qualified </w:t>
      </w:r>
      <w:r w:rsidR="005676E9">
        <w:rPr>
          <w:lang w:val="en-US"/>
        </w:rPr>
        <w:t>person for the position (even though he was given the chance to work on an interim basis</w:t>
      </w:r>
      <w:r w:rsidR="00284133">
        <w:rPr>
          <w:lang w:val="en-US"/>
        </w:rPr>
        <w:t xml:space="preserve">, he obtained good scores in his performance, </w:t>
      </w:r>
      <w:r w:rsidR="00C64E41">
        <w:rPr>
          <w:lang w:val="en-US"/>
        </w:rPr>
        <w:t>h</w:t>
      </w:r>
      <w:r w:rsidR="007C072F">
        <w:rPr>
          <w:lang w:val="en-US"/>
        </w:rPr>
        <w:t>is merit at his job</w:t>
      </w:r>
      <w:r w:rsidR="00C64E41">
        <w:rPr>
          <w:lang w:val="en-US"/>
        </w:rPr>
        <w:t xml:space="preserve"> was recognized in writing</w:t>
      </w:r>
      <w:r w:rsidR="00BE6DCB">
        <w:rPr>
          <w:lang w:val="en-US"/>
        </w:rPr>
        <w:t xml:space="preserve">, and he ranked first place </w:t>
      </w:r>
      <w:r w:rsidR="006558B9">
        <w:rPr>
          <w:lang w:val="en-US"/>
        </w:rPr>
        <w:t>among the slate of three finalists).</w:t>
      </w:r>
    </w:p>
    <w:p w14:paraId="766B0EFC" w14:textId="77777777" w:rsidR="00272A82" w:rsidRPr="00771EED" w:rsidRDefault="00272A82" w:rsidP="00272A82">
      <w:pPr>
        <w:pStyle w:val="citas"/>
        <w:ind w:right="27"/>
        <w:rPr>
          <w:lang w:val="en-US"/>
        </w:rPr>
      </w:pPr>
    </w:p>
    <w:p w14:paraId="042ADAF4" w14:textId="77777777" w:rsidR="00272A82" w:rsidRPr="00771EED" w:rsidRDefault="00DF60B9" w:rsidP="00272A82">
      <w:pPr>
        <w:pStyle w:val="citas"/>
        <w:ind w:right="27"/>
        <w:rPr>
          <w:lang w:val="en-US"/>
        </w:rPr>
      </w:pPr>
      <w:r>
        <w:rPr>
          <w:lang w:val="en-US"/>
        </w:rPr>
        <w:t xml:space="preserve">In conclusion I consider </w:t>
      </w:r>
      <w:r w:rsidR="00272A82" w:rsidRPr="00771EED">
        <w:rPr>
          <w:lang w:val="en-US"/>
        </w:rPr>
        <w:t xml:space="preserve">(…)  </w:t>
      </w:r>
      <w:r>
        <w:rPr>
          <w:lang w:val="en-US"/>
        </w:rPr>
        <w:t xml:space="preserve">Mr. </w:t>
      </w:r>
      <w:r w:rsidR="00272A82" w:rsidRPr="00771EED">
        <w:rPr>
          <w:lang w:val="en-US"/>
        </w:rPr>
        <w:t xml:space="preserve">Guevara Díaz </w:t>
      </w:r>
      <w:r w:rsidR="004216F6">
        <w:rPr>
          <w:lang w:val="en-US"/>
        </w:rPr>
        <w:t>in the time that he has served as a miscellaneous [worker], built up the necessary experience and did so in an effective manner</w:t>
      </w:r>
      <w:r w:rsidR="00272A82" w:rsidRPr="00771EED">
        <w:rPr>
          <w:lang w:val="en-US"/>
        </w:rPr>
        <w:t xml:space="preserve">, </w:t>
      </w:r>
      <w:r w:rsidR="008427EB">
        <w:rPr>
          <w:lang w:val="en-US"/>
        </w:rPr>
        <w:t xml:space="preserve">as the performance evaluations conducted by his superiors note.  The disability that he presents never constituted a limitation </w:t>
      </w:r>
      <w:r w:rsidR="00D544DA">
        <w:rPr>
          <w:lang w:val="en-US"/>
        </w:rPr>
        <w:t xml:space="preserve">to the performance of his duties </w:t>
      </w:r>
      <w:r w:rsidR="00253A89">
        <w:rPr>
          <w:lang w:val="en-US"/>
        </w:rPr>
        <w:t xml:space="preserve">in said position. </w:t>
      </w:r>
      <w:r w:rsidR="00273DAB">
        <w:rPr>
          <w:lang w:val="en-US"/>
        </w:rPr>
        <w:t>The reason</w:t>
      </w:r>
      <w:r w:rsidR="00F43064">
        <w:rPr>
          <w:lang w:val="en-US"/>
        </w:rPr>
        <w:t>s</w:t>
      </w:r>
      <w:r w:rsidR="00273DAB">
        <w:rPr>
          <w:lang w:val="en-US"/>
        </w:rPr>
        <w:t xml:space="preserve"> put forward by </w:t>
      </w:r>
      <w:r w:rsidR="00FF6950">
        <w:rPr>
          <w:lang w:val="en-US"/>
        </w:rPr>
        <w:t xml:space="preserve">the </w:t>
      </w:r>
      <w:r w:rsidR="00DB7682">
        <w:rPr>
          <w:lang w:val="en-US"/>
        </w:rPr>
        <w:t xml:space="preserve">senior officials </w:t>
      </w:r>
      <w:r w:rsidR="004A412A">
        <w:rPr>
          <w:lang w:val="en-US"/>
        </w:rPr>
        <w:t xml:space="preserve">to not appoint Mr. Guevara </w:t>
      </w:r>
      <w:r w:rsidR="00AF16D8">
        <w:rPr>
          <w:lang w:val="en-US"/>
        </w:rPr>
        <w:t xml:space="preserve">are at odds </w:t>
      </w:r>
      <w:r w:rsidR="00F43064">
        <w:rPr>
          <w:lang w:val="en-US"/>
        </w:rPr>
        <w:t xml:space="preserve">with </w:t>
      </w:r>
      <w:r w:rsidR="00035ABB">
        <w:rPr>
          <w:lang w:val="en-US"/>
        </w:rPr>
        <w:t>the provisions of the Law of Equal Opportunities for Persons with Disabilities</w:t>
      </w:r>
      <w:r w:rsidR="00CE5589">
        <w:rPr>
          <w:lang w:val="en-US"/>
        </w:rPr>
        <w:t>, Chapter II referring to Access to Work which reads</w:t>
      </w:r>
      <w:r w:rsidR="00272A82" w:rsidRPr="00771EED">
        <w:rPr>
          <w:lang w:val="en-US"/>
        </w:rPr>
        <w:t>: …”</w:t>
      </w:r>
      <w:r w:rsidR="0088668F">
        <w:rPr>
          <w:lang w:val="en-US"/>
        </w:rPr>
        <w:t>additionally it is considered an act of discrimination that a qualified worker is denied employment based on his disability</w:t>
      </w:r>
      <w:r w:rsidR="00272A82" w:rsidRPr="00771EED">
        <w:rPr>
          <w:lang w:val="en-US"/>
        </w:rPr>
        <w:t xml:space="preserve">…” </w:t>
      </w:r>
      <w:r w:rsidR="0068156A">
        <w:rPr>
          <w:lang w:val="en-US"/>
        </w:rPr>
        <w:t>if this citation is taken verbatim, the administrative process should be reviewed</w:t>
      </w:r>
      <w:r w:rsidR="003E5575">
        <w:rPr>
          <w:lang w:val="en-US"/>
        </w:rPr>
        <w:t>, inasmuch as on the face of it, the selection was not objective, given that the candidate met all the requirements and has proven effective performance</w:t>
      </w:r>
      <w:r w:rsidR="00E66E91" w:rsidRPr="00E66E91">
        <w:rPr>
          <w:lang w:val="en-US"/>
        </w:rPr>
        <w:t xml:space="preserve"> </w:t>
      </w:r>
      <w:r w:rsidR="00E66E91">
        <w:rPr>
          <w:lang w:val="en-US"/>
        </w:rPr>
        <w:t>over 12 years</w:t>
      </w:r>
      <w:r w:rsidR="008C30C2">
        <w:rPr>
          <w:lang w:val="en-US"/>
        </w:rPr>
        <w:t>.</w:t>
      </w:r>
      <w:r w:rsidR="00272A82" w:rsidRPr="00771EED">
        <w:rPr>
          <w:rStyle w:val="FootnoteReference"/>
          <w:szCs w:val="18"/>
          <w:lang w:val="en-US"/>
        </w:rPr>
        <w:footnoteReference w:id="17"/>
      </w:r>
      <w:r w:rsidR="00272A82" w:rsidRPr="00771EED">
        <w:rPr>
          <w:lang w:val="en-US"/>
        </w:rPr>
        <w:cr/>
        <w:t xml:space="preserve"> </w:t>
      </w:r>
    </w:p>
    <w:p w14:paraId="7B1E6A6D" w14:textId="77777777" w:rsidR="00272A82" w:rsidRPr="00771EED" w:rsidRDefault="00594289" w:rsidP="00272A82">
      <w:pPr>
        <w:pStyle w:val="parrafos"/>
        <w:numPr>
          <w:ilvl w:val="0"/>
          <w:numId w:val="106"/>
        </w:numPr>
        <w:tabs>
          <w:tab w:val="clear" w:pos="1440"/>
        </w:tabs>
        <w:ind w:left="0" w:firstLine="0"/>
      </w:pPr>
      <w:r>
        <w:t xml:space="preserve">On August </w:t>
      </w:r>
      <w:r w:rsidR="00272A82" w:rsidRPr="00771EED">
        <w:t>29</w:t>
      </w:r>
      <w:r>
        <w:t>,</w:t>
      </w:r>
      <w:r w:rsidR="00272A82" w:rsidRPr="00771EED">
        <w:t xml:space="preserve"> 2005</w:t>
      </w:r>
      <w:r w:rsidR="0064269D">
        <w:t xml:space="preserve">, </w:t>
      </w:r>
      <w:r w:rsidR="00B71B46">
        <w:t>in a communication to the President of the Republic of Costa Rica</w:t>
      </w:r>
      <w:r w:rsidR="006544FC">
        <w:t>,</w:t>
      </w:r>
      <w:r w:rsidR="00B71B46">
        <w:t xml:space="preserve"> </w:t>
      </w:r>
      <w:r w:rsidR="00893252">
        <w:t>the Minister of Labor and Social Welfare</w:t>
      </w:r>
      <w:r w:rsidR="0090495B">
        <w:t xml:space="preserve"> </w:t>
      </w:r>
      <w:r w:rsidR="00B71B46">
        <w:t xml:space="preserve">noted with regard to the instant petition that: </w:t>
      </w:r>
      <w:r w:rsidR="00272A82" w:rsidRPr="00771EED">
        <w:t xml:space="preserve"> </w:t>
      </w:r>
    </w:p>
    <w:p w14:paraId="58E5C2BE" w14:textId="77777777" w:rsidR="00272A82" w:rsidRPr="00771EED" w:rsidRDefault="00272A82" w:rsidP="00272A82">
      <w:pPr>
        <w:pStyle w:val="citas"/>
        <w:ind w:right="27"/>
        <w:rPr>
          <w:lang w:val="en-US"/>
        </w:rPr>
      </w:pPr>
    </w:p>
    <w:p w14:paraId="016CE9A4" w14:textId="77777777" w:rsidR="00272A82" w:rsidRPr="00771EED" w:rsidRDefault="00272A82" w:rsidP="00272A82">
      <w:pPr>
        <w:pStyle w:val="citas"/>
        <w:ind w:right="27"/>
        <w:rPr>
          <w:lang w:val="en-US"/>
        </w:rPr>
      </w:pPr>
      <w:r w:rsidRPr="00771EED">
        <w:rPr>
          <w:lang w:val="en-US"/>
        </w:rPr>
        <w:t xml:space="preserve">(…) </w:t>
      </w:r>
      <w:r w:rsidR="002F25D5">
        <w:rPr>
          <w:lang w:val="en-US"/>
        </w:rPr>
        <w:t xml:space="preserve">This office </w:t>
      </w:r>
      <w:r w:rsidR="004F70F1">
        <w:rPr>
          <w:lang w:val="en-US"/>
        </w:rPr>
        <w:t>forwarded a copy of this case</w:t>
      </w:r>
      <w:r w:rsidR="002836C5">
        <w:rPr>
          <w:lang w:val="en-US"/>
        </w:rPr>
        <w:t xml:space="preserve"> file</w:t>
      </w:r>
      <w:r w:rsidR="004F70F1">
        <w:rPr>
          <w:lang w:val="en-US"/>
        </w:rPr>
        <w:t xml:space="preserve"> to the Disability Unit of this Ministry, in order for it to issue a judgment with relation to the case of Mr. </w:t>
      </w:r>
      <w:r w:rsidRPr="00771EED">
        <w:rPr>
          <w:lang w:val="en-US"/>
        </w:rPr>
        <w:t xml:space="preserve">Luis Fernando Guevara Díaz (…) </w:t>
      </w:r>
      <w:r w:rsidR="007155D7">
        <w:rPr>
          <w:lang w:val="en-US"/>
        </w:rPr>
        <w:t xml:space="preserve">said Unit, in short, </w:t>
      </w:r>
      <w:r w:rsidR="00C3733F">
        <w:rPr>
          <w:lang w:val="en-US"/>
        </w:rPr>
        <w:t xml:space="preserve">understands Mr. Guevara Díaz to be </w:t>
      </w:r>
      <w:r w:rsidR="00990040">
        <w:rPr>
          <w:lang w:val="en-US"/>
        </w:rPr>
        <w:t xml:space="preserve">qualified to serve as a miscellaneous worker, given that the training and the conclusion of the process of </w:t>
      </w:r>
      <w:r w:rsidR="00AF68BD">
        <w:rPr>
          <w:lang w:val="en-US"/>
        </w:rPr>
        <w:t>apprenticeship</w:t>
      </w:r>
      <w:r w:rsidR="001228BE">
        <w:rPr>
          <w:lang w:val="en-US"/>
        </w:rPr>
        <w:t xml:space="preserve"> certifies him as such</w:t>
      </w:r>
      <w:r w:rsidR="00AF68BD">
        <w:rPr>
          <w:lang w:val="en-US"/>
        </w:rPr>
        <w:t xml:space="preserve">, </w:t>
      </w:r>
      <w:r w:rsidR="007163DB">
        <w:rPr>
          <w:lang w:val="en-US"/>
        </w:rPr>
        <w:t xml:space="preserve">as </w:t>
      </w:r>
      <w:r w:rsidR="00AF68BD">
        <w:rPr>
          <w:lang w:val="en-US"/>
        </w:rPr>
        <w:t xml:space="preserve">granted by the National Council for Rehabilitation and Special Education. </w:t>
      </w:r>
    </w:p>
    <w:p w14:paraId="4A4BDA4C" w14:textId="77777777" w:rsidR="00272A82" w:rsidRPr="00771EED" w:rsidRDefault="00272A82" w:rsidP="00272A82">
      <w:pPr>
        <w:pStyle w:val="citas"/>
        <w:ind w:right="27"/>
        <w:rPr>
          <w:lang w:val="en-US"/>
        </w:rPr>
      </w:pPr>
    </w:p>
    <w:p w14:paraId="5B026568" w14:textId="77777777" w:rsidR="00272A82" w:rsidRPr="00771EED" w:rsidRDefault="0002293F" w:rsidP="00272A82">
      <w:pPr>
        <w:pStyle w:val="citas"/>
        <w:ind w:right="27"/>
        <w:rPr>
          <w:lang w:val="en-US"/>
        </w:rPr>
      </w:pPr>
      <w:r>
        <w:rPr>
          <w:lang w:val="en-US"/>
        </w:rPr>
        <w:t xml:space="preserve">That the reasons put forward by the senior officials to not appoint Mr. Guevara are at odds with the provisions of the Law of Equal Opportunity </w:t>
      </w:r>
      <w:r w:rsidR="008A5A9A">
        <w:rPr>
          <w:lang w:val="en-US"/>
        </w:rPr>
        <w:t xml:space="preserve">for Persons with Disability </w:t>
      </w:r>
      <w:r w:rsidR="00272A82" w:rsidRPr="00771EED">
        <w:rPr>
          <w:lang w:val="en-US"/>
        </w:rPr>
        <w:t>(…)</w:t>
      </w:r>
      <w:r w:rsidR="00F64D9B">
        <w:rPr>
          <w:lang w:val="en-US"/>
        </w:rPr>
        <w:t xml:space="preserve"> </w:t>
      </w:r>
      <w:r w:rsidR="00A46A4D">
        <w:rPr>
          <w:lang w:val="en-US"/>
        </w:rPr>
        <w:t xml:space="preserve">it would seem that </w:t>
      </w:r>
      <w:r w:rsidR="00B33FEA">
        <w:rPr>
          <w:lang w:val="en-US"/>
        </w:rPr>
        <w:t xml:space="preserve">we are </w:t>
      </w:r>
      <w:r w:rsidR="00514642">
        <w:rPr>
          <w:lang w:val="en-US"/>
        </w:rPr>
        <w:t xml:space="preserve">looking at </w:t>
      </w:r>
      <w:r w:rsidR="00B33FEA">
        <w:rPr>
          <w:lang w:val="en-US"/>
        </w:rPr>
        <w:t>a case of discrimination.</w:t>
      </w:r>
      <w:r w:rsidR="00272A82" w:rsidRPr="00771EED">
        <w:rPr>
          <w:rStyle w:val="FootnoteReference"/>
          <w:szCs w:val="18"/>
          <w:lang w:val="en-US"/>
        </w:rPr>
        <w:footnoteReference w:id="18"/>
      </w:r>
    </w:p>
    <w:p w14:paraId="05F93D3F" w14:textId="77777777" w:rsidR="00272A82" w:rsidRPr="00771EED" w:rsidRDefault="00272A82" w:rsidP="00272A82">
      <w:pPr>
        <w:pStyle w:val="parrafos"/>
      </w:pPr>
    </w:p>
    <w:p w14:paraId="45AF5408" w14:textId="77777777" w:rsidR="00272A82" w:rsidRPr="00771EED" w:rsidRDefault="00205FCD" w:rsidP="00913F69">
      <w:pPr>
        <w:pStyle w:val="Heading2"/>
        <w:numPr>
          <w:ilvl w:val="0"/>
          <w:numId w:val="107"/>
        </w:numPr>
        <w:ind w:hanging="1080"/>
      </w:pPr>
      <w:bookmarkStart w:id="56" w:name="_Toc446857993"/>
      <w:bookmarkStart w:id="57" w:name="_Toc37678664"/>
      <w:bookmarkStart w:id="58" w:name="_Toc37681812"/>
      <w:bookmarkStart w:id="59" w:name="_Toc42239530"/>
      <w:r>
        <w:t xml:space="preserve">Case </w:t>
      </w:r>
      <w:r w:rsidR="00CD4E00">
        <w:t>before</w:t>
      </w:r>
      <w:r>
        <w:t xml:space="preserve"> the National Directorate of Labor Inspection </w:t>
      </w:r>
      <w:bookmarkEnd w:id="56"/>
      <w:bookmarkEnd w:id="57"/>
      <w:bookmarkEnd w:id="58"/>
      <w:bookmarkEnd w:id="59"/>
    </w:p>
    <w:p w14:paraId="72378EF2" w14:textId="77777777" w:rsidR="00272A82" w:rsidRPr="00771EED" w:rsidRDefault="00272A82" w:rsidP="00272A82">
      <w:pPr>
        <w:pStyle w:val="parrafos"/>
      </w:pPr>
    </w:p>
    <w:p w14:paraId="5873C429" w14:textId="77777777" w:rsidR="00272A82" w:rsidRPr="00771EED" w:rsidRDefault="00072EFA" w:rsidP="00272A82">
      <w:pPr>
        <w:pStyle w:val="parrafos"/>
        <w:numPr>
          <w:ilvl w:val="0"/>
          <w:numId w:val="106"/>
        </w:numPr>
        <w:tabs>
          <w:tab w:val="clear" w:pos="1440"/>
        </w:tabs>
        <w:ind w:left="0" w:firstLine="0"/>
      </w:pPr>
      <w:r>
        <w:t xml:space="preserve">On August </w:t>
      </w:r>
      <w:r w:rsidR="00272A82" w:rsidRPr="00771EED">
        <w:t>6</w:t>
      </w:r>
      <w:r>
        <w:t>,</w:t>
      </w:r>
      <w:r w:rsidR="00272A82" w:rsidRPr="00771EED">
        <w:t xml:space="preserve"> 2003</w:t>
      </w:r>
      <w:r w:rsidR="00313E75">
        <w:t xml:space="preserve">, the Secretary General of </w:t>
      </w:r>
      <w:r w:rsidR="00A943D9">
        <w:t xml:space="preserve">the </w:t>
      </w:r>
      <w:r w:rsidR="00313E75">
        <w:t xml:space="preserve">Finance </w:t>
      </w:r>
      <w:r w:rsidR="00943F31">
        <w:t xml:space="preserve">Ministry </w:t>
      </w:r>
      <w:r w:rsidR="00313E75">
        <w:t>Employees</w:t>
      </w:r>
      <w:r w:rsidR="00A943D9">
        <w:t>’</w:t>
      </w:r>
      <w:r w:rsidR="00313E75">
        <w:t xml:space="preserve"> Union </w:t>
      </w:r>
      <w:r w:rsidR="00B6639C">
        <w:t xml:space="preserve">filed a grievance with the </w:t>
      </w:r>
      <w:r w:rsidR="004B2081">
        <w:t xml:space="preserve">National Directorate of General </w:t>
      </w:r>
      <w:r w:rsidR="000E2074">
        <w:t xml:space="preserve">Labor </w:t>
      </w:r>
      <w:r w:rsidR="004B2081">
        <w:t>Inspection</w:t>
      </w:r>
      <w:r w:rsidR="00C723C1">
        <w:t xml:space="preserve"> on behalf of the </w:t>
      </w:r>
      <w:r w:rsidR="009E42C5">
        <w:t xml:space="preserve">alleged victim for </w:t>
      </w:r>
      <w:r w:rsidR="00697B29">
        <w:t xml:space="preserve">workplace </w:t>
      </w:r>
      <w:r w:rsidR="009E42C5">
        <w:t>discrimination</w:t>
      </w:r>
      <w:r w:rsidR="0076537B">
        <w:t>.</w:t>
      </w:r>
      <w:r w:rsidR="00272A82" w:rsidRPr="00771EED">
        <w:rPr>
          <w:rStyle w:val="FootnoteReference"/>
          <w:rFonts w:ascii="Cambria" w:hAnsi="Cambria"/>
          <w:sz w:val="18"/>
          <w:szCs w:val="18"/>
        </w:rPr>
        <w:footnoteReference w:id="19"/>
      </w:r>
      <w:r w:rsidR="00272A82" w:rsidRPr="00771EED">
        <w:t xml:space="preserve"> </w:t>
      </w:r>
    </w:p>
    <w:p w14:paraId="6C39489C" w14:textId="77777777" w:rsidR="00272A82" w:rsidRPr="00771EED" w:rsidRDefault="00272A82" w:rsidP="00272A82">
      <w:pPr>
        <w:pStyle w:val="parrafos"/>
      </w:pPr>
    </w:p>
    <w:p w14:paraId="6CA38234" w14:textId="77777777" w:rsidR="00272A82" w:rsidRPr="00771EED" w:rsidRDefault="000B34E0" w:rsidP="00272A82">
      <w:pPr>
        <w:pStyle w:val="parrafos"/>
        <w:numPr>
          <w:ilvl w:val="0"/>
          <w:numId w:val="106"/>
        </w:numPr>
        <w:tabs>
          <w:tab w:val="clear" w:pos="1440"/>
        </w:tabs>
        <w:ind w:left="0" w:firstLine="0"/>
      </w:pPr>
      <w:r>
        <w:lastRenderedPageBreak/>
        <w:t xml:space="preserve">On November </w:t>
      </w:r>
      <w:r w:rsidR="00272A82" w:rsidRPr="00771EED">
        <w:t>26</w:t>
      </w:r>
      <w:r>
        <w:t>,</w:t>
      </w:r>
      <w:r w:rsidR="00272A82" w:rsidRPr="00771EED">
        <w:t xml:space="preserve"> 2003</w:t>
      </w:r>
      <w:r w:rsidR="00E44C83">
        <w:t xml:space="preserve">, in resolution </w:t>
      </w:r>
      <w:r w:rsidR="00272A82" w:rsidRPr="00771EED">
        <w:t xml:space="preserve">1657- 03 </w:t>
      </w:r>
      <w:r w:rsidR="00A0642E">
        <w:t>the grievance was denied on the grounds that it was not proven that there actually existed workplace discrimination to the detriment of the alleged victim by the Ministry of Finance.</w:t>
      </w:r>
      <w:r w:rsidR="00272A82" w:rsidRPr="00771EED">
        <w:rPr>
          <w:rStyle w:val="FootnoteReference"/>
          <w:rFonts w:ascii="Cambria" w:hAnsi="Cambria"/>
          <w:sz w:val="18"/>
          <w:szCs w:val="18"/>
        </w:rPr>
        <w:footnoteReference w:id="20"/>
      </w:r>
    </w:p>
    <w:p w14:paraId="57C6F6B5" w14:textId="77777777" w:rsidR="00272A82" w:rsidRPr="00771EED" w:rsidRDefault="00272A82" w:rsidP="00272A82">
      <w:pPr>
        <w:pStyle w:val="parrafos"/>
      </w:pPr>
    </w:p>
    <w:p w14:paraId="06F3544D" w14:textId="77777777" w:rsidR="00272A82" w:rsidRPr="00771EED" w:rsidRDefault="00E26963" w:rsidP="00272A82">
      <w:pPr>
        <w:pStyle w:val="parrafos"/>
        <w:numPr>
          <w:ilvl w:val="0"/>
          <w:numId w:val="106"/>
        </w:numPr>
        <w:tabs>
          <w:tab w:val="clear" w:pos="1440"/>
        </w:tabs>
        <w:ind w:left="0" w:firstLine="0"/>
      </w:pPr>
      <w:r>
        <w:t xml:space="preserve">On January </w:t>
      </w:r>
      <w:r w:rsidR="00272A82" w:rsidRPr="00771EED">
        <w:t>27</w:t>
      </w:r>
      <w:r w:rsidR="007005F7">
        <w:t>,</w:t>
      </w:r>
      <w:r w:rsidR="00272A82" w:rsidRPr="00771EED">
        <w:t xml:space="preserve"> 2004</w:t>
      </w:r>
      <w:r w:rsidR="007005F7">
        <w:t xml:space="preserve">, the Secretary General of the </w:t>
      </w:r>
      <w:r w:rsidR="00922110">
        <w:t>Ministry of Finance Employees</w:t>
      </w:r>
      <w:r w:rsidR="00F23C07">
        <w:t>’</w:t>
      </w:r>
      <w:r w:rsidR="00922110">
        <w:t xml:space="preserve"> Union filed a</w:t>
      </w:r>
      <w:r w:rsidR="0026415C">
        <w:t xml:space="preserve">n appeal to reverse </w:t>
      </w:r>
      <w:r w:rsidR="00F23C07">
        <w:t xml:space="preserve">decision </w:t>
      </w:r>
      <w:r w:rsidR="0026415C">
        <w:t>and vacate (</w:t>
      </w:r>
      <w:r w:rsidR="00272A82" w:rsidRPr="00E735EC">
        <w:rPr>
          <w:i/>
          <w:iCs/>
        </w:rPr>
        <w:t>recurso de revocatoria con apelación en subsidio y nulidad</w:t>
      </w:r>
      <w:r w:rsidR="0026415C">
        <w:t>)</w:t>
      </w:r>
      <w:r w:rsidR="00272A82" w:rsidRPr="00771EED">
        <w:t xml:space="preserve">. </w:t>
      </w:r>
      <w:r w:rsidR="000E7222">
        <w:t xml:space="preserve">On February </w:t>
      </w:r>
      <w:r w:rsidR="00272A82" w:rsidRPr="00771EED">
        <w:t>3</w:t>
      </w:r>
      <w:r w:rsidR="000E7222">
        <w:t>,</w:t>
      </w:r>
      <w:r w:rsidR="00272A82" w:rsidRPr="00771EED">
        <w:t xml:space="preserve"> 2004</w:t>
      </w:r>
      <w:r w:rsidR="0094289E">
        <w:t>, the National Directorate of General Labor Inspection granted the appeal for reversal of</w:t>
      </w:r>
      <w:r w:rsidR="00FA009C">
        <w:t xml:space="preserve"> decision</w:t>
      </w:r>
      <w:r w:rsidR="0094289E">
        <w:t>. In its reason</w:t>
      </w:r>
      <w:r w:rsidR="00DC4B05">
        <w:t>ing</w:t>
      </w:r>
      <w:r w:rsidR="0094289E">
        <w:t>, it</w:t>
      </w:r>
      <w:r w:rsidR="00DD4D8F">
        <w:t xml:space="preserve"> </w:t>
      </w:r>
      <w:r w:rsidR="00DF4B4D">
        <w:t>puts on the record</w:t>
      </w:r>
      <w:r w:rsidR="0094289E">
        <w:t xml:space="preserve">: </w:t>
      </w:r>
      <w:r w:rsidR="00272A82" w:rsidRPr="00771EED">
        <w:t xml:space="preserve"> </w:t>
      </w:r>
    </w:p>
    <w:p w14:paraId="3FF5B995" w14:textId="77777777" w:rsidR="00272A82" w:rsidRPr="00771EED" w:rsidRDefault="00272A82" w:rsidP="00272A82">
      <w:pPr>
        <w:pStyle w:val="citas"/>
        <w:ind w:left="0" w:right="27"/>
        <w:rPr>
          <w:lang w:val="en-US"/>
        </w:rPr>
      </w:pPr>
    </w:p>
    <w:p w14:paraId="50DD5807" w14:textId="77777777" w:rsidR="00272A82" w:rsidRPr="00771EED" w:rsidRDefault="00272A82" w:rsidP="00272A82">
      <w:pPr>
        <w:pStyle w:val="citas"/>
        <w:ind w:right="27"/>
        <w:rPr>
          <w:lang w:val="en-US"/>
        </w:rPr>
      </w:pPr>
      <w:r w:rsidRPr="00771EED">
        <w:rPr>
          <w:lang w:val="en-US"/>
        </w:rPr>
        <w:t xml:space="preserve">(…) </w:t>
      </w:r>
      <w:r w:rsidR="008D6717">
        <w:rPr>
          <w:lang w:val="en-US"/>
        </w:rPr>
        <w:t xml:space="preserve">regarding the discrimination </w:t>
      </w:r>
      <w:r w:rsidR="009B54CD">
        <w:rPr>
          <w:lang w:val="en-US"/>
        </w:rPr>
        <w:t>of</w:t>
      </w:r>
      <w:r w:rsidR="008D6717">
        <w:rPr>
          <w:lang w:val="en-US"/>
        </w:rPr>
        <w:t xml:space="preserve"> which the worker </w:t>
      </w:r>
      <w:r w:rsidR="008963E6">
        <w:rPr>
          <w:lang w:val="en-US"/>
        </w:rPr>
        <w:t xml:space="preserve">was the object </w:t>
      </w:r>
      <w:r w:rsidR="008D6717">
        <w:rPr>
          <w:lang w:val="en-US"/>
        </w:rPr>
        <w:t xml:space="preserve">in official letter </w:t>
      </w:r>
      <w:r w:rsidRPr="00771EED">
        <w:rPr>
          <w:lang w:val="en-US"/>
        </w:rPr>
        <w:t xml:space="preserve">AM 044-2003 </w:t>
      </w:r>
      <w:r w:rsidR="009B54CD">
        <w:rPr>
          <w:lang w:val="en-US"/>
        </w:rPr>
        <w:t>we have the</w:t>
      </w:r>
      <w:r w:rsidR="00B23499">
        <w:rPr>
          <w:lang w:val="en-US"/>
        </w:rPr>
        <w:t xml:space="preserve"> following </w:t>
      </w:r>
      <w:r w:rsidRPr="00771EED">
        <w:rPr>
          <w:lang w:val="en-US"/>
        </w:rPr>
        <w:t xml:space="preserve">(…) </w:t>
      </w:r>
      <w:r w:rsidR="001D222F">
        <w:rPr>
          <w:lang w:val="en-US"/>
        </w:rPr>
        <w:t xml:space="preserve">we must take into account that note </w:t>
      </w:r>
      <w:r w:rsidRPr="00771EED">
        <w:rPr>
          <w:lang w:val="en-US"/>
        </w:rPr>
        <w:t xml:space="preserve">AM 044-2003 </w:t>
      </w:r>
      <w:r w:rsidR="0070691F">
        <w:rPr>
          <w:lang w:val="en-US"/>
        </w:rPr>
        <w:t xml:space="preserve">is addressed to Mr. </w:t>
      </w:r>
      <w:r w:rsidRPr="00771EED">
        <w:rPr>
          <w:lang w:val="en-US"/>
        </w:rPr>
        <w:t xml:space="preserve">Eugenio Porras Vargas </w:t>
      </w:r>
      <w:r w:rsidR="0070691F">
        <w:rPr>
          <w:lang w:val="en-US"/>
        </w:rPr>
        <w:t xml:space="preserve">General Coordinator </w:t>
      </w:r>
      <w:r w:rsidRPr="00771EED">
        <w:rPr>
          <w:lang w:val="en-US"/>
        </w:rPr>
        <w:t xml:space="preserve">U.T.A.S., </w:t>
      </w:r>
      <w:r w:rsidR="00040CAA">
        <w:rPr>
          <w:lang w:val="en-US"/>
        </w:rPr>
        <w:t xml:space="preserve">who upon receiving this note </w:t>
      </w:r>
      <w:r w:rsidR="008606F4">
        <w:rPr>
          <w:lang w:val="en-US"/>
        </w:rPr>
        <w:t xml:space="preserve">drafts official letter </w:t>
      </w:r>
      <w:r w:rsidRPr="00771EED">
        <w:rPr>
          <w:lang w:val="en-US"/>
        </w:rPr>
        <w:t xml:space="preserve">UTAS 124-2003 </w:t>
      </w:r>
      <w:r w:rsidR="00A52F81">
        <w:rPr>
          <w:lang w:val="en-US"/>
        </w:rPr>
        <w:t xml:space="preserve">addressed to </w:t>
      </w:r>
      <w:r w:rsidRPr="00771EED">
        <w:rPr>
          <w:lang w:val="en-US"/>
        </w:rPr>
        <w:t xml:space="preserve">Licda. Xinia Madrigal Chávez, </w:t>
      </w:r>
      <w:r w:rsidR="00A52F81">
        <w:rPr>
          <w:lang w:val="en-US"/>
        </w:rPr>
        <w:t>Coordinator of the Technical Unit for Human Resources of the Ministry of Finance</w:t>
      </w:r>
      <w:r w:rsidR="00BA10A5">
        <w:rPr>
          <w:lang w:val="en-US"/>
        </w:rPr>
        <w:t xml:space="preserve">, who </w:t>
      </w:r>
      <w:r w:rsidR="00C26281">
        <w:rPr>
          <w:lang w:val="en-US"/>
        </w:rPr>
        <w:t xml:space="preserve">says, regarding </w:t>
      </w:r>
      <w:r w:rsidR="00BA10A5">
        <w:rPr>
          <w:lang w:val="en-US"/>
        </w:rPr>
        <w:t>what concerns us in this case</w:t>
      </w:r>
      <w:r w:rsidR="00C26281">
        <w:rPr>
          <w:lang w:val="en-US"/>
        </w:rPr>
        <w:t xml:space="preserve">  “</w:t>
      </w:r>
      <w:r w:rsidRPr="00771EED">
        <w:rPr>
          <w:lang w:val="en-US"/>
        </w:rPr>
        <w:t>…</w:t>
      </w:r>
      <w:r w:rsidR="00A54AD1">
        <w:rPr>
          <w:lang w:val="en-US"/>
        </w:rPr>
        <w:t xml:space="preserve">Attached to this letter I am forwarding official letter </w:t>
      </w:r>
      <w:r w:rsidRPr="00771EED">
        <w:rPr>
          <w:lang w:val="en-US"/>
        </w:rPr>
        <w:t xml:space="preserve">044-2003, </w:t>
      </w:r>
      <w:r w:rsidR="00FA18E7">
        <w:rPr>
          <w:lang w:val="en-US"/>
        </w:rPr>
        <w:t xml:space="preserve">from Mr. </w:t>
      </w:r>
      <w:r w:rsidRPr="00771EED">
        <w:rPr>
          <w:lang w:val="en-US"/>
        </w:rPr>
        <w:t xml:space="preserve">German Mora Salazar, </w:t>
      </w:r>
      <w:r w:rsidR="00A124B5">
        <w:rPr>
          <w:lang w:val="en-US"/>
        </w:rPr>
        <w:t>the person in charge of the Maintenance and Hygiene Section</w:t>
      </w:r>
      <w:r w:rsidR="00D57818">
        <w:rPr>
          <w:lang w:val="en-US"/>
        </w:rPr>
        <w:t xml:space="preserve">, in relation to the employment future of worker Luis </w:t>
      </w:r>
      <w:r w:rsidRPr="00771EED">
        <w:rPr>
          <w:lang w:val="en-US"/>
        </w:rPr>
        <w:t xml:space="preserve">Fernando Díaz Guevara </w:t>
      </w:r>
      <w:r w:rsidR="001E598F">
        <w:rPr>
          <w:lang w:val="en-US"/>
        </w:rPr>
        <w:t xml:space="preserve">and his possible appointment to a miscellaneous </w:t>
      </w:r>
      <w:r w:rsidR="00BE3433">
        <w:rPr>
          <w:lang w:val="en-US"/>
        </w:rPr>
        <w:t xml:space="preserve">[worker] position </w:t>
      </w:r>
      <w:r w:rsidRPr="00771EED">
        <w:rPr>
          <w:lang w:val="en-US"/>
        </w:rPr>
        <w:t>(…)</w:t>
      </w:r>
      <w:r w:rsidR="00032971">
        <w:rPr>
          <w:lang w:val="en-US"/>
        </w:rPr>
        <w:t xml:space="preserve"> based on </w:t>
      </w:r>
      <w:r w:rsidR="00BE3433">
        <w:rPr>
          <w:lang w:val="en-US"/>
        </w:rPr>
        <w:t xml:space="preserve">this </w:t>
      </w:r>
      <w:r w:rsidR="0054123F">
        <w:rPr>
          <w:lang w:val="en-US"/>
        </w:rPr>
        <w:t xml:space="preserve">portion </w:t>
      </w:r>
      <w:r w:rsidR="00BE3433">
        <w:rPr>
          <w:lang w:val="en-US"/>
        </w:rPr>
        <w:t>of the note</w:t>
      </w:r>
      <w:r w:rsidR="002E4B7B">
        <w:rPr>
          <w:lang w:val="en-US"/>
        </w:rPr>
        <w:t xml:space="preserve">, it is understood that thus far no final decision had been taken </w:t>
      </w:r>
      <w:r w:rsidR="004C4DB2">
        <w:rPr>
          <w:lang w:val="en-US"/>
        </w:rPr>
        <w:t xml:space="preserve">about who was going to be appointed </w:t>
      </w:r>
      <w:r w:rsidR="00BD12E0">
        <w:rPr>
          <w:lang w:val="en-US"/>
        </w:rPr>
        <w:t xml:space="preserve">to this position and </w:t>
      </w:r>
      <w:r w:rsidR="0014547B">
        <w:rPr>
          <w:lang w:val="en-US"/>
        </w:rPr>
        <w:t xml:space="preserve">it </w:t>
      </w:r>
      <w:r w:rsidR="007F462E">
        <w:rPr>
          <w:lang w:val="en-US"/>
        </w:rPr>
        <w:t xml:space="preserve">is confirmed by the following </w:t>
      </w:r>
      <w:r w:rsidR="00BE3433">
        <w:rPr>
          <w:lang w:val="en-US"/>
        </w:rPr>
        <w:t xml:space="preserve"> </w:t>
      </w:r>
      <w:r w:rsidRPr="00771EED">
        <w:rPr>
          <w:lang w:val="en-US"/>
        </w:rPr>
        <w:t>…”</w:t>
      </w:r>
      <w:r w:rsidR="00C26281">
        <w:rPr>
          <w:lang w:val="en-US"/>
        </w:rPr>
        <w:t xml:space="preserve"> </w:t>
      </w:r>
      <w:r w:rsidR="007F462E">
        <w:rPr>
          <w:lang w:val="en-US"/>
        </w:rPr>
        <w:t xml:space="preserve">I reiterate because of the type of duties that are </w:t>
      </w:r>
      <w:r w:rsidR="00C26281">
        <w:rPr>
          <w:lang w:val="en-US"/>
        </w:rPr>
        <w:t xml:space="preserve">carried out </w:t>
      </w:r>
      <w:r w:rsidR="007F462E">
        <w:rPr>
          <w:lang w:val="en-US"/>
        </w:rPr>
        <w:t xml:space="preserve">it is therefore suggested to reconsider his appointment </w:t>
      </w:r>
      <w:r w:rsidRPr="00771EED">
        <w:rPr>
          <w:lang w:val="en-US"/>
        </w:rPr>
        <w:t xml:space="preserve">(…) </w:t>
      </w:r>
      <w:r w:rsidR="007F462E">
        <w:rPr>
          <w:lang w:val="en-US"/>
        </w:rPr>
        <w:t xml:space="preserve">It is surmised from it that it is because of this situation </w:t>
      </w:r>
      <w:r w:rsidR="001F425E">
        <w:rPr>
          <w:lang w:val="en-US"/>
        </w:rPr>
        <w:t xml:space="preserve">that it influences the non-appointment </w:t>
      </w:r>
      <w:r w:rsidR="00C43937">
        <w:rPr>
          <w:lang w:val="en-US"/>
        </w:rPr>
        <w:t xml:space="preserve">of Mr. Guevara Díaz to the above-cited position. </w:t>
      </w:r>
    </w:p>
    <w:p w14:paraId="5686E8A5" w14:textId="77777777" w:rsidR="00272A82" w:rsidRPr="00771EED" w:rsidRDefault="00272A82" w:rsidP="00272A82">
      <w:pPr>
        <w:pStyle w:val="citas"/>
        <w:ind w:right="27"/>
        <w:rPr>
          <w:lang w:val="en-US"/>
        </w:rPr>
      </w:pPr>
    </w:p>
    <w:p w14:paraId="1097F58F" w14:textId="77777777" w:rsidR="00272A82" w:rsidRPr="00771EED" w:rsidRDefault="00272A82" w:rsidP="00272A82">
      <w:pPr>
        <w:pStyle w:val="citas"/>
        <w:ind w:right="27"/>
        <w:rPr>
          <w:lang w:val="en-US"/>
        </w:rPr>
      </w:pPr>
      <w:r w:rsidRPr="00771EED">
        <w:rPr>
          <w:lang w:val="en-US"/>
        </w:rPr>
        <w:t xml:space="preserve">(…) </w:t>
      </w:r>
      <w:r w:rsidR="00A741B0">
        <w:rPr>
          <w:lang w:val="en-US"/>
        </w:rPr>
        <w:t>from</w:t>
      </w:r>
      <w:r w:rsidR="00570E11">
        <w:rPr>
          <w:lang w:val="en-US"/>
        </w:rPr>
        <w:t xml:space="preserve"> all of the foregoing</w:t>
      </w:r>
      <w:r w:rsidR="00A741B0">
        <w:rPr>
          <w:lang w:val="en-US"/>
        </w:rPr>
        <w:t>, it is apparent that Mr. Eugenio Porras</w:t>
      </w:r>
      <w:r w:rsidR="00F671C2">
        <w:rPr>
          <w:lang w:val="en-US"/>
        </w:rPr>
        <w:t xml:space="preserve"> based on the note issued by Mr. Mora Salazar, requests reconsideration of the potential appointment of Mr. Guevara, this by virtue of the note and because </w:t>
      </w:r>
      <w:r w:rsidR="001632EE">
        <w:rPr>
          <w:lang w:val="en-US"/>
        </w:rPr>
        <w:t xml:space="preserve">it is </w:t>
      </w:r>
      <w:r w:rsidR="00F671C2">
        <w:rPr>
          <w:lang w:val="en-US"/>
        </w:rPr>
        <w:t xml:space="preserve">Mr. Porras Vargas </w:t>
      </w:r>
      <w:r w:rsidR="000153D4">
        <w:rPr>
          <w:lang w:val="en-US"/>
        </w:rPr>
        <w:t xml:space="preserve">who </w:t>
      </w:r>
      <w:r w:rsidR="00F671C2">
        <w:rPr>
          <w:lang w:val="en-US"/>
        </w:rPr>
        <w:t>subsequent</w:t>
      </w:r>
      <w:r w:rsidR="00E43835">
        <w:rPr>
          <w:lang w:val="en-US"/>
        </w:rPr>
        <w:t>ly appoint</w:t>
      </w:r>
      <w:r w:rsidR="006E78DB">
        <w:rPr>
          <w:lang w:val="en-US"/>
        </w:rPr>
        <w:t xml:space="preserve">s </w:t>
      </w:r>
      <w:r w:rsidR="00204A1F">
        <w:rPr>
          <w:lang w:val="en-US"/>
        </w:rPr>
        <w:t xml:space="preserve">the person to the position; this Directorate considers that there was </w:t>
      </w:r>
      <w:r w:rsidR="00C1547B">
        <w:rPr>
          <w:lang w:val="en-US"/>
        </w:rPr>
        <w:t xml:space="preserve">workplace </w:t>
      </w:r>
      <w:r w:rsidR="00204A1F">
        <w:rPr>
          <w:lang w:val="en-US"/>
        </w:rPr>
        <w:t>discrimination</w:t>
      </w:r>
      <w:r w:rsidR="000958A1">
        <w:rPr>
          <w:lang w:val="en-US"/>
        </w:rPr>
        <w:t xml:space="preserve"> against Mr. </w:t>
      </w:r>
      <w:r w:rsidRPr="00771EED">
        <w:rPr>
          <w:lang w:val="en-US"/>
        </w:rPr>
        <w:t>Guevara Díaz.</w:t>
      </w:r>
    </w:p>
    <w:p w14:paraId="30B42CD7" w14:textId="77777777" w:rsidR="00272A82" w:rsidRPr="00771EED" w:rsidRDefault="00272A82" w:rsidP="00272A82">
      <w:pPr>
        <w:pStyle w:val="citas"/>
        <w:ind w:right="27"/>
        <w:rPr>
          <w:lang w:val="en-US"/>
        </w:rPr>
      </w:pPr>
    </w:p>
    <w:p w14:paraId="0B290F4C" w14:textId="77777777" w:rsidR="00272A82" w:rsidRPr="00771EED" w:rsidRDefault="00272A82" w:rsidP="00272A82">
      <w:pPr>
        <w:pStyle w:val="citas"/>
        <w:ind w:right="27"/>
        <w:rPr>
          <w:lang w:val="en-US"/>
        </w:rPr>
      </w:pPr>
      <w:r w:rsidRPr="00771EED">
        <w:rPr>
          <w:lang w:val="en-US"/>
        </w:rPr>
        <w:t xml:space="preserve">(…) </w:t>
      </w:r>
      <w:r w:rsidR="00D80763">
        <w:rPr>
          <w:lang w:val="en-US"/>
        </w:rPr>
        <w:t xml:space="preserve">after analyzing the appeal </w:t>
      </w:r>
      <w:r w:rsidR="004626EF">
        <w:rPr>
          <w:lang w:val="en-US"/>
        </w:rPr>
        <w:t xml:space="preserve">for reversal against resolution </w:t>
      </w:r>
      <w:r w:rsidRPr="00771EED">
        <w:rPr>
          <w:lang w:val="en-US"/>
        </w:rPr>
        <w:t xml:space="preserve">DNI-1657-2003, </w:t>
      </w:r>
      <w:r w:rsidR="00AF179F">
        <w:rPr>
          <w:lang w:val="en-US"/>
        </w:rPr>
        <w:t xml:space="preserve">it is decided to reverse </w:t>
      </w:r>
      <w:r w:rsidR="00A6063A">
        <w:rPr>
          <w:lang w:val="en-US"/>
        </w:rPr>
        <w:t xml:space="preserve">it based on the arguments stated </w:t>
      </w:r>
      <w:r w:rsidRPr="00771EED">
        <w:rPr>
          <w:lang w:val="en-US"/>
        </w:rPr>
        <w:t xml:space="preserve">(…) </w:t>
      </w:r>
      <w:r w:rsidR="00AA65B3">
        <w:rPr>
          <w:lang w:val="en-US"/>
        </w:rPr>
        <w:t xml:space="preserve">Therefore inspectors Marco Tulio Agüero and Lizzy Valverde are ordered to continue with the respective proceeding and its forwarding to </w:t>
      </w:r>
      <w:r w:rsidR="009E137D">
        <w:rPr>
          <w:lang w:val="en-US"/>
        </w:rPr>
        <w:t>the respective Courts.</w:t>
      </w:r>
      <w:r w:rsidRPr="00771EED">
        <w:rPr>
          <w:rStyle w:val="FootnoteReference"/>
          <w:szCs w:val="18"/>
          <w:lang w:val="en-US"/>
        </w:rPr>
        <w:footnoteReference w:id="21"/>
      </w:r>
      <w:r w:rsidRPr="00771EED">
        <w:rPr>
          <w:lang w:val="en-US"/>
        </w:rPr>
        <w:t xml:space="preserve"> </w:t>
      </w:r>
    </w:p>
    <w:p w14:paraId="413C8C42" w14:textId="77777777" w:rsidR="00272A82" w:rsidRPr="00771EED" w:rsidRDefault="00272A82" w:rsidP="00272A82">
      <w:pPr>
        <w:pStyle w:val="parrafos"/>
      </w:pPr>
    </w:p>
    <w:p w14:paraId="4ADD9BEA" w14:textId="77777777" w:rsidR="00272A82" w:rsidRPr="00771EED" w:rsidRDefault="00473E7B" w:rsidP="00272A82">
      <w:pPr>
        <w:pStyle w:val="parrafos"/>
        <w:numPr>
          <w:ilvl w:val="0"/>
          <w:numId w:val="106"/>
        </w:numPr>
        <w:tabs>
          <w:tab w:val="clear" w:pos="1440"/>
        </w:tabs>
        <w:ind w:left="0" w:firstLine="0"/>
      </w:pPr>
      <w:r>
        <w:t xml:space="preserve">On March </w:t>
      </w:r>
      <w:r w:rsidR="00272A82" w:rsidRPr="00771EED">
        <w:t>5</w:t>
      </w:r>
      <w:r>
        <w:t>,</w:t>
      </w:r>
      <w:r w:rsidR="00272A82" w:rsidRPr="00771EED">
        <w:t xml:space="preserve"> 2004</w:t>
      </w:r>
      <w:r w:rsidR="00295935">
        <w:t>, the Ministry of Finance Employees</w:t>
      </w:r>
      <w:r w:rsidR="00A6259E">
        <w:t>’</w:t>
      </w:r>
      <w:r w:rsidR="00295935">
        <w:t xml:space="preserve"> Union sent a communication to the Ministry of Finance telling it that even though resolution </w:t>
      </w:r>
      <w:r w:rsidR="00272A82" w:rsidRPr="00771EED">
        <w:t xml:space="preserve">DNI-277-04 </w:t>
      </w:r>
      <w:r w:rsidR="0001043B">
        <w:t xml:space="preserve">orders the officials of the National Directorate of </w:t>
      </w:r>
      <w:r w:rsidR="00956C81">
        <w:t xml:space="preserve">Labor Inspection to </w:t>
      </w:r>
      <w:r w:rsidR="00565064">
        <w:t xml:space="preserve">bring </w:t>
      </w:r>
      <w:r w:rsidR="00956C81">
        <w:t xml:space="preserve">the appropriate </w:t>
      </w:r>
      <w:r w:rsidR="00972390">
        <w:t xml:space="preserve">judicial </w:t>
      </w:r>
      <w:r w:rsidR="002B7385">
        <w:t xml:space="preserve">suit “it seems to us that we have </w:t>
      </w:r>
      <w:r w:rsidR="00F725F0">
        <w:t xml:space="preserve">a </w:t>
      </w:r>
      <w:r w:rsidR="002B7385">
        <w:t>very reasonable basis</w:t>
      </w:r>
      <w:r w:rsidR="00650A48">
        <w:t xml:space="preserve"> to request the immediate reinstatement</w:t>
      </w:r>
      <w:r w:rsidR="00856BE3">
        <w:t xml:space="preserve"> on permanent status </w:t>
      </w:r>
      <w:r w:rsidR="00195E50">
        <w:t xml:space="preserve">of our co-worker </w:t>
      </w:r>
      <w:r w:rsidR="00272A82" w:rsidRPr="00771EED">
        <w:t>Luis Fernando Guevara Díaz</w:t>
      </w:r>
      <w:r w:rsidR="00195E50">
        <w:t>.</w:t>
      </w:r>
      <w:r w:rsidR="00272A82" w:rsidRPr="00771EED">
        <w:t>”</w:t>
      </w:r>
      <w:r w:rsidR="00272A82" w:rsidRPr="00771EED">
        <w:rPr>
          <w:rStyle w:val="FootnoteReference"/>
          <w:rFonts w:ascii="Cambria" w:hAnsi="Cambria"/>
          <w:sz w:val="18"/>
          <w:szCs w:val="18"/>
        </w:rPr>
        <w:t xml:space="preserve"> </w:t>
      </w:r>
      <w:r w:rsidR="00272A82" w:rsidRPr="00771EED">
        <w:rPr>
          <w:rStyle w:val="FootnoteReference"/>
          <w:rFonts w:ascii="Cambria" w:hAnsi="Cambria"/>
          <w:sz w:val="18"/>
          <w:szCs w:val="18"/>
        </w:rPr>
        <w:footnoteReference w:id="22"/>
      </w:r>
    </w:p>
    <w:p w14:paraId="32B334FA" w14:textId="77777777" w:rsidR="00272A82" w:rsidRPr="00771EED" w:rsidRDefault="00272A82" w:rsidP="00272A82">
      <w:pPr>
        <w:pStyle w:val="parrafos"/>
      </w:pPr>
    </w:p>
    <w:p w14:paraId="200433EA" w14:textId="77777777" w:rsidR="00272A82" w:rsidRPr="00771EED" w:rsidRDefault="003F3D83" w:rsidP="00272A82">
      <w:pPr>
        <w:pStyle w:val="parrafos"/>
        <w:numPr>
          <w:ilvl w:val="0"/>
          <w:numId w:val="106"/>
        </w:numPr>
        <w:tabs>
          <w:tab w:val="clear" w:pos="1440"/>
        </w:tabs>
        <w:ind w:left="0" w:firstLine="0"/>
      </w:pPr>
      <w:r>
        <w:t xml:space="preserve">On March </w:t>
      </w:r>
      <w:r w:rsidR="00272A82" w:rsidRPr="00771EED">
        <w:t>18</w:t>
      </w:r>
      <w:r>
        <w:t>,</w:t>
      </w:r>
      <w:r w:rsidR="00272A82" w:rsidRPr="00771EED">
        <w:t xml:space="preserve"> 2004</w:t>
      </w:r>
      <w:r w:rsidR="00053524">
        <w:t xml:space="preserve">, the Minister of Finance replied to said communication, noting that </w:t>
      </w:r>
      <w:r w:rsidR="00BE79F9">
        <w:t xml:space="preserve">reinstatement of the alleged victim was out of order. He stated that: </w:t>
      </w:r>
      <w:r w:rsidR="00272A82" w:rsidRPr="00771EED">
        <w:t xml:space="preserve"> </w:t>
      </w:r>
    </w:p>
    <w:p w14:paraId="5C484A5C" w14:textId="77777777" w:rsidR="00272A82" w:rsidRPr="00771EED" w:rsidRDefault="00272A82" w:rsidP="00272A82">
      <w:pPr>
        <w:pStyle w:val="parrafos"/>
      </w:pPr>
    </w:p>
    <w:p w14:paraId="5C5987A8" w14:textId="77777777" w:rsidR="00272A82" w:rsidRPr="00771EED" w:rsidRDefault="00272A82" w:rsidP="00272A82">
      <w:pPr>
        <w:pStyle w:val="citas"/>
        <w:ind w:right="27"/>
        <w:rPr>
          <w:lang w:val="en-US"/>
        </w:rPr>
      </w:pPr>
      <w:r w:rsidRPr="00771EED">
        <w:rPr>
          <w:lang w:val="en-US"/>
        </w:rPr>
        <w:t xml:space="preserve">(…) </w:t>
      </w:r>
      <w:r w:rsidR="00682881">
        <w:rPr>
          <w:lang w:val="en-US"/>
        </w:rPr>
        <w:t xml:space="preserve">this office finds that </w:t>
      </w:r>
      <w:r w:rsidR="002E03B5">
        <w:rPr>
          <w:lang w:val="en-US"/>
        </w:rPr>
        <w:t xml:space="preserve">no </w:t>
      </w:r>
      <w:r w:rsidR="00682881">
        <w:rPr>
          <w:lang w:val="en-US"/>
        </w:rPr>
        <w:t xml:space="preserve">omissions </w:t>
      </w:r>
      <w:r w:rsidR="002E03B5">
        <w:rPr>
          <w:lang w:val="en-US"/>
        </w:rPr>
        <w:t xml:space="preserve">exist </w:t>
      </w:r>
      <w:r w:rsidR="00682881">
        <w:rPr>
          <w:lang w:val="en-US"/>
        </w:rPr>
        <w:t xml:space="preserve">in the proceeding that was carried out, </w:t>
      </w:r>
      <w:r w:rsidR="00081877">
        <w:rPr>
          <w:lang w:val="en-US"/>
        </w:rPr>
        <w:t xml:space="preserve">to </w:t>
      </w:r>
      <w:r w:rsidR="00682881">
        <w:rPr>
          <w:lang w:val="en-US"/>
        </w:rPr>
        <w:t>suggest that there was any unequal treatment, arb</w:t>
      </w:r>
      <w:r w:rsidR="00273046">
        <w:rPr>
          <w:lang w:val="en-US"/>
        </w:rPr>
        <w:t>it</w:t>
      </w:r>
      <w:r w:rsidR="00682881">
        <w:rPr>
          <w:lang w:val="en-US"/>
        </w:rPr>
        <w:t xml:space="preserve">rariness or </w:t>
      </w:r>
      <w:r w:rsidR="00087414">
        <w:rPr>
          <w:lang w:val="en-US"/>
        </w:rPr>
        <w:t xml:space="preserve">any other </w:t>
      </w:r>
      <w:r w:rsidR="00567DAE">
        <w:rPr>
          <w:lang w:val="en-US"/>
        </w:rPr>
        <w:t>discriminatory act, ina</w:t>
      </w:r>
      <w:r w:rsidR="000C1943">
        <w:rPr>
          <w:lang w:val="en-US"/>
        </w:rPr>
        <w:t>s</w:t>
      </w:r>
      <w:r w:rsidR="00567DAE">
        <w:rPr>
          <w:lang w:val="en-US"/>
        </w:rPr>
        <w:t xml:space="preserve">much as </w:t>
      </w:r>
      <w:r w:rsidR="00E23759">
        <w:rPr>
          <w:lang w:val="en-US"/>
        </w:rPr>
        <w:t>the procedure determined by law was</w:t>
      </w:r>
      <w:r w:rsidR="00341BCF">
        <w:rPr>
          <w:lang w:val="en-US"/>
        </w:rPr>
        <w:t xml:space="preserve"> strictly abided by for these cases, ensuring Mr. Guevara Día</w:t>
      </w:r>
      <w:r w:rsidR="00C91DC6">
        <w:rPr>
          <w:lang w:val="en-US"/>
        </w:rPr>
        <w:t xml:space="preserve">z to participate </w:t>
      </w:r>
      <w:r w:rsidR="002A6506">
        <w:rPr>
          <w:lang w:val="en-US"/>
        </w:rPr>
        <w:t xml:space="preserve">on an equal </w:t>
      </w:r>
      <w:r w:rsidR="008670B8">
        <w:rPr>
          <w:lang w:val="en-US"/>
        </w:rPr>
        <w:t xml:space="preserve">basis </w:t>
      </w:r>
      <w:r w:rsidR="009A4212">
        <w:rPr>
          <w:lang w:val="en-US"/>
        </w:rPr>
        <w:t>with the other applicants of the competitive selection process and with the eligible candidates.</w:t>
      </w:r>
      <w:r w:rsidRPr="00771EED">
        <w:rPr>
          <w:rStyle w:val="FootnoteReference"/>
          <w:szCs w:val="18"/>
          <w:lang w:val="en-US"/>
        </w:rPr>
        <w:footnoteReference w:id="23"/>
      </w:r>
      <w:r w:rsidRPr="00771EED">
        <w:rPr>
          <w:lang w:val="en-US"/>
        </w:rPr>
        <w:t xml:space="preserve"> </w:t>
      </w:r>
    </w:p>
    <w:p w14:paraId="71B628DF" w14:textId="77777777" w:rsidR="00272A82" w:rsidRPr="00771EED" w:rsidRDefault="00272A82" w:rsidP="00272A82">
      <w:pPr>
        <w:pStyle w:val="parrafos"/>
      </w:pPr>
    </w:p>
    <w:p w14:paraId="744AE1FA" w14:textId="77777777" w:rsidR="00272A82" w:rsidRPr="00771EED" w:rsidRDefault="0045727D" w:rsidP="00272A82">
      <w:pPr>
        <w:pStyle w:val="parrafos"/>
        <w:numPr>
          <w:ilvl w:val="0"/>
          <w:numId w:val="106"/>
        </w:numPr>
        <w:tabs>
          <w:tab w:val="clear" w:pos="1440"/>
        </w:tabs>
        <w:ind w:left="0" w:firstLine="0"/>
      </w:pPr>
      <w:r>
        <w:t xml:space="preserve">On February </w:t>
      </w:r>
      <w:r w:rsidR="00272A82" w:rsidRPr="00771EED">
        <w:t>14</w:t>
      </w:r>
      <w:r w:rsidR="004558AD">
        <w:t xml:space="preserve">, the Constitutional </w:t>
      </w:r>
      <w:r w:rsidR="0042668D">
        <w:t xml:space="preserve">Chamber of the Supreme Court of Justice issued its decision in the </w:t>
      </w:r>
      <w:r w:rsidR="0042668D">
        <w:rPr>
          <w:i/>
          <w:iCs/>
        </w:rPr>
        <w:t xml:space="preserve">amparo </w:t>
      </w:r>
      <w:r w:rsidR="0042668D">
        <w:t xml:space="preserve">case in the terms noted above. In view of the foregoing, on September 1, 2006, the National Directorate of Labor Inspection of the Ministry of Labor and Social Security </w:t>
      </w:r>
      <w:r w:rsidR="00AD0849">
        <w:t>archived the case.</w:t>
      </w:r>
      <w:r w:rsidR="002B6875">
        <w:t xml:space="preserve"> In its resolution, it wrote:</w:t>
      </w:r>
    </w:p>
    <w:p w14:paraId="77CC3478" w14:textId="77777777" w:rsidR="00272A82" w:rsidRPr="00771EED" w:rsidRDefault="00272A82" w:rsidP="00272A82">
      <w:pPr>
        <w:pStyle w:val="parrafos"/>
      </w:pPr>
    </w:p>
    <w:p w14:paraId="7005DB26" w14:textId="77777777" w:rsidR="00272A82" w:rsidRPr="00771EED" w:rsidRDefault="00272A82" w:rsidP="00272A82">
      <w:pPr>
        <w:pStyle w:val="citas"/>
        <w:ind w:right="27"/>
        <w:rPr>
          <w:lang w:val="en-US"/>
        </w:rPr>
      </w:pPr>
      <w:r w:rsidRPr="00771EED">
        <w:rPr>
          <w:lang w:val="en-US"/>
        </w:rPr>
        <w:t xml:space="preserve">(…) </w:t>
      </w:r>
      <w:r w:rsidR="00505B8B">
        <w:rPr>
          <w:lang w:val="en-US"/>
        </w:rPr>
        <w:t xml:space="preserve">Having examined </w:t>
      </w:r>
      <w:r w:rsidR="00C6403A">
        <w:rPr>
          <w:lang w:val="en-US"/>
        </w:rPr>
        <w:t xml:space="preserve">Resolution </w:t>
      </w:r>
      <w:r w:rsidRPr="00771EED">
        <w:rPr>
          <w:lang w:val="en-US"/>
        </w:rPr>
        <w:t xml:space="preserve">2005-0142 </w:t>
      </w:r>
      <w:r w:rsidR="0086261B">
        <w:rPr>
          <w:lang w:val="en-US"/>
        </w:rPr>
        <w:t xml:space="preserve">of the Constitutional Chamber </w:t>
      </w:r>
      <w:r w:rsidR="00505B8B">
        <w:rPr>
          <w:lang w:val="en-US"/>
        </w:rPr>
        <w:t>at 16:42 hours of February 14, 2005</w:t>
      </w:r>
      <w:r w:rsidR="000F36F9">
        <w:rPr>
          <w:lang w:val="en-US"/>
        </w:rPr>
        <w:t xml:space="preserve"> </w:t>
      </w:r>
      <w:r w:rsidRPr="00771EED">
        <w:rPr>
          <w:lang w:val="en-US"/>
        </w:rPr>
        <w:t xml:space="preserve">(…) </w:t>
      </w:r>
      <w:r w:rsidR="000F36F9">
        <w:rPr>
          <w:lang w:val="en-US"/>
        </w:rPr>
        <w:t xml:space="preserve">The resolution of the above-mentioned Chamber which declares the </w:t>
      </w:r>
      <w:r w:rsidR="000F36F9">
        <w:rPr>
          <w:i/>
          <w:iCs/>
          <w:lang w:val="en-US"/>
        </w:rPr>
        <w:t xml:space="preserve">amparo </w:t>
      </w:r>
      <w:r w:rsidR="000F36F9">
        <w:rPr>
          <w:lang w:val="en-US"/>
        </w:rPr>
        <w:t xml:space="preserve">appeal groundless it is concluded that there did not exist any grounds of discrimination </w:t>
      </w:r>
      <w:r w:rsidRPr="00771EED">
        <w:rPr>
          <w:lang w:val="en-US"/>
        </w:rPr>
        <w:t>(…)</w:t>
      </w:r>
    </w:p>
    <w:p w14:paraId="2BB52EE0" w14:textId="77777777" w:rsidR="00272A82" w:rsidRPr="00771EED" w:rsidRDefault="00272A82" w:rsidP="00272A82">
      <w:pPr>
        <w:pStyle w:val="citas"/>
        <w:ind w:right="27"/>
        <w:rPr>
          <w:lang w:val="en-US"/>
        </w:rPr>
      </w:pPr>
    </w:p>
    <w:p w14:paraId="60D41AC5" w14:textId="77777777" w:rsidR="00272A82" w:rsidRPr="00771EED" w:rsidRDefault="00272A82" w:rsidP="00272A82">
      <w:pPr>
        <w:pStyle w:val="citas"/>
        <w:ind w:right="27"/>
        <w:rPr>
          <w:lang w:val="en-US"/>
        </w:rPr>
      </w:pPr>
      <w:r w:rsidRPr="00771EED">
        <w:rPr>
          <w:lang w:val="en-US"/>
        </w:rPr>
        <w:lastRenderedPageBreak/>
        <w:t xml:space="preserve">(…) </w:t>
      </w:r>
      <w:r w:rsidR="00580299">
        <w:rPr>
          <w:lang w:val="en-US"/>
        </w:rPr>
        <w:t>In light of</w:t>
      </w:r>
      <w:r w:rsidR="00415FFA">
        <w:rPr>
          <w:lang w:val="en-US"/>
        </w:rPr>
        <w:t xml:space="preserve"> this ruling of the Constitutional </w:t>
      </w:r>
      <w:r w:rsidR="00CA5544">
        <w:rPr>
          <w:lang w:val="en-US"/>
        </w:rPr>
        <w:t xml:space="preserve">Chamber and our duty to abide by those rulings because of their binding nature, we order the </w:t>
      </w:r>
      <w:r w:rsidR="00581999">
        <w:rPr>
          <w:lang w:val="en-US"/>
        </w:rPr>
        <w:t xml:space="preserve">ARCHIVING WITH PREJUDICE OF THE INSTANT CASE, the </w:t>
      </w:r>
      <w:r w:rsidR="004D024E">
        <w:rPr>
          <w:lang w:val="en-US"/>
        </w:rPr>
        <w:t xml:space="preserve">judicial body </w:t>
      </w:r>
      <w:r w:rsidR="00AF0CFF">
        <w:rPr>
          <w:lang w:val="en-US"/>
        </w:rPr>
        <w:t xml:space="preserve">remaining </w:t>
      </w:r>
      <w:r w:rsidR="004D024E">
        <w:rPr>
          <w:lang w:val="en-US"/>
        </w:rPr>
        <w:t xml:space="preserve">open </w:t>
      </w:r>
      <w:r w:rsidR="000A25C5">
        <w:rPr>
          <w:lang w:val="en-US"/>
        </w:rPr>
        <w:t>for them to assert their rights.</w:t>
      </w:r>
      <w:r w:rsidRPr="00771EED">
        <w:rPr>
          <w:rStyle w:val="FootnoteReference"/>
          <w:szCs w:val="18"/>
          <w:lang w:val="en-US"/>
        </w:rPr>
        <w:footnoteReference w:id="24"/>
      </w:r>
    </w:p>
    <w:p w14:paraId="4413D7C6" w14:textId="77777777" w:rsidR="00272A82" w:rsidRPr="00771EED" w:rsidRDefault="00272A82" w:rsidP="00272A82">
      <w:pPr>
        <w:pStyle w:val="parrafos"/>
        <w:rPr>
          <w:rFonts w:cs="Calibri"/>
        </w:rPr>
      </w:pPr>
    </w:p>
    <w:p w14:paraId="4849A976" w14:textId="77777777" w:rsidR="00272A82" w:rsidRPr="00771EED" w:rsidRDefault="005F442F" w:rsidP="00272A82">
      <w:pPr>
        <w:pStyle w:val="Heading1"/>
      </w:pPr>
      <w:bookmarkStart w:id="60" w:name="_Toc37678665"/>
      <w:bookmarkStart w:id="61" w:name="_Toc37681813"/>
      <w:bookmarkStart w:id="62" w:name="_Toc42239531"/>
      <w:r>
        <w:t xml:space="preserve">LEGAL ANALYSIS </w:t>
      </w:r>
      <w:bookmarkEnd w:id="60"/>
      <w:bookmarkEnd w:id="61"/>
      <w:bookmarkEnd w:id="62"/>
    </w:p>
    <w:p w14:paraId="4CF6E83C" w14:textId="77777777" w:rsidR="00272A82" w:rsidRPr="00771EED" w:rsidRDefault="00272A82" w:rsidP="00272A82">
      <w:pPr>
        <w:pStyle w:val="parrafos"/>
      </w:pPr>
    </w:p>
    <w:p w14:paraId="373833DE" w14:textId="77777777" w:rsidR="00272A82" w:rsidRPr="00771EED" w:rsidRDefault="00450B40" w:rsidP="00913F69">
      <w:pPr>
        <w:pStyle w:val="Heading2"/>
        <w:numPr>
          <w:ilvl w:val="0"/>
          <w:numId w:val="108"/>
        </w:numPr>
        <w:tabs>
          <w:tab w:val="left" w:pos="1710"/>
        </w:tabs>
        <w:ind w:left="360"/>
      </w:pPr>
      <w:bookmarkStart w:id="63" w:name="_Toc37681814"/>
      <w:bookmarkStart w:id="64" w:name="_Toc42239532"/>
      <w:bookmarkStart w:id="65" w:name="_Toc37678666"/>
      <w:r>
        <w:t xml:space="preserve">Right to equal protection and access to work </w:t>
      </w:r>
      <w:r w:rsidR="00272A82" w:rsidRPr="00771EED">
        <w:t>(art</w:t>
      </w:r>
      <w:r>
        <w:t xml:space="preserve">icles </w:t>
      </w:r>
      <w:r w:rsidR="00272A82" w:rsidRPr="00771EED">
        <w:t>24</w:t>
      </w:r>
      <w:r w:rsidR="00272A82" w:rsidRPr="00771EED">
        <w:rPr>
          <w:rStyle w:val="FootnoteReference"/>
          <w:rFonts w:eastAsia="Trebuchet MS"/>
          <w:b w:val="0"/>
        </w:rPr>
        <w:footnoteReference w:id="25"/>
      </w:r>
      <w:r w:rsidR="00272A82" w:rsidRPr="00771EED">
        <w:t xml:space="preserve"> </w:t>
      </w:r>
      <w:r>
        <w:t>and</w:t>
      </w:r>
      <w:r w:rsidR="00272A82" w:rsidRPr="00771EED">
        <w:t xml:space="preserve"> 26</w:t>
      </w:r>
      <w:r w:rsidR="00272A82" w:rsidRPr="00771EED">
        <w:rPr>
          <w:rStyle w:val="FootnoteReference"/>
          <w:rFonts w:eastAsia="Trebuchet MS"/>
          <w:b w:val="0"/>
        </w:rPr>
        <w:footnoteReference w:id="26"/>
      </w:r>
      <w:r w:rsidR="00272A82" w:rsidRPr="00771EED">
        <w:t xml:space="preserve"> </w:t>
      </w:r>
      <w:r w:rsidR="0047591B">
        <w:t>of the American Convention, in connection with Article 1.1 of the same instrument</w:t>
      </w:r>
      <w:r w:rsidR="00272A82" w:rsidRPr="00771EED">
        <w:t>)</w:t>
      </w:r>
      <w:bookmarkEnd w:id="63"/>
      <w:bookmarkEnd w:id="64"/>
      <w:r w:rsidR="00272A82" w:rsidRPr="00771EED">
        <w:t xml:space="preserve"> </w:t>
      </w:r>
      <w:bookmarkEnd w:id="65"/>
    </w:p>
    <w:p w14:paraId="022A9EF9" w14:textId="77777777" w:rsidR="00272A82" w:rsidRPr="00913F69" w:rsidRDefault="00647B74" w:rsidP="00272A82">
      <w:pPr>
        <w:pStyle w:val="Heading3"/>
        <w:keepLines w:val="0"/>
        <w:numPr>
          <w:ilvl w:val="3"/>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240" w:after="60" w:line="276" w:lineRule="auto"/>
        <w:ind w:hanging="2880"/>
        <w:rPr>
          <w:b/>
          <w:color w:val="auto"/>
          <w:sz w:val="20"/>
          <w:szCs w:val="20"/>
        </w:rPr>
      </w:pPr>
      <w:bookmarkStart w:id="66" w:name="_Toc37678667"/>
      <w:bookmarkStart w:id="67" w:name="_Toc37681815"/>
      <w:bookmarkStart w:id="68" w:name="_Toc42239533"/>
      <w:r w:rsidRPr="00913F69">
        <w:rPr>
          <w:b/>
          <w:color w:val="auto"/>
          <w:sz w:val="20"/>
          <w:szCs w:val="20"/>
        </w:rPr>
        <w:t xml:space="preserve">General standards on equality and non-discrimination </w:t>
      </w:r>
      <w:bookmarkEnd w:id="66"/>
      <w:bookmarkEnd w:id="67"/>
      <w:bookmarkEnd w:id="68"/>
    </w:p>
    <w:p w14:paraId="38216956" w14:textId="77777777" w:rsidR="00272A82" w:rsidRPr="00771EED" w:rsidRDefault="00272A82" w:rsidP="00272A82">
      <w:pPr>
        <w:pStyle w:val="parrafos"/>
      </w:pPr>
    </w:p>
    <w:p w14:paraId="74D2C888" w14:textId="77777777" w:rsidR="00272A82" w:rsidRPr="00771EED" w:rsidRDefault="006B5DA5" w:rsidP="00272A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szCs w:val="20"/>
        </w:rPr>
        <w:t xml:space="preserve">The Inter-American Court </w:t>
      </w:r>
      <w:r w:rsidR="006D4514">
        <w:rPr>
          <w:rFonts w:ascii="Cambria" w:hAnsi="Cambria"/>
          <w:sz w:val="20"/>
          <w:szCs w:val="20"/>
        </w:rPr>
        <w:t xml:space="preserve">has </w:t>
      </w:r>
      <w:r w:rsidR="00551608">
        <w:rPr>
          <w:rFonts w:ascii="Cambria" w:hAnsi="Cambria"/>
          <w:sz w:val="20"/>
          <w:szCs w:val="20"/>
        </w:rPr>
        <w:t xml:space="preserve">held </w:t>
      </w:r>
      <w:r w:rsidR="009A3810">
        <w:rPr>
          <w:rFonts w:ascii="Cambria" w:hAnsi="Cambria"/>
          <w:sz w:val="20"/>
          <w:szCs w:val="20"/>
        </w:rPr>
        <w:t xml:space="preserve">that the notion of </w:t>
      </w:r>
      <w:r w:rsidR="00DB49BF">
        <w:rPr>
          <w:rFonts w:ascii="Cambria" w:hAnsi="Cambria"/>
          <w:sz w:val="20"/>
          <w:szCs w:val="20"/>
        </w:rPr>
        <w:t xml:space="preserve">equality </w:t>
      </w:r>
      <w:r w:rsidR="00F87482">
        <w:rPr>
          <w:rFonts w:ascii="Cambria" w:hAnsi="Cambria"/>
          <w:sz w:val="20"/>
          <w:szCs w:val="20"/>
        </w:rPr>
        <w:t xml:space="preserve">emanates </w:t>
      </w:r>
      <w:r w:rsidR="00541DD5">
        <w:rPr>
          <w:rFonts w:ascii="Cambria" w:hAnsi="Cambria"/>
          <w:sz w:val="20"/>
          <w:szCs w:val="20"/>
        </w:rPr>
        <w:t>directly</w:t>
      </w:r>
      <w:r w:rsidR="00DB49BF">
        <w:rPr>
          <w:rFonts w:ascii="Cambria" w:hAnsi="Cambria"/>
          <w:sz w:val="20"/>
          <w:szCs w:val="20"/>
        </w:rPr>
        <w:t xml:space="preserve"> from the </w:t>
      </w:r>
      <w:r w:rsidR="00A82844">
        <w:rPr>
          <w:rFonts w:ascii="Cambria" w:hAnsi="Cambria"/>
          <w:sz w:val="20"/>
          <w:szCs w:val="20"/>
        </w:rPr>
        <w:t xml:space="preserve">unified nature </w:t>
      </w:r>
      <w:r w:rsidR="007A1E11">
        <w:rPr>
          <w:rFonts w:ascii="Cambria" w:hAnsi="Cambria"/>
          <w:sz w:val="20"/>
          <w:szCs w:val="20"/>
        </w:rPr>
        <w:t xml:space="preserve">of </w:t>
      </w:r>
      <w:r w:rsidR="00E57A57">
        <w:rPr>
          <w:rFonts w:ascii="Cambria" w:hAnsi="Cambria"/>
          <w:sz w:val="20"/>
          <w:szCs w:val="20"/>
        </w:rPr>
        <w:t xml:space="preserve">the </w:t>
      </w:r>
      <w:r w:rsidR="007A1E11">
        <w:rPr>
          <w:rFonts w:ascii="Cambria" w:hAnsi="Cambria"/>
          <w:sz w:val="20"/>
          <w:szCs w:val="20"/>
        </w:rPr>
        <w:t>human</w:t>
      </w:r>
      <w:r w:rsidR="00E57A57">
        <w:rPr>
          <w:rFonts w:ascii="Cambria" w:hAnsi="Cambria"/>
          <w:sz w:val="20"/>
          <w:szCs w:val="20"/>
        </w:rPr>
        <w:t xml:space="preserve"> genus </w:t>
      </w:r>
      <w:r w:rsidR="00AA19AB">
        <w:rPr>
          <w:rFonts w:ascii="Cambria" w:hAnsi="Cambria"/>
          <w:sz w:val="20"/>
          <w:szCs w:val="20"/>
        </w:rPr>
        <w:t>and is inseparable</w:t>
      </w:r>
      <w:r w:rsidR="00E57A57">
        <w:rPr>
          <w:rFonts w:ascii="Cambria" w:hAnsi="Cambria"/>
          <w:sz w:val="20"/>
          <w:szCs w:val="20"/>
        </w:rPr>
        <w:t xml:space="preserve"> from the essential dignity of </w:t>
      </w:r>
      <w:r w:rsidR="00365FCB">
        <w:rPr>
          <w:rFonts w:ascii="Cambria" w:hAnsi="Cambria"/>
          <w:sz w:val="20"/>
          <w:szCs w:val="20"/>
        </w:rPr>
        <w:t>the</w:t>
      </w:r>
      <w:r w:rsidR="00BB4CFD">
        <w:rPr>
          <w:rFonts w:ascii="Cambria" w:hAnsi="Cambria"/>
          <w:sz w:val="20"/>
          <w:szCs w:val="20"/>
        </w:rPr>
        <w:t xml:space="preserve"> </w:t>
      </w:r>
      <w:r w:rsidR="00E57A57">
        <w:rPr>
          <w:rFonts w:ascii="Cambria" w:hAnsi="Cambria"/>
          <w:sz w:val="20"/>
          <w:szCs w:val="20"/>
        </w:rPr>
        <w:t>person</w:t>
      </w:r>
      <w:r w:rsidR="00A82844">
        <w:rPr>
          <w:rFonts w:ascii="Cambria" w:hAnsi="Cambria"/>
          <w:sz w:val="20"/>
          <w:szCs w:val="20"/>
        </w:rPr>
        <w:t>. T</w:t>
      </w:r>
      <w:r w:rsidR="00E57A57">
        <w:rPr>
          <w:rFonts w:ascii="Cambria" w:hAnsi="Cambria"/>
          <w:sz w:val="20"/>
          <w:szCs w:val="20"/>
        </w:rPr>
        <w:t xml:space="preserve">herefore, </w:t>
      </w:r>
      <w:r w:rsidR="000D4E33">
        <w:rPr>
          <w:rFonts w:ascii="Cambria" w:hAnsi="Cambria"/>
          <w:sz w:val="20"/>
          <w:szCs w:val="20"/>
        </w:rPr>
        <w:t xml:space="preserve">whenever </w:t>
      </w:r>
      <w:r w:rsidR="002467BE">
        <w:rPr>
          <w:rFonts w:ascii="Cambria" w:hAnsi="Cambria"/>
          <w:sz w:val="20"/>
          <w:szCs w:val="20"/>
        </w:rPr>
        <w:t xml:space="preserve">a situation arises in which </w:t>
      </w:r>
      <w:r w:rsidR="00E57A57">
        <w:rPr>
          <w:rFonts w:ascii="Cambria" w:hAnsi="Cambria"/>
          <w:sz w:val="20"/>
          <w:szCs w:val="20"/>
        </w:rPr>
        <w:t xml:space="preserve">a particular group </w:t>
      </w:r>
      <w:r w:rsidR="000D4E33">
        <w:rPr>
          <w:rFonts w:ascii="Cambria" w:hAnsi="Cambria"/>
          <w:sz w:val="20"/>
          <w:szCs w:val="20"/>
        </w:rPr>
        <w:t xml:space="preserve">is considered </w:t>
      </w:r>
      <w:r w:rsidR="009847F4">
        <w:rPr>
          <w:rFonts w:ascii="Cambria" w:hAnsi="Cambria"/>
          <w:sz w:val="20"/>
          <w:szCs w:val="20"/>
        </w:rPr>
        <w:t>superior</w:t>
      </w:r>
      <w:r w:rsidR="00F1158F">
        <w:rPr>
          <w:rFonts w:ascii="Cambria" w:hAnsi="Cambria"/>
          <w:sz w:val="20"/>
          <w:szCs w:val="20"/>
        </w:rPr>
        <w:t>, leading to preferential treatment, it is incompatible</w:t>
      </w:r>
      <w:r w:rsidR="00D61D3E">
        <w:rPr>
          <w:rFonts w:ascii="Cambria" w:hAnsi="Cambria"/>
          <w:sz w:val="20"/>
          <w:szCs w:val="20"/>
        </w:rPr>
        <w:t xml:space="preserve"> with the Convention</w:t>
      </w:r>
      <w:r w:rsidR="002F1B40">
        <w:rPr>
          <w:rFonts w:ascii="Cambria" w:hAnsi="Cambria"/>
          <w:sz w:val="20"/>
          <w:szCs w:val="20"/>
        </w:rPr>
        <w:t xml:space="preserve">. </w:t>
      </w:r>
      <w:r w:rsidR="00547279">
        <w:rPr>
          <w:rFonts w:ascii="Cambria" w:hAnsi="Cambria"/>
          <w:sz w:val="20"/>
          <w:szCs w:val="20"/>
        </w:rPr>
        <w:t>By the same token,</w:t>
      </w:r>
      <w:r w:rsidR="002B3805">
        <w:rPr>
          <w:rFonts w:ascii="Cambria" w:hAnsi="Cambria"/>
          <w:sz w:val="20"/>
          <w:szCs w:val="20"/>
        </w:rPr>
        <w:t xml:space="preserve"> </w:t>
      </w:r>
      <w:r w:rsidR="002F1B40">
        <w:rPr>
          <w:rFonts w:ascii="Cambria" w:hAnsi="Cambria"/>
          <w:sz w:val="20"/>
          <w:szCs w:val="20"/>
        </w:rPr>
        <w:t xml:space="preserve">should </w:t>
      </w:r>
      <w:r w:rsidR="00EA302F">
        <w:rPr>
          <w:rFonts w:ascii="Cambria" w:hAnsi="Cambria"/>
          <w:sz w:val="20"/>
          <w:szCs w:val="20"/>
        </w:rPr>
        <w:t>the reverse</w:t>
      </w:r>
      <w:r w:rsidR="002F1B40">
        <w:rPr>
          <w:rFonts w:ascii="Cambria" w:hAnsi="Cambria"/>
          <w:sz w:val="20"/>
          <w:szCs w:val="20"/>
        </w:rPr>
        <w:t xml:space="preserve"> situation arise</w:t>
      </w:r>
      <w:r w:rsidR="00147E58">
        <w:rPr>
          <w:rFonts w:ascii="Cambria" w:hAnsi="Cambria"/>
          <w:sz w:val="20"/>
          <w:szCs w:val="20"/>
        </w:rPr>
        <w:t xml:space="preserve">, </w:t>
      </w:r>
      <w:r w:rsidR="002F1B40">
        <w:rPr>
          <w:rFonts w:ascii="Cambria" w:hAnsi="Cambria"/>
          <w:sz w:val="20"/>
          <w:szCs w:val="20"/>
        </w:rPr>
        <w:t xml:space="preserve">in which a group is </w:t>
      </w:r>
      <w:r w:rsidR="002D3095">
        <w:rPr>
          <w:rFonts w:ascii="Cambria" w:hAnsi="Cambria"/>
          <w:sz w:val="20"/>
          <w:szCs w:val="20"/>
        </w:rPr>
        <w:t xml:space="preserve">considered inferior, </w:t>
      </w:r>
      <w:r w:rsidR="002F1B40">
        <w:rPr>
          <w:rFonts w:ascii="Cambria" w:hAnsi="Cambria"/>
          <w:sz w:val="20"/>
          <w:szCs w:val="20"/>
        </w:rPr>
        <w:t xml:space="preserve">with that </w:t>
      </w:r>
      <w:r w:rsidR="002D3095">
        <w:rPr>
          <w:rFonts w:ascii="Cambria" w:hAnsi="Cambria"/>
          <w:sz w:val="20"/>
          <w:szCs w:val="20"/>
        </w:rPr>
        <w:t xml:space="preserve">group </w:t>
      </w:r>
      <w:r w:rsidR="007A1225">
        <w:rPr>
          <w:rFonts w:ascii="Cambria" w:hAnsi="Cambria"/>
          <w:sz w:val="20"/>
          <w:szCs w:val="20"/>
        </w:rPr>
        <w:t xml:space="preserve">being treated </w:t>
      </w:r>
      <w:r w:rsidR="002D3095">
        <w:rPr>
          <w:rFonts w:ascii="Cambria" w:hAnsi="Cambria"/>
          <w:sz w:val="20"/>
          <w:szCs w:val="20"/>
        </w:rPr>
        <w:t xml:space="preserve">with </w:t>
      </w:r>
      <w:r w:rsidR="00F4306E">
        <w:rPr>
          <w:rFonts w:ascii="Cambria" w:hAnsi="Cambria"/>
          <w:sz w:val="20"/>
          <w:szCs w:val="20"/>
        </w:rPr>
        <w:t>hostility</w:t>
      </w:r>
      <w:r w:rsidR="00F96C7F">
        <w:rPr>
          <w:rFonts w:ascii="Cambria" w:hAnsi="Cambria"/>
          <w:sz w:val="20"/>
          <w:szCs w:val="20"/>
        </w:rPr>
        <w:t xml:space="preserve"> or </w:t>
      </w:r>
      <w:r w:rsidR="002C29A6">
        <w:rPr>
          <w:rFonts w:ascii="Cambria" w:hAnsi="Cambria"/>
          <w:sz w:val="20"/>
          <w:szCs w:val="20"/>
        </w:rPr>
        <w:t xml:space="preserve">in </w:t>
      </w:r>
      <w:r w:rsidR="00F96C7F">
        <w:rPr>
          <w:rFonts w:ascii="Cambria" w:hAnsi="Cambria"/>
          <w:sz w:val="20"/>
          <w:szCs w:val="20"/>
        </w:rPr>
        <w:t xml:space="preserve">any other </w:t>
      </w:r>
      <w:r w:rsidR="00281B2B">
        <w:rPr>
          <w:rFonts w:ascii="Cambria" w:hAnsi="Cambria"/>
          <w:sz w:val="20"/>
          <w:szCs w:val="20"/>
        </w:rPr>
        <w:t xml:space="preserve">discriminatory </w:t>
      </w:r>
      <w:r w:rsidR="00F96C7F">
        <w:rPr>
          <w:rFonts w:ascii="Cambria" w:hAnsi="Cambria"/>
          <w:sz w:val="20"/>
          <w:szCs w:val="20"/>
        </w:rPr>
        <w:t>way in</w:t>
      </w:r>
      <w:r w:rsidR="006816F3">
        <w:rPr>
          <w:rFonts w:ascii="Cambria" w:hAnsi="Cambria"/>
          <w:sz w:val="20"/>
          <w:szCs w:val="20"/>
        </w:rPr>
        <w:t xml:space="preserve"> terms of</w:t>
      </w:r>
      <w:r w:rsidR="00F96C7F">
        <w:rPr>
          <w:rFonts w:ascii="Cambria" w:hAnsi="Cambria"/>
          <w:sz w:val="20"/>
          <w:szCs w:val="20"/>
        </w:rPr>
        <w:t xml:space="preserve"> the enjoyment of rights that are recognized </w:t>
      </w:r>
      <w:r w:rsidR="00B60989">
        <w:rPr>
          <w:rFonts w:ascii="Cambria" w:hAnsi="Cambria"/>
          <w:sz w:val="20"/>
          <w:szCs w:val="20"/>
        </w:rPr>
        <w:t xml:space="preserve">for people </w:t>
      </w:r>
      <w:r w:rsidR="001174D0">
        <w:rPr>
          <w:rFonts w:ascii="Cambria" w:hAnsi="Cambria"/>
          <w:sz w:val="20"/>
          <w:szCs w:val="20"/>
        </w:rPr>
        <w:t xml:space="preserve">who are not </w:t>
      </w:r>
      <w:r w:rsidR="00B60989">
        <w:rPr>
          <w:rFonts w:ascii="Cambria" w:hAnsi="Cambria"/>
          <w:sz w:val="20"/>
          <w:szCs w:val="20"/>
        </w:rPr>
        <w:t>in such a situation</w:t>
      </w:r>
      <w:r w:rsidR="002754E5">
        <w:rPr>
          <w:rFonts w:ascii="Cambria" w:hAnsi="Cambria"/>
          <w:sz w:val="20"/>
          <w:szCs w:val="20"/>
        </w:rPr>
        <w:t>, it</w:t>
      </w:r>
      <w:r w:rsidR="00442B45">
        <w:rPr>
          <w:rFonts w:ascii="Cambria" w:hAnsi="Cambria"/>
          <w:sz w:val="20"/>
          <w:szCs w:val="20"/>
        </w:rPr>
        <w:t xml:space="preserve"> also runs afoul of </w:t>
      </w:r>
      <w:r w:rsidR="002754E5">
        <w:rPr>
          <w:rFonts w:ascii="Cambria" w:hAnsi="Cambria"/>
          <w:sz w:val="20"/>
          <w:szCs w:val="20"/>
        </w:rPr>
        <w:t>the Convention</w:t>
      </w:r>
      <w:r w:rsidR="00B60989">
        <w:rPr>
          <w:rFonts w:ascii="Cambria" w:hAnsi="Cambria"/>
          <w:sz w:val="20"/>
          <w:szCs w:val="20"/>
        </w:rPr>
        <w:t xml:space="preserve">. </w:t>
      </w:r>
      <w:r w:rsidR="002A2D3E">
        <w:rPr>
          <w:rFonts w:ascii="Cambria" w:hAnsi="Cambria"/>
          <w:sz w:val="20"/>
          <w:szCs w:val="20"/>
        </w:rPr>
        <w:t xml:space="preserve">The legal precedents of the Court </w:t>
      </w:r>
      <w:r w:rsidR="00FB2E12">
        <w:rPr>
          <w:rFonts w:ascii="Cambria" w:hAnsi="Cambria"/>
          <w:sz w:val="20"/>
          <w:szCs w:val="20"/>
        </w:rPr>
        <w:t xml:space="preserve">have </w:t>
      </w:r>
      <w:r w:rsidR="004637CC">
        <w:rPr>
          <w:rFonts w:ascii="Cambria" w:hAnsi="Cambria"/>
          <w:sz w:val="20"/>
          <w:szCs w:val="20"/>
        </w:rPr>
        <w:t xml:space="preserve">established </w:t>
      </w:r>
      <w:r w:rsidR="00FB2E12">
        <w:rPr>
          <w:rFonts w:ascii="Cambria" w:hAnsi="Cambria"/>
          <w:sz w:val="20"/>
          <w:szCs w:val="20"/>
        </w:rPr>
        <w:t xml:space="preserve">that, at the current stage of evolution </w:t>
      </w:r>
      <w:r w:rsidR="006E43B8">
        <w:rPr>
          <w:rFonts w:ascii="Cambria" w:hAnsi="Cambria"/>
          <w:sz w:val="20"/>
          <w:szCs w:val="20"/>
        </w:rPr>
        <w:t xml:space="preserve">of international law, the fundamental principle </w:t>
      </w:r>
      <w:r w:rsidR="007B487B">
        <w:rPr>
          <w:rFonts w:ascii="Cambria" w:hAnsi="Cambria"/>
          <w:sz w:val="20"/>
          <w:szCs w:val="20"/>
        </w:rPr>
        <w:t xml:space="preserve">of equality and non-discrimination </w:t>
      </w:r>
      <w:r w:rsidR="00F446CC">
        <w:rPr>
          <w:rFonts w:ascii="Cambria" w:hAnsi="Cambria"/>
          <w:sz w:val="20"/>
          <w:szCs w:val="20"/>
        </w:rPr>
        <w:t xml:space="preserve">has entered the </w:t>
      </w:r>
      <w:r w:rsidR="00623F91">
        <w:rPr>
          <w:rFonts w:ascii="Cambria" w:hAnsi="Cambria"/>
          <w:sz w:val="20"/>
          <w:szCs w:val="20"/>
        </w:rPr>
        <w:t xml:space="preserve">realm </w:t>
      </w:r>
      <w:r w:rsidR="00F446CC">
        <w:rPr>
          <w:rFonts w:ascii="Cambria" w:hAnsi="Cambria"/>
          <w:sz w:val="20"/>
          <w:szCs w:val="20"/>
        </w:rPr>
        <w:t xml:space="preserve">of </w:t>
      </w:r>
      <w:r w:rsidR="00F446CC">
        <w:rPr>
          <w:rFonts w:ascii="Cambria" w:hAnsi="Cambria"/>
          <w:i/>
          <w:iCs/>
          <w:sz w:val="20"/>
          <w:szCs w:val="20"/>
        </w:rPr>
        <w:t xml:space="preserve">jus cogens. </w:t>
      </w:r>
      <w:r w:rsidR="007303EA">
        <w:rPr>
          <w:rFonts w:ascii="Cambria" w:hAnsi="Cambria"/>
          <w:sz w:val="20"/>
          <w:szCs w:val="20"/>
        </w:rPr>
        <w:t xml:space="preserve">The legal </w:t>
      </w:r>
      <w:r w:rsidR="00825C56">
        <w:rPr>
          <w:rFonts w:ascii="Cambria" w:hAnsi="Cambria"/>
          <w:sz w:val="20"/>
          <w:szCs w:val="20"/>
        </w:rPr>
        <w:t xml:space="preserve">framework </w:t>
      </w:r>
      <w:r w:rsidR="007303EA">
        <w:rPr>
          <w:rFonts w:ascii="Cambria" w:hAnsi="Cambria"/>
          <w:sz w:val="20"/>
          <w:szCs w:val="20"/>
        </w:rPr>
        <w:t>of n</w:t>
      </w:r>
      <w:r w:rsidR="0081666D">
        <w:rPr>
          <w:rFonts w:ascii="Cambria" w:hAnsi="Cambria"/>
          <w:sz w:val="20"/>
          <w:szCs w:val="20"/>
        </w:rPr>
        <w:t>ational and international systems</w:t>
      </w:r>
      <w:r w:rsidR="001C7DCC">
        <w:rPr>
          <w:rFonts w:ascii="Cambria" w:hAnsi="Cambria"/>
          <w:sz w:val="20"/>
          <w:szCs w:val="20"/>
        </w:rPr>
        <w:t xml:space="preserve"> of law</w:t>
      </w:r>
      <w:r w:rsidR="0081666D">
        <w:rPr>
          <w:rFonts w:ascii="Cambria" w:hAnsi="Cambria"/>
          <w:sz w:val="20"/>
          <w:szCs w:val="20"/>
        </w:rPr>
        <w:t xml:space="preserve"> are predicated upon it</w:t>
      </w:r>
      <w:r w:rsidR="0097637C">
        <w:rPr>
          <w:rFonts w:ascii="Cambria" w:hAnsi="Cambria"/>
          <w:sz w:val="20"/>
          <w:szCs w:val="20"/>
        </w:rPr>
        <w:t xml:space="preserve"> and </w:t>
      </w:r>
      <w:r w:rsidR="001C0576">
        <w:rPr>
          <w:rFonts w:ascii="Cambria" w:hAnsi="Cambria"/>
          <w:sz w:val="20"/>
          <w:szCs w:val="20"/>
        </w:rPr>
        <w:t xml:space="preserve">it </w:t>
      </w:r>
      <w:r w:rsidR="0097637C">
        <w:rPr>
          <w:rFonts w:ascii="Cambria" w:hAnsi="Cambria"/>
          <w:sz w:val="20"/>
          <w:szCs w:val="20"/>
        </w:rPr>
        <w:t>permeate</w:t>
      </w:r>
      <w:r w:rsidR="005F2F83">
        <w:rPr>
          <w:rFonts w:ascii="Cambria" w:hAnsi="Cambria"/>
          <w:sz w:val="20"/>
          <w:szCs w:val="20"/>
        </w:rPr>
        <w:t>s</w:t>
      </w:r>
      <w:r w:rsidR="0097637C">
        <w:rPr>
          <w:rFonts w:ascii="Cambria" w:hAnsi="Cambria"/>
          <w:sz w:val="20"/>
          <w:szCs w:val="20"/>
        </w:rPr>
        <w:t xml:space="preserve"> </w:t>
      </w:r>
      <w:r w:rsidR="000945E7">
        <w:rPr>
          <w:rFonts w:ascii="Cambria" w:hAnsi="Cambria"/>
          <w:sz w:val="20"/>
          <w:szCs w:val="20"/>
        </w:rPr>
        <w:t>every legal system.</w:t>
      </w:r>
      <w:r w:rsidR="00272A82" w:rsidRPr="00771EED">
        <w:rPr>
          <w:rStyle w:val="FootnoteReference"/>
          <w:rFonts w:ascii="Cambria" w:hAnsi="Cambria"/>
          <w:sz w:val="20"/>
          <w:szCs w:val="20"/>
        </w:rPr>
        <w:footnoteReference w:id="27"/>
      </w:r>
    </w:p>
    <w:p w14:paraId="5563F467" w14:textId="77777777" w:rsidR="00272A82" w:rsidRPr="00771EED" w:rsidRDefault="00272A82" w:rsidP="00272A82">
      <w:pPr>
        <w:tabs>
          <w:tab w:val="left" w:pos="360"/>
          <w:tab w:val="left" w:pos="720"/>
          <w:tab w:val="left" w:pos="1440"/>
        </w:tabs>
        <w:jc w:val="both"/>
        <w:rPr>
          <w:rFonts w:ascii="Cambria" w:hAnsi="Cambria"/>
          <w:sz w:val="20"/>
          <w:szCs w:val="20"/>
        </w:rPr>
      </w:pPr>
    </w:p>
    <w:p w14:paraId="76A3FBF1" w14:textId="77777777" w:rsidR="00272A82" w:rsidRPr="00771EED" w:rsidRDefault="00D0252C" w:rsidP="00272A82">
      <w:pPr>
        <w:pStyle w:val="parrafos"/>
        <w:numPr>
          <w:ilvl w:val="0"/>
          <w:numId w:val="106"/>
        </w:numPr>
        <w:tabs>
          <w:tab w:val="clear" w:pos="1440"/>
        </w:tabs>
        <w:autoSpaceDE w:val="0"/>
        <w:autoSpaceDN w:val="0"/>
        <w:adjustRightInd w:val="0"/>
        <w:ind w:left="0" w:firstLine="0"/>
        <w:rPr>
          <w:color w:val="auto"/>
        </w:rPr>
      </w:pPr>
      <w:r>
        <w:rPr>
          <w:color w:val="auto"/>
        </w:rPr>
        <w:t xml:space="preserve">The Inter-American system </w:t>
      </w:r>
      <w:r w:rsidR="00737B6B">
        <w:rPr>
          <w:color w:val="auto"/>
        </w:rPr>
        <w:t xml:space="preserve">not only embraces a </w:t>
      </w:r>
      <w:r>
        <w:rPr>
          <w:color w:val="auto"/>
        </w:rPr>
        <w:t>formal notion of equality</w:t>
      </w:r>
      <w:r w:rsidR="00737B6B">
        <w:rPr>
          <w:color w:val="auto"/>
        </w:rPr>
        <w:t xml:space="preserve"> </w:t>
      </w:r>
      <w:r>
        <w:rPr>
          <w:color w:val="auto"/>
        </w:rPr>
        <w:t xml:space="preserve">confined to </w:t>
      </w:r>
      <w:r w:rsidR="00344194">
        <w:rPr>
          <w:color w:val="auto"/>
        </w:rPr>
        <w:t xml:space="preserve">demanding </w:t>
      </w:r>
      <w:r w:rsidR="0066126A">
        <w:rPr>
          <w:color w:val="auto"/>
        </w:rPr>
        <w:t xml:space="preserve">reasonable and </w:t>
      </w:r>
      <w:r w:rsidR="00DF4700">
        <w:rPr>
          <w:color w:val="auto"/>
        </w:rPr>
        <w:t xml:space="preserve">objective criteria </w:t>
      </w:r>
      <w:r w:rsidR="00F13D66">
        <w:rPr>
          <w:color w:val="auto"/>
        </w:rPr>
        <w:t>for</w:t>
      </w:r>
      <w:r w:rsidR="00DF4700">
        <w:rPr>
          <w:color w:val="auto"/>
        </w:rPr>
        <w:t xml:space="preserve"> distinction and therefore</w:t>
      </w:r>
      <w:r w:rsidR="00B71CF5">
        <w:rPr>
          <w:color w:val="auto"/>
        </w:rPr>
        <w:t xml:space="preserve"> prohibits</w:t>
      </w:r>
      <w:r w:rsidR="0078214A">
        <w:rPr>
          <w:color w:val="auto"/>
        </w:rPr>
        <w:t xml:space="preserve"> unreasonable, </w:t>
      </w:r>
      <w:r w:rsidR="00B71CF5">
        <w:rPr>
          <w:color w:val="auto"/>
        </w:rPr>
        <w:t>capricious or</w:t>
      </w:r>
      <w:r w:rsidR="0078214A">
        <w:rPr>
          <w:color w:val="auto"/>
        </w:rPr>
        <w:t xml:space="preserve"> arbitrary differences</w:t>
      </w:r>
      <w:r w:rsidR="00B71CF5">
        <w:rPr>
          <w:color w:val="auto"/>
        </w:rPr>
        <w:t xml:space="preserve"> in treatment</w:t>
      </w:r>
      <w:r w:rsidR="0042461A">
        <w:rPr>
          <w:color w:val="auto"/>
        </w:rPr>
        <w:t>;</w:t>
      </w:r>
      <w:r w:rsidR="00715366">
        <w:rPr>
          <w:color w:val="auto"/>
        </w:rPr>
        <w:t xml:space="preserve"> but </w:t>
      </w:r>
      <w:r w:rsidR="0023341C">
        <w:rPr>
          <w:color w:val="auto"/>
        </w:rPr>
        <w:t xml:space="preserve">is also moving </w:t>
      </w:r>
      <w:r w:rsidR="00715366">
        <w:rPr>
          <w:color w:val="auto"/>
        </w:rPr>
        <w:t xml:space="preserve">toward a concept of material or structural equality </w:t>
      </w:r>
      <w:r w:rsidR="0023341C">
        <w:rPr>
          <w:color w:val="auto"/>
        </w:rPr>
        <w:t xml:space="preserve">acknowledging that for certain sectors </w:t>
      </w:r>
      <w:r w:rsidR="00F62F33">
        <w:rPr>
          <w:color w:val="auto"/>
        </w:rPr>
        <w:t>of the population</w:t>
      </w:r>
      <w:r w:rsidR="0023341C">
        <w:rPr>
          <w:color w:val="auto"/>
        </w:rPr>
        <w:t>,</w:t>
      </w:r>
      <w:r w:rsidR="00BB1DBB">
        <w:rPr>
          <w:color w:val="auto"/>
        </w:rPr>
        <w:t xml:space="preserve"> </w:t>
      </w:r>
      <w:r w:rsidR="00D678AC">
        <w:rPr>
          <w:color w:val="auto"/>
        </w:rPr>
        <w:t xml:space="preserve">affirmative </w:t>
      </w:r>
      <w:r w:rsidR="0023341C">
        <w:rPr>
          <w:color w:val="auto"/>
        </w:rPr>
        <w:t xml:space="preserve">action </w:t>
      </w:r>
      <w:r w:rsidR="00D678AC">
        <w:rPr>
          <w:color w:val="auto"/>
        </w:rPr>
        <w:t xml:space="preserve">measures </w:t>
      </w:r>
      <w:r w:rsidR="008D1755">
        <w:rPr>
          <w:color w:val="auto"/>
        </w:rPr>
        <w:t xml:space="preserve">are required </w:t>
      </w:r>
      <w:r w:rsidR="00884ABC">
        <w:rPr>
          <w:color w:val="auto"/>
        </w:rPr>
        <w:t xml:space="preserve">to level out the playing field. </w:t>
      </w:r>
      <w:r w:rsidR="00F62F33">
        <w:rPr>
          <w:color w:val="auto"/>
        </w:rPr>
        <w:t xml:space="preserve"> </w:t>
      </w:r>
      <w:r w:rsidR="00F624C9">
        <w:rPr>
          <w:color w:val="auto"/>
        </w:rPr>
        <w:t>This involves resorting to differential treatment whenever equal treatment might suspend or limit access to a service, good or the exercise of a right because of the circumstances affecting a disadvantaged group.</w:t>
      </w:r>
      <w:r w:rsidR="00272A82" w:rsidRPr="00771EED">
        <w:rPr>
          <w:rStyle w:val="FootnoteReference"/>
          <w:rFonts w:ascii="Cambria" w:hAnsi="Cambria"/>
          <w:color w:val="auto"/>
        </w:rPr>
        <w:footnoteReference w:id="28"/>
      </w:r>
      <w:r w:rsidR="00272A82" w:rsidRPr="00771EED">
        <w:rPr>
          <w:color w:val="auto"/>
        </w:rPr>
        <w:t xml:space="preserve"> </w:t>
      </w:r>
    </w:p>
    <w:p w14:paraId="0C05354E" w14:textId="77777777" w:rsidR="00272A82" w:rsidRPr="00771EED" w:rsidRDefault="00272A82" w:rsidP="00272A82">
      <w:pPr>
        <w:pStyle w:val="parrafos"/>
        <w:autoSpaceDE w:val="0"/>
        <w:autoSpaceDN w:val="0"/>
        <w:adjustRightInd w:val="0"/>
        <w:rPr>
          <w:rFonts w:eastAsia="Batang"/>
          <w:color w:val="auto"/>
          <w:bdr w:val="none" w:sz="0" w:space="0" w:color="auto"/>
        </w:rPr>
      </w:pPr>
    </w:p>
    <w:p w14:paraId="3EDAA26A" w14:textId="77777777" w:rsidR="00E44D30" w:rsidRPr="00E44D30" w:rsidRDefault="00172974" w:rsidP="00272A82">
      <w:pPr>
        <w:pStyle w:val="parrafos"/>
        <w:numPr>
          <w:ilvl w:val="0"/>
          <w:numId w:val="106"/>
        </w:numPr>
        <w:tabs>
          <w:tab w:val="clear" w:pos="1440"/>
        </w:tabs>
        <w:autoSpaceDE w:val="0"/>
        <w:autoSpaceDN w:val="0"/>
        <w:adjustRightInd w:val="0"/>
        <w:ind w:left="0" w:firstLine="0"/>
        <w:rPr>
          <w:rFonts w:eastAsia="Batang"/>
          <w:color w:val="auto"/>
          <w:bdr w:val="none" w:sz="0" w:space="0" w:color="auto"/>
        </w:rPr>
      </w:pPr>
      <w:r>
        <w:t xml:space="preserve">The Commission </w:t>
      </w:r>
      <w:r w:rsidR="00001A8D">
        <w:t xml:space="preserve">notes </w:t>
      </w:r>
      <w:r w:rsidR="009D27A9">
        <w:t xml:space="preserve">that when it examines a case, </w:t>
      </w:r>
      <w:r w:rsidR="008E0B7E">
        <w:t xml:space="preserve">treatment is presumed to be </w:t>
      </w:r>
      <w:r w:rsidR="009D27A9">
        <w:t xml:space="preserve">discriminatory </w:t>
      </w:r>
      <w:r w:rsidR="00DF05F1">
        <w:t>when it is based on a prohibited category</w:t>
      </w:r>
      <w:r w:rsidR="00411A71">
        <w:t xml:space="preserve"> </w:t>
      </w:r>
      <w:r w:rsidR="007B41FC">
        <w:t xml:space="preserve">of differential treatment </w:t>
      </w:r>
      <w:r w:rsidR="008954CA">
        <w:t>as established in Article 1.1 of the Convention</w:t>
      </w:r>
      <w:r w:rsidR="00E1305F">
        <w:t>,</w:t>
      </w:r>
      <w:r w:rsidR="00272A82" w:rsidRPr="00771EED">
        <w:rPr>
          <w:rStyle w:val="FootnoteReference"/>
          <w:rFonts w:ascii="Cambria" w:hAnsi="Cambria"/>
        </w:rPr>
        <w:footnoteReference w:id="29"/>
      </w:r>
      <w:r w:rsidR="00272A82" w:rsidRPr="00771EED">
        <w:t xml:space="preserve"> </w:t>
      </w:r>
      <w:r w:rsidR="008954CA">
        <w:t xml:space="preserve">which </w:t>
      </w:r>
      <w:r w:rsidR="007E1DA3">
        <w:t>implies</w:t>
      </w:r>
      <w:r w:rsidR="00272A82" w:rsidRPr="00771EED">
        <w:t xml:space="preserve">: i) </w:t>
      </w:r>
      <w:r w:rsidR="00B4430A">
        <w:t xml:space="preserve">permanent </w:t>
      </w:r>
      <w:r w:rsidR="002B1A8C">
        <w:t>traits of persons</w:t>
      </w:r>
      <w:r w:rsidR="0043736E">
        <w:t>, with</w:t>
      </w:r>
      <w:r w:rsidR="002B1A8C">
        <w:t xml:space="preserve"> </w:t>
      </w:r>
      <w:r w:rsidR="00D618A2">
        <w:t>wh</w:t>
      </w:r>
      <w:r w:rsidR="00AB6B70">
        <w:t>ich they cannot dispense</w:t>
      </w:r>
      <w:r w:rsidR="00AE5EF7">
        <w:t xml:space="preserve"> </w:t>
      </w:r>
      <w:r w:rsidR="00AB6B70">
        <w:t>without losing their identity</w:t>
      </w:r>
      <w:r w:rsidR="00272A82" w:rsidRPr="00771EED">
        <w:t xml:space="preserve">; ii) </w:t>
      </w:r>
      <w:r w:rsidR="002713FB">
        <w:t>traditionally marginalized, excluded</w:t>
      </w:r>
      <w:r w:rsidR="00F069AD">
        <w:t xml:space="preserve"> or subordinate</w:t>
      </w:r>
      <w:r w:rsidR="002713FB">
        <w:t xml:space="preserve"> groups</w:t>
      </w:r>
      <w:r w:rsidR="00FC6EF6">
        <w:t xml:space="preserve">, and </w:t>
      </w:r>
      <w:r w:rsidR="00272A82" w:rsidRPr="00771EED">
        <w:t xml:space="preserve">iii) </w:t>
      </w:r>
      <w:r w:rsidR="00BB0B1C">
        <w:t>irrelevant</w:t>
      </w:r>
      <w:r w:rsidR="00B9553B">
        <w:t xml:space="preserve"> </w:t>
      </w:r>
      <w:r w:rsidR="00BB0B1C">
        <w:t xml:space="preserve">criteria for </w:t>
      </w:r>
      <w:r w:rsidR="00AB6B70">
        <w:t>equitable</w:t>
      </w:r>
      <w:r w:rsidR="00BB0B1C">
        <w:t xml:space="preserve"> distribution of goods, rights or social burdens.</w:t>
      </w:r>
      <w:r w:rsidR="00272A82" w:rsidRPr="00771EED">
        <w:rPr>
          <w:rStyle w:val="FootnoteReference"/>
          <w:rFonts w:ascii="Cambria" w:hAnsi="Cambria"/>
        </w:rPr>
        <w:footnoteReference w:id="30"/>
      </w:r>
    </w:p>
    <w:p w14:paraId="6495955F" w14:textId="77777777" w:rsidR="00272A82" w:rsidRPr="00771EED" w:rsidRDefault="00272A82" w:rsidP="00E44D30">
      <w:pPr>
        <w:pStyle w:val="parrafos"/>
        <w:tabs>
          <w:tab w:val="clear" w:pos="1440"/>
        </w:tabs>
        <w:autoSpaceDE w:val="0"/>
        <w:autoSpaceDN w:val="0"/>
        <w:adjustRightInd w:val="0"/>
        <w:ind w:left="0" w:firstLine="0"/>
        <w:rPr>
          <w:rFonts w:eastAsia="Batang"/>
          <w:color w:val="auto"/>
          <w:bdr w:val="none" w:sz="0" w:space="0" w:color="auto"/>
        </w:rPr>
      </w:pPr>
      <w:r w:rsidRPr="00771EED">
        <w:t xml:space="preserve"> </w:t>
      </w:r>
    </w:p>
    <w:p w14:paraId="599047AF" w14:textId="77777777" w:rsidR="00272A82" w:rsidRPr="00771EED" w:rsidRDefault="00E44D30" w:rsidP="00272A82">
      <w:pPr>
        <w:pStyle w:val="parrafos"/>
        <w:numPr>
          <w:ilvl w:val="0"/>
          <w:numId w:val="106"/>
        </w:numPr>
        <w:tabs>
          <w:tab w:val="clear" w:pos="1440"/>
        </w:tabs>
        <w:autoSpaceDE w:val="0"/>
        <w:autoSpaceDN w:val="0"/>
        <w:adjustRightInd w:val="0"/>
        <w:ind w:left="0" w:firstLine="0"/>
        <w:rPr>
          <w:rFonts w:cs="Arial"/>
          <w:color w:val="auto"/>
          <w:shd w:val="clear" w:color="auto" w:fill="FFFFFF"/>
        </w:rPr>
      </w:pPr>
      <w:r>
        <w:rPr>
          <w:rFonts w:cs="Arial"/>
          <w:color w:val="auto"/>
          <w:shd w:val="clear" w:color="auto" w:fill="FFFFFF"/>
        </w:rPr>
        <w:t xml:space="preserve">Specifically, </w:t>
      </w:r>
      <w:r w:rsidR="009F58B6">
        <w:rPr>
          <w:rFonts w:cs="Arial"/>
          <w:color w:val="auto"/>
          <w:shd w:val="clear" w:color="auto" w:fill="FFFFFF"/>
        </w:rPr>
        <w:t xml:space="preserve">with regard </w:t>
      </w:r>
      <w:r>
        <w:rPr>
          <w:rFonts w:cs="Arial"/>
          <w:color w:val="auto"/>
          <w:shd w:val="clear" w:color="auto" w:fill="FFFFFF"/>
        </w:rPr>
        <w:t xml:space="preserve">to persons with disability, the IACHR </w:t>
      </w:r>
      <w:r w:rsidR="00A8268A">
        <w:rPr>
          <w:rFonts w:cs="Arial"/>
          <w:color w:val="auto"/>
          <w:shd w:val="clear" w:color="auto" w:fill="FFFFFF"/>
        </w:rPr>
        <w:t xml:space="preserve">notes </w:t>
      </w:r>
      <w:r>
        <w:rPr>
          <w:rFonts w:cs="Arial"/>
          <w:color w:val="auto"/>
          <w:shd w:val="clear" w:color="auto" w:fill="FFFFFF"/>
        </w:rPr>
        <w:t>that, the social model</w:t>
      </w:r>
      <w:r w:rsidR="00076DBF">
        <w:rPr>
          <w:rFonts w:cs="Arial"/>
          <w:color w:val="auto"/>
          <w:shd w:val="clear" w:color="auto" w:fill="FFFFFF"/>
        </w:rPr>
        <w:t xml:space="preserve"> for disability</w:t>
      </w:r>
      <w:r>
        <w:rPr>
          <w:rFonts w:cs="Arial"/>
          <w:color w:val="auto"/>
          <w:shd w:val="clear" w:color="auto" w:fill="FFFFFF"/>
        </w:rPr>
        <w:t xml:space="preserve"> </w:t>
      </w:r>
      <w:r w:rsidR="0082634F">
        <w:rPr>
          <w:rFonts w:cs="Arial"/>
          <w:color w:val="auto"/>
          <w:shd w:val="clear" w:color="auto" w:fill="FFFFFF"/>
        </w:rPr>
        <w:t xml:space="preserve">should </w:t>
      </w:r>
      <w:r>
        <w:rPr>
          <w:rFonts w:cs="Arial"/>
          <w:color w:val="auto"/>
          <w:shd w:val="clear" w:color="auto" w:fill="FFFFFF"/>
        </w:rPr>
        <w:t>be taken into account,</w:t>
      </w:r>
      <w:r w:rsidR="00272A82" w:rsidRPr="00771EED">
        <w:rPr>
          <w:rStyle w:val="FootnoteReference"/>
          <w:rFonts w:ascii="Cambria" w:hAnsi="Cambria" w:cs="Arial"/>
          <w:color w:val="auto"/>
          <w:shd w:val="clear" w:color="auto" w:fill="FFFFFF"/>
        </w:rPr>
        <w:footnoteReference w:id="31"/>
      </w:r>
      <w:r w:rsidR="00272A82" w:rsidRPr="00771EED">
        <w:rPr>
          <w:rFonts w:cs="Arial"/>
          <w:color w:val="auto"/>
          <w:shd w:val="clear" w:color="auto" w:fill="FFFFFF"/>
        </w:rPr>
        <w:t xml:space="preserve"> </w:t>
      </w:r>
      <w:r w:rsidR="00584E4B">
        <w:rPr>
          <w:rFonts w:cs="Arial"/>
          <w:color w:val="auto"/>
          <w:shd w:val="clear" w:color="auto" w:fill="FFFFFF"/>
        </w:rPr>
        <w:t xml:space="preserve">which implies that </w:t>
      </w:r>
      <w:r w:rsidR="0063162A">
        <w:rPr>
          <w:rFonts w:cs="Arial"/>
          <w:color w:val="auto"/>
          <w:shd w:val="clear" w:color="auto" w:fill="FFFFFF"/>
        </w:rPr>
        <w:t xml:space="preserve">disability is not </w:t>
      </w:r>
      <w:r w:rsidR="00584E4B">
        <w:rPr>
          <w:rFonts w:cs="Arial"/>
          <w:color w:val="auto"/>
          <w:shd w:val="clear" w:color="auto" w:fill="FFFFFF"/>
        </w:rPr>
        <w:t xml:space="preserve">only </w:t>
      </w:r>
      <w:r w:rsidR="0063162A">
        <w:rPr>
          <w:rFonts w:cs="Arial"/>
          <w:color w:val="auto"/>
          <w:shd w:val="clear" w:color="auto" w:fill="FFFFFF"/>
        </w:rPr>
        <w:t xml:space="preserve">defined </w:t>
      </w:r>
      <w:r w:rsidR="00E4309D">
        <w:rPr>
          <w:rFonts w:cs="Arial"/>
          <w:color w:val="auto"/>
          <w:shd w:val="clear" w:color="auto" w:fill="FFFFFF"/>
        </w:rPr>
        <w:t>by the presence of a physical</w:t>
      </w:r>
      <w:r w:rsidR="002F67A4">
        <w:rPr>
          <w:rFonts w:cs="Arial"/>
          <w:color w:val="auto"/>
          <w:shd w:val="clear" w:color="auto" w:fill="FFFFFF"/>
        </w:rPr>
        <w:t>, mental, intellectual or sensor</w:t>
      </w:r>
      <w:r w:rsidR="0045019D">
        <w:rPr>
          <w:rFonts w:cs="Arial"/>
          <w:color w:val="auto"/>
          <w:shd w:val="clear" w:color="auto" w:fill="FFFFFF"/>
        </w:rPr>
        <w:t>y impairment</w:t>
      </w:r>
      <w:r w:rsidR="00C83E94">
        <w:rPr>
          <w:rFonts w:cs="Arial"/>
          <w:color w:val="auto"/>
          <w:shd w:val="clear" w:color="auto" w:fill="FFFFFF"/>
        </w:rPr>
        <w:t xml:space="preserve">, but is </w:t>
      </w:r>
      <w:r w:rsidR="00146796">
        <w:rPr>
          <w:rFonts w:cs="Arial"/>
          <w:color w:val="auto"/>
          <w:shd w:val="clear" w:color="auto" w:fill="FFFFFF"/>
        </w:rPr>
        <w:t>interrelated with</w:t>
      </w:r>
      <w:r w:rsidR="00E73469">
        <w:rPr>
          <w:rFonts w:cs="Arial"/>
          <w:color w:val="auto"/>
          <w:shd w:val="clear" w:color="auto" w:fill="FFFFFF"/>
        </w:rPr>
        <w:t xml:space="preserve"> </w:t>
      </w:r>
      <w:r w:rsidR="00146796">
        <w:rPr>
          <w:rFonts w:cs="Arial"/>
          <w:color w:val="auto"/>
          <w:shd w:val="clear" w:color="auto" w:fill="FFFFFF"/>
        </w:rPr>
        <w:t xml:space="preserve">the </w:t>
      </w:r>
      <w:r w:rsidR="00C83E94">
        <w:rPr>
          <w:rFonts w:cs="Arial"/>
          <w:color w:val="auto"/>
          <w:shd w:val="clear" w:color="auto" w:fill="FFFFFF"/>
        </w:rPr>
        <w:t xml:space="preserve">barriers or limitations </w:t>
      </w:r>
      <w:r w:rsidR="002F5539">
        <w:rPr>
          <w:rFonts w:cs="Arial"/>
          <w:color w:val="auto"/>
          <w:shd w:val="clear" w:color="auto" w:fill="FFFFFF"/>
        </w:rPr>
        <w:t xml:space="preserve">that exist socially </w:t>
      </w:r>
      <w:r w:rsidR="00FE7ED0">
        <w:rPr>
          <w:rFonts w:cs="Arial"/>
          <w:color w:val="auto"/>
          <w:shd w:val="clear" w:color="auto" w:fill="FFFFFF"/>
        </w:rPr>
        <w:t xml:space="preserve">for persons to be able to exercise their rights effectively. </w:t>
      </w:r>
      <w:r w:rsidR="00E4309D">
        <w:rPr>
          <w:rFonts w:cs="Arial"/>
          <w:color w:val="auto"/>
          <w:shd w:val="clear" w:color="auto" w:fill="FFFFFF"/>
        </w:rPr>
        <w:t xml:space="preserve"> </w:t>
      </w:r>
      <w:r w:rsidR="00685015">
        <w:rPr>
          <w:rFonts w:cs="Arial"/>
          <w:color w:val="auto"/>
          <w:shd w:val="clear" w:color="auto" w:fill="FFFFFF"/>
        </w:rPr>
        <w:t>The types of limit</w:t>
      </w:r>
      <w:r w:rsidR="00074E9C">
        <w:rPr>
          <w:rFonts w:cs="Arial"/>
          <w:color w:val="auto"/>
          <w:shd w:val="clear" w:color="auto" w:fill="FFFFFF"/>
        </w:rPr>
        <w:t>ations</w:t>
      </w:r>
      <w:r w:rsidR="00685015">
        <w:rPr>
          <w:rFonts w:cs="Arial"/>
          <w:color w:val="auto"/>
          <w:shd w:val="clear" w:color="auto" w:fill="FFFFFF"/>
        </w:rPr>
        <w:t xml:space="preserve"> and barriers </w:t>
      </w:r>
      <w:r w:rsidR="00074E9C">
        <w:rPr>
          <w:rFonts w:cs="Arial"/>
          <w:color w:val="auto"/>
          <w:shd w:val="clear" w:color="auto" w:fill="FFFFFF"/>
        </w:rPr>
        <w:t xml:space="preserve">commonly </w:t>
      </w:r>
      <w:r w:rsidR="00074E9C">
        <w:rPr>
          <w:rFonts w:cs="Arial"/>
          <w:color w:val="auto"/>
          <w:shd w:val="clear" w:color="auto" w:fill="FFFFFF"/>
        </w:rPr>
        <w:lastRenderedPageBreak/>
        <w:t xml:space="preserve">encountered by </w:t>
      </w:r>
      <w:r w:rsidR="00685015">
        <w:rPr>
          <w:rFonts w:cs="Arial"/>
          <w:color w:val="auto"/>
          <w:shd w:val="clear" w:color="auto" w:fill="FFFFFF"/>
        </w:rPr>
        <w:t xml:space="preserve">persons with functional diversity </w:t>
      </w:r>
      <w:r w:rsidR="00A4531A">
        <w:rPr>
          <w:rFonts w:cs="Arial"/>
          <w:color w:val="auto"/>
          <w:shd w:val="clear" w:color="auto" w:fill="FFFFFF"/>
        </w:rPr>
        <w:t>in society include physical or architectural</w:t>
      </w:r>
      <w:r w:rsidR="00BB18E5">
        <w:rPr>
          <w:rFonts w:cs="Arial"/>
          <w:color w:val="auto"/>
          <w:shd w:val="clear" w:color="auto" w:fill="FFFFFF"/>
        </w:rPr>
        <w:t xml:space="preserve"> types of barriers, communication</w:t>
      </w:r>
      <w:r w:rsidR="00A4531A">
        <w:rPr>
          <w:rFonts w:cs="Arial"/>
          <w:color w:val="auto"/>
          <w:shd w:val="clear" w:color="auto" w:fill="FFFFFF"/>
        </w:rPr>
        <w:t>, attitudinal or socioeconomic barriers.</w:t>
      </w:r>
      <w:r w:rsidR="00272A82" w:rsidRPr="00771EED">
        <w:rPr>
          <w:rStyle w:val="FootnoteReference"/>
          <w:rFonts w:ascii="Cambria" w:hAnsi="Cambria"/>
          <w:color w:val="auto"/>
        </w:rPr>
        <w:footnoteReference w:id="32"/>
      </w:r>
      <w:r w:rsidR="00272A82" w:rsidRPr="00771EED">
        <w:rPr>
          <w:color w:val="auto"/>
        </w:rPr>
        <w:t xml:space="preserve"> </w:t>
      </w:r>
    </w:p>
    <w:p w14:paraId="0F1AED2D" w14:textId="77777777" w:rsidR="00272A82" w:rsidRPr="00771EED" w:rsidRDefault="00272A82" w:rsidP="00272A82">
      <w:pPr>
        <w:pStyle w:val="parrafos"/>
        <w:autoSpaceDE w:val="0"/>
        <w:autoSpaceDN w:val="0"/>
        <w:adjustRightInd w:val="0"/>
        <w:rPr>
          <w:rFonts w:cs="Arial"/>
          <w:color w:val="333333"/>
          <w:shd w:val="clear" w:color="auto" w:fill="FFFFFF"/>
        </w:rPr>
      </w:pPr>
    </w:p>
    <w:p w14:paraId="1709A0B5" w14:textId="77777777" w:rsidR="00272A82" w:rsidRPr="00771EED" w:rsidRDefault="007440D4" w:rsidP="00272A82">
      <w:pPr>
        <w:pStyle w:val="parrafos"/>
        <w:numPr>
          <w:ilvl w:val="0"/>
          <w:numId w:val="106"/>
        </w:numPr>
        <w:tabs>
          <w:tab w:val="clear" w:pos="1440"/>
        </w:tabs>
        <w:autoSpaceDE w:val="0"/>
        <w:autoSpaceDN w:val="0"/>
        <w:adjustRightInd w:val="0"/>
        <w:ind w:left="0" w:firstLine="0"/>
        <w:rPr>
          <w:rFonts w:ascii="Arial" w:hAnsi="Arial" w:cs="Arial"/>
          <w:color w:val="333333"/>
          <w:sz w:val="21"/>
          <w:szCs w:val="21"/>
          <w:shd w:val="clear" w:color="auto" w:fill="FFFFFF"/>
        </w:rPr>
      </w:pPr>
      <w:r>
        <w:rPr>
          <w:color w:val="auto"/>
        </w:rPr>
        <w:t xml:space="preserve">The Commission has held that positive measures must be implemented to ensure the exercise of the rights of persons </w:t>
      </w:r>
      <w:r w:rsidR="00A42476">
        <w:rPr>
          <w:color w:val="auto"/>
        </w:rPr>
        <w:t xml:space="preserve">belonging </w:t>
      </w:r>
      <w:r>
        <w:rPr>
          <w:color w:val="auto"/>
        </w:rPr>
        <w:t xml:space="preserve">to groups </w:t>
      </w:r>
      <w:r w:rsidR="001D63B7">
        <w:rPr>
          <w:color w:val="auto"/>
        </w:rPr>
        <w:t>that are victims of</w:t>
      </w:r>
      <w:r>
        <w:rPr>
          <w:color w:val="auto"/>
        </w:rPr>
        <w:t xml:space="preserve"> structural inequality</w:t>
      </w:r>
      <w:r w:rsidR="000F5BB5">
        <w:rPr>
          <w:color w:val="auto"/>
        </w:rPr>
        <w:t xml:space="preserve"> or have been the victim</w:t>
      </w:r>
      <w:r w:rsidR="0050789B">
        <w:rPr>
          <w:color w:val="auto"/>
        </w:rPr>
        <w:t>s</w:t>
      </w:r>
      <w:r w:rsidR="000F5BB5">
        <w:rPr>
          <w:color w:val="auto"/>
        </w:rPr>
        <w:t xml:space="preserve"> of </w:t>
      </w:r>
      <w:r w:rsidR="009A3458">
        <w:rPr>
          <w:color w:val="auto"/>
        </w:rPr>
        <w:t>historic processes of exclusion</w:t>
      </w:r>
      <w:r w:rsidR="00AA6FF3">
        <w:rPr>
          <w:color w:val="auto"/>
        </w:rPr>
        <w:t>,</w:t>
      </w:r>
      <w:r w:rsidR="00272A82" w:rsidRPr="00771EED">
        <w:rPr>
          <w:rStyle w:val="FootnoteReference"/>
          <w:rFonts w:ascii="Cambria" w:hAnsi="Cambria"/>
          <w:color w:val="auto"/>
        </w:rPr>
        <w:footnoteReference w:id="33"/>
      </w:r>
      <w:r w:rsidR="00AA6FF3">
        <w:rPr>
          <w:color w:val="auto"/>
        </w:rPr>
        <w:t xml:space="preserve"> such as persons with some cognitive </w:t>
      </w:r>
      <w:r w:rsidR="00184168">
        <w:rPr>
          <w:color w:val="auto"/>
        </w:rPr>
        <w:t>disability.</w:t>
      </w:r>
      <w:r w:rsidR="00272A82" w:rsidRPr="00771EED">
        <w:rPr>
          <w:rStyle w:val="FootnoteReference"/>
          <w:rFonts w:ascii="Cambria" w:hAnsi="Cambria"/>
          <w:color w:val="auto"/>
        </w:rPr>
        <w:footnoteReference w:id="34"/>
      </w:r>
      <w:r w:rsidR="00272A82" w:rsidRPr="00771EED">
        <w:rPr>
          <w:color w:val="auto"/>
        </w:rPr>
        <w:t xml:space="preserve"> </w:t>
      </w:r>
    </w:p>
    <w:p w14:paraId="6766EC8F" w14:textId="77777777" w:rsidR="00272A82" w:rsidRPr="00771EED" w:rsidRDefault="00272A82" w:rsidP="00272A82">
      <w:pPr>
        <w:pStyle w:val="parrafos"/>
        <w:autoSpaceDE w:val="0"/>
        <w:autoSpaceDN w:val="0"/>
        <w:adjustRightInd w:val="0"/>
        <w:rPr>
          <w:rFonts w:ascii="Arial" w:hAnsi="Arial" w:cs="Arial"/>
          <w:color w:val="333333"/>
          <w:sz w:val="21"/>
          <w:szCs w:val="21"/>
          <w:shd w:val="clear" w:color="auto" w:fill="FFFFFF"/>
        </w:rPr>
      </w:pPr>
    </w:p>
    <w:p w14:paraId="728E1B9D" w14:textId="77777777" w:rsidR="00272A82" w:rsidRPr="00771EED" w:rsidRDefault="00272A82" w:rsidP="00272A82">
      <w:pPr>
        <w:pStyle w:val="parrafos"/>
        <w:numPr>
          <w:ilvl w:val="0"/>
          <w:numId w:val="106"/>
        </w:numPr>
        <w:tabs>
          <w:tab w:val="clear" w:pos="1440"/>
        </w:tabs>
        <w:autoSpaceDE w:val="0"/>
        <w:autoSpaceDN w:val="0"/>
        <w:adjustRightInd w:val="0"/>
        <w:ind w:left="0" w:firstLine="0"/>
        <w:rPr>
          <w:rFonts w:ascii="Arial" w:hAnsi="Arial" w:cs="Arial"/>
          <w:color w:val="333333"/>
          <w:sz w:val="21"/>
          <w:szCs w:val="21"/>
          <w:shd w:val="clear" w:color="auto" w:fill="FFFFFF"/>
        </w:rPr>
      </w:pPr>
      <w:r w:rsidRPr="00771EED">
        <w:rPr>
          <w:rFonts w:ascii="Arial" w:hAnsi="Arial" w:cs="Arial"/>
          <w:color w:val="333333"/>
          <w:sz w:val="21"/>
          <w:szCs w:val="21"/>
          <w:shd w:val="clear" w:color="auto" w:fill="FFFFFF"/>
        </w:rPr>
        <w:t xml:space="preserve"> </w:t>
      </w:r>
      <w:r w:rsidR="00EF14D3">
        <w:t>For its part, the Inter-American Court has held that “it is not sufficient for States to refrain from violating rights, and that it is imperative to adopt affirmative measures to be determined according to the particular protection needs of the subject of rights, whether on account of his person</w:t>
      </w:r>
      <w:r w:rsidR="00B10637">
        <w:t>al</w:t>
      </w:r>
      <w:r w:rsidR="00EF14D3">
        <w:t xml:space="preserve"> situation, such as disability.</w:t>
      </w:r>
      <w:r w:rsidRPr="00771EED">
        <w:t>”</w:t>
      </w:r>
      <w:r w:rsidRPr="00771EED">
        <w:rPr>
          <w:rStyle w:val="FootnoteReference"/>
          <w:rFonts w:ascii="Cambria" w:hAnsi="Cambria"/>
        </w:rPr>
        <w:footnoteReference w:id="35"/>
      </w:r>
      <w:r w:rsidR="00BC67DC">
        <w:t xml:space="preserve"> Moreover, the Court has noted that States have the obligation to promote the inclusion </w:t>
      </w:r>
      <w:r w:rsidR="00DC4A70">
        <w:t xml:space="preserve">of persons with disabilities </w:t>
      </w:r>
      <w:r w:rsidR="008B6EAC">
        <w:t xml:space="preserve">through equality of conditions, </w:t>
      </w:r>
      <w:r w:rsidR="00E348F1">
        <w:t>opp</w:t>
      </w:r>
      <w:r w:rsidR="008B6EAC">
        <w:t>ortunities and participation in all spheres of society</w:t>
      </w:r>
      <w:r w:rsidRPr="00771EED">
        <w:t xml:space="preserve">. </w:t>
      </w:r>
      <w:r w:rsidR="002F4475">
        <w:t xml:space="preserve"> This is in order to ensure that limitations</w:t>
      </w:r>
      <w:r w:rsidR="00BC46D7">
        <w:t xml:space="preserve">, either of a normative or de facto nature, </w:t>
      </w:r>
      <w:r w:rsidR="00296A64">
        <w:t>which perpetuate or deepen this vulnerability and exclusion, are</w:t>
      </w:r>
      <w:r w:rsidR="00FD6116">
        <w:t xml:space="preserve"> removed</w:t>
      </w:r>
      <w:r w:rsidR="00296A64">
        <w:t>.</w:t>
      </w:r>
      <w:r w:rsidR="00E674D8">
        <w:t xml:space="preserve"> Consequently, it is necessary for States to promote social inclusion practices and adopt affirmative measures to remove such barriers.</w:t>
      </w:r>
      <w:r w:rsidRPr="00771EED">
        <w:rPr>
          <w:rStyle w:val="FootnoteReference"/>
          <w:rFonts w:ascii="Cambria" w:hAnsi="Cambria"/>
        </w:rPr>
        <w:footnoteReference w:id="36"/>
      </w:r>
    </w:p>
    <w:p w14:paraId="50C644EE" w14:textId="77777777" w:rsidR="00272A82" w:rsidRPr="00771EED" w:rsidRDefault="00272A82" w:rsidP="00272A82">
      <w:pPr>
        <w:pStyle w:val="parrafos"/>
        <w:autoSpaceDE w:val="0"/>
        <w:autoSpaceDN w:val="0"/>
        <w:adjustRightInd w:val="0"/>
        <w:rPr>
          <w:rFonts w:ascii="Arial" w:hAnsi="Arial" w:cs="Arial"/>
          <w:color w:val="333333"/>
          <w:sz w:val="21"/>
          <w:szCs w:val="21"/>
          <w:shd w:val="clear" w:color="auto" w:fill="FFFFFF"/>
        </w:rPr>
      </w:pPr>
    </w:p>
    <w:p w14:paraId="614F31B4" w14:textId="77777777" w:rsidR="00272A82" w:rsidRPr="00771EED" w:rsidRDefault="006C28B3" w:rsidP="00272A82">
      <w:pPr>
        <w:pStyle w:val="parrafos"/>
        <w:numPr>
          <w:ilvl w:val="0"/>
          <w:numId w:val="106"/>
        </w:numPr>
        <w:tabs>
          <w:tab w:val="clear" w:pos="1440"/>
        </w:tabs>
        <w:autoSpaceDE w:val="0"/>
        <w:autoSpaceDN w:val="0"/>
        <w:adjustRightInd w:val="0"/>
        <w:ind w:left="0" w:firstLine="0"/>
      </w:pPr>
      <w:r>
        <w:t xml:space="preserve">The Commission </w:t>
      </w:r>
      <w:r w:rsidR="000502D6">
        <w:t xml:space="preserve">understands </w:t>
      </w:r>
      <w:r w:rsidR="00B126DC">
        <w:t xml:space="preserve">disability </w:t>
      </w:r>
      <w:r w:rsidR="00D06466">
        <w:t>to be</w:t>
      </w:r>
      <w:r w:rsidR="00B126DC">
        <w:t xml:space="preserve"> a </w:t>
      </w:r>
      <w:r w:rsidR="00DB4738">
        <w:t xml:space="preserve">prohibited </w:t>
      </w:r>
      <w:r w:rsidR="00C46C16">
        <w:t xml:space="preserve">basis </w:t>
      </w:r>
      <w:r w:rsidR="00A655E1">
        <w:t xml:space="preserve">for </w:t>
      </w:r>
      <w:r w:rsidR="00B126DC">
        <w:t xml:space="preserve">discrimination </w:t>
      </w:r>
      <w:r w:rsidR="00725289">
        <w:t xml:space="preserve">covered </w:t>
      </w:r>
      <w:r w:rsidR="00D73868">
        <w:t xml:space="preserve">under the </w:t>
      </w:r>
      <w:r w:rsidR="00926866">
        <w:t>phr</w:t>
      </w:r>
      <w:r w:rsidR="001115FF">
        <w:t>ase</w:t>
      </w:r>
      <w:r w:rsidR="00D73868">
        <w:t xml:space="preserve"> “</w:t>
      </w:r>
      <w:r w:rsidR="00827F14">
        <w:t xml:space="preserve">any </w:t>
      </w:r>
      <w:r w:rsidR="00D73868">
        <w:t>other social condition”</w:t>
      </w:r>
      <w:r w:rsidR="00926866">
        <w:t xml:space="preserve"> established</w:t>
      </w:r>
      <w:r w:rsidR="00CD7DA6">
        <w:t xml:space="preserve"> in Article 1.1 of the American Convention</w:t>
      </w:r>
      <w:r w:rsidR="000502D6">
        <w:t>, inasmuch as</w:t>
      </w:r>
      <w:r w:rsidR="0078742D">
        <w:t xml:space="preserve"> </w:t>
      </w:r>
      <w:r w:rsidR="00A60790">
        <w:t xml:space="preserve">persons with disability </w:t>
      </w:r>
      <w:r w:rsidR="00DD6D9A">
        <w:t xml:space="preserve">make up </w:t>
      </w:r>
      <w:r w:rsidR="00A60790">
        <w:t xml:space="preserve">a </w:t>
      </w:r>
      <w:r w:rsidR="00F528BB">
        <w:t xml:space="preserve">traditionally marginalized or excluded group from society, that has endured structural </w:t>
      </w:r>
      <w:r w:rsidR="00526347">
        <w:t xml:space="preserve">inequalities. </w:t>
      </w:r>
      <w:r w:rsidR="00926866">
        <w:t xml:space="preserve"> </w:t>
      </w:r>
      <w:r w:rsidR="00C975C5">
        <w:t xml:space="preserve">In this regard, the Commission </w:t>
      </w:r>
      <w:r w:rsidR="00A16D70">
        <w:t>notes that</w:t>
      </w:r>
      <w:r w:rsidR="00920744">
        <w:t xml:space="preserve"> </w:t>
      </w:r>
      <w:r w:rsidR="00A16D70">
        <w:t>the Inter-American Court</w:t>
      </w:r>
      <w:r w:rsidR="002D03FB">
        <w:t xml:space="preserve"> </w:t>
      </w:r>
      <w:r w:rsidR="008A0064">
        <w:t xml:space="preserve">held </w:t>
      </w:r>
      <w:r w:rsidR="002D03FB">
        <w:t xml:space="preserve">that “this protection against discrimination under </w:t>
      </w:r>
      <w:r w:rsidR="001E3F57">
        <w:t>‘</w:t>
      </w:r>
      <w:r w:rsidR="008D4941">
        <w:t xml:space="preserve">any </w:t>
      </w:r>
      <w:r w:rsidR="002D03FB">
        <w:t>other social condition</w:t>
      </w:r>
      <w:r w:rsidR="001E3F57">
        <w:t>’</w:t>
      </w:r>
      <w:r w:rsidR="002D03FB">
        <w:t xml:space="preserve"> </w:t>
      </w:r>
      <w:r w:rsidR="00425F71">
        <w:t xml:space="preserve">also includes </w:t>
      </w:r>
      <w:r w:rsidR="00413B91">
        <w:t xml:space="preserve">the </w:t>
      </w:r>
      <w:r w:rsidR="00425F71">
        <w:t xml:space="preserve">situation </w:t>
      </w:r>
      <w:r w:rsidR="00413B91">
        <w:t>of person</w:t>
      </w:r>
      <w:r w:rsidR="001202AD">
        <w:t>s</w:t>
      </w:r>
      <w:r w:rsidR="00413B91">
        <w:t xml:space="preserve"> living with HIV</w:t>
      </w:r>
      <w:r w:rsidR="004A0A5A">
        <w:t xml:space="preserve"> as </w:t>
      </w:r>
      <w:r w:rsidR="00140430">
        <w:t xml:space="preserve">an aspect </w:t>
      </w:r>
      <w:r w:rsidR="00B82037">
        <w:t>that</w:t>
      </w:r>
      <w:r w:rsidR="00140430">
        <w:t xml:space="preserve"> may lead to disability </w:t>
      </w:r>
      <w:r w:rsidR="008C6CA8">
        <w:t xml:space="preserve">in </w:t>
      </w:r>
      <w:r w:rsidR="00140430">
        <w:t xml:space="preserve">those cases in which, </w:t>
      </w:r>
      <w:r w:rsidR="008C6CA8">
        <w:t xml:space="preserve">in addition to the </w:t>
      </w:r>
      <w:r w:rsidR="004C3A6D">
        <w:t xml:space="preserve">physical effects of </w:t>
      </w:r>
      <w:r w:rsidR="00E67A5D">
        <w:t>HIV, economic, social and other barriers</w:t>
      </w:r>
      <w:r w:rsidR="001317F4">
        <w:t xml:space="preserve"> derived from HIV exist</w:t>
      </w:r>
      <w:r w:rsidR="00E67A5D">
        <w:t>.</w:t>
      </w:r>
      <w:r w:rsidR="00272A82" w:rsidRPr="00771EED">
        <w:t>”</w:t>
      </w:r>
      <w:r w:rsidR="00272A82" w:rsidRPr="00771EED">
        <w:rPr>
          <w:rStyle w:val="FootnoteReference"/>
          <w:rFonts w:ascii="Cambria" w:hAnsi="Cambria"/>
        </w:rPr>
        <w:footnoteReference w:id="37"/>
      </w:r>
      <w:r w:rsidR="00272A82" w:rsidRPr="00771EED">
        <w:t xml:space="preserve">  </w:t>
      </w:r>
    </w:p>
    <w:p w14:paraId="3632BF07" w14:textId="77777777" w:rsidR="00272A82" w:rsidRPr="00771EED" w:rsidRDefault="00272A82" w:rsidP="00272A82">
      <w:pPr>
        <w:pStyle w:val="parrafos"/>
        <w:autoSpaceDE w:val="0"/>
        <w:autoSpaceDN w:val="0"/>
        <w:adjustRightInd w:val="0"/>
      </w:pPr>
    </w:p>
    <w:p w14:paraId="53D733F4" w14:textId="77777777" w:rsidR="00272A82" w:rsidRPr="00771EED" w:rsidRDefault="0043700D" w:rsidP="00272A82">
      <w:pPr>
        <w:pStyle w:val="parrafos"/>
        <w:numPr>
          <w:ilvl w:val="0"/>
          <w:numId w:val="106"/>
        </w:numPr>
        <w:tabs>
          <w:tab w:val="clear" w:pos="1440"/>
        </w:tabs>
        <w:autoSpaceDE w:val="0"/>
        <w:autoSpaceDN w:val="0"/>
        <w:adjustRightInd w:val="0"/>
        <w:ind w:left="0" w:firstLine="0"/>
      </w:pPr>
      <w:r>
        <w:t xml:space="preserve">Likewise, the Committee on ESCR </w:t>
      </w:r>
      <w:r w:rsidR="00C948EA">
        <w:t xml:space="preserve">has emphasized </w:t>
      </w:r>
      <w:r w:rsidR="00831F04">
        <w:t>the requirement set forth in Article 2</w:t>
      </w:r>
      <w:r w:rsidR="003628BC">
        <w:t>.2</w:t>
      </w:r>
      <w:r w:rsidR="00831F04">
        <w:t xml:space="preserve"> of the Covenant on Economic, Social and Cultural Rights, which guarantees “</w:t>
      </w:r>
      <w:r w:rsidR="00BD65EC">
        <w:t xml:space="preserve">the rights enunciated in the present Covenant will be exercised without </w:t>
      </w:r>
      <w:r w:rsidR="00F36379">
        <w:t xml:space="preserve">discrimination of any kind,” based on </w:t>
      </w:r>
      <w:r w:rsidR="00573065">
        <w:t xml:space="preserve">certain specified reasons “or other status,” which clearly applies to disability-based </w:t>
      </w:r>
      <w:r w:rsidR="00B244EC">
        <w:t>discrimination.</w:t>
      </w:r>
      <w:r w:rsidR="00272A82" w:rsidRPr="00771EED">
        <w:rPr>
          <w:rStyle w:val="FootnoteReference"/>
          <w:rFonts w:ascii="Cambria" w:hAnsi="Cambria"/>
        </w:rPr>
        <w:footnoteReference w:id="38"/>
      </w:r>
      <w:r w:rsidR="003628BC">
        <w:t xml:space="preserve"> </w:t>
      </w:r>
      <w:r w:rsidR="00272A82" w:rsidRPr="00771EED">
        <w:t xml:space="preserve"> </w:t>
      </w:r>
      <w:r w:rsidR="008325B2">
        <w:t>Also, the Europ</w:t>
      </w:r>
      <w:r w:rsidR="00E53FDD">
        <w:t xml:space="preserve">ean Court of Human Rights has </w:t>
      </w:r>
      <w:r w:rsidR="0034415A">
        <w:t xml:space="preserve">understood that the </w:t>
      </w:r>
      <w:r w:rsidR="00D31C33">
        <w:t xml:space="preserve">catalogue of </w:t>
      </w:r>
      <w:r w:rsidR="0034415A">
        <w:t xml:space="preserve">prohibited basis </w:t>
      </w:r>
      <w:r w:rsidR="00037FDD">
        <w:t>of discrimination establishe</w:t>
      </w:r>
      <w:r w:rsidR="004925B9">
        <w:t>d</w:t>
      </w:r>
      <w:r w:rsidR="00037FDD">
        <w:t xml:space="preserve"> </w:t>
      </w:r>
      <w:r w:rsidR="00E16741">
        <w:t xml:space="preserve">in Article 14 of the European Convention on Human Rights </w:t>
      </w:r>
      <w:r w:rsidR="00AF47DC">
        <w:t xml:space="preserve">is </w:t>
      </w:r>
      <w:r w:rsidR="00E16741">
        <w:t>not exhaustive, inasmuch as the phrase “or other</w:t>
      </w:r>
      <w:r w:rsidR="004925B9">
        <w:t xml:space="preserve"> status</w:t>
      </w:r>
      <w:r w:rsidR="00E16741">
        <w:t>” is included and, therefore, there is no question that this article includes the prohibition of disability-based discrimination.</w:t>
      </w:r>
      <w:r w:rsidR="00272A82" w:rsidRPr="00771EED">
        <w:rPr>
          <w:rStyle w:val="FootnoteReference"/>
          <w:rFonts w:ascii="Cambria" w:hAnsi="Cambria"/>
        </w:rPr>
        <w:footnoteReference w:id="39"/>
      </w:r>
      <w:r w:rsidR="00272A82" w:rsidRPr="00771EED">
        <w:t xml:space="preserve"> </w:t>
      </w:r>
    </w:p>
    <w:p w14:paraId="01F0EB44" w14:textId="77777777" w:rsidR="00272A82" w:rsidRPr="00F568F9" w:rsidRDefault="00102BE3" w:rsidP="00272A82">
      <w:pPr>
        <w:pStyle w:val="Heading3"/>
        <w:keepLines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240" w:after="60" w:line="276" w:lineRule="auto"/>
        <w:ind w:hanging="720"/>
        <w:rPr>
          <w:b/>
          <w:color w:val="auto"/>
          <w:sz w:val="20"/>
          <w:szCs w:val="20"/>
        </w:rPr>
      </w:pPr>
      <w:bookmarkStart w:id="69" w:name="_Toc37678668"/>
      <w:bookmarkStart w:id="70" w:name="_Toc37681816"/>
      <w:bookmarkStart w:id="71" w:name="_Toc42239534"/>
      <w:r w:rsidRPr="00F568F9">
        <w:rPr>
          <w:b/>
          <w:color w:val="auto"/>
          <w:sz w:val="20"/>
          <w:szCs w:val="20"/>
        </w:rPr>
        <w:t xml:space="preserve">Disability and the right to work </w:t>
      </w:r>
      <w:bookmarkEnd w:id="69"/>
      <w:bookmarkEnd w:id="70"/>
      <w:bookmarkEnd w:id="71"/>
    </w:p>
    <w:p w14:paraId="127E3818" w14:textId="77777777" w:rsidR="00272A82" w:rsidRPr="00771EED" w:rsidRDefault="00272A82" w:rsidP="00272A82">
      <w:pPr>
        <w:tabs>
          <w:tab w:val="left" w:pos="360"/>
          <w:tab w:val="left" w:pos="720"/>
          <w:tab w:val="left" w:pos="1440"/>
        </w:tabs>
        <w:jc w:val="both"/>
        <w:rPr>
          <w:rFonts w:ascii="Cambria" w:hAnsi="Cambria"/>
          <w:sz w:val="20"/>
          <w:szCs w:val="20"/>
        </w:rPr>
      </w:pPr>
    </w:p>
    <w:p w14:paraId="0F3AA087" w14:textId="77777777" w:rsidR="00272A82" w:rsidRPr="00771EED" w:rsidRDefault="00483A49" w:rsidP="00272A82">
      <w:pPr>
        <w:pStyle w:val="parrafos"/>
        <w:numPr>
          <w:ilvl w:val="0"/>
          <w:numId w:val="106"/>
        </w:numPr>
        <w:tabs>
          <w:tab w:val="clear" w:pos="1440"/>
        </w:tabs>
        <w:autoSpaceDE w:val="0"/>
        <w:autoSpaceDN w:val="0"/>
        <w:adjustRightInd w:val="0"/>
        <w:ind w:left="0" w:firstLine="0"/>
      </w:pPr>
      <w:r>
        <w:t xml:space="preserve">Moreover, the IACHR recalls that both bodies of the Inter-American system have reaffirmed their competence to rule on potential violations of Article 26 of the American Convention in the </w:t>
      </w:r>
      <w:r w:rsidR="002F057F">
        <w:t>framework of the system of petitions and individual cases.</w:t>
      </w:r>
      <w:r w:rsidR="00272A82" w:rsidRPr="00771EED">
        <w:rPr>
          <w:rStyle w:val="FootnoteReference"/>
          <w:rFonts w:ascii="Cambria" w:hAnsi="Cambria" w:cs="Arial"/>
          <w:snapToGrid w:val="0"/>
        </w:rPr>
        <w:footnoteReference w:id="40"/>
      </w:r>
      <w:r w:rsidR="00A047BA">
        <w:rPr>
          <w:rFonts w:cs="Arial"/>
          <w:snapToGrid w:val="0"/>
        </w:rPr>
        <w:t xml:space="preserve"> Specifically</w:t>
      </w:r>
      <w:r w:rsidR="00764B27">
        <w:rPr>
          <w:rFonts w:cs="Arial"/>
          <w:snapToGrid w:val="0"/>
        </w:rPr>
        <w:t xml:space="preserve">, </w:t>
      </w:r>
      <w:r w:rsidR="001C3D1C">
        <w:rPr>
          <w:rFonts w:cs="Arial"/>
          <w:snapToGrid w:val="0"/>
        </w:rPr>
        <w:t xml:space="preserve">with respect to the right to work, the Commission and </w:t>
      </w:r>
      <w:r w:rsidR="001C3D1C">
        <w:rPr>
          <w:rFonts w:cs="Arial"/>
          <w:snapToGrid w:val="0"/>
        </w:rPr>
        <w:lastRenderedPageBreak/>
        <w:t xml:space="preserve">the Court have previously established that </w:t>
      </w:r>
      <w:r w:rsidR="00B14EFC">
        <w:rPr>
          <w:rFonts w:cs="Arial"/>
          <w:snapToGrid w:val="0"/>
        </w:rPr>
        <w:t xml:space="preserve">this </w:t>
      </w:r>
      <w:r w:rsidR="001C3D1C">
        <w:rPr>
          <w:rFonts w:cs="Arial"/>
          <w:snapToGrid w:val="0"/>
        </w:rPr>
        <w:t>right emanates from the afore</w:t>
      </w:r>
      <w:r w:rsidR="00E21751">
        <w:rPr>
          <w:rFonts w:cs="Arial"/>
          <w:snapToGrid w:val="0"/>
        </w:rPr>
        <w:t xml:space="preserve">mentioned </w:t>
      </w:r>
      <w:r w:rsidR="001C3D1C">
        <w:rPr>
          <w:rFonts w:cs="Arial"/>
          <w:snapToGrid w:val="0"/>
        </w:rPr>
        <w:t>economic and social provisions</w:t>
      </w:r>
      <w:r w:rsidR="00215086">
        <w:rPr>
          <w:rFonts w:cs="Arial"/>
          <w:snapToGrid w:val="0"/>
        </w:rPr>
        <w:t xml:space="preserve"> in Article 26 of the Convention and, therefore, it is unnecessary </w:t>
      </w:r>
      <w:r w:rsidR="006D1917">
        <w:rPr>
          <w:rFonts w:cs="Arial"/>
          <w:snapToGrid w:val="0"/>
        </w:rPr>
        <w:t xml:space="preserve">to </w:t>
      </w:r>
      <w:r w:rsidR="00FE1AEA">
        <w:rPr>
          <w:rFonts w:cs="Arial"/>
          <w:snapToGrid w:val="0"/>
        </w:rPr>
        <w:t xml:space="preserve">revisit </w:t>
      </w:r>
      <w:r w:rsidR="00DF0842">
        <w:rPr>
          <w:rFonts w:cs="Arial"/>
          <w:snapToGrid w:val="0"/>
        </w:rPr>
        <w:t>that analysis.</w:t>
      </w:r>
      <w:r w:rsidR="00272A82" w:rsidRPr="00771EED">
        <w:rPr>
          <w:rStyle w:val="FootnoteReference"/>
          <w:rFonts w:ascii="Cambria" w:hAnsi="Cambria"/>
        </w:rPr>
        <w:footnoteReference w:id="41"/>
      </w:r>
      <w:r w:rsidR="000F1833">
        <w:rPr>
          <w:rFonts w:cs="Arial"/>
          <w:snapToGrid w:val="0"/>
        </w:rPr>
        <w:t xml:space="preserve">  I</w:t>
      </w:r>
      <w:r w:rsidR="00D27DD7">
        <w:t>t must be determined</w:t>
      </w:r>
      <w:r w:rsidR="004A11EF">
        <w:t xml:space="preserve"> whether the State in question breached the obligation </w:t>
      </w:r>
      <w:r w:rsidR="00D27DD7">
        <w:t>of</w:t>
      </w:r>
      <w:r w:rsidR="003D507E">
        <w:t xml:space="preserve"> “achiev</w:t>
      </w:r>
      <w:r w:rsidR="00D27DD7">
        <w:t xml:space="preserve">ing </w:t>
      </w:r>
      <w:r w:rsidR="003D507E">
        <w:t xml:space="preserve"> progressively” full </w:t>
      </w:r>
      <w:r w:rsidR="00C303AF">
        <w:t xml:space="preserve">realization </w:t>
      </w:r>
      <w:r w:rsidR="003D507E">
        <w:t>of this right, or th</w:t>
      </w:r>
      <w:r w:rsidR="000E57F0">
        <w:t>e</w:t>
      </w:r>
      <w:r w:rsidR="003D507E">
        <w:t xml:space="preserve"> general obligations to respect and ensure the right. </w:t>
      </w:r>
      <w:r w:rsidR="00272A82" w:rsidRPr="00771EED">
        <w:t xml:space="preserve"> </w:t>
      </w:r>
      <w:r w:rsidR="004064BF">
        <w:t>At this</w:t>
      </w:r>
      <w:r w:rsidR="00A77AEB">
        <w:t xml:space="preserve"> point in the </w:t>
      </w:r>
      <w:r w:rsidR="004064BF">
        <w:t xml:space="preserve">analysis, </w:t>
      </w:r>
      <w:r w:rsidR="002D486E">
        <w:t xml:space="preserve">it is necessary to look at </w:t>
      </w:r>
      <w:r w:rsidR="004064BF">
        <w:t>the nature and scope of the obligations that are enforce</w:t>
      </w:r>
      <w:r w:rsidR="001E6597">
        <w:t>able</w:t>
      </w:r>
      <w:r w:rsidR="00A210CD">
        <w:t xml:space="preserve"> on the State under Articles 1.1, 2 and 26 of the Convention</w:t>
      </w:r>
      <w:r w:rsidR="0066798B">
        <w:t>, as well as the substance of the right involved</w:t>
      </w:r>
      <w:r w:rsidR="00D8279A">
        <w:t>.</w:t>
      </w:r>
      <w:r w:rsidR="0094403E">
        <w:t xml:space="preserve"> </w:t>
      </w:r>
    </w:p>
    <w:p w14:paraId="572D212D" w14:textId="77777777" w:rsidR="00272A82" w:rsidRPr="00771EED" w:rsidRDefault="00272A82" w:rsidP="00272A82">
      <w:pPr>
        <w:pStyle w:val="parrafos"/>
        <w:autoSpaceDE w:val="0"/>
        <w:autoSpaceDN w:val="0"/>
        <w:adjustRightInd w:val="0"/>
      </w:pPr>
    </w:p>
    <w:p w14:paraId="795E95C8" w14:textId="77777777" w:rsidR="00272A82" w:rsidRPr="00771EED" w:rsidRDefault="00D8279A" w:rsidP="00272A82">
      <w:pPr>
        <w:pStyle w:val="parrafos"/>
        <w:numPr>
          <w:ilvl w:val="0"/>
          <w:numId w:val="106"/>
        </w:numPr>
        <w:tabs>
          <w:tab w:val="clear" w:pos="1440"/>
        </w:tabs>
        <w:autoSpaceDE w:val="0"/>
        <w:autoSpaceDN w:val="0"/>
        <w:adjustRightInd w:val="0"/>
        <w:ind w:left="0" w:firstLine="0"/>
      </w:pPr>
      <w:r>
        <w:rPr>
          <w:rFonts w:cs="Arial"/>
          <w:snapToGrid w:val="0"/>
        </w:rPr>
        <w:t xml:space="preserve">In this regard, the Commission has previously </w:t>
      </w:r>
      <w:r w:rsidR="0066510F">
        <w:rPr>
          <w:rFonts w:cs="Arial"/>
          <w:snapToGrid w:val="0"/>
        </w:rPr>
        <w:t xml:space="preserve">held that Article 26 of the American Convention </w:t>
      </w:r>
      <w:r w:rsidR="003E5FCC">
        <w:rPr>
          <w:rFonts w:cs="Arial"/>
          <w:snapToGrid w:val="0"/>
        </w:rPr>
        <w:t>imposes several obligations on States</w:t>
      </w:r>
      <w:r w:rsidR="00777A43">
        <w:rPr>
          <w:rFonts w:cs="Arial"/>
          <w:snapToGrid w:val="0"/>
        </w:rPr>
        <w:t xml:space="preserve">, which not only </w:t>
      </w:r>
      <w:r w:rsidR="00124D8B">
        <w:rPr>
          <w:rFonts w:cs="Arial"/>
          <w:snapToGrid w:val="0"/>
        </w:rPr>
        <w:t>prohibit regression</w:t>
      </w:r>
      <w:r w:rsidR="00D67053">
        <w:rPr>
          <w:rFonts w:cs="Arial"/>
          <w:snapToGrid w:val="0"/>
        </w:rPr>
        <w:t xml:space="preserve">, </w:t>
      </w:r>
      <w:r w:rsidR="00B16C19">
        <w:rPr>
          <w:rFonts w:cs="Arial"/>
          <w:snapToGrid w:val="0"/>
        </w:rPr>
        <w:t xml:space="preserve">which is </w:t>
      </w:r>
      <w:r w:rsidR="00D37994">
        <w:rPr>
          <w:rFonts w:cs="Arial"/>
          <w:snapToGrid w:val="0"/>
        </w:rPr>
        <w:t xml:space="preserve">merely </w:t>
      </w:r>
      <w:r w:rsidR="0068673D">
        <w:rPr>
          <w:rFonts w:cs="Arial"/>
          <w:snapToGrid w:val="0"/>
        </w:rPr>
        <w:t xml:space="preserve">a correlate of the obligation of progressive achievement, </w:t>
      </w:r>
      <w:r w:rsidR="00430047">
        <w:rPr>
          <w:rFonts w:cs="Arial"/>
          <w:snapToGrid w:val="0"/>
        </w:rPr>
        <w:t xml:space="preserve">but </w:t>
      </w:r>
      <w:r w:rsidR="00AC3B67">
        <w:rPr>
          <w:rFonts w:cs="Arial"/>
          <w:snapToGrid w:val="0"/>
        </w:rPr>
        <w:t xml:space="preserve">cannot be understood as a single justiciable </w:t>
      </w:r>
      <w:r w:rsidR="00FE5E10">
        <w:rPr>
          <w:rFonts w:cs="Arial"/>
          <w:snapToGrid w:val="0"/>
        </w:rPr>
        <w:t xml:space="preserve">obligation </w:t>
      </w:r>
      <w:r w:rsidR="002C7CE2">
        <w:rPr>
          <w:rFonts w:cs="Arial"/>
          <w:snapToGrid w:val="0"/>
        </w:rPr>
        <w:t xml:space="preserve">in the Inter-American system </w:t>
      </w:r>
      <w:r w:rsidR="00076D53">
        <w:rPr>
          <w:rFonts w:cs="Arial"/>
          <w:snapToGrid w:val="0"/>
        </w:rPr>
        <w:t xml:space="preserve">under this provision. </w:t>
      </w:r>
      <w:r w:rsidR="0030503A">
        <w:rPr>
          <w:rFonts w:cs="Arial"/>
          <w:snapToGrid w:val="0"/>
        </w:rPr>
        <w:t>Thus, the Commission asserts that</w:t>
      </w:r>
      <w:r w:rsidR="003644B3">
        <w:rPr>
          <w:rFonts w:cs="Arial"/>
          <w:snapToGrid w:val="0"/>
        </w:rPr>
        <w:t>,</w:t>
      </w:r>
      <w:r w:rsidR="0030503A">
        <w:rPr>
          <w:rFonts w:cs="Arial"/>
          <w:snapToGrid w:val="0"/>
        </w:rPr>
        <w:t xml:space="preserve"> bearing in mind the interpretive framework of Article 29 of the American Convention, </w:t>
      </w:r>
      <w:r w:rsidR="003644B3">
        <w:rPr>
          <w:rFonts w:cs="Arial"/>
          <w:snapToGrid w:val="0"/>
        </w:rPr>
        <w:t xml:space="preserve">when </w:t>
      </w:r>
      <w:r w:rsidR="0030503A">
        <w:rPr>
          <w:rFonts w:cs="Arial"/>
          <w:snapToGrid w:val="0"/>
        </w:rPr>
        <w:t>viewed in light of Articles 1.1 and 2 of the same instrument,  Article 26</w:t>
      </w:r>
      <w:r w:rsidR="00CB51C8">
        <w:rPr>
          <w:rFonts w:cs="Arial"/>
          <w:snapToGrid w:val="0"/>
        </w:rPr>
        <w:t xml:space="preserve"> gives rise to</w:t>
      </w:r>
      <w:r w:rsidR="007F4949">
        <w:rPr>
          <w:rFonts w:cs="Arial"/>
          <w:snapToGrid w:val="0"/>
        </w:rPr>
        <w:t xml:space="preserve">, at least, the following self-enforcing </w:t>
      </w:r>
      <w:r w:rsidR="00AB401C">
        <w:rPr>
          <w:rFonts w:cs="Arial"/>
          <w:snapToGrid w:val="0"/>
        </w:rPr>
        <w:t>obligations</w:t>
      </w:r>
      <w:r w:rsidR="004E1193">
        <w:rPr>
          <w:rFonts w:cs="Arial"/>
          <w:snapToGrid w:val="0"/>
        </w:rPr>
        <w:t xml:space="preserve">: </w:t>
      </w:r>
      <w:r w:rsidR="00272A82" w:rsidRPr="00771EED">
        <w:rPr>
          <w:rFonts w:cs="Arial"/>
          <w:snapToGrid w:val="0"/>
        </w:rPr>
        <w:t xml:space="preserve">i) </w:t>
      </w:r>
      <w:r w:rsidR="0067669C">
        <w:rPr>
          <w:rFonts w:cs="Arial"/>
          <w:snapToGrid w:val="0"/>
        </w:rPr>
        <w:t xml:space="preserve">general obligations to respect and ensure, </w:t>
      </w:r>
      <w:r w:rsidR="00272A82" w:rsidRPr="00771EED">
        <w:rPr>
          <w:rFonts w:cs="Arial"/>
          <w:snapToGrid w:val="0"/>
        </w:rPr>
        <w:t xml:space="preserve">ii) </w:t>
      </w:r>
      <w:r w:rsidR="0067669C">
        <w:rPr>
          <w:rFonts w:cs="Arial"/>
          <w:snapToGrid w:val="0"/>
        </w:rPr>
        <w:t xml:space="preserve">application of the principle of non-discrimination </w:t>
      </w:r>
      <w:r w:rsidR="005C565C">
        <w:rPr>
          <w:rFonts w:cs="Arial"/>
          <w:snapToGrid w:val="0"/>
        </w:rPr>
        <w:t xml:space="preserve">to economic, social and cultural rights, </w:t>
      </w:r>
      <w:r w:rsidR="00272A82" w:rsidRPr="00771EED">
        <w:rPr>
          <w:rFonts w:cs="Arial"/>
          <w:snapToGrid w:val="0"/>
        </w:rPr>
        <w:t xml:space="preserve">iii) </w:t>
      </w:r>
      <w:r w:rsidR="0044341C">
        <w:rPr>
          <w:rFonts w:cs="Arial"/>
          <w:snapToGrid w:val="0"/>
        </w:rPr>
        <w:t xml:space="preserve">obligations to take steps or adopt measures to achieve the enjoyment of the rights enshrined in said article and </w:t>
      </w:r>
      <w:r w:rsidR="00272A82" w:rsidRPr="00771EED">
        <w:rPr>
          <w:rFonts w:cs="Arial"/>
          <w:snapToGrid w:val="0"/>
        </w:rPr>
        <w:t xml:space="preserve">iv) </w:t>
      </w:r>
      <w:r w:rsidR="00404880">
        <w:rPr>
          <w:rFonts w:cs="Arial"/>
          <w:snapToGrid w:val="0"/>
        </w:rPr>
        <w:t>offer</w:t>
      </w:r>
      <w:r w:rsidR="00001541">
        <w:rPr>
          <w:rFonts w:cs="Arial"/>
          <w:snapToGrid w:val="0"/>
        </w:rPr>
        <w:t>ing</w:t>
      </w:r>
      <w:r w:rsidR="00404880">
        <w:rPr>
          <w:rFonts w:cs="Arial"/>
          <w:snapToGrid w:val="0"/>
        </w:rPr>
        <w:t xml:space="preserve"> suitable and effective remedies for the protection thereof. </w:t>
      </w:r>
      <w:r w:rsidR="00A0169E">
        <w:rPr>
          <w:rFonts w:cs="Arial"/>
          <w:snapToGrid w:val="0"/>
        </w:rPr>
        <w:t>The methodologies or sources of analysis, that are relevant to each of these obligations, should be established in keeping with the particular circumstances of each case.</w:t>
      </w:r>
      <w:r w:rsidR="00272A82" w:rsidRPr="00771EED">
        <w:rPr>
          <w:rStyle w:val="FootnoteReference"/>
          <w:rFonts w:ascii="Cambria" w:hAnsi="Cambria"/>
        </w:rPr>
        <w:footnoteReference w:id="42"/>
      </w:r>
    </w:p>
    <w:p w14:paraId="3CA52313" w14:textId="77777777" w:rsidR="00272A82" w:rsidRPr="00771EED" w:rsidRDefault="00272A82" w:rsidP="00272A82">
      <w:pPr>
        <w:pStyle w:val="parrafos"/>
        <w:autoSpaceDE w:val="0"/>
        <w:autoSpaceDN w:val="0"/>
        <w:adjustRightInd w:val="0"/>
      </w:pPr>
    </w:p>
    <w:p w14:paraId="263F6ED7" w14:textId="77777777" w:rsidR="00272A82" w:rsidRPr="00771EED" w:rsidRDefault="002739C7" w:rsidP="00272A82">
      <w:pPr>
        <w:pStyle w:val="parrafos"/>
        <w:numPr>
          <w:ilvl w:val="0"/>
          <w:numId w:val="106"/>
        </w:numPr>
        <w:tabs>
          <w:tab w:val="clear" w:pos="1440"/>
        </w:tabs>
        <w:autoSpaceDE w:val="0"/>
        <w:autoSpaceDN w:val="0"/>
        <w:adjustRightInd w:val="0"/>
        <w:ind w:left="0" w:firstLine="0"/>
      </w:pPr>
      <w:r>
        <w:t>The IACHR reiterates that the</w:t>
      </w:r>
      <w:r w:rsidR="00BB1098">
        <w:t xml:space="preserve"> </w:t>
      </w:r>
      <w:r>
        <w:t>self-enforcing obliga</w:t>
      </w:r>
      <w:r w:rsidR="008847A8">
        <w:t xml:space="preserve">tions </w:t>
      </w:r>
      <w:r w:rsidR="00272B47">
        <w:t xml:space="preserve">relating to the right to work protected by Article 26 of the ACHR include the obligation to guarantee the exercise thereof without discrimination of any kind and the obligation to </w:t>
      </w:r>
      <w:r w:rsidR="00D94D0F">
        <w:t xml:space="preserve">adopt measures or take deliberate and concrete steps </w:t>
      </w:r>
      <w:r w:rsidR="004F1B35">
        <w:t>aimed at the full realization of th</w:t>
      </w:r>
      <w:r w:rsidR="007A1F5F">
        <w:t>is</w:t>
      </w:r>
      <w:r w:rsidR="004F1B35">
        <w:t xml:space="preserve"> right</w:t>
      </w:r>
      <w:r w:rsidR="007A1F5F">
        <w:t>,</w:t>
      </w:r>
      <w:r w:rsidR="00C8704E">
        <w:t xml:space="preserve"> as</w:t>
      </w:r>
      <w:r w:rsidR="007A1F5F">
        <w:t xml:space="preserve"> these obligations are not subject to progressive application </w:t>
      </w:r>
      <w:r w:rsidR="0055722F">
        <w:t>or contingen</w:t>
      </w:r>
      <w:r w:rsidR="009733C8">
        <w:t xml:space="preserve">t upon availability of </w:t>
      </w:r>
      <w:r w:rsidR="0055722F">
        <w:t xml:space="preserve">resources. </w:t>
      </w:r>
      <w:r w:rsidR="004F1B35">
        <w:t xml:space="preserve"> </w:t>
      </w:r>
    </w:p>
    <w:p w14:paraId="6A8BE6E6" w14:textId="77777777" w:rsidR="00272A82" w:rsidRPr="00771EED" w:rsidRDefault="00272A82" w:rsidP="00272A82">
      <w:pPr>
        <w:pStyle w:val="parrafos"/>
        <w:autoSpaceDE w:val="0"/>
        <w:autoSpaceDN w:val="0"/>
        <w:adjustRightInd w:val="0"/>
      </w:pPr>
    </w:p>
    <w:p w14:paraId="1425F99F" w14:textId="77777777" w:rsidR="00272A82" w:rsidRPr="00771EED" w:rsidRDefault="009733C8" w:rsidP="00272A82">
      <w:pPr>
        <w:pStyle w:val="parrafos"/>
        <w:numPr>
          <w:ilvl w:val="0"/>
          <w:numId w:val="106"/>
        </w:numPr>
        <w:tabs>
          <w:tab w:val="clear" w:pos="1440"/>
        </w:tabs>
        <w:autoSpaceDE w:val="0"/>
        <w:autoSpaceDN w:val="0"/>
        <w:adjustRightInd w:val="0"/>
        <w:ind w:left="0" w:firstLine="0"/>
      </w:pPr>
      <w:r>
        <w:t xml:space="preserve">Specifically, in relation to persons with disability, in its Report </w:t>
      </w:r>
      <w:r>
        <w:rPr>
          <w:i/>
          <w:iCs/>
        </w:rPr>
        <w:t xml:space="preserve">Poverty and Human Rights, </w:t>
      </w:r>
      <w:r>
        <w:t>the IACHR emphasized that “</w:t>
      </w:r>
      <w:r w:rsidR="00FC4EE1">
        <w:t xml:space="preserve">having a disability increases the likelihood </w:t>
      </w:r>
      <w:r w:rsidR="0034305D">
        <w:t xml:space="preserve">of living in poverty because </w:t>
      </w:r>
      <w:r w:rsidR="004447CB">
        <w:t xml:space="preserve">the discrimination </w:t>
      </w:r>
      <w:r w:rsidR="00677DBD">
        <w:t xml:space="preserve">that comes with living with this condition may lead to social exclusion, marginalization, lack of schooling, and unemployment, </w:t>
      </w:r>
      <w:r w:rsidR="00795574">
        <w:t>in addition to the fact that all of these factors increase the risk of poverty.</w:t>
      </w:r>
      <w:r w:rsidR="00272A82" w:rsidRPr="00771EED">
        <w:t>”</w:t>
      </w:r>
      <w:r w:rsidR="00272A82" w:rsidRPr="00771EED">
        <w:rPr>
          <w:rStyle w:val="FootnoteReference"/>
          <w:rFonts w:ascii="Cambria" w:hAnsi="Cambria"/>
        </w:rPr>
        <w:t xml:space="preserve"> </w:t>
      </w:r>
      <w:r w:rsidR="00272A82" w:rsidRPr="00771EED">
        <w:rPr>
          <w:rStyle w:val="FootnoteReference"/>
          <w:rFonts w:ascii="Cambria" w:hAnsi="Cambria"/>
        </w:rPr>
        <w:footnoteReference w:id="43"/>
      </w:r>
      <w:r w:rsidR="003B2A0D">
        <w:t xml:space="preserve"> </w:t>
      </w:r>
      <w:r w:rsidR="004B20F3">
        <w:t xml:space="preserve"> It further noted that one of the main problems </w:t>
      </w:r>
      <w:r w:rsidR="009E12D8">
        <w:t>faced by persons with disabilities in the region is unemployment</w:t>
      </w:r>
      <w:r w:rsidR="00C7093D">
        <w:t xml:space="preserve"> and marginalization from the labor market, which is related to, among other factors, companies’ resistance to hiring people with disabilities.</w:t>
      </w:r>
      <w:r w:rsidR="00272A82" w:rsidRPr="00771EED">
        <w:rPr>
          <w:rStyle w:val="FootnoteReference"/>
          <w:rFonts w:ascii="Cambria" w:hAnsi="Cambria"/>
        </w:rPr>
        <w:footnoteReference w:id="44"/>
      </w:r>
      <w:r w:rsidR="00272A82" w:rsidRPr="00771EED">
        <w:t xml:space="preserve"> </w:t>
      </w:r>
    </w:p>
    <w:p w14:paraId="0FE60A1A" w14:textId="77777777" w:rsidR="00272A82" w:rsidRPr="00771EED" w:rsidRDefault="00272A82" w:rsidP="00272A82">
      <w:pPr>
        <w:pStyle w:val="parrafos"/>
        <w:autoSpaceDE w:val="0"/>
        <w:autoSpaceDN w:val="0"/>
        <w:adjustRightInd w:val="0"/>
      </w:pPr>
    </w:p>
    <w:p w14:paraId="071E49E9" w14:textId="77777777" w:rsidR="00272A82" w:rsidRPr="00771EED" w:rsidRDefault="000E117B" w:rsidP="00272A82">
      <w:pPr>
        <w:pStyle w:val="parrafos"/>
        <w:numPr>
          <w:ilvl w:val="0"/>
          <w:numId w:val="106"/>
        </w:numPr>
        <w:tabs>
          <w:tab w:val="clear" w:pos="1440"/>
        </w:tabs>
        <w:autoSpaceDE w:val="0"/>
        <w:autoSpaceDN w:val="0"/>
        <w:adjustRightInd w:val="0"/>
        <w:ind w:left="0" w:firstLine="0"/>
      </w:pPr>
      <w:r>
        <w:t>Additionally</w:t>
      </w:r>
      <w:r w:rsidR="009A058F">
        <w:t xml:space="preserve">, different international </w:t>
      </w:r>
      <w:r w:rsidR="00383D2A">
        <w:t xml:space="preserve">organizations </w:t>
      </w:r>
      <w:r w:rsidR="009A058F">
        <w:t>have cited the right to work of persons</w:t>
      </w:r>
      <w:r w:rsidR="00D84BDC">
        <w:t xml:space="preserve"> with disability</w:t>
      </w:r>
      <w:r w:rsidR="00712351">
        <w:t xml:space="preserve"> without discrimination and the need to adopt measures of positive discrimination to ensure their full inclusion in the labor market. </w:t>
      </w:r>
      <w:r w:rsidR="006D27B4">
        <w:t xml:space="preserve">In its </w:t>
      </w:r>
      <w:r w:rsidR="00AD6E5D">
        <w:t xml:space="preserve">General Comment No. 5, the </w:t>
      </w:r>
      <w:r w:rsidR="00AD6E5D">
        <w:rPr>
          <w:i/>
          <w:iCs/>
        </w:rPr>
        <w:t xml:space="preserve">Committee on Economic, Social and Cultural Rights </w:t>
      </w:r>
      <w:r w:rsidR="00AD6E5D">
        <w:t xml:space="preserve">underscored that: </w:t>
      </w:r>
      <w:r w:rsidR="009A058F">
        <w:t xml:space="preserve"> </w:t>
      </w:r>
    </w:p>
    <w:p w14:paraId="3006278B" w14:textId="77777777" w:rsidR="00272A82" w:rsidRPr="00771EED" w:rsidRDefault="00272A82" w:rsidP="00272A82">
      <w:pPr>
        <w:pStyle w:val="parrafos"/>
        <w:autoSpaceDE w:val="0"/>
        <w:autoSpaceDN w:val="0"/>
        <w:adjustRightInd w:val="0"/>
      </w:pPr>
    </w:p>
    <w:p w14:paraId="7727C64D" w14:textId="77777777" w:rsidR="00272A82" w:rsidRPr="00771EED" w:rsidRDefault="00272A82" w:rsidP="00272A82">
      <w:pPr>
        <w:pStyle w:val="citas"/>
        <w:ind w:right="27"/>
        <w:rPr>
          <w:lang w:val="en-US"/>
        </w:rPr>
      </w:pPr>
      <w:r w:rsidRPr="00771EED">
        <w:rPr>
          <w:lang w:val="en-US"/>
        </w:rPr>
        <w:t xml:space="preserve"> </w:t>
      </w:r>
      <w:r w:rsidR="00FA4053">
        <w:rPr>
          <w:lang w:val="en-US"/>
        </w:rPr>
        <w:t xml:space="preserve">The field of employment is one in which disability-based discrimination has been prominent and persistent. </w:t>
      </w:r>
      <w:r w:rsidR="00151783">
        <w:rPr>
          <w:lang w:val="en-US"/>
        </w:rPr>
        <w:t xml:space="preserve"> In most countries the unemployment rate among persons with disabilities is two to three times higher than the unemployment rate for persons without disabilities. </w:t>
      </w:r>
      <w:r w:rsidR="00F21BF5">
        <w:rPr>
          <w:lang w:val="en-US"/>
        </w:rPr>
        <w:t>Where persons with disability are employed, they are mostly engaged in low-paid jobs with little social and legal security and are often segregated from the mainstream of the labour market. The integration of persons with disabilities into the regular labour market should be actively supported by States.</w:t>
      </w:r>
      <w:r w:rsidRPr="00771EED">
        <w:rPr>
          <w:rStyle w:val="FootnoteReference"/>
          <w:sz w:val="20"/>
          <w:szCs w:val="20"/>
          <w:lang w:val="en-US"/>
        </w:rPr>
        <w:footnoteReference w:id="45"/>
      </w:r>
    </w:p>
    <w:p w14:paraId="4BEF6AC3" w14:textId="77777777" w:rsidR="00272A82" w:rsidRPr="00771EED" w:rsidRDefault="00272A82" w:rsidP="00272A82">
      <w:pPr>
        <w:pStyle w:val="parrafos"/>
        <w:autoSpaceDE w:val="0"/>
        <w:autoSpaceDN w:val="0"/>
        <w:adjustRightInd w:val="0"/>
      </w:pPr>
    </w:p>
    <w:p w14:paraId="3ADF9F2B" w14:textId="77777777" w:rsidR="00272A82" w:rsidRPr="00771EED" w:rsidRDefault="003268AF" w:rsidP="00272A82">
      <w:pPr>
        <w:pStyle w:val="parrafos"/>
        <w:numPr>
          <w:ilvl w:val="0"/>
          <w:numId w:val="106"/>
        </w:numPr>
        <w:tabs>
          <w:tab w:val="clear" w:pos="1440"/>
        </w:tabs>
        <w:autoSpaceDE w:val="0"/>
        <w:autoSpaceDN w:val="0"/>
        <w:adjustRightInd w:val="0"/>
        <w:ind w:left="0" w:firstLine="0"/>
      </w:pPr>
      <w:r>
        <w:lastRenderedPageBreak/>
        <w:t xml:space="preserve">For its part, the </w:t>
      </w:r>
      <w:r>
        <w:rPr>
          <w:i/>
          <w:iCs/>
        </w:rPr>
        <w:t>Inter</w:t>
      </w:r>
      <w:r w:rsidR="000E659D">
        <w:rPr>
          <w:i/>
          <w:iCs/>
        </w:rPr>
        <w:t xml:space="preserve">national Labor Organization </w:t>
      </w:r>
      <w:r w:rsidR="000E659D">
        <w:t xml:space="preserve">has </w:t>
      </w:r>
      <w:r w:rsidR="003D6DC9">
        <w:t xml:space="preserve">raised </w:t>
      </w:r>
      <w:r w:rsidR="000E659D">
        <w:t>both the need to adopt po</w:t>
      </w:r>
      <w:r w:rsidR="00061F39">
        <w:t>l</w:t>
      </w:r>
      <w:r w:rsidR="000E659D">
        <w:t xml:space="preserve">icies to </w:t>
      </w:r>
      <w:r w:rsidR="00A44E26">
        <w:t xml:space="preserve">promote employment of persons with disability, and the importance of combating </w:t>
      </w:r>
      <w:r w:rsidR="00CA6061">
        <w:t>negative stereotypes</w:t>
      </w:r>
      <w:r w:rsidR="00AE3357">
        <w:t xml:space="preserve"> about them</w:t>
      </w:r>
      <w:r w:rsidR="00037859">
        <w:t xml:space="preserve">. Specifically, it has </w:t>
      </w:r>
      <w:r w:rsidR="003D6DC9">
        <w:t>said:</w:t>
      </w:r>
      <w:r w:rsidR="00272A82" w:rsidRPr="00771EED">
        <w:t xml:space="preserve"> </w:t>
      </w:r>
    </w:p>
    <w:p w14:paraId="2FEA16C7" w14:textId="77777777" w:rsidR="00272A82" w:rsidRPr="00771EED" w:rsidRDefault="00272A82" w:rsidP="00272A82">
      <w:pPr>
        <w:pStyle w:val="parrafos"/>
        <w:autoSpaceDE w:val="0"/>
        <w:autoSpaceDN w:val="0"/>
        <w:adjustRightInd w:val="0"/>
      </w:pPr>
    </w:p>
    <w:p w14:paraId="4278A82F" w14:textId="77777777" w:rsidR="00272A82" w:rsidRPr="00771EED" w:rsidRDefault="00272A82" w:rsidP="00272A82">
      <w:pPr>
        <w:pStyle w:val="citas"/>
        <w:ind w:right="27"/>
        <w:rPr>
          <w:lang w:val="en-US"/>
        </w:rPr>
      </w:pPr>
      <w:r w:rsidRPr="00771EED">
        <w:rPr>
          <w:lang w:val="en-US"/>
        </w:rPr>
        <w:t xml:space="preserve">(…) </w:t>
      </w:r>
      <w:r w:rsidR="007C0007">
        <w:rPr>
          <w:lang w:val="en-US"/>
        </w:rPr>
        <w:t xml:space="preserve">Mistaken assumptions about the capacity of disabled persons to participate in the labour force and associated prejudices and stereotypes contribute to the difficulties </w:t>
      </w:r>
      <w:r w:rsidR="00C45D49">
        <w:rPr>
          <w:lang w:val="en-US"/>
        </w:rPr>
        <w:t xml:space="preserve">faced by disabled women and men </w:t>
      </w:r>
      <w:r w:rsidR="00A834CC">
        <w:rPr>
          <w:lang w:val="en-US"/>
        </w:rPr>
        <w:t xml:space="preserve">in finding </w:t>
      </w:r>
      <w:r w:rsidR="00D06F8A">
        <w:rPr>
          <w:lang w:val="en-US"/>
        </w:rPr>
        <w:t xml:space="preserve">decent </w:t>
      </w:r>
      <w:r w:rsidR="00AE1566">
        <w:rPr>
          <w:lang w:val="en-US"/>
        </w:rPr>
        <w:t>and productive jobs. These assumptions, prejudices and stereotypes are widespread, even tho</w:t>
      </w:r>
      <w:r w:rsidR="00A75439">
        <w:rPr>
          <w:lang w:val="en-US"/>
        </w:rPr>
        <w:t>u</w:t>
      </w:r>
      <w:r w:rsidR="00AE1566">
        <w:rPr>
          <w:lang w:val="en-US"/>
        </w:rPr>
        <w:t>gh workers with disabilities</w:t>
      </w:r>
      <w:r w:rsidR="00EC2D43">
        <w:rPr>
          <w:lang w:val="en-US"/>
        </w:rPr>
        <w:t xml:space="preserve"> </w:t>
      </w:r>
      <w:r w:rsidR="00D62EC8">
        <w:rPr>
          <w:lang w:val="en-US"/>
        </w:rPr>
        <w:t xml:space="preserve">have demonstrated their capacity </w:t>
      </w:r>
      <w:r w:rsidR="00FE4441">
        <w:rPr>
          <w:lang w:val="en-US"/>
        </w:rPr>
        <w:t xml:space="preserve">to work effectively </w:t>
      </w:r>
      <w:r w:rsidR="00B512CB">
        <w:rPr>
          <w:lang w:val="en-US"/>
        </w:rPr>
        <w:t xml:space="preserve">and to perform well on the job, and many employers actively seek to recruit </w:t>
      </w:r>
      <w:r w:rsidR="007008A6">
        <w:rPr>
          <w:lang w:val="en-US"/>
        </w:rPr>
        <w:t xml:space="preserve">people with disabilities </w:t>
      </w:r>
      <w:r w:rsidR="00547132">
        <w:rPr>
          <w:lang w:val="en-US"/>
        </w:rPr>
        <w:t>as they recognize the contribution they make.</w:t>
      </w:r>
      <w:r w:rsidRPr="00771EED">
        <w:rPr>
          <w:vertAlign w:val="superscript"/>
          <w:lang w:val="en-US"/>
        </w:rPr>
        <w:footnoteReference w:id="46"/>
      </w:r>
    </w:p>
    <w:p w14:paraId="29D8EF63" w14:textId="77777777" w:rsidR="00272A82" w:rsidRPr="00771EED" w:rsidRDefault="00272A82" w:rsidP="00272A82">
      <w:pPr>
        <w:pStyle w:val="citas"/>
        <w:ind w:right="27"/>
        <w:rPr>
          <w:lang w:val="en-US"/>
        </w:rPr>
      </w:pPr>
    </w:p>
    <w:p w14:paraId="02647A6A" w14:textId="77777777" w:rsidR="00272A82" w:rsidRPr="00771EED" w:rsidRDefault="00272A82" w:rsidP="00272A82">
      <w:pPr>
        <w:pStyle w:val="citas"/>
        <w:ind w:right="27"/>
        <w:rPr>
          <w:lang w:val="en-US"/>
        </w:rPr>
      </w:pPr>
      <w:r w:rsidRPr="00771EED">
        <w:rPr>
          <w:lang w:val="en-US"/>
        </w:rPr>
        <w:t>(…)</w:t>
      </w:r>
      <w:r w:rsidR="003211E3">
        <w:rPr>
          <w:lang w:val="en-US"/>
        </w:rPr>
        <w:t xml:space="preserve"> </w:t>
      </w:r>
      <w:r w:rsidR="005A1489">
        <w:rPr>
          <w:lang w:val="en-US"/>
        </w:rPr>
        <w:t xml:space="preserve">employers should adopt a strategy for managing </w:t>
      </w:r>
      <w:r w:rsidR="00F23E5C">
        <w:rPr>
          <w:lang w:val="en-US"/>
        </w:rPr>
        <w:t>disability as an integral part of overall employment policy and that encompasses</w:t>
      </w:r>
      <w:r w:rsidRPr="00771EED">
        <w:rPr>
          <w:lang w:val="en-US"/>
        </w:rPr>
        <w:t xml:space="preserve">: </w:t>
      </w:r>
      <w:r w:rsidRPr="00771EED">
        <w:rPr>
          <w:rFonts w:eastAsia="Times New Roman"/>
          <w:lang w:val="en-US"/>
        </w:rPr>
        <w:t xml:space="preserve">a) </w:t>
      </w:r>
      <w:r w:rsidR="00780938">
        <w:rPr>
          <w:rFonts w:eastAsia="Times New Roman"/>
          <w:lang w:val="en-US"/>
        </w:rPr>
        <w:t xml:space="preserve">recruiting jobseekers with disabilities, including those who have not worked before and those who wish </w:t>
      </w:r>
      <w:r w:rsidR="007E17CF">
        <w:rPr>
          <w:rFonts w:eastAsia="Times New Roman"/>
          <w:lang w:val="en-US"/>
        </w:rPr>
        <w:t xml:space="preserve">to return to work after a period of non-employment; </w:t>
      </w:r>
      <w:r w:rsidRPr="00771EED">
        <w:rPr>
          <w:rFonts w:eastAsia="Times New Roman"/>
          <w:lang w:val="en-US"/>
        </w:rPr>
        <w:t xml:space="preserve">b) </w:t>
      </w:r>
      <w:r w:rsidR="007E17CF">
        <w:rPr>
          <w:rFonts w:eastAsia="Times New Roman"/>
          <w:lang w:val="en-US"/>
        </w:rPr>
        <w:t>equal opportunity for employees with disabilities; and</w:t>
      </w:r>
      <w:r w:rsidRPr="00771EED">
        <w:rPr>
          <w:rFonts w:eastAsia="Times New Roman"/>
          <w:lang w:val="en-US"/>
        </w:rPr>
        <w:t xml:space="preserve"> c) </w:t>
      </w:r>
      <w:r w:rsidR="007E17CF">
        <w:rPr>
          <w:rFonts w:eastAsia="Times New Roman"/>
          <w:lang w:val="en-US"/>
        </w:rPr>
        <w:t xml:space="preserve">job retention </w:t>
      </w:r>
      <w:r w:rsidR="00C51BBE">
        <w:rPr>
          <w:rFonts w:eastAsia="Times New Roman"/>
          <w:lang w:val="en-US"/>
        </w:rPr>
        <w:t>by employees who acquire a disability.</w:t>
      </w:r>
      <w:r w:rsidRPr="00771EED">
        <w:rPr>
          <w:rStyle w:val="FootnoteReference"/>
          <w:rFonts w:eastAsia="Times New Roman"/>
          <w:sz w:val="20"/>
          <w:lang w:val="en-US"/>
        </w:rPr>
        <w:footnoteReference w:id="47"/>
      </w:r>
    </w:p>
    <w:p w14:paraId="63B8F8FE" w14:textId="77777777" w:rsidR="00272A82" w:rsidRPr="00771EED" w:rsidRDefault="00272A82" w:rsidP="00272A82">
      <w:pPr>
        <w:pStyle w:val="parrafos"/>
        <w:autoSpaceDE w:val="0"/>
        <w:autoSpaceDN w:val="0"/>
        <w:adjustRightInd w:val="0"/>
      </w:pPr>
    </w:p>
    <w:p w14:paraId="4A3502DD" w14:textId="77777777" w:rsidR="00272A82" w:rsidRPr="00771EED" w:rsidRDefault="0080649A" w:rsidP="00272A82">
      <w:pPr>
        <w:pStyle w:val="parrafos"/>
        <w:numPr>
          <w:ilvl w:val="0"/>
          <w:numId w:val="106"/>
        </w:numPr>
        <w:tabs>
          <w:tab w:val="clear" w:pos="1440"/>
        </w:tabs>
        <w:autoSpaceDE w:val="0"/>
        <w:autoSpaceDN w:val="0"/>
        <w:adjustRightInd w:val="0"/>
        <w:ind w:left="0" w:firstLine="0"/>
      </w:pPr>
      <w:r>
        <w:t xml:space="preserve">Also, in 2017, the </w:t>
      </w:r>
      <w:r>
        <w:rPr>
          <w:i/>
          <w:iCs/>
        </w:rPr>
        <w:t xml:space="preserve">European Parliament </w:t>
      </w:r>
      <w:r w:rsidR="00FD0D85">
        <w:t xml:space="preserve">highlighted </w:t>
      </w:r>
      <w:r>
        <w:t>in its resolution on the application of the European strategy on disability that “</w:t>
      </w:r>
      <w:r w:rsidR="00173969">
        <w:t xml:space="preserve">access to the labour market is a holistic issue requiring the implementation of support measures that result in a win-win situation for both the individual and the employer, ensuring social inclusion and which should include accessible recruitment procedures, accessible transport from and to the workplace, career progression, and on-going training, </w:t>
      </w:r>
      <w:r w:rsidR="00727512">
        <w:t>as well as reasonable accommodation and accessible work places.</w:t>
      </w:r>
      <w:r w:rsidR="00272A82" w:rsidRPr="00771EED">
        <w:t>”</w:t>
      </w:r>
      <w:r w:rsidR="00272A82" w:rsidRPr="00771EED">
        <w:rPr>
          <w:rStyle w:val="FootnoteReference"/>
          <w:rFonts w:ascii="Cambria" w:hAnsi="Cambria"/>
        </w:rPr>
        <w:footnoteReference w:id="48"/>
      </w:r>
    </w:p>
    <w:p w14:paraId="6EBBB9EA" w14:textId="77777777" w:rsidR="00272A82" w:rsidRPr="00771EED" w:rsidRDefault="00272A82" w:rsidP="00272A82">
      <w:pPr>
        <w:pStyle w:val="parrafos"/>
        <w:autoSpaceDE w:val="0"/>
        <w:autoSpaceDN w:val="0"/>
        <w:adjustRightInd w:val="0"/>
      </w:pPr>
    </w:p>
    <w:p w14:paraId="32D839D9" w14:textId="77777777" w:rsidR="00272A82" w:rsidRPr="00771EED" w:rsidRDefault="0025217B" w:rsidP="00272A82">
      <w:pPr>
        <w:pStyle w:val="parrafos"/>
        <w:numPr>
          <w:ilvl w:val="0"/>
          <w:numId w:val="106"/>
        </w:numPr>
        <w:tabs>
          <w:tab w:val="clear" w:pos="1440"/>
        </w:tabs>
        <w:autoSpaceDE w:val="0"/>
        <w:autoSpaceDN w:val="0"/>
        <w:adjustRightInd w:val="0"/>
        <w:ind w:left="0" w:firstLine="0"/>
      </w:pPr>
      <w:r>
        <w:t xml:space="preserve">Likewise, in its </w:t>
      </w:r>
      <w:r w:rsidR="001E7A03">
        <w:t>Program</w:t>
      </w:r>
      <w:r>
        <w:t xml:space="preserve"> of </w:t>
      </w:r>
      <w:r w:rsidR="001E7A03">
        <w:t>A</w:t>
      </w:r>
      <w:r>
        <w:t xml:space="preserve">ction for the Decade of the Americas for the Rights and Dignity of Persons with Disability (2016-2026) the </w:t>
      </w:r>
      <w:r>
        <w:rPr>
          <w:i/>
          <w:iCs/>
        </w:rPr>
        <w:t xml:space="preserve">Organization of American States </w:t>
      </w:r>
      <w:r>
        <w:t xml:space="preserve">underscored </w:t>
      </w:r>
      <w:r w:rsidR="00801D76">
        <w:t>as one of the actions to take during th</w:t>
      </w:r>
      <w:r w:rsidR="00E50C20">
        <w:t xml:space="preserve">is decade: </w:t>
      </w:r>
      <w:r w:rsidR="00153EB4">
        <w:t>“</w:t>
      </w:r>
      <w:r w:rsidR="001809A2">
        <w:t>To guarantee to persons with disabilities the right to decent employment chosen autonomously and independently in open, inclusive, and accessible working environments, in accordance with their capacities and competencies, with</w:t>
      </w:r>
      <w:r w:rsidR="007E635E">
        <w:t xml:space="preserve"> all the guarantees provided by law, the possibility of advancement and being promoted and wage-earning equality on an equal footing with others, respecting their right to work and belong to a trade union.</w:t>
      </w:r>
      <w:r w:rsidR="00272A82" w:rsidRPr="00771EED">
        <w:t>”</w:t>
      </w:r>
      <w:r w:rsidR="00272A82" w:rsidRPr="00771EED">
        <w:rPr>
          <w:rStyle w:val="FootnoteReference"/>
          <w:rFonts w:ascii="Cambria" w:hAnsi="Cambria"/>
        </w:rPr>
        <w:footnoteReference w:id="49"/>
      </w:r>
    </w:p>
    <w:p w14:paraId="2C300CC7" w14:textId="77777777" w:rsidR="00272A82" w:rsidRPr="00771EED" w:rsidRDefault="00272A82" w:rsidP="00272A82">
      <w:pPr>
        <w:pStyle w:val="parrafos"/>
        <w:autoSpaceDE w:val="0"/>
        <w:autoSpaceDN w:val="0"/>
        <w:adjustRightInd w:val="0"/>
      </w:pPr>
    </w:p>
    <w:p w14:paraId="4A670B0E" w14:textId="77777777" w:rsidR="00272A82" w:rsidRPr="00771EED" w:rsidRDefault="007E635E" w:rsidP="00272A82">
      <w:pPr>
        <w:pStyle w:val="parrafos"/>
        <w:numPr>
          <w:ilvl w:val="0"/>
          <w:numId w:val="106"/>
        </w:numPr>
        <w:tabs>
          <w:tab w:val="clear" w:pos="1440"/>
        </w:tabs>
        <w:autoSpaceDE w:val="0"/>
        <w:autoSpaceDN w:val="0"/>
        <w:adjustRightInd w:val="0"/>
        <w:ind w:left="0" w:firstLine="0"/>
      </w:pPr>
      <w:r>
        <w:t>I</w:t>
      </w:r>
      <w:r w:rsidR="00272A82" w:rsidRPr="00771EED">
        <w:t xml:space="preserve">n 2018 </w:t>
      </w:r>
      <w:r w:rsidR="00D71F1D">
        <w:t xml:space="preserve">the </w:t>
      </w:r>
      <w:r w:rsidR="00D71F1D">
        <w:rPr>
          <w:i/>
          <w:iCs/>
        </w:rPr>
        <w:t>United Nations Department of Economic</w:t>
      </w:r>
      <w:r w:rsidR="003C0B09">
        <w:rPr>
          <w:i/>
          <w:iCs/>
        </w:rPr>
        <w:t xml:space="preserve"> and Social</w:t>
      </w:r>
      <w:r w:rsidR="00D71F1D">
        <w:rPr>
          <w:i/>
          <w:iCs/>
        </w:rPr>
        <w:t xml:space="preserve"> Affairs </w:t>
      </w:r>
      <w:r w:rsidR="00D71F1D">
        <w:t xml:space="preserve">issued its report on disability and development noting that: </w:t>
      </w:r>
    </w:p>
    <w:p w14:paraId="6E1FECFA" w14:textId="77777777" w:rsidR="00272A82" w:rsidRPr="00771EED" w:rsidRDefault="00272A82" w:rsidP="00272A82">
      <w:pPr>
        <w:tabs>
          <w:tab w:val="left" w:pos="360"/>
          <w:tab w:val="left" w:pos="720"/>
          <w:tab w:val="left" w:pos="1440"/>
        </w:tabs>
        <w:jc w:val="both"/>
        <w:rPr>
          <w:rFonts w:ascii="Cambria" w:hAnsi="Cambria"/>
          <w:sz w:val="20"/>
          <w:szCs w:val="20"/>
        </w:rPr>
      </w:pPr>
    </w:p>
    <w:p w14:paraId="59D32B4E" w14:textId="77777777" w:rsidR="00272A82" w:rsidRPr="00771EED" w:rsidRDefault="00BF7B7C" w:rsidP="00272A82">
      <w:pPr>
        <w:pStyle w:val="citas"/>
        <w:ind w:right="27"/>
        <w:rPr>
          <w:lang w:val="en-US"/>
        </w:rPr>
      </w:pPr>
      <w:r>
        <w:rPr>
          <w:lang w:val="en-US"/>
        </w:rPr>
        <w:t xml:space="preserve">States should ensure that national legislation protects persons with disabilities from discrimination on the basis of disability in all matters of employment </w:t>
      </w:r>
      <w:r w:rsidR="000C2B49">
        <w:rPr>
          <w:lang w:val="en-US"/>
        </w:rPr>
        <w:t xml:space="preserve">and that it includes the denial of reasonable accommodation </w:t>
      </w:r>
      <w:r w:rsidR="002442B0">
        <w:rPr>
          <w:lang w:val="en-US"/>
        </w:rPr>
        <w:t xml:space="preserve">as a form of discrimination. </w:t>
      </w:r>
      <w:r w:rsidR="008418AF">
        <w:rPr>
          <w:lang w:val="en-US"/>
        </w:rPr>
        <w:t xml:space="preserve">Reasonable accommodation </w:t>
      </w:r>
      <w:r w:rsidR="00C94235">
        <w:rPr>
          <w:lang w:val="en-US"/>
        </w:rPr>
        <w:t xml:space="preserve">in most cases does not incur costs or incur just a minimal cost. </w:t>
      </w:r>
      <w:r w:rsidR="00FE160B">
        <w:rPr>
          <w:lang w:val="en-US"/>
        </w:rPr>
        <w:t>It is important that States improve and standardize the support available for providing reasonable accommodation in the workplace.</w:t>
      </w:r>
      <w:r w:rsidR="00272A82" w:rsidRPr="00771EED">
        <w:rPr>
          <w:vertAlign w:val="superscript"/>
          <w:lang w:val="en-US"/>
        </w:rPr>
        <w:footnoteReference w:id="50"/>
      </w:r>
    </w:p>
    <w:p w14:paraId="15312C2D" w14:textId="77777777" w:rsidR="00272A82" w:rsidRPr="00771EED" w:rsidRDefault="00272A82" w:rsidP="00272A82">
      <w:pPr>
        <w:tabs>
          <w:tab w:val="left" w:pos="360"/>
          <w:tab w:val="left" w:pos="720"/>
          <w:tab w:val="left" w:pos="1440"/>
        </w:tabs>
        <w:jc w:val="both"/>
        <w:rPr>
          <w:rFonts w:ascii="Cambria" w:hAnsi="Cambria"/>
          <w:sz w:val="20"/>
          <w:szCs w:val="20"/>
        </w:rPr>
      </w:pPr>
    </w:p>
    <w:p w14:paraId="1A786FD9" w14:textId="77777777" w:rsidR="00272A82" w:rsidRPr="00771EED" w:rsidRDefault="008D66A9" w:rsidP="00272A82">
      <w:pPr>
        <w:pStyle w:val="parrafos"/>
        <w:numPr>
          <w:ilvl w:val="0"/>
          <w:numId w:val="106"/>
        </w:numPr>
        <w:tabs>
          <w:tab w:val="clear" w:pos="1440"/>
        </w:tabs>
        <w:autoSpaceDE w:val="0"/>
        <w:autoSpaceDN w:val="0"/>
        <w:adjustRightInd w:val="0"/>
        <w:ind w:left="0" w:firstLine="0"/>
      </w:pPr>
      <w:r>
        <w:t xml:space="preserve">For its part, in General Comment No. 6, </w:t>
      </w:r>
      <w:r w:rsidR="009A4757">
        <w:t xml:space="preserve">the </w:t>
      </w:r>
      <w:r w:rsidR="009A4757">
        <w:rPr>
          <w:i/>
          <w:iCs/>
        </w:rPr>
        <w:t>Committee on</w:t>
      </w:r>
      <w:r w:rsidR="00B558F6">
        <w:rPr>
          <w:i/>
          <w:iCs/>
        </w:rPr>
        <w:t xml:space="preserve"> the Rights of</w:t>
      </w:r>
      <w:r w:rsidR="009A4757">
        <w:rPr>
          <w:i/>
          <w:iCs/>
        </w:rPr>
        <w:t xml:space="preserve"> Persons with Disability </w:t>
      </w:r>
      <w:r w:rsidR="00595E23">
        <w:t xml:space="preserve">wrote </w:t>
      </w:r>
      <w:r w:rsidR="009A4757">
        <w:t>that</w:t>
      </w:r>
      <w:r w:rsidR="00272A82" w:rsidRPr="00771EED">
        <w:t>:</w:t>
      </w:r>
    </w:p>
    <w:p w14:paraId="1967A5D6" w14:textId="77777777" w:rsidR="00272A82" w:rsidRPr="00771EED" w:rsidRDefault="00272A82" w:rsidP="00272A82">
      <w:pPr>
        <w:pStyle w:val="citas"/>
        <w:ind w:right="27"/>
        <w:rPr>
          <w:lang w:val="en-US"/>
        </w:rPr>
      </w:pPr>
    </w:p>
    <w:p w14:paraId="3851B997" w14:textId="77777777" w:rsidR="00272A82" w:rsidRPr="00771EED" w:rsidRDefault="00042047" w:rsidP="00272A82">
      <w:pPr>
        <w:pStyle w:val="citas"/>
        <w:ind w:right="27"/>
        <w:rPr>
          <w:lang w:val="en-US"/>
        </w:rPr>
      </w:pPr>
      <w:r>
        <w:rPr>
          <w:lang w:val="en-US"/>
        </w:rPr>
        <w:t xml:space="preserve">To achieve de facto equality in terms of the Convention, States parties must ensure that there is no discrimination on the grounds of disability in connection to work and employment. </w:t>
      </w:r>
      <w:r w:rsidR="000A57AB">
        <w:rPr>
          <w:lang w:val="en-US"/>
        </w:rPr>
        <w:t xml:space="preserve">In order to ensure reasonable accommodation as laid out in </w:t>
      </w:r>
      <w:r w:rsidR="00D67DA0">
        <w:rPr>
          <w:lang w:val="en-US"/>
        </w:rPr>
        <w:t>a</w:t>
      </w:r>
      <w:r w:rsidR="000A57AB">
        <w:rPr>
          <w:lang w:val="en-US"/>
        </w:rPr>
        <w:t xml:space="preserve">rticle 5 (3) and </w:t>
      </w:r>
      <w:r w:rsidR="000B3F55">
        <w:rPr>
          <w:lang w:val="en-US"/>
        </w:rPr>
        <w:t>to achieve or accelerate de facto equality in the work environment as laid out in article</w:t>
      </w:r>
      <w:r w:rsidR="00BC1285">
        <w:rPr>
          <w:lang w:val="en-US"/>
        </w:rPr>
        <w:t xml:space="preserve"> 5 (4), the States parties should: </w:t>
      </w:r>
      <w:r w:rsidR="000B3F55">
        <w:rPr>
          <w:lang w:val="en-US"/>
        </w:rPr>
        <w:t xml:space="preserve"> </w:t>
      </w:r>
    </w:p>
    <w:p w14:paraId="3249AE32" w14:textId="77777777" w:rsidR="00272A82" w:rsidRPr="00771EED" w:rsidRDefault="00272A82" w:rsidP="00272A82">
      <w:pPr>
        <w:pStyle w:val="citas"/>
        <w:ind w:right="27"/>
        <w:rPr>
          <w:lang w:val="en-US"/>
        </w:rPr>
      </w:pPr>
    </w:p>
    <w:p w14:paraId="4FAC93EC" w14:textId="77777777" w:rsidR="00272A82" w:rsidRPr="00771EED" w:rsidRDefault="00272A82" w:rsidP="00272A82">
      <w:pPr>
        <w:pStyle w:val="citas"/>
        <w:ind w:right="27"/>
        <w:rPr>
          <w:lang w:val="en-US"/>
        </w:rPr>
      </w:pPr>
      <w:r w:rsidRPr="00771EED">
        <w:rPr>
          <w:lang w:val="en-US"/>
        </w:rPr>
        <w:t xml:space="preserve">(…) e) </w:t>
      </w:r>
      <w:r w:rsidR="00E4531F">
        <w:rPr>
          <w:lang w:val="en-US"/>
        </w:rPr>
        <w:t xml:space="preserve">ensure proper transition into and out of </w:t>
      </w:r>
      <w:r w:rsidR="001C2CDD">
        <w:rPr>
          <w:lang w:val="en-US"/>
        </w:rPr>
        <w:t xml:space="preserve">employment </w:t>
      </w:r>
      <w:r w:rsidR="0011439C">
        <w:rPr>
          <w:lang w:val="en-US"/>
        </w:rPr>
        <w:t xml:space="preserve">for persons with disabilities in a non-discriminatory manner. </w:t>
      </w:r>
      <w:r w:rsidR="008F5673">
        <w:rPr>
          <w:lang w:val="en-US"/>
        </w:rPr>
        <w:t xml:space="preserve">States parties are obliged to ensure equal and effective access to benefits and entitlements, such as retirement </w:t>
      </w:r>
      <w:r w:rsidR="008F5673">
        <w:rPr>
          <w:lang w:val="en-US"/>
        </w:rPr>
        <w:lastRenderedPageBreak/>
        <w:t>or unemployment benefits</w:t>
      </w:r>
      <w:r w:rsidRPr="00771EED">
        <w:rPr>
          <w:lang w:val="en-US"/>
        </w:rPr>
        <w:t xml:space="preserve">. </w:t>
      </w:r>
      <w:r w:rsidR="0038374B">
        <w:rPr>
          <w:lang w:val="en-US"/>
        </w:rPr>
        <w:t xml:space="preserve">Such entitlements must not be infringed upon by exclusion from employment, thereby </w:t>
      </w:r>
      <w:r w:rsidR="003214DD">
        <w:rPr>
          <w:lang w:val="en-US"/>
        </w:rPr>
        <w:t>exacerbating the situation of exclusion</w:t>
      </w:r>
      <w:r w:rsidR="000B0197">
        <w:rPr>
          <w:lang w:val="en-US"/>
        </w:rPr>
        <w:t>;</w:t>
      </w:r>
      <w:r w:rsidR="003214DD">
        <w:rPr>
          <w:lang w:val="en-US"/>
        </w:rPr>
        <w:t xml:space="preserve"> </w:t>
      </w:r>
    </w:p>
    <w:p w14:paraId="2AB3A3D2" w14:textId="77777777" w:rsidR="00272A82" w:rsidRPr="00771EED" w:rsidRDefault="00272A82" w:rsidP="00272A82">
      <w:pPr>
        <w:pStyle w:val="citas"/>
        <w:ind w:right="27"/>
        <w:rPr>
          <w:lang w:val="en-US"/>
        </w:rPr>
      </w:pPr>
    </w:p>
    <w:p w14:paraId="48A07605" w14:textId="77777777" w:rsidR="00272A82" w:rsidRPr="00771EED" w:rsidRDefault="00272A82" w:rsidP="00272A82">
      <w:pPr>
        <w:pStyle w:val="citas"/>
        <w:ind w:right="27"/>
        <w:rPr>
          <w:lang w:val="en-US"/>
        </w:rPr>
      </w:pPr>
      <w:r w:rsidRPr="00771EED">
        <w:rPr>
          <w:lang w:val="en-US"/>
        </w:rPr>
        <w:t xml:space="preserve">(…) g) </w:t>
      </w:r>
      <w:r w:rsidR="00132403">
        <w:rPr>
          <w:lang w:val="en-US"/>
        </w:rPr>
        <w:t>Ensure that persons with disabilities enjoy equal opportunities regarding career advancement opportunities through regular assessment meetings with their manage</w:t>
      </w:r>
      <w:r w:rsidR="00912028">
        <w:rPr>
          <w:lang w:val="en-US"/>
        </w:rPr>
        <w:t>r</w:t>
      </w:r>
      <w:r w:rsidR="00132403">
        <w:rPr>
          <w:lang w:val="en-US"/>
        </w:rPr>
        <w:t xml:space="preserve">s and by defining </w:t>
      </w:r>
      <w:r w:rsidR="00D10862">
        <w:rPr>
          <w:lang w:val="en-US"/>
        </w:rPr>
        <w:t xml:space="preserve">the objectives to be achieved, as a part of a comprehensive </w:t>
      </w:r>
      <w:r w:rsidR="000B0197">
        <w:rPr>
          <w:lang w:val="en-US"/>
        </w:rPr>
        <w:t>strategy;</w:t>
      </w:r>
      <w:r w:rsidRPr="00771EED">
        <w:rPr>
          <w:rStyle w:val="FootnoteReference"/>
          <w:sz w:val="20"/>
          <w:szCs w:val="20"/>
          <w:lang w:val="en-US"/>
        </w:rPr>
        <w:footnoteReference w:id="51"/>
      </w:r>
      <w:r w:rsidRPr="00771EED">
        <w:rPr>
          <w:lang w:val="en-US"/>
        </w:rPr>
        <w:t xml:space="preserve"> </w:t>
      </w:r>
    </w:p>
    <w:p w14:paraId="4EDC89A3" w14:textId="77777777" w:rsidR="00272A82" w:rsidRPr="00771EED" w:rsidRDefault="00272A82" w:rsidP="00272A82">
      <w:pPr>
        <w:pStyle w:val="parrafos"/>
      </w:pPr>
    </w:p>
    <w:p w14:paraId="7D991AA9" w14:textId="77777777" w:rsidR="00272A82" w:rsidRPr="00771EED" w:rsidRDefault="00B21F41" w:rsidP="00272A82">
      <w:pPr>
        <w:pStyle w:val="parrafos"/>
        <w:numPr>
          <w:ilvl w:val="0"/>
          <w:numId w:val="106"/>
        </w:numPr>
        <w:tabs>
          <w:tab w:val="clear" w:pos="1440"/>
        </w:tabs>
        <w:autoSpaceDE w:val="0"/>
        <w:autoSpaceDN w:val="0"/>
        <w:adjustRightInd w:val="0"/>
        <w:ind w:left="0" w:firstLine="0"/>
      </w:pPr>
      <w:r>
        <w:t xml:space="preserve">Also, the Committee on the Rights of Persons with Disability, in the case of </w:t>
      </w:r>
      <w:r w:rsidR="00272A82" w:rsidRPr="00771EED">
        <w:rPr>
          <w:i/>
        </w:rPr>
        <w:t>V. F.C vs</w:t>
      </w:r>
      <w:r>
        <w:rPr>
          <w:i/>
        </w:rPr>
        <w:t>. Spain</w:t>
      </w:r>
      <w:r w:rsidR="00272A82" w:rsidRPr="00771EED">
        <w:t xml:space="preserve">, </w:t>
      </w:r>
      <w:r>
        <w:t xml:space="preserve">emphasized </w:t>
      </w:r>
      <w:r w:rsidR="00F828EA">
        <w:t xml:space="preserve">that Article 27 (1), of the Convention on the Rights of Persons with Disability </w:t>
      </w:r>
      <w:r w:rsidR="00822E0D">
        <w:t xml:space="preserve">requires </w:t>
      </w:r>
      <w:r w:rsidR="002B2A9B">
        <w:t xml:space="preserve">States parties </w:t>
      </w:r>
      <w:r w:rsidR="00C65A5C">
        <w:t xml:space="preserve">to recognize the right of persons with disability </w:t>
      </w:r>
      <w:r w:rsidR="00CE0035">
        <w:t>to retain their job, on an equal basis with others, adopt all appropriate measures, including legislative ones, to prohibit disability-based discrimination</w:t>
      </w:r>
      <w:r w:rsidR="00D237FE">
        <w:t xml:space="preserve"> in</w:t>
      </w:r>
      <w:r w:rsidR="006704AC">
        <w:t xml:space="preserve"> job retention</w:t>
      </w:r>
      <w:r w:rsidR="00C72EEA">
        <w:t>, and make sure that reasonable accommodations are made for people who acquire</w:t>
      </w:r>
      <w:r w:rsidR="006213C3">
        <w:t xml:space="preserve"> </w:t>
      </w:r>
      <w:r w:rsidR="008002FB">
        <w:t xml:space="preserve">a </w:t>
      </w:r>
      <w:r w:rsidR="006213C3">
        <w:t>disability in the workplace</w:t>
      </w:r>
      <w:r w:rsidR="006704AC">
        <w:t>.</w:t>
      </w:r>
      <w:r w:rsidR="00272A82" w:rsidRPr="00771EED">
        <w:rPr>
          <w:rStyle w:val="FootnoteReference"/>
          <w:rFonts w:ascii="Cambria" w:hAnsi="Cambria"/>
        </w:rPr>
        <w:footnoteReference w:id="52"/>
      </w:r>
      <w:r w:rsidR="00272A82" w:rsidRPr="00771EED">
        <w:t xml:space="preserve"> </w:t>
      </w:r>
    </w:p>
    <w:p w14:paraId="75A0CD89" w14:textId="77777777" w:rsidR="00272A82" w:rsidRPr="00771EED" w:rsidRDefault="00272A82" w:rsidP="00272A82">
      <w:pPr>
        <w:pStyle w:val="parrafos"/>
        <w:autoSpaceDE w:val="0"/>
        <w:autoSpaceDN w:val="0"/>
        <w:adjustRightInd w:val="0"/>
      </w:pPr>
    </w:p>
    <w:p w14:paraId="34FA029F" w14:textId="77777777" w:rsidR="00272A82" w:rsidRPr="00771EED" w:rsidRDefault="00AD3A94" w:rsidP="00272A82">
      <w:pPr>
        <w:pStyle w:val="parrafos"/>
        <w:numPr>
          <w:ilvl w:val="0"/>
          <w:numId w:val="106"/>
        </w:numPr>
        <w:tabs>
          <w:tab w:val="clear" w:pos="1440"/>
        </w:tabs>
        <w:autoSpaceDE w:val="0"/>
        <w:autoSpaceDN w:val="0"/>
        <w:adjustRightInd w:val="0"/>
        <w:ind w:left="0" w:firstLine="0"/>
      </w:pPr>
      <w:r>
        <w:t xml:space="preserve">Likewise, several national courts have </w:t>
      </w:r>
      <w:r w:rsidR="00EE308A">
        <w:t xml:space="preserve">mentioned how important it is to guarantee for persons with disability </w:t>
      </w:r>
      <w:r w:rsidR="000C3A4A">
        <w:t xml:space="preserve">the right to work without discrimination and </w:t>
      </w:r>
      <w:r w:rsidR="00E354C3">
        <w:t xml:space="preserve">with </w:t>
      </w:r>
      <w:r w:rsidR="000C3A4A">
        <w:t>job security</w:t>
      </w:r>
      <w:r w:rsidR="00837899">
        <w:t xml:space="preserve">.  By way of example, </w:t>
      </w:r>
      <w:r w:rsidR="005A25CA">
        <w:t xml:space="preserve">in Judgment </w:t>
      </w:r>
      <w:r w:rsidR="00272A82" w:rsidRPr="00771EED">
        <w:rPr>
          <w:i/>
        </w:rPr>
        <w:t>T-340/17</w:t>
      </w:r>
      <w:r w:rsidR="005A25CA">
        <w:t xml:space="preserve">, the </w:t>
      </w:r>
      <w:r w:rsidR="005A25CA" w:rsidRPr="005A25CA">
        <w:rPr>
          <w:i/>
          <w:iCs/>
        </w:rPr>
        <w:t>Constitutional Court of Colombia</w:t>
      </w:r>
      <w:r w:rsidR="005A25CA">
        <w:t xml:space="preserve"> ruled abut a case of a person who was dismissed because when he signed his labor contract, he failed to mention that he was living with a disability and receiving a </w:t>
      </w:r>
      <w:r w:rsidR="00E755BA">
        <w:t>pension</w:t>
      </w:r>
      <w:r w:rsidR="00044FF2">
        <w:t xml:space="preserve">. In this decision, this court emphasized that: </w:t>
      </w:r>
    </w:p>
    <w:p w14:paraId="76435F5B" w14:textId="77777777" w:rsidR="00272A82" w:rsidRPr="00771EED" w:rsidRDefault="00272A82" w:rsidP="00272A82">
      <w:pPr>
        <w:pStyle w:val="citas"/>
        <w:ind w:right="27"/>
        <w:rPr>
          <w:lang w:val="en-US"/>
        </w:rPr>
      </w:pPr>
    </w:p>
    <w:p w14:paraId="11AE1ED9" w14:textId="77777777" w:rsidR="00272A82" w:rsidRPr="00771EED" w:rsidRDefault="00272A82" w:rsidP="00272A82">
      <w:pPr>
        <w:pStyle w:val="citas"/>
        <w:ind w:right="27"/>
        <w:rPr>
          <w:lang w:val="en-US"/>
        </w:rPr>
      </w:pPr>
      <w:r w:rsidRPr="00771EED">
        <w:rPr>
          <w:lang w:val="en-US"/>
        </w:rPr>
        <w:t xml:space="preserve">(…) </w:t>
      </w:r>
      <w:r w:rsidR="00470A43">
        <w:rPr>
          <w:lang w:val="en-US"/>
        </w:rPr>
        <w:t xml:space="preserve">this Body has </w:t>
      </w:r>
      <w:r w:rsidR="001857F6">
        <w:rPr>
          <w:lang w:val="en-US"/>
        </w:rPr>
        <w:t>specif</w:t>
      </w:r>
      <w:r w:rsidR="00ED050F">
        <w:rPr>
          <w:lang w:val="en-US"/>
        </w:rPr>
        <w:t>ically said</w:t>
      </w:r>
      <w:r w:rsidR="00C60A11">
        <w:rPr>
          <w:lang w:val="en-US"/>
        </w:rPr>
        <w:t xml:space="preserve"> </w:t>
      </w:r>
      <w:r w:rsidR="00C93955">
        <w:rPr>
          <w:lang w:val="en-US"/>
        </w:rPr>
        <w:t xml:space="preserve">that the Ministry of Labor has the obligation to </w:t>
      </w:r>
      <w:r w:rsidR="00806507">
        <w:rPr>
          <w:lang w:val="en-US"/>
        </w:rPr>
        <w:t xml:space="preserve">rule on </w:t>
      </w:r>
      <w:r w:rsidR="00621E6A">
        <w:rPr>
          <w:lang w:val="en-US"/>
        </w:rPr>
        <w:t xml:space="preserve">any </w:t>
      </w:r>
      <w:r w:rsidR="000E3BDE">
        <w:rPr>
          <w:lang w:val="en-US"/>
        </w:rPr>
        <w:t xml:space="preserve">dismissal </w:t>
      </w:r>
      <w:r w:rsidR="00806507">
        <w:rPr>
          <w:lang w:val="en-US"/>
        </w:rPr>
        <w:t xml:space="preserve">authorizations </w:t>
      </w:r>
      <w:r w:rsidR="0066752B">
        <w:rPr>
          <w:lang w:val="en-US"/>
        </w:rPr>
        <w:t xml:space="preserve">that are submitted to it, </w:t>
      </w:r>
      <w:r w:rsidR="00BB5133">
        <w:rPr>
          <w:lang w:val="en-US"/>
        </w:rPr>
        <w:t xml:space="preserve">inasmuch as to </w:t>
      </w:r>
      <w:r w:rsidR="00C350A1">
        <w:rPr>
          <w:lang w:val="en-US"/>
        </w:rPr>
        <w:t xml:space="preserve">fail </w:t>
      </w:r>
      <w:r w:rsidR="00414235">
        <w:rPr>
          <w:lang w:val="en-US"/>
        </w:rPr>
        <w:t>[</w:t>
      </w:r>
      <w:r w:rsidR="00C350A1">
        <w:rPr>
          <w:lang w:val="en-US"/>
        </w:rPr>
        <w:t>to fulfill</w:t>
      </w:r>
      <w:r w:rsidR="00414235">
        <w:rPr>
          <w:lang w:val="en-US"/>
        </w:rPr>
        <w:t>]</w:t>
      </w:r>
      <w:r w:rsidR="00C350A1">
        <w:rPr>
          <w:lang w:val="en-US"/>
        </w:rPr>
        <w:t xml:space="preserve"> </w:t>
      </w:r>
      <w:r w:rsidR="00BB5133">
        <w:rPr>
          <w:lang w:val="en-US"/>
        </w:rPr>
        <w:t xml:space="preserve">this duty </w:t>
      </w:r>
      <w:r w:rsidR="004A7CF8">
        <w:rPr>
          <w:lang w:val="en-US"/>
        </w:rPr>
        <w:t xml:space="preserve">renders the right to enhanced job security </w:t>
      </w:r>
      <w:r w:rsidR="00E04C96">
        <w:rPr>
          <w:lang w:val="en-US"/>
        </w:rPr>
        <w:t xml:space="preserve">meaningless </w:t>
      </w:r>
      <w:r w:rsidR="00272760">
        <w:rPr>
          <w:lang w:val="en-US"/>
        </w:rPr>
        <w:t xml:space="preserve">and </w:t>
      </w:r>
      <w:r w:rsidR="00125142">
        <w:rPr>
          <w:lang w:val="en-US"/>
        </w:rPr>
        <w:t xml:space="preserve">heightens </w:t>
      </w:r>
      <w:r w:rsidR="00272760">
        <w:rPr>
          <w:lang w:val="en-US"/>
        </w:rPr>
        <w:t xml:space="preserve">the </w:t>
      </w:r>
      <w:r w:rsidR="00AC4EDD">
        <w:rPr>
          <w:lang w:val="en-US"/>
        </w:rPr>
        <w:t xml:space="preserve">state of vulnerability in which workers with </w:t>
      </w:r>
      <w:r w:rsidR="00C42EF9">
        <w:rPr>
          <w:lang w:val="en-US"/>
        </w:rPr>
        <w:t xml:space="preserve">disabilities </w:t>
      </w:r>
      <w:r w:rsidR="00393088">
        <w:rPr>
          <w:lang w:val="en-US"/>
        </w:rPr>
        <w:t xml:space="preserve">find themselves. </w:t>
      </w:r>
      <w:r w:rsidR="007A057A">
        <w:rPr>
          <w:lang w:val="en-US"/>
        </w:rPr>
        <w:t>In short:</w:t>
      </w:r>
      <w:r w:rsidRPr="00771EED">
        <w:rPr>
          <w:lang w:val="en-US"/>
        </w:rPr>
        <w:t xml:space="preserve"> (i) </w:t>
      </w:r>
      <w:r w:rsidR="007A057A">
        <w:rPr>
          <w:lang w:val="en-US"/>
        </w:rPr>
        <w:t xml:space="preserve">the dismissal of a person </w:t>
      </w:r>
      <w:r w:rsidR="00F769D7">
        <w:rPr>
          <w:lang w:val="en-US"/>
        </w:rPr>
        <w:t>in a situation of</w:t>
      </w:r>
      <w:r w:rsidR="007A057A">
        <w:rPr>
          <w:lang w:val="en-US"/>
        </w:rPr>
        <w:t xml:space="preserve"> disability </w:t>
      </w:r>
      <w:r w:rsidR="00F769D7">
        <w:rPr>
          <w:lang w:val="en-US"/>
        </w:rPr>
        <w:t xml:space="preserve">is </w:t>
      </w:r>
      <w:r w:rsidR="00E2649B">
        <w:rPr>
          <w:lang w:val="en-US"/>
        </w:rPr>
        <w:t xml:space="preserve">inadmissible </w:t>
      </w:r>
      <w:r w:rsidR="00B95C0F">
        <w:rPr>
          <w:lang w:val="en-US"/>
        </w:rPr>
        <w:t>if there is no authorization from</w:t>
      </w:r>
      <w:r w:rsidR="00D02B9A">
        <w:rPr>
          <w:lang w:val="en-US"/>
        </w:rPr>
        <w:t xml:space="preserve"> the</w:t>
      </w:r>
      <w:r w:rsidR="00B95C0F">
        <w:rPr>
          <w:lang w:val="en-US"/>
        </w:rPr>
        <w:t xml:space="preserve"> Ministry of Labor</w:t>
      </w:r>
      <w:r w:rsidRPr="00771EED">
        <w:rPr>
          <w:lang w:val="en-US"/>
        </w:rPr>
        <w:t xml:space="preserve">, (ii) </w:t>
      </w:r>
      <w:r w:rsidR="00A02E1B">
        <w:rPr>
          <w:lang w:val="en-US"/>
        </w:rPr>
        <w:t xml:space="preserve">when the employer alleges </w:t>
      </w:r>
      <w:r w:rsidR="00446A79">
        <w:rPr>
          <w:lang w:val="en-US"/>
        </w:rPr>
        <w:t xml:space="preserve">a good cause, the Ministry should </w:t>
      </w:r>
      <w:r w:rsidR="006E4EC5">
        <w:rPr>
          <w:lang w:val="en-US"/>
        </w:rPr>
        <w:t xml:space="preserve">assess whether the alleged grounds </w:t>
      </w:r>
      <w:r w:rsidR="00937768">
        <w:rPr>
          <w:lang w:val="en-US"/>
        </w:rPr>
        <w:t>are</w:t>
      </w:r>
      <w:r w:rsidR="006E4EC5">
        <w:rPr>
          <w:lang w:val="en-US"/>
        </w:rPr>
        <w:t xml:space="preserve"> fair or not, in order to protect the worker </w:t>
      </w:r>
      <w:r w:rsidR="0091438C">
        <w:rPr>
          <w:lang w:val="en-US"/>
        </w:rPr>
        <w:t xml:space="preserve">who is in a situation of disability, and </w:t>
      </w:r>
      <w:r w:rsidRPr="00771EED">
        <w:rPr>
          <w:lang w:val="en-US"/>
        </w:rPr>
        <w:t xml:space="preserve">(iii) </w:t>
      </w:r>
      <w:r w:rsidR="00F325D4">
        <w:rPr>
          <w:lang w:val="en-US"/>
        </w:rPr>
        <w:t xml:space="preserve">even when </w:t>
      </w:r>
      <w:r w:rsidR="003C598C">
        <w:rPr>
          <w:lang w:val="en-US"/>
        </w:rPr>
        <w:t xml:space="preserve">compensation is recognized, dismissal without prior authorization is inadmissible. </w:t>
      </w:r>
    </w:p>
    <w:p w14:paraId="5FE216D0" w14:textId="77777777" w:rsidR="00272A82" w:rsidRPr="00771EED" w:rsidRDefault="00272A82" w:rsidP="00272A82">
      <w:pPr>
        <w:pStyle w:val="citas"/>
        <w:ind w:right="27"/>
        <w:rPr>
          <w:lang w:val="en-US"/>
        </w:rPr>
      </w:pPr>
    </w:p>
    <w:p w14:paraId="7F921B4D" w14:textId="77777777" w:rsidR="00272A82" w:rsidRPr="00771EED" w:rsidRDefault="00272A82" w:rsidP="00272A82">
      <w:pPr>
        <w:pStyle w:val="citas"/>
        <w:ind w:right="27"/>
        <w:rPr>
          <w:lang w:val="en-US"/>
        </w:rPr>
      </w:pPr>
      <w:r w:rsidRPr="00771EED">
        <w:rPr>
          <w:lang w:val="en-US"/>
        </w:rPr>
        <w:t xml:space="preserve">(…) </w:t>
      </w:r>
      <w:r w:rsidR="00695392">
        <w:rPr>
          <w:lang w:val="en-US"/>
        </w:rPr>
        <w:t xml:space="preserve">Similarly, legal precedents have indisputably </w:t>
      </w:r>
      <w:r w:rsidR="00731DCB">
        <w:rPr>
          <w:lang w:val="en-US"/>
        </w:rPr>
        <w:t xml:space="preserve">affirmed that persons with disabilities </w:t>
      </w:r>
      <w:r w:rsidR="001B0CFB">
        <w:rPr>
          <w:lang w:val="en-US"/>
        </w:rPr>
        <w:t>cannot be denied</w:t>
      </w:r>
      <w:r w:rsidR="00D92960">
        <w:rPr>
          <w:lang w:val="en-US"/>
        </w:rPr>
        <w:t xml:space="preserve">, </w:t>
      </w:r>
      <w:r w:rsidR="00B066D6">
        <w:rPr>
          <w:lang w:val="en-US"/>
        </w:rPr>
        <w:t>subjected to</w:t>
      </w:r>
      <w:r w:rsidR="00E939E8">
        <w:rPr>
          <w:lang w:val="en-US"/>
        </w:rPr>
        <w:t xml:space="preserve"> conditions or rest</w:t>
      </w:r>
      <w:r w:rsidR="00EC43F0">
        <w:rPr>
          <w:lang w:val="en-US"/>
        </w:rPr>
        <w:t>ri</w:t>
      </w:r>
      <w:r w:rsidR="00E939E8">
        <w:rPr>
          <w:lang w:val="en-US"/>
        </w:rPr>
        <w:t xml:space="preserve">ctions </w:t>
      </w:r>
      <w:r w:rsidR="00F652DB">
        <w:rPr>
          <w:lang w:val="en-US"/>
        </w:rPr>
        <w:t>on access to a job -either public or private – or</w:t>
      </w:r>
      <w:r w:rsidR="00AA67B0">
        <w:rPr>
          <w:lang w:val="en-US"/>
        </w:rPr>
        <w:t xml:space="preserve"> [denied]</w:t>
      </w:r>
      <w:r w:rsidR="00F652DB">
        <w:rPr>
          <w:lang w:val="en-US"/>
        </w:rPr>
        <w:t xml:space="preserve"> the obtention of a license to </w:t>
      </w:r>
      <w:r w:rsidR="00AA67B0">
        <w:rPr>
          <w:lang w:val="en-US"/>
        </w:rPr>
        <w:t>p</w:t>
      </w:r>
      <w:r w:rsidR="00406EB9">
        <w:rPr>
          <w:lang w:val="en-US"/>
        </w:rPr>
        <w:t>erform any position</w:t>
      </w:r>
      <w:r w:rsidR="009E31E4">
        <w:rPr>
          <w:lang w:val="en-US"/>
        </w:rPr>
        <w:t>, based on the respective disability, unless it is demonstrated that the function that is impaired or diminished</w:t>
      </w:r>
      <w:r w:rsidR="00A90300">
        <w:rPr>
          <w:lang w:val="en-US"/>
        </w:rPr>
        <w:t xml:space="preserve"> is indispensable for the es</w:t>
      </w:r>
      <w:r w:rsidR="00B11863">
        <w:rPr>
          <w:lang w:val="en-US"/>
        </w:rPr>
        <w:t xml:space="preserve">sential </w:t>
      </w:r>
      <w:r w:rsidR="0040705C">
        <w:rPr>
          <w:lang w:val="en-US"/>
        </w:rPr>
        <w:t xml:space="preserve">duties </w:t>
      </w:r>
      <w:r w:rsidR="006D6C9A">
        <w:rPr>
          <w:lang w:val="en-US"/>
        </w:rPr>
        <w:t xml:space="preserve">of the respective position or job. </w:t>
      </w:r>
    </w:p>
    <w:p w14:paraId="232E4ED6" w14:textId="77777777" w:rsidR="00272A82" w:rsidRPr="00771EED" w:rsidRDefault="00272A82" w:rsidP="00272A82">
      <w:pPr>
        <w:pStyle w:val="citas"/>
        <w:ind w:right="27"/>
        <w:rPr>
          <w:lang w:val="en-US"/>
        </w:rPr>
      </w:pPr>
    </w:p>
    <w:p w14:paraId="429336F1" w14:textId="77777777" w:rsidR="00272A82" w:rsidRPr="00771EED" w:rsidRDefault="00B9511A" w:rsidP="00272A82">
      <w:pPr>
        <w:pStyle w:val="citas"/>
        <w:ind w:right="27"/>
        <w:rPr>
          <w:lang w:val="en-US"/>
        </w:rPr>
      </w:pPr>
      <w:r>
        <w:rPr>
          <w:lang w:val="en-US"/>
        </w:rPr>
        <w:t>To that extent, a law or act</w:t>
      </w:r>
      <w:r w:rsidR="00B86197">
        <w:rPr>
          <w:lang w:val="en-US"/>
        </w:rPr>
        <w:t xml:space="preserve"> is unconstitutional if it</w:t>
      </w:r>
      <w:r>
        <w:rPr>
          <w:lang w:val="en-US"/>
        </w:rPr>
        <w:t xml:space="preserve"> impedes access to the respective position </w:t>
      </w:r>
      <w:r w:rsidR="007427FE">
        <w:rPr>
          <w:lang w:val="en-US"/>
        </w:rPr>
        <w:t>of persons</w:t>
      </w:r>
      <w:r>
        <w:rPr>
          <w:lang w:val="en-US"/>
        </w:rPr>
        <w:t xml:space="preserve"> </w:t>
      </w:r>
      <w:r w:rsidR="00272A82" w:rsidRPr="00771EED">
        <w:rPr>
          <w:lang w:val="en-US"/>
        </w:rPr>
        <w:t xml:space="preserve">(i) </w:t>
      </w:r>
      <w:r w:rsidR="002654D3">
        <w:rPr>
          <w:lang w:val="en-US"/>
        </w:rPr>
        <w:t xml:space="preserve">whose situation </w:t>
      </w:r>
      <w:r w:rsidR="005A0A7A">
        <w:rPr>
          <w:lang w:val="en-US"/>
        </w:rPr>
        <w:t xml:space="preserve">of disability is not proven to be incompatible </w:t>
      </w:r>
      <w:r w:rsidR="00F04361">
        <w:rPr>
          <w:lang w:val="en-US"/>
        </w:rPr>
        <w:t xml:space="preserve">with the essential duties to be performed; </w:t>
      </w:r>
      <w:r w:rsidR="00272A82" w:rsidRPr="00771EED">
        <w:rPr>
          <w:lang w:val="en-US"/>
        </w:rPr>
        <w:t xml:space="preserve">(ii) </w:t>
      </w:r>
      <w:r w:rsidR="00671777">
        <w:rPr>
          <w:lang w:val="en-US"/>
        </w:rPr>
        <w:t>who have disabilities [that are] incompatible with the accidental, accessory or delegable functi</w:t>
      </w:r>
      <w:r w:rsidR="006D1ABF">
        <w:rPr>
          <w:lang w:val="en-US"/>
        </w:rPr>
        <w:t>on</w:t>
      </w:r>
      <w:r w:rsidR="00671777">
        <w:rPr>
          <w:lang w:val="en-US"/>
        </w:rPr>
        <w:t xml:space="preserve">s of the position, but </w:t>
      </w:r>
      <w:r w:rsidR="001F1182">
        <w:rPr>
          <w:lang w:val="en-US"/>
        </w:rPr>
        <w:t xml:space="preserve">[are] compatible with </w:t>
      </w:r>
      <w:r w:rsidR="00577118">
        <w:rPr>
          <w:lang w:val="en-US"/>
        </w:rPr>
        <w:t xml:space="preserve">the essential functions; </w:t>
      </w:r>
      <w:r w:rsidR="00272A82" w:rsidRPr="00771EED">
        <w:rPr>
          <w:lang w:val="en-US"/>
        </w:rPr>
        <w:t xml:space="preserve">(iii) </w:t>
      </w:r>
      <w:r w:rsidR="000336D5">
        <w:rPr>
          <w:lang w:val="en-US"/>
        </w:rPr>
        <w:t xml:space="preserve">who could adequately perform </w:t>
      </w:r>
      <w:r w:rsidR="00041A9E">
        <w:rPr>
          <w:lang w:val="en-US"/>
        </w:rPr>
        <w:t xml:space="preserve">the duties of the respective position or job if reasonable labor accommodations were made. </w:t>
      </w:r>
    </w:p>
    <w:p w14:paraId="24AF952B" w14:textId="77777777" w:rsidR="00272A82" w:rsidRPr="00771EED" w:rsidRDefault="00272A82" w:rsidP="00272A82">
      <w:pPr>
        <w:pStyle w:val="citas"/>
        <w:ind w:right="27"/>
        <w:rPr>
          <w:lang w:val="en-US"/>
        </w:rPr>
      </w:pPr>
      <w:r w:rsidRPr="00771EED">
        <w:rPr>
          <w:lang w:val="en-US"/>
        </w:rPr>
        <w:t xml:space="preserve"> </w:t>
      </w:r>
    </w:p>
    <w:p w14:paraId="7EFA4F62" w14:textId="77777777" w:rsidR="00272A82" w:rsidRPr="00771EED" w:rsidRDefault="00272A82" w:rsidP="00272A82">
      <w:pPr>
        <w:pStyle w:val="citas"/>
        <w:ind w:right="27"/>
        <w:rPr>
          <w:lang w:val="en-US"/>
        </w:rPr>
      </w:pPr>
      <w:r w:rsidRPr="00771EED">
        <w:rPr>
          <w:lang w:val="en-US"/>
        </w:rPr>
        <w:t xml:space="preserve">(…) </w:t>
      </w:r>
      <w:r w:rsidR="003230B6">
        <w:rPr>
          <w:lang w:val="en-US"/>
        </w:rPr>
        <w:t xml:space="preserve">The burden of determining </w:t>
      </w:r>
      <w:r w:rsidR="00663384">
        <w:rPr>
          <w:lang w:val="en-US"/>
        </w:rPr>
        <w:t xml:space="preserve">whether the job is incompatible with the disease or condition of disability that is presented, cannot rest on the worker. </w:t>
      </w:r>
      <w:r w:rsidR="00057A4C">
        <w:rPr>
          <w:lang w:val="en-US"/>
        </w:rPr>
        <w:t xml:space="preserve">Therefore, it is fundamental that </w:t>
      </w:r>
      <w:r w:rsidR="00D332F7">
        <w:rPr>
          <w:lang w:val="en-US"/>
        </w:rPr>
        <w:t xml:space="preserve">in cases in which the company considers that the presence of any disease </w:t>
      </w:r>
      <w:r w:rsidR="00CD2D48">
        <w:rPr>
          <w:lang w:val="en-US"/>
        </w:rPr>
        <w:t>and/or sit</w:t>
      </w:r>
      <w:r w:rsidR="005A49FA">
        <w:rPr>
          <w:lang w:val="en-US"/>
        </w:rPr>
        <w:t>ua</w:t>
      </w:r>
      <w:r w:rsidR="00CD2D48">
        <w:rPr>
          <w:lang w:val="en-US"/>
        </w:rPr>
        <w:t xml:space="preserve">tion of disability </w:t>
      </w:r>
      <w:r w:rsidR="00BA4CE0">
        <w:rPr>
          <w:lang w:val="en-US"/>
        </w:rPr>
        <w:t xml:space="preserve">is incompatible </w:t>
      </w:r>
      <w:r w:rsidR="0089605C">
        <w:rPr>
          <w:lang w:val="en-US"/>
        </w:rPr>
        <w:t>with the position that is intended to be performed</w:t>
      </w:r>
      <w:r w:rsidR="005A49FA">
        <w:rPr>
          <w:lang w:val="en-US"/>
        </w:rPr>
        <w:t>, it must provide grounds and put this fact in writing</w:t>
      </w:r>
      <w:r w:rsidR="00AD79A2">
        <w:rPr>
          <w:lang w:val="en-US"/>
        </w:rPr>
        <w:t>, and likewise communicate it to the candidates</w:t>
      </w:r>
      <w:r w:rsidR="00924762">
        <w:rPr>
          <w:lang w:val="en-US"/>
        </w:rPr>
        <w:t xml:space="preserve">, who, in such conditions, immediately have the obligation to </w:t>
      </w:r>
      <w:r w:rsidR="009C1D48">
        <w:rPr>
          <w:lang w:val="en-US"/>
        </w:rPr>
        <w:t>assert whether or not they are in the circumstances described.</w:t>
      </w:r>
      <w:r w:rsidRPr="00771EED">
        <w:rPr>
          <w:rStyle w:val="FootnoteReference"/>
          <w:sz w:val="20"/>
          <w:szCs w:val="20"/>
          <w:lang w:val="en-US"/>
        </w:rPr>
        <w:footnoteReference w:id="53"/>
      </w:r>
    </w:p>
    <w:p w14:paraId="63C46EB7" w14:textId="77777777" w:rsidR="00272A82" w:rsidRPr="00771EED" w:rsidRDefault="00272A82" w:rsidP="00272A82">
      <w:pPr>
        <w:pStyle w:val="parrafos"/>
        <w:autoSpaceDE w:val="0"/>
        <w:autoSpaceDN w:val="0"/>
        <w:adjustRightInd w:val="0"/>
        <w:rPr>
          <w:rFonts w:ascii="Times New Roman" w:eastAsia="Times New Roman" w:hAnsi="Times New Roman"/>
        </w:rPr>
      </w:pPr>
    </w:p>
    <w:p w14:paraId="01D85619" w14:textId="77777777" w:rsidR="00272A82" w:rsidRPr="00771EED" w:rsidRDefault="007A2E66" w:rsidP="00272A82">
      <w:pPr>
        <w:pStyle w:val="parrafos"/>
        <w:numPr>
          <w:ilvl w:val="0"/>
          <w:numId w:val="106"/>
        </w:numPr>
        <w:tabs>
          <w:tab w:val="clear" w:pos="1440"/>
        </w:tabs>
        <w:autoSpaceDE w:val="0"/>
        <w:autoSpaceDN w:val="0"/>
        <w:adjustRightInd w:val="0"/>
        <w:ind w:left="0" w:firstLine="0"/>
        <w:rPr>
          <w:rFonts w:ascii="Times New Roman" w:eastAsia="Times New Roman" w:hAnsi="Times New Roman"/>
        </w:rPr>
      </w:pPr>
      <w:r>
        <w:t xml:space="preserve">For its part, the </w:t>
      </w:r>
      <w:r>
        <w:rPr>
          <w:i/>
          <w:iCs/>
        </w:rPr>
        <w:t xml:space="preserve">Supreme Court of Justice of the Nation of Mexico, </w:t>
      </w:r>
      <w:r>
        <w:t xml:space="preserve">in a case relating to the dismissal of a person </w:t>
      </w:r>
      <w:r w:rsidR="00E20E40">
        <w:t xml:space="preserve">because </w:t>
      </w:r>
      <w:r w:rsidR="004672D5">
        <w:t>s</w:t>
      </w:r>
      <w:r w:rsidR="00E20E40">
        <w:t xml:space="preserve">he </w:t>
      </w:r>
      <w:r>
        <w:t xml:space="preserve">was stricken with cancer, reasoned that:  </w:t>
      </w:r>
    </w:p>
    <w:p w14:paraId="636BBAF9" w14:textId="77777777" w:rsidR="00272A82" w:rsidRPr="00771EED" w:rsidRDefault="00272A82" w:rsidP="00272A82">
      <w:pPr>
        <w:tabs>
          <w:tab w:val="left" w:pos="360"/>
          <w:tab w:val="left" w:pos="720"/>
          <w:tab w:val="left" w:pos="1440"/>
        </w:tabs>
        <w:jc w:val="both"/>
        <w:rPr>
          <w:rFonts w:ascii="Cambria" w:hAnsi="Cambria"/>
          <w:sz w:val="20"/>
          <w:szCs w:val="20"/>
        </w:rPr>
      </w:pPr>
    </w:p>
    <w:p w14:paraId="36F0BDA6" w14:textId="77777777" w:rsidR="00272A82" w:rsidRPr="00771EED" w:rsidRDefault="00272A82" w:rsidP="00272A82">
      <w:pPr>
        <w:pStyle w:val="citas"/>
        <w:ind w:right="27"/>
        <w:rPr>
          <w:lang w:val="en-US"/>
        </w:rPr>
      </w:pPr>
      <w:r w:rsidRPr="00771EED">
        <w:rPr>
          <w:lang w:val="en-US"/>
        </w:rPr>
        <w:t xml:space="preserve">(…) </w:t>
      </w:r>
      <w:r w:rsidR="00E20E40">
        <w:rPr>
          <w:lang w:val="en-US"/>
        </w:rPr>
        <w:t xml:space="preserve">This Second Chamber finds that when </w:t>
      </w:r>
      <w:r w:rsidR="007C6A10">
        <w:rPr>
          <w:lang w:val="en-US"/>
        </w:rPr>
        <w:t xml:space="preserve">reasonable evidence exists </w:t>
      </w:r>
      <w:r w:rsidR="00394D17">
        <w:rPr>
          <w:lang w:val="en-US"/>
        </w:rPr>
        <w:t xml:space="preserve">in the </w:t>
      </w:r>
      <w:r w:rsidR="00394D17">
        <w:rPr>
          <w:i/>
          <w:iCs/>
          <w:lang w:val="en-US"/>
        </w:rPr>
        <w:t xml:space="preserve">amparo </w:t>
      </w:r>
      <w:r w:rsidR="00394D17">
        <w:rPr>
          <w:lang w:val="en-US"/>
        </w:rPr>
        <w:t xml:space="preserve">proceeding </w:t>
      </w:r>
      <w:r w:rsidRPr="00771EED">
        <w:rPr>
          <w:lang w:val="en-US"/>
        </w:rPr>
        <w:t>(</w:t>
      </w:r>
      <w:r w:rsidR="00F71E18">
        <w:rPr>
          <w:lang w:val="en-US"/>
        </w:rPr>
        <w:t xml:space="preserve">by way of example, suffering from cancer and being </w:t>
      </w:r>
      <w:r w:rsidR="00B6774D">
        <w:rPr>
          <w:lang w:val="en-US"/>
        </w:rPr>
        <w:t xml:space="preserve">removed from </w:t>
      </w:r>
      <w:r w:rsidR="0014029B">
        <w:rPr>
          <w:lang w:val="en-US"/>
        </w:rPr>
        <w:t>her</w:t>
      </w:r>
      <w:r w:rsidR="00B6774D">
        <w:rPr>
          <w:lang w:val="en-US"/>
        </w:rPr>
        <w:t xml:space="preserve"> job) to consider that </w:t>
      </w:r>
      <w:r w:rsidR="00CA3B38">
        <w:rPr>
          <w:lang w:val="en-US"/>
        </w:rPr>
        <w:t>the work</w:t>
      </w:r>
      <w:r w:rsidR="00E526E5">
        <w:rPr>
          <w:lang w:val="en-US"/>
        </w:rPr>
        <w:t>er</w:t>
      </w:r>
      <w:r w:rsidR="00CA3B38">
        <w:rPr>
          <w:lang w:val="en-US"/>
        </w:rPr>
        <w:t xml:space="preserve"> party is in a state of vulnerability, </w:t>
      </w:r>
      <w:r w:rsidR="004E3383">
        <w:rPr>
          <w:lang w:val="en-US"/>
        </w:rPr>
        <w:t xml:space="preserve">together with alleging a </w:t>
      </w:r>
      <w:r w:rsidR="004678D9">
        <w:rPr>
          <w:lang w:val="en-US"/>
        </w:rPr>
        <w:t xml:space="preserve">direct violation of Article 1 of the Magna Carta for discrimination, </w:t>
      </w:r>
      <w:r w:rsidR="00F34CD8">
        <w:rPr>
          <w:lang w:val="en-US"/>
        </w:rPr>
        <w:t xml:space="preserve">in ruling </w:t>
      </w:r>
      <w:r w:rsidR="006B5E5A">
        <w:rPr>
          <w:lang w:val="en-US"/>
        </w:rPr>
        <w:t xml:space="preserve">the judicial bodies </w:t>
      </w:r>
      <w:r w:rsidR="00F34CD8">
        <w:rPr>
          <w:lang w:val="en-US"/>
        </w:rPr>
        <w:t>must have heightened reasons</w:t>
      </w:r>
      <w:r w:rsidR="00E80022">
        <w:rPr>
          <w:lang w:val="en-US"/>
        </w:rPr>
        <w:t xml:space="preserve">, pursuant to paragraph </w:t>
      </w:r>
      <w:r w:rsidR="00813BBB">
        <w:rPr>
          <w:lang w:val="en-US"/>
        </w:rPr>
        <w:t xml:space="preserve">three of the aforementioned precept </w:t>
      </w:r>
      <w:r w:rsidRPr="00771EED">
        <w:rPr>
          <w:lang w:val="en-US"/>
        </w:rPr>
        <w:t xml:space="preserve">(…) </w:t>
      </w:r>
      <w:r w:rsidR="00DE4EB9">
        <w:rPr>
          <w:lang w:val="en-US"/>
        </w:rPr>
        <w:t>when the worker party</w:t>
      </w:r>
      <w:r w:rsidR="00FA6B6B">
        <w:rPr>
          <w:lang w:val="en-US"/>
        </w:rPr>
        <w:t xml:space="preserve"> claims that she has been</w:t>
      </w:r>
      <w:r w:rsidR="008E7878">
        <w:rPr>
          <w:lang w:val="en-US"/>
        </w:rPr>
        <w:t xml:space="preserve"> removed from her activities because of a situation of discrimination of those [that are] banned by the Constitution, the judicial bodies are obliged to review and closely heed the arguments </w:t>
      </w:r>
      <w:r w:rsidR="005171FE">
        <w:rPr>
          <w:lang w:val="en-US"/>
        </w:rPr>
        <w:t xml:space="preserve">that are asserted about this aspect, in order to disprove any possible </w:t>
      </w:r>
      <w:r w:rsidR="00617579">
        <w:rPr>
          <w:lang w:val="en-US"/>
        </w:rPr>
        <w:t xml:space="preserve">discriminatory </w:t>
      </w:r>
      <w:r w:rsidR="00AB2266">
        <w:rPr>
          <w:lang w:val="en-US"/>
        </w:rPr>
        <w:t>flaw.</w:t>
      </w:r>
    </w:p>
    <w:p w14:paraId="4CA855F5" w14:textId="77777777" w:rsidR="00272A82" w:rsidRPr="00771EED" w:rsidRDefault="00272A82" w:rsidP="00272A82">
      <w:pPr>
        <w:pStyle w:val="citas"/>
        <w:ind w:right="27"/>
        <w:rPr>
          <w:lang w:val="en-US"/>
        </w:rPr>
      </w:pPr>
    </w:p>
    <w:p w14:paraId="70F66ADF" w14:textId="77777777" w:rsidR="00272A82" w:rsidRPr="00771EED" w:rsidRDefault="00272A82" w:rsidP="00272A82">
      <w:pPr>
        <w:pStyle w:val="citas"/>
        <w:ind w:right="27"/>
        <w:rPr>
          <w:lang w:val="en-US"/>
        </w:rPr>
      </w:pPr>
      <w:r w:rsidRPr="00771EED">
        <w:rPr>
          <w:lang w:val="en-US"/>
        </w:rPr>
        <w:t xml:space="preserve">(…) </w:t>
      </w:r>
      <w:r w:rsidR="00D87515">
        <w:rPr>
          <w:lang w:val="en-US"/>
        </w:rPr>
        <w:t xml:space="preserve">some subjects have special protection of their job security, because of the </w:t>
      </w:r>
      <w:r w:rsidR="00AB71A7">
        <w:rPr>
          <w:lang w:val="en-US"/>
        </w:rPr>
        <w:t xml:space="preserve">manifest </w:t>
      </w:r>
      <w:r w:rsidR="00D87515">
        <w:rPr>
          <w:lang w:val="en-US"/>
        </w:rPr>
        <w:t xml:space="preserve">vulnerability </w:t>
      </w:r>
      <w:r w:rsidR="000619EB">
        <w:rPr>
          <w:lang w:val="en-US"/>
        </w:rPr>
        <w:t xml:space="preserve">in which they find themselves; therefore, it must be presumed </w:t>
      </w:r>
      <w:r w:rsidR="00660E80">
        <w:rPr>
          <w:lang w:val="en-US"/>
        </w:rPr>
        <w:t xml:space="preserve">that discrimination against a person with disability exists when he or she is dismissed without the </w:t>
      </w:r>
      <w:r w:rsidR="008958C6">
        <w:rPr>
          <w:lang w:val="en-US"/>
        </w:rPr>
        <w:t xml:space="preserve">employer party alleging a </w:t>
      </w:r>
      <w:r w:rsidR="009A24AD">
        <w:rPr>
          <w:lang w:val="en-US"/>
        </w:rPr>
        <w:t>fair cause</w:t>
      </w:r>
      <w:r w:rsidRPr="00771EED">
        <w:rPr>
          <w:lang w:val="en-US"/>
        </w:rPr>
        <w:t xml:space="preserve">. (…) </w:t>
      </w:r>
      <w:r w:rsidR="00BD13DB">
        <w:rPr>
          <w:lang w:val="en-US"/>
        </w:rPr>
        <w:t xml:space="preserve">Should a dismissal arise without good cause </w:t>
      </w:r>
      <w:r w:rsidR="00E7767D">
        <w:rPr>
          <w:lang w:val="en-US"/>
        </w:rPr>
        <w:t xml:space="preserve">the </w:t>
      </w:r>
      <w:r w:rsidR="004E6485">
        <w:rPr>
          <w:lang w:val="en-US"/>
        </w:rPr>
        <w:t xml:space="preserve">veiled reason of </w:t>
      </w:r>
      <w:r w:rsidR="00E7767D">
        <w:rPr>
          <w:lang w:val="en-US"/>
        </w:rPr>
        <w:t>which is</w:t>
      </w:r>
      <w:r w:rsidR="00661F44">
        <w:rPr>
          <w:lang w:val="en-US"/>
        </w:rPr>
        <w:t xml:space="preserve"> the conditions of manifest vulnerability, it constitutes a discriminatory act, because the lack of interest of the company to meet the particular </w:t>
      </w:r>
      <w:r w:rsidR="00F63C1B">
        <w:rPr>
          <w:lang w:val="en-US"/>
        </w:rPr>
        <w:t xml:space="preserve">health </w:t>
      </w:r>
      <w:r w:rsidR="00661F44">
        <w:rPr>
          <w:lang w:val="en-US"/>
        </w:rPr>
        <w:t>requirements</w:t>
      </w:r>
      <w:r w:rsidR="008C6403">
        <w:rPr>
          <w:lang w:val="en-US"/>
        </w:rPr>
        <w:t xml:space="preserve"> of the plaintiff</w:t>
      </w:r>
      <w:r w:rsidR="00341924">
        <w:rPr>
          <w:lang w:val="en-US"/>
        </w:rPr>
        <w:t xml:space="preserve">, despite </w:t>
      </w:r>
      <w:r w:rsidR="00096A51">
        <w:rPr>
          <w:lang w:val="en-US"/>
        </w:rPr>
        <w:t xml:space="preserve">being aware of her state lead this Second Chamber to the conclusion that the </w:t>
      </w:r>
      <w:r w:rsidR="0048149F">
        <w:rPr>
          <w:lang w:val="en-US"/>
        </w:rPr>
        <w:t xml:space="preserve">dismissal was carried out as a consequence of the company refusing </w:t>
      </w:r>
      <w:r w:rsidR="0063711C">
        <w:rPr>
          <w:lang w:val="en-US"/>
        </w:rPr>
        <w:t xml:space="preserve">to correctly assume the duty </w:t>
      </w:r>
      <w:r w:rsidR="00003B31">
        <w:rPr>
          <w:lang w:val="en-US"/>
        </w:rPr>
        <w:t xml:space="preserve">to relocate and train the plaintiff </w:t>
      </w:r>
      <w:r w:rsidR="000C69AE">
        <w:rPr>
          <w:lang w:val="en-US"/>
        </w:rPr>
        <w:t xml:space="preserve">in a job </w:t>
      </w:r>
      <w:r w:rsidR="002835AF">
        <w:rPr>
          <w:lang w:val="en-US"/>
        </w:rPr>
        <w:t xml:space="preserve">position </w:t>
      </w:r>
      <w:r w:rsidR="00E133B7">
        <w:rPr>
          <w:lang w:val="en-US"/>
        </w:rPr>
        <w:t xml:space="preserve">with suitable functions </w:t>
      </w:r>
      <w:r w:rsidR="002035F0">
        <w:rPr>
          <w:lang w:val="en-US"/>
        </w:rPr>
        <w:t xml:space="preserve">for her health condition and preferred to unilaterally terminate her contract, abusing a legal power to legitimize </w:t>
      </w:r>
      <w:r w:rsidR="002137DF">
        <w:rPr>
          <w:lang w:val="en-US"/>
        </w:rPr>
        <w:t xml:space="preserve">its </w:t>
      </w:r>
      <w:r w:rsidR="00337A64">
        <w:rPr>
          <w:lang w:val="en-US"/>
        </w:rPr>
        <w:t>negligent conduct.</w:t>
      </w:r>
      <w:r w:rsidRPr="00771EED">
        <w:rPr>
          <w:rStyle w:val="FootnoteReference"/>
          <w:sz w:val="20"/>
          <w:szCs w:val="20"/>
          <w:lang w:val="en-US"/>
        </w:rPr>
        <w:footnoteReference w:id="54"/>
      </w:r>
      <w:r w:rsidRPr="00771EED">
        <w:rPr>
          <w:lang w:val="en-US"/>
        </w:rPr>
        <w:t xml:space="preserve"> </w:t>
      </w:r>
    </w:p>
    <w:p w14:paraId="386EE92B" w14:textId="77777777" w:rsidR="00272A82" w:rsidRPr="00771EED" w:rsidRDefault="00272A82" w:rsidP="00272A82">
      <w:pPr>
        <w:pStyle w:val="citas"/>
        <w:ind w:right="27"/>
        <w:rPr>
          <w:lang w:val="en-US"/>
        </w:rPr>
      </w:pPr>
    </w:p>
    <w:p w14:paraId="11F3EFB7" w14:textId="77777777" w:rsidR="00272A82" w:rsidRPr="00771EED" w:rsidRDefault="009C0DC4" w:rsidP="00272A82">
      <w:pPr>
        <w:pStyle w:val="parrafos"/>
        <w:numPr>
          <w:ilvl w:val="0"/>
          <w:numId w:val="106"/>
        </w:numPr>
        <w:tabs>
          <w:tab w:val="clear" w:pos="1440"/>
        </w:tabs>
        <w:autoSpaceDE w:val="0"/>
        <w:autoSpaceDN w:val="0"/>
        <w:adjustRightInd w:val="0"/>
        <w:ind w:left="0" w:firstLine="0"/>
        <w:rPr>
          <w:rFonts w:ascii="Calibri" w:hAnsi="Calibri"/>
          <w:sz w:val="22"/>
          <w:szCs w:val="22"/>
        </w:rPr>
      </w:pPr>
      <w:r>
        <w:t xml:space="preserve">Similarly, the </w:t>
      </w:r>
      <w:r>
        <w:rPr>
          <w:i/>
          <w:iCs/>
        </w:rPr>
        <w:t xml:space="preserve">Constitutional Court of Ecuador, </w:t>
      </w:r>
      <w:r>
        <w:t>in a case relating to the termination of a</w:t>
      </w:r>
      <w:r w:rsidR="001628E5">
        <w:t xml:space="preserve"> contract for the </w:t>
      </w:r>
      <w:r w:rsidR="00AF5EA8">
        <w:t xml:space="preserve">temporary </w:t>
      </w:r>
      <w:r w:rsidR="00642CD9">
        <w:t xml:space="preserve">services </w:t>
      </w:r>
      <w:r w:rsidR="001628E5">
        <w:t>a person with disability provided</w:t>
      </w:r>
      <w:r w:rsidR="0054521E">
        <w:t xml:space="preserve"> to a public entity, it noted that: </w:t>
      </w:r>
    </w:p>
    <w:p w14:paraId="563FF1D5" w14:textId="77777777" w:rsidR="00272A82" w:rsidRPr="00771EED" w:rsidRDefault="00272A82" w:rsidP="00272A82">
      <w:pPr>
        <w:pStyle w:val="citas"/>
        <w:ind w:left="0" w:right="27"/>
        <w:rPr>
          <w:lang w:val="en-US"/>
        </w:rPr>
      </w:pPr>
    </w:p>
    <w:p w14:paraId="6E2D549D" w14:textId="77777777" w:rsidR="00272A82" w:rsidRPr="00771EED" w:rsidRDefault="00272A82" w:rsidP="00272A82">
      <w:pPr>
        <w:pStyle w:val="citas"/>
        <w:ind w:right="27"/>
        <w:rPr>
          <w:lang w:val="en-US"/>
        </w:rPr>
      </w:pPr>
      <w:r w:rsidRPr="00771EED">
        <w:rPr>
          <w:lang w:val="en-US"/>
        </w:rPr>
        <w:t xml:space="preserve">(…) </w:t>
      </w:r>
      <w:r w:rsidR="00854059">
        <w:rPr>
          <w:lang w:val="en-US"/>
        </w:rPr>
        <w:t xml:space="preserve">We note that in the instant case, it was not </w:t>
      </w:r>
      <w:r w:rsidR="001D2F49">
        <w:rPr>
          <w:lang w:val="en-US"/>
        </w:rPr>
        <w:t>proper for</w:t>
      </w:r>
      <w:r w:rsidR="00854059">
        <w:rPr>
          <w:lang w:val="en-US"/>
        </w:rPr>
        <w:t xml:space="preserve"> the Chamber to conduct a simple analysis of legality in relation to the law regulating public service at that time </w:t>
      </w:r>
      <w:r w:rsidR="00FC3FC0">
        <w:rPr>
          <w:lang w:val="en-US"/>
        </w:rPr>
        <w:t xml:space="preserve">and that which in fact provided for the possibility </w:t>
      </w:r>
      <w:r w:rsidR="00441C4F">
        <w:rPr>
          <w:lang w:val="en-US"/>
        </w:rPr>
        <w:t xml:space="preserve">to unilaterally terminate and </w:t>
      </w:r>
      <w:r w:rsidR="00341DDC">
        <w:rPr>
          <w:lang w:val="en-US"/>
        </w:rPr>
        <w:t xml:space="preserve">upon </w:t>
      </w:r>
      <w:r w:rsidR="00484BFE">
        <w:rPr>
          <w:lang w:val="en-US"/>
        </w:rPr>
        <w:t>its expiration</w:t>
      </w:r>
      <w:r w:rsidR="00F346AC">
        <w:rPr>
          <w:lang w:val="en-US"/>
        </w:rPr>
        <w:t xml:space="preserve"> the </w:t>
      </w:r>
      <w:r w:rsidR="008D3AAE">
        <w:rPr>
          <w:lang w:val="en-US"/>
        </w:rPr>
        <w:t xml:space="preserve">temporary </w:t>
      </w:r>
      <w:r w:rsidR="00F346AC">
        <w:rPr>
          <w:lang w:val="en-US"/>
        </w:rPr>
        <w:t xml:space="preserve">services contract, but [rather] it was necessary and </w:t>
      </w:r>
      <w:r w:rsidR="0024049C">
        <w:rPr>
          <w:lang w:val="en-US"/>
        </w:rPr>
        <w:t xml:space="preserve">our duty </w:t>
      </w:r>
      <w:r w:rsidR="00F346AC">
        <w:rPr>
          <w:lang w:val="en-US"/>
        </w:rPr>
        <w:t>to conduct a constitutional analysis</w:t>
      </w:r>
      <w:r w:rsidR="00531546">
        <w:rPr>
          <w:lang w:val="en-US"/>
        </w:rPr>
        <w:t xml:space="preserve">, in the context of the situation </w:t>
      </w:r>
      <w:r w:rsidR="00A0117B">
        <w:rPr>
          <w:lang w:val="en-US"/>
        </w:rPr>
        <w:t>of disability</w:t>
      </w:r>
      <w:r w:rsidR="00D501A7">
        <w:rPr>
          <w:lang w:val="en-US"/>
        </w:rPr>
        <w:t xml:space="preserve"> of the plaintiff as a member of </w:t>
      </w:r>
      <w:r w:rsidR="0014293B">
        <w:rPr>
          <w:lang w:val="en-US"/>
        </w:rPr>
        <w:t>a priority attention group</w:t>
      </w:r>
      <w:r w:rsidR="00EA2ECB">
        <w:rPr>
          <w:lang w:val="en-US"/>
        </w:rPr>
        <w:t xml:space="preserve">. </w:t>
      </w:r>
      <w:r w:rsidR="00E832F6">
        <w:rPr>
          <w:lang w:val="en-US"/>
        </w:rPr>
        <w:t>For this reason, it was necessary to examine the situation from the very moment of hiring, the instruments used for it, the functio</w:t>
      </w:r>
      <w:r w:rsidR="00BC6090">
        <w:rPr>
          <w:lang w:val="en-US"/>
        </w:rPr>
        <w:t xml:space="preserve">n for which she was hired, how the decision to terminate </w:t>
      </w:r>
      <w:r w:rsidR="001B5CD6">
        <w:rPr>
          <w:lang w:val="en-US"/>
        </w:rPr>
        <w:t xml:space="preserve">her contract could affect her, in short, </w:t>
      </w:r>
      <w:r w:rsidR="00713640">
        <w:rPr>
          <w:lang w:val="en-US"/>
        </w:rPr>
        <w:t xml:space="preserve">to </w:t>
      </w:r>
      <w:r w:rsidR="001B5CD6">
        <w:rPr>
          <w:lang w:val="en-US"/>
        </w:rPr>
        <w:t xml:space="preserve">review </w:t>
      </w:r>
      <w:r w:rsidR="00E30075">
        <w:rPr>
          <w:lang w:val="en-US"/>
        </w:rPr>
        <w:t xml:space="preserve">whether </w:t>
      </w:r>
      <w:r w:rsidR="0022344C">
        <w:rPr>
          <w:lang w:val="en-US"/>
        </w:rPr>
        <w:t xml:space="preserve">the entity </w:t>
      </w:r>
      <w:r w:rsidR="00C32840">
        <w:rPr>
          <w:lang w:val="en-US"/>
        </w:rPr>
        <w:t xml:space="preserve">did or did not guarantee </w:t>
      </w:r>
      <w:r w:rsidR="00BA783B">
        <w:rPr>
          <w:lang w:val="en-US"/>
        </w:rPr>
        <w:t>her rights and her dignity</w:t>
      </w:r>
      <w:r w:rsidR="006D74A8">
        <w:rPr>
          <w:lang w:val="en-US"/>
        </w:rPr>
        <w:t xml:space="preserve">; additionally, it had to consider </w:t>
      </w:r>
      <w:r w:rsidR="00722EB9">
        <w:rPr>
          <w:lang w:val="en-US"/>
        </w:rPr>
        <w:t xml:space="preserve">as a whole </w:t>
      </w:r>
      <w:r w:rsidR="006D74A8">
        <w:rPr>
          <w:lang w:val="en-US"/>
        </w:rPr>
        <w:t>all of the instruments</w:t>
      </w:r>
      <w:r w:rsidR="004A29CC">
        <w:rPr>
          <w:lang w:val="en-US"/>
        </w:rPr>
        <w:t xml:space="preserve"> that regulated the subject matter </w:t>
      </w:r>
      <w:r w:rsidR="002561B5">
        <w:rPr>
          <w:lang w:val="en-US"/>
        </w:rPr>
        <w:t xml:space="preserve">and that have been enacted </w:t>
      </w:r>
      <w:r w:rsidR="00663966">
        <w:rPr>
          <w:lang w:val="en-US"/>
        </w:rPr>
        <w:t xml:space="preserve">precisely to </w:t>
      </w:r>
      <w:r w:rsidR="004F40F5">
        <w:rPr>
          <w:lang w:val="en-US"/>
        </w:rPr>
        <w:t xml:space="preserve">provide this group of citizens with priority attention </w:t>
      </w:r>
      <w:r w:rsidR="0019326D">
        <w:rPr>
          <w:lang w:val="en-US"/>
        </w:rPr>
        <w:t>and special protection</w:t>
      </w:r>
      <w:r w:rsidR="00703706">
        <w:rPr>
          <w:lang w:val="en-US"/>
        </w:rPr>
        <w:t xml:space="preserve">, in order to ensure for them true equality </w:t>
      </w:r>
      <w:r w:rsidR="00E14A89">
        <w:rPr>
          <w:lang w:val="en-US"/>
        </w:rPr>
        <w:t>on the job</w:t>
      </w:r>
      <w:r w:rsidR="00642C7E">
        <w:rPr>
          <w:lang w:val="en-US"/>
        </w:rPr>
        <w:t xml:space="preserve">, as was correctly determined </w:t>
      </w:r>
      <w:r w:rsidR="00CF271E">
        <w:rPr>
          <w:lang w:val="en-US"/>
        </w:rPr>
        <w:t xml:space="preserve">at the trial court level </w:t>
      </w:r>
      <w:r w:rsidR="006B48FA">
        <w:rPr>
          <w:lang w:val="en-US"/>
        </w:rPr>
        <w:t xml:space="preserve">by the First Court of Criminal Guarantees of Santo Domingo de los Tsáchilas. </w:t>
      </w:r>
      <w:r w:rsidR="006D74A8">
        <w:rPr>
          <w:lang w:val="en-US"/>
        </w:rPr>
        <w:t xml:space="preserve"> </w:t>
      </w:r>
      <w:r w:rsidR="00B408B1">
        <w:rPr>
          <w:lang w:val="en-US"/>
        </w:rPr>
        <w:t xml:space="preserve">Not considering these parameters and </w:t>
      </w:r>
      <w:r w:rsidR="00FC77DD">
        <w:rPr>
          <w:lang w:val="en-US"/>
        </w:rPr>
        <w:t>aforementioned domestic and international</w:t>
      </w:r>
      <w:r w:rsidR="00C80F54">
        <w:rPr>
          <w:lang w:val="en-US"/>
        </w:rPr>
        <w:t xml:space="preserve"> normative provisions</w:t>
      </w:r>
      <w:r w:rsidR="00490C58">
        <w:rPr>
          <w:lang w:val="en-US"/>
        </w:rPr>
        <w:t xml:space="preserve">, clearly </w:t>
      </w:r>
      <w:r w:rsidR="00C764D9">
        <w:rPr>
          <w:lang w:val="en-US"/>
        </w:rPr>
        <w:t xml:space="preserve">had a bearing on the Chamber using </w:t>
      </w:r>
      <w:r w:rsidR="005D3645">
        <w:rPr>
          <w:lang w:val="en-US"/>
        </w:rPr>
        <w:t xml:space="preserve">a false premise </w:t>
      </w:r>
      <w:r w:rsidR="00C764D9">
        <w:rPr>
          <w:lang w:val="en-US"/>
        </w:rPr>
        <w:t xml:space="preserve">as </w:t>
      </w:r>
      <w:r w:rsidR="00EF035E">
        <w:rPr>
          <w:lang w:val="en-US"/>
        </w:rPr>
        <w:t>its</w:t>
      </w:r>
      <w:r w:rsidR="00C764D9">
        <w:rPr>
          <w:lang w:val="en-US"/>
        </w:rPr>
        <w:t xml:space="preserve"> point of departure </w:t>
      </w:r>
      <w:r w:rsidR="00147DFA">
        <w:rPr>
          <w:lang w:val="en-US"/>
        </w:rPr>
        <w:t xml:space="preserve">- that workers with disabilities </w:t>
      </w:r>
      <w:r w:rsidR="00344216">
        <w:rPr>
          <w:lang w:val="en-US"/>
        </w:rPr>
        <w:t xml:space="preserve">work in the same conditions </w:t>
      </w:r>
      <w:r w:rsidR="005D3645">
        <w:rPr>
          <w:lang w:val="en-US"/>
        </w:rPr>
        <w:t>as other workers that are not in a situation of</w:t>
      </w:r>
      <w:r w:rsidR="00C022FC">
        <w:rPr>
          <w:lang w:val="en-US"/>
        </w:rPr>
        <w:t xml:space="preserve"> vulnerability</w:t>
      </w:r>
      <w:r w:rsidR="00147239">
        <w:rPr>
          <w:lang w:val="en-US"/>
        </w:rPr>
        <w:t xml:space="preserve">- which meant that obviously mistaken conclusions would be reached, such as the decision that </w:t>
      </w:r>
      <w:r w:rsidR="00AD59FA">
        <w:rPr>
          <w:lang w:val="en-US"/>
        </w:rPr>
        <w:t>no constitutional rights were violated</w:t>
      </w:r>
      <w:r w:rsidR="00A374C7">
        <w:rPr>
          <w:lang w:val="en-US"/>
        </w:rPr>
        <w:t xml:space="preserve"> and that consequently the </w:t>
      </w:r>
      <w:r w:rsidR="00961D48">
        <w:rPr>
          <w:lang w:val="en-US"/>
        </w:rPr>
        <w:t>action for protection was inadmissible</w:t>
      </w:r>
      <w:r w:rsidR="00BE054E">
        <w:rPr>
          <w:lang w:val="en-US"/>
        </w:rPr>
        <w:t xml:space="preserve">; a decision that from all standpoints </w:t>
      </w:r>
      <w:r w:rsidR="00886064">
        <w:rPr>
          <w:lang w:val="en-US"/>
        </w:rPr>
        <w:t xml:space="preserve">has placed the plaintiff in an evident situation of vulnerability. </w:t>
      </w:r>
      <w:r w:rsidR="00C022FC">
        <w:rPr>
          <w:lang w:val="en-US"/>
        </w:rPr>
        <w:t xml:space="preserve"> </w:t>
      </w:r>
    </w:p>
    <w:p w14:paraId="5C13FBE0" w14:textId="77777777" w:rsidR="00272A82" w:rsidRPr="00771EED" w:rsidRDefault="00272A82" w:rsidP="00272A82">
      <w:pPr>
        <w:pStyle w:val="citas"/>
        <w:ind w:left="0" w:right="27"/>
        <w:rPr>
          <w:lang w:val="en-US"/>
        </w:rPr>
      </w:pPr>
    </w:p>
    <w:p w14:paraId="05B2AF7F" w14:textId="77777777" w:rsidR="00272A82" w:rsidRPr="00771EED" w:rsidRDefault="00272A82" w:rsidP="00272A82">
      <w:pPr>
        <w:pStyle w:val="citas"/>
        <w:ind w:right="27"/>
        <w:rPr>
          <w:lang w:val="en-US"/>
        </w:rPr>
      </w:pPr>
      <w:r w:rsidRPr="00771EED">
        <w:rPr>
          <w:lang w:val="en-US"/>
        </w:rPr>
        <w:t>(…)</w:t>
      </w:r>
      <w:r w:rsidR="002E7643">
        <w:rPr>
          <w:lang w:val="en-US"/>
        </w:rPr>
        <w:t xml:space="preserve"> In the </w:t>
      </w:r>
      <w:r w:rsidR="004F17F7">
        <w:rPr>
          <w:lang w:val="en-US"/>
        </w:rPr>
        <w:t xml:space="preserve">context </w:t>
      </w:r>
      <w:r w:rsidR="002E7643">
        <w:rPr>
          <w:lang w:val="en-US"/>
        </w:rPr>
        <w:t xml:space="preserve">of the aforementioned constitutional and statutory </w:t>
      </w:r>
      <w:r w:rsidR="00433A61">
        <w:rPr>
          <w:lang w:val="en-US"/>
        </w:rPr>
        <w:t xml:space="preserve">provisions, it is necessary </w:t>
      </w:r>
      <w:r w:rsidR="00D2638B">
        <w:rPr>
          <w:lang w:val="en-US"/>
        </w:rPr>
        <w:t>to</w:t>
      </w:r>
      <w:r w:rsidR="008A1A26">
        <w:rPr>
          <w:lang w:val="en-US"/>
        </w:rPr>
        <w:t xml:space="preserve"> affirm that, in the case at hand, even though the plaintiff </w:t>
      </w:r>
      <w:r w:rsidR="00C677CF">
        <w:rPr>
          <w:lang w:val="en-US"/>
        </w:rPr>
        <w:t xml:space="preserve">entered into a contract to provide </w:t>
      </w:r>
      <w:r w:rsidR="00BC652C">
        <w:rPr>
          <w:lang w:val="en-US"/>
        </w:rPr>
        <w:t xml:space="preserve">temporary </w:t>
      </w:r>
      <w:r w:rsidR="00C677CF">
        <w:rPr>
          <w:lang w:val="en-US"/>
        </w:rPr>
        <w:t xml:space="preserve">services </w:t>
      </w:r>
      <w:r w:rsidR="00BE0324">
        <w:rPr>
          <w:lang w:val="en-US"/>
        </w:rPr>
        <w:t>that</w:t>
      </w:r>
      <w:r w:rsidR="00384895">
        <w:rPr>
          <w:lang w:val="en-US"/>
        </w:rPr>
        <w:t xml:space="preserve"> had a defined </w:t>
      </w:r>
      <w:r w:rsidR="00DB1576">
        <w:rPr>
          <w:lang w:val="en-US"/>
        </w:rPr>
        <w:t>duration of time, when it was proven that it involved a person with 50% disability</w:t>
      </w:r>
      <w:r w:rsidR="00AA7049">
        <w:rPr>
          <w:lang w:val="en-US"/>
        </w:rPr>
        <w:t>, it should have been considered</w:t>
      </w:r>
      <w:r w:rsidR="004A610E">
        <w:rPr>
          <w:lang w:val="en-US"/>
        </w:rPr>
        <w:t xml:space="preserve">, under the framework of the guarantee </w:t>
      </w:r>
      <w:r w:rsidR="00826D96">
        <w:rPr>
          <w:lang w:val="en-US"/>
        </w:rPr>
        <w:t>of the right to equality in its material dimension</w:t>
      </w:r>
      <w:r w:rsidR="00A57DDE">
        <w:rPr>
          <w:lang w:val="en-US"/>
        </w:rPr>
        <w:t xml:space="preserve">, the situation of disability and special vulnerability </w:t>
      </w:r>
      <w:r w:rsidR="009F135D">
        <w:rPr>
          <w:lang w:val="en-US"/>
        </w:rPr>
        <w:t>of the plaintiff</w:t>
      </w:r>
      <w:r w:rsidR="00D048B2">
        <w:rPr>
          <w:lang w:val="en-US"/>
        </w:rPr>
        <w:t>, and because of such a condition</w:t>
      </w:r>
      <w:r w:rsidR="00B060F6">
        <w:rPr>
          <w:lang w:val="en-US"/>
        </w:rPr>
        <w:t xml:space="preserve"> she should have been ensured </w:t>
      </w:r>
      <w:r w:rsidR="0045543D">
        <w:rPr>
          <w:lang w:val="en-US"/>
        </w:rPr>
        <w:t xml:space="preserve">different treatment from the rest of the people who </w:t>
      </w:r>
      <w:r w:rsidR="00766894">
        <w:rPr>
          <w:lang w:val="en-US"/>
        </w:rPr>
        <w:t xml:space="preserve">sign </w:t>
      </w:r>
      <w:r w:rsidR="0045543D">
        <w:rPr>
          <w:lang w:val="en-US"/>
        </w:rPr>
        <w:t>this type of instrument, in order to guarantee respect for her constitutional rights</w:t>
      </w:r>
      <w:r w:rsidR="00D20B60">
        <w:rPr>
          <w:lang w:val="en-US"/>
        </w:rPr>
        <w:t xml:space="preserve">, an aspect </w:t>
      </w:r>
      <w:r w:rsidR="00B53E17">
        <w:rPr>
          <w:lang w:val="en-US"/>
        </w:rPr>
        <w:t>that</w:t>
      </w:r>
      <w:r w:rsidR="00D20B60">
        <w:rPr>
          <w:lang w:val="en-US"/>
        </w:rPr>
        <w:t xml:space="preserve"> was not considered</w:t>
      </w:r>
      <w:r w:rsidR="00382833">
        <w:rPr>
          <w:lang w:val="en-US"/>
        </w:rPr>
        <w:t xml:space="preserve"> by the Single Chamber of the Provincial Court of Justice of Santo Domingo de los Tsáchilas, thus violating the right to material equality of the plaintiff.</w:t>
      </w:r>
    </w:p>
    <w:p w14:paraId="33035CED" w14:textId="77777777" w:rsidR="00272A82" w:rsidRPr="00771EED" w:rsidRDefault="00272A82" w:rsidP="00272A82">
      <w:pPr>
        <w:pStyle w:val="citas"/>
        <w:ind w:left="0" w:right="27"/>
        <w:rPr>
          <w:lang w:val="en-US"/>
        </w:rPr>
      </w:pPr>
    </w:p>
    <w:p w14:paraId="2310B602" w14:textId="77777777" w:rsidR="00272A82" w:rsidRPr="00771EED" w:rsidRDefault="00272A82" w:rsidP="00272A82">
      <w:pPr>
        <w:pStyle w:val="citas"/>
        <w:ind w:right="27"/>
        <w:rPr>
          <w:lang w:val="en-US"/>
        </w:rPr>
      </w:pPr>
      <w:r w:rsidRPr="00771EED">
        <w:rPr>
          <w:lang w:val="en-US"/>
        </w:rPr>
        <w:t xml:space="preserve">(…) </w:t>
      </w:r>
      <w:r w:rsidR="00E03299">
        <w:rPr>
          <w:lang w:val="en-US"/>
        </w:rPr>
        <w:t xml:space="preserve">This Court holds that, </w:t>
      </w:r>
      <w:r w:rsidR="00C061D8">
        <w:rPr>
          <w:lang w:val="en-US"/>
        </w:rPr>
        <w:t xml:space="preserve">given </w:t>
      </w:r>
      <w:r w:rsidR="00E03299">
        <w:rPr>
          <w:lang w:val="en-US"/>
        </w:rPr>
        <w:t xml:space="preserve">the heightened protection </w:t>
      </w:r>
      <w:r w:rsidR="00C061D8">
        <w:rPr>
          <w:lang w:val="en-US"/>
        </w:rPr>
        <w:t>that</w:t>
      </w:r>
      <w:r w:rsidR="000D281C">
        <w:rPr>
          <w:lang w:val="en-US"/>
        </w:rPr>
        <w:t xml:space="preserve"> in the interest of ensuring effective protection of their rights</w:t>
      </w:r>
      <w:r w:rsidR="00D50861">
        <w:rPr>
          <w:lang w:val="en-US"/>
        </w:rPr>
        <w:t>,</w:t>
      </w:r>
      <w:r w:rsidR="00EF6DFC" w:rsidRPr="00EF6DFC">
        <w:rPr>
          <w:lang w:val="en-US"/>
        </w:rPr>
        <w:t xml:space="preserve"> </w:t>
      </w:r>
      <w:r w:rsidR="00EF6DFC">
        <w:rPr>
          <w:lang w:val="en-US"/>
        </w:rPr>
        <w:t>persons with disability</w:t>
      </w:r>
      <w:r w:rsidR="000D281C">
        <w:rPr>
          <w:lang w:val="en-US"/>
        </w:rPr>
        <w:t xml:space="preserve"> must </w:t>
      </w:r>
      <w:r w:rsidR="00256330">
        <w:rPr>
          <w:lang w:val="en-US"/>
        </w:rPr>
        <w:t xml:space="preserve">have </w:t>
      </w:r>
      <w:r w:rsidR="00B72AB2">
        <w:rPr>
          <w:lang w:val="en-US"/>
        </w:rPr>
        <w:t xml:space="preserve">greater possibilities </w:t>
      </w:r>
      <w:r w:rsidR="00796F7D">
        <w:rPr>
          <w:lang w:val="en-US"/>
        </w:rPr>
        <w:t xml:space="preserve">of access </w:t>
      </w:r>
      <w:r w:rsidR="00313FA0">
        <w:rPr>
          <w:lang w:val="en-US"/>
        </w:rPr>
        <w:t xml:space="preserve">and hiring </w:t>
      </w:r>
      <w:r w:rsidR="00D77D43">
        <w:rPr>
          <w:lang w:val="en-US"/>
        </w:rPr>
        <w:t>in the public sector, therefore, every public institution</w:t>
      </w:r>
      <w:r w:rsidR="00ED01A4">
        <w:rPr>
          <w:lang w:val="en-US"/>
        </w:rPr>
        <w:t xml:space="preserve">, when selecting its personnel, should prioritize the hiring of persons who belong to this priority group, through </w:t>
      </w:r>
      <w:r w:rsidR="00E568BB">
        <w:rPr>
          <w:lang w:val="en-US"/>
        </w:rPr>
        <w:t xml:space="preserve">arrangements that provide stability. </w:t>
      </w:r>
      <w:r w:rsidR="004A13AB">
        <w:rPr>
          <w:lang w:val="en-US"/>
        </w:rPr>
        <w:t xml:space="preserve">Furthermore, in those cases in which public entities have not hired persons deemed </w:t>
      </w:r>
      <w:r w:rsidR="0014321B">
        <w:rPr>
          <w:lang w:val="en-US"/>
        </w:rPr>
        <w:t xml:space="preserve">as disabled through arrangements that provide stability, as is established by the normative provisions examined </w:t>
      </w:r>
      <w:r w:rsidR="00186D08">
        <w:rPr>
          <w:lang w:val="en-US"/>
        </w:rPr>
        <w:t xml:space="preserve">throughout this judgment and have, on the contrary, resorted to </w:t>
      </w:r>
      <w:r w:rsidR="006B7EEB">
        <w:rPr>
          <w:lang w:val="en-US"/>
        </w:rPr>
        <w:t xml:space="preserve">temporary </w:t>
      </w:r>
      <w:r w:rsidR="00186D08">
        <w:rPr>
          <w:lang w:val="en-US"/>
        </w:rPr>
        <w:t>contracts, the way to</w:t>
      </w:r>
      <w:r w:rsidR="00291372">
        <w:rPr>
          <w:lang w:val="en-US"/>
        </w:rPr>
        <w:t xml:space="preserve"> </w:t>
      </w:r>
      <w:r w:rsidR="0003048D">
        <w:rPr>
          <w:lang w:val="en-US"/>
        </w:rPr>
        <w:t>make their labor rights equal and to provide material equality</w:t>
      </w:r>
      <w:r w:rsidR="00793AFD">
        <w:rPr>
          <w:lang w:val="en-US"/>
        </w:rPr>
        <w:t xml:space="preserve"> to them, is by establishing </w:t>
      </w:r>
      <w:r w:rsidR="00B34C55">
        <w:rPr>
          <w:lang w:val="en-US"/>
        </w:rPr>
        <w:t>legal provisions that afford them special protection.</w:t>
      </w:r>
      <w:r w:rsidRPr="00771EED">
        <w:rPr>
          <w:rStyle w:val="FootnoteReference"/>
          <w:sz w:val="16"/>
          <w:szCs w:val="16"/>
          <w:lang w:val="en-US"/>
        </w:rPr>
        <w:footnoteReference w:id="55"/>
      </w:r>
    </w:p>
    <w:p w14:paraId="53233042" w14:textId="77777777" w:rsidR="00272A82" w:rsidRPr="00F568F9" w:rsidRDefault="002F1C24" w:rsidP="00272A82">
      <w:pPr>
        <w:pStyle w:val="Heading3"/>
        <w:keepLines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240" w:after="60" w:line="276" w:lineRule="auto"/>
        <w:ind w:hanging="720"/>
        <w:rPr>
          <w:b/>
          <w:color w:val="auto"/>
          <w:sz w:val="20"/>
          <w:szCs w:val="20"/>
        </w:rPr>
      </w:pPr>
      <w:bookmarkStart w:id="72" w:name="_Toc37678669"/>
      <w:bookmarkStart w:id="73" w:name="_Toc37681817"/>
      <w:bookmarkStart w:id="74" w:name="_Toc42239535"/>
      <w:r w:rsidRPr="00F568F9">
        <w:rPr>
          <w:b/>
          <w:color w:val="auto"/>
          <w:sz w:val="20"/>
          <w:szCs w:val="20"/>
        </w:rPr>
        <w:t xml:space="preserve">Analysis of the instant case </w:t>
      </w:r>
      <w:bookmarkEnd w:id="72"/>
      <w:bookmarkEnd w:id="73"/>
      <w:bookmarkEnd w:id="74"/>
    </w:p>
    <w:p w14:paraId="07FF4366" w14:textId="77777777" w:rsidR="00272A82" w:rsidRPr="00771EED" w:rsidRDefault="00272A82" w:rsidP="00272A82">
      <w:pPr>
        <w:pStyle w:val="parrafos"/>
        <w:autoSpaceDE w:val="0"/>
        <w:autoSpaceDN w:val="0"/>
        <w:adjustRightInd w:val="0"/>
        <w:rPr>
          <w:rFonts w:eastAsia="Batang"/>
          <w:color w:val="auto"/>
          <w:bdr w:val="none" w:sz="0" w:space="0" w:color="auto"/>
        </w:rPr>
      </w:pPr>
    </w:p>
    <w:p w14:paraId="66C9575A" w14:textId="77777777" w:rsidR="00272A82" w:rsidRPr="00771EED" w:rsidRDefault="0047789B" w:rsidP="00272A82">
      <w:pPr>
        <w:pStyle w:val="parrafos"/>
        <w:numPr>
          <w:ilvl w:val="0"/>
          <w:numId w:val="106"/>
        </w:numPr>
        <w:tabs>
          <w:tab w:val="clear" w:pos="1440"/>
        </w:tabs>
        <w:autoSpaceDE w:val="0"/>
        <w:autoSpaceDN w:val="0"/>
        <w:adjustRightInd w:val="0"/>
        <w:ind w:left="0" w:firstLine="0"/>
        <w:rPr>
          <w:rFonts w:eastAsia="Batang"/>
          <w:color w:val="auto"/>
          <w:bdr w:val="none" w:sz="0" w:space="0" w:color="auto"/>
        </w:rPr>
      </w:pPr>
      <w:r>
        <w:rPr>
          <w:rFonts w:eastAsia="Batang"/>
          <w:color w:val="auto"/>
          <w:bdr w:val="none" w:sz="0" w:space="0" w:color="auto"/>
        </w:rPr>
        <w:t>In the instant case, the Commission recalls that the alleged victim was appointed on an interim bas</w:t>
      </w:r>
      <w:r w:rsidR="00D50861">
        <w:rPr>
          <w:rFonts w:eastAsia="Batang"/>
          <w:color w:val="auto"/>
          <w:bdr w:val="none" w:sz="0" w:space="0" w:color="auto"/>
        </w:rPr>
        <w:t>i</w:t>
      </w:r>
      <w:r>
        <w:rPr>
          <w:rFonts w:eastAsia="Batang"/>
          <w:color w:val="auto"/>
          <w:bdr w:val="none" w:sz="0" w:space="0" w:color="auto"/>
        </w:rPr>
        <w:t xml:space="preserve">s at the Ministry of Finance, as a miscellaneous worker as of June 2001. </w:t>
      </w:r>
      <w:r w:rsidR="0057563D">
        <w:rPr>
          <w:rFonts w:eastAsia="Batang"/>
          <w:color w:val="auto"/>
          <w:bdr w:val="none" w:sz="0" w:space="0" w:color="auto"/>
        </w:rPr>
        <w:t xml:space="preserve">Subsequently he participated in a competitive selection process </w:t>
      </w:r>
      <w:r w:rsidR="00423265">
        <w:rPr>
          <w:rFonts w:eastAsia="Batang"/>
          <w:color w:val="auto"/>
          <w:bdr w:val="none" w:sz="0" w:space="0" w:color="auto"/>
        </w:rPr>
        <w:t>to hold the position on a permanent basis</w:t>
      </w:r>
      <w:r w:rsidR="004C6265">
        <w:rPr>
          <w:rFonts w:eastAsia="Batang"/>
          <w:color w:val="auto"/>
          <w:bdr w:val="none" w:sz="0" w:space="0" w:color="auto"/>
        </w:rPr>
        <w:t>, and on June 13, 2003, the Chief Office</w:t>
      </w:r>
      <w:r w:rsidR="00535EB3">
        <w:rPr>
          <w:rFonts w:eastAsia="Batang"/>
          <w:color w:val="auto"/>
          <w:bdr w:val="none" w:sz="0" w:space="0" w:color="auto"/>
        </w:rPr>
        <w:t>r</w:t>
      </w:r>
      <w:r w:rsidR="004C6265">
        <w:rPr>
          <w:rFonts w:eastAsia="Batang"/>
          <w:color w:val="auto"/>
          <w:bdr w:val="none" w:sz="0" w:space="0" w:color="auto"/>
        </w:rPr>
        <w:t xml:space="preserve"> and Administrative and Financial Director of the Ministry of Finance </w:t>
      </w:r>
      <w:r w:rsidR="009600B0">
        <w:rPr>
          <w:rFonts w:eastAsia="Batang"/>
          <w:color w:val="auto"/>
          <w:bdr w:val="none" w:sz="0" w:space="0" w:color="auto"/>
        </w:rPr>
        <w:t xml:space="preserve">advised him that he was not selected in the process he </w:t>
      </w:r>
      <w:r w:rsidR="00FA1213">
        <w:rPr>
          <w:rFonts w:eastAsia="Batang"/>
          <w:color w:val="auto"/>
          <w:bdr w:val="none" w:sz="0" w:space="0" w:color="auto"/>
        </w:rPr>
        <w:t xml:space="preserve">entered and, therefore, his </w:t>
      </w:r>
      <w:r w:rsidR="000C5B81">
        <w:rPr>
          <w:rFonts w:eastAsia="Batang"/>
          <w:color w:val="auto"/>
          <w:bdr w:val="none" w:sz="0" w:space="0" w:color="auto"/>
        </w:rPr>
        <w:t xml:space="preserve">interim </w:t>
      </w:r>
      <w:r w:rsidR="00805327">
        <w:rPr>
          <w:rFonts w:eastAsia="Batang"/>
          <w:color w:val="auto"/>
          <w:bdr w:val="none" w:sz="0" w:space="0" w:color="auto"/>
        </w:rPr>
        <w:t xml:space="preserve">position would terminate on June 16, 2003. </w:t>
      </w:r>
    </w:p>
    <w:p w14:paraId="5528F37B" w14:textId="77777777" w:rsidR="00272A82" w:rsidRPr="00771EED" w:rsidRDefault="00272A82" w:rsidP="00272A82">
      <w:pPr>
        <w:pStyle w:val="parrafos"/>
        <w:autoSpaceDE w:val="0"/>
        <w:autoSpaceDN w:val="0"/>
        <w:adjustRightInd w:val="0"/>
        <w:rPr>
          <w:rFonts w:eastAsia="Batang"/>
          <w:color w:val="auto"/>
          <w:bdr w:val="none" w:sz="0" w:space="0" w:color="auto"/>
        </w:rPr>
      </w:pPr>
    </w:p>
    <w:p w14:paraId="1F11A315" w14:textId="77777777" w:rsidR="00272A82" w:rsidRPr="00771EED" w:rsidRDefault="00423C0D" w:rsidP="00272A82">
      <w:pPr>
        <w:pStyle w:val="parrafos"/>
        <w:numPr>
          <w:ilvl w:val="0"/>
          <w:numId w:val="106"/>
        </w:numPr>
        <w:tabs>
          <w:tab w:val="clear" w:pos="1440"/>
        </w:tabs>
        <w:autoSpaceDE w:val="0"/>
        <w:autoSpaceDN w:val="0"/>
        <w:adjustRightInd w:val="0"/>
        <w:ind w:left="0" w:firstLine="0"/>
        <w:rPr>
          <w:rFonts w:eastAsia="Batang"/>
          <w:color w:val="auto"/>
          <w:bdr w:val="none" w:sz="0" w:space="0" w:color="auto"/>
        </w:rPr>
      </w:pPr>
      <w:r>
        <w:rPr>
          <w:rFonts w:eastAsia="Batang"/>
          <w:color w:val="auto"/>
          <w:bdr w:val="none" w:sz="0" w:space="0" w:color="auto"/>
        </w:rPr>
        <w:t xml:space="preserve">The alleged victim argues that the main reason for his not being </w:t>
      </w:r>
      <w:r w:rsidR="0006120A">
        <w:rPr>
          <w:rFonts w:eastAsia="Batang"/>
          <w:color w:val="auto"/>
          <w:bdr w:val="none" w:sz="0" w:space="0" w:color="auto"/>
        </w:rPr>
        <w:t xml:space="preserve">hired was the report of June 13, 2003 from the Ministry of Finance which recommended not hiring him because of “his </w:t>
      </w:r>
      <w:r w:rsidR="003954ED">
        <w:rPr>
          <w:rFonts w:eastAsia="Batang"/>
          <w:color w:val="auto"/>
          <w:bdr w:val="none" w:sz="0" w:space="0" w:color="auto"/>
        </w:rPr>
        <w:t xml:space="preserve">problems of retardation and emotional blockage.” </w:t>
      </w:r>
      <w:r w:rsidR="008C0C65">
        <w:rPr>
          <w:rFonts w:eastAsia="Batang"/>
          <w:color w:val="auto"/>
          <w:bdr w:val="none" w:sz="0" w:space="0" w:color="auto"/>
        </w:rPr>
        <w:t xml:space="preserve"> The State, in </w:t>
      </w:r>
      <w:r w:rsidR="003D4D83">
        <w:rPr>
          <w:rFonts w:eastAsia="Batang"/>
          <w:color w:val="auto"/>
          <w:bdr w:val="none" w:sz="0" w:space="0" w:color="auto"/>
        </w:rPr>
        <w:t xml:space="preserve">response, argues that said report was not taken into account in the </w:t>
      </w:r>
      <w:r w:rsidR="00F80CDC">
        <w:rPr>
          <w:rFonts w:eastAsia="Batang"/>
          <w:color w:val="auto"/>
          <w:bdr w:val="none" w:sz="0" w:space="0" w:color="auto"/>
        </w:rPr>
        <w:t>process of selection</w:t>
      </w:r>
      <w:r w:rsidR="00E7415A">
        <w:rPr>
          <w:rFonts w:eastAsia="Batang"/>
          <w:color w:val="auto"/>
          <w:bdr w:val="none" w:sz="0" w:space="0" w:color="auto"/>
        </w:rPr>
        <w:t xml:space="preserve">, and that even though the alleged victim was one of a slate of three finalists, pursuant to the law, the authority has discretional powers </w:t>
      </w:r>
      <w:r w:rsidR="00D85282">
        <w:rPr>
          <w:rFonts w:eastAsia="Batang"/>
          <w:color w:val="auto"/>
          <w:bdr w:val="none" w:sz="0" w:space="0" w:color="auto"/>
        </w:rPr>
        <w:t>to select any of the three candidates, regardless of their</w:t>
      </w:r>
      <w:r w:rsidR="001F5C3F">
        <w:rPr>
          <w:rFonts w:eastAsia="Batang"/>
          <w:color w:val="auto"/>
          <w:bdr w:val="none" w:sz="0" w:space="0" w:color="auto"/>
        </w:rPr>
        <w:t xml:space="preserve"> score</w:t>
      </w:r>
      <w:r w:rsidR="00D85282">
        <w:rPr>
          <w:rFonts w:eastAsia="Batang"/>
          <w:color w:val="auto"/>
          <w:bdr w:val="none" w:sz="0" w:space="0" w:color="auto"/>
        </w:rPr>
        <w:t xml:space="preserve">. </w:t>
      </w:r>
    </w:p>
    <w:p w14:paraId="02AA179A" w14:textId="77777777" w:rsidR="00272A82" w:rsidRPr="00771EED" w:rsidRDefault="00272A82" w:rsidP="00272A82">
      <w:pPr>
        <w:pStyle w:val="parrafos"/>
        <w:autoSpaceDE w:val="0"/>
        <w:autoSpaceDN w:val="0"/>
        <w:adjustRightInd w:val="0"/>
        <w:rPr>
          <w:rFonts w:eastAsia="Batang"/>
          <w:color w:val="auto"/>
          <w:bdr w:val="none" w:sz="0" w:space="0" w:color="auto"/>
        </w:rPr>
      </w:pPr>
    </w:p>
    <w:p w14:paraId="5258208C" w14:textId="77777777" w:rsidR="00272A82" w:rsidRPr="00771EED" w:rsidRDefault="003E055A" w:rsidP="00272A82">
      <w:pPr>
        <w:pStyle w:val="parrafos"/>
        <w:numPr>
          <w:ilvl w:val="0"/>
          <w:numId w:val="106"/>
        </w:numPr>
        <w:tabs>
          <w:tab w:val="clear" w:pos="1440"/>
        </w:tabs>
        <w:autoSpaceDE w:val="0"/>
        <w:autoSpaceDN w:val="0"/>
        <w:adjustRightInd w:val="0"/>
        <w:ind w:left="0" w:firstLine="0"/>
        <w:rPr>
          <w:rFonts w:eastAsia="Batang"/>
          <w:color w:val="auto"/>
          <w:bdr w:val="none" w:sz="0" w:space="0" w:color="auto"/>
        </w:rPr>
      </w:pPr>
      <w:r>
        <w:rPr>
          <w:rFonts w:eastAsia="Batang"/>
          <w:color w:val="auto"/>
          <w:bdr w:val="none" w:sz="0" w:space="0" w:color="auto"/>
        </w:rPr>
        <w:t>Taking into consideration t</w:t>
      </w:r>
      <w:r w:rsidR="00897751">
        <w:rPr>
          <w:rFonts w:eastAsia="Batang"/>
          <w:color w:val="auto"/>
          <w:bdr w:val="none" w:sz="0" w:space="0" w:color="auto"/>
        </w:rPr>
        <w:t xml:space="preserve">hese arguments, the IACHR understands its job to be to determine whether beyond the formality and discretional power </w:t>
      </w:r>
      <w:r w:rsidR="00EE746A">
        <w:rPr>
          <w:rFonts w:eastAsia="Batang"/>
          <w:color w:val="auto"/>
          <w:bdr w:val="none" w:sz="0" w:space="0" w:color="auto"/>
        </w:rPr>
        <w:t xml:space="preserve">invoked by the State, evidence exists to consider that the </w:t>
      </w:r>
      <w:r w:rsidR="00B53049">
        <w:rPr>
          <w:rFonts w:eastAsia="Batang"/>
          <w:color w:val="auto"/>
          <w:bdr w:val="none" w:sz="0" w:space="0" w:color="auto"/>
        </w:rPr>
        <w:t xml:space="preserve">actual reason </w:t>
      </w:r>
      <w:r w:rsidR="00A54BAA">
        <w:rPr>
          <w:rFonts w:eastAsia="Batang"/>
          <w:color w:val="auto"/>
          <w:bdr w:val="none" w:sz="0" w:space="0" w:color="auto"/>
        </w:rPr>
        <w:t xml:space="preserve">why the alleged victim </w:t>
      </w:r>
      <w:r w:rsidR="00536F24">
        <w:rPr>
          <w:rFonts w:eastAsia="Batang"/>
          <w:color w:val="auto"/>
          <w:bdr w:val="none" w:sz="0" w:space="0" w:color="auto"/>
        </w:rPr>
        <w:t xml:space="preserve">was not hired in the competitive selection process </w:t>
      </w:r>
      <w:r w:rsidR="00156CE5">
        <w:rPr>
          <w:rFonts w:eastAsia="Batang"/>
          <w:color w:val="auto"/>
          <w:bdr w:val="none" w:sz="0" w:space="0" w:color="auto"/>
        </w:rPr>
        <w:t xml:space="preserve">in which he took part was his condition as a person with a cognitive disability. </w:t>
      </w:r>
      <w:r w:rsidR="000F6651">
        <w:rPr>
          <w:rFonts w:eastAsia="Batang"/>
          <w:color w:val="auto"/>
          <w:bdr w:val="none" w:sz="0" w:space="0" w:color="auto"/>
        </w:rPr>
        <w:t xml:space="preserve">The Commission </w:t>
      </w:r>
      <w:r w:rsidR="00CB4A0A">
        <w:rPr>
          <w:rFonts w:eastAsia="Batang"/>
          <w:color w:val="auto"/>
          <w:bdr w:val="none" w:sz="0" w:space="0" w:color="auto"/>
        </w:rPr>
        <w:t>will ex</w:t>
      </w:r>
      <w:r w:rsidR="00794889">
        <w:rPr>
          <w:rFonts w:eastAsia="Batang"/>
          <w:color w:val="auto"/>
          <w:bdr w:val="none" w:sz="0" w:space="0" w:color="auto"/>
        </w:rPr>
        <w:t>a</w:t>
      </w:r>
      <w:r w:rsidR="00CB4A0A">
        <w:rPr>
          <w:rFonts w:eastAsia="Batang"/>
          <w:color w:val="auto"/>
          <w:bdr w:val="none" w:sz="0" w:space="0" w:color="auto"/>
        </w:rPr>
        <w:t>mine the case in light of the presumption of discrimination</w:t>
      </w:r>
      <w:r w:rsidR="0023140A">
        <w:rPr>
          <w:rFonts w:eastAsia="Batang"/>
          <w:color w:val="auto"/>
          <w:bdr w:val="none" w:sz="0" w:space="0" w:color="auto"/>
        </w:rPr>
        <w:t xml:space="preserve">, which is appropriate </w:t>
      </w:r>
      <w:r w:rsidR="00794889">
        <w:rPr>
          <w:rFonts w:eastAsia="Batang"/>
          <w:color w:val="auto"/>
          <w:bdr w:val="none" w:sz="0" w:space="0" w:color="auto"/>
        </w:rPr>
        <w:t>for cases in which the difference in treatment is based on one of the categories established in Article 1.1 of the Convention, such as disability, as was n</w:t>
      </w:r>
      <w:r w:rsidR="00062759">
        <w:rPr>
          <w:rFonts w:eastAsia="Batang"/>
          <w:color w:val="auto"/>
          <w:bdr w:val="none" w:sz="0" w:space="0" w:color="auto"/>
        </w:rPr>
        <w:t>oted in the previous section.</w:t>
      </w:r>
      <w:r w:rsidR="00CB4A0A">
        <w:rPr>
          <w:rFonts w:eastAsia="Batang"/>
          <w:color w:val="auto"/>
          <w:bdr w:val="none" w:sz="0" w:space="0" w:color="auto"/>
        </w:rPr>
        <w:t xml:space="preserve"> </w:t>
      </w:r>
    </w:p>
    <w:p w14:paraId="19E57E25" w14:textId="77777777" w:rsidR="00272A82" w:rsidRPr="00771EED" w:rsidRDefault="00272A82" w:rsidP="00272A82">
      <w:pPr>
        <w:pStyle w:val="parrafos"/>
        <w:autoSpaceDE w:val="0"/>
        <w:autoSpaceDN w:val="0"/>
        <w:adjustRightInd w:val="0"/>
      </w:pPr>
    </w:p>
    <w:p w14:paraId="14250F69" w14:textId="77777777" w:rsidR="00272A82" w:rsidRPr="00771EED" w:rsidRDefault="009A1884" w:rsidP="00272A82">
      <w:pPr>
        <w:pStyle w:val="parrafos"/>
        <w:numPr>
          <w:ilvl w:val="0"/>
          <w:numId w:val="106"/>
        </w:numPr>
        <w:tabs>
          <w:tab w:val="clear" w:pos="1440"/>
        </w:tabs>
        <w:autoSpaceDE w:val="0"/>
        <w:autoSpaceDN w:val="0"/>
        <w:adjustRightInd w:val="0"/>
        <w:ind w:left="0" w:firstLine="0"/>
      </w:pPr>
      <w:r>
        <w:t xml:space="preserve">The IACHR </w:t>
      </w:r>
      <w:r w:rsidR="00E00717">
        <w:t xml:space="preserve">sums up </w:t>
      </w:r>
      <w:r w:rsidR="00271C23">
        <w:t xml:space="preserve">hereunder </w:t>
      </w:r>
      <w:r w:rsidR="00BA3F40">
        <w:t xml:space="preserve">the evidence </w:t>
      </w:r>
      <w:r w:rsidR="004236DF">
        <w:t>it has</w:t>
      </w:r>
      <w:r w:rsidR="004667EB">
        <w:t xml:space="preserve">, </w:t>
      </w:r>
      <w:r w:rsidR="000B36EF">
        <w:t xml:space="preserve">aimed at proving that the alleged victim was not hired for the position he applied for </w:t>
      </w:r>
      <w:r w:rsidR="009C20EE">
        <w:t xml:space="preserve">because of his condition of disability: </w:t>
      </w:r>
    </w:p>
    <w:p w14:paraId="6CCCEAEF" w14:textId="77777777" w:rsidR="00272A82" w:rsidRPr="00771EED" w:rsidRDefault="00272A82" w:rsidP="00272A82">
      <w:pPr>
        <w:pStyle w:val="parrafos"/>
        <w:autoSpaceDE w:val="0"/>
        <w:autoSpaceDN w:val="0"/>
        <w:adjustRightInd w:val="0"/>
        <w:rPr>
          <w:rFonts w:eastAsia="Batang"/>
          <w:color w:val="auto"/>
          <w:bdr w:val="none" w:sz="0" w:space="0" w:color="auto"/>
        </w:rPr>
      </w:pPr>
    </w:p>
    <w:p w14:paraId="0C5DD115" w14:textId="77777777" w:rsidR="00272A82" w:rsidRPr="00771EED" w:rsidRDefault="00272A82" w:rsidP="00272A82">
      <w:pPr>
        <w:ind w:left="360" w:right="810"/>
        <w:jc w:val="both"/>
        <w:rPr>
          <w:rFonts w:ascii="Cambria" w:hAnsi="Cambria" w:cs="Times"/>
          <w:sz w:val="18"/>
          <w:szCs w:val="18"/>
        </w:rPr>
      </w:pPr>
      <w:r w:rsidRPr="00771EED">
        <w:rPr>
          <w:rFonts w:ascii="Cambria" w:hAnsi="Cambria" w:cs="Times"/>
          <w:sz w:val="18"/>
          <w:szCs w:val="18"/>
        </w:rPr>
        <w:t xml:space="preserve">- </w:t>
      </w:r>
      <w:r w:rsidR="00860202">
        <w:rPr>
          <w:rFonts w:ascii="Cambria" w:hAnsi="Cambria" w:cs="Times"/>
          <w:sz w:val="18"/>
          <w:szCs w:val="18"/>
        </w:rPr>
        <w:t>As is on record in the communication of March 6, 2003 from the General Coordinator</w:t>
      </w:r>
      <w:r w:rsidR="00337776">
        <w:rPr>
          <w:rFonts w:ascii="Cambria" w:hAnsi="Cambria" w:cs="Times"/>
          <w:sz w:val="18"/>
          <w:szCs w:val="18"/>
        </w:rPr>
        <w:t xml:space="preserve"> of the Technical Unit for Human Resources</w:t>
      </w:r>
      <w:r w:rsidR="0021539F">
        <w:rPr>
          <w:rFonts w:ascii="Cambria" w:hAnsi="Cambria" w:cs="Times"/>
          <w:sz w:val="18"/>
          <w:szCs w:val="18"/>
        </w:rPr>
        <w:t>,</w:t>
      </w:r>
      <w:r w:rsidR="00337776">
        <w:rPr>
          <w:rFonts w:ascii="Cambria" w:hAnsi="Cambria" w:cs="Times"/>
          <w:sz w:val="18"/>
          <w:szCs w:val="18"/>
        </w:rPr>
        <w:t xml:space="preserve"> the alleged victim obtained the highest score of the three finalists in competitive selection </w:t>
      </w:r>
      <w:r w:rsidR="00925E74">
        <w:rPr>
          <w:rFonts w:ascii="Cambria" w:hAnsi="Cambria" w:cs="Times"/>
          <w:sz w:val="18"/>
          <w:szCs w:val="18"/>
        </w:rPr>
        <w:t xml:space="preserve">process </w:t>
      </w:r>
      <w:r w:rsidRPr="00771EED">
        <w:rPr>
          <w:rFonts w:ascii="Cambria" w:hAnsi="Cambria" w:cs="Times"/>
          <w:sz w:val="18"/>
          <w:szCs w:val="18"/>
        </w:rPr>
        <w:t>010179.</w:t>
      </w:r>
    </w:p>
    <w:p w14:paraId="062AC8A8" w14:textId="77777777" w:rsidR="00272A82" w:rsidRPr="00771EED" w:rsidRDefault="00272A82" w:rsidP="00272A82">
      <w:pPr>
        <w:ind w:left="360" w:right="810"/>
        <w:jc w:val="both"/>
        <w:rPr>
          <w:rFonts w:ascii="Cambria" w:hAnsi="Cambria" w:cs="Times"/>
          <w:sz w:val="18"/>
          <w:szCs w:val="18"/>
        </w:rPr>
      </w:pPr>
      <w:r w:rsidRPr="00771EED">
        <w:rPr>
          <w:rFonts w:ascii="Cambria" w:hAnsi="Cambria" w:cs="Times"/>
          <w:sz w:val="18"/>
          <w:szCs w:val="18"/>
        </w:rPr>
        <w:t>-</w:t>
      </w:r>
      <w:r w:rsidR="004667EB">
        <w:rPr>
          <w:rFonts w:ascii="Cambria" w:hAnsi="Cambria" w:cs="Times"/>
          <w:sz w:val="18"/>
          <w:szCs w:val="18"/>
        </w:rPr>
        <w:t xml:space="preserve">There are no reports in the record of poor performance of the alleged victim in his </w:t>
      </w:r>
      <w:r w:rsidR="00F44F76">
        <w:rPr>
          <w:rFonts w:ascii="Cambria" w:hAnsi="Cambria" w:cs="Times"/>
          <w:sz w:val="18"/>
          <w:szCs w:val="18"/>
        </w:rPr>
        <w:t xml:space="preserve">interim </w:t>
      </w:r>
      <w:r w:rsidR="004667EB">
        <w:rPr>
          <w:rFonts w:ascii="Cambria" w:hAnsi="Cambria" w:cs="Times"/>
          <w:sz w:val="18"/>
          <w:szCs w:val="18"/>
        </w:rPr>
        <w:t>position</w:t>
      </w:r>
      <w:r w:rsidR="008F7A25">
        <w:rPr>
          <w:rFonts w:ascii="Cambria" w:hAnsi="Cambria" w:cs="Times"/>
          <w:sz w:val="18"/>
          <w:szCs w:val="18"/>
        </w:rPr>
        <w:t xml:space="preserve"> and, on the contrary, in different communications, his effectiveness and good performance </w:t>
      </w:r>
      <w:r w:rsidR="00D731FD">
        <w:rPr>
          <w:rFonts w:ascii="Cambria" w:hAnsi="Cambria" w:cs="Times"/>
          <w:sz w:val="18"/>
          <w:szCs w:val="18"/>
        </w:rPr>
        <w:t xml:space="preserve">on the </w:t>
      </w:r>
      <w:r w:rsidR="008F7A25">
        <w:rPr>
          <w:rFonts w:ascii="Cambria" w:hAnsi="Cambria" w:cs="Times"/>
          <w:sz w:val="18"/>
          <w:szCs w:val="18"/>
        </w:rPr>
        <w:t>job are recognized</w:t>
      </w:r>
      <w:r w:rsidRPr="00771EED">
        <w:rPr>
          <w:rFonts w:ascii="Cambria" w:hAnsi="Cambria" w:cs="Times"/>
          <w:sz w:val="18"/>
          <w:szCs w:val="18"/>
        </w:rPr>
        <w:t xml:space="preserve">. </w:t>
      </w:r>
    </w:p>
    <w:p w14:paraId="32608716" w14:textId="77777777" w:rsidR="00272A82" w:rsidRPr="00771EED" w:rsidRDefault="00272A82" w:rsidP="00272A82">
      <w:pPr>
        <w:ind w:left="360" w:right="810"/>
        <w:jc w:val="both"/>
        <w:rPr>
          <w:rFonts w:ascii="Cambria" w:hAnsi="Cambria" w:cs="Times"/>
          <w:sz w:val="18"/>
          <w:szCs w:val="18"/>
        </w:rPr>
      </w:pPr>
      <w:r w:rsidRPr="00771EED">
        <w:rPr>
          <w:rFonts w:ascii="Cambria" w:hAnsi="Cambria" w:cs="Times"/>
          <w:sz w:val="18"/>
          <w:szCs w:val="18"/>
        </w:rPr>
        <w:t>-</w:t>
      </w:r>
      <w:r w:rsidR="00E23999">
        <w:rPr>
          <w:rFonts w:ascii="Cambria" w:hAnsi="Cambria" w:cs="Times"/>
          <w:sz w:val="18"/>
          <w:szCs w:val="18"/>
        </w:rPr>
        <w:t xml:space="preserve">On June </w:t>
      </w:r>
      <w:r w:rsidRPr="00771EED">
        <w:rPr>
          <w:rFonts w:ascii="Cambria" w:hAnsi="Cambria" w:cs="Times"/>
          <w:sz w:val="18"/>
          <w:szCs w:val="18"/>
        </w:rPr>
        <w:t>13</w:t>
      </w:r>
      <w:r w:rsidR="00E23999">
        <w:rPr>
          <w:rFonts w:ascii="Cambria" w:hAnsi="Cambria" w:cs="Times"/>
          <w:sz w:val="18"/>
          <w:szCs w:val="18"/>
        </w:rPr>
        <w:t>,</w:t>
      </w:r>
      <w:r w:rsidRPr="00771EED">
        <w:rPr>
          <w:rFonts w:ascii="Cambria" w:hAnsi="Cambria" w:cs="Times"/>
          <w:sz w:val="18"/>
          <w:szCs w:val="18"/>
        </w:rPr>
        <w:t xml:space="preserve"> 2003</w:t>
      </w:r>
      <w:r w:rsidR="00814E68">
        <w:rPr>
          <w:rFonts w:ascii="Cambria" w:hAnsi="Cambria" w:cs="Times"/>
          <w:sz w:val="18"/>
          <w:szCs w:val="18"/>
        </w:rPr>
        <w:t xml:space="preserve">, the Head of the Maintenance Area wrote an official letter to the General Coordinator of the Technical Unit for </w:t>
      </w:r>
      <w:r w:rsidR="002A52C4">
        <w:rPr>
          <w:rFonts w:ascii="Cambria" w:hAnsi="Cambria" w:cs="Times"/>
          <w:sz w:val="18"/>
          <w:szCs w:val="18"/>
        </w:rPr>
        <w:t xml:space="preserve">Supplying </w:t>
      </w:r>
      <w:r w:rsidR="00814E68">
        <w:rPr>
          <w:rFonts w:ascii="Cambria" w:hAnsi="Cambria" w:cs="Times"/>
          <w:sz w:val="18"/>
          <w:szCs w:val="18"/>
        </w:rPr>
        <w:t>and Services</w:t>
      </w:r>
      <w:r w:rsidR="00D04424">
        <w:rPr>
          <w:rFonts w:ascii="Cambria" w:hAnsi="Cambria" w:cs="Times"/>
          <w:sz w:val="18"/>
          <w:szCs w:val="18"/>
        </w:rPr>
        <w:t xml:space="preserve">, </w:t>
      </w:r>
      <w:r w:rsidR="00D731FD">
        <w:rPr>
          <w:rFonts w:ascii="Cambria" w:hAnsi="Cambria" w:cs="Times"/>
          <w:sz w:val="18"/>
          <w:szCs w:val="18"/>
        </w:rPr>
        <w:t xml:space="preserve">who is </w:t>
      </w:r>
      <w:r w:rsidR="00D04424">
        <w:rPr>
          <w:rFonts w:ascii="Cambria" w:hAnsi="Cambria" w:cs="Times"/>
          <w:sz w:val="18"/>
          <w:szCs w:val="18"/>
        </w:rPr>
        <w:t xml:space="preserve">in charge of making </w:t>
      </w:r>
      <w:r w:rsidR="00731752">
        <w:rPr>
          <w:rFonts w:ascii="Cambria" w:hAnsi="Cambria" w:cs="Times"/>
          <w:sz w:val="18"/>
          <w:szCs w:val="18"/>
        </w:rPr>
        <w:t xml:space="preserve">the selection, requesting </w:t>
      </w:r>
      <w:r w:rsidR="00C3552D">
        <w:rPr>
          <w:rFonts w:ascii="Cambria" w:hAnsi="Cambria" w:cs="Times"/>
          <w:sz w:val="18"/>
          <w:szCs w:val="18"/>
        </w:rPr>
        <w:t xml:space="preserve">that the alleged victim </w:t>
      </w:r>
      <w:r w:rsidR="00731752">
        <w:rPr>
          <w:rFonts w:ascii="Cambria" w:hAnsi="Cambria" w:cs="Times"/>
          <w:sz w:val="18"/>
          <w:szCs w:val="18"/>
        </w:rPr>
        <w:t xml:space="preserve">not </w:t>
      </w:r>
      <w:r w:rsidR="00C3552D">
        <w:rPr>
          <w:rFonts w:ascii="Cambria" w:hAnsi="Cambria" w:cs="Times"/>
          <w:sz w:val="18"/>
          <w:szCs w:val="18"/>
        </w:rPr>
        <w:t>be</w:t>
      </w:r>
      <w:r w:rsidR="00731752">
        <w:rPr>
          <w:rFonts w:ascii="Cambria" w:hAnsi="Cambria" w:cs="Times"/>
          <w:sz w:val="18"/>
          <w:szCs w:val="18"/>
        </w:rPr>
        <w:t xml:space="preserve"> appoint</w:t>
      </w:r>
      <w:r w:rsidR="00C3552D">
        <w:rPr>
          <w:rFonts w:ascii="Cambria" w:hAnsi="Cambria" w:cs="Times"/>
          <w:sz w:val="18"/>
          <w:szCs w:val="18"/>
        </w:rPr>
        <w:t>ed</w:t>
      </w:r>
      <w:r w:rsidR="00705AB0">
        <w:rPr>
          <w:rFonts w:ascii="Cambria" w:hAnsi="Cambria" w:cs="Times"/>
          <w:sz w:val="18"/>
          <w:szCs w:val="18"/>
        </w:rPr>
        <w:t>, because he is not function</w:t>
      </w:r>
      <w:r w:rsidR="00193EE6">
        <w:rPr>
          <w:rFonts w:ascii="Cambria" w:hAnsi="Cambria" w:cs="Times"/>
          <w:sz w:val="18"/>
          <w:szCs w:val="18"/>
        </w:rPr>
        <w:t>al</w:t>
      </w:r>
      <w:r w:rsidR="00705AB0">
        <w:rPr>
          <w:rFonts w:ascii="Cambria" w:hAnsi="Cambria" w:cs="Times"/>
          <w:sz w:val="18"/>
          <w:szCs w:val="18"/>
        </w:rPr>
        <w:t xml:space="preserve"> for the position</w:t>
      </w:r>
      <w:r w:rsidR="00BE1BA5">
        <w:rPr>
          <w:rFonts w:ascii="Cambria" w:hAnsi="Cambria" w:cs="Times"/>
          <w:sz w:val="18"/>
          <w:szCs w:val="18"/>
        </w:rPr>
        <w:t>, and taking into account “his problems of retardation and mental blockage he suffers.”</w:t>
      </w:r>
    </w:p>
    <w:p w14:paraId="3C2B175B" w14:textId="77777777" w:rsidR="00272A82" w:rsidRPr="00771EED" w:rsidRDefault="00272A82" w:rsidP="00272A82">
      <w:pPr>
        <w:ind w:left="360" w:right="810"/>
        <w:jc w:val="both"/>
        <w:rPr>
          <w:rFonts w:ascii="Cambria" w:hAnsi="Cambria" w:cs="Times"/>
          <w:sz w:val="18"/>
          <w:szCs w:val="18"/>
        </w:rPr>
      </w:pPr>
      <w:r w:rsidRPr="00771EED">
        <w:rPr>
          <w:rFonts w:ascii="Cambria" w:hAnsi="Cambria" w:cs="Times"/>
          <w:sz w:val="18"/>
          <w:szCs w:val="18"/>
        </w:rPr>
        <w:t>-</w:t>
      </w:r>
      <w:r w:rsidR="00E35655">
        <w:rPr>
          <w:rFonts w:ascii="Cambria" w:hAnsi="Cambria" w:cs="Times"/>
          <w:sz w:val="18"/>
          <w:szCs w:val="18"/>
        </w:rPr>
        <w:t xml:space="preserve">On the same date, the General Coordinator of the Technical Unit </w:t>
      </w:r>
      <w:r w:rsidR="00193EE6">
        <w:rPr>
          <w:rFonts w:ascii="Cambria" w:hAnsi="Cambria" w:cs="Times"/>
          <w:sz w:val="18"/>
          <w:szCs w:val="18"/>
        </w:rPr>
        <w:t xml:space="preserve">forwarded the aforementioned </w:t>
      </w:r>
      <w:r w:rsidR="00E35655">
        <w:rPr>
          <w:rFonts w:ascii="Cambria" w:hAnsi="Cambria" w:cs="Times"/>
          <w:sz w:val="18"/>
          <w:szCs w:val="18"/>
        </w:rPr>
        <w:t xml:space="preserve">official letter </w:t>
      </w:r>
      <w:r w:rsidR="00193EE6">
        <w:rPr>
          <w:rFonts w:ascii="Cambria" w:hAnsi="Cambria" w:cs="Times"/>
          <w:sz w:val="18"/>
          <w:szCs w:val="18"/>
        </w:rPr>
        <w:t xml:space="preserve">in advance to the General Coordinator of the Technical Unit for Human Resources, </w:t>
      </w:r>
      <w:r w:rsidR="00FC260E">
        <w:rPr>
          <w:rFonts w:ascii="Cambria" w:hAnsi="Cambria" w:cs="Times"/>
          <w:sz w:val="18"/>
          <w:szCs w:val="18"/>
        </w:rPr>
        <w:t xml:space="preserve">accepting the recommendation of said report </w:t>
      </w:r>
      <w:r w:rsidR="00C60416">
        <w:rPr>
          <w:rFonts w:ascii="Cambria" w:hAnsi="Cambria" w:cs="Times"/>
          <w:sz w:val="18"/>
          <w:szCs w:val="18"/>
        </w:rPr>
        <w:t xml:space="preserve">and noting that “because the </w:t>
      </w:r>
      <w:r w:rsidR="009C6462">
        <w:rPr>
          <w:rFonts w:ascii="Cambria" w:hAnsi="Cambria" w:cs="Times"/>
          <w:sz w:val="18"/>
          <w:szCs w:val="18"/>
        </w:rPr>
        <w:t xml:space="preserve">duties </w:t>
      </w:r>
      <w:r w:rsidR="00C60416">
        <w:rPr>
          <w:rFonts w:ascii="Cambria" w:hAnsi="Cambria" w:cs="Times"/>
          <w:sz w:val="18"/>
          <w:szCs w:val="18"/>
        </w:rPr>
        <w:t xml:space="preserve">that he performs and the opportunities that have been given to him in his position the behavior of Don Luis Fernando has had a negative impact on his employment future and </w:t>
      </w:r>
      <w:r w:rsidR="00213B29">
        <w:rPr>
          <w:rFonts w:ascii="Cambria" w:hAnsi="Cambria" w:cs="Times"/>
          <w:sz w:val="18"/>
          <w:szCs w:val="18"/>
        </w:rPr>
        <w:t xml:space="preserve">even his activities can affect his personal safety, I reiterate </w:t>
      </w:r>
      <w:r w:rsidR="00AD5A35">
        <w:rPr>
          <w:rFonts w:ascii="Cambria" w:hAnsi="Cambria" w:cs="Times"/>
          <w:sz w:val="18"/>
          <w:szCs w:val="18"/>
        </w:rPr>
        <w:t xml:space="preserve">because of the type of duties </w:t>
      </w:r>
      <w:r w:rsidR="009E51FE">
        <w:rPr>
          <w:rFonts w:ascii="Cambria" w:hAnsi="Cambria" w:cs="Times"/>
          <w:sz w:val="18"/>
          <w:szCs w:val="18"/>
        </w:rPr>
        <w:t xml:space="preserve">that are carried out it is therefore suggested to reconsider his appointment.” </w:t>
      </w:r>
      <w:r w:rsidR="00835502">
        <w:rPr>
          <w:rFonts w:ascii="Cambria" w:hAnsi="Cambria" w:cs="Times"/>
          <w:sz w:val="18"/>
          <w:szCs w:val="18"/>
        </w:rPr>
        <w:t xml:space="preserve">When the appeal for reversal </w:t>
      </w:r>
      <w:r w:rsidR="00403A14">
        <w:rPr>
          <w:rFonts w:ascii="Cambria" w:hAnsi="Cambria" w:cs="Times"/>
          <w:sz w:val="18"/>
          <w:szCs w:val="18"/>
        </w:rPr>
        <w:t xml:space="preserve">filed by alleged victim was denied, again reference was made to the statements made by the General Coordinator of the Technical Unit. </w:t>
      </w:r>
    </w:p>
    <w:p w14:paraId="5C2BD905" w14:textId="77777777" w:rsidR="00272A82" w:rsidRDefault="00272A82" w:rsidP="00272A82">
      <w:pPr>
        <w:ind w:left="360" w:right="810"/>
        <w:jc w:val="both"/>
        <w:rPr>
          <w:rFonts w:ascii="Cambria" w:hAnsi="Cambria" w:cs="Times"/>
          <w:sz w:val="18"/>
          <w:szCs w:val="18"/>
        </w:rPr>
      </w:pPr>
      <w:r w:rsidRPr="00771EED">
        <w:rPr>
          <w:rFonts w:ascii="Cambria" w:hAnsi="Cambria" w:cs="Times"/>
          <w:sz w:val="18"/>
          <w:szCs w:val="18"/>
        </w:rPr>
        <w:t>-</w:t>
      </w:r>
      <w:r w:rsidR="009F6100">
        <w:rPr>
          <w:rFonts w:ascii="Cambria" w:hAnsi="Cambria" w:cs="Times"/>
          <w:sz w:val="18"/>
          <w:szCs w:val="18"/>
        </w:rPr>
        <w:t xml:space="preserve">Also, on June 13, 2003, the alleged victim was advised that he was not selected in competitive hiring process </w:t>
      </w:r>
      <w:r w:rsidRPr="00771EED">
        <w:rPr>
          <w:rFonts w:ascii="Cambria" w:hAnsi="Cambria" w:cs="Times"/>
          <w:sz w:val="18"/>
          <w:szCs w:val="18"/>
        </w:rPr>
        <w:t xml:space="preserve">010179 </w:t>
      </w:r>
      <w:r w:rsidR="00987849">
        <w:rPr>
          <w:rFonts w:ascii="Cambria" w:hAnsi="Cambria" w:cs="Times"/>
          <w:sz w:val="18"/>
          <w:szCs w:val="18"/>
        </w:rPr>
        <w:t xml:space="preserve">and therefore his interim appointment </w:t>
      </w:r>
      <w:r w:rsidR="00B74B02">
        <w:rPr>
          <w:rFonts w:ascii="Cambria" w:hAnsi="Cambria" w:cs="Times"/>
          <w:sz w:val="18"/>
          <w:szCs w:val="18"/>
        </w:rPr>
        <w:t xml:space="preserve">would terminate. </w:t>
      </w:r>
    </w:p>
    <w:p w14:paraId="1931824A" w14:textId="77777777" w:rsidR="007D386D" w:rsidRPr="00771EED" w:rsidRDefault="007D386D" w:rsidP="00272A82">
      <w:pPr>
        <w:ind w:left="360" w:right="810"/>
        <w:jc w:val="both"/>
        <w:rPr>
          <w:rFonts w:ascii="Cambria" w:hAnsi="Cambria" w:cs="Times"/>
          <w:sz w:val="18"/>
          <w:szCs w:val="18"/>
        </w:rPr>
      </w:pPr>
    </w:p>
    <w:p w14:paraId="1B6012D3" w14:textId="77777777" w:rsidR="00272A82" w:rsidRPr="00771EED" w:rsidRDefault="007D386D" w:rsidP="00272A82">
      <w:pPr>
        <w:pStyle w:val="parrafos"/>
        <w:numPr>
          <w:ilvl w:val="0"/>
          <w:numId w:val="106"/>
        </w:numPr>
        <w:tabs>
          <w:tab w:val="clear" w:pos="1440"/>
        </w:tabs>
        <w:autoSpaceDE w:val="0"/>
        <w:autoSpaceDN w:val="0"/>
        <w:adjustRightInd w:val="0"/>
        <w:ind w:left="0" w:firstLine="0"/>
      </w:pPr>
      <w:r>
        <w:t>The Commission takes note of the State’s argument that the memorandum of June 13, 2003 was not taken into consideration in the context of the competitive process in which the alleged victim was not selected, however, it does not understand the reasons why</w:t>
      </w:r>
      <w:r w:rsidR="00D1099C">
        <w:t xml:space="preserve"> he asked to reconsider his appointment in his communication to the General Coordinator of the Technical Unit for Human Resources,</w:t>
      </w:r>
      <w:r w:rsidR="002318EC">
        <w:t xml:space="preserve"> if </w:t>
      </w:r>
      <w:r w:rsidR="00D1099C">
        <w:t>she</w:t>
      </w:r>
      <w:r w:rsidR="00D72BB5">
        <w:t xml:space="preserve"> had already made the decision to not hire the alleged victim regardless of said communication</w:t>
      </w:r>
      <w:r w:rsidR="00D1099C">
        <w:t xml:space="preserve">. </w:t>
      </w:r>
      <w:r w:rsidR="00E94D08">
        <w:t xml:space="preserve">Based on this inconsistency, the General Labor Inspection, for example, when it examined the appeal for reversal of judgment filed by the </w:t>
      </w:r>
      <w:r w:rsidR="00CE3D07">
        <w:t xml:space="preserve">alleged victim it found that at the time the aforementioned note was sent “no final decision had been taken as to who was going to be appointed.” </w:t>
      </w:r>
    </w:p>
    <w:p w14:paraId="4FBED622" w14:textId="77777777" w:rsidR="00272A82" w:rsidRPr="00771EED" w:rsidRDefault="00272A82" w:rsidP="00272A82">
      <w:pPr>
        <w:pStyle w:val="parrafos"/>
        <w:autoSpaceDE w:val="0"/>
        <w:autoSpaceDN w:val="0"/>
        <w:adjustRightInd w:val="0"/>
      </w:pPr>
    </w:p>
    <w:p w14:paraId="6729BA01" w14:textId="77777777" w:rsidR="00272A82" w:rsidRPr="00771EED" w:rsidRDefault="00272A82" w:rsidP="00272A82">
      <w:pPr>
        <w:pStyle w:val="parrafos"/>
        <w:numPr>
          <w:ilvl w:val="0"/>
          <w:numId w:val="106"/>
        </w:numPr>
        <w:tabs>
          <w:tab w:val="clear" w:pos="1440"/>
        </w:tabs>
        <w:autoSpaceDE w:val="0"/>
        <w:autoSpaceDN w:val="0"/>
        <w:adjustRightInd w:val="0"/>
        <w:ind w:left="0" w:firstLine="0"/>
      </w:pPr>
      <w:r w:rsidRPr="00771EED">
        <w:t>Ad</w:t>
      </w:r>
      <w:r w:rsidR="00576715">
        <w:t xml:space="preserve">ditionally, the IACHR takes note that different public officials concurred in affirming that the decision to not hire the alleged victim was based on his disability. Specifically: </w:t>
      </w:r>
    </w:p>
    <w:p w14:paraId="46D1A888" w14:textId="77777777" w:rsidR="00272A82" w:rsidRPr="00771EED" w:rsidRDefault="00272A82" w:rsidP="00272A82">
      <w:pPr>
        <w:pStyle w:val="parrafos"/>
        <w:autoSpaceDE w:val="0"/>
        <w:autoSpaceDN w:val="0"/>
        <w:adjustRightInd w:val="0"/>
      </w:pPr>
    </w:p>
    <w:p w14:paraId="743B4005" w14:textId="77777777" w:rsidR="00272A82" w:rsidRPr="00771EED" w:rsidRDefault="00272A82" w:rsidP="00272A82">
      <w:pPr>
        <w:ind w:left="360" w:right="810"/>
        <w:jc w:val="both"/>
        <w:rPr>
          <w:rFonts w:ascii="Cambria" w:hAnsi="Cambria" w:cs="Times"/>
          <w:sz w:val="18"/>
          <w:szCs w:val="18"/>
        </w:rPr>
      </w:pPr>
      <w:r w:rsidRPr="00771EED">
        <w:rPr>
          <w:rFonts w:ascii="Cambria" w:hAnsi="Cambria" w:cs="Times"/>
          <w:sz w:val="18"/>
          <w:szCs w:val="18"/>
        </w:rPr>
        <w:t>-</w:t>
      </w:r>
      <w:r w:rsidR="00A31883">
        <w:rPr>
          <w:rFonts w:ascii="Cambria" w:hAnsi="Cambria" w:cs="Times"/>
          <w:sz w:val="18"/>
          <w:szCs w:val="18"/>
        </w:rPr>
        <w:t xml:space="preserve">The Office of Legal Counsel of the national Council for Rehabilitation and Special Education found that the Ministry of Finance violated the law because it did not </w:t>
      </w:r>
      <w:r w:rsidR="006C23E1">
        <w:rPr>
          <w:rFonts w:ascii="Cambria" w:hAnsi="Cambria" w:cs="Times"/>
          <w:sz w:val="18"/>
          <w:szCs w:val="18"/>
        </w:rPr>
        <w:t>cho</w:t>
      </w:r>
      <w:r w:rsidR="007E7E96">
        <w:rPr>
          <w:rFonts w:ascii="Cambria" w:hAnsi="Cambria" w:cs="Times"/>
          <w:sz w:val="18"/>
          <w:szCs w:val="18"/>
        </w:rPr>
        <w:t>o</w:t>
      </w:r>
      <w:r w:rsidR="006C23E1">
        <w:rPr>
          <w:rFonts w:ascii="Cambria" w:hAnsi="Cambria" w:cs="Times"/>
          <w:sz w:val="18"/>
          <w:szCs w:val="18"/>
        </w:rPr>
        <w:t xml:space="preserve">se a qualified person based on his condition of retardation and emotional blockage” and because it did not establish systems to promote the </w:t>
      </w:r>
      <w:r w:rsidR="00103E70">
        <w:rPr>
          <w:rFonts w:ascii="Cambria" w:hAnsi="Cambria" w:cs="Times"/>
          <w:sz w:val="18"/>
          <w:szCs w:val="18"/>
        </w:rPr>
        <w:t xml:space="preserve">incorporation of </w:t>
      </w:r>
      <w:r w:rsidR="00E05BBB">
        <w:rPr>
          <w:rFonts w:ascii="Cambria" w:hAnsi="Cambria" w:cs="Times"/>
          <w:sz w:val="18"/>
          <w:szCs w:val="18"/>
        </w:rPr>
        <w:t xml:space="preserve">persons with disability into the public sector. </w:t>
      </w:r>
    </w:p>
    <w:p w14:paraId="2013FF1F" w14:textId="77777777" w:rsidR="00272A82" w:rsidRPr="00771EED" w:rsidRDefault="00272A82" w:rsidP="00272A82">
      <w:pPr>
        <w:ind w:left="360" w:right="810"/>
        <w:jc w:val="both"/>
        <w:rPr>
          <w:rFonts w:ascii="Cambria" w:hAnsi="Cambria" w:cs="Times"/>
          <w:sz w:val="18"/>
          <w:szCs w:val="18"/>
        </w:rPr>
      </w:pPr>
      <w:r w:rsidRPr="00771EED">
        <w:rPr>
          <w:rFonts w:ascii="Cambria" w:hAnsi="Cambria" w:cs="Times"/>
          <w:sz w:val="18"/>
          <w:szCs w:val="18"/>
        </w:rPr>
        <w:t>-</w:t>
      </w:r>
      <w:r w:rsidR="000B15EA">
        <w:rPr>
          <w:rFonts w:ascii="Cambria" w:hAnsi="Cambria" w:cs="Times"/>
          <w:sz w:val="18"/>
          <w:szCs w:val="18"/>
        </w:rPr>
        <w:t xml:space="preserve">The Ombudsman of Costa Rica found that the Ministry of Finance abused its discretionary power by appointing </w:t>
      </w:r>
      <w:r w:rsidR="00A155DF">
        <w:rPr>
          <w:rFonts w:ascii="Cambria" w:hAnsi="Cambria" w:cs="Times"/>
          <w:sz w:val="18"/>
          <w:szCs w:val="18"/>
        </w:rPr>
        <w:t xml:space="preserve">any of the members of a slate of three finalists </w:t>
      </w:r>
      <w:r w:rsidR="00E71410">
        <w:rPr>
          <w:rFonts w:ascii="Cambria" w:hAnsi="Cambria" w:cs="Times"/>
          <w:sz w:val="18"/>
          <w:szCs w:val="18"/>
        </w:rPr>
        <w:t>while</w:t>
      </w:r>
      <w:r w:rsidR="00A155DF">
        <w:rPr>
          <w:rFonts w:ascii="Cambria" w:hAnsi="Cambria" w:cs="Times"/>
          <w:sz w:val="18"/>
          <w:szCs w:val="18"/>
        </w:rPr>
        <w:t xml:space="preserve"> excluding the alleged victim because he presented “mental retardation with emotional blockage.” </w:t>
      </w:r>
    </w:p>
    <w:p w14:paraId="3A2F131E" w14:textId="77777777" w:rsidR="00272A82" w:rsidRPr="00771EED" w:rsidRDefault="00272A82" w:rsidP="00272A82">
      <w:pPr>
        <w:ind w:left="360" w:right="810"/>
        <w:jc w:val="both"/>
        <w:rPr>
          <w:rFonts w:ascii="Cambria" w:hAnsi="Cambria" w:cs="Times"/>
          <w:sz w:val="18"/>
          <w:szCs w:val="18"/>
        </w:rPr>
      </w:pPr>
      <w:r w:rsidRPr="00771EED">
        <w:rPr>
          <w:rFonts w:ascii="Cambria" w:hAnsi="Cambria" w:cs="Times"/>
          <w:sz w:val="18"/>
          <w:szCs w:val="18"/>
        </w:rPr>
        <w:lastRenderedPageBreak/>
        <w:t xml:space="preserve">- </w:t>
      </w:r>
      <w:r w:rsidR="007E7E96">
        <w:rPr>
          <w:rFonts w:ascii="Cambria" w:hAnsi="Cambria" w:cs="Times"/>
          <w:sz w:val="18"/>
          <w:szCs w:val="18"/>
        </w:rPr>
        <w:t xml:space="preserve">For her part, the National Director of Social Security found that, on the face of it, the selection was not objective because the alleged victim met all the requirements and exhibited </w:t>
      </w:r>
      <w:r w:rsidR="00771225">
        <w:rPr>
          <w:rFonts w:ascii="Cambria" w:hAnsi="Cambria" w:cs="Times"/>
          <w:sz w:val="18"/>
          <w:szCs w:val="18"/>
        </w:rPr>
        <w:t xml:space="preserve">an </w:t>
      </w:r>
      <w:r w:rsidR="007E7E96">
        <w:rPr>
          <w:rFonts w:ascii="Cambria" w:hAnsi="Cambria" w:cs="Times"/>
          <w:sz w:val="18"/>
          <w:szCs w:val="18"/>
        </w:rPr>
        <w:t xml:space="preserve">effective performance. </w:t>
      </w:r>
    </w:p>
    <w:p w14:paraId="3AFD2AFC" w14:textId="77777777" w:rsidR="00272A82" w:rsidRPr="00771EED" w:rsidRDefault="00272A82" w:rsidP="00272A82">
      <w:pPr>
        <w:ind w:left="360" w:right="810"/>
        <w:jc w:val="both"/>
        <w:rPr>
          <w:rFonts w:ascii="Cambria" w:hAnsi="Cambria" w:cs="Times"/>
          <w:sz w:val="18"/>
          <w:szCs w:val="18"/>
        </w:rPr>
      </w:pPr>
      <w:r w:rsidRPr="00771EED">
        <w:rPr>
          <w:rFonts w:ascii="Cambria" w:hAnsi="Cambria" w:cs="Times"/>
          <w:sz w:val="18"/>
          <w:szCs w:val="18"/>
        </w:rPr>
        <w:t>-</w:t>
      </w:r>
      <w:r w:rsidR="00240FB4">
        <w:rPr>
          <w:rFonts w:ascii="Cambria" w:hAnsi="Cambria" w:cs="Times"/>
          <w:sz w:val="18"/>
          <w:szCs w:val="18"/>
        </w:rPr>
        <w:t xml:space="preserve">The Minister of </w:t>
      </w:r>
      <w:r w:rsidR="000323E2">
        <w:rPr>
          <w:rFonts w:ascii="Cambria" w:hAnsi="Cambria" w:cs="Times"/>
          <w:sz w:val="18"/>
          <w:szCs w:val="18"/>
        </w:rPr>
        <w:t>Labor and Social Wel</w:t>
      </w:r>
      <w:r w:rsidR="00AE637A">
        <w:rPr>
          <w:rFonts w:ascii="Cambria" w:hAnsi="Cambria" w:cs="Times"/>
          <w:sz w:val="18"/>
          <w:szCs w:val="18"/>
        </w:rPr>
        <w:t xml:space="preserve">lbeing </w:t>
      </w:r>
      <w:r w:rsidR="00575723">
        <w:rPr>
          <w:rFonts w:ascii="Cambria" w:hAnsi="Cambria" w:cs="Times"/>
          <w:sz w:val="18"/>
          <w:szCs w:val="18"/>
        </w:rPr>
        <w:t xml:space="preserve">found that the reasons put forward by the senior officials to not appoint Mr. Guevara is at odds with the law and that “it would seem that we are before a case of discrimination.” </w:t>
      </w:r>
    </w:p>
    <w:p w14:paraId="1D66CB28" w14:textId="77777777" w:rsidR="00272A82" w:rsidRPr="00771EED" w:rsidRDefault="00272A82" w:rsidP="00272A82">
      <w:pPr>
        <w:ind w:left="360" w:right="810"/>
        <w:jc w:val="both"/>
        <w:rPr>
          <w:rFonts w:ascii="Cambria" w:hAnsi="Cambria" w:cs="Times"/>
          <w:sz w:val="18"/>
          <w:szCs w:val="18"/>
        </w:rPr>
      </w:pPr>
      <w:r w:rsidRPr="00771EED">
        <w:rPr>
          <w:rFonts w:ascii="Cambria" w:hAnsi="Cambria" w:cs="Times"/>
          <w:sz w:val="18"/>
          <w:szCs w:val="18"/>
        </w:rPr>
        <w:t>-</w:t>
      </w:r>
      <w:r w:rsidR="008934FF">
        <w:rPr>
          <w:rFonts w:ascii="Cambria" w:hAnsi="Cambria" w:cs="Times"/>
          <w:sz w:val="18"/>
          <w:szCs w:val="18"/>
        </w:rPr>
        <w:t xml:space="preserve">The Inspector General of Labor found that “there was discrimination” because “Mr. Eugenio Porras based on the note </w:t>
      </w:r>
      <w:r w:rsidR="00DE2D09">
        <w:rPr>
          <w:rFonts w:ascii="Cambria" w:hAnsi="Cambria" w:cs="Times"/>
          <w:sz w:val="18"/>
          <w:szCs w:val="18"/>
        </w:rPr>
        <w:t xml:space="preserve">issued by Mr. Mora Salazar, requests reconsidering </w:t>
      </w:r>
      <w:r w:rsidR="00F91CC3">
        <w:rPr>
          <w:rFonts w:ascii="Cambria" w:hAnsi="Cambria" w:cs="Times"/>
          <w:sz w:val="18"/>
          <w:szCs w:val="18"/>
        </w:rPr>
        <w:t>the appointment of Mr. Guevara, this by virtue of the note and being that Mr. Porras Vargas</w:t>
      </w:r>
      <w:r w:rsidR="002511E6">
        <w:rPr>
          <w:rFonts w:ascii="Cambria" w:hAnsi="Cambria" w:cs="Times"/>
          <w:sz w:val="18"/>
          <w:szCs w:val="18"/>
        </w:rPr>
        <w:t xml:space="preserve"> subsequently is who appoints the person to the position.” </w:t>
      </w:r>
      <w:r w:rsidR="00F91CC3">
        <w:rPr>
          <w:rFonts w:ascii="Cambria" w:hAnsi="Cambria" w:cs="Times"/>
          <w:sz w:val="18"/>
          <w:szCs w:val="18"/>
        </w:rPr>
        <w:t xml:space="preserve"> </w:t>
      </w:r>
    </w:p>
    <w:p w14:paraId="0B8C8D8F" w14:textId="77777777" w:rsidR="00272A82" w:rsidRPr="00771EED" w:rsidRDefault="00272A82" w:rsidP="00272A82">
      <w:pPr>
        <w:ind w:left="360" w:right="810"/>
        <w:jc w:val="both"/>
        <w:rPr>
          <w:rFonts w:ascii="Cambria" w:hAnsi="Cambria" w:cs="Times"/>
          <w:sz w:val="18"/>
          <w:szCs w:val="18"/>
        </w:rPr>
      </w:pPr>
    </w:p>
    <w:p w14:paraId="2A1F5A20" w14:textId="77777777" w:rsidR="00272A82" w:rsidRPr="00771EED" w:rsidRDefault="003D2909" w:rsidP="00272A82">
      <w:pPr>
        <w:pStyle w:val="parrafos"/>
        <w:numPr>
          <w:ilvl w:val="0"/>
          <w:numId w:val="106"/>
        </w:numPr>
        <w:tabs>
          <w:tab w:val="clear" w:pos="1440"/>
        </w:tabs>
        <w:autoSpaceDE w:val="0"/>
        <w:autoSpaceDN w:val="0"/>
        <w:adjustRightInd w:val="0"/>
        <w:ind w:left="0" w:firstLine="0"/>
      </w:pPr>
      <w:r>
        <w:t xml:space="preserve">Furthermore, as for the State’s response, the Commission recalls that it </w:t>
      </w:r>
      <w:r w:rsidR="008A59FA">
        <w:t xml:space="preserve">only </w:t>
      </w:r>
      <w:r>
        <w:t xml:space="preserve">emphasized the discretionary power held by the authority that was involved in the process of selection to choose any of the candidates comprising the slate of three finalists and noted that </w:t>
      </w:r>
      <w:r w:rsidR="00A96997">
        <w:t>,</w:t>
      </w:r>
      <w:r>
        <w:t xml:space="preserve">in the instant case, all due process rights were respected. </w:t>
      </w:r>
      <w:r w:rsidR="00751E40">
        <w:t>The State did not provide</w:t>
      </w:r>
      <w:r w:rsidR="00DA78DF">
        <w:t xml:space="preserve"> a </w:t>
      </w:r>
      <w:r w:rsidR="00F7499A">
        <w:t xml:space="preserve">detailed and precise </w:t>
      </w:r>
      <w:r w:rsidR="00216AED">
        <w:t xml:space="preserve">response </w:t>
      </w:r>
      <w:r w:rsidR="006B0425">
        <w:t xml:space="preserve">to overcome the presumption of discrimination </w:t>
      </w:r>
      <w:r w:rsidR="00BA649E">
        <w:t xml:space="preserve">operating in the instant case, </w:t>
      </w:r>
      <w:r w:rsidR="004D5E37">
        <w:t xml:space="preserve">but merely cited the basis for the discretionary power, without introducing </w:t>
      </w:r>
      <w:r w:rsidR="00AB7BFC">
        <w:t xml:space="preserve">any </w:t>
      </w:r>
      <w:r w:rsidR="00600FA9">
        <w:t xml:space="preserve">further explanation, </w:t>
      </w:r>
      <w:r w:rsidR="00B26F6B">
        <w:t xml:space="preserve">which </w:t>
      </w:r>
      <w:r w:rsidR="00E51FFF">
        <w:t xml:space="preserve">instead </w:t>
      </w:r>
      <w:r w:rsidR="00B435E8">
        <w:t xml:space="preserve">served to reinforce </w:t>
      </w:r>
      <w:r w:rsidR="00342923">
        <w:t xml:space="preserve">the </w:t>
      </w:r>
      <w:r w:rsidR="005F4AFB">
        <w:t xml:space="preserve">credibility </w:t>
      </w:r>
      <w:r w:rsidR="00BF0748">
        <w:t xml:space="preserve">of the evidence against it. </w:t>
      </w:r>
      <w:r w:rsidR="00BA649E">
        <w:t xml:space="preserve"> </w:t>
      </w:r>
    </w:p>
    <w:p w14:paraId="0FD159CA" w14:textId="77777777" w:rsidR="00272A82" w:rsidRPr="00771EED" w:rsidRDefault="00272A82" w:rsidP="00272A82">
      <w:pPr>
        <w:pStyle w:val="parrafos"/>
        <w:autoSpaceDE w:val="0"/>
        <w:autoSpaceDN w:val="0"/>
        <w:adjustRightInd w:val="0"/>
      </w:pPr>
    </w:p>
    <w:p w14:paraId="6D6E5DE4" w14:textId="77777777" w:rsidR="00272A82" w:rsidRPr="00771EED" w:rsidRDefault="00D30F10" w:rsidP="00272A82">
      <w:pPr>
        <w:pStyle w:val="parrafos"/>
        <w:numPr>
          <w:ilvl w:val="0"/>
          <w:numId w:val="106"/>
        </w:numPr>
        <w:tabs>
          <w:tab w:val="clear" w:pos="1440"/>
        </w:tabs>
        <w:autoSpaceDE w:val="0"/>
        <w:autoSpaceDN w:val="0"/>
        <w:adjustRightInd w:val="0"/>
        <w:ind w:left="0" w:firstLine="0"/>
      </w:pPr>
      <w:r>
        <w:t>The Commission finds that all of these pieces of evidence taken as a whole, as well as the lack of an adequate response from the State, allow it to conclude that the decision to not hire the alleged victim was based on his condition of a person with a cognitive disability</w:t>
      </w:r>
      <w:r w:rsidR="00A81037">
        <w:t>.</w:t>
      </w:r>
      <w:r w:rsidR="003F4159">
        <w:t xml:space="preserve"> </w:t>
      </w:r>
      <w:r w:rsidR="00D12525">
        <w:t xml:space="preserve"> </w:t>
      </w:r>
      <w:r w:rsidR="001429F8">
        <w:t xml:space="preserve">In view of the fact that </w:t>
      </w:r>
      <w:r w:rsidR="00D51F27">
        <w:t xml:space="preserve">the case involved </w:t>
      </w:r>
      <w:r w:rsidR="00B42DBA">
        <w:t xml:space="preserve">covert discrimination, </w:t>
      </w:r>
      <w:r w:rsidR="00617F28">
        <w:t xml:space="preserve">the IACHR finds that it is </w:t>
      </w:r>
      <w:r w:rsidR="00334E8E">
        <w:t xml:space="preserve">not </w:t>
      </w:r>
      <w:r w:rsidR="006D6E43">
        <w:t xml:space="preserve">appropriate </w:t>
      </w:r>
      <w:r w:rsidR="00F9713B">
        <w:t xml:space="preserve">for it </w:t>
      </w:r>
      <w:r w:rsidR="006D6E43">
        <w:t xml:space="preserve">to examine the reasonability </w:t>
      </w:r>
      <w:r w:rsidR="00FE3533">
        <w:t xml:space="preserve">or proportionality </w:t>
      </w:r>
      <w:r w:rsidR="00C2003A">
        <w:t>of the difference in treatment, inasmuch as the mere fact of its veiled nature proves that it is an arbitrary restriction</w:t>
      </w:r>
      <w:r w:rsidR="00272A82" w:rsidRPr="00771EED">
        <w:rPr>
          <w:rStyle w:val="FootnoteReference"/>
          <w:rFonts w:ascii="Cambria" w:hAnsi="Cambria"/>
        </w:rPr>
        <w:footnoteReference w:id="56"/>
      </w:r>
      <w:r w:rsidR="00272A82" w:rsidRPr="00771EED">
        <w:t xml:space="preserve"> </w:t>
      </w:r>
      <w:r w:rsidR="00196C5F">
        <w:t xml:space="preserve">Consequently, the Commission concludes </w:t>
      </w:r>
      <w:r w:rsidR="00633E36">
        <w:t xml:space="preserve">that the State of Costa Rica violated Articles 24 and 26 of the American Convention in connection with Article 1.1 of the same instrument, to the detriment of </w:t>
      </w:r>
      <w:r w:rsidR="00272A82" w:rsidRPr="00771EED">
        <w:t xml:space="preserve">Luis Fernando Guevara Díaz. </w:t>
      </w:r>
    </w:p>
    <w:p w14:paraId="3E14E6EB" w14:textId="77777777" w:rsidR="00272A82" w:rsidRPr="00771EED" w:rsidRDefault="00272A82" w:rsidP="00272A82">
      <w:pPr>
        <w:pStyle w:val="parrafos"/>
        <w:autoSpaceDE w:val="0"/>
        <w:autoSpaceDN w:val="0"/>
        <w:adjustRightInd w:val="0"/>
      </w:pPr>
    </w:p>
    <w:p w14:paraId="42EB9F36" w14:textId="77777777" w:rsidR="00272A82" w:rsidRPr="00771EED" w:rsidRDefault="006A08F3" w:rsidP="00F568F9">
      <w:pPr>
        <w:pStyle w:val="Heading2"/>
        <w:numPr>
          <w:ilvl w:val="0"/>
          <w:numId w:val="108"/>
        </w:numPr>
        <w:ind w:hanging="1800"/>
      </w:pPr>
      <w:bookmarkStart w:id="75" w:name="_Toc37678670"/>
      <w:bookmarkStart w:id="76" w:name="_Toc37681818"/>
      <w:bookmarkStart w:id="77" w:name="_Toc42239536"/>
      <w:r>
        <w:t>Judicial protection</w:t>
      </w:r>
      <w:r w:rsidR="00272A82" w:rsidRPr="00771EED">
        <w:rPr>
          <w:rStyle w:val="FootnoteReference"/>
          <w:rFonts w:eastAsia="Trebuchet MS"/>
        </w:rPr>
        <w:footnoteReference w:id="57"/>
      </w:r>
      <w:r w:rsidR="00272A82" w:rsidRPr="00771EED">
        <w:t xml:space="preserve"> </w:t>
      </w:r>
      <w:r w:rsidR="00666AEE">
        <w:t xml:space="preserve">and duty </w:t>
      </w:r>
      <w:r w:rsidR="00633D91">
        <w:t>to state grounds</w:t>
      </w:r>
      <w:r w:rsidR="00272A82" w:rsidRPr="00771EED">
        <w:rPr>
          <w:rStyle w:val="FootnoteReference"/>
          <w:rFonts w:eastAsia="Trebuchet MS"/>
        </w:rPr>
        <w:footnoteReference w:id="58"/>
      </w:r>
      <w:bookmarkEnd w:id="75"/>
      <w:bookmarkEnd w:id="76"/>
      <w:bookmarkEnd w:id="77"/>
    </w:p>
    <w:p w14:paraId="6447AC4A" w14:textId="77777777" w:rsidR="00272A82" w:rsidRPr="00771EED" w:rsidRDefault="00272A82" w:rsidP="00272A82">
      <w:pPr>
        <w:pStyle w:val="parrafos"/>
      </w:pPr>
    </w:p>
    <w:p w14:paraId="2CA96C46" w14:textId="77777777" w:rsidR="00272A82" w:rsidRPr="00771EED" w:rsidRDefault="003A4D59" w:rsidP="00272A82">
      <w:pPr>
        <w:pStyle w:val="parrafos"/>
        <w:numPr>
          <w:ilvl w:val="0"/>
          <w:numId w:val="106"/>
        </w:numPr>
        <w:tabs>
          <w:tab w:val="clear" w:pos="1440"/>
        </w:tabs>
        <w:ind w:left="0" w:firstLine="0"/>
      </w:pPr>
      <w:r>
        <w:t xml:space="preserve">The IACHR recalls that the State is bound by the general obligation to provide effective judicial </w:t>
      </w:r>
      <w:r w:rsidR="007F02ED">
        <w:t xml:space="preserve">recourse </w:t>
      </w:r>
      <w:r w:rsidR="00873249">
        <w:t xml:space="preserve">to persons who claim to be victims of human rights violations (Article 25), which </w:t>
      </w:r>
      <w:r w:rsidR="00E47E77">
        <w:t xml:space="preserve">must be adjudicated in </w:t>
      </w:r>
      <w:r w:rsidR="006E25E3">
        <w:t xml:space="preserve">accordance with </w:t>
      </w:r>
      <w:r w:rsidR="00800D2B">
        <w:t xml:space="preserve">the rules of due process of law (Article 8.1). </w:t>
      </w:r>
      <w:r w:rsidR="00DE398F">
        <w:t xml:space="preserve">In order for </w:t>
      </w:r>
      <w:r w:rsidR="00A05919">
        <w:t>a</w:t>
      </w:r>
      <w:r w:rsidR="00FD4374">
        <w:t xml:space="preserve">n effective recourse to exist, it is not enough for it to be established by the law, rather it needs to be truly appropriate for establishing </w:t>
      </w:r>
      <w:r w:rsidR="0057512A">
        <w:t xml:space="preserve">whether </w:t>
      </w:r>
      <w:r w:rsidR="00FD4374">
        <w:t xml:space="preserve">there has been a human rights violation and for providing whatever is necessary to </w:t>
      </w:r>
      <w:r w:rsidR="00B81164">
        <w:t>redress it.</w:t>
      </w:r>
      <w:r w:rsidR="00272A82" w:rsidRPr="00771EED">
        <w:rPr>
          <w:vertAlign w:val="superscript"/>
        </w:rPr>
        <w:footnoteReference w:id="59"/>
      </w:r>
    </w:p>
    <w:p w14:paraId="7AAB87A7" w14:textId="77777777" w:rsidR="00272A82" w:rsidRPr="00771EED" w:rsidRDefault="00272A82" w:rsidP="00272A82">
      <w:pPr>
        <w:pStyle w:val="parrafos"/>
      </w:pPr>
    </w:p>
    <w:p w14:paraId="218003C9" w14:textId="77777777" w:rsidR="00272A82" w:rsidRPr="00771EED" w:rsidRDefault="004346C8" w:rsidP="00272A82">
      <w:pPr>
        <w:pStyle w:val="parrafos"/>
        <w:numPr>
          <w:ilvl w:val="0"/>
          <w:numId w:val="106"/>
        </w:numPr>
        <w:tabs>
          <w:tab w:val="clear" w:pos="1440"/>
        </w:tabs>
        <w:ind w:left="0" w:firstLine="0"/>
      </w:pPr>
      <w:r>
        <w:t xml:space="preserve">As for the duty to state grounds, the IACHR notes that obligation to </w:t>
      </w:r>
      <w:r w:rsidR="00B61A36">
        <w:t xml:space="preserve">found </w:t>
      </w:r>
      <w:r w:rsidR="00CB42E9">
        <w:t xml:space="preserve">decisions is a guarantee </w:t>
      </w:r>
      <w:r w:rsidR="00264779">
        <w:t xml:space="preserve">related to the </w:t>
      </w:r>
      <w:r w:rsidR="00CB42E9">
        <w:t xml:space="preserve">proper administration of justice, which protects </w:t>
      </w:r>
      <w:r w:rsidR="00B2536B">
        <w:t xml:space="preserve">the right of </w:t>
      </w:r>
      <w:r w:rsidR="00264779">
        <w:t xml:space="preserve">the people to be </w:t>
      </w:r>
      <w:r w:rsidR="00563AB5">
        <w:t xml:space="preserve">tried for the reasons </w:t>
      </w:r>
      <w:r w:rsidR="00A93916">
        <w:t xml:space="preserve">established </w:t>
      </w:r>
      <w:r w:rsidR="00563AB5">
        <w:t xml:space="preserve">by law, and </w:t>
      </w:r>
      <w:r w:rsidR="008C2E72">
        <w:t xml:space="preserve">lends </w:t>
      </w:r>
      <w:r w:rsidR="00563AB5">
        <w:t xml:space="preserve">credibility </w:t>
      </w:r>
      <w:r w:rsidR="00E91093">
        <w:t xml:space="preserve">to judicial decisions in a democratic society. </w:t>
      </w:r>
      <w:r w:rsidR="004511D6">
        <w:t xml:space="preserve">For this reason, </w:t>
      </w:r>
      <w:r w:rsidR="00CF044B">
        <w:t xml:space="preserve">decisions </w:t>
      </w:r>
      <w:r w:rsidR="004511D6">
        <w:t xml:space="preserve">made </w:t>
      </w:r>
      <w:r w:rsidR="00CF044B">
        <w:t>by domestic bodies</w:t>
      </w:r>
      <w:r w:rsidR="00925583">
        <w:t xml:space="preserve">, that </w:t>
      </w:r>
      <w:r w:rsidR="00AA6BB1">
        <w:t xml:space="preserve">can affect </w:t>
      </w:r>
      <w:r w:rsidR="00925583">
        <w:t xml:space="preserve">human rights must be </w:t>
      </w:r>
      <w:r w:rsidR="00434B80">
        <w:t xml:space="preserve">duly </w:t>
      </w:r>
      <w:r w:rsidR="00925583">
        <w:t>founded</w:t>
      </w:r>
      <w:r w:rsidR="00434B80">
        <w:t xml:space="preserve">; </w:t>
      </w:r>
      <w:r w:rsidR="00575BCD">
        <w:t xml:space="preserve">otherwise they would be arbitrary decisions. </w:t>
      </w:r>
      <w:r w:rsidR="00B62D97">
        <w:t xml:space="preserve">In this regard, </w:t>
      </w:r>
      <w:r w:rsidR="009514CD">
        <w:t xml:space="preserve">the considerations of a </w:t>
      </w:r>
      <w:r w:rsidR="000B3711">
        <w:t xml:space="preserve">ruling and certain administrative </w:t>
      </w:r>
      <w:r w:rsidR="008243CF">
        <w:t xml:space="preserve">decisions </w:t>
      </w:r>
      <w:r w:rsidR="00514F20">
        <w:t xml:space="preserve">must reveal the facts, grounds and laws on which the authority based itself to make its decision in order to eliminate any sign of arbitrariness. </w:t>
      </w:r>
      <w:r w:rsidR="00C51D3A">
        <w:t xml:space="preserve"> Furthermore, the justification </w:t>
      </w:r>
      <w:r w:rsidR="00B00814">
        <w:t xml:space="preserve">demonstrates </w:t>
      </w:r>
      <w:r w:rsidR="00BF341C">
        <w:t xml:space="preserve">to the parties that they have been heard and, in those cases where the decision can be appealed, allows them to contest the decision and to </w:t>
      </w:r>
      <w:r w:rsidR="003F12DC">
        <w:t>ob</w:t>
      </w:r>
      <w:r w:rsidR="00BF341C">
        <w:t>tain another examination of the matter before a higher court.</w:t>
      </w:r>
      <w:r w:rsidR="00272A82" w:rsidRPr="00771EED">
        <w:rPr>
          <w:rStyle w:val="FootnoteReference"/>
          <w:rFonts w:ascii="Cambria" w:hAnsi="Cambria"/>
        </w:rPr>
        <w:footnoteReference w:id="60"/>
      </w:r>
    </w:p>
    <w:p w14:paraId="471E0212" w14:textId="77777777" w:rsidR="00272A82" w:rsidRPr="00771EED" w:rsidRDefault="00272A82" w:rsidP="00272A82">
      <w:pPr>
        <w:pStyle w:val="parrafos"/>
      </w:pPr>
    </w:p>
    <w:p w14:paraId="65425463" w14:textId="77777777" w:rsidR="00272A82" w:rsidRPr="00771EED" w:rsidRDefault="00A71421" w:rsidP="00272A82">
      <w:pPr>
        <w:pStyle w:val="parrafos"/>
        <w:numPr>
          <w:ilvl w:val="0"/>
          <w:numId w:val="106"/>
        </w:numPr>
        <w:tabs>
          <w:tab w:val="clear" w:pos="1440"/>
        </w:tabs>
        <w:ind w:left="0" w:firstLine="0"/>
      </w:pPr>
      <w:r>
        <w:lastRenderedPageBreak/>
        <w:t xml:space="preserve">The Commission notes that after being </w:t>
      </w:r>
      <w:r w:rsidR="004164C6">
        <w:t>advised that he was not selected in the competitive hiring process in which he participated, the alleged victim filed an appeal for reversal of decision</w:t>
      </w:r>
      <w:r w:rsidR="002A4709">
        <w:t>, which was denied on July 11, 2003 by the Chief Office</w:t>
      </w:r>
      <w:r w:rsidR="00B7095A">
        <w:t>r</w:t>
      </w:r>
      <w:r w:rsidR="002A4709">
        <w:t xml:space="preserve"> and Administrative Directorate </w:t>
      </w:r>
      <w:r w:rsidR="00634F0F">
        <w:t xml:space="preserve">of the Ministry of Finance, on the grounds that </w:t>
      </w:r>
      <w:r w:rsidR="00C71DA2">
        <w:t xml:space="preserve">no omissions or irregularities </w:t>
      </w:r>
      <w:r w:rsidR="0091693B">
        <w:t xml:space="preserve">in the proceedings were found </w:t>
      </w:r>
      <w:r w:rsidR="000F2F44">
        <w:t xml:space="preserve">to suggest </w:t>
      </w:r>
      <w:r w:rsidR="002500D2">
        <w:t xml:space="preserve">unequal treatment and that Mr. Guevara participated in the competitive selection process on an equal basis. </w:t>
      </w:r>
      <w:r w:rsidR="002A4709">
        <w:t xml:space="preserve"> </w:t>
      </w:r>
    </w:p>
    <w:p w14:paraId="3CAC50BA" w14:textId="77777777" w:rsidR="00272A82" w:rsidRPr="00771EED" w:rsidRDefault="00272A82" w:rsidP="00272A82">
      <w:pPr>
        <w:pStyle w:val="parrafos"/>
      </w:pPr>
    </w:p>
    <w:p w14:paraId="39A1C597" w14:textId="77777777" w:rsidR="00272A82" w:rsidRPr="00771EED" w:rsidRDefault="00AA4F36" w:rsidP="00272A82">
      <w:pPr>
        <w:pStyle w:val="parrafos"/>
        <w:numPr>
          <w:ilvl w:val="0"/>
          <w:numId w:val="106"/>
        </w:numPr>
        <w:tabs>
          <w:tab w:val="clear" w:pos="1440"/>
        </w:tabs>
        <w:ind w:left="0" w:firstLine="0"/>
      </w:pPr>
      <w:r>
        <w:t xml:space="preserve">Moreover, in the context of the </w:t>
      </w:r>
      <w:r>
        <w:rPr>
          <w:i/>
          <w:iCs/>
        </w:rPr>
        <w:t xml:space="preserve">amparo </w:t>
      </w:r>
      <w:r>
        <w:t xml:space="preserve">petition proceeding, the Constitutional Chamber of the Supreme Court of Justice dismissed </w:t>
      </w:r>
      <w:r w:rsidR="00E47FFA">
        <w:t xml:space="preserve">said petition finding that it was not its responsibility to </w:t>
      </w:r>
      <w:r w:rsidR="00592EDD">
        <w:t>conduct an analysis of the legality of the candidate selection procedure</w:t>
      </w:r>
      <w:r w:rsidR="001837B2">
        <w:t xml:space="preserve">, that is conducted </w:t>
      </w:r>
      <w:r w:rsidR="00333D71">
        <w:t>in the exercise of discretionary powers</w:t>
      </w:r>
      <w:r w:rsidR="00B73D26">
        <w:t xml:space="preserve">, the alleged victim participated in the competitive process </w:t>
      </w:r>
      <w:r w:rsidR="00E438B6">
        <w:t xml:space="preserve">on an equal footing </w:t>
      </w:r>
      <w:r w:rsidR="008B4F28">
        <w:t xml:space="preserve">with the other candidates, and that no acts that could be considered as discriminatory were </w:t>
      </w:r>
      <w:r w:rsidR="00CC7AE5">
        <w:t>detected.</w:t>
      </w:r>
      <w:r>
        <w:t xml:space="preserve"> </w:t>
      </w:r>
      <w:r w:rsidR="00972EBC">
        <w:t xml:space="preserve">Lastly, even though the alleged victim </w:t>
      </w:r>
      <w:r w:rsidR="00D87541">
        <w:t xml:space="preserve">obtained a favorable decision </w:t>
      </w:r>
      <w:r w:rsidR="00617621">
        <w:t>in</w:t>
      </w:r>
      <w:r w:rsidR="00F11B89">
        <w:t xml:space="preserve"> the appeal for reversal with the General Labor Inspector’s Office, th</w:t>
      </w:r>
      <w:r w:rsidR="003D2EEC">
        <w:t xml:space="preserve">e decision was ultimately </w:t>
      </w:r>
      <w:r w:rsidR="001E467F">
        <w:t xml:space="preserve">archived following the decision issued by the Constitutional Chamber of the Supreme Court of Justice. </w:t>
      </w:r>
    </w:p>
    <w:p w14:paraId="0E25F96A" w14:textId="77777777" w:rsidR="00272A82" w:rsidRPr="00771EED" w:rsidRDefault="00272A82" w:rsidP="00272A82">
      <w:pPr>
        <w:pStyle w:val="parrafos"/>
      </w:pPr>
    </w:p>
    <w:p w14:paraId="61DE1CE4" w14:textId="77777777" w:rsidR="00272A82" w:rsidRPr="00771EED" w:rsidRDefault="00F53D00" w:rsidP="00272A82">
      <w:pPr>
        <w:pStyle w:val="parrafos"/>
        <w:numPr>
          <w:ilvl w:val="0"/>
          <w:numId w:val="106"/>
        </w:numPr>
        <w:tabs>
          <w:tab w:val="clear" w:pos="1440"/>
        </w:tabs>
        <w:ind w:left="0" w:firstLine="0"/>
      </w:pPr>
      <w:r>
        <w:t>The Commission finds that</w:t>
      </w:r>
      <w:r w:rsidR="00EE36E3">
        <w:t>,</w:t>
      </w:r>
      <w:r>
        <w:t xml:space="preserve"> in the instant case</w:t>
      </w:r>
      <w:r w:rsidR="00EE36E3">
        <w:t>,</w:t>
      </w:r>
      <w:r>
        <w:t xml:space="preserve"> the </w:t>
      </w:r>
      <w:r w:rsidR="00F84F01">
        <w:t xml:space="preserve">grounds for the decisions </w:t>
      </w:r>
      <w:r w:rsidR="00634453">
        <w:t>were fundamental</w:t>
      </w:r>
      <w:r w:rsidR="00EE36E3">
        <w:t xml:space="preserve">, </w:t>
      </w:r>
      <w:r w:rsidR="006341B4">
        <w:t xml:space="preserve">inasmuch as </w:t>
      </w:r>
      <w:r w:rsidR="00EE36E3">
        <w:t xml:space="preserve">it </w:t>
      </w:r>
      <w:r w:rsidR="009211EB">
        <w:t>involves a</w:t>
      </w:r>
      <w:r w:rsidR="00674823">
        <w:t xml:space="preserve">n individual entitled to special protection </w:t>
      </w:r>
      <w:r w:rsidR="00CA7B5C">
        <w:t>because of his situation of vulnerability</w:t>
      </w:r>
      <w:r w:rsidR="002E78EA">
        <w:t xml:space="preserve"> and the decision in the context of the </w:t>
      </w:r>
      <w:r w:rsidR="00F8420E">
        <w:t>competitive selection process</w:t>
      </w:r>
      <w:r w:rsidR="0031599D">
        <w:t xml:space="preserve"> left him unemployed</w:t>
      </w:r>
      <w:r w:rsidR="00040116">
        <w:t>, increasing the risk of</w:t>
      </w:r>
      <w:r w:rsidR="00327D61">
        <w:t xml:space="preserve"> </w:t>
      </w:r>
      <w:r w:rsidR="00ED2993">
        <w:t xml:space="preserve">pushing him into a situation </w:t>
      </w:r>
      <w:r w:rsidR="00C9031C">
        <w:t xml:space="preserve">of poverty because of </w:t>
      </w:r>
      <w:r w:rsidR="00867070">
        <w:t xml:space="preserve">the discrimination that </w:t>
      </w:r>
      <w:r w:rsidR="00941ED6">
        <w:t xml:space="preserve">persons with disability have historically faced. </w:t>
      </w:r>
      <w:r w:rsidR="00040116">
        <w:t xml:space="preserve"> </w:t>
      </w:r>
      <w:r w:rsidR="00CA7B5C">
        <w:t xml:space="preserve"> </w:t>
      </w:r>
      <w:r w:rsidR="00240C7A">
        <w:t xml:space="preserve">In fact, </w:t>
      </w:r>
      <w:r w:rsidR="000D7378">
        <w:t>as the alleged victim claimed, from the time of the termination of his interim appointment, he has been unable to find gainful employment.</w:t>
      </w:r>
    </w:p>
    <w:p w14:paraId="21073850" w14:textId="77777777" w:rsidR="00272A82" w:rsidRPr="00771EED" w:rsidRDefault="00272A82" w:rsidP="00272A82">
      <w:pPr>
        <w:pStyle w:val="parrafos"/>
        <w:autoSpaceDE w:val="0"/>
        <w:autoSpaceDN w:val="0"/>
        <w:adjustRightInd w:val="0"/>
      </w:pPr>
    </w:p>
    <w:p w14:paraId="2D08149A" w14:textId="77777777" w:rsidR="00272A82" w:rsidRPr="00771EED" w:rsidRDefault="00CA5103" w:rsidP="00272A82">
      <w:pPr>
        <w:pStyle w:val="parrafos"/>
        <w:numPr>
          <w:ilvl w:val="0"/>
          <w:numId w:val="106"/>
        </w:numPr>
        <w:tabs>
          <w:tab w:val="clear" w:pos="1440"/>
        </w:tabs>
        <w:autoSpaceDE w:val="0"/>
        <w:autoSpaceDN w:val="0"/>
        <w:adjustRightInd w:val="0"/>
        <w:ind w:left="0" w:firstLine="0"/>
      </w:pPr>
      <w:r>
        <w:t xml:space="preserve">The Commission </w:t>
      </w:r>
      <w:r w:rsidR="00586C49">
        <w:t xml:space="preserve">understands that, in cases such as the one before it, </w:t>
      </w:r>
      <w:r w:rsidR="00EB0C36">
        <w:t xml:space="preserve">there is heightened reasons for stating the grounds for the decision </w:t>
      </w:r>
      <w:r w:rsidR="00D10D69">
        <w:t>and</w:t>
      </w:r>
      <w:r w:rsidR="00A140B5">
        <w:t xml:space="preserve">, </w:t>
      </w:r>
      <w:r w:rsidR="00906872">
        <w:t>the decision</w:t>
      </w:r>
      <w:r w:rsidR="00A140B5">
        <w:t xml:space="preserve"> should have included at least the following elements: </w:t>
      </w:r>
      <w:r w:rsidR="00272A82" w:rsidRPr="00771EED">
        <w:t xml:space="preserve">1) </w:t>
      </w:r>
      <w:r w:rsidR="00FA42CF">
        <w:t>a substantive analysis of the allegation of disability-based discrimination</w:t>
      </w:r>
      <w:r w:rsidR="00134A2B">
        <w:t xml:space="preserve">, </w:t>
      </w:r>
      <w:r w:rsidR="00B16313">
        <w:t xml:space="preserve">that does not merely </w:t>
      </w:r>
      <w:r w:rsidR="002A26D5">
        <w:t xml:space="preserve">ratify the authority’s </w:t>
      </w:r>
      <w:r w:rsidR="008B7A05">
        <w:t xml:space="preserve">discretionary power to make decisions </w:t>
      </w:r>
      <w:r w:rsidR="00FB174A">
        <w:t xml:space="preserve">in the context of public </w:t>
      </w:r>
      <w:r w:rsidR="00AF79D1">
        <w:t xml:space="preserve">hiring selection processes </w:t>
      </w:r>
      <w:r w:rsidR="00E06A39">
        <w:t xml:space="preserve">and </w:t>
      </w:r>
      <w:r w:rsidR="001C6DB2">
        <w:t xml:space="preserve">that </w:t>
      </w:r>
      <w:r w:rsidR="00E06A39">
        <w:t xml:space="preserve">succeeds at </w:t>
      </w:r>
      <w:r w:rsidR="00746E4E">
        <w:t xml:space="preserve">overcoming the presumption </w:t>
      </w:r>
      <w:r w:rsidR="00120C4E">
        <w:t xml:space="preserve">of arbitrary </w:t>
      </w:r>
      <w:r w:rsidR="0047656F">
        <w:t xml:space="preserve">differential treatment </w:t>
      </w:r>
      <w:r w:rsidR="004971A2">
        <w:t xml:space="preserve">operating </w:t>
      </w:r>
      <w:r w:rsidR="00D52D60">
        <w:t xml:space="preserve">with respect to the category of disability; </w:t>
      </w:r>
      <w:r w:rsidR="00272A82" w:rsidRPr="00771EED">
        <w:t>2)</w:t>
      </w:r>
      <w:r w:rsidR="00D52D60">
        <w:t xml:space="preserve"> </w:t>
      </w:r>
      <w:r w:rsidR="00090134">
        <w:t xml:space="preserve">should </w:t>
      </w:r>
      <w:r w:rsidR="00D52D60">
        <w:t xml:space="preserve">it </w:t>
      </w:r>
      <w:r w:rsidR="00837FDC">
        <w:t>be</w:t>
      </w:r>
      <w:r w:rsidR="00D52D60">
        <w:t xml:space="preserve"> proven that the disability </w:t>
      </w:r>
      <w:r w:rsidR="003E5907">
        <w:t>was the basis for discrimination, an</w:t>
      </w:r>
      <w:r w:rsidR="00974F72">
        <w:t xml:space="preserve"> assessment as to whether or not the disability </w:t>
      </w:r>
      <w:r w:rsidR="00E92703">
        <w:t>would be incompatible with the essential duties of the position, even if reasonable accommodations are made</w:t>
      </w:r>
      <w:r w:rsidR="00430A63">
        <w:t xml:space="preserve">; </w:t>
      </w:r>
      <w:r w:rsidR="00272A82" w:rsidRPr="00771EED">
        <w:t xml:space="preserve">3) </w:t>
      </w:r>
      <w:r w:rsidR="00A212CE">
        <w:t xml:space="preserve">a substantive analysis </w:t>
      </w:r>
      <w:r w:rsidR="00055F02">
        <w:t xml:space="preserve">of compliance with the principle of material equality </w:t>
      </w:r>
      <w:r w:rsidR="00B97D83">
        <w:t xml:space="preserve">or the State’s duty to adopt positive measures to guarantee access </w:t>
      </w:r>
      <w:r w:rsidR="00181D44">
        <w:t xml:space="preserve">to </w:t>
      </w:r>
      <w:r w:rsidR="00B97D83">
        <w:t xml:space="preserve">and retention </w:t>
      </w:r>
      <w:r w:rsidR="0095799F">
        <w:t>in the job of persons with disability;</w:t>
      </w:r>
      <w:r w:rsidR="00726E22">
        <w:t xml:space="preserve"> </w:t>
      </w:r>
      <w:r w:rsidR="00272A82" w:rsidRPr="00771EED">
        <w:t xml:space="preserve">4) </w:t>
      </w:r>
      <w:r w:rsidR="00FD412A">
        <w:t xml:space="preserve">an analysis </w:t>
      </w:r>
      <w:r w:rsidR="0012540C">
        <w:t xml:space="preserve">of whether the State </w:t>
      </w:r>
      <w:r w:rsidR="005B012F">
        <w:t>made minimum efforts to relocate the alleged victim to another position suitable to his condition</w:t>
      </w:r>
      <w:r w:rsidR="004208D2">
        <w:t xml:space="preserve">, taking into account the effect that a dismissal decision </w:t>
      </w:r>
      <w:r w:rsidR="00195B32">
        <w:t>may</w:t>
      </w:r>
      <w:r w:rsidR="004208D2">
        <w:t xml:space="preserve"> have on</w:t>
      </w:r>
      <w:r w:rsidR="00195B32">
        <w:t xml:space="preserve"> a person with disability.</w:t>
      </w:r>
    </w:p>
    <w:p w14:paraId="2A0B32FC" w14:textId="77777777" w:rsidR="00272A82" w:rsidRPr="00771EED" w:rsidRDefault="00272A82" w:rsidP="00272A82">
      <w:pPr>
        <w:pStyle w:val="parrafos"/>
        <w:autoSpaceDE w:val="0"/>
        <w:autoSpaceDN w:val="0"/>
        <w:adjustRightInd w:val="0"/>
      </w:pPr>
    </w:p>
    <w:p w14:paraId="0AAFBBA0" w14:textId="77777777" w:rsidR="00272A82" w:rsidRPr="00771EED" w:rsidRDefault="00282B4F" w:rsidP="00272A82">
      <w:pPr>
        <w:pStyle w:val="parrafos"/>
        <w:numPr>
          <w:ilvl w:val="0"/>
          <w:numId w:val="106"/>
        </w:numPr>
        <w:tabs>
          <w:tab w:val="clear" w:pos="1440"/>
        </w:tabs>
        <w:autoSpaceDE w:val="0"/>
        <w:autoSpaceDN w:val="0"/>
        <w:adjustRightInd w:val="0"/>
        <w:ind w:left="0" w:firstLine="0"/>
      </w:pPr>
      <w:r>
        <w:t xml:space="preserve">The Commission </w:t>
      </w:r>
      <w:r w:rsidR="00406912">
        <w:t xml:space="preserve">notes that in the instant case the authorities that denied the </w:t>
      </w:r>
      <w:r w:rsidR="00164067">
        <w:t xml:space="preserve">appeals for reversal and </w:t>
      </w:r>
      <w:r w:rsidR="00164067">
        <w:rPr>
          <w:i/>
          <w:iCs/>
        </w:rPr>
        <w:t xml:space="preserve">amparo </w:t>
      </w:r>
      <w:r w:rsidR="00164067">
        <w:t xml:space="preserve">relief filed by the alleged victim did not adequately found </w:t>
      </w:r>
      <w:r w:rsidR="007064A2">
        <w:t>their decisions</w:t>
      </w:r>
      <w:r w:rsidR="001A5531">
        <w:t xml:space="preserve"> pursuant to the </w:t>
      </w:r>
      <w:r w:rsidR="00735511">
        <w:t>requirements set forth in the previous paragraph</w:t>
      </w:r>
      <w:r w:rsidR="00586C8D">
        <w:t xml:space="preserve">, inasmuch as </w:t>
      </w:r>
      <w:r w:rsidR="000C7A2A">
        <w:t xml:space="preserve">they merely </w:t>
      </w:r>
      <w:r w:rsidR="003405E3">
        <w:t xml:space="preserve">indicated that the alleged victim participated on an equal basis </w:t>
      </w:r>
      <w:r w:rsidR="00241918">
        <w:t>in the competitive hiring selection process</w:t>
      </w:r>
      <w:r w:rsidR="00E801A0">
        <w:t>, which on the one hand</w:t>
      </w:r>
      <w:r w:rsidR="002259F3">
        <w:t xml:space="preserve">, as noted in the previous section, is at odds with the available evidence, and on the other hand, </w:t>
      </w:r>
      <w:r w:rsidR="00DF5DA1">
        <w:t xml:space="preserve">the State did not take into account that </w:t>
      </w:r>
      <w:r w:rsidR="001A352E">
        <w:t xml:space="preserve">such </w:t>
      </w:r>
      <w:r w:rsidR="003C1439">
        <w:t>grounds are not sufficient</w:t>
      </w:r>
      <w:r w:rsidR="000C1BB5">
        <w:t>, because in cases such as the one before it</w:t>
      </w:r>
      <w:r w:rsidR="006A1622">
        <w:t xml:space="preserve"> the State has the obligation to adopt positive measures to ensure access</w:t>
      </w:r>
      <w:r w:rsidR="00754E71">
        <w:t xml:space="preserve"> to</w:t>
      </w:r>
      <w:r w:rsidR="006A1622">
        <w:t xml:space="preserve"> </w:t>
      </w:r>
      <w:r w:rsidR="00157A7B">
        <w:t>and retention</w:t>
      </w:r>
      <w:r w:rsidR="00C02E01">
        <w:t xml:space="preserve"> in the job of persons with disability. </w:t>
      </w:r>
      <w:r w:rsidR="00E61243">
        <w:t xml:space="preserve"> The Commission </w:t>
      </w:r>
      <w:r w:rsidR="00E53A36">
        <w:t xml:space="preserve">finds that it is a violation of the duty to state grounds as explained in this section. </w:t>
      </w:r>
      <w:r w:rsidR="00157A7B">
        <w:t xml:space="preserve"> </w:t>
      </w:r>
    </w:p>
    <w:p w14:paraId="12BDA6F2" w14:textId="77777777" w:rsidR="00272A82" w:rsidRPr="00771EED" w:rsidRDefault="00272A82" w:rsidP="00272A82">
      <w:pPr>
        <w:pStyle w:val="parrafos"/>
        <w:autoSpaceDE w:val="0"/>
        <w:autoSpaceDN w:val="0"/>
        <w:adjustRightInd w:val="0"/>
      </w:pPr>
    </w:p>
    <w:p w14:paraId="10BA3FC6" w14:textId="77777777" w:rsidR="00272A82" w:rsidRPr="00771EED" w:rsidRDefault="00705C86" w:rsidP="00272A82">
      <w:pPr>
        <w:pStyle w:val="parrafos"/>
        <w:numPr>
          <w:ilvl w:val="0"/>
          <w:numId w:val="106"/>
        </w:numPr>
        <w:tabs>
          <w:tab w:val="clear" w:pos="1440"/>
        </w:tabs>
        <w:autoSpaceDE w:val="0"/>
        <w:autoSpaceDN w:val="0"/>
        <w:adjustRightInd w:val="0"/>
        <w:ind w:left="0" w:firstLine="0"/>
      </w:pPr>
      <w:r>
        <w:t xml:space="preserve">The Commission further finds that the response </w:t>
      </w:r>
      <w:r w:rsidR="00E54568">
        <w:t xml:space="preserve">in the context of the petition for constitutional relief via </w:t>
      </w:r>
      <w:r w:rsidR="00E54568">
        <w:rPr>
          <w:i/>
          <w:iCs/>
        </w:rPr>
        <w:t xml:space="preserve">amparo, </w:t>
      </w:r>
      <w:r w:rsidR="00E54568">
        <w:t xml:space="preserve">which upholds the </w:t>
      </w:r>
      <w:r w:rsidR="003D39C2">
        <w:t xml:space="preserve">denial of the </w:t>
      </w:r>
      <w:r w:rsidR="00E54568">
        <w:t xml:space="preserve">decision </w:t>
      </w:r>
      <w:r w:rsidR="002339D1">
        <w:t xml:space="preserve">to reverse and only notes that it is not its job to </w:t>
      </w:r>
      <w:r w:rsidR="00F736B6">
        <w:t xml:space="preserve">conduct an analysis of the legality of the procedure to </w:t>
      </w:r>
      <w:r w:rsidR="00335F6C">
        <w:t xml:space="preserve">select candidates, which is conducted in the exercise of discretionary power, constitutes a violation of </w:t>
      </w:r>
      <w:r w:rsidR="00097C37">
        <w:t xml:space="preserve">judicial protection, as it does not allow the alleged victim </w:t>
      </w:r>
      <w:r w:rsidR="00D73FB0">
        <w:t xml:space="preserve">to have a substantive review of his allegation of discrimination and merely </w:t>
      </w:r>
      <w:r w:rsidR="000924A4">
        <w:t xml:space="preserve">ratifies </w:t>
      </w:r>
      <w:r w:rsidR="00DC60C5">
        <w:t xml:space="preserve">the grounds of </w:t>
      </w:r>
      <w:r w:rsidR="009A56B2">
        <w:t xml:space="preserve">discretionary power in the selection process, </w:t>
      </w:r>
      <w:r w:rsidR="000F6106">
        <w:t xml:space="preserve">which were not sufficient to overcome the presumption of discrimination </w:t>
      </w:r>
      <w:r w:rsidR="00FF7C43">
        <w:t xml:space="preserve">at issue </w:t>
      </w:r>
      <w:r w:rsidR="00670706">
        <w:t xml:space="preserve">in cases in which disability-based </w:t>
      </w:r>
      <w:r w:rsidR="00E05F32">
        <w:t xml:space="preserve">discrimination is alleged. </w:t>
      </w:r>
    </w:p>
    <w:p w14:paraId="542D48B3" w14:textId="77777777" w:rsidR="00272A82" w:rsidRPr="00771EED" w:rsidRDefault="00272A82" w:rsidP="00272A82">
      <w:pPr>
        <w:pStyle w:val="parrafos"/>
        <w:autoSpaceDE w:val="0"/>
        <w:autoSpaceDN w:val="0"/>
        <w:adjustRightInd w:val="0"/>
      </w:pPr>
    </w:p>
    <w:p w14:paraId="684AD696" w14:textId="77777777" w:rsidR="00272A82" w:rsidRPr="00771EED" w:rsidRDefault="007303FB" w:rsidP="00272A82">
      <w:pPr>
        <w:pStyle w:val="parrafos"/>
        <w:numPr>
          <w:ilvl w:val="0"/>
          <w:numId w:val="106"/>
        </w:numPr>
        <w:tabs>
          <w:tab w:val="clear" w:pos="1440"/>
        </w:tabs>
        <w:autoSpaceDE w:val="0"/>
        <w:autoSpaceDN w:val="0"/>
        <w:adjustRightInd w:val="0"/>
        <w:ind w:left="0" w:firstLine="0"/>
      </w:pPr>
      <w:r>
        <w:t xml:space="preserve">Based on the foregoing considerations, </w:t>
      </w:r>
      <w:r w:rsidR="00AC79AD">
        <w:t xml:space="preserve">the Commission finds that the State of Costa Rica </w:t>
      </w:r>
      <w:r w:rsidR="00DC79D4">
        <w:t xml:space="preserve">violated the rights </w:t>
      </w:r>
      <w:r w:rsidR="00142924">
        <w:t xml:space="preserve">established in Articles </w:t>
      </w:r>
      <w:r w:rsidR="00272A82" w:rsidRPr="00771EED">
        <w:t xml:space="preserve">8.1 </w:t>
      </w:r>
      <w:r w:rsidR="00927080">
        <w:t>and</w:t>
      </w:r>
      <w:r w:rsidR="00272A82" w:rsidRPr="00771EED">
        <w:t xml:space="preserve"> 25.1 </w:t>
      </w:r>
      <w:r w:rsidR="00B40371">
        <w:t xml:space="preserve">of the American Convention </w:t>
      </w:r>
      <w:r w:rsidR="00794ADE">
        <w:t xml:space="preserve">in connection with Article 1.1 of the same instrument to the detriment of </w:t>
      </w:r>
      <w:r w:rsidR="00272A82" w:rsidRPr="00771EED">
        <w:t>Luis Fernando Guevara Díaz.</w:t>
      </w:r>
    </w:p>
    <w:p w14:paraId="1A173759" w14:textId="77777777" w:rsidR="00272A82" w:rsidRPr="00771EED" w:rsidRDefault="00272A82" w:rsidP="00272A82">
      <w:pPr>
        <w:pStyle w:val="parrafos"/>
      </w:pPr>
    </w:p>
    <w:p w14:paraId="07B318AB" w14:textId="77777777" w:rsidR="00272A82" w:rsidRPr="00771EED" w:rsidRDefault="00272A82" w:rsidP="00272A82">
      <w:pPr>
        <w:pStyle w:val="Heading1"/>
        <w:rPr>
          <w:rFonts w:eastAsia="Cambria"/>
          <w:u w:color="000000"/>
          <w:lang w:eastAsia="es-ES"/>
        </w:rPr>
      </w:pPr>
      <w:bookmarkStart w:id="78" w:name="_Toc37678671"/>
      <w:bookmarkStart w:id="79" w:name="_Toc37681819"/>
      <w:bookmarkStart w:id="80" w:name="_Toc42239537"/>
      <w:r w:rsidRPr="00771EED">
        <w:rPr>
          <w:rFonts w:eastAsia="Cambria"/>
          <w:u w:color="000000"/>
          <w:lang w:eastAsia="es-ES"/>
        </w:rPr>
        <w:t xml:space="preserve">CONCLUSIONS </w:t>
      </w:r>
      <w:r w:rsidR="00D451B3">
        <w:rPr>
          <w:rFonts w:eastAsia="Cambria"/>
          <w:u w:color="000000"/>
          <w:lang w:eastAsia="es-ES"/>
        </w:rPr>
        <w:t xml:space="preserve">AND RECOMMENDATIONS </w:t>
      </w:r>
      <w:bookmarkEnd w:id="78"/>
      <w:bookmarkEnd w:id="79"/>
      <w:bookmarkEnd w:id="80"/>
    </w:p>
    <w:p w14:paraId="7CC60899" w14:textId="77777777" w:rsidR="00272A82" w:rsidRPr="00771EED" w:rsidRDefault="00272A82" w:rsidP="00272A82">
      <w:pPr>
        <w:rPr>
          <w:lang w:eastAsia="es-ES"/>
        </w:rPr>
      </w:pPr>
    </w:p>
    <w:p w14:paraId="5444C36D" w14:textId="77777777" w:rsidR="00272A82" w:rsidRPr="00771EED" w:rsidRDefault="00B7069E" w:rsidP="00272A82">
      <w:pPr>
        <w:pStyle w:val="parrafos"/>
        <w:numPr>
          <w:ilvl w:val="0"/>
          <w:numId w:val="106"/>
        </w:numPr>
        <w:tabs>
          <w:tab w:val="clear" w:pos="1440"/>
        </w:tabs>
        <w:ind w:left="0" w:firstLine="0"/>
        <w:rPr>
          <w:rFonts w:eastAsia="Times New Roman" w:cs="Courier New"/>
          <w:color w:val="212121"/>
          <w:bdr w:val="none" w:sz="0" w:space="0" w:color="auto"/>
        </w:rPr>
      </w:pPr>
      <w:r>
        <w:t xml:space="preserve">The Commission concludes that the Costa Rican State is responsible for the violation of the rights to fair trial, judicial protection, equal protection and the right to work as established in Articles </w:t>
      </w:r>
      <w:r w:rsidR="00272A82" w:rsidRPr="00771EED">
        <w:t xml:space="preserve">8.1, 24, 25.1 </w:t>
      </w:r>
      <w:r>
        <w:t>and</w:t>
      </w:r>
      <w:r w:rsidR="00272A82" w:rsidRPr="00771EED">
        <w:t xml:space="preserve"> 26 </w:t>
      </w:r>
      <w:r w:rsidR="00BD09FD">
        <w:t>of the American Convention in connection with the obligations set forth in Article 1.1 of the same instrument</w:t>
      </w:r>
      <w:r w:rsidR="008D5092">
        <w:t xml:space="preserve">, to the detriment of </w:t>
      </w:r>
      <w:r w:rsidR="00272A82" w:rsidRPr="00771EED">
        <w:t xml:space="preserve">Luis Fernando Guevara Díaz. </w:t>
      </w:r>
    </w:p>
    <w:p w14:paraId="6D0A1186" w14:textId="77777777" w:rsidR="00272A82" w:rsidRPr="00771EED" w:rsidRDefault="00272A82" w:rsidP="00272A82">
      <w:pPr>
        <w:pStyle w:val="parrafos"/>
        <w:rPr>
          <w:rFonts w:eastAsia="Times New Roman" w:cs="Courier New"/>
          <w:color w:val="212121"/>
          <w:bdr w:val="none" w:sz="0" w:space="0" w:color="auto"/>
        </w:rPr>
      </w:pPr>
    </w:p>
    <w:p w14:paraId="364F3538" w14:textId="77777777" w:rsidR="00272A82" w:rsidRPr="00771EED" w:rsidRDefault="008D5092" w:rsidP="00272A82">
      <w:pPr>
        <w:pStyle w:val="parrafos"/>
        <w:numPr>
          <w:ilvl w:val="0"/>
          <w:numId w:val="106"/>
        </w:numPr>
        <w:tabs>
          <w:tab w:val="clear" w:pos="1440"/>
        </w:tabs>
        <w:ind w:left="0" w:firstLine="0"/>
        <w:rPr>
          <w:rFonts w:eastAsia="Times New Roman" w:cs="Courier New"/>
          <w:color w:val="auto"/>
          <w:bdr w:val="none" w:sz="0" w:space="0" w:color="auto"/>
        </w:rPr>
      </w:pPr>
      <w:r>
        <w:rPr>
          <w:rFonts w:eastAsia="Times New Roman" w:cs="Courier New"/>
          <w:color w:val="auto"/>
          <w:bdr w:val="none" w:sz="0" w:space="0" w:color="auto"/>
        </w:rPr>
        <w:t xml:space="preserve">Based on the analysis and conclusions of the instant report, </w:t>
      </w:r>
    </w:p>
    <w:p w14:paraId="17B982C8" w14:textId="77777777" w:rsidR="00272A82" w:rsidRPr="00771EED" w:rsidRDefault="00272A82" w:rsidP="00272A82">
      <w:pPr>
        <w:pStyle w:val="parrafos"/>
        <w:rPr>
          <w:rFonts w:eastAsia="Times New Roman" w:cs="Courier New"/>
          <w:color w:val="212121"/>
          <w:bdr w:val="none" w:sz="0" w:space="0" w:color="auto"/>
        </w:rPr>
      </w:pPr>
    </w:p>
    <w:p w14:paraId="42DAF98A" w14:textId="77777777" w:rsidR="00272A82" w:rsidRPr="00771EED" w:rsidRDefault="008D5092" w:rsidP="00272A82">
      <w:pPr>
        <w:jc w:val="both"/>
        <w:rPr>
          <w:rFonts w:ascii="Cambria" w:hAnsi="Cambria"/>
          <w:b/>
          <w:bCs/>
          <w:sz w:val="20"/>
          <w:szCs w:val="20"/>
        </w:rPr>
      </w:pPr>
      <w:r>
        <w:rPr>
          <w:rFonts w:ascii="Cambria" w:hAnsi="Cambria"/>
          <w:b/>
          <w:bCs/>
          <w:sz w:val="20"/>
          <w:szCs w:val="20"/>
        </w:rPr>
        <w:t>THE INTER-AMERICAN COMMISSION ON HUMAN RIGHTS RECOMMENDS THE STATE OF COSTA RICA:</w:t>
      </w:r>
    </w:p>
    <w:p w14:paraId="65A3F687" w14:textId="77777777" w:rsidR="00272A82" w:rsidRPr="00771EED" w:rsidRDefault="00272A82" w:rsidP="00272A82">
      <w:pPr>
        <w:jc w:val="both"/>
        <w:rPr>
          <w:rFonts w:ascii="Cambria" w:hAnsi="Cambria"/>
          <w:b/>
          <w:bCs/>
          <w:sz w:val="20"/>
          <w:szCs w:val="20"/>
        </w:rPr>
      </w:pPr>
    </w:p>
    <w:p w14:paraId="5E357940" w14:textId="77777777" w:rsidR="00272A82" w:rsidRPr="00771EED" w:rsidRDefault="000F6446" w:rsidP="00272A82">
      <w:pPr>
        <w:pStyle w:val="parrafos"/>
        <w:numPr>
          <w:ilvl w:val="0"/>
          <w:numId w:val="110"/>
        </w:numPr>
        <w:tabs>
          <w:tab w:val="clear" w:pos="1440"/>
        </w:tabs>
        <w:ind w:left="360"/>
        <w:rPr>
          <w:rFonts w:eastAsia="Times New Roman" w:cs="Courier New"/>
          <w:color w:val="212121"/>
          <w:bdr w:val="none" w:sz="0" w:space="0" w:color="auto"/>
        </w:rPr>
      </w:pPr>
      <w:r>
        <w:rPr>
          <w:rFonts w:eastAsia="Times New Roman" w:cs="Courier New"/>
          <w:color w:val="212121"/>
          <w:bdr w:val="none" w:sz="0" w:space="0" w:color="auto"/>
        </w:rPr>
        <w:t>To r</w:t>
      </w:r>
      <w:r w:rsidR="0088250A">
        <w:rPr>
          <w:rFonts w:eastAsia="Times New Roman" w:cs="Courier New"/>
          <w:color w:val="212121"/>
          <w:bdr w:val="none" w:sz="0" w:space="0" w:color="auto"/>
        </w:rPr>
        <w:t>einstate the victim in</w:t>
      </w:r>
      <w:r w:rsidR="00650E6A">
        <w:rPr>
          <w:rFonts w:eastAsia="Times New Roman" w:cs="Courier New"/>
          <w:color w:val="212121"/>
          <w:bdr w:val="none" w:sz="0" w:space="0" w:color="auto"/>
        </w:rPr>
        <w:t xml:space="preserve"> the</w:t>
      </w:r>
      <w:r w:rsidR="0088250A">
        <w:rPr>
          <w:rFonts w:eastAsia="Times New Roman" w:cs="Courier New"/>
          <w:color w:val="212121"/>
          <w:bdr w:val="none" w:sz="0" w:space="0" w:color="auto"/>
        </w:rPr>
        <w:t xml:space="preserve"> civil service to a position of equal or higher grade than the one he was holding at the time of his</w:t>
      </w:r>
      <w:r w:rsidR="00123165">
        <w:rPr>
          <w:rFonts w:eastAsia="Times New Roman" w:cs="Courier New"/>
          <w:color w:val="212121"/>
          <w:bdr w:val="none" w:sz="0" w:space="0" w:color="auto"/>
        </w:rPr>
        <w:t xml:space="preserve"> termination</w:t>
      </w:r>
      <w:r w:rsidR="0088250A">
        <w:rPr>
          <w:rFonts w:eastAsia="Times New Roman" w:cs="Courier New"/>
          <w:color w:val="212121"/>
          <w:bdr w:val="none" w:sz="0" w:space="0" w:color="auto"/>
        </w:rPr>
        <w:t xml:space="preserve">. </w:t>
      </w:r>
      <w:r w:rsidR="00F05799">
        <w:rPr>
          <w:rFonts w:eastAsia="Times New Roman" w:cs="Courier New"/>
          <w:color w:val="212121"/>
          <w:bdr w:val="none" w:sz="0" w:space="0" w:color="auto"/>
        </w:rPr>
        <w:t xml:space="preserve">In the event the victim does not </w:t>
      </w:r>
      <w:r w:rsidR="00995B24">
        <w:rPr>
          <w:rFonts w:eastAsia="Times New Roman" w:cs="Courier New"/>
          <w:color w:val="212121"/>
          <w:bdr w:val="none" w:sz="0" w:space="0" w:color="auto"/>
        </w:rPr>
        <w:t xml:space="preserve">want to be reinstated </w:t>
      </w:r>
      <w:r w:rsidR="00F05799">
        <w:rPr>
          <w:rFonts w:eastAsia="Times New Roman" w:cs="Courier New"/>
          <w:color w:val="212121"/>
          <w:bdr w:val="none" w:sz="0" w:space="0" w:color="auto"/>
        </w:rPr>
        <w:t xml:space="preserve">or </w:t>
      </w:r>
      <w:r w:rsidR="00891F56">
        <w:rPr>
          <w:rFonts w:eastAsia="Times New Roman" w:cs="Courier New"/>
          <w:color w:val="212121"/>
          <w:bdr w:val="none" w:sz="0" w:space="0" w:color="auto"/>
        </w:rPr>
        <w:t xml:space="preserve">there are objective reasons </w:t>
      </w:r>
      <w:r w:rsidR="00324159">
        <w:rPr>
          <w:rFonts w:eastAsia="Times New Roman" w:cs="Courier New"/>
          <w:color w:val="212121"/>
          <w:bdr w:val="none" w:sz="0" w:space="0" w:color="auto"/>
        </w:rPr>
        <w:t xml:space="preserve">impeding </w:t>
      </w:r>
      <w:r w:rsidR="004D0807">
        <w:rPr>
          <w:rFonts w:eastAsia="Times New Roman" w:cs="Courier New"/>
          <w:color w:val="212121"/>
          <w:bdr w:val="none" w:sz="0" w:space="0" w:color="auto"/>
        </w:rPr>
        <w:t>his reinstatement</w:t>
      </w:r>
      <w:r w:rsidR="00E300C9">
        <w:rPr>
          <w:rFonts w:eastAsia="Times New Roman" w:cs="Courier New"/>
          <w:color w:val="212121"/>
          <w:bdr w:val="none" w:sz="0" w:space="0" w:color="auto"/>
        </w:rPr>
        <w:t>, the State should pay monetary compensation for this reason</w:t>
      </w:r>
      <w:r w:rsidR="002C1163">
        <w:rPr>
          <w:rFonts w:eastAsia="Times New Roman" w:cs="Courier New"/>
          <w:color w:val="212121"/>
          <w:bdr w:val="none" w:sz="0" w:space="0" w:color="auto"/>
        </w:rPr>
        <w:t xml:space="preserve">, which is independent from </w:t>
      </w:r>
      <w:r w:rsidR="009E29F8">
        <w:rPr>
          <w:rFonts w:eastAsia="Times New Roman" w:cs="Courier New"/>
          <w:color w:val="212121"/>
          <w:bdr w:val="none" w:sz="0" w:space="0" w:color="auto"/>
        </w:rPr>
        <w:t xml:space="preserve">the reparations relating </w:t>
      </w:r>
      <w:r w:rsidR="008D52BD">
        <w:rPr>
          <w:rFonts w:eastAsia="Times New Roman" w:cs="Courier New"/>
          <w:color w:val="212121"/>
          <w:bdr w:val="none" w:sz="0" w:space="0" w:color="auto"/>
        </w:rPr>
        <w:t xml:space="preserve">to the pecuniary and non-pecuniary damages </w:t>
      </w:r>
      <w:r w:rsidR="003A252F">
        <w:rPr>
          <w:rFonts w:eastAsia="Times New Roman" w:cs="Courier New"/>
          <w:color w:val="212121"/>
          <w:bdr w:val="none" w:sz="0" w:space="0" w:color="auto"/>
        </w:rPr>
        <w:t xml:space="preserve">included in the next recommendation. </w:t>
      </w:r>
    </w:p>
    <w:p w14:paraId="44796EC8" w14:textId="77777777" w:rsidR="00272A82" w:rsidRPr="00771EED" w:rsidRDefault="00272A82" w:rsidP="00272A82">
      <w:pPr>
        <w:pStyle w:val="parrafos"/>
        <w:ind w:left="360"/>
        <w:rPr>
          <w:rFonts w:eastAsia="Times New Roman" w:cs="Courier New"/>
          <w:color w:val="212121"/>
          <w:bdr w:val="none" w:sz="0" w:space="0" w:color="auto"/>
        </w:rPr>
      </w:pPr>
    </w:p>
    <w:p w14:paraId="019BC308" w14:textId="77777777" w:rsidR="00272A82" w:rsidRPr="00771EED" w:rsidRDefault="00D17FFC" w:rsidP="00272A82">
      <w:pPr>
        <w:pStyle w:val="parrafos"/>
        <w:numPr>
          <w:ilvl w:val="0"/>
          <w:numId w:val="110"/>
        </w:numPr>
        <w:tabs>
          <w:tab w:val="clear" w:pos="1440"/>
        </w:tabs>
        <w:ind w:left="360"/>
        <w:rPr>
          <w:rFonts w:eastAsia="Times New Roman" w:cs="Courier New"/>
          <w:color w:val="212121"/>
          <w:bdr w:val="none" w:sz="0" w:space="0" w:color="auto"/>
        </w:rPr>
      </w:pPr>
      <w:r>
        <w:rPr>
          <w:rFonts w:eastAsia="Times New Roman" w:cs="Courier New"/>
          <w:color w:val="212121"/>
          <w:bdr w:val="none" w:sz="0" w:space="0" w:color="auto"/>
        </w:rPr>
        <w:t>Provide adequate reparation for the human rights violations in the instant report both of a pecuniary and non-pecuniary nature.</w:t>
      </w:r>
    </w:p>
    <w:p w14:paraId="4F95AB40" w14:textId="77777777" w:rsidR="00272A82" w:rsidRPr="00771EED" w:rsidRDefault="00272A82" w:rsidP="00272A82">
      <w:pPr>
        <w:pStyle w:val="parrafos"/>
        <w:rPr>
          <w:rFonts w:eastAsia="Times New Roman" w:cs="Courier New"/>
          <w:color w:val="212121"/>
          <w:bdr w:val="none" w:sz="0" w:space="0" w:color="auto"/>
        </w:rPr>
      </w:pPr>
    </w:p>
    <w:p w14:paraId="3BD78992" w14:textId="77777777" w:rsidR="00272A82" w:rsidRPr="00771EED" w:rsidRDefault="00EA33D2" w:rsidP="00272A82">
      <w:pPr>
        <w:pStyle w:val="parrafos"/>
        <w:numPr>
          <w:ilvl w:val="0"/>
          <w:numId w:val="110"/>
        </w:numPr>
        <w:tabs>
          <w:tab w:val="clear" w:pos="1440"/>
        </w:tabs>
        <w:ind w:left="360"/>
        <w:rPr>
          <w:rFonts w:eastAsia="Times New Roman" w:cs="Courier New"/>
          <w:color w:val="212121"/>
          <w:bdr w:val="none" w:sz="0" w:space="0" w:color="auto"/>
        </w:rPr>
      </w:pPr>
      <w:r>
        <w:rPr>
          <w:rFonts w:eastAsia="Times New Roman" w:cs="Courier New"/>
          <w:color w:val="212121"/>
          <w:bdr w:val="none" w:sz="0" w:space="0" w:color="auto"/>
        </w:rPr>
        <w:t xml:space="preserve">Adopt </w:t>
      </w:r>
      <w:r w:rsidR="00274425">
        <w:rPr>
          <w:rFonts w:eastAsia="Times New Roman" w:cs="Courier New"/>
          <w:color w:val="212121"/>
          <w:bdr w:val="none" w:sz="0" w:space="0" w:color="auto"/>
        </w:rPr>
        <w:t xml:space="preserve">the necessary </w:t>
      </w:r>
      <w:r>
        <w:rPr>
          <w:rFonts w:eastAsia="Times New Roman" w:cs="Courier New"/>
          <w:color w:val="212121"/>
          <w:bdr w:val="none" w:sz="0" w:space="0" w:color="auto"/>
        </w:rPr>
        <w:t>measures of non-repetition</w:t>
      </w:r>
      <w:r w:rsidR="00274425">
        <w:rPr>
          <w:rFonts w:eastAsia="Times New Roman" w:cs="Courier New"/>
          <w:color w:val="212121"/>
          <w:bdr w:val="none" w:sz="0" w:space="0" w:color="auto"/>
        </w:rPr>
        <w:t xml:space="preserve"> </w:t>
      </w:r>
      <w:r w:rsidR="00211D84">
        <w:rPr>
          <w:rFonts w:eastAsia="Times New Roman" w:cs="Courier New"/>
          <w:color w:val="212121"/>
          <w:bdr w:val="none" w:sz="0" w:space="0" w:color="auto"/>
        </w:rPr>
        <w:t>to prevent similar future events from happening</w:t>
      </w:r>
      <w:r w:rsidR="00E94567">
        <w:rPr>
          <w:rFonts w:eastAsia="Times New Roman" w:cs="Courier New"/>
          <w:color w:val="212121"/>
          <w:bdr w:val="none" w:sz="0" w:space="0" w:color="auto"/>
        </w:rPr>
        <w:t xml:space="preserve">. </w:t>
      </w:r>
      <w:r w:rsidR="00211D84">
        <w:rPr>
          <w:rFonts w:eastAsia="Times New Roman" w:cs="Courier New"/>
          <w:color w:val="212121"/>
          <w:bdr w:val="none" w:sz="0" w:space="0" w:color="auto"/>
        </w:rPr>
        <w:t xml:space="preserve"> </w:t>
      </w:r>
      <w:r w:rsidR="00AE5352">
        <w:rPr>
          <w:rFonts w:eastAsia="Times New Roman" w:cs="Courier New"/>
          <w:color w:val="212121"/>
          <w:bdr w:val="none" w:sz="0" w:space="0" w:color="auto"/>
        </w:rPr>
        <w:t>Specifically, adopt legislative, administrative or other types of measures to prevent disability-based discrimination</w:t>
      </w:r>
      <w:r w:rsidR="00EE7A53">
        <w:rPr>
          <w:rFonts w:eastAsia="Times New Roman" w:cs="Courier New"/>
          <w:color w:val="212121"/>
          <w:bdr w:val="none" w:sz="0" w:space="0" w:color="auto"/>
        </w:rPr>
        <w:t xml:space="preserve"> and to promote </w:t>
      </w:r>
      <w:r w:rsidR="00D53B47">
        <w:rPr>
          <w:rFonts w:eastAsia="Times New Roman" w:cs="Courier New"/>
          <w:color w:val="212121"/>
          <w:bdr w:val="none" w:sz="0" w:space="0" w:color="auto"/>
        </w:rPr>
        <w:t>inclusion in employment of said persons</w:t>
      </w:r>
      <w:r w:rsidR="00E6759E">
        <w:rPr>
          <w:rFonts w:eastAsia="Times New Roman" w:cs="Courier New"/>
          <w:color w:val="212121"/>
          <w:bdr w:val="none" w:sz="0" w:space="0" w:color="auto"/>
        </w:rPr>
        <w:t xml:space="preserve">: </w:t>
      </w:r>
      <w:r w:rsidR="00AE5352">
        <w:rPr>
          <w:rFonts w:eastAsia="Times New Roman" w:cs="Courier New"/>
          <w:color w:val="212121"/>
          <w:bdr w:val="none" w:sz="0" w:space="0" w:color="auto"/>
        </w:rPr>
        <w:t xml:space="preserve"> </w:t>
      </w:r>
      <w:r w:rsidR="004813CD">
        <w:rPr>
          <w:rFonts w:eastAsia="Times New Roman" w:cs="Courier New"/>
          <w:color w:val="212121"/>
          <w:bdr w:val="none" w:sz="0" w:space="0" w:color="auto"/>
        </w:rPr>
        <w:t>In this context:</w:t>
      </w:r>
      <w:r w:rsidR="00272A82" w:rsidRPr="00771EED">
        <w:rPr>
          <w:rFonts w:eastAsia="Times New Roman" w:cs="Courier New"/>
          <w:color w:val="212121"/>
          <w:bdr w:val="none" w:sz="0" w:space="0" w:color="auto"/>
        </w:rPr>
        <w:t xml:space="preserve"> i) </w:t>
      </w:r>
      <w:r w:rsidR="002E76C1">
        <w:rPr>
          <w:rFonts w:eastAsia="Times New Roman" w:cs="Courier New"/>
          <w:color w:val="212121"/>
          <w:bdr w:val="none" w:sz="0" w:space="0" w:color="auto"/>
        </w:rPr>
        <w:t xml:space="preserve">carry out training programs for public employees and justice operators on the prohibition of </w:t>
      </w:r>
      <w:r w:rsidR="00A17A3C">
        <w:rPr>
          <w:rFonts w:eastAsia="Times New Roman" w:cs="Courier New"/>
          <w:color w:val="212121"/>
          <w:bdr w:val="none" w:sz="0" w:space="0" w:color="auto"/>
        </w:rPr>
        <w:t xml:space="preserve">disability-based </w:t>
      </w:r>
      <w:r w:rsidR="00C26A98">
        <w:rPr>
          <w:rFonts w:eastAsia="Times New Roman" w:cs="Courier New"/>
          <w:color w:val="212121"/>
          <w:bdr w:val="none" w:sz="0" w:space="0" w:color="auto"/>
        </w:rPr>
        <w:t xml:space="preserve">employment discrimination </w:t>
      </w:r>
      <w:r w:rsidR="00D4587D">
        <w:rPr>
          <w:rFonts w:eastAsia="Times New Roman" w:cs="Courier New"/>
          <w:color w:val="212121"/>
          <w:bdr w:val="none" w:sz="0" w:space="0" w:color="auto"/>
        </w:rPr>
        <w:t xml:space="preserve">and the obligation to </w:t>
      </w:r>
      <w:r w:rsidR="00DE795A">
        <w:rPr>
          <w:rFonts w:eastAsia="Times New Roman" w:cs="Courier New"/>
          <w:color w:val="212121"/>
          <w:bdr w:val="none" w:sz="0" w:space="0" w:color="auto"/>
        </w:rPr>
        <w:t xml:space="preserve">adopt positive measures </w:t>
      </w:r>
      <w:r w:rsidR="00B07E0F">
        <w:rPr>
          <w:rFonts w:eastAsia="Times New Roman" w:cs="Courier New"/>
          <w:color w:val="212121"/>
          <w:bdr w:val="none" w:sz="0" w:space="0" w:color="auto"/>
        </w:rPr>
        <w:t xml:space="preserve">to ensure access to and retention in </w:t>
      </w:r>
      <w:r w:rsidR="00603DC3">
        <w:rPr>
          <w:rFonts w:eastAsia="Times New Roman" w:cs="Courier New"/>
          <w:color w:val="212121"/>
          <w:bdr w:val="none" w:sz="0" w:space="0" w:color="auto"/>
        </w:rPr>
        <w:t xml:space="preserve">employment </w:t>
      </w:r>
      <w:r w:rsidR="00B07E0F">
        <w:rPr>
          <w:rFonts w:eastAsia="Times New Roman" w:cs="Courier New"/>
          <w:color w:val="212121"/>
          <w:bdr w:val="none" w:sz="0" w:space="0" w:color="auto"/>
        </w:rPr>
        <w:t xml:space="preserve">of persons with disability; ii) Adopt measures to promote </w:t>
      </w:r>
      <w:r w:rsidR="00CA580F">
        <w:rPr>
          <w:rFonts w:eastAsia="Times New Roman" w:cs="Courier New"/>
          <w:color w:val="212121"/>
          <w:bdr w:val="none" w:sz="0" w:space="0" w:color="auto"/>
        </w:rPr>
        <w:t xml:space="preserve">employment of </w:t>
      </w:r>
      <w:r w:rsidR="00A761B3">
        <w:rPr>
          <w:rFonts w:eastAsia="Times New Roman" w:cs="Courier New"/>
          <w:color w:val="212121"/>
          <w:bdr w:val="none" w:sz="0" w:space="0" w:color="auto"/>
        </w:rPr>
        <w:t xml:space="preserve">persons with disability in the public sector and to </w:t>
      </w:r>
      <w:r w:rsidR="00767C8E">
        <w:rPr>
          <w:rFonts w:eastAsia="Times New Roman" w:cs="Courier New"/>
          <w:color w:val="212121"/>
          <w:bdr w:val="none" w:sz="0" w:space="0" w:color="auto"/>
        </w:rPr>
        <w:t>enable</w:t>
      </w:r>
      <w:r w:rsidR="00A761B3">
        <w:rPr>
          <w:rFonts w:eastAsia="Times New Roman" w:cs="Courier New"/>
          <w:color w:val="212121"/>
          <w:bdr w:val="none" w:sz="0" w:space="0" w:color="auto"/>
        </w:rPr>
        <w:t xml:space="preserve"> </w:t>
      </w:r>
      <w:r w:rsidR="00767C8E">
        <w:rPr>
          <w:rFonts w:eastAsia="Times New Roman" w:cs="Courier New"/>
          <w:color w:val="212121"/>
          <w:bdr w:val="none" w:sz="0" w:space="0" w:color="auto"/>
        </w:rPr>
        <w:t>job security and promotions for them</w:t>
      </w:r>
      <w:r w:rsidR="00322C44">
        <w:rPr>
          <w:rFonts w:eastAsia="Times New Roman" w:cs="Courier New"/>
          <w:color w:val="212121"/>
          <w:bdr w:val="none" w:sz="0" w:space="0" w:color="auto"/>
        </w:rPr>
        <w:t xml:space="preserve"> at the workplace</w:t>
      </w:r>
      <w:r w:rsidR="000D256A">
        <w:rPr>
          <w:rFonts w:eastAsia="Times New Roman" w:cs="Courier New"/>
          <w:color w:val="212121"/>
          <w:bdr w:val="none" w:sz="0" w:space="0" w:color="auto"/>
        </w:rPr>
        <w:t xml:space="preserve">. </w:t>
      </w:r>
      <w:r w:rsidR="00767C8E">
        <w:rPr>
          <w:rFonts w:eastAsia="Times New Roman" w:cs="Courier New"/>
          <w:color w:val="212121"/>
          <w:bdr w:val="none" w:sz="0" w:space="0" w:color="auto"/>
        </w:rPr>
        <w:t xml:space="preserve"> </w:t>
      </w:r>
    </w:p>
    <w:p w14:paraId="56C58ABE" w14:textId="77777777" w:rsidR="00272A82" w:rsidRPr="00771EED" w:rsidRDefault="00272A82" w:rsidP="00272A82">
      <w:pPr>
        <w:pStyle w:val="parrafos"/>
        <w:ind w:left="360"/>
        <w:rPr>
          <w:rFonts w:eastAsia="Times New Roman" w:cs="Courier New"/>
          <w:color w:val="212121"/>
          <w:bdr w:val="none" w:sz="0" w:space="0" w:color="auto"/>
        </w:rPr>
      </w:pPr>
    </w:p>
    <w:p w14:paraId="736879A8" w14:textId="77777777" w:rsidR="00272A82" w:rsidRPr="00771EED" w:rsidRDefault="00272A82" w:rsidP="00272A82">
      <w:pPr>
        <w:pStyle w:val="parrafos"/>
      </w:pPr>
    </w:p>
    <w:p w14:paraId="0A100BAF" w14:textId="77777777" w:rsidR="00272A82" w:rsidRPr="00771EED" w:rsidRDefault="00272A82" w:rsidP="00272A82">
      <w:pPr>
        <w:pStyle w:val="parrafos"/>
      </w:pPr>
    </w:p>
    <w:p w14:paraId="249CF08C" w14:textId="77777777" w:rsidR="00C55560" w:rsidRPr="00771EED" w:rsidRDefault="00C55560" w:rsidP="00272A82">
      <w:pPr>
        <w:tabs>
          <w:tab w:val="center" w:pos="5400"/>
        </w:tabs>
        <w:suppressAutoHyphens/>
        <w:spacing w:line="276" w:lineRule="auto"/>
        <w:jc w:val="center"/>
        <w:rPr>
          <w:rFonts w:asciiTheme="majorHAnsi" w:hAnsiTheme="majorHAnsi"/>
          <w:sz w:val="20"/>
          <w:szCs w:val="20"/>
        </w:rPr>
      </w:pPr>
    </w:p>
    <w:sectPr w:rsidR="00C55560" w:rsidRPr="00771EED"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5C8B" w14:textId="77777777" w:rsidR="00C12EA5" w:rsidRDefault="00C12EA5" w:rsidP="00036A8A">
      <w:r>
        <w:separator/>
      </w:r>
    </w:p>
  </w:endnote>
  <w:endnote w:type="continuationSeparator" w:id="0">
    <w:p w14:paraId="3C688230" w14:textId="77777777" w:rsidR="00C12EA5" w:rsidRDefault="00C12EA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2A50EF0E" w14:textId="77777777" w:rsidR="00D9736D" w:rsidRPr="006311DA" w:rsidRDefault="00D9736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E6E23">
          <w:rPr>
            <w:noProof/>
            <w:sz w:val="16"/>
          </w:rPr>
          <w:t>19</w:t>
        </w:r>
        <w:r w:rsidRPr="006311DA">
          <w:rPr>
            <w:noProof/>
            <w:sz w:val="16"/>
          </w:rPr>
          <w:fldChar w:fldCharType="end"/>
        </w:r>
      </w:p>
    </w:sdtContent>
  </w:sdt>
  <w:p w14:paraId="7DEFBAC2" w14:textId="77777777" w:rsidR="00D9736D" w:rsidRDefault="00D97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4B52" w14:textId="77777777" w:rsidR="00D9736D" w:rsidRDefault="00D9736D">
    <w:pPr>
      <w:pStyle w:val="Footer"/>
      <w:jc w:val="center"/>
    </w:pPr>
  </w:p>
  <w:p w14:paraId="716C72F6" w14:textId="77777777" w:rsidR="00D9736D" w:rsidRDefault="00D97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0BD40674" w14:textId="77777777" w:rsidR="00D9736D" w:rsidRDefault="00D9736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083CF2" w14:textId="77777777" w:rsidR="00D9736D" w:rsidRDefault="00D97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D2F4" w14:textId="77777777" w:rsidR="00C12EA5" w:rsidRPr="00036A8A" w:rsidRDefault="00C12EA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D32686D" w14:textId="77777777" w:rsidR="00C12EA5" w:rsidRPr="00036A8A" w:rsidRDefault="00C12EA5" w:rsidP="00036A8A">
      <w:pPr>
        <w:rPr>
          <w:rFonts w:asciiTheme="majorHAnsi" w:hAnsiTheme="majorHAnsi"/>
          <w:sz w:val="16"/>
          <w:szCs w:val="16"/>
        </w:rPr>
      </w:pPr>
      <w:r w:rsidRPr="00036A8A">
        <w:rPr>
          <w:rFonts w:asciiTheme="majorHAnsi" w:hAnsiTheme="majorHAnsi"/>
          <w:sz w:val="16"/>
          <w:szCs w:val="16"/>
        </w:rPr>
        <w:separator/>
      </w:r>
    </w:p>
    <w:p w14:paraId="31DCDD97" w14:textId="77777777" w:rsidR="00C12EA5" w:rsidRPr="00036A8A" w:rsidRDefault="00C12EA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21E47D4" w14:textId="77777777" w:rsidR="00C12EA5" w:rsidRPr="0093441A" w:rsidRDefault="00C12EA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27134EF" w14:textId="77777777" w:rsidR="00D9736D" w:rsidRPr="00BF61FA" w:rsidRDefault="00D9736D" w:rsidP="00272A82">
      <w:pPr>
        <w:pStyle w:val="FootnoteText"/>
        <w:tabs>
          <w:tab w:val="right" w:pos="9360"/>
        </w:tabs>
        <w:jc w:val="both"/>
        <w:rPr>
          <w:rFonts w:ascii="Cambria" w:hAnsi="Cambria"/>
          <w:sz w:val="16"/>
          <w:szCs w:val="16"/>
        </w:rPr>
      </w:pPr>
      <w:r w:rsidRPr="00BF61FA">
        <w:rPr>
          <w:rStyle w:val="FootnoteReference"/>
          <w:rFonts w:ascii="Cambria" w:hAnsi="Cambria"/>
          <w:sz w:val="16"/>
          <w:szCs w:val="16"/>
        </w:rPr>
        <w:footnoteRef/>
      </w:r>
      <w:r w:rsidRPr="004E1E59">
        <w:rPr>
          <w:rFonts w:ascii="Cambria" w:hAnsi="Cambria"/>
          <w:sz w:val="16"/>
          <w:szCs w:val="16"/>
          <w:lang w:val="es-ES"/>
        </w:rPr>
        <w:t xml:space="preserve">IACHR. Report No. 13/12. Petition 1064-05. Luis Fernando Guevara Díaz. </w:t>
      </w:r>
      <w:r w:rsidRPr="00BF61FA">
        <w:rPr>
          <w:rFonts w:ascii="Cambria" w:hAnsi="Cambria"/>
          <w:sz w:val="16"/>
          <w:szCs w:val="16"/>
        </w:rPr>
        <w:t xml:space="preserve">Costa Rica. </w:t>
      </w:r>
      <w:r>
        <w:rPr>
          <w:rFonts w:ascii="Cambria" w:hAnsi="Cambria"/>
          <w:sz w:val="16"/>
          <w:szCs w:val="16"/>
        </w:rPr>
        <w:t xml:space="preserve">March </w:t>
      </w:r>
      <w:r w:rsidRPr="00BF61FA">
        <w:rPr>
          <w:rFonts w:ascii="Cambria" w:hAnsi="Cambria"/>
          <w:sz w:val="16"/>
          <w:szCs w:val="16"/>
        </w:rPr>
        <w:t>20</w:t>
      </w:r>
      <w:r>
        <w:rPr>
          <w:rFonts w:ascii="Cambria" w:hAnsi="Cambria"/>
          <w:sz w:val="16"/>
          <w:szCs w:val="16"/>
        </w:rPr>
        <w:t>,</w:t>
      </w:r>
      <w:r w:rsidRPr="00BF61FA">
        <w:rPr>
          <w:rFonts w:ascii="Cambria" w:hAnsi="Cambria"/>
          <w:sz w:val="16"/>
          <w:szCs w:val="16"/>
        </w:rPr>
        <w:t xml:space="preserve"> 2012. </w:t>
      </w:r>
      <w:r>
        <w:rPr>
          <w:rFonts w:ascii="Cambria" w:hAnsi="Cambria"/>
          <w:sz w:val="16"/>
          <w:szCs w:val="16"/>
        </w:rPr>
        <w:t xml:space="preserve">In this report, the IACHR declared the petition admissible in relation to the alleged violation of Articles 8.1, 24 and 25 of the American Convention in connection with Articles 1.1 and 2 of the same instrument. </w:t>
      </w:r>
      <w:r w:rsidRPr="00BF61FA">
        <w:rPr>
          <w:rFonts w:ascii="Cambria" w:hAnsi="Cambria"/>
          <w:sz w:val="16"/>
          <w:szCs w:val="16"/>
        </w:rPr>
        <w:tab/>
      </w:r>
    </w:p>
  </w:footnote>
  <w:footnote w:id="3">
    <w:p w14:paraId="4C085D36"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w:t>
      </w:r>
      <w:r>
        <w:rPr>
          <w:rFonts w:ascii="Cambria" w:hAnsi="Cambria"/>
          <w:sz w:val="16"/>
          <w:szCs w:val="16"/>
        </w:rPr>
        <w:t xml:space="preserve">nnex </w:t>
      </w:r>
      <w:r w:rsidR="00346995">
        <w:rPr>
          <w:rFonts w:ascii="Cambria" w:hAnsi="Cambria"/>
          <w:sz w:val="16"/>
          <w:szCs w:val="16"/>
        </w:rPr>
        <w:t>1</w:t>
      </w:r>
      <w:r w:rsidRPr="00BF61FA">
        <w:rPr>
          <w:rFonts w:ascii="Cambria" w:hAnsi="Cambria"/>
          <w:sz w:val="16"/>
          <w:szCs w:val="16"/>
        </w:rPr>
        <w:t xml:space="preserve">. </w:t>
      </w:r>
      <w:r>
        <w:rPr>
          <w:rFonts w:ascii="Cambria" w:hAnsi="Cambria"/>
          <w:sz w:val="16"/>
          <w:szCs w:val="16"/>
        </w:rPr>
        <w:t xml:space="preserve">Official Letter from the General Coordinator of the Ministry of Finance of June 1, 2001. Annex to initial petition of July 12, 2005.  </w:t>
      </w:r>
      <w:r w:rsidRPr="00BF61FA">
        <w:rPr>
          <w:rFonts w:ascii="Cambria" w:hAnsi="Cambria"/>
          <w:sz w:val="16"/>
          <w:szCs w:val="16"/>
        </w:rPr>
        <w:t xml:space="preserve">. </w:t>
      </w:r>
    </w:p>
  </w:footnote>
  <w:footnote w:id="4">
    <w:p w14:paraId="77ECB6C9"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2</w:t>
      </w:r>
      <w:r w:rsidRPr="00BF61FA">
        <w:rPr>
          <w:rFonts w:ascii="Cambria" w:hAnsi="Cambria"/>
          <w:sz w:val="16"/>
          <w:szCs w:val="16"/>
        </w:rPr>
        <w:t xml:space="preserve">. </w:t>
      </w:r>
      <w:r>
        <w:rPr>
          <w:rFonts w:ascii="Cambria" w:hAnsi="Cambria"/>
          <w:sz w:val="16"/>
          <w:szCs w:val="16"/>
        </w:rPr>
        <w:t xml:space="preserve">Official Letter </w:t>
      </w:r>
      <w:r w:rsidR="00925B4C">
        <w:rPr>
          <w:rFonts w:ascii="Cambria" w:hAnsi="Cambria"/>
          <w:sz w:val="16"/>
          <w:szCs w:val="16"/>
        </w:rPr>
        <w:t>of March 6, 2003</w:t>
      </w:r>
      <w:r w:rsidR="006C2D61">
        <w:rPr>
          <w:rFonts w:ascii="Cambria" w:hAnsi="Cambria"/>
          <w:sz w:val="16"/>
          <w:szCs w:val="16"/>
        </w:rPr>
        <w:t xml:space="preserve"> </w:t>
      </w:r>
      <w:r>
        <w:rPr>
          <w:rFonts w:ascii="Cambria" w:hAnsi="Cambria"/>
          <w:sz w:val="16"/>
          <w:szCs w:val="16"/>
        </w:rPr>
        <w:t xml:space="preserve">from the </w:t>
      </w:r>
      <w:r w:rsidR="00884870">
        <w:rPr>
          <w:rFonts w:ascii="Cambria" w:hAnsi="Cambria"/>
          <w:sz w:val="16"/>
          <w:szCs w:val="16"/>
        </w:rPr>
        <w:t xml:space="preserve">General </w:t>
      </w:r>
      <w:r>
        <w:rPr>
          <w:rFonts w:ascii="Cambria" w:hAnsi="Cambria"/>
          <w:sz w:val="16"/>
          <w:szCs w:val="16"/>
        </w:rPr>
        <w:t xml:space="preserve">Coordinator to the Chief Officer and Administrator and Financial Director. Annex to initial petition of July 12, 2005. </w:t>
      </w:r>
    </w:p>
  </w:footnote>
  <w:footnote w:id="5">
    <w:p w14:paraId="4F2D2984"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3</w:t>
      </w:r>
      <w:r w:rsidRPr="00BF61FA">
        <w:rPr>
          <w:rFonts w:ascii="Cambria" w:hAnsi="Cambria"/>
          <w:sz w:val="16"/>
          <w:szCs w:val="16"/>
        </w:rPr>
        <w:t>. Of</w:t>
      </w:r>
      <w:r>
        <w:rPr>
          <w:rFonts w:ascii="Cambria" w:hAnsi="Cambria"/>
          <w:sz w:val="16"/>
          <w:szCs w:val="16"/>
        </w:rPr>
        <w:t>ficial Letter</w:t>
      </w:r>
      <w:r w:rsidRPr="00BF61FA">
        <w:rPr>
          <w:rFonts w:ascii="Cambria" w:hAnsi="Cambria"/>
          <w:sz w:val="16"/>
          <w:szCs w:val="16"/>
        </w:rPr>
        <w:t xml:space="preserve"> 2003-03-21-02-034903-000-1-28216. An</w:t>
      </w:r>
      <w:r>
        <w:rPr>
          <w:rFonts w:ascii="Cambria" w:hAnsi="Cambria"/>
          <w:sz w:val="16"/>
          <w:szCs w:val="16"/>
        </w:rPr>
        <w:t>n</w:t>
      </w:r>
      <w:r w:rsidRPr="00BF61FA">
        <w:rPr>
          <w:rFonts w:ascii="Cambria" w:hAnsi="Cambria"/>
          <w:sz w:val="16"/>
          <w:szCs w:val="16"/>
        </w:rPr>
        <w:t>ex</w:t>
      </w:r>
      <w:r>
        <w:rPr>
          <w:rFonts w:ascii="Cambria" w:hAnsi="Cambria"/>
          <w:sz w:val="16"/>
          <w:szCs w:val="16"/>
        </w:rPr>
        <w:t xml:space="preserve"> to initial petition of July 12, 2005. </w:t>
      </w:r>
    </w:p>
  </w:footnote>
  <w:footnote w:id="6">
    <w:p w14:paraId="129E8765"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4</w:t>
      </w:r>
      <w:r w:rsidRPr="00BF61FA">
        <w:rPr>
          <w:rFonts w:ascii="Cambria" w:hAnsi="Cambria"/>
          <w:sz w:val="16"/>
          <w:szCs w:val="16"/>
        </w:rPr>
        <w:t>. Of</w:t>
      </w:r>
      <w:r>
        <w:rPr>
          <w:rFonts w:ascii="Cambria" w:hAnsi="Cambria"/>
          <w:sz w:val="16"/>
          <w:szCs w:val="16"/>
        </w:rPr>
        <w:t xml:space="preserve">ficial Letter from the </w:t>
      </w:r>
      <w:r w:rsidR="006C2D61">
        <w:rPr>
          <w:rFonts w:ascii="Cambria" w:hAnsi="Cambria"/>
          <w:sz w:val="16"/>
          <w:szCs w:val="16"/>
        </w:rPr>
        <w:t xml:space="preserve">Head </w:t>
      </w:r>
      <w:r>
        <w:rPr>
          <w:rFonts w:ascii="Cambria" w:hAnsi="Cambria"/>
          <w:sz w:val="16"/>
          <w:szCs w:val="16"/>
        </w:rPr>
        <w:t xml:space="preserve">of the </w:t>
      </w:r>
      <w:r w:rsidR="006C2D61">
        <w:rPr>
          <w:rFonts w:ascii="Cambria" w:hAnsi="Cambria"/>
          <w:sz w:val="16"/>
          <w:szCs w:val="16"/>
        </w:rPr>
        <w:t xml:space="preserve">Maintenance </w:t>
      </w:r>
      <w:r>
        <w:rPr>
          <w:rFonts w:ascii="Cambria" w:hAnsi="Cambria"/>
          <w:sz w:val="16"/>
          <w:szCs w:val="16"/>
        </w:rPr>
        <w:t xml:space="preserve">Area of the Ministry of Finance to the General Coordinator of the U.T.A.S. Annex to initial petition of July 12, 2005. </w:t>
      </w:r>
    </w:p>
  </w:footnote>
  <w:footnote w:id="7">
    <w:p w14:paraId="66BCEA62"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5</w:t>
      </w:r>
      <w:r w:rsidRPr="00BF61FA">
        <w:rPr>
          <w:rFonts w:ascii="Cambria" w:hAnsi="Cambria"/>
          <w:sz w:val="16"/>
          <w:szCs w:val="16"/>
        </w:rPr>
        <w:t>. O</w:t>
      </w:r>
      <w:r>
        <w:rPr>
          <w:rFonts w:ascii="Cambria" w:hAnsi="Cambria"/>
          <w:sz w:val="16"/>
          <w:szCs w:val="16"/>
        </w:rPr>
        <w:t xml:space="preserve">fficial letter </w:t>
      </w:r>
      <w:r w:rsidRPr="00BF61FA">
        <w:rPr>
          <w:rFonts w:ascii="Cambria" w:hAnsi="Cambria"/>
          <w:sz w:val="16"/>
          <w:szCs w:val="16"/>
        </w:rPr>
        <w:t xml:space="preserve">UTAS 124-2003 </w:t>
      </w:r>
      <w:r w:rsidR="00144B31">
        <w:rPr>
          <w:rFonts w:ascii="Cambria" w:hAnsi="Cambria"/>
          <w:sz w:val="16"/>
          <w:szCs w:val="16"/>
        </w:rPr>
        <w:t xml:space="preserve">of June </w:t>
      </w:r>
      <w:r w:rsidR="00144B31" w:rsidRPr="00BF61FA">
        <w:rPr>
          <w:rFonts w:ascii="Cambria" w:hAnsi="Cambria"/>
          <w:sz w:val="16"/>
          <w:szCs w:val="16"/>
        </w:rPr>
        <w:t>13</w:t>
      </w:r>
      <w:r w:rsidR="00144B31">
        <w:rPr>
          <w:rFonts w:ascii="Cambria" w:hAnsi="Cambria"/>
          <w:sz w:val="16"/>
          <w:szCs w:val="16"/>
        </w:rPr>
        <w:t>,</w:t>
      </w:r>
      <w:r w:rsidR="00144B31" w:rsidRPr="00BF61FA">
        <w:rPr>
          <w:rFonts w:ascii="Cambria" w:hAnsi="Cambria"/>
          <w:sz w:val="16"/>
          <w:szCs w:val="16"/>
        </w:rPr>
        <w:t xml:space="preserve"> 2003</w:t>
      </w:r>
      <w:r w:rsidR="00AA776A">
        <w:rPr>
          <w:rFonts w:ascii="Cambria" w:hAnsi="Cambria"/>
          <w:sz w:val="16"/>
          <w:szCs w:val="16"/>
        </w:rPr>
        <w:t xml:space="preserve"> </w:t>
      </w:r>
      <w:r>
        <w:rPr>
          <w:rFonts w:ascii="Cambria" w:hAnsi="Cambria"/>
          <w:sz w:val="16"/>
          <w:szCs w:val="16"/>
        </w:rPr>
        <w:t xml:space="preserve">from the Coordinator of the </w:t>
      </w:r>
      <w:r w:rsidR="00C60BD8">
        <w:rPr>
          <w:rFonts w:ascii="Cambria" w:hAnsi="Cambria"/>
          <w:sz w:val="16"/>
          <w:szCs w:val="16"/>
        </w:rPr>
        <w:t xml:space="preserve">Technical Unit for </w:t>
      </w:r>
      <w:r>
        <w:rPr>
          <w:rFonts w:ascii="Cambria" w:hAnsi="Cambria"/>
          <w:sz w:val="16"/>
          <w:szCs w:val="16"/>
        </w:rPr>
        <w:t>Supply</w:t>
      </w:r>
      <w:r w:rsidR="00AA776A">
        <w:rPr>
          <w:rFonts w:ascii="Cambria" w:hAnsi="Cambria"/>
          <w:sz w:val="16"/>
          <w:szCs w:val="16"/>
        </w:rPr>
        <w:t>ing</w:t>
      </w:r>
      <w:r>
        <w:rPr>
          <w:rFonts w:ascii="Cambria" w:hAnsi="Cambria"/>
          <w:sz w:val="16"/>
          <w:szCs w:val="16"/>
        </w:rPr>
        <w:t xml:space="preserve"> and Services to the </w:t>
      </w:r>
      <w:r w:rsidR="004E2428">
        <w:rPr>
          <w:rFonts w:ascii="Cambria" w:hAnsi="Cambria"/>
          <w:sz w:val="16"/>
          <w:szCs w:val="16"/>
        </w:rPr>
        <w:t xml:space="preserve">General </w:t>
      </w:r>
      <w:r>
        <w:rPr>
          <w:rFonts w:ascii="Cambria" w:hAnsi="Cambria"/>
          <w:sz w:val="16"/>
          <w:szCs w:val="16"/>
        </w:rPr>
        <w:t xml:space="preserve">Coordinator of the </w:t>
      </w:r>
      <w:r w:rsidR="004574B9">
        <w:rPr>
          <w:rFonts w:ascii="Cambria" w:hAnsi="Cambria"/>
          <w:sz w:val="16"/>
          <w:szCs w:val="16"/>
        </w:rPr>
        <w:t xml:space="preserve">Technical Unit for </w:t>
      </w:r>
      <w:r>
        <w:rPr>
          <w:rFonts w:ascii="Cambria" w:hAnsi="Cambria"/>
          <w:sz w:val="16"/>
          <w:szCs w:val="16"/>
        </w:rPr>
        <w:t>Human Resources</w:t>
      </w:r>
      <w:r w:rsidRPr="00BF61FA">
        <w:rPr>
          <w:rFonts w:ascii="Cambria" w:hAnsi="Cambria"/>
          <w:sz w:val="16"/>
          <w:szCs w:val="16"/>
        </w:rPr>
        <w:t>. An</w:t>
      </w:r>
      <w:r>
        <w:rPr>
          <w:rFonts w:ascii="Cambria" w:hAnsi="Cambria"/>
          <w:sz w:val="16"/>
          <w:szCs w:val="16"/>
        </w:rPr>
        <w:t xml:space="preserve">nex to initial petition of July 12, </w:t>
      </w:r>
      <w:r w:rsidRPr="00BF61FA">
        <w:rPr>
          <w:rFonts w:ascii="Cambria" w:hAnsi="Cambria"/>
          <w:sz w:val="16"/>
          <w:szCs w:val="16"/>
        </w:rPr>
        <w:t xml:space="preserve">2005. </w:t>
      </w:r>
    </w:p>
  </w:footnote>
  <w:footnote w:id="8">
    <w:p w14:paraId="78789062"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Pr>
          <w:rFonts w:ascii="Cambria" w:hAnsi="Cambria"/>
          <w:sz w:val="16"/>
          <w:szCs w:val="16"/>
        </w:rPr>
        <w:t xml:space="preserve">Even though this official letter is dated June 12, 2002, both parties concur that it was served notice on June 13, 2003. See Annex </w:t>
      </w:r>
      <w:r w:rsidRPr="00BF61FA">
        <w:rPr>
          <w:rFonts w:ascii="Cambria" w:hAnsi="Cambria"/>
          <w:sz w:val="16"/>
          <w:szCs w:val="16"/>
        </w:rPr>
        <w:t xml:space="preserve">XX. </w:t>
      </w:r>
      <w:r>
        <w:rPr>
          <w:rFonts w:ascii="Cambria" w:hAnsi="Cambria"/>
          <w:sz w:val="16"/>
          <w:szCs w:val="16"/>
        </w:rPr>
        <w:t xml:space="preserve">Official Letter </w:t>
      </w:r>
      <w:r w:rsidR="00E47C1D">
        <w:rPr>
          <w:rFonts w:ascii="Cambria" w:hAnsi="Cambria"/>
          <w:sz w:val="16"/>
          <w:szCs w:val="16"/>
        </w:rPr>
        <w:t>from</w:t>
      </w:r>
      <w:r>
        <w:rPr>
          <w:rFonts w:ascii="Cambria" w:hAnsi="Cambria"/>
          <w:sz w:val="16"/>
          <w:szCs w:val="16"/>
        </w:rPr>
        <w:t xml:space="preserve"> the Chief Officer and Administrator and Financial Director of the Ministry of Finance addressed to the alleged victim. </w:t>
      </w:r>
      <w:r w:rsidRPr="00BF61FA">
        <w:rPr>
          <w:rFonts w:ascii="Cambria" w:hAnsi="Cambria"/>
          <w:sz w:val="16"/>
          <w:szCs w:val="16"/>
        </w:rPr>
        <w:t>An</w:t>
      </w:r>
      <w:r>
        <w:rPr>
          <w:rFonts w:ascii="Cambria" w:hAnsi="Cambria"/>
          <w:sz w:val="16"/>
          <w:szCs w:val="16"/>
        </w:rPr>
        <w:t xml:space="preserve">nex to initial petition of July 12, </w:t>
      </w:r>
      <w:r w:rsidRPr="00BF61FA">
        <w:rPr>
          <w:rFonts w:ascii="Cambria" w:hAnsi="Cambria"/>
          <w:sz w:val="16"/>
          <w:szCs w:val="16"/>
        </w:rPr>
        <w:t xml:space="preserve">2005. </w:t>
      </w:r>
    </w:p>
  </w:footnote>
  <w:footnote w:id="9">
    <w:p w14:paraId="4447F730"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7</w:t>
      </w:r>
      <w:r w:rsidRPr="00BF61FA">
        <w:rPr>
          <w:rFonts w:ascii="Cambria" w:hAnsi="Cambria"/>
          <w:sz w:val="16"/>
          <w:szCs w:val="16"/>
        </w:rPr>
        <w:t xml:space="preserve">. </w:t>
      </w:r>
      <w:r w:rsidR="009C6E3F">
        <w:rPr>
          <w:rFonts w:ascii="Cambria" w:hAnsi="Cambria"/>
          <w:sz w:val="16"/>
          <w:szCs w:val="16"/>
        </w:rPr>
        <w:t xml:space="preserve">Appeal </w:t>
      </w:r>
      <w:r>
        <w:rPr>
          <w:rFonts w:ascii="Cambria" w:hAnsi="Cambria"/>
          <w:sz w:val="16"/>
          <w:szCs w:val="16"/>
        </w:rPr>
        <w:t xml:space="preserve">for reversal </w:t>
      </w:r>
      <w:r w:rsidR="00900A8C">
        <w:rPr>
          <w:rFonts w:ascii="Cambria" w:hAnsi="Cambria"/>
          <w:sz w:val="16"/>
          <w:szCs w:val="16"/>
        </w:rPr>
        <w:t xml:space="preserve">of decision </w:t>
      </w:r>
      <w:r>
        <w:rPr>
          <w:rFonts w:ascii="Cambria" w:hAnsi="Cambria"/>
          <w:sz w:val="16"/>
          <w:szCs w:val="16"/>
        </w:rPr>
        <w:t xml:space="preserve">and </w:t>
      </w:r>
      <w:r w:rsidR="00900A8C">
        <w:rPr>
          <w:rFonts w:ascii="Cambria" w:hAnsi="Cambria"/>
          <w:sz w:val="16"/>
          <w:szCs w:val="16"/>
        </w:rPr>
        <w:t xml:space="preserve">to </w:t>
      </w:r>
      <w:r>
        <w:rPr>
          <w:rFonts w:ascii="Cambria" w:hAnsi="Cambria"/>
          <w:sz w:val="16"/>
          <w:szCs w:val="16"/>
        </w:rPr>
        <w:t>vacate</w:t>
      </w:r>
      <w:r w:rsidR="00900A8C">
        <w:rPr>
          <w:rFonts w:ascii="Cambria" w:hAnsi="Cambria"/>
          <w:sz w:val="16"/>
          <w:szCs w:val="16"/>
        </w:rPr>
        <w:t xml:space="preserve"> procedure</w:t>
      </w:r>
      <w:r>
        <w:rPr>
          <w:rFonts w:ascii="Cambria" w:hAnsi="Cambria"/>
          <w:sz w:val="16"/>
          <w:szCs w:val="16"/>
        </w:rPr>
        <w:t xml:space="preserve"> of June 18, 2003. </w:t>
      </w:r>
      <w:r w:rsidRPr="00BF61FA">
        <w:rPr>
          <w:rFonts w:ascii="Cambria" w:hAnsi="Cambria"/>
          <w:sz w:val="16"/>
          <w:szCs w:val="16"/>
        </w:rPr>
        <w:t>An</w:t>
      </w:r>
      <w:r>
        <w:rPr>
          <w:rFonts w:ascii="Cambria" w:hAnsi="Cambria"/>
          <w:sz w:val="16"/>
          <w:szCs w:val="16"/>
        </w:rPr>
        <w:t xml:space="preserve">nex to initial petition of July 12, </w:t>
      </w:r>
      <w:r w:rsidRPr="00BF61FA">
        <w:rPr>
          <w:rFonts w:ascii="Cambria" w:hAnsi="Cambria"/>
          <w:sz w:val="16"/>
          <w:szCs w:val="16"/>
        </w:rPr>
        <w:t xml:space="preserve">2005. </w:t>
      </w:r>
    </w:p>
  </w:footnote>
  <w:footnote w:id="10">
    <w:p w14:paraId="17E2C262"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8</w:t>
      </w:r>
      <w:r w:rsidRPr="00BF61FA">
        <w:rPr>
          <w:rFonts w:ascii="Cambria" w:hAnsi="Cambria"/>
          <w:sz w:val="16"/>
          <w:szCs w:val="16"/>
        </w:rPr>
        <w:t xml:space="preserve">. </w:t>
      </w:r>
      <w:r>
        <w:rPr>
          <w:rFonts w:ascii="Cambria" w:hAnsi="Cambria"/>
          <w:sz w:val="16"/>
          <w:szCs w:val="16"/>
        </w:rPr>
        <w:t>Decision of the Chief Officer and Administrative Directorate</w:t>
      </w:r>
      <w:r w:rsidR="006354E2" w:rsidRPr="006354E2">
        <w:rPr>
          <w:rFonts w:ascii="Cambria" w:hAnsi="Cambria"/>
          <w:sz w:val="16"/>
          <w:szCs w:val="16"/>
        </w:rPr>
        <w:t xml:space="preserve"> </w:t>
      </w:r>
      <w:r w:rsidR="006354E2">
        <w:rPr>
          <w:rFonts w:ascii="Cambria" w:hAnsi="Cambria"/>
          <w:sz w:val="16"/>
          <w:szCs w:val="16"/>
        </w:rPr>
        <w:t>of July 11, 2003</w:t>
      </w:r>
      <w:r>
        <w:rPr>
          <w:rFonts w:ascii="Cambria" w:hAnsi="Cambria"/>
          <w:sz w:val="16"/>
          <w:szCs w:val="16"/>
        </w:rPr>
        <w:t xml:space="preserve"> denying the </w:t>
      </w:r>
      <w:r w:rsidR="00503509">
        <w:rPr>
          <w:rFonts w:ascii="Cambria" w:hAnsi="Cambria"/>
          <w:sz w:val="16"/>
          <w:szCs w:val="16"/>
        </w:rPr>
        <w:t xml:space="preserve">appeal </w:t>
      </w:r>
      <w:r>
        <w:rPr>
          <w:rFonts w:ascii="Cambria" w:hAnsi="Cambria"/>
          <w:sz w:val="16"/>
          <w:szCs w:val="16"/>
        </w:rPr>
        <w:t xml:space="preserve">for reversal filed by the alleged victim. </w:t>
      </w:r>
      <w:r w:rsidRPr="00BF61FA">
        <w:rPr>
          <w:rFonts w:ascii="Cambria" w:hAnsi="Cambria"/>
          <w:sz w:val="16"/>
          <w:szCs w:val="16"/>
        </w:rPr>
        <w:t>An</w:t>
      </w:r>
      <w:r>
        <w:rPr>
          <w:rFonts w:ascii="Cambria" w:hAnsi="Cambria"/>
          <w:sz w:val="16"/>
          <w:szCs w:val="16"/>
        </w:rPr>
        <w:t xml:space="preserve">nex to initial petition of July 12, </w:t>
      </w:r>
      <w:r w:rsidRPr="00BF61FA">
        <w:rPr>
          <w:rFonts w:ascii="Cambria" w:hAnsi="Cambria"/>
          <w:sz w:val="16"/>
          <w:szCs w:val="16"/>
        </w:rPr>
        <w:t xml:space="preserve">2005. </w:t>
      </w:r>
    </w:p>
  </w:footnote>
  <w:footnote w:id="11">
    <w:p w14:paraId="7147EA30"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9</w:t>
      </w:r>
      <w:r w:rsidRPr="00BF61FA">
        <w:rPr>
          <w:rFonts w:ascii="Cambria" w:hAnsi="Cambria"/>
          <w:sz w:val="16"/>
          <w:szCs w:val="16"/>
        </w:rPr>
        <w:t>. O</w:t>
      </w:r>
      <w:r>
        <w:rPr>
          <w:rFonts w:ascii="Cambria" w:hAnsi="Cambria"/>
          <w:sz w:val="16"/>
          <w:szCs w:val="16"/>
        </w:rPr>
        <w:t xml:space="preserve">fficial letter from the </w:t>
      </w:r>
      <w:r w:rsidR="006E709F">
        <w:rPr>
          <w:rFonts w:ascii="Cambria" w:hAnsi="Cambria"/>
          <w:sz w:val="16"/>
          <w:szCs w:val="16"/>
        </w:rPr>
        <w:t xml:space="preserve">General </w:t>
      </w:r>
      <w:r>
        <w:rPr>
          <w:rFonts w:ascii="Cambria" w:hAnsi="Cambria"/>
          <w:sz w:val="16"/>
          <w:szCs w:val="16"/>
        </w:rPr>
        <w:t>Coordinator of the Technical Unit for Human Resources addressed to Carlos Navarro of July 7, 2003</w:t>
      </w:r>
      <w:r w:rsidRPr="00BF61FA">
        <w:rPr>
          <w:rFonts w:ascii="Cambria" w:hAnsi="Cambria"/>
          <w:sz w:val="16"/>
          <w:szCs w:val="16"/>
        </w:rPr>
        <w:t>.</w:t>
      </w:r>
      <w:r w:rsidRPr="00A7667E">
        <w:rPr>
          <w:rFonts w:ascii="Cambria" w:hAnsi="Cambria"/>
          <w:sz w:val="16"/>
          <w:szCs w:val="16"/>
        </w:rPr>
        <w:t xml:space="preserve"> </w:t>
      </w:r>
      <w:r w:rsidRPr="00BF61FA">
        <w:rPr>
          <w:rFonts w:ascii="Cambria" w:hAnsi="Cambria"/>
          <w:sz w:val="16"/>
          <w:szCs w:val="16"/>
        </w:rPr>
        <w:t>An</w:t>
      </w:r>
      <w:r>
        <w:rPr>
          <w:rFonts w:ascii="Cambria" w:hAnsi="Cambria"/>
          <w:sz w:val="16"/>
          <w:szCs w:val="16"/>
        </w:rPr>
        <w:t xml:space="preserve">nex to initial petition of July 12, </w:t>
      </w:r>
      <w:r w:rsidRPr="00BF61FA">
        <w:rPr>
          <w:rFonts w:ascii="Cambria" w:hAnsi="Cambria"/>
          <w:sz w:val="16"/>
          <w:szCs w:val="16"/>
        </w:rPr>
        <w:t xml:space="preserve">2005. </w:t>
      </w:r>
    </w:p>
  </w:footnote>
  <w:footnote w:id="12">
    <w:p w14:paraId="6EF0234E"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10</w:t>
      </w:r>
      <w:r w:rsidRPr="00BF61FA">
        <w:rPr>
          <w:rFonts w:ascii="Cambria" w:hAnsi="Cambria"/>
          <w:sz w:val="16"/>
          <w:szCs w:val="16"/>
        </w:rPr>
        <w:t xml:space="preserve">.  </w:t>
      </w:r>
      <w:r>
        <w:rPr>
          <w:rFonts w:ascii="Cambria" w:hAnsi="Cambria"/>
          <w:sz w:val="16"/>
          <w:szCs w:val="16"/>
        </w:rPr>
        <w:t xml:space="preserve">Report of the Office of Legal Counsel of the National Council for Rehabilitation and Special Education of Costa Rica. </w:t>
      </w:r>
      <w:r w:rsidRPr="00BF61FA">
        <w:rPr>
          <w:rFonts w:ascii="Cambria" w:hAnsi="Cambria"/>
          <w:sz w:val="16"/>
          <w:szCs w:val="16"/>
        </w:rPr>
        <w:t>An</w:t>
      </w:r>
      <w:r>
        <w:rPr>
          <w:rFonts w:ascii="Cambria" w:hAnsi="Cambria"/>
          <w:sz w:val="16"/>
          <w:szCs w:val="16"/>
        </w:rPr>
        <w:t xml:space="preserve">nex to initial petition of July 12, </w:t>
      </w:r>
      <w:r w:rsidRPr="00BF61FA">
        <w:rPr>
          <w:rFonts w:ascii="Cambria" w:hAnsi="Cambria"/>
          <w:sz w:val="16"/>
          <w:szCs w:val="16"/>
        </w:rPr>
        <w:t xml:space="preserve">2005. </w:t>
      </w:r>
    </w:p>
  </w:footnote>
  <w:footnote w:id="13">
    <w:p w14:paraId="0D874885"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11</w:t>
      </w:r>
      <w:r w:rsidRPr="00BF61FA">
        <w:rPr>
          <w:rFonts w:ascii="Cambria" w:hAnsi="Cambria"/>
          <w:sz w:val="16"/>
          <w:szCs w:val="16"/>
        </w:rPr>
        <w:t xml:space="preserve">. </w:t>
      </w:r>
      <w:r>
        <w:rPr>
          <w:rFonts w:ascii="Cambria" w:hAnsi="Cambria"/>
          <w:i/>
          <w:iCs/>
          <w:sz w:val="16"/>
          <w:szCs w:val="16"/>
        </w:rPr>
        <w:t xml:space="preserve">Amparo </w:t>
      </w:r>
      <w:r>
        <w:rPr>
          <w:rFonts w:ascii="Cambria" w:hAnsi="Cambria"/>
          <w:sz w:val="16"/>
          <w:szCs w:val="16"/>
        </w:rPr>
        <w:t xml:space="preserve">petition filed by the alleged victim with the Constitutional Chamber of the Supreme Court on August 5, 2003. </w:t>
      </w:r>
      <w:r w:rsidRPr="00BF61FA">
        <w:rPr>
          <w:rFonts w:ascii="Cambria" w:hAnsi="Cambria"/>
          <w:sz w:val="16"/>
          <w:szCs w:val="16"/>
        </w:rPr>
        <w:t>An</w:t>
      </w:r>
      <w:r>
        <w:rPr>
          <w:rFonts w:ascii="Cambria" w:hAnsi="Cambria"/>
          <w:sz w:val="16"/>
          <w:szCs w:val="16"/>
        </w:rPr>
        <w:t xml:space="preserve">nex to initial petition of July 12, </w:t>
      </w:r>
      <w:r w:rsidRPr="00BF61FA">
        <w:rPr>
          <w:rFonts w:ascii="Cambria" w:hAnsi="Cambria"/>
          <w:sz w:val="16"/>
          <w:szCs w:val="16"/>
        </w:rPr>
        <w:t xml:space="preserve">2005. </w:t>
      </w:r>
    </w:p>
  </w:footnote>
  <w:footnote w:id="14">
    <w:p w14:paraId="19F5E06C"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12</w:t>
      </w:r>
      <w:r w:rsidRPr="00BF61FA">
        <w:rPr>
          <w:rFonts w:ascii="Cambria" w:hAnsi="Cambria"/>
          <w:sz w:val="16"/>
          <w:szCs w:val="16"/>
        </w:rPr>
        <w:t xml:space="preserve">. </w:t>
      </w:r>
      <w:r>
        <w:rPr>
          <w:rFonts w:ascii="Cambria" w:hAnsi="Cambria"/>
          <w:sz w:val="16"/>
          <w:szCs w:val="16"/>
        </w:rPr>
        <w:t xml:space="preserve">Chief Officer and Director General of the Ministry of Finance’s reply of September 1, 2003 to the </w:t>
      </w:r>
      <w:r>
        <w:rPr>
          <w:rFonts w:ascii="Cambria" w:hAnsi="Cambria"/>
          <w:i/>
          <w:iCs/>
          <w:sz w:val="16"/>
          <w:szCs w:val="16"/>
        </w:rPr>
        <w:t xml:space="preserve">amparo </w:t>
      </w:r>
      <w:r>
        <w:rPr>
          <w:rFonts w:ascii="Cambria" w:hAnsi="Cambria"/>
          <w:sz w:val="16"/>
          <w:szCs w:val="16"/>
        </w:rPr>
        <w:t xml:space="preserve">petition. </w:t>
      </w:r>
      <w:r w:rsidRPr="00BF61FA">
        <w:rPr>
          <w:rFonts w:ascii="Cambria" w:hAnsi="Cambria"/>
          <w:sz w:val="16"/>
          <w:szCs w:val="16"/>
        </w:rPr>
        <w:t>An</w:t>
      </w:r>
      <w:r>
        <w:rPr>
          <w:rFonts w:ascii="Cambria" w:hAnsi="Cambria"/>
          <w:sz w:val="16"/>
          <w:szCs w:val="16"/>
        </w:rPr>
        <w:t xml:space="preserve">nex to initial petition of July 12, </w:t>
      </w:r>
      <w:r w:rsidRPr="00BF61FA">
        <w:rPr>
          <w:rFonts w:ascii="Cambria" w:hAnsi="Cambria"/>
          <w:sz w:val="16"/>
          <w:szCs w:val="16"/>
        </w:rPr>
        <w:t xml:space="preserve">2005. </w:t>
      </w:r>
    </w:p>
  </w:footnote>
  <w:footnote w:id="15">
    <w:p w14:paraId="08AF5B5D"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13</w:t>
      </w:r>
      <w:r w:rsidRPr="00BF61FA">
        <w:rPr>
          <w:rFonts w:ascii="Cambria" w:hAnsi="Cambria"/>
          <w:sz w:val="16"/>
          <w:szCs w:val="16"/>
        </w:rPr>
        <w:t xml:space="preserve">. </w:t>
      </w:r>
      <w:r>
        <w:rPr>
          <w:rFonts w:ascii="Cambria" w:hAnsi="Cambria"/>
          <w:sz w:val="16"/>
          <w:szCs w:val="16"/>
        </w:rPr>
        <w:t xml:space="preserve">Formal brief in support of the </w:t>
      </w:r>
      <w:r>
        <w:rPr>
          <w:rFonts w:ascii="Cambria" w:hAnsi="Cambria"/>
          <w:i/>
          <w:iCs/>
          <w:sz w:val="16"/>
          <w:szCs w:val="16"/>
        </w:rPr>
        <w:t xml:space="preserve">amparo </w:t>
      </w:r>
      <w:r>
        <w:rPr>
          <w:rFonts w:ascii="Cambria" w:hAnsi="Cambria"/>
          <w:sz w:val="16"/>
          <w:szCs w:val="16"/>
        </w:rPr>
        <w:t>petition (</w:t>
      </w:r>
      <w:r w:rsidRPr="00847E52">
        <w:rPr>
          <w:rFonts w:ascii="Cambria" w:hAnsi="Cambria"/>
          <w:i/>
          <w:iCs/>
          <w:sz w:val="16"/>
          <w:szCs w:val="16"/>
        </w:rPr>
        <w:t>Escrito de formal coadyuvancia al recurso de amparo)</w:t>
      </w:r>
      <w:r>
        <w:rPr>
          <w:rFonts w:ascii="Cambria" w:hAnsi="Cambria"/>
          <w:sz w:val="16"/>
          <w:szCs w:val="16"/>
        </w:rPr>
        <w:t xml:space="preserve"> filed by the Ombudsman of the Inhabitants of the Republic of Costa Rica on October </w:t>
      </w:r>
      <w:r w:rsidRPr="00BF61FA">
        <w:rPr>
          <w:rFonts w:ascii="Cambria" w:hAnsi="Cambria"/>
          <w:sz w:val="16"/>
          <w:szCs w:val="16"/>
        </w:rPr>
        <w:t>14</w:t>
      </w:r>
      <w:r>
        <w:rPr>
          <w:rFonts w:ascii="Cambria" w:hAnsi="Cambria"/>
          <w:sz w:val="16"/>
          <w:szCs w:val="16"/>
        </w:rPr>
        <w:t>,</w:t>
      </w:r>
      <w:r w:rsidRPr="00BF61FA">
        <w:rPr>
          <w:rFonts w:ascii="Cambria" w:hAnsi="Cambria"/>
          <w:sz w:val="16"/>
          <w:szCs w:val="16"/>
        </w:rPr>
        <w:t xml:space="preserve"> 2003. An</w:t>
      </w:r>
      <w:r>
        <w:rPr>
          <w:rFonts w:ascii="Cambria" w:hAnsi="Cambria"/>
          <w:sz w:val="16"/>
          <w:szCs w:val="16"/>
        </w:rPr>
        <w:t>n</w:t>
      </w:r>
      <w:r w:rsidRPr="00BF61FA">
        <w:rPr>
          <w:rFonts w:ascii="Cambria" w:hAnsi="Cambria"/>
          <w:sz w:val="16"/>
          <w:szCs w:val="16"/>
        </w:rPr>
        <w:t>ex</w:t>
      </w:r>
      <w:r>
        <w:rPr>
          <w:rFonts w:ascii="Cambria" w:hAnsi="Cambria"/>
          <w:sz w:val="16"/>
          <w:szCs w:val="16"/>
        </w:rPr>
        <w:t xml:space="preserve"> to initial petition of July 12, </w:t>
      </w:r>
      <w:r w:rsidRPr="00BF61FA">
        <w:rPr>
          <w:rFonts w:ascii="Cambria" w:hAnsi="Cambria"/>
          <w:sz w:val="16"/>
          <w:szCs w:val="16"/>
        </w:rPr>
        <w:t xml:space="preserve">2005. </w:t>
      </w:r>
    </w:p>
  </w:footnote>
  <w:footnote w:id="16">
    <w:p w14:paraId="4A50C73E"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14</w:t>
      </w:r>
      <w:r w:rsidRPr="00BF61FA">
        <w:rPr>
          <w:rFonts w:ascii="Cambria" w:hAnsi="Cambria"/>
          <w:sz w:val="16"/>
          <w:szCs w:val="16"/>
        </w:rPr>
        <w:t xml:space="preserve">. </w:t>
      </w:r>
      <w:r>
        <w:rPr>
          <w:rFonts w:ascii="Cambria" w:hAnsi="Cambria"/>
          <w:sz w:val="16"/>
          <w:szCs w:val="16"/>
        </w:rPr>
        <w:t>Judgment of the Constitutional Chamber of the Supreme Court of Justice of February 14, 2005</w:t>
      </w:r>
      <w:r w:rsidRPr="00BF61FA">
        <w:rPr>
          <w:rFonts w:ascii="Cambria" w:hAnsi="Cambria"/>
          <w:sz w:val="16"/>
          <w:szCs w:val="16"/>
        </w:rPr>
        <w:t>. A</w:t>
      </w:r>
      <w:r>
        <w:rPr>
          <w:rFonts w:ascii="Cambria" w:hAnsi="Cambria"/>
          <w:sz w:val="16"/>
          <w:szCs w:val="16"/>
        </w:rPr>
        <w:t>n</w:t>
      </w:r>
      <w:r w:rsidRPr="00BF61FA">
        <w:rPr>
          <w:rFonts w:ascii="Cambria" w:hAnsi="Cambria"/>
          <w:sz w:val="16"/>
          <w:szCs w:val="16"/>
        </w:rPr>
        <w:t xml:space="preserve">nex </w:t>
      </w:r>
      <w:r>
        <w:rPr>
          <w:rFonts w:ascii="Cambria" w:hAnsi="Cambria"/>
          <w:sz w:val="16"/>
          <w:szCs w:val="16"/>
        </w:rPr>
        <w:t xml:space="preserve">to petitioners’ observations submission of August 20, 2010. </w:t>
      </w:r>
    </w:p>
  </w:footnote>
  <w:footnote w:id="17">
    <w:p w14:paraId="17F861CE"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w:t>
      </w:r>
      <w:r>
        <w:rPr>
          <w:rFonts w:ascii="Cambria" w:hAnsi="Cambria"/>
          <w:sz w:val="16"/>
          <w:szCs w:val="16"/>
        </w:rPr>
        <w:t>n</w:t>
      </w:r>
      <w:r w:rsidR="00346995">
        <w:rPr>
          <w:rFonts w:ascii="Cambria" w:hAnsi="Cambria"/>
          <w:sz w:val="16"/>
          <w:szCs w:val="16"/>
        </w:rPr>
        <w:t>nex 15</w:t>
      </w:r>
      <w:r w:rsidRPr="00BF61FA">
        <w:rPr>
          <w:rFonts w:ascii="Cambria" w:hAnsi="Cambria"/>
          <w:sz w:val="16"/>
          <w:szCs w:val="16"/>
        </w:rPr>
        <w:t xml:space="preserve">. </w:t>
      </w:r>
      <w:r>
        <w:rPr>
          <w:rFonts w:ascii="Cambria" w:hAnsi="Cambria"/>
          <w:sz w:val="16"/>
          <w:szCs w:val="16"/>
        </w:rPr>
        <w:t xml:space="preserve">Official Letter </w:t>
      </w:r>
      <w:r w:rsidR="00CC4FFA">
        <w:rPr>
          <w:rFonts w:ascii="Cambria" w:hAnsi="Cambria"/>
          <w:sz w:val="16"/>
          <w:szCs w:val="16"/>
        </w:rPr>
        <w:t xml:space="preserve">of August 22, 2005 </w:t>
      </w:r>
      <w:r>
        <w:rPr>
          <w:rFonts w:ascii="Cambria" w:hAnsi="Cambria"/>
          <w:sz w:val="16"/>
          <w:szCs w:val="16"/>
        </w:rPr>
        <w:t xml:space="preserve">from the National Director of Social Security to the Ministry of Labor and Social Security. Annex to petitioners’ submission of October 4, </w:t>
      </w:r>
      <w:r w:rsidRPr="00BF61FA">
        <w:rPr>
          <w:rFonts w:ascii="Cambria" w:hAnsi="Cambria"/>
          <w:sz w:val="16"/>
          <w:szCs w:val="16"/>
        </w:rPr>
        <w:t xml:space="preserve">2005. </w:t>
      </w:r>
    </w:p>
  </w:footnote>
  <w:footnote w:id="18">
    <w:p w14:paraId="2ECCCBDE"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Pr="00BF61FA">
        <w:rPr>
          <w:rFonts w:ascii="Cambria" w:hAnsi="Cambria"/>
          <w:sz w:val="16"/>
          <w:szCs w:val="16"/>
        </w:rPr>
        <w:t xml:space="preserve">ex </w:t>
      </w:r>
      <w:r w:rsidR="00346995">
        <w:rPr>
          <w:rFonts w:ascii="Cambria" w:hAnsi="Cambria"/>
          <w:sz w:val="16"/>
          <w:szCs w:val="16"/>
        </w:rPr>
        <w:t>16</w:t>
      </w:r>
      <w:r w:rsidRPr="00BF61FA">
        <w:rPr>
          <w:rFonts w:ascii="Cambria" w:hAnsi="Cambria"/>
          <w:sz w:val="16"/>
          <w:szCs w:val="16"/>
        </w:rPr>
        <w:t xml:space="preserve">. </w:t>
      </w:r>
      <w:r>
        <w:rPr>
          <w:rFonts w:ascii="Cambria" w:hAnsi="Cambria"/>
          <w:sz w:val="16"/>
          <w:szCs w:val="16"/>
        </w:rPr>
        <w:t xml:space="preserve">Official Letter </w:t>
      </w:r>
      <w:r w:rsidR="00CC4FFA">
        <w:rPr>
          <w:rFonts w:ascii="Cambria" w:hAnsi="Cambria"/>
          <w:sz w:val="16"/>
          <w:szCs w:val="16"/>
        </w:rPr>
        <w:t xml:space="preserve">of August </w:t>
      </w:r>
      <w:r w:rsidR="00CC4FFA" w:rsidRPr="00BF61FA">
        <w:rPr>
          <w:rFonts w:ascii="Cambria" w:hAnsi="Cambria"/>
          <w:sz w:val="16"/>
          <w:szCs w:val="16"/>
        </w:rPr>
        <w:t>29</w:t>
      </w:r>
      <w:r w:rsidR="00CC4FFA">
        <w:rPr>
          <w:rFonts w:ascii="Cambria" w:hAnsi="Cambria"/>
          <w:sz w:val="16"/>
          <w:szCs w:val="16"/>
        </w:rPr>
        <w:t>,</w:t>
      </w:r>
      <w:r w:rsidR="00CC4FFA" w:rsidRPr="00BF61FA">
        <w:rPr>
          <w:rFonts w:ascii="Cambria" w:hAnsi="Cambria"/>
          <w:sz w:val="16"/>
          <w:szCs w:val="16"/>
        </w:rPr>
        <w:t xml:space="preserve"> 2005</w:t>
      </w:r>
      <w:r w:rsidR="00CC4FFA">
        <w:rPr>
          <w:rFonts w:ascii="Cambria" w:hAnsi="Cambria"/>
          <w:sz w:val="16"/>
          <w:szCs w:val="16"/>
        </w:rPr>
        <w:t xml:space="preserve"> </w:t>
      </w:r>
      <w:r>
        <w:rPr>
          <w:rFonts w:ascii="Cambria" w:hAnsi="Cambria"/>
          <w:sz w:val="16"/>
          <w:szCs w:val="16"/>
        </w:rPr>
        <w:t>from the Minister of Labor and Social Security to the President of the Republic</w:t>
      </w:r>
      <w:r w:rsidRPr="00BF61FA">
        <w:rPr>
          <w:rFonts w:ascii="Cambria" w:hAnsi="Cambria"/>
          <w:sz w:val="16"/>
          <w:szCs w:val="16"/>
        </w:rPr>
        <w:t>. An</w:t>
      </w:r>
      <w:r>
        <w:rPr>
          <w:rFonts w:ascii="Cambria" w:hAnsi="Cambria"/>
          <w:sz w:val="16"/>
          <w:szCs w:val="16"/>
        </w:rPr>
        <w:t>n</w:t>
      </w:r>
      <w:r w:rsidRPr="00BF61FA">
        <w:rPr>
          <w:rFonts w:ascii="Cambria" w:hAnsi="Cambria"/>
          <w:sz w:val="16"/>
          <w:szCs w:val="16"/>
        </w:rPr>
        <w:t>ex</w:t>
      </w:r>
      <w:r>
        <w:rPr>
          <w:rFonts w:ascii="Cambria" w:hAnsi="Cambria"/>
          <w:sz w:val="16"/>
          <w:szCs w:val="16"/>
        </w:rPr>
        <w:t xml:space="preserve"> to petitioners’ submission of October </w:t>
      </w:r>
      <w:r w:rsidRPr="00BF61FA">
        <w:rPr>
          <w:rFonts w:ascii="Cambria" w:hAnsi="Cambria"/>
          <w:sz w:val="16"/>
          <w:szCs w:val="16"/>
        </w:rPr>
        <w:t>4</w:t>
      </w:r>
      <w:r>
        <w:rPr>
          <w:rFonts w:ascii="Cambria" w:hAnsi="Cambria"/>
          <w:sz w:val="16"/>
          <w:szCs w:val="16"/>
        </w:rPr>
        <w:t>,</w:t>
      </w:r>
      <w:r w:rsidRPr="00BF61FA">
        <w:rPr>
          <w:rFonts w:ascii="Cambria" w:hAnsi="Cambria"/>
          <w:sz w:val="16"/>
          <w:szCs w:val="16"/>
        </w:rPr>
        <w:t xml:space="preserve"> 2005. </w:t>
      </w:r>
    </w:p>
  </w:footnote>
  <w:footnote w:id="19">
    <w:p w14:paraId="01B5C7B0"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17</w:t>
      </w:r>
      <w:r w:rsidRPr="00BF61FA">
        <w:rPr>
          <w:rFonts w:ascii="Cambria" w:hAnsi="Cambria"/>
          <w:sz w:val="16"/>
          <w:szCs w:val="16"/>
        </w:rPr>
        <w:t xml:space="preserve">. </w:t>
      </w:r>
      <w:r>
        <w:rPr>
          <w:rFonts w:ascii="Cambria" w:hAnsi="Cambria"/>
          <w:sz w:val="16"/>
          <w:szCs w:val="16"/>
        </w:rPr>
        <w:t>Grievance of the Ministry of Finance Employees</w:t>
      </w:r>
      <w:r w:rsidR="00A14D77">
        <w:rPr>
          <w:rFonts w:ascii="Cambria" w:hAnsi="Cambria"/>
          <w:sz w:val="16"/>
          <w:szCs w:val="16"/>
        </w:rPr>
        <w:t>’</w:t>
      </w:r>
      <w:r>
        <w:rPr>
          <w:rFonts w:ascii="Cambria" w:hAnsi="Cambria"/>
          <w:sz w:val="16"/>
          <w:szCs w:val="16"/>
        </w:rPr>
        <w:t xml:space="preserve"> Union</w:t>
      </w:r>
      <w:r w:rsidR="00CC4FFA" w:rsidRPr="00CC4FFA">
        <w:rPr>
          <w:rFonts w:ascii="Cambria" w:hAnsi="Cambria"/>
          <w:sz w:val="16"/>
          <w:szCs w:val="16"/>
        </w:rPr>
        <w:t xml:space="preserve"> </w:t>
      </w:r>
      <w:r w:rsidR="00CC4FFA">
        <w:rPr>
          <w:rFonts w:ascii="Cambria" w:hAnsi="Cambria"/>
          <w:sz w:val="16"/>
          <w:szCs w:val="16"/>
        </w:rPr>
        <w:t>of August 6, 2003</w:t>
      </w:r>
      <w:r>
        <w:rPr>
          <w:rFonts w:ascii="Cambria" w:hAnsi="Cambria"/>
          <w:sz w:val="16"/>
          <w:szCs w:val="16"/>
        </w:rPr>
        <w:t xml:space="preserve"> before the Director General of Labor Inspection. Annex to initial petition of July 12, 2005. </w:t>
      </w:r>
    </w:p>
  </w:footnote>
  <w:footnote w:id="20">
    <w:p w14:paraId="35BA5BB7"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18</w:t>
      </w:r>
      <w:r w:rsidRPr="00BF61FA">
        <w:rPr>
          <w:rFonts w:ascii="Cambria" w:hAnsi="Cambria"/>
          <w:sz w:val="16"/>
          <w:szCs w:val="16"/>
        </w:rPr>
        <w:t>. Resolu</w:t>
      </w:r>
      <w:r>
        <w:rPr>
          <w:rFonts w:ascii="Cambria" w:hAnsi="Cambria"/>
          <w:sz w:val="16"/>
          <w:szCs w:val="16"/>
        </w:rPr>
        <w:t>tio</w:t>
      </w:r>
      <w:r w:rsidRPr="00BF61FA">
        <w:rPr>
          <w:rFonts w:ascii="Cambria" w:hAnsi="Cambria"/>
          <w:sz w:val="16"/>
          <w:szCs w:val="16"/>
        </w:rPr>
        <w:t xml:space="preserve">n DNI -277-04 </w:t>
      </w:r>
      <w:r>
        <w:rPr>
          <w:rFonts w:ascii="Cambria" w:hAnsi="Cambria"/>
          <w:sz w:val="16"/>
          <w:szCs w:val="16"/>
        </w:rPr>
        <w:t>of the National Directorate of General Labor Inspection of February 3, 2004. Annex to initial petition of July 12, 2005.</w:t>
      </w:r>
      <w:r w:rsidRPr="00BF61FA">
        <w:rPr>
          <w:rFonts w:ascii="Cambria" w:hAnsi="Cambria"/>
          <w:sz w:val="16"/>
          <w:szCs w:val="16"/>
        </w:rPr>
        <w:t xml:space="preserve"> </w:t>
      </w:r>
    </w:p>
  </w:footnote>
  <w:footnote w:id="21">
    <w:p w14:paraId="495D5ED6"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18</w:t>
      </w:r>
      <w:r w:rsidRPr="00BF61FA">
        <w:rPr>
          <w:rFonts w:ascii="Cambria" w:hAnsi="Cambria"/>
          <w:sz w:val="16"/>
          <w:szCs w:val="16"/>
        </w:rPr>
        <w:t>. Resolu</w:t>
      </w:r>
      <w:r>
        <w:rPr>
          <w:rFonts w:ascii="Cambria" w:hAnsi="Cambria"/>
          <w:sz w:val="16"/>
          <w:szCs w:val="16"/>
        </w:rPr>
        <w:t>tio</w:t>
      </w:r>
      <w:r w:rsidRPr="00BF61FA">
        <w:rPr>
          <w:rFonts w:ascii="Cambria" w:hAnsi="Cambria"/>
          <w:sz w:val="16"/>
          <w:szCs w:val="16"/>
        </w:rPr>
        <w:t xml:space="preserve">n DNI -277-04 </w:t>
      </w:r>
      <w:r>
        <w:rPr>
          <w:rFonts w:ascii="Cambria" w:hAnsi="Cambria"/>
          <w:sz w:val="16"/>
          <w:szCs w:val="16"/>
        </w:rPr>
        <w:t>of the National Directorate of General Labor Inspection of February 3, 2004. Annex to initial petition of July 12, 2005.</w:t>
      </w:r>
      <w:r w:rsidRPr="00BF61FA">
        <w:rPr>
          <w:rFonts w:ascii="Cambria" w:hAnsi="Cambria"/>
          <w:sz w:val="16"/>
          <w:szCs w:val="16"/>
        </w:rPr>
        <w:t xml:space="preserve"> </w:t>
      </w:r>
    </w:p>
  </w:footnote>
  <w:footnote w:id="22">
    <w:p w14:paraId="1E0C230B"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19</w:t>
      </w:r>
      <w:r w:rsidRPr="00BF61FA">
        <w:rPr>
          <w:rFonts w:ascii="Cambria" w:hAnsi="Cambria"/>
          <w:sz w:val="16"/>
          <w:szCs w:val="16"/>
        </w:rPr>
        <w:t xml:space="preserve">. </w:t>
      </w:r>
      <w:r>
        <w:rPr>
          <w:rFonts w:ascii="Cambria" w:hAnsi="Cambria"/>
          <w:sz w:val="16"/>
          <w:szCs w:val="16"/>
        </w:rPr>
        <w:t xml:space="preserve">Letter </w:t>
      </w:r>
      <w:r w:rsidR="001F607A">
        <w:rPr>
          <w:rFonts w:ascii="Cambria" w:hAnsi="Cambria"/>
          <w:sz w:val="16"/>
          <w:szCs w:val="16"/>
        </w:rPr>
        <w:t>of March 5, 2004</w:t>
      </w:r>
      <w:r w:rsidR="0092442D">
        <w:rPr>
          <w:rFonts w:ascii="Cambria" w:hAnsi="Cambria"/>
          <w:sz w:val="16"/>
          <w:szCs w:val="16"/>
        </w:rPr>
        <w:t xml:space="preserve"> </w:t>
      </w:r>
      <w:r>
        <w:rPr>
          <w:rFonts w:ascii="Cambria" w:hAnsi="Cambria"/>
          <w:sz w:val="16"/>
          <w:szCs w:val="16"/>
        </w:rPr>
        <w:t>from the Ministry of Finance Employees</w:t>
      </w:r>
      <w:r w:rsidR="0092442D">
        <w:rPr>
          <w:rFonts w:ascii="Cambria" w:hAnsi="Cambria"/>
          <w:sz w:val="16"/>
          <w:szCs w:val="16"/>
        </w:rPr>
        <w:t>’</w:t>
      </w:r>
      <w:r>
        <w:rPr>
          <w:rFonts w:ascii="Cambria" w:hAnsi="Cambria"/>
          <w:sz w:val="16"/>
          <w:szCs w:val="16"/>
        </w:rPr>
        <w:t xml:space="preserve"> Union to the Minister of Finance. Annex to initial petition of July 12, 2005.</w:t>
      </w:r>
      <w:r w:rsidRPr="00BF61FA">
        <w:rPr>
          <w:rFonts w:ascii="Cambria" w:hAnsi="Cambria"/>
          <w:sz w:val="16"/>
          <w:szCs w:val="16"/>
        </w:rPr>
        <w:t xml:space="preserve"> </w:t>
      </w:r>
    </w:p>
  </w:footnote>
  <w:footnote w:id="23">
    <w:p w14:paraId="52A914AB"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346995">
        <w:rPr>
          <w:rFonts w:ascii="Cambria" w:hAnsi="Cambria"/>
          <w:sz w:val="16"/>
          <w:szCs w:val="16"/>
        </w:rPr>
        <w:t>ex 20</w:t>
      </w:r>
      <w:r w:rsidRPr="00BF61FA">
        <w:rPr>
          <w:rFonts w:ascii="Cambria" w:hAnsi="Cambria"/>
          <w:sz w:val="16"/>
          <w:szCs w:val="16"/>
        </w:rPr>
        <w:t xml:space="preserve">. </w:t>
      </w:r>
      <w:r>
        <w:rPr>
          <w:rFonts w:ascii="Cambria" w:hAnsi="Cambria"/>
          <w:sz w:val="16"/>
          <w:szCs w:val="16"/>
        </w:rPr>
        <w:t xml:space="preserve">Response </w:t>
      </w:r>
      <w:r w:rsidR="0092442D">
        <w:rPr>
          <w:rFonts w:ascii="Cambria" w:hAnsi="Cambria"/>
          <w:sz w:val="16"/>
          <w:szCs w:val="16"/>
        </w:rPr>
        <w:t>of March 18, 2004</w:t>
      </w:r>
      <w:r w:rsidR="00EE416B">
        <w:rPr>
          <w:rFonts w:ascii="Cambria" w:hAnsi="Cambria"/>
          <w:sz w:val="16"/>
          <w:szCs w:val="16"/>
        </w:rPr>
        <w:t xml:space="preserve"> </w:t>
      </w:r>
      <w:r>
        <w:rPr>
          <w:rFonts w:ascii="Cambria" w:hAnsi="Cambria"/>
          <w:sz w:val="16"/>
          <w:szCs w:val="16"/>
        </w:rPr>
        <w:t>from the Minister of Finance to the Employees’ Union. Annex to initial petition of July 12, 2005.</w:t>
      </w:r>
      <w:r w:rsidRPr="00BF61FA">
        <w:rPr>
          <w:rFonts w:ascii="Cambria" w:hAnsi="Cambria"/>
          <w:sz w:val="16"/>
          <w:szCs w:val="16"/>
        </w:rPr>
        <w:t xml:space="preserve"> </w:t>
      </w:r>
    </w:p>
  </w:footnote>
  <w:footnote w:id="24">
    <w:p w14:paraId="3B8ABC63"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An</w:t>
      </w:r>
      <w:r>
        <w:rPr>
          <w:rFonts w:ascii="Cambria" w:hAnsi="Cambria"/>
          <w:sz w:val="16"/>
          <w:szCs w:val="16"/>
        </w:rPr>
        <w:t>n</w:t>
      </w:r>
      <w:r w:rsidR="00BE6E23">
        <w:rPr>
          <w:rFonts w:ascii="Cambria" w:hAnsi="Cambria"/>
          <w:sz w:val="16"/>
          <w:szCs w:val="16"/>
        </w:rPr>
        <w:t>ex 20</w:t>
      </w:r>
      <w:r w:rsidRPr="00BF61FA">
        <w:rPr>
          <w:rFonts w:ascii="Cambria" w:hAnsi="Cambria"/>
          <w:sz w:val="16"/>
          <w:szCs w:val="16"/>
        </w:rPr>
        <w:t>. R</w:t>
      </w:r>
      <w:r>
        <w:rPr>
          <w:rFonts w:ascii="Cambria" w:hAnsi="Cambria"/>
          <w:sz w:val="16"/>
          <w:szCs w:val="16"/>
        </w:rPr>
        <w:t xml:space="preserve">esolution </w:t>
      </w:r>
      <w:r w:rsidRPr="00BF61FA">
        <w:rPr>
          <w:rFonts w:ascii="Cambria" w:hAnsi="Cambria"/>
          <w:sz w:val="16"/>
          <w:szCs w:val="16"/>
        </w:rPr>
        <w:t xml:space="preserve">DNI-801-06 </w:t>
      </w:r>
      <w:r>
        <w:rPr>
          <w:rFonts w:ascii="Cambria" w:hAnsi="Cambria"/>
          <w:sz w:val="16"/>
          <w:szCs w:val="16"/>
        </w:rPr>
        <w:t>of the National Directorate of Labor Inspection of the Ministry of Labor and Social Security</w:t>
      </w:r>
      <w:r w:rsidRPr="00BF61FA">
        <w:rPr>
          <w:rFonts w:ascii="Cambria" w:hAnsi="Cambria"/>
          <w:sz w:val="16"/>
          <w:szCs w:val="16"/>
        </w:rPr>
        <w:t>.</w:t>
      </w:r>
      <w:r>
        <w:rPr>
          <w:rFonts w:ascii="Cambria" w:hAnsi="Cambria"/>
          <w:sz w:val="16"/>
          <w:szCs w:val="16"/>
        </w:rPr>
        <w:t xml:space="preserve"> Annex to State’s observations submission of December 3, 2012. </w:t>
      </w:r>
      <w:r w:rsidRPr="00BF61FA">
        <w:rPr>
          <w:rFonts w:ascii="Cambria" w:hAnsi="Cambria"/>
          <w:sz w:val="16"/>
          <w:szCs w:val="16"/>
        </w:rPr>
        <w:t xml:space="preserve"> </w:t>
      </w:r>
    </w:p>
  </w:footnote>
  <w:footnote w:id="25">
    <w:p w14:paraId="5469FAC1" w14:textId="77777777" w:rsidR="00D9736D" w:rsidRPr="00BF61FA" w:rsidRDefault="00D9736D" w:rsidP="00272A82">
      <w:pPr>
        <w:pStyle w:val="FootnoteText"/>
        <w:jc w:val="both"/>
        <w:rPr>
          <w:rFonts w:ascii="Cambria" w:hAnsi="Cambria"/>
          <w:color w:val="auto"/>
          <w:sz w:val="16"/>
          <w:szCs w:val="16"/>
        </w:rPr>
      </w:pPr>
      <w:r w:rsidRPr="00BF61FA">
        <w:rPr>
          <w:rStyle w:val="FootnoteReference"/>
          <w:rFonts w:ascii="Cambria" w:hAnsi="Cambria"/>
          <w:color w:val="auto"/>
          <w:sz w:val="16"/>
          <w:szCs w:val="16"/>
        </w:rPr>
        <w:footnoteRef/>
      </w:r>
      <w:r w:rsidRPr="00BF61FA">
        <w:rPr>
          <w:rFonts w:ascii="Cambria" w:hAnsi="Cambria"/>
          <w:color w:val="auto"/>
          <w:sz w:val="16"/>
          <w:szCs w:val="16"/>
        </w:rPr>
        <w:t xml:space="preserve"> </w:t>
      </w:r>
      <w:r>
        <w:rPr>
          <w:rFonts w:ascii="Cambria" w:hAnsi="Cambria"/>
          <w:color w:val="auto"/>
          <w:sz w:val="16"/>
          <w:szCs w:val="16"/>
        </w:rPr>
        <w:t xml:space="preserve">Article </w:t>
      </w:r>
      <w:r w:rsidRPr="00BF61FA">
        <w:rPr>
          <w:rFonts w:ascii="Cambria" w:hAnsi="Cambria"/>
          <w:color w:val="auto"/>
          <w:sz w:val="16"/>
          <w:szCs w:val="16"/>
        </w:rPr>
        <w:t>24.</w:t>
      </w:r>
      <w:r>
        <w:rPr>
          <w:rFonts w:ascii="Cambria" w:hAnsi="Cambria"/>
          <w:color w:val="auto"/>
          <w:sz w:val="16"/>
          <w:szCs w:val="16"/>
        </w:rPr>
        <w:t xml:space="preserve"> All persons are equal before the law. Consequently, they are entitled, without discrimination, to equal protection of the law. </w:t>
      </w:r>
    </w:p>
  </w:footnote>
  <w:footnote w:id="26">
    <w:p w14:paraId="00C5A153" w14:textId="77777777" w:rsidR="00D9736D" w:rsidRPr="00BF61FA" w:rsidRDefault="00D9736D" w:rsidP="00272A82">
      <w:pPr>
        <w:pStyle w:val="FootnoteText"/>
        <w:jc w:val="both"/>
        <w:rPr>
          <w:rFonts w:ascii="Cambria" w:hAnsi="Cambria"/>
          <w:b/>
          <w:color w:val="auto"/>
          <w:sz w:val="16"/>
          <w:szCs w:val="16"/>
        </w:rPr>
      </w:pPr>
      <w:r w:rsidRPr="00BF61FA">
        <w:rPr>
          <w:rStyle w:val="FootnoteReference"/>
          <w:rFonts w:ascii="Cambria" w:hAnsi="Cambria"/>
          <w:color w:val="auto"/>
          <w:sz w:val="16"/>
          <w:szCs w:val="16"/>
        </w:rPr>
        <w:footnoteRef/>
      </w:r>
      <w:r w:rsidRPr="00BF61FA">
        <w:rPr>
          <w:rFonts w:ascii="Cambria" w:hAnsi="Cambria"/>
          <w:color w:val="auto"/>
          <w:sz w:val="16"/>
          <w:szCs w:val="16"/>
        </w:rPr>
        <w:t xml:space="preserve"> Art</w:t>
      </w:r>
      <w:r>
        <w:rPr>
          <w:rFonts w:ascii="Cambria" w:hAnsi="Cambria"/>
          <w:color w:val="auto"/>
          <w:sz w:val="16"/>
          <w:szCs w:val="16"/>
        </w:rPr>
        <w:t xml:space="preserve">icle </w:t>
      </w:r>
      <w:r w:rsidRPr="00BF61FA">
        <w:rPr>
          <w:rFonts w:ascii="Cambria" w:hAnsi="Cambria"/>
          <w:color w:val="auto"/>
          <w:sz w:val="16"/>
          <w:szCs w:val="16"/>
        </w:rPr>
        <w:t xml:space="preserve">26. </w:t>
      </w:r>
      <w:r>
        <w:rPr>
          <w:rFonts w:ascii="Cambria" w:hAnsi="Cambria"/>
          <w:color w:val="auto"/>
          <w:sz w:val="16"/>
          <w:szCs w:val="16"/>
        </w:rPr>
        <w:t>The States Parties 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w:t>
      </w:r>
      <w:r w:rsidRPr="00BF61FA">
        <w:rPr>
          <w:rFonts w:ascii="Cambria" w:hAnsi="Cambria" w:cs="Tahoma"/>
          <w:color w:val="auto"/>
          <w:sz w:val="16"/>
          <w:szCs w:val="16"/>
        </w:rPr>
        <w:t>.</w:t>
      </w:r>
    </w:p>
  </w:footnote>
  <w:footnote w:id="27">
    <w:p w14:paraId="38CA8D26" w14:textId="77777777" w:rsidR="00D9736D" w:rsidRPr="00BF61FA" w:rsidRDefault="00D9736D" w:rsidP="00272A82">
      <w:pPr>
        <w:jc w:val="both"/>
        <w:rPr>
          <w:rFonts w:ascii="Cambria" w:hAnsi="Cambria"/>
          <w:b/>
          <w:bCs/>
          <w:sz w:val="16"/>
          <w:szCs w:val="16"/>
        </w:rPr>
      </w:pPr>
      <w:r w:rsidRPr="00BF61FA">
        <w:rPr>
          <w:rStyle w:val="FootnoteReference"/>
          <w:rFonts w:ascii="Cambria" w:hAnsi="Cambria"/>
          <w:b/>
          <w:sz w:val="16"/>
          <w:szCs w:val="16"/>
        </w:rPr>
        <w:footnoteRef/>
      </w:r>
      <w:r w:rsidRPr="00BF61FA">
        <w:rPr>
          <w:rFonts w:ascii="Cambria" w:hAnsi="Cambria"/>
          <w:b/>
          <w:sz w:val="16"/>
          <w:szCs w:val="16"/>
        </w:rPr>
        <w:t xml:space="preserve"> </w:t>
      </w:r>
      <w:r>
        <w:rPr>
          <w:rFonts w:ascii="Cambria" w:hAnsi="Cambria"/>
          <w:bCs/>
          <w:sz w:val="16"/>
          <w:szCs w:val="16"/>
        </w:rPr>
        <w:t xml:space="preserve">IA Court of HR. Case of </w:t>
      </w:r>
      <w:r w:rsidRPr="00DB49BF">
        <w:rPr>
          <w:rStyle w:val="Strong"/>
          <w:rFonts w:ascii="Cambria" w:hAnsi="Cambria"/>
          <w:b w:val="0"/>
          <w:bCs w:val="0"/>
          <w:sz w:val="16"/>
          <w:szCs w:val="16"/>
        </w:rPr>
        <w:t xml:space="preserve">Flor Freire </w:t>
      </w:r>
      <w:r>
        <w:rPr>
          <w:rStyle w:val="Strong"/>
          <w:rFonts w:ascii="Cambria" w:hAnsi="Cambria"/>
          <w:b w:val="0"/>
          <w:bCs w:val="0"/>
          <w:sz w:val="16"/>
          <w:szCs w:val="16"/>
        </w:rPr>
        <w:t>v</w:t>
      </w:r>
      <w:r w:rsidRPr="00DB49BF">
        <w:rPr>
          <w:rStyle w:val="Strong"/>
          <w:rFonts w:ascii="Cambria" w:hAnsi="Cambria"/>
          <w:b w:val="0"/>
          <w:bCs w:val="0"/>
          <w:sz w:val="16"/>
          <w:szCs w:val="16"/>
        </w:rPr>
        <w:t xml:space="preserve">. Ecuador. </w:t>
      </w:r>
      <w:r>
        <w:rPr>
          <w:rStyle w:val="Strong"/>
          <w:rFonts w:ascii="Cambria" w:hAnsi="Cambria"/>
          <w:b w:val="0"/>
          <w:bCs w:val="0"/>
          <w:sz w:val="16"/>
          <w:szCs w:val="16"/>
        </w:rPr>
        <w:t xml:space="preserve">Preliminary Objection, Merits, Reparations and Costs. Judgment of August 31, </w:t>
      </w:r>
      <w:r w:rsidRPr="00DB49BF">
        <w:rPr>
          <w:rStyle w:val="Strong"/>
          <w:rFonts w:ascii="Cambria" w:hAnsi="Cambria"/>
          <w:b w:val="0"/>
          <w:bCs w:val="0"/>
          <w:sz w:val="16"/>
          <w:szCs w:val="16"/>
        </w:rPr>
        <w:t>2016. Serie</w:t>
      </w:r>
      <w:r>
        <w:rPr>
          <w:rStyle w:val="Strong"/>
          <w:rFonts w:ascii="Cambria" w:hAnsi="Cambria"/>
          <w:b w:val="0"/>
          <w:bCs w:val="0"/>
          <w:sz w:val="16"/>
          <w:szCs w:val="16"/>
        </w:rPr>
        <w:t>s</w:t>
      </w:r>
      <w:r w:rsidRPr="00DB49BF">
        <w:rPr>
          <w:rStyle w:val="Strong"/>
          <w:rFonts w:ascii="Cambria" w:hAnsi="Cambria"/>
          <w:b w:val="0"/>
          <w:bCs w:val="0"/>
          <w:sz w:val="16"/>
          <w:szCs w:val="16"/>
        </w:rPr>
        <w:t xml:space="preserve"> C No. 315. P</w:t>
      </w:r>
      <w:r>
        <w:rPr>
          <w:rStyle w:val="Strong"/>
          <w:rFonts w:ascii="Cambria" w:hAnsi="Cambria"/>
          <w:b w:val="0"/>
          <w:bCs w:val="0"/>
          <w:sz w:val="16"/>
          <w:szCs w:val="16"/>
        </w:rPr>
        <w:t>a</w:t>
      </w:r>
      <w:r w:rsidRPr="00DB49BF">
        <w:rPr>
          <w:rStyle w:val="Strong"/>
          <w:rFonts w:ascii="Cambria" w:hAnsi="Cambria"/>
          <w:b w:val="0"/>
          <w:bCs w:val="0"/>
          <w:sz w:val="16"/>
          <w:szCs w:val="16"/>
        </w:rPr>
        <w:t>r. 109.</w:t>
      </w:r>
      <w:r w:rsidRPr="00BF61FA">
        <w:rPr>
          <w:rStyle w:val="Strong"/>
          <w:rFonts w:ascii="Cambria" w:hAnsi="Cambria"/>
          <w:sz w:val="16"/>
          <w:szCs w:val="16"/>
        </w:rPr>
        <w:t xml:space="preserve"> </w:t>
      </w:r>
    </w:p>
  </w:footnote>
  <w:footnote w:id="28">
    <w:p w14:paraId="4D95B3C9"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IACHR. Report on Poverty and Human Rights in the Americas. September</w:t>
      </w:r>
      <w:r w:rsidRPr="00BF61FA">
        <w:rPr>
          <w:rFonts w:ascii="Cambria" w:hAnsi="Cambria"/>
          <w:sz w:val="16"/>
          <w:szCs w:val="16"/>
        </w:rPr>
        <w:t xml:space="preserve"> 7</w:t>
      </w:r>
      <w:r>
        <w:rPr>
          <w:rFonts w:ascii="Cambria" w:hAnsi="Cambria"/>
          <w:sz w:val="16"/>
          <w:szCs w:val="16"/>
        </w:rPr>
        <w:t>,</w:t>
      </w:r>
      <w:r w:rsidRPr="00BF61FA">
        <w:rPr>
          <w:rFonts w:ascii="Cambria" w:hAnsi="Cambria"/>
          <w:sz w:val="16"/>
          <w:szCs w:val="16"/>
        </w:rPr>
        <w:t xml:space="preserve"> 2017, p</w:t>
      </w:r>
      <w:r>
        <w:rPr>
          <w:rFonts w:ascii="Cambria" w:hAnsi="Cambria"/>
          <w:sz w:val="16"/>
          <w:szCs w:val="16"/>
        </w:rPr>
        <w:t>a</w:t>
      </w:r>
      <w:r w:rsidRPr="00BF61FA">
        <w:rPr>
          <w:rFonts w:ascii="Cambria" w:hAnsi="Cambria"/>
          <w:sz w:val="16"/>
          <w:szCs w:val="16"/>
        </w:rPr>
        <w:t>r. 160</w:t>
      </w:r>
    </w:p>
  </w:footnote>
  <w:footnote w:id="29">
    <w:p w14:paraId="031F082E"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Pr>
          <w:rFonts w:ascii="Cambria" w:hAnsi="Cambria"/>
          <w:sz w:val="16"/>
          <w:szCs w:val="16"/>
        </w:rPr>
        <w:t xml:space="preserve"> IA Court of HR. </w:t>
      </w:r>
      <w:r w:rsidRPr="004E1E59">
        <w:rPr>
          <w:rFonts w:ascii="Cambria" w:hAnsi="Cambria"/>
          <w:sz w:val="16"/>
          <w:szCs w:val="16"/>
          <w:lang w:val="es-ES"/>
        </w:rPr>
        <w:t xml:space="preserve">Case of San Miguel Sosa et al v. Venezuela. </w:t>
      </w:r>
      <w:r>
        <w:rPr>
          <w:rFonts w:ascii="Cambria" w:hAnsi="Cambria"/>
          <w:sz w:val="16"/>
          <w:szCs w:val="16"/>
        </w:rPr>
        <w:t xml:space="preserve">Merits, Reparations and Costs. Judgment of February </w:t>
      </w:r>
      <w:r w:rsidRPr="00BF61FA">
        <w:rPr>
          <w:rFonts w:ascii="Cambria" w:hAnsi="Cambria"/>
          <w:sz w:val="16"/>
          <w:szCs w:val="16"/>
        </w:rPr>
        <w:t>8</w:t>
      </w:r>
      <w:r>
        <w:rPr>
          <w:rFonts w:ascii="Cambria" w:hAnsi="Cambria"/>
          <w:sz w:val="16"/>
          <w:szCs w:val="16"/>
        </w:rPr>
        <w:t>,</w:t>
      </w:r>
      <w:r w:rsidRPr="00BF61FA">
        <w:rPr>
          <w:rFonts w:ascii="Cambria" w:hAnsi="Cambria"/>
          <w:sz w:val="16"/>
          <w:szCs w:val="16"/>
        </w:rPr>
        <w:t xml:space="preserve"> 2018. Serie</w:t>
      </w:r>
      <w:r>
        <w:rPr>
          <w:rFonts w:ascii="Cambria" w:hAnsi="Cambria"/>
          <w:sz w:val="16"/>
          <w:szCs w:val="16"/>
        </w:rPr>
        <w:t>s</w:t>
      </w:r>
      <w:r w:rsidRPr="00BF61FA">
        <w:rPr>
          <w:rFonts w:ascii="Cambria" w:hAnsi="Cambria"/>
          <w:sz w:val="16"/>
          <w:szCs w:val="16"/>
        </w:rPr>
        <w:t xml:space="preserve"> C no. 348, p</w:t>
      </w:r>
      <w:r>
        <w:rPr>
          <w:rFonts w:ascii="Cambria" w:hAnsi="Cambria"/>
          <w:sz w:val="16"/>
          <w:szCs w:val="16"/>
        </w:rPr>
        <w:t>a</w:t>
      </w:r>
      <w:r w:rsidRPr="00BF61FA">
        <w:rPr>
          <w:rFonts w:ascii="Cambria" w:hAnsi="Cambria"/>
          <w:sz w:val="16"/>
          <w:szCs w:val="16"/>
        </w:rPr>
        <w:t xml:space="preserve">r.116. </w:t>
      </w:r>
    </w:p>
  </w:footnote>
  <w:footnote w:id="30">
    <w:p w14:paraId="58897E3D"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 xml:space="preserve">IA Court of HR, Case of </w:t>
      </w:r>
      <w:r w:rsidRPr="00BF61FA">
        <w:rPr>
          <w:rFonts w:ascii="Cambria" w:hAnsi="Cambria"/>
          <w:sz w:val="16"/>
          <w:szCs w:val="16"/>
        </w:rPr>
        <w:t xml:space="preserve">I.V. </w:t>
      </w:r>
      <w:r>
        <w:rPr>
          <w:rFonts w:ascii="Cambria" w:hAnsi="Cambria"/>
          <w:sz w:val="16"/>
          <w:szCs w:val="16"/>
        </w:rPr>
        <w:t>v</w:t>
      </w:r>
      <w:r w:rsidRPr="00BF61FA">
        <w:rPr>
          <w:rFonts w:ascii="Cambria" w:hAnsi="Cambria"/>
          <w:sz w:val="16"/>
          <w:szCs w:val="16"/>
        </w:rPr>
        <w:t xml:space="preserve">. Bolivia. </w:t>
      </w:r>
      <w:r>
        <w:rPr>
          <w:rFonts w:ascii="Cambria" w:hAnsi="Cambria"/>
          <w:sz w:val="16"/>
          <w:szCs w:val="16"/>
        </w:rPr>
        <w:t xml:space="preserve">Preliminary Objections, Merits, Reparations and Costs. Judgment of November 30, </w:t>
      </w:r>
      <w:r w:rsidRPr="00BF61FA">
        <w:rPr>
          <w:rFonts w:ascii="Cambria" w:hAnsi="Cambria"/>
          <w:sz w:val="16"/>
          <w:szCs w:val="16"/>
        </w:rPr>
        <w:t>2016, p</w:t>
      </w:r>
      <w:r>
        <w:rPr>
          <w:rFonts w:ascii="Cambria" w:hAnsi="Cambria"/>
          <w:sz w:val="16"/>
          <w:szCs w:val="16"/>
        </w:rPr>
        <w:t>a</w:t>
      </w:r>
      <w:r w:rsidRPr="00BF61FA">
        <w:rPr>
          <w:rFonts w:ascii="Cambria" w:hAnsi="Cambria"/>
          <w:sz w:val="16"/>
          <w:szCs w:val="16"/>
        </w:rPr>
        <w:t>r. 240.</w:t>
      </w:r>
    </w:p>
  </w:footnote>
  <w:footnote w:id="31">
    <w:p w14:paraId="2DBCC67A"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In this regard, according to the International Convention on the Rights of Persons with Disability, “disability is an evolving concept and that disability results from the interaction between persons with impairments and attitudinal and environmental barriers that hinders their full and effective participation in society on an equal basis with others.</w:t>
      </w:r>
      <w:r w:rsidRPr="00BF61FA">
        <w:rPr>
          <w:rFonts w:ascii="Cambria" w:hAnsi="Cambria"/>
          <w:sz w:val="16"/>
          <w:szCs w:val="16"/>
        </w:rPr>
        <w:t>”</w:t>
      </w:r>
      <w:r>
        <w:rPr>
          <w:rFonts w:ascii="Cambria" w:hAnsi="Cambria"/>
          <w:sz w:val="16"/>
          <w:szCs w:val="16"/>
        </w:rPr>
        <w:t xml:space="preserve"> Additionally, the Inter-American Convention on the Elimination of All Forms of Discrimination against Persons with Disability establishes that disability “can be caused or aggravated by the economic or social environment.” </w:t>
      </w:r>
      <w:r w:rsidRPr="00BF61FA">
        <w:rPr>
          <w:rFonts w:ascii="Cambria" w:hAnsi="Cambria"/>
          <w:sz w:val="16"/>
          <w:szCs w:val="16"/>
        </w:rPr>
        <w:t xml:space="preserve"> </w:t>
      </w:r>
    </w:p>
  </w:footnote>
  <w:footnote w:id="32">
    <w:p w14:paraId="3E16F868"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IA Court of HR.</w:t>
      </w:r>
      <w:r w:rsidRPr="00BF61FA">
        <w:rPr>
          <w:rFonts w:ascii="Cambria" w:hAnsi="Cambria"/>
          <w:sz w:val="16"/>
          <w:szCs w:val="16"/>
        </w:rPr>
        <w:t xml:space="preserve"> Cas</w:t>
      </w:r>
      <w:r>
        <w:rPr>
          <w:rFonts w:ascii="Cambria" w:hAnsi="Cambria"/>
          <w:sz w:val="16"/>
          <w:szCs w:val="16"/>
        </w:rPr>
        <w:t>e of</w:t>
      </w:r>
      <w:r w:rsidRPr="00BF61FA">
        <w:rPr>
          <w:rFonts w:ascii="Cambria" w:hAnsi="Cambria"/>
          <w:sz w:val="16"/>
          <w:szCs w:val="16"/>
        </w:rPr>
        <w:t xml:space="preserve"> Furlan </w:t>
      </w:r>
      <w:r>
        <w:rPr>
          <w:rFonts w:ascii="Cambria" w:hAnsi="Cambria"/>
          <w:sz w:val="16"/>
          <w:szCs w:val="16"/>
        </w:rPr>
        <w:t>and Family v.</w:t>
      </w:r>
      <w:r w:rsidRPr="00BF61FA">
        <w:rPr>
          <w:rFonts w:ascii="Cambria" w:hAnsi="Cambria"/>
          <w:sz w:val="16"/>
          <w:szCs w:val="16"/>
        </w:rPr>
        <w:t xml:space="preserve"> Argentina. </w:t>
      </w:r>
      <w:r>
        <w:rPr>
          <w:rFonts w:ascii="Cambria" w:hAnsi="Cambria"/>
          <w:sz w:val="16"/>
          <w:szCs w:val="16"/>
        </w:rPr>
        <w:t xml:space="preserve">Preliminary Objections, Merits, Reparations and Costs. Judgment of August </w:t>
      </w:r>
      <w:r w:rsidRPr="00BF61FA">
        <w:rPr>
          <w:rFonts w:ascii="Cambria" w:hAnsi="Cambria"/>
          <w:sz w:val="16"/>
          <w:szCs w:val="16"/>
        </w:rPr>
        <w:t>31</w:t>
      </w:r>
      <w:r>
        <w:rPr>
          <w:rFonts w:ascii="Cambria" w:hAnsi="Cambria"/>
          <w:sz w:val="16"/>
          <w:szCs w:val="16"/>
        </w:rPr>
        <w:t>,</w:t>
      </w:r>
      <w:r w:rsidRPr="00BF61FA">
        <w:rPr>
          <w:rFonts w:ascii="Cambria" w:hAnsi="Cambria"/>
          <w:sz w:val="16"/>
          <w:szCs w:val="16"/>
        </w:rPr>
        <w:t xml:space="preserve"> 2012, Serie</w:t>
      </w:r>
      <w:r>
        <w:rPr>
          <w:rFonts w:ascii="Cambria" w:hAnsi="Cambria"/>
          <w:sz w:val="16"/>
          <w:szCs w:val="16"/>
        </w:rPr>
        <w:t>s</w:t>
      </w:r>
      <w:r w:rsidRPr="00BF61FA">
        <w:rPr>
          <w:rFonts w:ascii="Cambria" w:hAnsi="Cambria"/>
          <w:sz w:val="16"/>
          <w:szCs w:val="16"/>
        </w:rPr>
        <w:t xml:space="preserve"> C no. 246, p</w:t>
      </w:r>
      <w:r>
        <w:rPr>
          <w:rFonts w:ascii="Cambria" w:hAnsi="Cambria"/>
          <w:sz w:val="16"/>
          <w:szCs w:val="16"/>
        </w:rPr>
        <w:t>a</w:t>
      </w:r>
      <w:r w:rsidRPr="00BF61FA">
        <w:rPr>
          <w:rFonts w:ascii="Cambria" w:hAnsi="Cambria"/>
          <w:sz w:val="16"/>
          <w:szCs w:val="16"/>
        </w:rPr>
        <w:t xml:space="preserve">r.133. </w:t>
      </w:r>
      <w:r>
        <w:rPr>
          <w:rFonts w:ascii="Cambria" w:hAnsi="Cambria"/>
          <w:sz w:val="16"/>
          <w:szCs w:val="16"/>
        </w:rPr>
        <w:t>IA Court of HR.</w:t>
      </w:r>
      <w:r w:rsidRPr="00BF61FA">
        <w:rPr>
          <w:rFonts w:ascii="Cambria" w:hAnsi="Cambria"/>
          <w:sz w:val="16"/>
          <w:szCs w:val="16"/>
        </w:rPr>
        <w:t xml:space="preserve"> Cas</w:t>
      </w:r>
      <w:r>
        <w:rPr>
          <w:rFonts w:ascii="Cambria" w:hAnsi="Cambria"/>
          <w:sz w:val="16"/>
          <w:szCs w:val="16"/>
        </w:rPr>
        <w:t>e of</w:t>
      </w:r>
      <w:r w:rsidRPr="00BF61FA">
        <w:rPr>
          <w:rFonts w:ascii="Cambria" w:hAnsi="Cambria"/>
          <w:sz w:val="16"/>
          <w:szCs w:val="16"/>
        </w:rPr>
        <w:t xml:space="preserve"> Chinchilla Sandoval </w:t>
      </w:r>
      <w:r>
        <w:rPr>
          <w:rFonts w:ascii="Cambria" w:hAnsi="Cambria"/>
          <w:sz w:val="16"/>
          <w:szCs w:val="16"/>
        </w:rPr>
        <w:t>et al v.</w:t>
      </w:r>
      <w:r w:rsidRPr="00BF61FA">
        <w:rPr>
          <w:rFonts w:ascii="Cambria" w:hAnsi="Cambria"/>
          <w:sz w:val="16"/>
          <w:szCs w:val="16"/>
        </w:rPr>
        <w:t xml:space="preserve"> Guatemala. </w:t>
      </w:r>
      <w:r>
        <w:rPr>
          <w:rFonts w:ascii="Cambria" w:hAnsi="Cambria"/>
          <w:sz w:val="16"/>
          <w:szCs w:val="16"/>
        </w:rPr>
        <w:t>Supervision of Compliance with Judgment</w:t>
      </w:r>
      <w:r w:rsidRPr="00BF61FA">
        <w:rPr>
          <w:rFonts w:ascii="Cambria" w:hAnsi="Cambria"/>
          <w:sz w:val="16"/>
          <w:szCs w:val="16"/>
        </w:rPr>
        <w:t xml:space="preserve">. </w:t>
      </w:r>
      <w:r>
        <w:rPr>
          <w:rFonts w:ascii="Cambria" w:hAnsi="Cambria"/>
          <w:sz w:val="16"/>
          <w:szCs w:val="16"/>
        </w:rPr>
        <w:t>Resolution of the Inter-American Court of Human Rights of October</w:t>
      </w:r>
      <w:r w:rsidRPr="00BF61FA">
        <w:rPr>
          <w:rFonts w:ascii="Cambria" w:hAnsi="Cambria"/>
          <w:sz w:val="16"/>
          <w:szCs w:val="16"/>
        </w:rPr>
        <w:t xml:space="preserve"> 7</w:t>
      </w:r>
      <w:r>
        <w:rPr>
          <w:rFonts w:ascii="Cambria" w:hAnsi="Cambria"/>
          <w:sz w:val="16"/>
          <w:szCs w:val="16"/>
        </w:rPr>
        <w:t>,</w:t>
      </w:r>
      <w:r w:rsidRPr="00BF61FA">
        <w:rPr>
          <w:rFonts w:ascii="Cambria" w:hAnsi="Cambria"/>
          <w:sz w:val="16"/>
          <w:szCs w:val="16"/>
        </w:rPr>
        <w:t xml:space="preserve"> 2019, p</w:t>
      </w:r>
      <w:r>
        <w:rPr>
          <w:rFonts w:ascii="Cambria" w:hAnsi="Cambria"/>
          <w:sz w:val="16"/>
          <w:szCs w:val="16"/>
        </w:rPr>
        <w:t>a</w:t>
      </w:r>
      <w:r w:rsidRPr="00BF61FA">
        <w:rPr>
          <w:rFonts w:ascii="Cambria" w:hAnsi="Cambria"/>
          <w:sz w:val="16"/>
          <w:szCs w:val="16"/>
        </w:rPr>
        <w:t>r. 207.</w:t>
      </w:r>
    </w:p>
  </w:footnote>
  <w:footnote w:id="33">
    <w:p w14:paraId="12448F91" w14:textId="77777777" w:rsidR="00D9736D" w:rsidRPr="00BF61FA" w:rsidRDefault="00D9736D" w:rsidP="00272A82">
      <w:pPr>
        <w:jc w:val="both"/>
        <w:rPr>
          <w:rFonts w:ascii="Cambria" w:hAnsi="Cambria" w:cs="Arial"/>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IACHR, Access to Justice for Women Victims of Violence in the Americas, January</w:t>
      </w:r>
      <w:r w:rsidRPr="00BF61FA">
        <w:rPr>
          <w:rFonts w:ascii="Cambria" w:hAnsi="Cambria" w:cs="Arial"/>
          <w:sz w:val="16"/>
          <w:szCs w:val="16"/>
        </w:rPr>
        <w:t xml:space="preserve"> 20</w:t>
      </w:r>
      <w:r>
        <w:rPr>
          <w:rFonts w:ascii="Cambria" w:hAnsi="Cambria" w:cs="Arial"/>
          <w:sz w:val="16"/>
          <w:szCs w:val="16"/>
        </w:rPr>
        <w:t>,</w:t>
      </w:r>
      <w:r w:rsidRPr="00BF61FA">
        <w:rPr>
          <w:rFonts w:ascii="Cambria" w:hAnsi="Cambria" w:cs="Arial"/>
          <w:sz w:val="16"/>
          <w:szCs w:val="16"/>
        </w:rPr>
        <w:t xml:space="preserve"> 2007, p</w:t>
      </w:r>
      <w:r>
        <w:rPr>
          <w:rFonts w:ascii="Cambria" w:hAnsi="Cambria" w:cs="Arial"/>
          <w:sz w:val="16"/>
          <w:szCs w:val="16"/>
        </w:rPr>
        <w:t>ar</w:t>
      </w:r>
      <w:r w:rsidRPr="00BF61FA">
        <w:rPr>
          <w:rFonts w:ascii="Cambria" w:hAnsi="Cambria" w:cs="Arial"/>
          <w:sz w:val="16"/>
          <w:szCs w:val="16"/>
        </w:rPr>
        <w:t xml:space="preserve">s. 100 </w:t>
      </w:r>
      <w:r>
        <w:rPr>
          <w:rFonts w:ascii="Cambria" w:hAnsi="Cambria" w:cs="Arial"/>
          <w:sz w:val="16"/>
          <w:szCs w:val="16"/>
        </w:rPr>
        <w:t>and</w:t>
      </w:r>
      <w:r w:rsidRPr="00BF61FA">
        <w:rPr>
          <w:rFonts w:ascii="Cambria" w:hAnsi="Cambria" w:cs="Arial"/>
          <w:sz w:val="16"/>
          <w:szCs w:val="16"/>
        </w:rPr>
        <w:t xml:space="preserve"> 101.</w:t>
      </w:r>
      <w:r w:rsidRPr="00BF61FA">
        <w:rPr>
          <w:rFonts w:ascii="Cambria" w:hAnsi="Cambria"/>
          <w:sz w:val="16"/>
          <w:szCs w:val="16"/>
        </w:rPr>
        <w:t xml:space="preserve"> </w:t>
      </w:r>
      <w:r>
        <w:rPr>
          <w:rFonts w:ascii="Cambria" w:hAnsi="Cambria"/>
          <w:sz w:val="16"/>
          <w:szCs w:val="16"/>
        </w:rPr>
        <w:t>IACHR. Considerations regarding the compatibility of affirmative action measures designed to promote political participation of women with the principles of equality and non-discrimination, Annual Report</w:t>
      </w:r>
      <w:r w:rsidRPr="00BF61FA">
        <w:rPr>
          <w:rFonts w:ascii="Cambria" w:hAnsi="Cambria"/>
          <w:sz w:val="16"/>
          <w:szCs w:val="16"/>
        </w:rPr>
        <w:t xml:space="preserve">, 1999, </w:t>
      </w:r>
      <w:r>
        <w:rPr>
          <w:rFonts w:ascii="Cambria" w:hAnsi="Cambria"/>
          <w:sz w:val="16"/>
          <w:szCs w:val="16"/>
        </w:rPr>
        <w:t xml:space="preserve">April </w:t>
      </w:r>
      <w:r w:rsidRPr="00BF61FA">
        <w:rPr>
          <w:rFonts w:ascii="Cambria" w:hAnsi="Cambria"/>
          <w:sz w:val="16"/>
          <w:szCs w:val="16"/>
        </w:rPr>
        <w:t>13</w:t>
      </w:r>
      <w:r>
        <w:rPr>
          <w:rFonts w:ascii="Cambria" w:hAnsi="Cambria"/>
          <w:sz w:val="16"/>
          <w:szCs w:val="16"/>
        </w:rPr>
        <w:t>,</w:t>
      </w:r>
      <w:r w:rsidRPr="00BF61FA">
        <w:rPr>
          <w:rFonts w:ascii="Cambria" w:hAnsi="Cambria"/>
          <w:sz w:val="16"/>
          <w:szCs w:val="16"/>
        </w:rPr>
        <w:t xml:space="preserve"> 2000, C</w:t>
      </w:r>
      <w:r>
        <w:rPr>
          <w:rFonts w:ascii="Cambria" w:hAnsi="Cambria"/>
          <w:sz w:val="16"/>
          <w:szCs w:val="16"/>
        </w:rPr>
        <w:t xml:space="preserve">hapter </w:t>
      </w:r>
      <w:r w:rsidRPr="00BF61FA">
        <w:rPr>
          <w:rFonts w:ascii="Cambria" w:hAnsi="Cambria"/>
          <w:sz w:val="16"/>
          <w:szCs w:val="16"/>
        </w:rPr>
        <w:t>VI</w:t>
      </w:r>
      <w:r>
        <w:rPr>
          <w:rFonts w:ascii="Cambria" w:hAnsi="Cambria"/>
          <w:sz w:val="16"/>
          <w:szCs w:val="16"/>
        </w:rPr>
        <w:t>.</w:t>
      </w:r>
    </w:p>
  </w:footnote>
  <w:footnote w:id="34">
    <w:p w14:paraId="6B4462B9" w14:textId="77777777" w:rsidR="00D9736D" w:rsidRPr="00BF61FA" w:rsidRDefault="00D9736D" w:rsidP="00272A82">
      <w:pPr>
        <w:jc w:val="both"/>
        <w:rPr>
          <w:rFonts w:ascii="Cambria" w:hAnsi="Cambria" w:cs="Arial"/>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IACHR, Access to Justice for Women Victims of Violence in the Americas, January</w:t>
      </w:r>
      <w:r w:rsidRPr="00BF61FA">
        <w:rPr>
          <w:rFonts w:ascii="Cambria" w:hAnsi="Cambria" w:cs="Arial"/>
          <w:sz w:val="16"/>
          <w:szCs w:val="16"/>
        </w:rPr>
        <w:t xml:space="preserve"> 20</w:t>
      </w:r>
      <w:r>
        <w:rPr>
          <w:rFonts w:ascii="Cambria" w:hAnsi="Cambria" w:cs="Arial"/>
          <w:sz w:val="16"/>
          <w:szCs w:val="16"/>
        </w:rPr>
        <w:t>,</w:t>
      </w:r>
      <w:r w:rsidRPr="00BF61FA">
        <w:rPr>
          <w:rFonts w:ascii="Cambria" w:hAnsi="Cambria" w:cs="Arial"/>
          <w:sz w:val="16"/>
          <w:szCs w:val="16"/>
        </w:rPr>
        <w:t xml:space="preserve"> 2007, p</w:t>
      </w:r>
      <w:r>
        <w:rPr>
          <w:rFonts w:ascii="Cambria" w:hAnsi="Cambria" w:cs="Arial"/>
          <w:sz w:val="16"/>
          <w:szCs w:val="16"/>
        </w:rPr>
        <w:t>ar</w:t>
      </w:r>
      <w:r w:rsidRPr="00BF61FA">
        <w:rPr>
          <w:rFonts w:ascii="Cambria" w:hAnsi="Cambria" w:cs="Arial"/>
          <w:sz w:val="16"/>
          <w:szCs w:val="16"/>
        </w:rPr>
        <w:t xml:space="preserve">s. 100 </w:t>
      </w:r>
      <w:r>
        <w:rPr>
          <w:rFonts w:ascii="Cambria" w:hAnsi="Cambria" w:cs="Arial"/>
          <w:sz w:val="16"/>
          <w:szCs w:val="16"/>
        </w:rPr>
        <w:t>and</w:t>
      </w:r>
      <w:r w:rsidRPr="00BF61FA">
        <w:rPr>
          <w:rFonts w:ascii="Cambria" w:hAnsi="Cambria" w:cs="Arial"/>
          <w:sz w:val="16"/>
          <w:szCs w:val="16"/>
        </w:rPr>
        <w:t xml:space="preserve"> 101.</w:t>
      </w:r>
      <w:r w:rsidRPr="00BF61FA">
        <w:rPr>
          <w:rFonts w:ascii="Cambria" w:hAnsi="Cambria"/>
          <w:sz w:val="16"/>
          <w:szCs w:val="16"/>
        </w:rPr>
        <w:t xml:space="preserve"> </w:t>
      </w:r>
      <w:r>
        <w:rPr>
          <w:rFonts w:ascii="Cambria" w:hAnsi="Cambria"/>
          <w:sz w:val="16"/>
          <w:szCs w:val="16"/>
        </w:rPr>
        <w:t>IACHR. Considerations regarding the compatibility of affirmative action measures designed to promote political participation of women with the principles of equality and non-discrimination, Annual Report</w:t>
      </w:r>
      <w:r w:rsidRPr="00BF61FA">
        <w:rPr>
          <w:rFonts w:ascii="Cambria" w:hAnsi="Cambria"/>
          <w:sz w:val="16"/>
          <w:szCs w:val="16"/>
        </w:rPr>
        <w:t xml:space="preserve">, 1999, </w:t>
      </w:r>
      <w:r>
        <w:rPr>
          <w:rFonts w:ascii="Cambria" w:hAnsi="Cambria"/>
          <w:sz w:val="16"/>
          <w:szCs w:val="16"/>
        </w:rPr>
        <w:t xml:space="preserve">April </w:t>
      </w:r>
      <w:r w:rsidRPr="00BF61FA">
        <w:rPr>
          <w:rFonts w:ascii="Cambria" w:hAnsi="Cambria"/>
          <w:sz w:val="16"/>
          <w:szCs w:val="16"/>
        </w:rPr>
        <w:t>13</w:t>
      </w:r>
      <w:r>
        <w:rPr>
          <w:rFonts w:ascii="Cambria" w:hAnsi="Cambria"/>
          <w:sz w:val="16"/>
          <w:szCs w:val="16"/>
        </w:rPr>
        <w:t>,</w:t>
      </w:r>
      <w:r w:rsidRPr="00BF61FA">
        <w:rPr>
          <w:rFonts w:ascii="Cambria" w:hAnsi="Cambria"/>
          <w:sz w:val="16"/>
          <w:szCs w:val="16"/>
        </w:rPr>
        <w:t xml:space="preserve"> 2000, C</w:t>
      </w:r>
      <w:r>
        <w:rPr>
          <w:rFonts w:ascii="Cambria" w:hAnsi="Cambria"/>
          <w:sz w:val="16"/>
          <w:szCs w:val="16"/>
        </w:rPr>
        <w:t xml:space="preserve">hapter </w:t>
      </w:r>
      <w:r w:rsidRPr="00BF61FA">
        <w:rPr>
          <w:rFonts w:ascii="Cambria" w:hAnsi="Cambria"/>
          <w:sz w:val="16"/>
          <w:szCs w:val="16"/>
        </w:rPr>
        <w:t>VI.</w:t>
      </w:r>
      <w:r>
        <w:rPr>
          <w:rFonts w:ascii="Cambria" w:hAnsi="Cambria"/>
          <w:sz w:val="16"/>
          <w:szCs w:val="16"/>
        </w:rPr>
        <w:t xml:space="preserve"> </w:t>
      </w:r>
    </w:p>
  </w:footnote>
  <w:footnote w:id="35">
    <w:p w14:paraId="398C4420" w14:textId="77777777" w:rsidR="00D9736D" w:rsidRPr="00BF61FA" w:rsidRDefault="00D9736D" w:rsidP="00272A82">
      <w:pPr>
        <w:tabs>
          <w:tab w:val="left" w:pos="90"/>
        </w:tabs>
        <w:jc w:val="both"/>
        <w:rPr>
          <w:rFonts w:ascii="Cambria" w:hAnsi="Cambria"/>
          <w:b/>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IA Court of HR.</w:t>
      </w:r>
      <w:r w:rsidRPr="00BF61FA">
        <w:rPr>
          <w:rFonts w:ascii="Cambria" w:hAnsi="Cambria"/>
          <w:sz w:val="16"/>
          <w:szCs w:val="16"/>
        </w:rPr>
        <w:t xml:space="preserve"> Cas</w:t>
      </w:r>
      <w:r>
        <w:rPr>
          <w:rFonts w:ascii="Cambria" w:hAnsi="Cambria"/>
          <w:sz w:val="16"/>
          <w:szCs w:val="16"/>
        </w:rPr>
        <w:t>e of</w:t>
      </w:r>
      <w:r w:rsidRPr="00BF61FA">
        <w:rPr>
          <w:rFonts w:ascii="Cambria" w:hAnsi="Cambria"/>
          <w:sz w:val="16"/>
          <w:szCs w:val="16"/>
        </w:rPr>
        <w:t xml:space="preserve"> Furlan </w:t>
      </w:r>
      <w:r>
        <w:rPr>
          <w:rFonts w:ascii="Cambria" w:hAnsi="Cambria"/>
          <w:sz w:val="16"/>
          <w:szCs w:val="16"/>
        </w:rPr>
        <w:t>and Family v.</w:t>
      </w:r>
      <w:r w:rsidRPr="00BF61FA">
        <w:rPr>
          <w:rFonts w:ascii="Cambria" w:hAnsi="Cambria"/>
          <w:sz w:val="16"/>
          <w:szCs w:val="16"/>
        </w:rPr>
        <w:t xml:space="preserve"> Argentina. </w:t>
      </w:r>
      <w:r>
        <w:rPr>
          <w:rFonts w:ascii="Cambria" w:hAnsi="Cambria"/>
          <w:sz w:val="16"/>
          <w:szCs w:val="16"/>
        </w:rPr>
        <w:t xml:space="preserve">Preliminary Objections, Merits, Reparations and Costs. Judgment of August </w:t>
      </w:r>
      <w:r w:rsidRPr="00BF61FA">
        <w:rPr>
          <w:rFonts w:ascii="Cambria" w:hAnsi="Cambria"/>
          <w:sz w:val="16"/>
          <w:szCs w:val="16"/>
        </w:rPr>
        <w:t>31</w:t>
      </w:r>
      <w:r>
        <w:rPr>
          <w:rFonts w:ascii="Cambria" w:hAnsi="Cambria"/>
          <w:sz w:val="16"/>
          <w:szCs w:val="16"/>
        </w:rPr>
        <w:t>,</w:t>
      </w:r>
      <w:r w:rsidRPr="00BF61FA">
        <w:rPr>
          <w:rFonts w:ascii="Cambria" w:hAnsi="Cambria"/>
          <w:sz w:val="16"/>
          <w:szCs w:val="16"/>
        </w:rPr>
        <w:t xml:space="preserve"> 2012, Serie</w:t>
      </w:r>
      <w:r>
        <w:rPr>
          <w:rFonts w:ascii="Cambria" w:hAnsi="Cambria"/>
          <w:sz w:val="16"/>
          <w:szCs w:val="16"/>
        </w:rPr>
        <w:t>s</w:t>
      </w:r>
      <w:r w:rsidRPr="00BF61FA">
        <w:rPr>
          <w:rFonts w:ascii="Cambria" w:hAnsi="Cambria"/>
          <w:sz w:val="16"/>
          <w:szCs w:val="16"/>
        </w:rPr>
        <w:t xml:space="preserve"> C no. 246, p</w:t>
      </w:r>
      <w:r>
        <w:rPr>
          <w:rFonts w:ascii="Cambria" w:hAnsi="Cambria"/>
          <w:sz w:val="16"/>
          <w:szCs w:val="16"/>
        </w:rPr>
        <w:t>a</w:t>
      </w:r>
      <w:r w:rsidRPr="00BF61FA">
        <w:rPr>
          <w:rFonts w:ascii="Cambria" w:hAnsi="Cambria"/>
          <w:sz w:val="16"/>
          <w:szCs w:val="16"/>
        </w:rPr>
        <w:t>r.</w:t>
      </w:r>
      <w:r w:rsidRPr="00BF61FA">
        <w:rPr>
          <w:rFonts w:ascii="Cambria" w:hAnsi="Cambria" w:cs="Arial"/>
          <w:sz w:val="16"/>
          <w:szCs w:val="16"/>
        </w:rPr>
        <w:t xml:space="preserve"> 134.</w:t>
      </w:r>
    </w:p>
  </w:footnote>
  <w:footnote w:id="36">
    <w:p w14:paraId="551E4F46" w14:textId="77777777" w:rsidR="00D9736D" w:rsidRPr="00BF61FA" w:rsidRDefault="00D9736D" w:rsidP="00272A82">
      <w:pPr>
        <w:pStyle w:val="FootnoteText"/>
        <w:tabs>
          <w:tab w:val="left" w:pos="90"/>
        </w:tabs>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IA Court of HR.</w:t>
      </w:r>
      <w:r w:rsidRPr="00BF61FA">
        <w:rPr>
          <w:rFonts w:ascii="Cambria" w:hAnsi="Cambria"/>
          <w:sz w:val="16"/>
          <w:szCs w:val="16"/>
        </w:rPr>
        <w:t xml:space="preserve"> Cas</w:t>
      </w:r>
      <w:r>
        <w:rPr>
          <w:rFonts w:ascii="Cambria" w:hAnsi="Cambria"/>
          <w:sz w:val="16"/>
          <w:szCs w:val="16"/>
        </w:rPr>
        <w:t>e of</w:t>
      </w:r>
      <w:r w:rsidRPr="00BF61FA">
        <w:rPr>
          <w:rFonts w:ascii="Cambria" w:hAnsi="Cambria"/>
          <w:sz w:val="16"/>
          <w:szCs w:val="16"/>
        </w:rPr>
        <w:t xml:space="preserve"> Furlan </w:t>
      </w:r>
      <w:r>
        <w:rPr>
          <w:rFonts w:ascii="Cambria" w:hAnsi="Cambria"/>
          <w:sz w:val="16"/>
          <w:szCs w:val="16"/>
        </w:rPr>
        <w:t>and Family v.</w:t>
      </w:r>
      <w:r w:rsidRPr="00BF61FA">
        <w:rPr>
          <w:rFonts w:ascii="Cambria" w:hAnsi="Cambria"/>
          <w:sz w:val="16"/>
          <w:szCs w:val="16"/>
        </w:rPr>
        <w:t xml:space="preserve"> Argentina. </w:t>
      </w:r>
      <w:r>
        <w:rPr>
          <w:rFonts w:ascii="Cambria" w:hAnsi="Cambria"/>
          <w:sz w:val="16"/>
          <w:szCs w:val="16"/>
        </w:rPr>
        <w:t xml:space="preserve">Preliminary Objections, Merits, Reparations and Costs. Judgment of August </w:t>
      </w:r>
      <w:r w:rsidRPr="00BF61FA">
        <w:rPr>
          <w:rFonts w:ascii="Cambria" w:hAnsi="Cambria"/>
          <w:sz w:val="16"/>
          <w:szCs w:val="16"/>
        </w:rPr>
        <w:t>31</w:t>
      </w:r>
      <w:r>
        <w:rPr>
          <w:rFonts w:ascii="Cambria" w:hAnsi="Cambria"/>
          <w:sz w:val="16"/>
          <w:szCs w:val="16"/>
        </w:rPr>
        <w:t>,</w:t>
      </w:r>
      <w:r w:rsidRPr="00BF61FA">
        <w:rPr>
          <w:rFonts w:ascii="Cambria" w:hAnsi="Cambria"/>
          <w:sz w:val="16"/>
          <w:szCs w:val="16"/>
        </w:rPr>
        <w:t xml:space="preserve"> 2012, Serie</w:t>
      </w:r>
      <w:r>
        <w:rPr>
          <w:rFonts w:ascii="Cambria" w:hAnsi="Cambria"/>
          <w:sz w:val="16"/>
          <w:szCs w:val="16"/>
        </w:rPr>
        <w:t>s</w:t>
      </w:r>
      <w:r w:rsidRPr="00BF61FA">
        <w:rPr>
          <w:rFonts w:ascii="Cambria" w:hAnsi="Cambria"/>
          <w:sz w:val="16"/>
          <w:szCs w:val="16"/>
        </w:rPr>
        <w:t xml:space="preserve"> C no. 246, p</w:t>
      </w:r>
      <w:r>
        <w:rPr>
          <w:rFonts w:ascii="Cambria" w:hAnsi="Cambria"/>
          <w:sz w:val="16"/>
          <w:szCs w:val="16"/>
        </w:rPr>
        <w:t>a</w:t>
      </w:r>
      <w:r w:rsidRPr="00BF61FA">
        <w:rPr>
          <w:rFonts w:ascii="Cambria" w:hAnsi="Cambria"/>
          <w:sz w:val="16"/>
          <w:szCs w:val="16"/>
        </w:rPr>
        <w:t>r.</w:t>
      </w:r>
      <w:r w:rsidRPr="00BF61FA">
        <w:rPr>
          <w:rFonts w:ascii="Cambria" w:hAnsi="Cambria" w:cs="Arial"/>
          <w:sz w:val="16"/>
          <w:szCs w:val="16"/>
        </w:rPr>
        <w:t xml:space="preserve"> 134.</w:t>
      </w:r>
    </w:p>
  </w:footnote>
  <w:footnote w:id="37">
    <w:p w14:paraId="06D40D7F"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 xml:space="preserve">IA Court of HR. </w:t>
      </w:r>
      <w:r w:rsidRPr="004E1E59">
        <w:rPr>
          <w:rFonts w:ascii="Cambria" w:hAnsi="Cambria"/>
          <w:sz w:val="16"/>
          <w:szCs w:val="16"/>
          <w:lang w:val="es-ES"/>
        </w:rPr>
        <w:t xml:space="preserve">Case of Gonzales Lluy et al v. Ecuador. </w:t>
      </w:r>
      <w:r>
        <w:rPr>
          <w:rFonts w:ascii="Cambria" w:hAnsi="Cambria"/>
          <w:sz w:val="16"/>
          <w:szCs w:val="16"/>
        </w:rPr>
        <w:t xml:space="preserve">Preliminary Objections, Merits, Reparations and Costs. Judgment of September </w:t>
      </w:r>
      <w:r w:rsidRPr="00BF61FA">
        <w:rPr>
          <w:rFonts w:ascii="Cambria" w:hAnsi="Cambria"/>
          <w:sz w:val="16"/>
          <w:szCs w:val="16"/>
        </w:rPr>
        <w:t>1</w:t>
      </w:r>
      <w:r>
        <w:rPr>
          <w:rFonts w:ascii="Cambria" w:hAnsi="Cambria"/>
          <w:sz w:val="16"/>
          <w:szCs w:val="16"/>
        </w:rPr>
        <w:t>,</w:t>
      </w:r>
      <w:r w:rsidRPr="00BF61FA">
        <w:rPr>
          <w:rFonts w:ascii="Cambria" w:hAnsi="Cambria"/>
          <w:sz w:val="16"/>
          <w:szCs w:val="16"/>
        </w:rPr>
        <w:t xml:space="preserve"> 2015. Serie</w:t>
      </w:r>
      <w:r>
        <w:rPr>
          <w:rFonts w:ascii="Cambria" w:hAnsi="Cambria"/>
          <w:sz w:val="16"/>
          <w:szCs w:val="16"/>
        </w:rPr>
        <w:t>s</w:t>
      </w:r>
      <w:r w:rsidRPr="00BF61FA">
        <w:rPr>
          <w:rFonts w:ascii="Cambria" w:hAnsi="Cambria"/>
          <w:sz w:val="16"/>
          <w:szCs w:val="16"/>
        </w:rPr>
        <w:t xml:space="preserve"> C no. 298, p</w:t>
      </w:r>
      <w:r>
        <w:rPr>
          <w:rFonts w:ascii="Cambria" w:hAnsi="Cambria"/>
          <w:sz w:val="16"/>
          <w:szCs w:val="16"/>
        </w:rPr>
        <w:t>a</w:t>
      </w:r>
      <w:r w:rsidRPr="00BF61FA">
        <w:rPr>
          <w:rFonts w:ascii="Cambria" w:hAnsi="Cambria"/>
          <w:sz w:val="16"/>
          <w:szCs w:val="16"/>
        </w:rPr>
        <w:t>r.255.</w:t>
      </w:r>
    </w:p>
  </w:footnote>
  <w:footnote w:id="38">
    <w:p w14:paraId="1016652E"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 xml:space="preserve">Implementation of the International Covenant on Economic, Social and Cultural Rights, General Comment 5, </w:t>
      </w:r>
      <w:r w:rsidRPr="002C4F20">
        <w:rPr>
          <w:rStyle w:val="Strong"/>
          <w:rFonts w:ascii="Cambria" w:hAnsi="Cambria"/>
          <w:b w:val="0"/>
          <w:bCs w:val="0"/>
          <w:sz w:val="16"/>
          <w:szCs w:val="16"/>
          <w:shd w:val="clear" w:color="auto" w:fill="FFFFFF"/>
        </w:rPr>
        <w:t>Persons with disability (11</w:t>
      </w:r>
      <w:r w:rsidRPr="002C4F20">
        <w:rPr>
          <w:rStyle w:val="Strong"/>
          <w:rFonts w:ascii="Cambria" w:hAnsi="Cambria"/>
          <w:b w:val="0"/>
          <w:bCs w:val="0"/>
          <w:sz w:val="16"/>
          <w:szCs w:val="16"/>
          <w:shd w:val="clear" w:color="auto" w:fill="FFFFFF"/>
          <w:vertAlign w:val="superscript"/>
        </w:rPr>
        <w:t>th</w:t>
      </w:r>
      <w:r w:rsidRPr="002C4F20">
        <w:rPr>
          <w:rStyle w:val="Strong"/>
          <w:rFonts w:ascii="Cambria" w:hAnsi="Cambria"/>
          <w:b w:val="0"/>
          <w:bCs w:val="0"/>
          <w:sz w:val="16"/>
          <w:szCs w:val="16"/>
          <w:shd w:val="clear" w:color="auto" w:fill="FFFFFF"/>
        </w:rPr>
        <w:t xml:space="preserve"> Session, 1994), U.N. Doc. E/C.12/1994/13 (1994); Also see United Nations, </w:t>
      </w:r>
      <w:r w:rsidRPr="00BF61FA">
        <w:rPr>
          <w:rStyle w:val="Strong"/>
          <w:rFonts w:ascii="Cambria" w:hAnsi="Cambria"/>
          <w:sz w:val="16"/>
          <w:szCs w:val="16"/>
          <w:shd w:val="clear" w:color="auto" w:fill="FFFFFF"/>
        </w:rPr>
        <w:t xml:space="preserve"> </w:t>
      </w:r>
      <w:hyperlink r:id="rId1" w:history="1">
        <w:r w:rsidRPr="00BF61FA">
          <w:rPr>
            <w:rStyle w:val="Hyperlink"/>
            <w:rFonts w:ascii="Cambria" w:hAnsi="Cambria"/>
            <w:sz w:val="16"/>
            <w:szCs w:val="16"/>
            <w:shd w:val="clear" w:color="auto" w:fill="FFFFFF"/>
          </w:rPr>
          <w:t>Disability instruments</w:t>
        </w:r>
      </w:hyperlink>
      <w:r w:rsidRPr="00BF61FA">
        <w:rPr>
          <w:rStyle w:val="Strong"/>
          <w:rFonts w:ascii="Cambria" w:hAnsi="Cambria"/>
          <w:sz w:val="16"/>
          <w:szCs w:val="16"/>
          <w:shd w:val="clear" w:color="auto" w:fill="FFFFFF"/>
        </w:rPr>
        <w:t xml:space="preserve">. </w:t>
      </w:r>
    </w:p>
  </w:footnote>
  <w:footnote w:id="39">
    <w:p w14:paraId="46345759"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Case of Glor v. Switzerland, Application 13444/04, Judgment of April 30, 2009, para. 80. </w:t>
      </w:r>
    </w:p>
  </w:footnote>
  <w:footnote w:id="40">
    <w:p w14:paraId="6107CFAA" w14:textId="77777777" w:rsidR="00D9736D" w:rsidRPr="00BF61FA" w:rsidRDefault="00D9736D" w:rsidP="00272A82">
      <w:pPr>
        <w:jc w:val="both"/>
        <w:rPr>
          <w:rFonts w:ascii="Cambria" w:hAnsi="Cambria" w:cs="Arial"/>
          <w:sz w:val="16"/>
          <w:szCs w:val="16"/>
        </w:rPr>
      </w:pPr>
      <w:r w:rsidRPr="00BF61FA">
        <w:rPr>
          <w:rStyle w:val="FootnoteReference"/>
          <w:rFonts w:ascii="Cambria" w:hAnsi="Cambria" w:cs="Arial"/>
          <w:sz w:val="16"/>
          <w:szCs w:val="16"/>
        </w:rPr>
        <w:footnoteRef/>
      </w:r>
      <w:r w:rsidRPr="00BF61FA">
        <w:rPr>
          <w:rFonts w:ascii="Cambria" w:hAnsi="Cambria" w:cs="Arial"/>
          <w:sz w:val="16"/>
          <w:szCs w:val="16"/>
        </w:rPr>
        <w:t xml:space="preserve"> </w:t>
      </w:r>
      <w:r>
        <w:rPr>
          <w:rFonts w:ascii="Cambria" w:hAnsi="Cambria" w:cs="Arial"/>
          <w:sz w:val="16"/>
          <w:szCs w:val="16"/>
        </w:rPr>
        <w:t>See for example, IA Court of HR</w:t>
      </w:r>
      <w:r w:rsidRPr="00BF61FA">
        <w:rPr>
          <w:rStyle w:val="Strong"/>
          <w:rFonts w:ascii="Cambria" w:hAnsi="Cambria" w:cs="Arial"/>
          <w:sz w:val="16"/>
          <w:szCs w:val="16"/>
        </w:rPr>
        <w:t xml:space="preserve">. </w:t>
      </w:r>
      <w:r w:rsidRPr="00C5195A">
        <w:rPr>
          <w:rStyle w:val="Strong"/>
          <w:rFonts w:ascii="Cambria" w:hAnsi="Cambria" w:cs="Arial"/>
          <w:b w:val="0"/>
          <w:bCs w:val="0"/>
          <w:sz w:val="16"/>
          <w:szCs w:val="16"/>
        </w:rPr>
        <w:t xml:space="preserve">Case of San Miguel Sosa et al v. Venezuela. Merits, Reparations and Costs. Judgment of February 8, 2018. Series C No. 348; </w:t>
      </w:r>
      <w:r>
        <w:rPr>
          <w:rStyle w:val="Strong"/>
          <w:rFonts w:ascii="Cambria" w:hAnsi="Cambria" w:cs="Arial"/>
          <w:b w:val="0"/>
          <w:bCs w:val="0"/>
          <w:sz w:val="16"/>
          <w:szCs w:val="16"/>
        </w:rPr>
        <w:t>IA Court of HR.</w:t>
      </w:r>
      <w:r w:rsidRPr="00BF61FA">
        <w:rPr>
          <w:rFonts w:ascii="Cambria" w:hAnsi="Cambria" w:cs="Arial"/>
          <w:sz w:val="16"/>
          <w:szCs w:val="16"/>
        </w:rPr>
        <w:t xml:space="preserve"> </w:t>
      </w:r>
      <w:r w:rsidRPr="00BF61FA">
        <w:rPr>
          <w:rFonts w:ascii="Cambria" w:hAnsi="Cambria" w:cs="Arial"/>
          <w:bCs/>
          <w:sz w:val="16"/>
          <w:szCs w:val="16"/>
        </w:rPr>
        <w:t xml:space="preserve">Cuscul Pivaral </w:t>
      </w:r>
      <w:r>
        <w:rPr>
          <w:rFonts w:ascii="Cambria" w:hAnsi="Cambria" w:cs="Arial"/>
          <w:bCs/>
          <w:sz w:val="16"/>
          <w:szCs w:val="16"/>
        </w:rPr>
        <w:t>et al v.</w:t>
      </w:r>
      <w:r w:rsidRPr="00BF61FA">
        <w:rPr>
          <w:rFonts w:ascii="Cambria" w:hAnsi="Cambria" w:cs="Arial"/>
          <w:bCs/>
          <w:sz w:val="16"/>
          <w:szCs w:val="16"/>
        </w:rPr>
        <w:t xml:space="preserve"> Guatemala. </w:t>
      </w:r>
      <w:r>
        <w:rPr>
          <w:rFonts w:ascii="Cambria" w:hAnsi="Cambria" w:cs="Arial"/>
          <w:bCs/>
          <w:sz w:val="16"/>
          <w:szCs w:val="16"/>
        </w:rPr>
        <w:t xml:space="preserve">Preliminary Objection, Merits, Reparations and Costs. Judgment of August </w:t>
      </w:r>
      <w:r w:rsidRPr="00BF61FA">
        <w:rPr>
          <w:rFonts w:ascii="Cambria" w:hAnsi="Cambria" w:cs="Arial"/>
          <w:bCs/>
          <w:sz w:val="16"/>
          <w:szCs w:val="16"/>
        </w:rPr>
        <w:t>23</w:t>
      </w:r>
      <w:r>
        <w:rPr>
          <w:rFonts w:ascii="Cambria" w:hAnsi="Cambria" w:cs="Arial"/>
          <w:bCs/>
          <w:sz w:val="16"/>
          <w:szCs w:val="16"/>
        </w:rPr>
        <w:t>,</w:t>
      </w:r>
      <w:r w:rsidRPr="00BF61FA">
        <w:rPr>
          <w:rFonts w:ascii="Cambria" w:hAnsi="Cambria" w:cs="Arial"/>
          <w:bCs/>
          <w:sz w:val="16"/>
          <w:szCs w:val="16"/>
        </w:rPr>
        <w:t xml:space="preserve"> 2018. Serie</w:t>
      </w:r>
      <w:r>
        <w:rPr>
          <w:rFonts w:ascii="Cambria" w:hAnsi="Cambria" w:cs="Arial"/>
          <w:bCs/>
          <w:sz w:val="16"/>
          <w:szCs w:val="16"/>
        </w:rPr>
        <w:t>s</w:t>
      </w:r>
      <w:r w:rsidRPr="00BF61FA">
        <w:rPr>
          <w:rFonts w:ascii="Cambria" w:hAnsi="Cambria" w:cs="Arial"/>
          <w:bCs/>
          <w:sz w:val="16"/>
          <w:szCs w:val="16"/>
        </w:rPr>
        <w:t xml:space="preserve"> C No. 359; </w:t>
      </w:r>
      <w:r>
        <w:rPr>
          <w:rFonts w:ascii="Cambria" w:hAnsi="Cambria" w:cs="Arial"/>
          <w:bCs/>
          <w:sz w:val="16"/>
          <w:szCs w:val="16"/>
        </w:rPr>
        <w:t>IACHR, Report</w:t>
      </w:r>
      <w:r w:rsidRPr="00BF61FA">
        <w:rPr>
          <w:rFonts w:ascii="Cambria" w:hAnsi="Cambria" w:cs="Arial"/>
          <w:sz w:val="16"/>
          <w:szCs w:val="16"/>
        </w:rPr>
        <w:t xml:space="preserve"> No. 25/18, Cas</w:t>
      </w:r>
      <w:r>
        <w:rPr>
          <w:rFonts w:ascii="Cambria" w:hAnsi="Cambria" w:cs="Arial"/>
          <w:sz w:val="16"/>
          <w:szCs w:val="16"/>
        </w:rPr>
        <w:t>e</w:t>
      </w:r>
      <w:r w:rsidRPr="00BF61FA">
        <w:rPr>
          <w:rFonts w:ascii="Cambria" w:hAnsi="Cambria" w:cs="Arial"/>
          <w:sz w:val="16"/>
          <w:szCs w:val="16"/>
        </w:rPr>
        <w:t xml:space="preserve"> 12.428. Admis</w:t>
      </w:r>
      <w:r>
        <w:rPr>
          <w:rFonts w:ascii="Cambria" w:hAnsi="Cambria" w:cs="Arial"/>
          <w:sz w:val="16"/>
          <w:szCs w:val="16"/>
        </w:rPr>
        <w:t>sibility and Merits</w:t>
      </w:r>
      <w:r w:rsidRPr="00BF61FA">
        <w:rPr>
          <w:rFonts w:ascii="Cambria" w:hAnsi="Cambria" w:cs="Arial"/>
          <w:sz w:val="16"/>
          <w:szCs w:val="16"/>
        </w:rPr>
        <w:t xml:space="preserve">. </w:t>
      </w:r>
      <w:r>
        <w:rPr>
          <w:rFonts w:ascii="Cambria" w:hAnsi="Cambria" w:cs="Arial"/>
          <w:sz w:val="16"/>
          <w:szCs w:val="16"/>
        </w:rPr>
        <w:t xml:space="preserve"> Workers of the Fireworks Factory in Santo Antonio de Jesus and their Families. Brazil</w:t>
      </w:r>
      <w:r w:rsidRPr="00BF61FA">
        <w:rPr>
          <w:rFonts w:ascii="Cambria" w:hAnsi="Cambria" w:cs="Arial"/>
          <w:sz w:val="16"/>
          <w:szCs w:val="16"/>
        </w:rPr>
        <w:t>.</w:t>
      </w:r>
      <w:r>
        <w:rPr>
          <w:rFonts w:ascii="Cambria" w:hAnsi="Cambria" w:cs="Arial"/>
          <w:sz w:val="16"/>
          <w:szCs w:val="16"/>
        </w:rPr>
        <w:t xml:space="preserve"> March</w:t>
      </w:r>
      <w:r w:rsidRPr="00BF61FA">
        <w:rPr>
          <w:rFonts w:ascii="Cambria" w:hAnsi="Cambria" w:cs="Arial"/>
          <w:sz w:val="16"/>
          <w:szCs w:val="16"/>
        </w:rPr>
        <w:t xml:space="preserve"> 2</w:t>
      </w:r>
      <w:r>
        <w:rPr>
          <w:rFonts w:ascii="Cambria" w:hAnsi="Cambria" w:cs="Arial"/>
          <w:sz w:val="16"/>
          <w:szCs w:val="16"/>
        </w:rPr>
        <w:t>,</w:t>
      </w:r>
      <w:r w:rsidRPr="00BF61FA">
        <w:rPr>
          <w:rFonts w:ascii="Cambria" w:hAnsi="Cambria" w:cs="Arial"/>
          <w:sz w:val="16"/>
          <w:szCs w:val="16"/>
        </w:rPr>
        <w:t xml:space="preserve"> 2018; </w:t>
      </w:r>
      <w:r>
        <w:rPr>
          <w:rFonts w:ascii="Cambria" w:hAnsi="Cambria" w:cs="Arial"/>
          <w:sz w:val="16"/>
          <w:szCs w:val="16"/>
        </w:rPr>
        <w:t>IACHR. Report</w:t>
      </w:r>
      <w:r w:rsidRPr="00BF61FA">
        <w:rPr>
          <w:rFonts w:ascii="Cambria" w:hAnsi="Cambria" w:cs="Arial"/>
          <w:sz w:val="16"/>
          <w:szCs w:val="16"/>
        </w:rPr>
        <w:t xml:space="preserve"> No. 148/18. Cas</w:t>
      </w:r>
      <w:r>
        <w:rPr>
          <w:rFonts w:ascii="Cambria" w:hAnsi="Cambria" w:cs="Arial"/>
          <w:sz w:val="16"/>
          <w:szCs w:val="16"/>
        </w:rPr>
        <w:t>e</w:t>
      </w:r>
      <w:r w:rsidRPr="00BF61FA">
        <w:rPr>
          <w:rFonts w:ascii="Cambria" w:hAnsi="Cambria" w:cs="Arial"/>
          <w:sz w:val="16"/>
          <w:szCs w:val="16"/>
        </w:rPr>
        <w:t xml:space="preserve"> 12.997. </w:t>
      </w:r>
      <w:r>
        <w:rPr>
          <w:rFonts w:ascii="Cambria" w:hAnsi="Cambria" w:cs="Arial"/>
          <w:sz w:val="16"/>
          <w:szCs w:val="16"/>
        </w:rPr>
        <w:t>Merits</w:t>
      </w:r>
      <w:r w:rsidRPr="00BF61FA">
        <w:rPr>
          <w:rFonts w:ascii="Cambria" w:hAnsi="Cambria" w:cs="Arial"/>
          <w:sz w:val="16"/>
          <w:szCs w:val="16"/>
        </w:rPr>
        <w:t xml:space="preserve">. Sandra Cecilia Pávez Pávez. Chile. </w:t>
      </w:r>
      <w:r>
        <w:rPr>
          <w:rFonts w:ascii="Cambria" w:hAnsi="Cambria" w:cs="Arial"/>
          <w:sz w:val="16"/>
          <w:szCs w:val="16"/>
        </w:rPr>
        <w:t xml:space="preserve">December </w:t>
      </w:r>
      <w:r w:rsidRPr="00BF61FA">
        <w:rPr>
          <w:rFonts w:ascii="Cambria" w:hAnsi="Cambria" w:cs="Arial"/>
          <w:sz w:val="16"/>
          <w:szCs w:val="16"/>
        </w:rPr>
        <w:t>7</w:t>
      </w:r>
      <w:r>
        <w:rPr>
          <w:rFonts w:ascii="Cambria" w:hAnsi="Cambria" w:cs="Arial"/>
          <w:sz w:val="16"/>
          <w:szCs w:val="16"/>
        </w:rPr>
        <w:t>,</w:t>
      </w:r>
      <w:r w:rsidRPr="00BF61FA">
        <w:rPr>
          <w:rFonts w:ascii="Cambria" w:hAnsi="Cambria" w:cs="Arial"/>
          <w:sz w:val="16"/>
          <w:szCs w:val="16"/>
        </w:rPr>
        <w:t xml:space="preserve"> 2018.</w:t>
      </w:r>
    </w:p>
  </w:footnote>
  <w:footnote w:id="41">
    <w:p w14:paraId="03B6A0E7" w14:textId="77777777" w:rsidR="00D9736D" w:rsidRPr="00BF61FA" w:rsidRDefault="00D9736D" w:rsidP="00272A82">
      <w:pPr>
        <w:pStyle w:val="FootnoteText"/>
        <w:tabs>
          <w:tab w:val="left" w:pos="9356"/>
        </w:tabs>
        <w:jc w:val="both"/>
        <w:rPr>
          <w:rFonts w:ascii="Cambria" w:hAnsi="Cambria" w:cs="Arial"/>
          <w:color w:val="auto"/>
          <w:sz w:val="16"/>
          <w:szCs w:val="16"/>
        </w:rPr>
      </w:pPr>
      <w:r w:rsidRPr="00BF61FA">
        <w:rPr>
          <w:rStyle w:val="FootnoteReference"/>
          <w:rFonts w:ascii="Cambria" w:hAnsi="Cambria" w:cs="Arial"/>
          <w:color w:val="auto"/>
          <w:sz w:val="16"/>
          <w:szCs w:val="16"/>
        </w:rPr>
        <w:footnoteRef/>
      </w:r>
      <w:r w:rsidRPr="00BF61FA">
        <w:rPr>
          <w:rFonts w:ascii="Cambria" w:hAnsi="Cambria" w:cs="Arial"/>
          <w:color w:val="auto"/>
          <w:sz w:val="16"/>
          <w:szCs w:val="16"/>
        </w:rPr>
        <w:t xml:space="preserve"> </w:t>
      </w:r>
      <w:r>
        <w:rPr>
          <w:rFonts w:ascii="Cambria" w:hAnsi="Cambria" w:cs="Arial"/>
          <w:color w:val="auto"/>
          <w:sz w:val="16"/>
          <w:szCs w:val="16"/>
        </w:rPr>
        <w:t xml:space="preserve">IA Court of HR. Case of Lagos del Campo v. Peru. Preliminary Objections, Merits, Reparations and Costs. Judgment of August 31, 2017. </w:t>
      </w:r>
      <w:r>
        <w:rPr>
          <w:rStyle w:val="Strong"/>
          <w:rFonts w:ascii="Cambria" w:hAnsi="Cambria" w:cs="Arial"/>
          <w:b w:val="0"/>
          <w:bCs w:val="0"/>
          <w:color w:val="auto"/>
          <w:sz w:val="16"/>
          <w:szCs w:val="16"/>
        </w:rPr>
        <w:t xml:space="preserve">Series </w:t>
      </w:r>
      <w:r w:rsidRPr="00C61449">
        <w:rPr>
          <w:rStyle w:val="Strong"/>
          <w:rFonts w:ascii="Cambria" w:hAnsi="Cambria" w:cs="Arial"/>
          <w:b w:val="0"/>
          <w:bCs w:val="0"/>
          <w:color w:val="auto"/>
          <w:sz w:val="16"/>
          <w:szCs w:val="16"/>
        </w:rPr>
        <w:t>C No. 340.</w:t>
      </w:r>
      <w:r w:rsidRPr="00BF61FA">
        <w:rPr>
          <w:rFonts w:ascii="Cambria" w:hAnsi="Cambria" w:cs="Arial"/>
          <w:b/>
          <w:color w:val="auto"/>
          <w:sz w:val="16"/>
          <w:szCs w:val="16"/>
        </w:rPr>
        <w:t xml:space="preserve"> </w:t>
      </w:r>
      <w:r w:rsidRPr="00BF61FA">
        <w:rPr>
          <w:rFonts w:ascii="Cambria" w:hAnsi="Cambria" w:cs="Arial"/>
          <w:color w:val="auto"/>
          <w:sz w:val="16"/>
          <w:szCs w:val="16"/>
        </w:rPr>
        <w:t>P</w:t>
      </w:r>
      <w:r>
        <w:rPr>
          <w:rFonts w:ascii="Cambria" w:hAnsi="Cambria" w:cs="Arial"/>
          <w:color w:val="auto"/>
          <w:sz w:val="16"/>
          <w:szCs w:val="16"/>
        </w:rPr>
        <w:t>ar</w:t>
      </w:r>
      <w:r w:rsidRPr="00BF61FA">
        <w:rPr>
          <w:rFonts w:ascii="Cambria" w:hAnsi="Cambria" w:cs="Arial"/>
          <w:color w:val="auto"/>
          <w:sz w:val="16"/>
          <w:szCs w:val="16"/>
        </w:rPr>
        <w:t xml:space="preserve">. 146; </w:t>
      </w:r>
      <w:r>
        <w:rPr>
          <w:rFonts w:ascii="Cambria" w:hAnsi="Cambria" w:cs="Arial"/>
          <w:color w:val="auto"/>
          <w:sz w:val="16"/>
          <w:szCs w:val="16"/>
        </w:rPr>
        <w:t>and IA Court of HR. Case of</w:t>
      </w:r>
      <w:r w:rsidRPr="00894B83">
        <w:rPr>
          <w:rStyle w:val="Strong"/>
          <w:rFonts w:ascii="Cambria" w:hAnsi="Cambria" w:cs="Arial"/>
          <w:b w:val="0"/>
          <w:bCs w:val="0"/>
          <w:color w:val="auto"/>
          <w:sz w:val="16"/>
          <w:szCs w:val="16"/>
        </w:rPr>
        <w:t xml:space="preserve"> San Miguel Sosa et al v. Venezuela. Merits, Reparations and Costs. Judgment of February 8, 2018. Series C No. 348.</w:t>
      </w:r>
      <w:r w:rsidRPr="00894B83">
        <w:rPr>
          <w:rFonts w:ascii="Cambria" w:hAnsi="Cambria" w:cs="Arial"/>
          <w:b/>
          <w:bCs/>
          <w:color w:val="auto"/>
          <w:sz w:val="16"/>
          <w:szCs w:val="16"/>
        </w:rPr>
        <w:t xml:space="preserve"> </w:t>
      </w:r>
      <w:r w:rsidRPr="00BF61FA">
        <w:rPr>
          <w:rFonts w:ascii="Cambria" w:hAnsi="Cambria" w:cs="Arial"/>
          <w:color w:val="auto"/>
          <w:sz w:val="16"/>
          <w:szCs w:val="16"/>
        </w:rPr>
        <w:t>P</w:t>
      </w:r>
      <w:r>
        <w:rPr>
          <w:rFonts w:ascii="Cambria" w:hAnsi="Cambria" w:cs="Arial"/>
          <w:color w:val="auto"/>
          <w:sz w:val="16"/>
          <w:szCs w:val="16"/>
        </w:rPr>
        <w:t>a</w:t>
      </w:r>
      <w:r w:rsidRPr="00BF61FA">
        <w:rPr>
          <w:rFonts w:ascii="Cambria" w:hAnsi="Cambria" w:cs="Arial"/>
          <w:color w:val="auto"/>
          <w:sz w:val="16"/>
          <w:szCs w:val="16"/>
        </w:rPr>
        <w:t xml:space="preserve">r. 220.  </w:t>
      </w:r>
    </w:p>
  </w:footnote>
  <w:footnote w:id="42">
    <w:p w14:paraId="10475FDD" w14:textId="77777777" w:rsidR="00D9736D" w:rsidRPr="00BF61FA" w:rsidRDefault="00D9736D" w:rsidP="00272A82">
      <w:pPr>
        <w:pStyle w:val="FootnoteText"/>
        <w:tabs>
          <w:tab w:val="left" w:pos="9356"/>
        </w:tabs>
        <w:jc w:val="both"/>
        <w:rPr>
          <w:rFonts w:ascii="Cambria" w:hAnsi="Cambria" w:cs="Times New Roman"/>
          <w:color w:val="auto"/>
          <w:sz w:val="16"/>
          <w:szCs w:val="16"/>
        </w:rPr>
      </w:pPr>
      <w:r w:rsidRPr="00BF61FA">
        <w:rPr>
          <w:rStyle w:val="FootnoteReference"/>
          <w:rFonts w:ascii="Cambria" w:hAnsi="Cambria" w:cs="Arial"/>
          <w:color w:val="auto"/>
          <w:sz w:val="16"/>
          <w:szCs w:val="16"/>
        </w:rPr>
        <w:footnoteRef/>
      </w:r>
      <w:r w:rsidRPr="00BF61FA">
        <w:rPr>
          <w:rFonts w:ascii="Cambria" w:hAnsi="Cambria" w:cs="Arial"/>
          <w:color w:val="auto"/>
          <w:sz w:val="16"/>
          <w:szCs w:val="16"/>
        </w:rPr>
        <w:t xml:space="preserve"> </w:t>
      </w:r>
      <w:r>
        <w:rPr>
          <w:rFonts w:ascii="Cambria" w:hAnsi="Cambria" w:cs="Arial"/>
          <w:color w:val="auto"/>
          <w:sz w:val="16"/>
          <w:szCs w:val="16"/>
        </w:rPr>
        <w:t xml:space="preserve">IACHR, Report </w:t>
      </w:r>
      <w:r w:rsidRPr="00BF61FA">
        <w:rPr>
          <w:rFonts w:ascii="Cambria" w:hAnsi="Cambria" w:cs="Arial"/>
          <w:color w:val="auto"/>
          <w:sz w:val="16"/>
          <w:szCs w:val="16"/>
        </w:rPr>
        <w:t>No. 25/18, Cas</w:t>
      </w:r>
      <w:r>
        <w:rPr>
          <w:rFonts w:ascii="Cambria" w:hAnsi="Cambria" w:cs="Arial"/>
          <w:color w:val="auto"/>
          <w:sz w:val="16"/>
          <w:szCs w:val="16"/>
        </w:rPr>
        <w:t>e</w:t>
      </w:r>
      <w:r w:rsidRPr="00BF61FA">
        <w:rPr>
          <w:rFonts w:ascii="Cambria" w:hAnsi="Cambria" w:cs="Arial"/>
          <w:color w:val="auto"/>
          <w:sz w:val="16"/>
          <w:szCs w:val="16"/>
        </w:rPr>
        <w:t xml:space="preserve"> 12.428. Admis</w:t>
      </w:r>
      <w:r>
        <w:rPr>
          <w:rFonts w:ascii="Cambria" w:hAnsi="Cambria" w:cs="Arial"/>
          <w:color w:val="auto"/>
          <w:sz w:val="16"/>
          <w:szCs w:val="16"/>
        </w:rPr>
        <w:t>sibility and Merits</w:t>
      </w:r>
      <w:r w:rsidRPr="00BF61FA">
        <w:rPr>
          <w:rFonts w:ascii="Cambria" w:hAnsi="Cambria" w:cs="Arial"/>
          <w:color w:val="auto"/>
          <w:sz w:val="16"/>
          <w:szCs w:val="16"/>
        </w:rPr>
        <w:t xml:space="preserve">. </w:t>
      </w:r>
      <w:r>
        <w:rPr>
          <w:rFonts w:ascii="Cambria" w:hAnsi="Cambria" w:cs="Arial"/>
          <w:color w:val="auto"/>
          <w:sz w:val="16"/>
          <w:szCs w:val="16"/>
        </w:rPr>
        <w:t xml:space="preserve">Workers of the Fireworks Factory in </w:t>
      </w:r>
      <w:r w:rsidRPr="00BF61FA">
        <w:rPr>
          <w:rFonts w:ascii="Cambria" w:hAnsi="Cambria" w:cs="Arial"/>
          <w:color w:val="auto"/>
          <w:sz w:val="16"/>
          <w:szCs w:val="16"/>
        </w:rPr>
        <w:t xml:space="preserve">Santo Antonio de Jesús </w:t>
      </w:r>
      <w:r>
        <w:rPr>
          <w:rFonts w:ascii="Cambria" w:hAnsi="Cambria" w:cs="Arial"/>
          <w:color w:val="auto"/>
          <w:sz w:val="16"/>
          <w:szCs w:val="16"/>
        </w:rPr>
        <w:t>and their Family Members</w:t>
      </w:r>
      <w:r w:rsidRPr="00BF61FA">
        <w:rPr>
          <w:rFonts w:ascii="Cambria" w:hAnsi="Cambria" w:cs="Arial"/>
          <w:color w:val="auto"/>
          <w:sz w:val="16"/>
          <w:szCs w:val="16"/>
        </w:rPr>
        <w:t>. Bra</w:t>
      </w:r>
      <w:r>
        <w:rPr>
          <w:rFonts w:ascii="Cambria" w:hAnsi="Cambria" w:cs="Arial"/>
          <w:color w:val="auto"/>
          <w:sz w:val="16"/>
          <w:szCs w:val="16"/>
        </w:rPr>
        <w:t>z</w:t>
      </w:r>
      <w:r w:rsidRPr="00BF61FA">
        <w:rPr>
          <w:rFonts w:ascii="Cambria" w:hAnsi="Cambria" w:cs="Arial"/>
          <w:color w:val="auto"/>
          <w:sz w:val="16"/>
          <w:szCs w:val="16"/>
        </w:rPr>
        <w:t xml:space="preserve">il. </w:t>
      </w:r>
      <w:r>
        <w:rPr>
          <w:rFonts w:ascii="Cambria" w:hAnsi="Cambria" w:cs="Arial"/>
          <w:color w:val="auto"/>
          <w:sz w:val="16"/>
          <w:szCs w:val="16"/>
        </w:rPr>
        <w:t xml:space="preserve">March </w:t>
      </w:r>
      <w:r w:rsidRPr="00BF61FA">
        <w:rPr>
          <w:rFonts w:ascii="Cambria" w:hAnsi="Cambria" w:cs="Arial"/>
          <w:color w:val="auto"/>
          <w:sz w:val="16"/>
          <w:szCs w:val="16"/>
        </w:rPr>
        <w:t>2</w:t>
      </w:r>
      <w:r>
        <w:rPr>
          <w:rFonts w:ascii="Cambria" w:hAnsi="Cambria" w:cs="Arial"/>
          <w:color w:val="auto"/>
          <w:sz w:val="16"/>
          <w:szCs w:val="16"/>
        </w:rPr>
        <w:t>,</w:t>
      </w:r>
      <w:r w:rsidRPr="00BF61FA">
        <w:rPr>
          <w:rFonts w:ascii="Cambria" w:hAnsi="Cambria" w:cs="Arial"/>
          <w:color w:val="auto"/>
          <w:sz w:val="16"/>
          <w:szCs w:val="16"/>
        </w:rPr>
        <w:t xml:space="preserve"> 2018; </w:t>
      </w:r>
      <w:r>
        <w:rPr>
          <w:rFonts w:ascii="Cambria" w:hAnsi="Cambria" w:cs="Arial"/>
          <w:color w:val="auto"/>
          <w:sz w:val="16"/>
          <w:szCs w:val="16"/>
        </w:rPr>
        <w:t>IACHR. Report</w:t>
      </w:r>
      <w:r w:rsidRPr="00BF61FA">
        <w:rPr>
          <w:rFonts w:ascii="Cambria" w:hAnsi="Cambria" w:cs="Arial"/>
          <w:color w:val="auto"/>
          <w:sz w:val="16"/>
          <w:szCs w:val="16"/>
        </w:rPr>
        <w:t xml:space="preserve"> No. 148/18. Cas</w:t>
      </w:r>
      <w:r>
        <w:rPr>
          <w:rFonts w:ascii="Cambria" w:hAnsi="Cambria" w:cs="Arial"/>
          <w:color w:val="auto"/>
          <w:sz w:val="16"/>
          <w:szCs w:val="16"/>
        </w:rPr>
        <w:t>e</w:t>
      </w:r>
      <w:r w:rsidRPr="00BF61FA">
        <w:rPr>
          <w:rFonts w:ascii="Cambria" w:hAnsi="Cambria" w:cs="Arial"/>
          <w:color w:val="auto"/>
          <w:sz w:val="16"/>
          <w:szCs w:val="16"/>
        </w:rPr>
        <w:t xml:space="preserve"> 12.997. </w:t>
      </w:r>
      <w:r>
        <w:rPr>
          <w:rFonts w:ascii="Cambria" w:hAnsi="Cambria" w:cs="Arial"/>
          <w:color w:val="auto"/>
          <w:sz w:val="16"/>
          <w:szCs w:val="16"/>
        </w:rPr>
        <w:t>Merits.</w:t>
      </w:r>
      <w:r w:rsidRPr="00BF61FA">
        <w:rPr>
          <w:rFonts w:ascii="Cambria" w:hAnsi="Cambria" w:cs="Arial"/>
          <w:color w:val="auto"/>
          <w:sz w:val="16"/>
          <w:szCs w:val="16"/>
        </w:rPr>
        <w:t xml:space="preserve"> Sandra Cecilia Pávez Pávez. Chile. </w:t>
      </w:r>
      <w:r>
        <w:rPr>
          <w:rFonts w:ascii="Cambria" w:hAnsi="Cambria" w:cs="Arial"/>
          <w:color w:val="auto"/>
          <w:sz w:val="16"/>
          <w:szCs w:val="16"/>
        </w:rPr>
        <w:t xml:space="preserve">December </w:t>
      </w:r>
      <w:r w:rsidRPr="00BF61FA">
        <w:rPr>
          <w:rFonts w:ascii="Cambria" w:hAnsi="Cambria" w:cs="Arial"/>
          <w:color w:val="auto"/>
          <w:sz w:val="16"/>
          <w:szCs w:val="16"/>
        </w:rPr>
        <w:t>7</w:t>
      </w:r>
      <w:r>
        <w:rPr>
          <w:rFonts w:ascii="Cambria" w:hAnsi="Cambria" w:cs="Arial"/>
          <w:color w:val="auto"/>
          <w:sz w:val="16"/>
          <w:szCs w:val="16"/>
        </w:rPr>
        <w:t>,</w:t>
      </w:r>
      <w:r w:rsidRPr="00BF61FA">
        <w:rPr>
          <w:rFonts w:ascii="Cambria" w:hAnsi="Cambria" w:cs="Arial"/>
          <w:color w:val="auto"/>
          <w:sz w:val="16"/>
          <w:szCs w:val="16"/>
        </w:rPr>
        <w:t xml:space="preserve"> 2018.</w:t>
      </w:r>
    </w:p>
  </w:footnote>
  <w:footnote w:id="43">
    <w:p w14:paraId="1D355FA1"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IACHR</w:t>
      </w:r>
      <w:r w:rsidRPr="00BF61FA">
        <w:rPr>
          <w:rFonts w:ascii="Cambria" w:hAnsi="Cambria"/>
          <w:sz w:val="16"/>
          <w:szCs w:val="16"/>
        </w:rPr>
        <w:t>;</w:t>
      </w:r>
      <w:r>
        <w:rPr>
          <w:rFonts w:ascii="Cambria" w:hAnsi="Cambria"/>
          <w:sz w:val="16"/>
          <w:szCs w:val="16"/>
        </w:rPr>
        <w:t xml:space="preserve"> Poverty and Human Rights</w:t>
      </w:r>
      <w:r w:rsidRPr="00BF61FA">
        <w:rPr>
          <w:rFonts w:ascii="Cambria" w:hAnsi="Cambria"/>
          <w:sz w:val="16"/>
          <w:szCs w:val="16"/>
        </w:rPr>
        <w:t xml:space="preserve">, OEA/Ser.L/V/II.164 Doc. 147, </w:t>
      </w:r>
      <w:r>
        <w:rPr>
          <w:rFonts w:ascii="Cambria" w:hAnsi="Cambria"/>
          <w:sz w:val="16"/>
          <w:szCs w:val="16"/>
        </w:rPr>
        <w:t xml:space="preserve">September </w:t>
      </w:r>
      <w:r w:rsidRPr="00BF61FA">
        <w:rPr>
          <w:rFonts w:ascii="Cambria" w:hAnsi="Cambria"/>
          <w:sz w:val="16"/>
          <w:szCs w:val="16"/>
        </w:rPr>
        <w:t>7</w:t>
      </w:r>
      <w:r>
        <w:rPr>
          <w:rFonts w:ascii="Cambria" w:hAnsi="Cambria"/>
          <w:sz w:val="16"/>
          <w:szCs w:val="16"/>
        </w:rPr>
        <w:t>,</w:t>
      </w:r>
      <w:r w:rsidRPr="00BF61FA">
        <w:rPr>
          <w:rFonts w:ascii="Cambria" w:hAnsi="Cambria"/>
          <w:sz w:val="16"/>
          <w:szCs w:val="16"/>
        </w:rPr>
        <w:t xml:space="preserve"> 2017, p</w:t>
      </w:r>
      <w:r>
        <w:rPr>
          <w:rFonts w:ascii="Cambria" w:hAnsi="Cambria"/>
          <w:sz w:val="16"/>
          <w:szCs w:val="16"/>
        </w:rPr>
        <w:t>a</w:t>
      </w:r>
      <w:r w:rsidRPr="00BF61FA">
        <w:rPr>
          <w:rFonts w:ascii="Cambria" w:hAnsi="Cambria"/>
          <w:sz w:val="16"/>
          <w:szCs w:val="16"/>
        </w:rPr>
        <w:t>r. 432.</w:t>
      </w:r>
    </w:p>
  </w:footnote>
  <w:footnote w:id="44">
    <w:p w14:paraId="23A25BC3"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IACHR</w:t>
      </w:r>
      <w:r w:rsidRPr="00BF61FA">
        <w:rPr>
          <w:rFonts w:ascii="Cambria" w:hAnsi="Cambria"/>
          <w:sz w:val="16"/>
          <w:szCs w:val="16"/>
        </w:rPr>
        <w:t>;</w:t>
      </w:r>
      <w:r>
        <w:rPr>
          <w:rFonts w:ascii="Cambria" w:hAnsi="Cambria"/>
          <w:sz w:val="16"/>
          <w:szCs w:val="16"/>
        </w:rPr>
        <w:t xml:space="preserve"> Poverty and Human Rights</w:t>
      </w:r>
      <w:r w:rsidRPr="00BF61FA">
        <w:rPr>
          <w:rFonts w:ascii="Cambria" w:hAnsi="Cambria"/>
          <w:sz w:val="16"/>
          <w:szCs w:val="16"/>
        </w:rPr>
        <w:t xml:space="preserve">, OEA/Ser.L/V/II.164 Doc. 147, </w:t>
      </w:r>
      <w:r>
        <w:rPr>
          <w:rFonts w:ascii="Cambria" w:hAnsi="Cambria"/>
          <w:sz w:val="16"/>
          <w:szCs w:val="16"/>
        </w:rPr>
        <w:t xml:space="preserve">September </w:t>
      </w:r>
      <w:r w:rsidRPr="00BF61FA">
        <w:rPr>
          <w:rFonts w:ascii="Cambria" w:hAnsi="Cambria"/>
          <w:sz w:val="16"/>
          <w:szCs w:val="16"/>
        </w:rPr>
        <w:t>7</w:t>
      </w:r>
      <w:r>
        <w:rPr>
          <w:rFonts w:ascii="Cambria" w:hAnsi="Cambria"/>
          <w:sz w:val="16"/>
          <w:szCs w:val="16"/>
        </w:rPr>
        <w:t>,</w:t>
      </w:r>
      <w:r w:rsidRPr="00BF61FA">
        <w:rPr>
          <w:rFonts w:ascii="Cambria" w:hAnsi="Cambria"/>
          <w:sz w:val="16"/>
          <w:szCs w:val="16"/>
        </w:rPr>
        <w:t xml:space="preserve"> 2017, p</w:t>
      </w:r>
      <w:r>
        <w:rPr>
          <w:rFonts w:ascii="Cambria" w:hAnsi="Cambria"/>
          <w:sz w:val="16"/>
          <w:szCs w:val="16"/>
        </w:rPr>
        <w:t>a</w:t>
      </w:r>
      <w:r w:rsidRPr="00BF61FA">
        <w:rPr>
          <w:rFonts w:ascii="Cambria" w:hAnsi="Cambria"/>
          <w:sz w:val="16"/>
          <w:szCs w:val="16"/>
        </w:rPr>
        <w:t>r. 435.</w:t>
      </w:r>
    </w:p>
  </w:footnote>
  <w:footnote w:id="45">
    <w:p w14:paraId="26A70B21" w14:textId="77777777" w:rsidR="00D9736D" w:rsidRPr="00BF61FA" w:rsidRDefault="00D9736D" w:rsidP="00272A82">
      <w:pPr>
        <w:pStyle w:val="FootnoteText"/>
        <w:jc w:val="both"/>
        <w:rPr>
          <w:rFonts w:ascii="Cambria" w:hAnsi="Cambria"/>
          <w:b/>
          <w:sz w:val="16"/>
          <w:szCs w:val="16"/>
        </w:rPr>
      </w:pPr>
      <w:r w:rsidRPr="00BF61FA">
        <w:rPr>
          <w:rStyle w:val="FootnoteReference"/>
          <w:rFonts w:ascii="Cambria" w:hAnsi="Cambria"/>
          <w:b/>
          <w:sz w:val="16"/>
          <w:szCs w:val="16"/>
        </w:rPr>
        <w:footnoteRef/>
      </w:r>
      <w:r w:rsidRPr="00BF61FA">
        <w:rPr>
          <w:rFonts w:ascii="Cambria" w:hAnsi="Cambria"/>
          <w:b/>
          <w:sz w:val="16"/>
          <w:szCs w:val="16"/>
        </w:rPr>
        <w:t xml:space="preserve"> </w:t>
      </w:r>
      <w:r>
        <w:rPr>
          <w:rFonts w:ascii="Cambria" w:hAnsi="Cambria"/>
          <w:sz w:val="16"/>
          <w:szCs w:val="16"/>
        </w:rPr>
        <w:t xml:space="preserve">Implementation of the International Covenant on Economic, Social and Cultural Rights, General Comment 5, </w:t>
      </w:r>
      <w:r w:rsidRPr="002C4F20">
        <w:rPr>
          <w:rStyle w:val="Strong"/>
          <w:rFonts w:ascii="Cambria" w:hAnsi="Cambria"/>
          <w:b w:val="0"/>
          <w:bCs w:val="0"/>
          <w:sz w:val="16"/>
          <w:szCs w:val="16"/>
          <w:shd w:val="clear" w:color="auto" w:fill="FFFFFF"/>
        </w:rPr>
        <w:t>Persons with disability (11</w:t>
      </w:r>
      <w:r w:rsidRPr="002C4F20">
        <w:rPr>
          <w:rStyle w:val="Strong"/>
          <w:rFonts w:ascii="Cambria" w:hAnsi="Cambria"/>
          <w:b w:val="0"/>
          <w:bCs w:val="0"/>
          <w:sz w:val="16"/>
          <w:szCs w:val="16"/>
          <w:shd w:val="clear" w:color="auto" w:fill="FFFFFF"/>
          <w:vertAlign w:val="superscript"/>
        </w:rPr>
        <w:t>th</w:t>
      </w:r>
      <w:r w:rsidRPr="002C4F20">
        <w:rPr>
          <w:rStyle w:val="Strong"/>
          <w:rFonts w:ascii="Cambria" w:hAnsi="Cambria"/>
          <w:b w:val="0"/>
          <w:bCs w:val="0"/>
          <w:sz w:val="16"/>
          <w:szCs w:val="16"/>
          <w:shd w:val="clear" w:color="auto" w:fill="FFFFFF"/>
        </w:rPr>
        <w:t xml:space="preserve"> Session, 1994), U.N. Doc. E/C.12/1994/13 (1994); </w:t>
      </w:r>
      <w:r>
        <w:rPr>
          <w:rStyle w:val="Strong"/>
          <w:rFonts w:ascii="Cambria" w:hAnsi="Cambria"/>
          <w:b w:val="0"/>
          <w:bCs w:val="0"/>
          <w:sz w:val="16"/>
          <w:szCs w:val="16"/>
          <w:shd w:val="clear" w:color="auto" w:fill="FFFFFF"/>
        </w:rPr>
        <w:t>Also see, General Comment</w:t>
      </w:r>
      <w:r w:rsidRPr="00BF61FA">
        <w:rPr>
          <w:rStyle w:val="Strong"/>
          <w:rFonts w:ascii="Cambria" w:hAnsi="Cambria"/>
          <w:sz w:val="16"/>
          <w:szCs w:val="16"/>
          <w:shd w:val="clear" w:color="auto" w:fill="FFFFFF"/>
        </w:rPr>
        <w:t xml:space="preserve"> </w:t>
      </w:r>
      <w:r>
        <w:rPr>
          <w:rStyle w:val="Strong"/>
          <w:rFonts w:ascii="Cambria" w:hAnsi="Cambria"/>
          <w:b w:val="0"/>
          <w:bCs w:val="0"/>
          <w:sz w:val="16"/>
          <w:szCs w:val="16"/>
          <w:shd w:val="clear" w:color="auto" w:fill="FFFFFF"/>
        </w:rPr>
        <w:t>18</w:t>
      </w:r>
      <w:r w:rsidRPr="00BF61FA">
        <w:rPr>
          <w:rStyle w:val="Strong"/>
          <w:rFonts w:ascii="Cambria" w:hAnsi="Cambria"/>
          <w:sz w:val="16"/>
          <w:szCs w:val="16"/>
          <w:shd w:val="clear" w:color="auto" w:fill="FFFFFF"/>
        </w:rPr>
        <w:t>,</w:t>
      </w:r>
      <w:r>
        <w:rPr>
          <w:rStyle w:val="Strong"/>
          <w:rFonts w:ascii="Cambria" w:hAnsi="Cambria"/>
          <w:sz w:val="16"/>
          <w:szCs w:val="16"/>
          <w:shd w:val="clear" w:color="auto" w:fill="FFFFFF"/>
        </w:rPr>
        <w:t xml:space="preserve"> </w:t>
      </w:r>
      <w:r>
        <w:rPr>
          <w:rStyle w:val="Strong"/>
          <w:rFonts w:ascii="Cambria" w:hAnsi="Cambria"/>
          <w:b w:val="0"/>
          <w:bCs w:val="0"/>
          <w:sz w:val="16"/>
          <w:szCs w:val="16"/>
          <w:u w:val="single"/>
          <w:shd w:val="clear" w:color="auto" w:fill="FFFFFF"/>
        </w:rPr>
        <w:t xml:space="preserve">The right to work. </w:t>
      </w:r>
      <w:r w:rsidRPr="00BF61FA">
        <w:rPr>
          <w:rStyle w:val="Strong"/>
          <w:rFonts w:ascii="Cambria" w:hAnsi="Cambria"/>
          <w:sz w:val="16"/>
          <w:szCs w:val="16"/>
          <w:shd w:val="clear" w:color="auto" w:fill="FFFFFF"/>
        </w:rPr>
        <w:t xml:space="preserve"> </w:t>
      </w:r>
    </w:p>
  </w:footnote>
  <w:footnote w:id="46">
    <w:p w14:paraId="7162A8CF"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ILO</w:t>
      </w:r>
      <w:r w:rsidRPr="00BF61FA">
        <w:rPr>
          <w:rFonts w:ascii="Cambria" w:hAnsi="Cambria"/>
          <w:sz w:val="16"/>
          <w:szCs w:val="16"/>
        </w:rPr>
        <w:t xml:space="preserve">,  </w:t>
      </w:r>
      <w:hyperlink r:id="rId2" w:history="1">
        <w:r w:rsidRPr="00BF61FA">
          <w:rPr>
            <w:rStyle w:val="Hyperlink"/>
            <w:rFonts w:ascii="Cambria" w:hAnsi="Cambria"/>
            <w:sz w:val="16"/>
            <w:szCs w:val="16"/>
          </w:rPr>
          <w:t>Trabajo decente para personas con discapacidad: promoviendo derechos en la agenda global de desarrollo</w:t>
        </w:r>
      </w:hyperlink>
      <w:r w:rsidRPr="00BF61FA">
        <w:rPr>
          <w:rFonts w:ascii="Cambria" w:hAnsi="Cambria"/>
          <w:sz w:val="16"/>
          <w:szCs w:val="16"/>
        </w:rPr>
        <w:t xml:space="preserve">, </w:t>
      </w:r>
      <w:r>
        <w:rPr>
          <w:rFonts w:ascii="Cambria" w:hAnsi="Cambria"/>
          <w:sz w:val="16"/>
          <w:szCs w:val="16"/>
        </w:rPr>
        <w:t xml:space="preserve">Decent work for persons with disability: promoting rights in the global development agenda, </w:t>
      </w:r>
      <w:r w:rsidRPr="00BF61FA">
        <w:rPr>
          <w:rFonts w:ascii="Cambria" w:hAnsi="Cambria"/>
          <w:sz w:val="16"/>
          <w:szCs w:val="16"/>
        </w:rPr>
        <w:t>2015, pg. 167.</w:t>
      </w:r>
    </w:p>
  </w:footnote>
  <w:footnote w:id="47">
    <w:p w14:paraId="70F2F366" w14:textId="77777777" w:rsidR="00D9736D" w:rsidRPr="00BF61FA" w:rsidRDefault="00D9736D" w:rsidP="00272A82">
      <w:pPr>
        <w:pStyle w:val="FootnoteText"/>
        <w:jc w:val="both"/>
        <w:rPr>
          <w:rFonts w:ascii="Cambria" w:hAnsi="Cambria" w:cs="Times New Roman"/>
          <w:sz w:val="16"/>
          <w:szCs w:val="16"/>
        </w:rPr>
      </w:pPr>
      <w:r w:rsidRPr="00BF61FA">
        <w:rPr>
          <w:rStyle w:val="FootnoteReference"/>
          <w:rFonts w:ascii="Cambria" w:hAnsi="Cambria"/>
          <w:sz w:val="16"/>
          <w:szCs w:val="16"/>
        </w:rPr>
        <w:footnoteRef/>
      </w:r>
      <w:r w:rsidRPr="00BF61FA">
        <w:rPr>
          <w:rFonts w:ascii="Cambria" w:hAnsi="Cambria" w:cs="Times New Roman"/>
          <w:sz w:val="16"/>
          <w:szCs w:val="16"/>
        </w:rPr>
        <w:t xml:space="preserve">  </w:t>
      </w:r>
      <w:r>
        <w:rPr>
          <w:rFonts w:ascii="Cambria" w:hAnsi="Cambria" w:cs="Times New Roman"/>
          <w:sz w:val="16"/>
          <w:szCs w:val="16"/>
        </w:rPr>
        <w:t>International Labour Organization, ILO Code of Practice. Managing Disability in the Workplace</w:t>
      </w:r>
      <w:r w:rsidRPr="00BF61FA">
        <w:rPr>
          <w:rFonts w:ascii="Cambria" w:eastAsia="Times New Roman" w:hAnsi="Cambria" w:cs="Times New Roman"/>
          <w:sz w:val="16"/>
          <w:szCs w:val="16"/>
        </w:rPr>
        <w:t>.</w:t>
      </w:r>
    </w:p>
  </w:footnote>
  <w:footnote w:id="48">
    <w:p w14:paraId="337086F8" w14:textId="77777777" w:rsidR="00D9736D" w:rsidRPr="004E1E59" w:rsidRDefault="00D9736D" w:rsidP="00272A82">
      <w:pPr>
        <w:pStyle w:val="FootnoteText"/>
        <w:jc w:val="both"/>
        <w:rPr>
          <w:rFonts w:ascii="Cambria" w:hAnsi="Cambria"/>
          <w:sz w:val="16"/>
          <w:szCs w:val="16"/>
          <w:lang w:val="es-ES"/>
        </w:rPr>
      </w:pPr>
      <w:r w:rsidRPr="00BF61FA">
        <w:rPr>
          <w:rStyle w:val="FootnoteReference"/>
          <w:rFonts w:ascii="Cambria" w:hAnsi="Cambria"/>
          <w:sz w:val="16"/>
          <w:szCs w:val="16"/>
        </w:rPr>
        <w:footnoteRef/>
      </w:r>
      <w:r w:rsidRPr="004E1E59">
        <w:rPr>
          <w:rFonts w:ascii="Cambria" w:hAnsi="Cambria"/>
          <w:sz w:val="16"/>
          <w:szCs w:val="16"/>
          <w:lang w:val="es-ES"/>
        </w:rPr>
        <w:t xml:space="preserve"> </w:t>
      </w:r>
      <w:hyperlink r:id="rId3" w:history="1">
        <w:r w:rsidRPr="004E1E59">
          <w:rPr>
            <w:rStyle w:val="Hyperlink"/>
            <w:rFonts w:ascii="Cambria" w:hAnsi="Cambria"/>
            <w:sz w:val="16"/>
            <w:szCs w:val="16"/>
            <w:lang w:val="es-ES"/>
          </w:rPr>
          <w:t>Resolución del Parlamento Europeo de 20 de noviembre de 2017 sobre la aplicación de la Estrategia Europea sobre Discapacidad</w:t>
        </w:r>
      </w:hyperlink>
      <w:r w:rsidRPr="004E1E59">
        <w:rPr>
          <w:rFonts w:ascii="Cambria" w:hAnsi="Cambria"/>
          <w:sz w:val="16"/>
          <w:szCs w:val="16"/>
          <w:lang w:val="es-ES"/>
        </w:rPr>
        <w:t xml:space="preserve"> Resolution of the European Parliament of November 20, 2017 on implementation of the European Disability Strategy (2017/2127/INI), par. 36. </w:t>
      </w:r>
    </w:p>
  </w:footnote>
  <w:footnote w:id="49">
    <w:p w14:paraId="7EF695C2"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4E1E59">
        <w:rPr>
          <w:rFonts w:ascii="Cambria" w:hAnsi="Cambria"/>
          <w:sz w:val="16"/>
          <w:szCs w:val="16"/>
          <w:lang w:val="es-ES"/>
        </w:rPr>
        <w:t xml:space="preserve"> OAS, </w:t>
      </w:r>
      <w:hyperlink r:id="rId4" w:history="1">
        <w:r w:rsidRPr="004E1E59">
          <w:rPr>
            <w:rStyle w:val="Hyperlink"/>
            <w:rFonts w:ascii="Cambria" w:hAnsi="Cambria"/>
            <w:sz w:val="16"/>
            <w:szCs w:val="16"/>
            <w:lang w:val="es-ES"/>
          </w:rPr>
          <w:t>Programa de acción para el decenio de las Américas por los derechos y la dignidad de las personas con discapacidad (2016-2026),</w:t>
        </w:r>
      </w:hyperlink>
      <w:r w:rsidRPr="004E1E59">
        <w:rPr>
          <w:rFonts w:ascii="Cambria" w:hAnsi="Cambria"/>
          <w:sz w:val="16"/>
          <w:szCs w:val="16"/>
          <w:lang w:val="es-ES"/>
        </w:rPr>
        <w:t xml:space="preserve"> OAS, Program of Action for the Decade of the Americas for the Rights and Dignity of Persons with Disability (2016-2026). </w:t>
      </w:r>
      <w:r>
        <w:rPr>
          <w:rFonts w:ascii="Cambria" w:hAnsi="Cambria"/>
          <w:sz w:val="16"/>
          <w:szCs w:val="16"/>
        </w:rPr>
        <w:t xml:space="preserve">2018, Pg. 29. </w:t>
      </w:r>
    </w:p>
  </w:footnote>
  <w:footnote w:id="50">
    <w:p w14:paraId="54DC201F"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hyperlink r:id="rId5" w:history="1">
        <w:r w:rsidRPr="00BF61FA">
          <w:rPr>
            <w:rStyle w:val="Hyperlink"/>
            <w:rFonts w:ascii="Cambria" w:hAnsi="Cambria"/>
            <w:sz w:val="16"/>
            <w:szCs w:val="16"/>
          </w:rPr>
          <w:t>United Nations Department of Economic and Social Affairs, Realization of the sustainable development goals by,, for and with persons with disabilities</w:t>
        </w:r>
      </w:hyperlink>
      <w:r w:rsidRPr="00BF61FA">
        <w:rPr>
          <w:rFonts w:ascii="Cambria" w:hAnsi="Cambria"/>
          <w:sz w:val="16"/>
          <w:szCs w:val="16"/>
        </w:rPr>
        <w:t xml:space="preserve">, UN Flagship Report on Disability and Development 2018, pg. 202. </w:t>
      </w:r>
    </w:p>
  </w:footnote>
  <w:footnote w:id="51">
    <w:p w14:paraId="1BC92DCA"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Committee on the Rights of Persons with Disability, General Comment No. 6</w:t>
      </w:r>
      <w:r w:rsidRPr="00BF61FA">
        <w:rPr>
          <w:rFonts w:ascii="Cambria" w:hAnsi="Cambria"/>
          <w:sz w:val="16"/>
          <w:szCs w:val="16"/>
        </w:rPr>
        <w:t xml:space="preserve"> (2018) </w:t>
      </w:r>
      <w:r>
        <w:rPr>
          <w:rFonts w:ascii="Cambria" w:hAnsi="Cambria"/>
          <w:sz w:val="16"/>
          <w:szCs w:val="16"/>
        </w:rPr>
        <w:t>on equality and non-discrimination</w:t>
      </w:r>
      <w:r w:rsidRPr="00BF61FA">
        <w:rPr>
          <w:rFonts w:ascii="Cambria" w:hAnsi="Cambria"/>
          <w:sz w:val="16"/>
          <w:szCs w:val="16"/>
        </w:rPr>
        <w:t>, p</w:t>
      </w:r>
      <w:r>
        <w:rPr>
          <w:rFonts w:ascii="Cambria" w:hAnsi="Cambria"/>
          <w:sz w:val="16"/>
          <w:szCs w:val="16"/>
        </w:rPr>
        <w:t>a</w:t>
      </w:r>
      <w:r w:rsidRPr="00BF61FA">
        <w:rPr>
          <w:rFonts w:ascii="Cambria" w:hAnsi="Cambria"/>
          <w:sz w:val="16"/>
          <w:szCs w:val="16"/>
        </w:rPr>
        <w:t xml:space="preserve">r. 9, 67 </w:t>
      </w:r>
      <w:r>
        <w:rPr>
          <w:rFonts w:ascii="Cambria" w:hAnsi="Cambria"/>
          <w:sz w:val="16"/>
          <w:szCs w:val="16"/>
        </w:rPr>
        <w:t>et seq</w:t>
      </w:r>
      <w:r w:rsidRPr="00BF61FA">
        <w:rPr>
          <w:rFonts w:ascii="Cambria" w:hAnsi="Cambria"/>
          <w:sz w:val="16"/>
          <w:szCs w:val="16"/>
        </w:rPr>
        <w:t>.  V</w:t>
      </w:r>
    </w:p>
  </w:footnote>
  <w:footnote w:id="52">
    <w:p w14:paraId="0FEE60C6"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 xml:space="preserve">Committee on the Rights of Persons with Disability, Case of </w:t>
      </w:r>
      <w:r w:rsidRPr="00BF61FA">
        <w:rPr>
          <w:rFonts w:ascii="Cambria" w:hAnsi="Cambria"/>
          <w:sz w:val="16"/>
          <w:szCs w:val="16"/>
        </w:rPr>
        <w:t xml:space="preserve">V.F.C vs. </w:t>
      </w:r>
      <w:r>
        <w:rPr>
          <w:rFonts w:ascii="Cambria" w:hAnsi="Cambria"/>
          <w:sz w:val="16"/>
          <w:szCs w:val="16"/>
        </w:rPr>
        <w:t>Spain</w:t>
      </w:r>
      <w:r w:rsidRPr="00BF61FA">
        <w:rPr>
          <w:rFonts w:ascii="Cambria" w:hAnsi="Cambria"/>
          <w:sz w:val="16"/>
          <w:szCs w:val="16"/>
        </w:rPr>
        <w:t xml:space="preserve">, </w:t>
      </w:r>
      <w:r>
        <w:rPr>
          <w:rFonts w:ascii="Cambria" w:hAnsi="Cambria"/>
          <w:sz w:val="16"/>
          <w:szCs w:val="16"/>
        </w:rPr>
        <w:t xml:space="preserve">April </w:t>
      </w:r>
      <w:r w:rsidRPr="00BF61FA">
        <w:rPr>
          <w:rFonts w:ascii="Cambria" w:hAnsi="Cambria"/>
          <w:sz w:val="16"/>
          <w:szCs w:val="16"/>
        </w:rPr>
        <w:t>29</w:t>
      </w:r>
      <w:r>
        <w:rPr>
          <w:rFonts w:ascii="Cambria" w:hAnsi="Cambria"/>
          <w:sz w:val="16"/>
          <w:szCs w:val="16"/>
        </w:rPr>
        <w:t>,</w:t>
      </w:r>
      <w:r w:rsidRPr="00BF61FA">
        <w:rPr>
          <w:rFonts w:ascii="Cambria" w:hAnsi="Cambria"/>
          <w:sz w:val="16"/>
          <w:szCs w:val="16"/>
        </w:rPr>
        <w:t xml:space="preserve"> 2019, p</w:t>
      </w:r>
      <w:r>
        <w:rPr>
          <w:rFonts w:ascii="Cambria" w:hAnsi="Cambria"/>
          <w:sz w:val="16"/>
          <w:szCs w:val="16"/>
        </w:rPr>
        <w:t>a</w:t>
      </w:r>
      <w:r w:rsidRPr="00BF61FA">
        <w:rPr>
          <w:rFonts w:ascii="Cambria" w:hAnsi="Cambria"/>
          <w:sz w:val="16"/>
          <w:szCs w:val="16"/>
        </w:rPr>
        <w:t>r 8.5.</w:t>
      </w:r>
    </w:p>
  </w:footnote>
  <w:footnote w:id="53">
    <w:p w14:paraId="47033CDC"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Pr>
          <w:rFonts w:ascii="Cambria" w:hAnsi="Cambria"/>
          <w:sz w:val="16"/>
          <w:szCs w:val="16"/>
        </w:rPr>
        <w:t xml:space="preserve">Constitutional Court of Colombia, Judgment  </w:t>
      </w:r>
      <w:hyperlink r:id="rId6" w:history="1">
        <w:r w:rsidRPr="00BF61FA">
          <w:rPr>
            <w:rStyle w:val="Hyperlink"/>
            <w:rFonts w:ascii="Cambria" w:hAnsi="Cambria"/>
            <w:sz w:val="16"/>
            <w:szCs w:val="16"/>
          </w:rPr>
          <w:t>Sentencia T-340/17</w:t>
        </w:r>
      </w:hyperlink>
      <w:r w:rsidRPr="00BF61FA">
        <w:rPr>
          <w:rFonts w:ascii="Cambria" w:hAnsi="Cambria"/>
          <w:sz w:val="16"/>
          <w:szCs w:val="16"/>
        </w:rPr>
        <w:t xml:space="preserve"> </w:t>
      </w:r>
      <w:r>
        <w:rPr>
          <w:rFonts w:ascii="Cambria" w:hAnsi="Cambria"/>
          <w:sz w:val="16"/>
          <w:szCs w:val="16"/>
        </w:rPr>
        <w:t xml:space="preserve">of May 19, </w:t>
      </w:r>
      <w:r w:rsidRPr="00BF61FA">
        <w:rPr>
          <w:rFonts w:ascii="Cambria" w:hAnsi="Cambria"/>
          <w:sz w:val="16"/>
          <w:szCs w:val="16"/>
        </w:rPr>
        <w:t xml:space="preserve">2017.  </w:t>
      </w:r>
    </w:p>
  </w:footnote>
  <w:footnote w:id="54">
    <w:p w14:paraId="62428ED9"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Suprem</w:t>
      </w:r>
      <w:r>
        <w:rPr>
          <w:rFonts w:ascii="Cambria" w:hAnsi="Cambria"/>
          <w:sz w:val="16"/>
          <w:szCs w:val="16"/>
        </w:rPr>
        <w:t>e Court of Justice of the Nation</w:t>
      </w:r>
      <w:r w:rsidRPr="00BF61FA">
        <w:rPr>
          <w:rFonts w:ascii="Cambria" w:hAnsi="Cambria"/>
          <w:sz w:val="16"/>
          <w:szCs w:val="16"/>
        </w:rPr>
        <w:t xml:space="preserve">, </w:t>
      </w:r>
      <w:r>
        <w:rPr>
          <w:rFonts w:ascii="Cambria" w:hAnsi="Cambria"/>
          <w:sz w:val="16"/>
          <w:szCs w:val="16"/>
        </w:rPr>
        <w:t xml:space="preserve">Review of Amparo Judgment </w:t>
      </w:r>
      <w:r w:rsidRPr="00BF61FA">
        <w:rPr>
          <w:rFonts w:ascii="Cambria" w:hAnsi="Cambria"/>
          <w:sz w:val="16"/>
          <w:szCs w:val="16"/>
        </w:rPr>
        <w:t xml:space="preserve">3708/2016, </w:t>
      </w:r>
      <w:r>
        <w:rPr>
          <w:rFonts w:ascii="Cambria" w:hAnsi="Cambria"/>
          <w:sz w:val="16"/>
          <w:szCs w:val="16"/>
        </w:rPr>
        <w:t xml:space="preserve">May </w:t>
      </w:r>
      <w:r w:rsidRPr="00BF61FA">
        <w:rPr>
          <w:rFonts w:ascii="Cambria" w:hAnsi="Cambria"/>
          <w:sz w:val="16"/>
          <w:szCs w:val="16"/>
        </w:rPr>
        <w:t>31</w:t>
      </w:r>
      <w:r>
        <w:rPr>
          <w:rFonts w:ascii="Cambria" w:hAnsi="Cambria"/>
          <w:sz w:val="16"/>
          <w:szCs w:val="16"/>
        </w:rPr>
        <w:t>,</w:t>
      </w:r>
      <w:r w:rsidRPr="00BF61FA">
        <w:rPr>
          <w:rFonts w:ascii="Cambria" w:hAnsi="Cambria"/>
          <w:sz w:val="16"/>
          <w:szCs w:val="16"/>
        </w:rPr>
        <w:t xml:space="preserve"> 2017. </w:t>
      </w:r>
    </w:p>
  </w:footnote>
  <w:footnote w:id="55">
    <w:p w14:paraId="2E6F0D40" w14:textId="77777777" w:rsidR="00D9736D" w:rsidRPr="00BF61FA" w:rsidRDefault="00D9736D" w:rsidP="00272A82">
      <w:pPr>
        <w:pStyle w:val="FootnoteText"/>
        <w:jc w:val="both"/>
        <w:rPr>
          <w:rFonts w:ascii="Cambria" w:hAnsi="Cambria"/>
          <w:sz w:val="16"/>
          <w:szCs w:val="16"/>
        </w:rPr>
      </w:pPr>
    </w:p>
    <w:p w14:paraId="755C11BC"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hyperlink r:id="rId7" w:history="1">
        <w:r w:rsidRPr="00BF61FA">
          <w:rPr>
            <w:rStyle w:val="Hyperlink"/>
            <w:rFonts w:ascii="Cambria" w:hAnsi="Cambria"/>
            <w:sz w:val="16"/>
            <w:szCs w:val="16"/>
          </w:rPr>
          <w:t>Corte Constitucional del Ecuador</w:t>
        </w:r>
      </w:hyperlink>
      <w:r w:rsidRPr="00BF61FA">
        <w:rPr>
          <w:rFonts w:ascii="Cambria" w:hAnsi="Cambria"/>
          <w:sz w:val="16"/>
          <w:szCs w:val="16"/>
        </w:rPr>
        <w:t xml:space="preserve">, </w:t>
      </w:r>
      <w:r>
        <w:rPr>
          <w:rFonts w:ascii="Cambria" w:hAnsi="Cambria"/>
          <w:sz w:val="16"/>
          <w:szCs w:val="16"/>
        </w:rPr>
        <w:t xml:space="preserve">Constitutional Court of Ecuador, Judgment </w:t>
      </w:r>
      <w:r w:rsidRPr="00BF61FA">
        <w:rPr>
          <w:rFonts w:ascii="Cambria" w:hAnsi="Cambria"/>
          <w:sz w:val="16"/>
          <w:szCs w:val="16"/>
        </w:rPr>
        <w:t xml:space="preserve">258-15 </w:t>
      </w:r>
      <w:r>
        <w:rPr>
          <w:rFonts w:ascii="Cambria" w:hAnsi="Cambria"/>
          <w:sz w:val="16"/>
          <w:szCs w:val="16"/>
        </w:rPr>
        <w:t xml:space="preserve">of August </w:t>
      </w:r>
      <w:r w:rsidRPr="00BF61FA">
        <w:rPr>
          <w:rFonts w:ascii="Cambria" w:hAnsi="Cambria"/>
          <w:sz w:val="16"/>
          <w:szCs w:val="16"/>
        </w:rPr>
        <w:t>12</w:t>
      </w:r>
      <w:r>
        <w:rPr>
          <w:rFonts w:ascii="Cambria" w:hAnsi="Cambria"/>
          <w:sz w:val="16"/>
          <w:szCs w:val="16"/>
        </w:rPr>
        <w:t>,</w:t>
      </w:r>
      <w:r w:rsidRPr="00BF61FA">
        <w:rPr>
          <w:rFonts w:ascii="Cambria" w:hAnsi="Cambria"/>
          <w:sz w:val="16"/>
          <w:szCs w:val="16"/>
        </w:rPr>
        <w:t xml:space="preserve"> 2015.</w:t>
      </w:r>
    </w:p>
  </w:footnote>
  <w:footnote w:id="56">
    <w:p w14:paraId="6821500E"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sidR="00633E36">
        <w:rPr>
          <w:rFonts w:ascii="Cambria" w:hAnsi="Cambria"/>
          <w:sz w:val="16"/>
          <w:szCs w:val="16"/>
        </w:rPr>
        <w:t xml:space="preserve">See by way of example, IA Court of HR. </w:t>
      </w:r>
      <w:r w:rsidR="00633E36" w:rsidRPr="004E1E59">
        <w:rPr>
          <w:rFonts w:ascii="Cambria" w:hAnsi="Cambria"/>
          <w:sz w:val="16"/>
          <w:szCs w:val="16"/>
          <w:lang w:val="es-ES"/>
        </w:rPr>
        <w:t>Case of</w:t>
      </w:r>
      <w:r w:rsidRPr="004E1E59">
        <w:rPr>
          <w:rFonts w:ascii="Cambria" w:hAnsi="Cambria"/>
          <w:sz w:val="16"/>
          <w:szCs w:val="16"/>
          <w:lang w:val="es-ES"/>
        </w:rPr>
        <w:t xml:space="preserve"> San Miguel Sosa </w:t>
      </w:r>
      <w:r w:rsidR="007A6D43" w:rsidRPr="004E1E59">
        <w:rPr>
          <w:rFonts w:ascii="Cambria" w:hAnsi="Cambria"/>
          <w:sz w:val="16"/>
          <w:szCs w:val="16"/>
          <w:lang w:val="es-ES"/>
        </w:rPr>
        <w:t xml:space="preserve">et al v. </w:t>
      </w:r>
      <w:r w:rsidRPr="004E1E59">
        <w:rPr>
          <w:rFonts w:ascii="Cambria" w:hAnsi="Cambria"/>
          <w:sz w:val="16"/>
          <w:szCs w:val="16"/>
          <w:lang w:val="es-ES"/>
        </w:rPr>
        <w:t xml:space="preserve">Venezuela. </w:t>
      </w:r>
      <w:r w:rsidR="0043743B">
        <w:rPr>
          <w:rFonts w:ascii="Cambria" w:hAnsi="Cambria"/>
          <w:sz w:val="16"/>
          <w:szCs w:val="16"/>
        </w:rPr>
        <w:t>Merits, Reparations and Costs. Judgment of February</w:t>
      </w:r>
      <w:r w:rsidRPr="00BF61FA">
        <w:rPr>
          <w:rFonts w:ascii="Cambria" w:hAnsi="Cambria"/>
          <w:sz w:val="16"/>
          <w:szCs w:val="16"/>
        </w:rPr>
        <w:t xml:space="preserve"> 8</w:t>
      </w:r>
      <w:r w:rsidR="0043743B">
        <w:rPr>
          <w:rFonts w:ascii="Cambria" w:hAnsi="Cambria"/>
          <w:sz w:val="16"/>
          <w:szCs w:val="16"/>
        </w:rPr>
        <w:t>,</w:t>
      </w:r>
      <w:r w:rsidRPr="00BF61FA">
        <w:rPr>
          <w:rFonts w:ascii="Cambria" w:hAnsi="Cambria"/>
          <w:sz w:val="16"/>
          <w:szCs w:val="16"/>
        </w:rPr>
        <w:t xml:space="preserve"> 2018. Serie</w:t>
      </w:r>
      <w:r w:rsidR="00CB2324">
        <w:rPr>
          <w:rFonts w:ascii="Cambria" w:hAnsi="Cambria"/>
          <w:sz w:val="16"/>
          <w:szCs w:val="16"/>
        </w:rPr>
        <w:t>s</w:t>
      </w:r>
      <w:r w:rsidRPr="00BF61FA">
        <w:rPr>
          <w:rFonts w:ascii="Cambria" w:hAnsi="Cambria"/>
          <w:sz w:val="16"/>
          <w:szCs w:val="16"/>
        </w:rPr>
        <w:t xml:space="preserve"> C no. 348, p</w:t>
      </w:r>
      <w:r w:rsidR="00330680">
        <w:rPr>
          <w:rFonts w:ascii="Cambria" w:hAnsi="Cambria"/>
          <w:sz w:val="16"/>
          <w:szCs w:val="16"/>
        </w:rPr>
        <w:t>a</w:t>
      </w:r>
      <w:r w:rsidRPr="00BF61FA">
        <w:rPr>
          <w:rFonts w:ascii="Cambria" w:hAnsi="Cambria"/>
          <w:sz w:val="16"/>
          <w:szCs w:val="16"/>
        </w:rPr>
        <w:t>r.121.</w:t>
      </w:r>
    </w:p>
  </w:footnote>
  <w:footnote w:id="57">
    <w:p w14:paraId="6109258A"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sidRPr="00BF61FA">
        <w:rPr>
          <w:rFonts w:ascii="Cambria" w:hAnsi="Cambria" w:cs="Tahoma"/>
          <w:sz w:val="16"/>
          <w:szCs w:val="16"/>
        </w:rPr>
        <w:t xml:space="preserve">1. </w:t>
      </w:r>
      <w:r w:rsidR="003A72CA">
        <w:rPr>
          <w:rFonts w:ascii="Cambria" w:hAnsi="Cambria" w:cs="Tahoma"/>
          <w:sz w:val="16"/>
          <w:szCs w:val="16"/>
        </w:rPr>
        <w:t xml:space="preserve">Everyone has the right to simple and prompt recourse, or any other effective recourse, to a competent court or tribunal for protection against acts that violate his fundamental rights recognized by the constitution or laws of the state concerned </w:t>
      </w:r>
      <w:r w:rsidR="00CF710E">
        <w:rPr>
          <w:rFonts w:ascii="Cambria" w:hAnsi="Cambria" w:cs="Tahoma"/>
          <w:sz w:val="16"/>
          <w:szCs w:val="16"/>
        </w:rPr>
        <w:t xml:space="preserve">or by this Convention, even though such violation may have been committed by persons acting in the course of their official duties. </w:t>
      </w:r>
    </w:p>
  </w:footnote>
  <w:footnote w:id="58">
    <w:p w14:paraId="36F21406"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Pr="00BF61FA">
        <w:rPr>
          <w:rFonts w:ascii="Cambria" w:hAnsi="Cambria"/>
          <w:sz w:val="16"/>
          <w:szCs w:val="16"/>
        </w:rPr>
        <w:t xml:space="preserve"> </w:t>
      </w:r>
      <w:r w:rsidR="007215AA">
        <w:rPr>
          <w:rFonts w:ascii="Cambria" w:hAnsi="Cambria"/>
          <w:sz w:val="16"/>
          <w:szCs w:val="16"/>
        </w:rPr>
        <w:t xml:space="preserve">Article </w:t>
      </w:r>
      <w:r w:rsidRPr="00BF61FA">
        <w:rPr>
          <w:rFonts w:ascii="Cambria" w:hAnsi="Cambria"/>
          <w:sz w:val="16"/>
          <w:szCs w:val="16"/>
        </w:rPr>
        <w:t xml:space="preserve">8.1 </w:t>
      </w:r>
      <w:r w:rsidR="00941C1C">
        <w:rPr>
          <w:rFonts w:ascii="Cambria" w:hAnsi="Cambria"/>
          <w:sz w:val="16"/>
          <w:szCs w:val="16"/>
        </w:rPr>
        <w:t xml:space="preserve">of the American Convention establishes that </w:t>
      </w:r>
      <w:r w:rsidRPr="00BF61FA">
        <w:rPr>
          <w:rFonts w:ascii="Cambria" w:hAnsi="Cambria" w:cs="Tahoma"/>
          <w:sz w:val="16"/>
          <w:szCs w:val="16"/>
        </w:rPr>
        <w:t xml:space="preserve">1. </w:t>
      </w:r>
      <w:r w:rsidR="009463D1">
        <w:rPr>
          <w:rFonts w:ascii="Cambria" w:hAnsi="Cambria" w:cs="Tahoma"/>
          <w:sz w:val="16"/>
          <w:szCs w:val="16"/>
        </w:rPr>
        <w:t xml:space="preserve">Every person has the right </w:t>
      </w:r>
      <w:r w:rsidR="00A10C36">
        <w:rPr>
          <w:rFonts w:ascii="Cambria" w:hAnsi="Cambria" w:cs="Tahoma"/>
          <w:sz w:val="16"/>
          <w:szCs w:val="16"/>
        </w:rPr>
        <w:t>to a hearing, with due guarantees and within a reasonable time, by a competent, independent, and impartial tribunal</w:t>
      </w:r>
      <w:r w:rsidR="00CF4BA5">
        <w:rPr>
          <w:rFonts w:ascii="Cambria" w:hAnsi="Cambria" w:cs="Tahoma"/>
          <w:sz w:val="16"/>
          <w:szCs w:val="16"/>
        </w:rPr>
        <w:t xml:space="preserve">, previously established by law, in the substantiation of any accusation of a criminal nature made against him or for the determination of his rights and obligations of a civil, labor, fiscal, or any other nature. </w:t>
      </w:r>
    </w:p>
  </w:footnote>
  <w:footnote w:id="59">
    <w:p w14:paraId="7FF6EB70" w14:textId="77777777" w:rsidR="00D9736D" w:rsidRPr="00BF61FA" w:rsidRDefault="00D9736D" w:rsidP="00272A82">
      <w:pPr>
        <w:tabs>
          <w:tab w:val="left" w:pos="180"/>
          <w:tab w:val="left" w:pos="900"/>
          <w:tab w:val="left" w:pos="1080"/>
        </w:tabs>
        <w:jc w:val="both"/>
        <w:rPr>
          <w:rFonts w:ascii="Cambria" w:hAnsi="Cambria"/>
          <w:sz w:val="16"/>
          <w:szCs w:val="16"/>
        </w:rPr>
      </w:pPr>
      <w:r w:rsidRPr="00BF61FA">
        <w:rPr>
          <w:rStyle w:val="FootnoteReference"/>
          <w:rFonts w:ascii="Cambria" w:hAnsi="Cambria"/>
          <w:sz w:val="16"/>
          <w:szCs w:val="16"/>
        </w:rPr>
        <w:footnoteRef/>
      </w:r>
      <w:r w:rsidR="003C3246">
        <w:rPr>
          <w:rFonts w:ascii="Cambria" w:hAnsi="Cambria"/>
          <w:color w:val="000000"/>
          <w:sz w:val="16"/>
          <w:szCs w:val="16"/>
        </w:rPr>
        <w:t xml:space="preserve">IA Court of HR, Case of </w:t>
      </w:r>
      <w:r w:rsidR="00C16281">
        <w:rPr>
          <w:rFonts w:ascii="Cambria" w:hAnsi="Cambria"/>
          <w:color w:val="000000"/>
          <w:sz w:val="16"/>
          <w:szCs w:val="16"/>
        </w:rPr>
        <w:t xml:space="preserve">the Dismissed </w:t>
      </w:r>
      <w:r w:rsidR="00D31F41">
        <w:rPr>
          <w:rFonts w:ascii="Cambria" w:hAnsi="Cambria"/>
          <w:color w:val="000000"/>
          <w:sz w:val="16"/>
          <w:szCs w:val="16"/>
        </w:rPr>
        <w:t xml:space="preserve">Congressional </w:t>
      </w:r>
      <w:r w:rsidR="00C16281">
        <w:rPr>
          <w:rFonts w:ascii="Cambria" w:hAnsi="Cambria"/>
          <w:color w:val="000000"/>
          <w:sz w:val="16"/>
          <w:szCs w:val="16"/>
        </w:rPr>
        <w:t xml:space="preserve">Employees </w:t>
      </w:r>
      <w:r w:rsidRPr="00BF61FA">
        <w:rPr>
          <w:rFonts w:ascii="Cambria" w:hAnsi="Cambria"/>
          <w:bCs/>
          <w:color w:val="000000"/>
          <w:sz w:val="16"/>
          <w:szCs w:val="16"/>
        </w:rPr>
        <w:t xml:space="preserve">(Aguado Alfaro </w:t>
      </w:r>
      <w:r w:rsidR="00E8511B">
        <w:rPr>
          <w:rFonts w:ascii="Cambria" w:hAnsi="Cambria"/>
          <w:bCs/>
          <w:color w:val="000000"/>
          <w:sz w:val="16"/>
          <w:szCs w:val="16"/>
        </w:rPr>
        <w:t>et al</w:t>
      </w:r>
      <w:r w:rsidRPr="00BF61FA">
        <w:rPr>
          <w:rFonts w:ascii="Cambria" w:hAnsi="Cambria"/>
          <w:bCs/>
          <w:color w:val="000000"/>
          <w:sz w:val="16"/>
          <w:szCs w:val="16"/>
        </w:rPr>
        <w:t xml:space="preserve">). </w:t>
      </w:r>
      <w:r w:rsidR="004D49B3">
        <w:rPr>
          <w:rFonts w:ascii="Cambria" w:hAnsi="Cambria"/>
          <w:bCs/>
          <w:color w:val="000000"/>
          <w:sz w:val="16"/>
          <w:szCs w:val="16"/>
        </w:rPr>
        <w:t xml:space="preserve">Judgment on Preliminary Objections, Merits, Reparations and Costs. </w:t>
      </w:r>
      <w:r w:rsidR="0046587C">
        <w:rPr>
          <w:rFonts w:ascii="Cambria" w:hAnsi="Cambria"/>
          <w:color w:val="000000"/>
          <w:sz w:val="16"/>
          <w:szCs w:val="16"/>
        </w:rPr>
        <w:t xml:space="preserve">Judgment of November </w:t>
      </w:r>
      <w:r w:rsidRPr="00BF61FA">
        <w:rPr>
          <w:rFonts w:ascii="Cambria" w:hAnsi="Cambria"/>
          <w:color w:val="000000"/>
          <w:sz w:val="16"/>
          <w:szCs w:val="16"/>
        </w:rPr>
        <w:t>24</w:t>
      </w:r>
      <w:r w:rsidR="0046587C">
        <w:rPr>
          <w:rFonts w:ascii="Cambria" w:hAnsi="Cambria"/>
          <w:color w:val="000000"/>
          <w:sz w:val="16"/>
          <w:szCs w:val="16"/>
        </w:rPr>
        <w:t>,</w:t>
      </w:r>
      <w:r w:rsidRPr="00BF61FA">
        <w:rPr>
          <w:rFonts w:ascii="Cambria" w:hAnsi="Cambria"/>
          <w:color w:val="000000"/>
          <w:sz w:val="16"/>
          <w:szCs w:val="16"/>
        </w:rPr>
        <w:t xml:space="preserve"> 2006. Serie</w:t>
      </w:r>
      <w:r w:rsidR="00F77697">
        <w:rPr>
          <w:rFonts w:ascii="Cambria" w:hAnsi="Cambria"/>
          <w:color w:val="000000"/>
          <w:sz w:val="16"/>
          <w:szCs w:val="16"/>
        </w:rPr>
        <w:t>s</w:t>
      </w:r>
      <w:r w:rsidRPr="00BF61FA">
        <w:rPr>
          <w:rFonts w:ascii="Cambria" w:hAnsi="Cambria"/>
          <w:color w:val="000000"/>
          <w:sz w:val="16"/>
          <w:szCs w:val="16"/>
        </w:rPr>
        <w:t xml:space="preserve"> C No. 158. P</w:t>
      </w:r>
      <w:r w:rsidR="00E60700">
        <w:rPr>
          <w:rFonts w:ascii="Cambria" w:hAnsi="Cambria"/>
          <w:color w:val="000000"/>
          <w:sz w:val="16"/>
          <w:szCs w:val="16"/>
        </w:rPr>
        <w:t>a</w:t>
      </w:r>
      <w:r w:rsidRPr="00BF61FA">
        <w:rPr>
          <w:rFonts w:ascii="Cambria" w:hAnsi="Cambria"/>
          <w:color w:val="000000"/>
          <w:sz w:val="16"/>
          <w:szCs w:val="16"/>
        </w:rPr>
        <w:t xml:space="preserve">r. 125; </w:t>
      </w:r>
      <w:r w:rsidR="008D1579">
        <w:rPr>
          <w:rFonts w:ascii="Cambria" w:hAnsi="Cambria"/>
          <w:color w:val="000000"/>
          <w:sz w:val="16"/>
          <w:szCs w:val="16"/>
        </w:rPr>
        <w:t>IA Court of HR</w:t>
      </w:r>
      <w:r w:rsidRPr="00BF61FA">
        <w:rPr>
          <w:rFonts w:ascii="Cambria" w:hAnsi="Cambria"/>
          <w:color w:val="000000"/>
          <w:sz w:val="16"/>
          <w:szCs w:val="16"/>
        </w:rPr>
        <w:t xml:space="preserve">, </w:t>
      </w:r>
      <w:r w:rsidRPr="00BF61FA">
        <w:rPr>
          <w:rFonts w:ascii="Cambria" w:hAnsi="Cambria"/>
          <w:bCs/>
          <w:color w:val="000000"/>
          <w:sz w:val="16"/>
          <w:szCs w:val="16"/>
        </w:rPr>
        <w:t>Cas</w:t>
      </w:r>
      <w:r w:rsidR="008D1579">
        <w:rPr>
          <w:rFonts w:ascii="Cambria" w:hAnsi="Cambria"/>
          <w:bCs/>
          <w:color w:val="000000"/>
          <w:sz w:val="16"/>
          <w:szCs w:val="16"/>
        </w:rPr>
        <w:t>e of the</w:t>
      </w:r>
      <w:r w:rsidRPr="00BF61FA">
        <w:rPr>
          <w:rFonts w:ascii="Cambria" w:hAnsi="Cambria"/>
          <w:bCs/>
          <w:color w:val="000000"/>
          <w:sz w:val="16"/>
          <w:szCs w:val="16"/>
        </w:rPr>
        <w:t xml:space="preserve"> Yakye Axa</w:t>
      </w:r>
      <w:r w:rsidR="008D1579">
        <w:rPr>
          <w:rFonts w:ascii="Cambria" w:hAnsi="Cambria"/>
          <w:bCs/>
          <w:color w:val="000000"/>
          <w:sz w:val="16"/>
          <w:szCs w:val="16"/>
        </w:rPr>
        <w:t xml:space="preserve"> Indigenous Community</w:t>
      </w:r>
      <w:r w:rsidRPr="00BF61FA">
        <w:rPr>
          <w:rFonts w:ascii="Cambria" w:hAnsi="Cambria"/>
          <w:bCs/>
          <w:color w:val="000000"/>
          <w:sz w:val="16"/>
          <w:szCs w:val="16"/>
        </w:rPr>
        <w:t xml:space="preserve">. </w:t>
      </w:r>
      <w:r w:rsidR="003E0249">
        <w:rPr>
          <w:rFonts w:ascii="Cambria" w:hAnsi="Cambria"/>
          <w:bCs/>
          <w:color w:val="000000"/>
          <w:sz w:val="16"/>
          <w:szCs w:val="16"/>
        </w:rPr>
        <w:t xml:space="preserve">Judgment of June </w:t>
      </w:r>
      <w:r w:rsidRPr="00BF61FA">
        <w:rPr>
          <w:rFonts w:ascii="Cambria" w:hAnsi="Cambria"/>
          <w:color w:val="000000"/>
          <w:sz w:val="16"/>
          <w:szCs w:val="16"/>
        </w:rPr>
        <w:t>17</w:t>
      </w:r>
      <w:r w:rsidR="003E0249">
        <w:rPr>
          <w:rFonts w:ascii="Cambria" w:hAnsi="Cambria"/>
          <w:color w:val="000000"/>
          <w:sz w:val="16"/>
          <w:szCs w:val="16"/>
        </w:rPr>
        <w:t>,</w:t>
      </w:r>
      <w:r w:rsidRPr="00BF61FA">
        <w:rPr>
          <w:rFonts w:ascii="Cambria" w:hAnsi="Cambria"/>
          <w:color w:val="000000"/>
          <w:sz w:val="16"/>
          <w:szCs w:val="16"/>
        </w:rPr>
        <w:t xml:space="preserve"> 2005. Serie</w:t>
      </w:r>
      <w:r w:rsidR="00901EC5">
        <w:rPr>
          <w:rFonts w:ascii="Cambria" w:hAnsi="Cambria"/>
          <w:color w:val="000000"/>
          <w:sz w:val="16"/>
          <w:szCs w:val="16"/>
        </w:rPr>
        <w:t>s</w:t>
      </w:r>
      <w:r w:rsidRPr="00BF61FA">
        <w:rPr>
          <w:rFonts w:ascii="Cambria" w:hAnsi="Cambria"/>
          <w:color w:val="000000"/>
          <w:sz w:val="16"/>
          <w:szCs w:val="16"/>
        </w:rPr>
        <w:t xml:space="preserve"> C No. 125</w:t>
      </w:r>
      <w:r w:rsidRPr="00BF61FA">
        <w:rPr>
          <w:rFonts w:ascii="Cambria" w:hAnsi="Cambria"/>
          <w:sz w:val="16"/>
          <w:szCs w:val="16"/>
        </w:rPr>
        <w:t>. P</w:t>
      </w:r>
      <w:r w:rsidR="00D7208D">
        <w:rPr>
          <w:rFonts w:ascii="Cambria" w:hAnsi="Cambria"/>
          <w:sz w:val="16"/>
          <w:szCs w:val="16"/>
        </w:rPr>
        <w:t>a</w:t>
      </w:r>
      <w:r w:rsidRPr="00BF61FA">
        <w:rPr>
          <w:rFonts w:ascii="Cambria" w:hAnsi="Cambria"/>
          <w:sz w:val="16"/>
          <w:szCs w:val="16"/>
        </w:rPr>
        <w:t xml:space="preserve">r.  61; </w:t>
      </w:r>
      <w:r w:rsidR="00F43000">
        <w:rPr>
          <w:rFonts w:ascii="Cambria" w:hAnsi="Cambria"/>
          <w:sz w:val="16"/>
          <w:szCs w:val="16"/>
        </w:rPr>
        <w:t xml:space="preserve">IA Court of HR, </w:t>
      </w:r>
      <w:r w:rsidRPr="00BF61FA">
        <w:rPr>
          <w:rFonts w:ascii="Cambria" w:hAnsi="Cambria"/>
          <w:bCs/>
          <w:color w:val="000000"/>
          <w:sz w:val="16"/>
          <w:szCs w:val="16"/>
        </w:rPr>
        <w:t>Cas</w:t>
      </w:r>
      <w:r w:rsidR="003B2938">
        <w:rPr>
          <w:rFonts w:ascii="Cambria" w:hAnsi="Cambria"/>
          <w:bCs/>
          <w:color w:val="000000"/>
          <w:sz w:val="16"/>
          <w:szCs w:val="16"/>
        </w:rPr>
        <w:t xml:space="preserve">e of the “Five Pensioners.” Judgment of February 28, 2003. </w:t>
      </w:r>
      <w:r w:rsidRPr="00BF61FA">
        <w:rPr>
          <w:rFonts w:ascii="Cambria" w:hAnsi="Cambria"/>
          <w:color w:val="000000"/>
          <w:sz w:val="16"/>
          <w:szCs w:val="16"/>
        </w:rPr>
        <w:t>Serie</w:t>
      </w:r>
      <w:r w:rsidR="003B2938">
        <w:rPr>
          <w:rFonts w:ascii="Cambria" w:hAnsi="Cambria"/>
          <w:color w:val="000000"/>
          <w:sz w:val="16"/>
          <w:szCs w:val="16"/>
        </w:rPr>
        <w:t>s</w:t>
      </w:r>
      <w:r w:rsidRPr="00BF61FA">
        <w:rPr>
          <w:rFonts w:ascii="Cambria" w:hAnsi="Cambria"/>
          <w:color w:val="000000"/>
          <w:sz w:val="16"/>
          <w:szCs w:val="16"/>
        </w:rPr>
        <w:t xml:space="preserve"> C No. 98</w:t>
      </w:r>
      <w:r w:rsidRPr="00BF61FA">
        <w:rPr>
          <w:rFonts w:ascii="Cambria" w:hAnsi="Cambria"/>
          <w:sz w:val="16"/>
          <w:szCs w:val="16"/>
        </w:rPr>
        <w:t>. P</w:t>
      </w:r>
      <w:r w:rsidR="003B2938">
        <w:rPr>
          <w:rFonts w:ascii="Cambria" w:hAnsi="Cambria"/>
          <w:sz w:val="16"/>
          <w:szCs w:val="16"/>
        </w:rPr>
        <w:t>a</w:t>
      </w:r>
      <w:r w:rsidRPr="00BF61FA">
        <w:rPr>
          <w:rFonts w:ascii="Cambria" w:hAnsi="Cambria"/>
          <w:sz w:val="16"/>
          <w:szCs w:val="16"/>
        </w:rPr>
        <w:t>r. 136.</w:t>
      </w:r>
    </w:p>
  </w:footnote>
  <w:footnote w:id="60">
    <w:p w14:paraId="3EB32FE8" w14:textId="77777777" w:rsidR="00D9736D" w:rsidRPr="00BF61FA" w:rsidRDefault="00D9736D" w:rsidP="00272A82">
      <w:pPr>
        <w:pStyle w:val="FootnoteText"/>
        <w:jc w:val="both"/>
        <w:rPr>
          <w:rFonts w:ascii="Cambria" w:hAnsi="Cambria"/>
          <w:sz w:val="16"/>
          <w:szCs w:val="16"/>
        </w:rPr>
      </w:pPr>
      <w:r w:rsidRPr="00BF61FA">
        <w:rPr>
          <w:rStyle w:val="FootnoteReference"/>
          <w:rFonts w:ascii="Cambria" w:hAnsi="Cambria"/>
          <w:sz w:val="16"/>
          <w:szCs w:val="16"/>
        </w:rPr>
        <w:footnoteRef/>
      </w:r>
      <w:r w:rsidR="005052A9">
        <w:rPr>
          <w:rFonts w:ascii="Cambria" w:hAnsi="Cambria"/>
          <w:sz w:val="16"/>
          <w:szCs w:val="16"/>
        </w:rPr>
        <w:t>IA Court of HR. Case of</w:t>
      </w:r>
      <w:r w:rsidRPr="00BF61FA">
        <w:rPr>
          <w:rFonts w:ascii="Cambria" w:hAnsi="Cambria"/>
          <w:sz w:val="16"/>
          <w:szCs w:val="16"/>
        </w:rPr>
        <w:t xml:space="preserve"> Chocrón Chocrón </w:t>
      </w:r>
      <w:r w:rsidR="00DD3D4F">
        <w:rPr>
          <w:rFonts w:ascii="Cambria" w:hAnsi="Cambria"/>
          <w:sz w:val="16"/>
          <w:szCs w:val="16"/>
        </w:rPr>
        <w:t>v</w:t>
      </w:r>
      <w:r w:rsidRPr="00BF61FA">
        <w:rPr>
          <w:rFonts w:ascii="Cambria" w:hAnsi="Cambria"/>
          <w:sz w:val="16"/>
          <w:szCs w:val="16"/>
        </w:rPr>
        <w:t xml:space="preserve">. Venezuela. </w:t>
      </w:r>
      <w:r w:rsidR="00C034CC">
        <w:rPr>
          <w:rFonts w:ascii="Cambria" w:hAnsi="Cambria"/>
          <w:sz w:val="16"/>
          <w:szCs w:val="16"/>
        </w:rPr>
        <w:t xml:space="preserve">Preliminary Objection, Merits, Reparations and Costs. </w:t>
      </w:r>
      <w:r w:rsidR="0032514F">
        <w:rPr>
          <w:rFonts w:ascii="Cambria" w:hAnsi="Cambria"/>
          <w:sz w:val="16"/>
          <w:szCs w:val="16"/>
        </w:rPr>
        <w:t xml:space="preserve">Judgment of July 1, </w:t>
      </w:r>
      <w:r w:rsidRPr="00BF61FA">
        <w:rPr>
          <w:rFonts w:ascii="Cambria" w:hAnsi="Cambria"/>
          <w:sz w:val="16"/>
          <w:szCs w:val="16"/>
        </w:rPr>
        <w:t>2011. Serie</w:t>
      </w:r>
      <w:r w:rsidR="0032514F">
        <w:rPr>
          <w:rFonts w:ascii="Cambria" w:hAnsi="Cambria"/>
          <w:sz w:val="16"/>
          <w:szCs w:val="16"/>
        </w:rPr>
        <w:t>s</w:t>
      </w:r>
      <w:r w:rsidRPr="00BF61FA">
        <w:rPr>
          <w:rFonts w:ascii="Cambria" w:hAnsi="Cambria"/>
          <w:sz w:val="16"/>
          <w:szCs w:val="16"/>
        </w:rPr>
        <w:t xml:space="preserve"> C No. 227, p</w:t>
      </w:r>
      <w:r w:rsidR="0032514F">
        <w:rPr>
          <w:rFonts w:ascii="Cambria" w:hAnsi="Cambria"/>
          <w:sz w:val="16"/>
          <w:szCs w:val="16"/>
        </w:rPr>
        <w:t>a</w:t>
      </w:r>
      <w:r w:rsidRPr="00BF61FA">
        <w:rPr>
          <w:rFonts w:ascii="Cambria" w:hAnsi="Cambria"/>
          <w:sz w:val="16"/>
          <w:szCs w:val="16"/>
        </w:rPr>
        <w:t>r.118.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E8DD" w14:textId="77777777" w:rsidR="00D9736D" w:rsidRDefault="00D9736D" w:rsidP="00BB5F2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64E55B5" w14:textId="77777777" w:rsidR="00D9736D" w:rsidRDefault="00D97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662" w14:textId="77777777" w:rsidR="00D9736D" w:rsidRDefault="00D9736D" w:rsidP="002C1641">
    <w:pPr>
      <w:pStyle w:val="Header"/>
      <w:tabs>
        <w:tab w:val="clear" w:pos="4320"/>
        <w:tab w:val="clear" w:pos="8640"/>
      </w:tabs>
      <w:jc w:val="center"/>
      <w:rPr>
        <w:sz w:val="22"/>
        <w:szCs w:val="22"/>
      </w:rPr>
    </w:pPr>
    <w:r>
      <w:rPr>
        <w:noProof/>
        <w:sz w:val="22"/>
        <w:szCs w:val="22"/>
      </w:rPr>
      <w:drawing>
        <wp:inline distT="0" distB="0" distL="0" distR="0" wp14:anchorId="28DC1BA4" wp14:editId="1F1D34DA">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64E2083" w14:textId="77777777" w:rsidR="00D9736D" w:rsidRPr="00EC7D62" w:rsidRDefault="00AA1182" w:rsidP="002C1641">
    <w:pPr>
      <w:pStyle w:val="Header"/>
      <w:tabs>
        <w:tab w:val="clear" w:pos="4320"/>
        <w:tab w:val="clear" w:pos="8640"/>
      </w:tabs>
      <w:jc w:val="center"/>
      <w:rPr>
        <w:sz w:val="22"/>
        <w:szCs w:val="22"/>
      </w:rPr>
    </w:pPr>
    <w:r>
      <w:rPr>
        <w:noProof/>
        <w:sz w:val="22"/>
        <w:szCs w:val="22"/>
        <w:bdr w:val="nil"/>
      </w:rPr>
      <w:pict w14:anchorId="3E81539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6155DB2"/>
    <w:multiLevelType w:val="multilevel"/>
    <w:tmpl w:val="6ADC0A7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7A1034"/>
    <w:multiLevelType w:val="hybridMultilevel"/>
    <w:tmpl w:val="4B1E49A6"/>
    <w:lvl w:ilvl="0" w:tplc="B7387D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0424"/>
    <w:multiLevelType w:val="hybridMultilevel"/>
    <w:tmpl w:val="7AC65D7A"/>
    <w:lvl w:ilvl="0" w:tplc="8A2C5632">
      <w:start w:val="1"/>
      <w:numFmt w:val="upperLetter"/>
      <w:pStyle w:val="Heading2"/>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B45F93"/>
    <w:multiLevelType w:val="hybridMultilevel"/>
    <w:tmpl w:val="1E5C006E"/>
    <w:lvl w:ilvl="0" w:tplc="4134F5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C30E8EB8"/>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0B54F25"/>
    <w:multiLevelType w:val="hybridMultilevel"/>
    <w:tmpl w:val="16BC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6A101BB"/>
    <w:multiLevelType w:val="hybridMultilevel"/>
    <w:tmpl w:val="1270A53E"/>
    <w:lvl w:ilvl="0" w:tplc="CEB46AAE">
      <w:start w:val="1"/>
      <w:numFmt w:val="upperRoman"/>
      <w:pStyle w:val="Heading1"/>
      <w:lvlText w:val="%1."/>
      <w:lvlJc w:val="left"/>
      <w:pPr>
        <w:tabs>
          <w:tab w:val="num" w:pos="1440"/>
        </w:tabs>
        <w:ind w:left="1440" w:hanging="720"/>
      </w:pPr>
      <w:rPr>
        <w:rFonts w:cs="Times New Roman"/>
        <w:b/>
        <w:lang w:val="es-VE"/>
      </w:rPr>
    </w:lvl>
    <w:lvl w:ilvl="1" w:tplc="240A0019">
      <w:start w:val="1"/>
      <w:numFmt w:val="lowerLetter"/>
      <w:lvlText w:val="%2."/>
      <w:lvlJc w:val="left"/>
      <w:pPr>
        <w:tabs>
          <w:tab w:val="num" w:pos="1800"/>
        </w:tabs>
        <w:ind w:left="1800" w:hanging="360"/>
      </w:pPr>
      <w:rPr>
        <w:b/>
      </w:rPr>
    </w:lvl>
    <w:lvl w:ilvl="2" w:tplc="881EAA16">
      <w:start w:val="1"/>
      <w:numFmt w:val="lowerLetter"/>
      <w:lvlText w:val="%3)"/>
      <w:lvlJc w:val="left"/>
      <w:pPr>
        <w:tabs>
          <w:tab w:val="num" w:pos="2700"/>
        </w:tabs>
        <w:ind w:left="2700" w:hanging="360"/>
      </w:pPr>
      <w:rPr>
        <w:rFonts w:cs="Times New Roman"/>
      </w:rPr>
    </w:lvl>
    <w:lvl w:ilvl="3" w:tplc="B87E3F4A">
      <w:start w:val="2"/>
      <w:numFmt w:val="upperLetter"/>
      <w:lvlText w:val="%4."/>
      <w:lvlJc w:val="left"/>
      <w:pPr>
        <w:tabs>
          <w:tab w:val="num" w:pos="3240"/>
        </w:tabs>
        <w:ind w:left="3240" w:hanging="360"/>
      </w:pPr>
      <w:rPr>
        <w:rFonts w:cs="Times New Roman"/>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3"/>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0"/>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0"/>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0"/>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9"/>
  </w:num>
  <w:num w:numId="82">
    <w:abstractNumId w:val="43"/>
  </w:num>
  <w:num w:numId="83">
    <w:abstractNumId w:val="44"/>
  </w:num>
  <w:num w:numId="84">
    <w:abstractNumId w:val="51"/>
  </w:num>
  <w:num w:numId="85">
    <w:abstractNumId w:val="55"/>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7"/>
  </w:num>
  <w:num w:numId="94">
    <w:abstractNumId w:val="22"/>
  </w:num>
  <w:num w:numId="95">
    <w:abstractNumId w:val="45"/>
  </w:num>
  <w:num w:numId="96">
    <w:abstractNumId w:val="58"/>
  </w:num>
  <w:num w:numId="97">
    <w:abstractNumId w:val="56"/>
  </w:num>
  <w:num w:numId="98">
    <w:abstractNumId w:val="48"/>
  </w:num>
  <w:num w:numId="99">
    <w:abstractNumId w:val="40"/>
  </w:num>
  <w:num w:numId="100">
    <w:abstractNumId w:val="3"/>
  </w:num>
  <w:num w:numId="101">
    <w:abstractNumId w:val="27"/>
  </w:num>
  <w:num w:numId="102">
    <w:abstractNumId w:val="52"/>
  </w:num>
  <w:num w:numId="103">
    <w:abstractNumId w:val="5"/>
  </w:num>
  <w:num w:numId="104">
    <w:abstractNumId w:val="54"/>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9"/>
  </w:num>
  <w:num w:numId="107">
    <w:abstractNumId w:val="38"/>
  </w:num>
  <w:num w:numId="108">
    <w:abstractNumId w:val="19"/>
  </w:num>
  <w:num w:numId="109">
    <w:abstractNumId w:val="7"/>
  </w:num>
  <w:num w:numId="110">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541"/>
    <w:rsid w:val="00001A8D"/>
    <w:rsid w:val="00003B31"/>
    <w:rsid w:val="00003CDB"/>
    <w:rsid w:val="000070D7"/>
    <w:rsid w:val="0001043B"/>
    <w:rsid w:val="00010781"/>
    <w:rsid w:val="000111A8"/>
    <w:rsid w:val="00012A06"/>
    <w:rsid w:val="000153D4"/>
    <w:rsid w:val="000166C4"/>
    <w:rsid w:val="0001788C"/>
    <w:rsid w:val="000179BC"/>
    <w:rsid w:val="00020F6D"/>
    <w:rsid w:val="0002293F"/>
    <w:rsid w:val="00024747"/>
    <w:rsid w:val="00024AFC"/>
    <w:rsid w:val="00025197"/>
    <w:rsid w:val="00026B89"/>
    <w:rsid w:val="00026BA8"/>
    <w:rsid w:val="00026E7C"/>
    <w:rsid w:val="0003048D"/>
    <w:rsid w:val="000323E2"/>
    <w:rsid w:val="00032971"/>
    <w:rsid w:val="00032E7B"/>
    <w:rsid w:val="000336D5"/>
    <w:rsid w:val="0003530F"/>
    <w:rsid w:val="00035ABB"/>
    <w:rsid w:val="00036A8A"/>
    <w:rsid w:val="00037859"/>
    <w:rsid w:val="00037FDD"/>
    <w:rsid w:val="00040116"/>
    <w:rsid w:val="00040704"/>
    <w:rsid w:val="00040C3A"/>
    <w:rsid w:val="00040CAA"/>
    <w:rsid w:val="000419EC"/>
    <w:rsid w:val="00041A9E"/>
    <w:rsid w:val="00042047"/>
    <w:rsid w:val="00042F36"/>
    <w:rsid w:val="00044FF2"/>
    <w:rsid w:val="00046B0A"/>
    <w:rsid w:val="000502D6"/>
    <w:rsid w:val="00051900"/>
    <w:rsid w:val="00052A3C"/>
    <w:rsid w:val="00053524"/>
    <w:rsid w:val="0005408F"/>
    <w:rsid w:val="00055F02"/>
    <w:rsid w:val="00057A4C"/>
    <w:rsid w:val="00060613"/>
    <w:rsid w:val="0006120A"/>
    <w:rsid w:val="000619EB"/>
    <w:rsid w:val="00061F39"/>
    <w:rsid w:val="00062759"/>
    <w:rsid w:val="0006341D"/>
    <w:rsid w:val="000639C0"/>
    <w:rsid w:val="00063BBD"/>
    <w:rsid w:val="0006503C"/>
    <w:rsid w:val="000657A2"/>
    <w:rsid w:val="000661F6"/>
    <w:rsid w:val="00067A50"/>
    <w:rsid w:val="00070F3A"/>
    <w:rsid w:val="000716C5"/>
    <w:rsid w:val="00072EFA"/>
    <w:rsid w:val="00074E9C"/>
    <w:rsid w:val="00075E23"/>
    <w:rsid w:val="00076107"/>
    <w:rsid w:val="00076D53"/>
    <w:rsid w:val="00076DBF"/>
    <w:rsid w:val="0008072E"/>
    <w:rsid w:val="00081877"/>
    <w:rsid w:val="00082453"/>
    <w:rsid w:val="00082A7E"/>
    <w:rsid w:val="00082F93"/>
    <w:rsid w:val="0008315C"/>
    <w:rsid w:val="00087414"/>
    <w:rsid w:val="00090134"/>
    <w:rsid w:val="000924A4"/>
    <w:rsid w:val="00092F32"/>
    <w:rsid w:val="0009344A"/>
    <w:rsid w:val="000945E7"/>
    <w:rsid w:val="000958A1"/>
    <w:rsid w:val="00095DCB"/>
    <w:rsid w:val="00096A51"/>
    <w:rsid w:val="00097C37"/>
    <w:rsid w:val="000A02FB"/>
    <w:rsid w:val="000A036A"/>
    <w:rsid w:val="000A2434"/>
    <w:rsid w:val="000A25C5"/>
    <w:rsid w:val="000A2F9C"/>
    <w:rsid w:val="000A575F"/>
    <w:rsid w:val="000A57AB"/>
    <w:rsid w:val="000A751A"/>
    <w:rsid w:val="000B0142"/>
    <w:rsid w:val="000B0197"/>
    <w:rsid w:val="000B04D5"/>
    <w:rsid w:val="000B15EA"/>
    <w:rsid w:val="000B34E0"/>
    <w:rsid w:val="000B36CB"/>
    <w:rsid w:val="000B36EF"/>
    <w:rsid w:val="000B3711"/>
    <w:rsid w:val="000B3F55"/>
    <w:rsid w:val="000B5FE3"/>
    <w:rsid w:val="000B6630"/>
    <w:rsid w:val="000B7F42"/>
    <w:rsid w:val="000C1897"/>
    <w:rsid w:val="000C1943"/>
    <w:rsid w:val="000C1BB5"/>
    <w:rsid w:val="000C2B49"/>
    <w:rsid w:val="000C2D01"/>
    <w:rsid w:val="000C2F99"/>
    <w:rsid w:val="000C3A4A"/>
    <w:rsid w:val="000C3DE0"/>
    <w:rsid w:val="000C5B81"/>
    <w:rsid w:val="000C69AE"/>
    <w:rsid w:val="000C7A2A"/>
    <w:rsid w:val="000D0177"/>
    <w:rsid w:val="000D0E45"/>
    <w:rsid w:val="000D10DB"/>
    <w:rsid w:val="000D16D6"/>
    <w:rsid w:val="000D2526"/>
    <w:rsid w:val="000D256A"/>
    <w:rsid w:val="000D281C"/>
    <w:rsid w:val="000D2F63"/>
    <w:rsid w:val="000D3D85"/>
    <w:rsid w:val="000D4E33"/>
    <w:rsid w:val="000D50FF"/>
    <w:rsid w:val="000D6ABC"/>
    <w:rsid w:val="000D6EB2"/>
    <w:rsid w:val="000D7378"/>
    <w:rsid w:val="000E06D4"/>
    <w:rsid w:val="000E102A"/>
    <w:rsid w:val="000E117B"/>
    <w:rsid w:val="000E18B0"/>
    <w:rsid w:val="000E2074"/>
    <w:rsid w:val="000E3BDE"/>
    <w:rsid w:val="000E57F0"/>
    <w:rsid w:val="000E659D"/>
    <w:rsid w:val="000E6A1C"/>
    <w:rsid w:val="000E70E4"/>
    <w:rsid w:val="000E713A"/>
    <w:rsid w:val="000E71FC"/>
    <w:rsid w:val="000E7222"/>
    <w:rsid w:val="000F1833"/>
    <w:rsid w:val="000F25F7"/>
    <w:rsid w:val="000F2E50"/>
    <w:rsid w:val="000F2F44"/>
    <w:rsid w:val="000F36F9"/>
    <w:rsid w:val="000F5BB5"/>
    <w:rsid w:val="000F6106"/>
    <w:rsid w:val="000F6266"/>
    <w:rsid w:val="000F6446"/>
    <w:rsid w:val="000F6651"/>
    <w:rsid w:val="00100351"/>
    <w:rsid w:val="00102BE3"/>
    <w:rsid w:val="00103E70"/>
    <w:rsid w:val="0010693D"/>
    <w:rsid w:val="00110B65"/>
    <w:rsid w:val="001115FF"/>
    <w:rsid w:val="00111AD4"/>
    <w:rsid w:val="0011319F"/>
    <w:rsid w:val="0011439C"/>
    <w:rsid w:val="001150FB"/>
    <w:rsid w:val="0011537D"/>
    <w:rsid w:val="001174D0"/>
    <w:rsid w:val="001202AD"/>
    <w:rsid w:val="00120C4E"/>
    <w:rsid w:val="001228BE"/>
    <w:rsid w:val="00123165"/>
    <w:rsid w:val="001234B6"/>
    <w:rsid w:val="00124D8B"/>
    <w:rsid w:val="00124F1C"/>
    <w:rsid w:val="00125142"/>
    <w:rsid w:val="0012540C"/>
    <w:rsid w:val="0013104F"/>
    <w:rsid w:val="001317F4"/>
    <w:rsid w:val="00132403"/>
    <w:rsid w:val="001326AD"/>
    <w:rsid w:val="00134A2B"/>
    <w:rsid w:val="001355FD"/>
    <w:rsid w:val="00137EBA"/>
    <w:rsid w:val="0014029B"/>
    <w:rsid w:val="00140430"/>
    <w:rsid w:val="00140618"/>
    <w:rsid w:val="001406F6"/>
    <w:rsid w:val="00140A61"/>
    <w:rsid w:val="001419C0"/>
    <w:rsid w:val="00142924"/>
    <w:rsid w:val="0014293B"/>
    <w:rsid w:val="001429F8"/>
    <w:rsid w:val="0014321B"/>
    <w:rsid w:val="00143A77"/>
    <w:rsid w:val="00144B31"/>
    <w:rsid w:val="0014547B"/>
    <w:rsid w:val="001459FA"/>
    <w:rsid w:val="00145EDC"/>
    <w:rsid w:val="0014605E"/>
    <w:rsid w:val="00146796"/>
    <w:rsid w:val="00147239"/>
    <w:rsid w:val="00147482"/>
    <w:rsid w:val="00147688"/>
    <w:rsid w:val="00147DFA"/>
    <w:rsid w:val="00147E58"/>
    <w:rsid w:val="00150370"/>
    <w:rsid w:val="001504FF"/>
    <w:rsid w:val="00150D3F"/>
    <w:rsid w:val="0015100A"/>
    <w:rsid w:val="00151783"/>
    <w:rsid w:val="00153D79"/>
    <w:rsid w:val="00153EB4"/>
    <w:rsid w:val="00156C1F"/>
    <w:rsid w:val="00156CE5"/>
    <w:rsid w:val="00157A7B"/>
    <w:rsid w:val="001628E5"/>
    <w:rsid w:val="00163026"/>
    <w:rsid w:val="001632EE"/>
    <w:rsid w:val="00164067"/>
    <w:rsid w:val="0016640F"/>
    <w:rsid w:val="00167A34"/>
    <w:rsid w:val="0017179E"/>
    <w:rsid w:val="00172231"/>
    <w:rsid w:val="00172974"/>
    <w:rsid w:val="00173969"/>
    <w:rsid w:val="0017487C"/>
    <w:rsid w:val="00174A94"/>
    <w:rsid w:val="0018037F"/>
    <w:rsid w:val="001809A2"/>
    <w:rsid w:val="00180CBA"/>
    <w:rsid w:val="00181D44"/>
    <w:rsid w:val="001830FA"/>
    <w:rsid w:val="001837B2"/>
    <w:rsid w:val="00183AA4"/>
    <w:rsid w:val="00184168"/>
    <w:rsid w:val="001842D6"/>
    <w:rsid w:val="001857F6"/>
    <w:rsid w:val="00186D08"/>
    <w:rsid w:val="00187CC4"/>
    <w:rsid w:val="001908A6"/>
    <w:rsid w:val="0019326D"/>
    <w:rsid w:val="00193EE6"/>
    <w:rsid w:val="00195B32"/>
    <w:rsid w:val="00195E50"/>
    <w:rsid w:val="00196C5F"/>
    <w:rsid w:val="00197680"/>
    <w:rsid w:val="001978E8"/>
    <w:rsid w:val="00197A84"/>
    <w:rsid w:val="001A064D"/>
    <w:rsid w:val="001A29A9"/>
    <w:rsid w:val="001A329E"/>
    <w:rsid w:val="001A352E"/>
    <w:rsid w:val="001A42C8"/>
    <w:rsid w:val="001A44AE"/>
    <w:rsid w:val="001A4762"/>
    <w:rsid w:val="001A531A"/>
    <w:rsid w:val="001A5531"/>
    <w:rsid w:val="001A5BB7"/>
    <w:rsid w:val="001A5F27"/>
    <w:rsid w:val="001A6C1E"/>
    <w:rsid w:val="001A7169"/>
    <w:rsid w:val="001A7870"/>
    <w:rsid w:val="001B0C08"/>
    <w:rsid w:val="001B0CFB"/>
    <w:rsid w:val="001B1B88"/>
    <w:rsid w:val="001B3FC7"/>
    <w:rsid w:val="001B5CD6"/>
    <w:rsid w:val="001B66B4"/>
    <w:rsid w:val="001B77AD"/>
    <w:rsid w:val="001B7900"/>
    <w:rsid w:val="001C0576"/>
    <w:rsid w:val="001C0FA1"/>
    <w:rsid w:val="001C1B41"/>
    <w:rsid w:val="001C1DBF"/>
    <w:rsid w:val="001C2A73"/>
    <w:rsid w:val="001C2CDD"/>
    <w:rsid w:val="001C30A1"/>
    <w:rsid w:val="001C3D1C"/>
    <w:rsid w:val="001C5871"/>
    <w:rsid w:val="001C6DB2"/>
    <w:rsid w:val="001C6FDA"/>
    <w:rsid w:val="001C7DCC"/>
    <w:rsid w:val="001D0B22"/>
    <w:rsid w:val="001D1767"/>
    <w:rsid w:val="001D194F"/>
    <w:rsid w:val="001D222F"/>
    <w:rsid w:val="001D2F49"/>
    <w:rsid w:val="001D4E90"/>
    <w:rsid w:val="001D63B7"/>
    <w:rsid w:val="001D6C58"/>
    <w:rsid w:val="001D7D55"/>
    <w:rsid w:val="001E3F57"/>
    <w:rsid w:val="001E467F"/>
    <w:rsid w:val="001E5479"/>
    <w:rsid w:val="001E598F"/>
    <w:rsid w:val="001E6597"/>
    <w:rsid w:val="001E7A03"/>
    <w:rsid w:val="001F0BE4"/>
    <w:rsid w:val="001F1182"/>
    <w:rsid w:val="001F170A"/>
    <w:rsid w:val="001F2CC1"/>
    <w:rsid w:val="001F388D"/>
    <w:rsid w:val="001F425E"/>
    <w:rsid w:val="001F5C3F"/>
    <w:rsid w:val="001F607A"/>
    <w:rsid w:val="001F6D41"/>
    <w:rsid w:val="002008AC"/>
    <w:rsid w:val="002035F0"/>
    <w:rsid w:val="00204A1F"/>
    <w:rsid w:val="00204EAB"/>
    <w:rsid w:val="00205FCD"/>
    <w:rsid w:val="0020652A"/>
    <w:rsid w:val="00206D11"/>
    <w:rsid w:val="00207440"/>
    <w:rsid w:val="00210625"/>
    <w:rsid w:val="00210E0E"/>
    <w:rsid w:val="00211D84"/>
    <w:rsid w:val="002137DF"/>
    <w:rsid w:val="00213B29"/>
    <w:rsid w:val="00215086"/>
    <w:rsid w:val="0021539F"/>
    <w:rsid w:val="00216AED"/>
    <w:rsid w:val="00217367"/>
    <w:rsid w:val="00220C18"/>
    <w:rsid w:val="0022344C"/>
    <w:rsid w:val="002259F3"/>
    <w:rsid w:val="00225A0D"/>
    <w:rsid w:val="002262A4"/>
    <w:rsid w:val="00230F7D"/>
    <w:rsid w:val="0023140A"/>
    <w:rsid w:val="002318EC"/>
    <w:rsid w:val="002329DD"/>
    <w:rsid w:val="0023341C"/>
    <w:rsid w:val="002335CF"/>
    <w:rsid w:val="002339D1"/>
    <w:rsid w:val="002358B9"/>
    <w:rsid w:val="002359D4"/>
    <w:rsid w:val="00237A53"/>
    <w:rsid w:val="0024049C"/>
    <w:rsid w:val="00240C7A"/>
    <w:rsid w:val="00240FB4"/>
    <w:rsid w:val="00241918"/>
    <w:rsid w:val="00242725"/>
    <w:rsid w:val="002436D5"/>
    <w:rsid w:val="002442B0"/>
    <w:rsid w:val="002444BF"/>
    <w:rsid w:val="002467BE"/>
    <w:rsid w:val="00247403"/>
    <w:rsid w:val="00247542"/>
    <w:rsid w:val="002476A8"/>
    <w:rsid w:val="002500D2"/>
    <w:rsid w:val="002501B4"/>
    <w:rsid w:val="002511E6"/>
    <w:rsid w:val="0025124E"/>
    <w:rsid w:val="0025217B"/>
    <w:rsid w:val="00252AB0"/>
    <w:rsid w:val="00253A46"/>
    <w:rsid w:val="00253A89"/>
    <w:rsid w:val="002548A7"/>
    <w:rsid w:val="002560BF"/>
    <w:rsid w:val="00256127"/>
    <w:rsid w:val="002561B5"/>
    <w:rsid w:val="00256330"/>
    <w:rsid w:val="002565EB"/>
    <w:rsid w:val="00256D00"/>
    <w:rsid w:val="002570BF"/>
    <w:rsid w:val="00257893"/>
    <w:rsid w:val="0026415C"/>
    <w:rsid w:val="00264481"/>
    <w:rsid w:val="00264779"/>
    <w:rsid w:val="002654D3"/>
    <w:rsid w:val="00266092"/>
    <w:rsid w:val="00266B61"/>
    <w:rsid w:val="0026712A"/>
    <w:rsid w:val="00267627"/>
    <w:rsid w:val="002704DB"/>
    <w:rsid w:val="00270759"/>
    <w:rsid w:val="0027078C"/>
    <w:rsid w:val="002713FB"/>
    <w:rsid w:val="00271C23"/>
    <w:rsid w:val="00272760"/>
    <w:rsid w:val="00272871"/>
    <w:rsid w:val="00272A82"/>
    <w:rsid w:val="00272B47"/>
    <w:rsid w:val="00272F5D"/>
    <w:rsid w:val="00273046"/>
    <w:rsid w:val="002739C7"/>
    <w:rsid w:val="00273DAB"/>
    <w:rsid w:val="00274425"/>
    <w:rsid w:val="002754E5"/>
    <w:rsid w:val="0027605E"/>
    <w:rsid w:val="00276070"/>
    <w:rsid w:val="0027608E"/>
    <w:rsid w:val="00276DBD"/>
    <w:rsid w:val="00276E15"/>
    <w:rsid w:val="00280E62"/>
    <w:rsid w:val="00281B2B"/>
    <w:rsid w:val="002821F1"/>
    <w:rsid w:val="00282B4F"/>
    <w:rsid w:val="002835AF"/>
    <w:rsid w:val="002836C5"/>
    <w:rsid w:val="00283ADC"/>
    <w:rsid w:val="0028402A"/>
    <w:rsid w:val="00284133"/>
    <w:rsid w:val="00291372"/>
    <w:rsid w:val="00293F50"/>
    <w:rsid w:val="00294C79"/>
    <w:rsid w:val="002952A5"/>
    <w:rsid w:val="00295722"/>
    <w:rsid w:val="00295935"/>
    <w:rsid w:val="00296A64"/>
    <w:rsid w:val="002A0502"/>
    <w:rsid w:val="002A1B13"/>
    <w:rsid w:val="002A26D5"/>
    <w:rsid w:val="002A2D3E"/>
    <w:rsid w:val="002A4709"/>
    <w:rsid w:val="002A52C4"/>
    <w:rsid w:val="002A57E1"/>
    <w:rsid w:val="002A6506"/>
    <w:rsid w:val="002A6F9E"/>
    <w:rsid w:val="002A7AC3"/>
    <w:rsid w:val="002B0113"/>
    <w:rsid w:val="002B01DA"/>
    <w:rsid w:val="002B11A4"/>
    <w:rsid w:val="002B1947"/>
    <w:rsid w:val="002B1A8C"/>
    <w:rsid w:val="002B2A9B"/>
    <w:rsid w:val="002B3805"/>
    <w:rsid w:val="002B3DDF"/>
    <w:rsid w:val="002B3F8F"/>
    <w:rsid w:val="002B5E15"/>
    <w:rsid w:val="002B6875"/>
    <w:rsid w:val="002B7385"/>
    <w:rsid w:val="002C04A3"/>
    <w:rsid w:val="002C0705"/>
    <w:rsid w:val="002C1163"/>
    <w:rsid w:val="002C1460"/>
    <w:rsid w:val="002C1641"/>
    <w:rsid w:val="002C29A6"/>
    <w:rsid w:val="002C4F20"/>
    <w:rsid w:val="002C53E5"/>
    <w:rsid w:val="002C5A0C"/>
    <w:rsid w:val="002C6F97"/>
    <w:rsid w:val="002C7CE2"/>
    <w:rsid w:val="002D03FB"/>
    <w:rsid w:val="002D059B"/>
    <w:rsid w:val="002D0FA9"/>
    <w:rsid w:val="002D11C8"/>
    <w:rsid w:val="002D20AB"/>
    <w:rsid w:val="002D3095"/>
    <w:rsid w:val="002D3911"/>
    <w:rsid w:val="002D486E"/>
    <w:rsid w:val="002D61EE"/>
    <w:rsid w:val="002D7EA2"/>
    <w:rsid w:val="002E0301"/>
    <w:rsid w:val="002E03B5"/>
    <w:rsid w:val="002E0749"/>
    <w:rsid w:val="002E15DF"/>
    <w:rsid w:val="002E187C"/>
    <w:rsid w:val="002E4973"/>
    <w:rsid w:val="002E4B7B"/>
    <w:rsid w:val="002E4EFA"/>
    <w:rsid w:val="002E6E57"/>
    <w:rsid w:val="002E6FED"/>
    <w:rsid w:val="002E7643"/>
    <w:rsid w:val="002E76C1"/>
    <w:rsid w:val="002E78EA"/>
    <w:rsid w:val="002F057F"/>
    <w:rsid w:val="002F10EF"/>
    <w:rsid w:val="002F14DD"/>
    <w:rsid w:val="002F1B40"/>
    <w:rsid w:val="002F1C24"/>
    <w:rsid w:val="002F2293"/>
    <w:rsid w:val="002F25D5"/>
    <w:rsid w:val="002F4125"/>
    <w:rsid w:val="002F4475"/>
    <w:rsid w:val="002F5131"/>
    <w:rsid w:val="002F5539"/>
    <w:rsid w:val="002F67A4"/>
    <w:rsid w:val="002F6B2A"/>
    <w:rsid w:val="002F7928"/>
    <w:rsid w:val="002F7B10"/>
    <w:rsid w:val="00301075"/>
    <w:rsid w:val="00302733"/>
    <w:rsid w:val="00302CF1"/>
    <w:rsid w:val="0030503A"/>
    <w:rsid w:val="0030658D"/>
    <w:rsid w:val="003070FE"/>
    <w:rsid w:val="00310EEA"/>
    <w:rsid w:val="00311A4F"/>
    <w:rsid w:val="003130DE"/>
    <w:rsid w:val="00313AC1"/>
    <w:rsid w:val="00313E75"/>
    <w:rsid w:val="00313FA0"/>
    <w:rsid w:val="00314078"/>
    <w:rsid w:val="0031599D"/>
    <w:rsid w:val="00316A74"/>
    <w:rsid w:val="00320127"/>
    <w:rsid w:val="003206A2"/>
    <w:rsid w:val="00320AA6"/>
    <w:rsid w:val="00320BF2"/>
    <w:rsid w:val="003211E3"/>
    <w:rsid w:val="003214DD"/>
    <w:rsid w:val="0032218D"/>
    <w:rsid w:val="00322450"/>
    <w:rsid w:val="00322B93"/>
    <w:rsid w:val="00322C44"/>
    <w:rsid w:val="003230B6"/>
    <w:rsid w:val="00323F57"/>
    <w:rsid w:val="00324159"/>
    <w:rsid w:val="003246B5"/>
    <w:rsid w:val="0032514F"/>
    <w:rsid w:val="003251A1"/>
    <w:rsid w:val="00325C49"/>
    <w:rsid w:val="003268AF"/>
    <w:rsid w:val="00327D61"/>
    <w:rsid w:val="003300AA"/>
    <w:rsid w:val="00330680"/>
    <w:rsid w:val="0033169F"/>
    <w:rsid w:val="00332CEA"/>
    <w:rsid w:val="00332DA6"/>
    <w:rsid w:val="00333D71"/>
    <w:rsid w:val="00333F6E"/>
    <w:rsid w:val="00334E8E"/>
    <w:rsid w:val="00335F6C"/>
    <w:rsid w:val="00336A73"/>
    <w:rsid w:val="00336F61"/>
    <w:rsid w:val="00337776"/>
    <w:rsid w:val="00337A64"/>
    <w:rsid w:val="003405E3"/>
    <w:rsid w:val="00340886"/>
    <w:rsid w:val="003414AC"/>
    <w:rsid w:val="00341924"/>
    <w:rsid w:val="00341A97"/>
    <w:rsid w:val="00341BCF"/>
    <w:rsid w:val="00341DDC"/>
    <w:rsid w:val="003422A8"/>
    <w:rsid w:val="0034280D"/>
    <w:rsid w:val="003428DC"/>
    <w:rsid w:val="00342923"/>
    <w:rsid w:val="0034305D"/>
    <w:rsid w:val="00343A10"/>
    <w:rsid w:val="0034415A"/>
    <w:rsid w:val="00344194"/>
    <w:rsid w:val="00344216"/>
    <w:rsid w:val="0034422F"/>
    <w:rsid w:val="0034424D"/>
    <w:rsid w:val="003465F9"/>
    <w:rsid w:val="00346995"/>
    <w:rsid w:val="00346A0B"/>
    <w:rsid w:val="00347125"/>
    <w:rsid w:val="00350FA7"/>
    <w:rsid w:val="0035206C"/>
    <w:rsid w:val="003525BE"/>
    <w:rsid w:val="0035612E"/>
    <w:rsid w:val="00356185"/>
    <w:rsid w:val="003563CF"/>
    <w:rsid w:val="00360380"/>
    <w:rsid w:val="00362263"/>
    <w:rsid w:val="003628BC"/>
    <w:rsid w:val="003644B3"/>
    <w:rsid w:val="00365CCA"/>
    <w:rsid w:val="00365FCB"/>
    <w:rsid w:val="003703A0"/>
    <w:rsid w:val="00372598"/>
    <w:rsid w:val="00375790"/>
    <w:rsid w:val="00377AE0"/>
    <w:rsid w:val="003826AF"/>
    <w:rsid w:val="00382760"/>
    <w:rsid w:val="00382833"/>
    <w:rsid w:val="0038374B"/>
    <w:rsid w:val="00383D2A"/>
    <w:rsid w:val="00384895"/>
    <w:rsid w:val="003865E3"/>
    <w:rsid w:val="00386CF0"/>
    <w:rsid w:val="0038724C"/>
    <w:rsid w:val="003875BE"/>
    <w:rsid w:val="00390489"/>
    <w:rsid w:val="00390AFE"/>
    <w:rsid w:val="00391118"/>
    <w:rsid w:val="00391D56"/>
    <w:rsid w:val="00392749"/>
    <w:rsid w:val="003929EF"/>
    <w:rsid w:val="00393088"/>
    <w:rsid w:val="00393BE6"/>
    <w:rsid w:val="00394A41"/>
    <w:rsid w:val="00394D17"/>
    <w:rsid w:val="00395423"/>
    <w:rsid w:val="003954ED"/>
    <w:rsid w:val="0039573E"/>
    <w:rsid w:val="00395B1F"/>
    <w:rsid w:val="003964DD"/>
    <w:rsid w:val="003A252F"/>
    <w:rsid w:val="003A2BE8"/>
    <w:rsid w:val="003A39AD"/>
    <w:rsid w:val="003A3C72"/>
    <w:rsid w:val="003A4B05"/>
    <w:rsid w:val="003A4C90"/>
    <w:rsid w:val="003A4D1F"/>
    <w:rsid w:val="003A4D59"/>
    <w:rsid w:val="003A58B5"/>
    <w:rsid w:val="003A5C60"/>
    <w:rsid w:val="003A5F58"/>
    <w:rsid w:val="003A72CA"/>
    <w:rsid w:val="003B2938"/>
    <w:rsid w:val="003B2A0D"/>
    <w:rsid w:val="003B3F4A"/>
    <w:rsid w:val="003B6832"/>
    <w:rsid w:val="003C015D"/>
    <w:rsid w:val="003C020F"/>
    <w:rsid w:val="003C03BE"/>
    <w:rsid w:val="003C0B09"/>
    <w:rsid w:val="003C1439"/>
    <w:rsid w:val="003C29FF"/>
    <w:rsid w:val="003C3246"/>
    <w:rsid w:val="003C32BC"/>
    <w:rsid w:val="003C3384"/>
    <w:rsid w:val="003C598C"/>
    <w:rsid w:val="003C5B0B"/>
    <w:rsid w:val="003C715C"/>
    <w:rsid w:val="003C74AF"/>
    <w:rsid w:val="003D128B"/>
    <w:rsid w:val="003D2909"/>
    <w:rsid w:val="003D2EEC"/>
    <w:rsid w:val="003D3671"/>
    <w:rsid w:val="003D39C2"/>
    <w:rsid w:val="003D4D83"/>
    <w:rsid w:val="003D507E"/>
    <w:rsid w:val="003D6DC9"/>
    <w:rsid w:val="003E0249"/>
    <w:rsid w:val="003E055A"/>
    <w:rsid w:val="003E30A1"/>
    <w:rsid w:val="003E35FB"/>
    <w:rsid w:val="003E539A"/>
    <w:rsid w:val="003E5575"/>
    <w:rsid w:val="003E58A9"/>
    <w:rsid w:val="003E58E8"/>
    <w:rsid w:val="003E5907"/>
    <w:rsid w:val="003E5A81"/>
    <w:rsid w:val="003E5F97"/>
    <w:rsid w:val="003E5FCC"/>
    <w:rsid w:val="003F0FFA"/>
    <w:rsid w:val="003F12DC"/>
    <w:rsid w:val="003F1BBF"/>
    <w:rsid w:val="003F3D83"/>
    <w:rsid w:val="003F40CB"/>
    <w:rsid w:val="003F4159"/>
    <w:rsid w:val="004012DB"/>
    <w:rsid w:val="00402439"/>
    <w:rsid w:val="00402E2B"/>
    <w:rsid w:val="00403431"/>
    <w:rsid w:val="00403A14"/>
    <w:rsid w:val="00404880"/>
    <w:rsid w:val="00405DA9"/>
    <w:rsid w:val="004064BF"/>
    <w:rsid w:val="00406912"/>
    <w:rsid w:val="00406EB9"/>
    <w:rsid w:val="0040705C"/>
    <w:rsid w:val="00411A71"/>
    <w:rsid w:val="00412440"/>
    <w:rsid w:val="0041258E"/>
    <w:rsid w:val="00413B91"/>
    <w:rsid w:val="004140EA"/>
    <w:rsid w:val="00414235"/>
    <w:rsid w:val="0041513B"/>
    <w:rsid w:val="00415FFA"/>
    <w:rsid w:val="004164C6"/>
    <w:rsid w:val="004165C2"/>
    <w:rsid w:val="004201ED"/>
    <w:rsid w:val="004208D2"/>
    <w:rsid w:val="004216F6"/>
    <w:rsid w:val="00423265"/>
    <w:rsid w:val="004236DF"/>
    <w:rsid w:val="00423C0D"/>
    <w:rsid w:val="0042461A"/>
    <w:rsid w:val="00424DBE"/>
    <w:rsid w:val="0042598C"/>
    <w:rsid w:val="00425F71"/>
    <w:rsid w:val="00426448"/>
    <w:rsid w:val="0042665C"/>
    <w:rsid w:val="0042668D"/>
    <w:rsid w:val="0042748C"/>
    <w:rsid w:val="00430047"/>
    <w:rsid w:val="00430A63"/>
    <w:rsid w:val="004320E3"/>
    <w:rsid w:val="00432270"/>
    <w:rsid w:val="00433A61"/>
    <w:rsid w:val="004346C8"/>
    <w:rsid w:val="00434B80"/>
    <w:rsid w:val="0043700D"/>
    <w:rsid w:val="0043736E"/>
    <w:rsid w:val="0043743B"/>
    <w:rsid w:val="00441C4F"/>
    <w:rsid w:val="004421F1"/>
    <w:rsid w:val="00442B45"/>
    <w:rsid w:val="00443325"/>
    <w:rsid w:val="0044341C"/>
    <w:rsid w:val="00443973"/>
    <w:rsid w:val="00443C7B"/>
    <w:rsid w:val="004447CB"/>
    <w:rsid w:val="00446422"/>
    <w:rsid w:val="00446A79"/>
    <w:rsid w:val="0045019D"/>
    <w:rsid w:val="00450A4A"/>
    <w:rsid w:val="00450B40"/>
    <w:rsid w:val="004511D6"/>
    <w:rsid w:val="00451A20"/>
    <w:rsid w:val="0045543D"/>
    <w:rsid w:val="004558AD"/>
    <w:rsid w:val="004568AB"/>
    <w:rsid w:val="0045727D"/>
    <w:rsid w:val="004574B9"/>
    <w:rsid w:val="0045750F"/>
    <w:rsid w:val="00457BFD"/>
    <w:rsid w:val="00460E7B"/>
    <w:rsid w:val="0046153F"/>
    <w:rsid w:val="004626EF"/>
    <w:rsid w:val="004637CC"/>
    <w:rsid w:val="0046397C"/>
    <w:rsid w:val="00463E8D"/>
    <w:rsid w:val="0046587C"/>
    <w:rsid w:val="004665C7"/>
    <w:rsid w:val="004666FB"/>
    <w:rsid w:val="004667EB"/>
    <w:rsid w:val="004672D5"/>
    <w:rsid w:val="004678D9"/>
    <w:rsid w:val="00467B7E"/>
    <w:rsid w:val="00467EFB"/>
    <w:rsid w:val="004705B9"/>
    <w:rsid w:val="00470A43"/>
    <w:rsid w:val="004717CA"/>
    <w:rsid w:val="004722E0"/>
    <w:rsid w:val="00473E7B"/>
    <w:rsid w:val="0047532F"/>
    <w:rsid w:val="0047591B"/>
    <w:rsid w:val="00475DA4"/>
    <w:rsid w:val="0047656F"/>
    <w:rsid w:val="004772CC"/>
    <w:rsid w:val="00477525"/>
    <w:rsid w:val="0047789B"/>
    <w:rsid w:val="004813CD"/>
    <w:rsid w:val="0048149F"/>
    <w:rsid w:val="00481752"/>
    <w:rsid w:val="00482F1B"/>
    <w:rsid w:val="00483836"/>
    <w:rsid w:val="00483A49"/>
    <w:rsid w:val="00484A60"/>
    <w:rsid w:val="00484BE0"/>
    <w:rsid w:val="00484BFE"/>
    <w:rsid w:val="0048678A"/>
    <w:rsid w:val="004879D8"/>
    <w:rsid w:val="00490C58"/>
    <w:rsid w:val="004925B2"/>
    <w:rsid w:val="004925B9"/>
    <w:rsid w:val="00493A07"/>
    <w:rsid w:val="00493B4F"/>
    <w:rsid w:val="0049419D"/>
    <w:rsid w:val="004971A2"/>
    <w:rsid w:val="004978AD"/>
    <w:rsid w:val="00497BCB"/>
    <w:rsid w:val="004A0104"/>
    <w:rsid w:val="004A0A5A"/>
    <w:rsid w:val="004A0AC2"/>
    <w:rsid w:val="004A11EF"/>
    <w:rsid w:val="004A13AB"/>
    <w:rsid w:val="004A29CC"/>
    <w:rsid w:val="004A3AEA"/>
    <w:rsid w:val="004A412A"/>
    <w:rsid w:val="004A4820"/>
    <w:rsid w:val="004A5889"/>
    <w:rsid w:val="004A610E"/>
    <w:rsid w:val="004A7AC0"/>
    <w:rsid w:val="004A7CF8"/>
    <w:rsid w:val="004B2081"/>
    <w:rsid w:val="004B20F3"/>
    <w:rsid w:val="004B2762"/>
    <w:rsid w:val="004B3682"/>
    <w:rsid w:val="004B4FBB"/>
    <w:rsid w:val="004B7EB6"/>
    <w:rsid w:val="004C3374"/>
    <w:rsid w:val="004C3A6D"/>
    <w:rsid w:val="004C3FF8"/>
    <w:rsid w:val="004C4B62"/>
    <w:rsid w:val="004C4DB2"/>
    <w:rsid w:val="004C6022"/>
    <w:rsid w:val="004C61A4"/>
    <w:rsid w:val="004C6265"/>
    <w:rsid w:val="004C6458"/>
    <w:rsid w:val="004C6F35"/>
    <w:rsid w:val="004C7BF4"/>
    <w:rsid w:val="004D00EB"/>
    <w:rsid w:val="004D024E"/>
    <w:rsid w:val="004D0807"/>
    <w:rsid w:val="004D2260"/>
    <w:rsid w:val="004D3996"/>
    <w:rsid w:val="004D49B3"/>
    <w:rsid w:val="004D5A8B"/>
    <w:rsid w:val="004D5B9D"/>
    <w:rsid w:val="004D5E37"/>
    <w:rsid w:val="004D6025"/>
    <w:rsid w:val="004D6C22"/>
    <w:rsid w:val="004D6C3B"/>
    <w:rsid w:val="004D72BB"/>
    <w:rsid w:val="004D72BC"/>
    <w:rsid w:val="004E1193"/>
    <w:rsid w:val="004E1E59"/>
    <w:rsid w:val="004E1E88"/>
    <w:rsid w:val="004E1F1F"/>
    <w:rsid w:val="004E2408"/>
    <w:rsid w:val="004E2428"/>
    <w:rsid w:val="004E3383"/>
    <w:rsid w:val="004E3F81"/>
    <w:rsid w:val="004E6485"/>
    <w:rsid w:val="004F0E3A"/>
    <w:rsid w:val="004F11B1"/>
    <w:rsid w:val="004F17F7"/>
    <w:rsid w:val="004F1B35"/>
    <w:rsid w:val="004F2198"/>
    <w:rsid w:val="004F40F5"/>
    <w:rsid w:val="004F464B"/>
    <w:rsid w:val="004F4A3D"/>
    <w:rsid w:val="004F5F66"/>
    <w:rsid w:val="004F6B00"/>
    <w:rsid w:val="004F6C19"/>
    <w:rsid w:val="004F70F1"/>
    <w:rsid w:val="00501399"/>
    <w:rsid w:val="00502801"/>
    <w:rsid w:val="00503509"/>
    <w:rsid w:val="005045CB"/>
    <w:rsid w:val="005052A9"/>
    <w:rsid w:val="00505B8B"/>
    <w:rsid w:val="00505DCB"/>
    <w:rsid w:val="005060B8"/>
    <w:rsid w:val="00506256"/>
    <w:rsid w:val="0050789B"/>
    <w:rsid w:val="00507BC4"/>
    <w:rsid w:val="00510D6D"/>
    <w:rsid w:val="005128E4"/>
    <w:rsid w:val="00513F4F"/>
    <w:rsid w:val="00514642"/>
    <w:rsid w:val="00514F20"/>
    <w:rsid w:val="005171AD"/>
    <w:rsid w:val="005171FE"/>
    <w:rsid w:val="00523A54"/>
    <w:rsid w:val="005244F2"/>
    <w:rsid w:val="005250FB"/>
    <w:rsid w:val="00525560"/>
    <w:rsid w:val="00526347"/>
    <w:rsid w:val="005269B6"/>
    <w:rsid w:val="00527577"/>
    <w:rsid w:val="00527E41"/>
    <w:rsid w:val="00527E5A"/>
    <w:rsid w:val="00531546"/>
    <w:rsid w:val="00532540"/>
    <w:rsid w:val="005357A6"/>
    <w:rsid w:val="00535EB3"/>
    <w:rsid w:val="00536905"/>
    <w:rsid w:val="00536F24"/>
    <w:rsid w:val="00540937"/>
    <w:rsid w:val="0054123F"/>
    <w:rsid w:val="00541DD5"/>
    <w:rsid w:val="00541E2E"/>
    <w:rsid w:val="005421D3"/>
    <w:rsid w:val="00544C49"/>
    <w:rsid w:val="0054521E"/>
    <w:rsid w:val="005452CD"/>
    <w:rsid w:val="00545349"/>
    <w:rsid w:val="00546AD7"/>
    <w:rsid w:val="00547132"/>
    <w:rsid w:val="00547279"/>
    <w:rsid w:val="00547E38"/>
    <w:rsid w:val="0055009E"/>
    <w:rsid w:val="005500BD"/>
    <w:rsid w:val="005502CD"/>
    <w:rsid w:val="00550A94"/>
    <w:rsid w:val="00551608"/>
    <w:rsid w:val="00551BFB"/>
    <w:rsid w:val="00554394"/>
    <w:rsid w:val="0055722F"/>
    <w:rsid w:val="0056241C"/>
    <w:rsid w:val="00563AB5"/>
    <w:rsid w:val="0056481B"/>
    <w:rsid w:val="00565064"/>
    <w:rsid w:val="0056639F"/>
    <w:rsid w:val="005666A0"/>
    <w:rsid w:val="005676E9"/>
    <w:rsid w:val="00567DAE"/>
    <w:rsid w:val="00567F52"/>
    <w:rsid w:val="00570E11"/>
    <w:rsid w:val="00570E1E"/>
    <w:rsid w:val="0057285B"/>
    <w:rsid w:val="00573065"/>
    <w:rsid w:val="0057402A"/>
    <w:rsid w:val="0057512A"/>
    <w:rsid w:val="0057563D"/>
    <w:rsid w:val="00575723"/>
    <w:rsid w:val="00575BCD"/>
    <w:rsid w:val="00576715"/>
    <w:rsid w:val="00577118"/>
    <w:rsid w:val="005771D0"/>
    <w:rsid w:val="00580299"/>
    <w:rsid w:val="00581999"/>
    <w:rsid w:val="00582C30"/>
    <w:rsid w:val="00582CE1"/>
    <w:rsid w:val="00582F56"/>
    <w:rsid w:val="00584E4B"/>
    <w:rsid w:val="00584FFE"/>
    <w:rsid w:val="00585359"/>
    <w:rsid w:val="005866CB"/>
    <w:rsid w:val="00586C49"/>
    <w:rsid w:val="00586C8D"/>
    <w:rsid w:val="00587057"/>
    <w:rsid w:val="0059191A"/>
    <w:rsid w:val="00591DE0"/>
    <w:rsid w:val="005921FF"/>
    <w:rsid w:val="0059286B"/>
    <w:rsid w:val="00592EDD"/>
    <w:rsid w:val="00593D45"/>
    <w:rsid w:val="00594289"/>
    <w:rsid w:val="00595E23"/>
    <w:rsid w:val="005971B1"/>
    <w:rsid w:val="005976B2"/>
    <w:rsid w:val="005A0A7A"/>
    <w:rsid w:val="005A1489"/>
    <w:rsid w:val="005A14E6"/>
    <w:rsid w:val="005A25CA"/>
    <w:rsid w:val="005A2E2E"/>
    <w:rsid w:val="005A49FA"/>
    <w:rsid w:val="005A6D0E"/>
    <w:rsid w:val="005A6FE0"/>
    <w:rsid w:val="005A7554"/>
    <w:rsid w:val="005B0014"/>
    <w:rsid w:val="005B012F"/>
    <w:rsid w:val="005B146C"/>
    <w:rsid w:val="005B1D55"/>
    <w:rsid w:val="005B222D"/>
    <w:rsid w:val="005B23E1"/>
    <w:rsid w:val="005B2B35"/>
    <w:rsid w:val="005B335F"/>
    <w:rsid w:val="005B42CF"/>
    <w:rsid w:val="005B4954"/>
    <w:rsid w:val="005B52B0"/>
    <w:rsid w:val="005B6334"/>
    <w:rsid w:val="005B6806"/>
    <w:rsid w:val="005B69E8"/>
    <w:rsid w:val="005B6D96"/>
    <w:rsid w:val="005C00F9"/>
    <w:rsid w:val="005C05C4"/>
    <w:rsid w:val="005C15C7"/>
    <w:rsid w:val="005C4225"/>
    <w:rsid w:val="005C5582"/>
    <w:rsid w:val="005C565C"/>
    <w:rsid w:val="005C7DF7"/>
    <w:rsid w:val="005D0297"/>
    <w:rsid w:val="005D0368"/>
    <w:rsid w:val="005D0512"/>
    <w:rsid w:val="005D3645"/>
    <w:rsid w:val="005D3BEC"/>
    <w:rsid w:val="005D59CC"/>
    <w:rsid w:val="005E187D"/>
    <w:rsid w:val="005E2735"/>
    <w:rsid w:val="005E6BD7"/>
    <w:rsid w:val="005E7C55"/>
    <w:rsid w:val="005F0F33"/>
    <w:rsid w:val="005F18F4"/>
    <w:rsid w:val="005F2218"/>
    <w:rsid w:val="005F2E3C"/>
    <w:rsid w:val="005F2F83"/>
    <w:rsid w:val="005F442F"/>
    <w:rsid w:val="005F4AFB"/>
    <w:rsid w:val="0060022C"/>
    <w:rsid w:val="00600296"/>
    <w:rsid w:val="00600DEB"/>
    <w:rsid w:val="00600F8F"/>
    <w:rsid w:val="00600FA9"/>
    <w:rsid w:val="006012D0"/>
    <w:rsid w:val="00601CAE"/>
    <w:rsid w:val="006031DC"/>
    <w:rsid w:val="00603DC3"/>
    <w:rsid w:val="00612693"/>
    <w:rsid w:val="00613027"/>
    <w:rsid w:val="006135AB"/>
    <w:rsid w:val="00615259"/>
    <w:rsid w:val="006153FF"/>
    <w:rsid w:val="00615E21"/>
    <w:rsid w:val="006171D6"/>
    <w:rsid w:val="00617579"/>
    <w:rsid w:val="00617621"/>
    <w:rsid w:val="00617F28"/>
    <w:rsid w:val="00620CFD"/>
    <w:rsid w:val="00621281"/>
    <w:rsid w:val="006213C3"/>
    <w:rsid w:val="00621E6A"/>
    <w:rsid w:val="00622DE3"/>
    <w:rsid w:val="0062334C"/>
    <w:rsid w:val="00623695"/>
    <w:rsid w:val="00623F91"/>
    <w:rsid w:val="0062505C"/>
    <w:rsid w:val="00625C1A"/>
    <w:rsid w:val="00627C9F"/>
    <w:rsid w:val="0063034F"/>
    <w:rsid w:val="006309C6"/>
    <w:rsid w:val="00630A32"/>
    <w:rsid w:val="006311DA"/>
    <w:rsid w:val="006311E9"/>
    <w:rsid w:val="0063162A"/>
    <w:rsid w:val="00632354"/>
    <w:rsid w:val="00633D91"/>
    <w:rsid w:val="00633E36"/>
    <w:rsid w:val="006341B4"/>
    <w:rsid w:val="00634453"/>
    <w:rsid w:val="00634F0F"/>
    <w:rsid w:val="006354E2"/>
    <w:rsid w:val="00636194"/>
    <w:rsid w:val="0063711C"/>
    <w:rsid w:val="00637CA8"/>
    <w:rsid w:val="00641CEE"/>
    <w:rsid w:val="006422C6"/>
    <w:rsid w:val="0064269D"/>
    <w:rsid w:val="00642810"/>
    <w:rsid w:val="00642C7E"/>
    <w:rsid w:val="00642CD9"/>
    <w:rsid w:val="00644BC6"/>
    <w:rsid w:val="00647B74"/>
    <w:rsid w:val="006500FE"/>
    <w:rsid w:val="00650A48"/>
    <w:rsid w:val="00650E6A"/>
    <w:rsid w:val="00651FD4"/>
    <w:rsid w:val="00652333"/>
    <w:rsid w:val="006526FF"/>
    <w:rsid w:val="006533CB"/>
    <w:rsid w:val="006544FC"/>
    <w:rsid w:val="006549FB"/>
    <w:rsid w:val="006558B9"/>
    <w:rsid w:val="00655EFD"/>
    <w:rsid w:val="00656966"/>
    <w:rsid w:val="0065698F"/>
    <w:rsid w:val="00660E80"/>
    <w:rsid w:val="0066126A"/>
    <w:rsid w:val="0066126E"/>
    <w:rsid w:val="00661F44"/>
    <w:rsid w:val="00663384"/>
    <w:rsid w:val="00663966"/>
    <w:rsid w:val="0066510F"/>
    <w:rsid w:val="00666266"/>
    <w:rsid w:val="006665DA"/>
    <w:rsid w:val="00666AEE"/>
    <w:rsid w:val="0066752B"/>
    <w:rsid w:val="0066798B"/>
    <w:rsid w:val="006704AC"/>
    <w:rsid w:val="00670706"/>
    <w:rsid w:val="00671496"/>
    <w:rsid w:val="00671777"/>
    <w:rsid w:val="00672B33"/>
    <w:rsid w:val="00672F7E"/>
    <w:rsid w:val="00673759"/>
    <w:rsid w:val="00674823"/>
    <w:rsid w:val="006756F3"/>
    <w:rsid w:val="006763B8"/>
    <w:rsid w:val="0067669C"/>
    <w:rsid w:val="00677760"/>
    <w:rsid w:val="00677D1F"/>
    <w:rsid w:val="00677DBD"/>
    <w:rsid w:val="0068009E"/>
    <w:rsid w:val="0068156A"/>
    <w:rsid w:val="006816F3"/>
    <w:rsid w:val="00682881"/>
    <w:rsid w:val="0068316D"/>
    <w:rsid w:val="00685015"/>
    <w:rsid w:val="0068673D"/>
    <w:rsid w:val="0068702A"/>
    <w:rsid w:val="0069016F"/>
    <w:rsid w:val="00690795"/>
    <w:rsid w:val="00692414"/>
    <w:rsid w:val="006925C6"/>
    <w:rsid w:val="006942EB"/>
    <w:rsid w:val="00695392"/>
    <w:rsid w:val="00695A3F"/>
    <w:rsid w:val="0069640E"/>
    <w:rsid w:val="00697B29"/>
    <w:rsid w:val="00697D46"/>
    <w:rsid w:val="006A06B2"/>
    <w:rsid w:val="006A08F3"/>
    <w:rsid w:val="006A1622"/>
    <w:rsid w:val="006A17D2"/>
    <w:rsid w:val="006A4E1A"/>
    <w:rsid w:val="006A6390"/>
    <w:rsid w:val="006A73E6"/>
    <w:rsid w:val="006B0425"/>
    <w:rsid w:val="006B1C6C"/>
    <w:rsid w:val="006B21E5"/>
    <w:rsid w:val="006B2D5C"/>
    <w:rsid w:val="006B3B0D"/>
    <w:rsid w:val="006B48FA"/>
    <w:rsid w:val="006B54D5"/>
    <w:rsid w:val="006B5DA5"/>
    <w:rsid w:val="006B5E5A"/>
    <w:rsid w:val="006B7A68"/>
    <w:rsid w:val="006B7EEB"/>
    <w:rsid w:val="006C0D8F"/>
    <w:rsid w:val="006C23E1"/>
    <w:rsid w:val="006C28B3"/>
    <w:rsid w:val="006C2D61"/>
    <w:rsid w:val="006C30C6"/>
    <w:rsid w:val="006C37F6"/>
    <w:rsid w:val="006C3A14"/>
    <w:rsid w:val="006C4603"/>
    <w:rsid w:val="006C4697"/>
    <w:rsid w:val="006C4EB1"/>
    <w:rsid w:val="006C7636"/>
    <w:rsid w:val="006D059B"/>
    <w:rsid w:val="006D1917"/>
    <w:rsid w:val="006D1ABF"/>
    <w:rsid w:val="006D27B4"/>
    <w:rsid w:val="006D305E"/>
    <w:rsid w:val="006D4514"/>
    <w:rsid w:val="006D6C9A"/>
    <w:rsid w:val="006D6E43"/>
    <w:rsid w:val="006D74A8"/>
    <w:rsid w:val="006E0166"/>
    <w:rsid w:val="006E25E3"/>
    <w:rsid w:val="006E43B8"/>
    <w:rsid w:val="006E4EC5"/>
    <w:rsid w:val="006E5D39"/>
    <w:rsid w:val="006E6456"/>
    <w:rsid w:val="006E709F"/>
    <w:rsid w:val="006E78DB"/>
    <w:rsid w:val="006E7B34"/>
    <w:rsid w:val="006F1C64"/>
    <w:rsid w:val="006F6566"/>
    <w:rsid w:val="006F6720"/>
    <w:rsid w:val="007005F7"/>
    <w:rsid w:val="007008A6"/>
    <w:rsid w:val="00701B24"/>
    <w:rsid w:val="00703706"/>
    <w:rsid w:val="00704FA3"/>
    <w:rsid w:val="00705410"/>
    <w:rsid w:val="00705AB0"/>
    <w:rsid w:val="00705C86"/>
    <w:rsid w:val="007064A2"/>
    <w:rsid w:val="007068FE"/>
    <w:rsid w:val="0070691F"/>
    <w:rsid w:val="00707E50"/>
    <w:rsid w:val="00711B3A"/>
    <w:rsid w:val="00711D1C"/>
    <w:rsid w:val="00711D48"/>
    <w:rsid w:val="00712351"/>
    <w:rsid w:val="00713640"/>
    <w:rsid w:val="00715366"/>
    <w:rsid w:val="007155D7"/>
    <w:rsid w:val="00715C6E"/>
    <w:rsid w:val="007163DB"/>
    <w:rsid w:val="007169AE"/>
    <w:rsid w:val="00717031"/>
    <w:rsid w:val="007173D9"/>
    <w:rsid w:val="00720361"/>
    <w:rsid w:val="007215AA"/>
    <w:rsid w:val="00722EB9"/>
    <w:rsid w:val="0072478B"/>
    <w:rsid w:val="00725289"/>
    <w:rsid w:val="00726E22"/>
    <w:rsid w:val="00727512"/>
    <w:rsid w:val="007303EA"/>
    <w:rsid w:val="007303FB"/>
    <w:rsid w:val="00731752"/>
    <w:rsid w:val="00731DCB"/>
    <w:rsid w:val="007333FF"/>
    <w:rsid w:val="00734F96"/>
    <w:rsid w:val="00735511"/>
    <w:rsid w:val="00735E02"/>
    <w:rsid w:val="00736B98"/>
    <w:rsid w:val="00737300"/>
    <w:rsid w:val="00737B6B"/>
    <w:rsid w:val="00740A13"/>
    <w:rsid w:val="00741061"/>
    <w:rsid w:val="00741923"/>
    <w:rsid w:val="007427FE"/>
    <w:rsid w:val="007440D4"/>
    <w:rsid w:val="00744DE9"/>
    <w:rsid w:val="00745899"/>
    <w:rsid w:val="00745B89"/>
    <w:rsid w:val="00746E4E"/>
    <w:rsid w:val="00747270"/>
    <w:rsid w:val="00747372"/>
    <w:rsid w:val="00750B52"/>
    <w:rsid w:val="00751422"/>
    <w:rsid w:val="00751726"/>
    <w:rsid w:val="00751E40"/>
    <w:rsid w:val="00752908"/>
    <w:rsid w:val="00752E54"/>
    <w:rsid w:val="00754E71"/>
    <w:rsid w:val="00755161"/>
    <w:rsid w:val="0075612B"/>
    <w:rsid w:val="0075672F"/>
    <w:rsid w:val="007607C4"/>
    <w:rsid w:val="00761084"/>
    <w:rsid w:val="007623BA"/>
    <w:rsid w:val="00763E89"/>
    <w:rsid w:val="00764A46"/>
    <w:rsid w:val="00764B27"/>
    <w:rsid w:val="0076537B"/>
    <w:rsid w:val="00765E73"/>
    <w:rsid w:val="0076643F"/>
    <w:rsid w:val="00766894"/>
    <w:rsid w:val="00766A68"/>
    <w:rsid w:val="00767B39"/>
    <w:rsid w:val="00767C8E"/>
    <w:rsid w:val="00771225"/>
    <w:rsid w:val="00771EED"/>
    <w:rsid w:val="00772944"/>
    <w:rsid w:val="00777A43"/>
    <w:rsid w:val="00780938"/>
    <w:rsid w:val="00780DB9"/>
    <w:rsid w:val="0078214A"/>
    <w:rsid w:val="007823A2"/>
    <w:rsid w:val="007828DC"/>
    <w:rsid w:val="007829C1"/>
    <w:rsid w:val="00782BC9"/>
    <w:rsid w:val="00783934"/>
    <w:rsid w:val="0078399F"/>
    <w:rsid w:val="00783EDB"/>
    <w:rsid w:val="0078742D"/>
    <w:rsid w:val="0079261F"/>
    <w:rsid w:val="007938FA"/>
    <w:rsid w:val="007939A7"/>
    <w:rsid w:val="00793AFD"/>
    <w:rsid w:val="00794889"/>
    <w:rsid w:val="00794ADE"/>
    <w:rsid w:val="00795574"/>
    <w:rsid w:val="00795A12"/>
    <w:rsid w:val="00795E81"/>
    <w:rsid w:val="00796137"/>
    <w:rsid w:val="00796F7D"/>
    <w:rsid w:val="007976C3"/>
    <w:rsid w:val="007A057A"/>
    <w:rsid w:val="007A0C26"/>
    <w:rsid w:val="007A1225"/>
    <w:rsid w:val="007A1A4E"/>
    <w:rsid w:val="007A1E11"/>
    <w:rsid w:val="007A1F5F"/>
    <w:rsid w:val="007A2E66"/>
    <w:rsid w:val="007A2F70"/>
    <w:rsid w:val="007A3AE8"/>
    <w:rsid w:val="007A3D37"/>
    <w:rsid w:val="007A64F3"/>
    <w:rsid w:val="007A6D43"/>
    <w:rsid w:val="007B41FC"/>
    <w:rsid w:val="007B487B"/>
    <w:rsid w:val="007B6687"/>
    <w:rsid w:val="007C0007"/>
    <w:rsid w:val="007C072F"/>
    <w:rsid w:val="007C1C47"/>
    <w:rsid w:val="007C2890"/>
    <w:rsid w:val="007C2CF2"/>
    <w:rsid w:val="007C3334"/>
    <w:rsid w:val="007C52BB"/>
    <w:rsid w:val="007C6A10"/>
    <w:rsid w:val="007C7430"/>
    <w:rsid w:val="007C7DA0"/>
    <w:rsid w:val="007D020A"/>
    <w:rsid w:val="007D0A4C"/>
    <w:rsid w:val="007D2ADE"/>
    <w:rsid w:val="007D2B98"/>
    <w:rsid w:val="007D386D"/>
    <w:rsid w:val="007D4BF8"/>
    <w:rsid w:val="007D5B48"/>
    <w:rsid w:val="007D62E9"/>
    <w:rsid w:val="007D7786"/>
    <w:rsid w:val="007D7C51"/>
    <w:rsid w:val="007E0276"/>
    <w:rsid w:val="007E17CF"/>
    <w:rsid w:val="007E1DA3"/>
    <w:rsid w:val="007E635E"/>
    <w:rsid w:val="007E799D"/>
    <w:rsid w:val="007E7E96"/>
    <w:rsid w:val="007F02ED"/>
    <w:rsid w:val="007F1B22"/>
    <w:rsid w:val="007F1BE6"/>
    <w:rsid w:val="007F2F9F"/>
    <w:rsid w:val="007F3C06"/>
    <w:rsid w:val="007F462E"/>
    <w:rsid w:val="007F4949"/>
    <w:rsid w:val="007F6908"/>
    <w:rsid w:val="008002FB"/>
    <w:rsid w:val="00800D2B"/>
    <w:rsid w:val="00800F16"/>
    <w:rsid w:val="00801D76"/>
    <w:rsid w:val="00803F1C"/>
    <w:rsid w:val="00804863"/>
    <w:rsid w:val="00805327"/>
    <w:rsid w:val="0080600E"/>
    <w:rsid w:val="0080649A"/>
    <w:rsid w:val="00806507"/>
    <w:rsid w:val="00806940"/>
    <w:rsid w:val="00810CD4"/>
    <w:rsid w:val="00812E21"/>
    <w:rsid w:val="008138A3"/>
    <w:rsid w:val="00813BBB"/>
    <w:rsid w:val="00814E68"/>
    <w:rsid w:val="008154B4"/>
    <w:rsid w:val="0081666D"/>
    <w:rsid w:val="00817612"/>
    <w:rsid w:val="00822E0D"/>
    <w:rsid w:val="00823FA6"/>
    <w:rsid w:val="008243CF"/>
    <w:rsid w:val="0082451C"/>
    <w:rsid w:val="00824DC4"/>
    <w:rsid w:val="00825A64"/>
    <w:rsid w:val="00825C56"/>
    <w:rsid w:val="0082634F"/>
    <w:rsid w:val="00826D96"/>
    <w:rsid w:val="00827F14"/>
    <w:rsid w:val="00830A67"/>
    <w:rsid w:val="00831F04"/>
    <w:rsid w:val="008325B2"/>
    <w:rsid w:val="00833E47"/>
    <w:rsid w:val="00835023"/>
    <w:rsid w:val="00835502"/>
    <w:rsid w:val="00837899"/>
    <w:rsid w:val="00837C45"/>
    <w:rsid w:val="00837FDC"/>
    <w:rsid w:val="008418AF"/>
    <w:rsid w:val="008427EB"/>
    <w:rsid w:val="0084316E"/>
    <w:rsid w:val="008476BF"/>
    <w:rsid w:val="00847E52"/>
    <w:rsid w:val="00853419"/>
    <w:rsid w:val="00854059"/>
    <w:rsid w:val="008545C1"/>
    <w:rsid w:val="00856BE3"/>
    <w:rsid w:val="00857B1C"/>
    <w:rsid w:val="00860202"/>
    <w:rsid w:val="008606F4"/>
    <w:rsid w:val="008620D3"/>
    <w:rsid w:val="0086261B"/>
    <w:rsid w:val="00863A7A"/>
    <w:rsid w:val="00864062"/>
    <w:rsid w:val="00864875"/>
    <w:rsid w:val="00865129"/>
    <w:rsid w:val="00865637"/>
    <w:rsid w:val="00867070"/>
    <w:rsid w:val="008670B8"/>
    <w:rsid w:val="00870922"/>
    <w:rsid w:val="00873249"/>
    <w:rsid w:val="00874103"/>
    <w:rsid w:val="00874302"/>
    <w:rsid w:val="00875E27"/>
    <w:rsid w:val="0087720E"/>
    <w:rsid w:val="008811F3"/>
    <w:rsid w:val="00881691"/>
    <w:rsid w:val="0088250A"/>
    <w:rsid w:val="008847A8"/>
    <w:rsid w:val="00884870"/>
    <w:rsid w:val="00884ABC"/>
    <w:rsid w:val="00885ABA"/>
    <w:rsid w:val="00885BB9"/>
    <w:rsid w:val="00886064"/>
    <w:rsid w:val="00886219"/>
    <w:rsid w:val="0088668F"/>
    <w:rsid w:val="00891F56"/>
    <w:rsid w:val="00893252"/>
    <w:rsid w:val="008934FF"/>
    <w:rsid w:val="00894B83"/>
    <w:rsid w:val="008954CA"/>
    <w:rsid w:val="008958C6"/>
    <w:rsid w:val="0089605C"/>
    <w:rsid w:val="008963E6"/>
    <w:rsid w:val="00897751"/>
    <w:rsid w:val="00897E12"/>
    <w:rsid w:val="008A0064"/>
    <w:rsid w:val="008A1A26"/>
    <w:rsid w:val="008A3CDB"/>
    <w:rsid w:val="008A59FA"/>
    <w:rsid w:val="008A5A9A"/>
    <w:rsid w:val="008A5C07"/>
    <w:rsid w:val="008A74EA"/>
    <w:rsid w:val="008A7FCB"/>
    <w:rsid w:val="008B3E03"/>
    <w:rsid w:val="008B4116"/>
    <w:rsid w:val="008B4AEB"/>
    <w:rsid w:val="008B4F28"/>
    <w:rsid w:val="008B6EAC"/>
    <w:rsid w:val="008B72FD"/>
    <w:rsid w:val="008B7A05"/>
    <w:rsid w:val="008C08D7"/>
    <w:rsid w:val="008C0C65"/>
    <w:rsid w:val="008C2E72"/>
    <w:rsid w:val="008C30C2"/>
    <w:rsid w:val="008C384E"/>
    <w:rsid w:val="008C3E16"/>
    <w:rsid w:val="008C41AD"/>
    <w:rsid w:val="008C6403"/>
    <w:rsid w:val="008C6CA8"/>
    <w:rsid w:val="008C746F"/>
    <w:rsid w:val="008D08CD"/>
    <w:rsid w:val="008D0947"/>
    <w:rsid w:val="008D0F5E"/>
    <w:rsid w:val="008D1579"/>
    <w:rsid w:val="008D1755"/>
    <w:rsid w:val="008D2B21"/>
    <w:rsid w:val="008D3AAE"/>
    <w:rsid w:val="008D3E82"/>
    <w:rsid w:val="008D43BA"/>
    <w:rsid w:val="008D43E0"/>
    <w:rsid w:val="008D4689"/>
    <w:rsid w:val="008D4941"/>
    <w:rsid w:val="008D5092"/>
    <w:rsid w:val="008D52BD"/>
    <w:rsid w:val="008D66A9"/>
    <w:rsid w:val="008D6717"/>
    <w:rsid w:val="008D78C9"/>
    <w:rsid w:val="008E06CE"/>
    <w:rsid w:val="008E0B7E"/>
    <w:rsid w:val="008E2F14"/>
    <w:rsid w:val="008E3759"/>
    <w:rsid w:val="008E7878"/>
    <w:rsid w:val="008F367C"/>
    <w:rsid w:val="008F3DE7"/>
    <w:rsid w:val="008F50BD"/>
    <w:rsid w:val="008F5673"/>
    <w:rsid w:val="008F5E8C"/>
    <w:rsid w:val="008F7684"/>
    <w:rsid w:val="008F7A25"/>
    <w:rsid w:val="00900A8C"/>
    <w:rsid w:val="00901505"/>
    <w:rsid w:val="00901EC5"/>
    <w:rsid w:val="00902D44"/>
    <w:rsid w:val="00903840"/>
    <w:rsid w:val="009041DC"/>
    <w:rsid w:val="0090495B"/>
    <w:rsid w:val="00905868"/>
    <w:rsid w:val="009063A3"/>
    <w:rsid w:val="00906872"/>
    <w:rsid w:val="00907A2A"/>
    <w:rsid w:val="009103D4"/>
    <w:rsid w:val="009104B4"/>
    <w:rsid w:val="0091183C"/>
    <w:rsid w:val="00912028"/>
    <w:rsid w:val="009120C1"/>
    <w:rsid w:val="00913F69"/>
    <w:rsid w:val="0091438C"/>
    <w:rsid w:val="00914A6A"/>
    <w:rsid w:val="00915929"/>
    <w:rsid w:val="0091693B"/>
    <w:rsid w:val="00920744"/>
    <w:rsid w:val="00920866"/>
    <w:rsid w:val="009211EB"/>
    <w:rsid w:val="00922110"/>
    <w:rsid w:val="00922FCA"/>
    <w:rsid w:val="00923E94"/>
    <w:rsid w:val="00923FBF"/>
    <w:rsid w:val="0092442D"/>
    <w:rsid w:val="00924762"/>
    <w:rsid w:val="00925583"/>
    <w:rsid w:val="00925813"/>
    <w:rsid w:val="00925B4C"/>
    <w:rsid w:val="00925D65"/>
    <w:rsid w:val="00925E74"/>
    <w:rsid w:val="00925FCD"/>
    <w:rsid w:val="00926377"/>
    <w:rsid w:val="00926866"/>
    <w:rsid w:val="00927080"/>
    <w:rsid w:val="009273AA"/>
    <w:rsid w:val="009275F3"/>
    <w:rsid w:val="009277BF"/>
    <w:rsid w:val="00932E0D"/>
    <w:rsid w:val="0093441A"/>
    <w:rsid w:val="00934BD5"/>
    <w:rsid w:val="00935E36"/>
    <w:rsid w:val="009364B0"/>
    <w:rsid w:val="00937768"/>
    <w:rsid w:val="00941C1C"/>
    <w:rsid w:val="00941C47"/>
    <w:rsid w:val="00941ED6"/>
    <w:rsid w:val="0094289E"/>
    <w:rsid w:val="00943F31"/>
    <w:rsid w:val="0094403E"/>
    <w:rsid w:val="00946079"/>
    <w:rsid w:val="009463D1"/>
    <w:rsid w:val="009514CD"/>
    <w:rsid w:val="00954BF7"/>
    <w:rsid w:val="00954D3A"/>
    <w:rsid w:val="00955017"/>
    <w:rsid w:val="00956C81"/>
    <w:rsid w:val="0095799F"/>
    <w:rsid w:val="009600B0"/>
    <w:rsid w:val="009606EF"/>
    <w:rsid w:val="00961D48"/>
    <w:rsid w:val="00962454"/>
    <w:rsid w:val="00965084"/>
    <w:rsid w:val="00965827"/>
    <w:rsid w:val="0096605D"/>
    <w:rsid w:val="0096706E"/>
    <w:rsid w:val="00970636"/>
    <w:rsid w:val="00971C4A"/>
    <w:rsid w:val="00972390"/>
    <w:rsid w:val="009724B0"/>
    <w:rsid w:val="00972EBC"/>
    <w:rsid w:val="009733C8"/>
    <w:rsid w:val="0097378E"/>
    <w:rsid w:val="00974F72"/>
    <w:rsid w:val="0097637C"/>
    <w:rsid w:val="0097781D"/>
    <w:rsid w:val="00977CD8"/>
    <w:rsid w:val="00980E85"/>
    <w:rsid w:val="00981FBA"/>
    <w:rsid w:val="00982D93"/>
    <w:rsid w:val="00983BFD"/>
    <w:rsid w:val="00983F8A"/>
    <w:rsid w:val="009847F4"/>
    <w:rsid w:val="00987484"/>
    <w:rsid w:val="00987849"/>
    <w:rsid w:val="00990040"/>
    <w:rsid w:val="00991644"/>
    <w:rsid w:val="00991886"/>
    <w:rsid w:val="00992E0F"/>
    <w:rsid w:val="00995B24"/>
    <w:rsid w:val="009A058F"/>
    <w:rsid w:val="009A1852"/>
    <w:rsid w:val="009A1884"/>
    <w:rsid w:val="009A1FC1"/>
    <w:rsid w:val="009A24AD"/>
    <w:rsid w:val="009A3458"/>
    <w:rsid w:val="009A3810"/>
    <w:rsid w:val="009A4212"/>
    <w:rsid w:val="009A4757"/>
    <w:rsid w:val="009A56B2"/>
    <w:rsid w:val="009A6156"/>
    <w:rsid w:val="009A7E06"/>
    <w:rsid w:val="009B299B"/>
    <w:rsid w:val="009B381B"/>
    <w:rsid w:val="009B3AD2"/>
    <w:rsid w:val="009B54CD"/>
    <w:rsid w:val="009B58BC"/>
    <w:rsid w:val="009C05BC"/>
    <w:rsid w:val="009C0DC4"/>
    <w:rsid w:val="009C132F"/>
    <w:rsid w:val="009C1D48"/>
    <w:rsid w:val="009C20EE"/>
    <w:rsid w:val="009C4325"/>
    <w:rsid w:val="009C4A9C"/>
    <w:rsid w:val="009C4DFC"/>
    <w:rsid w:val="009C6462"/>
    <w:rsid w:val="009C6DCC"/>
    <w:rsid w:val="009C6E3F"/>
    <w:rsid w:val="009D041A"/>
    <w:rsid w:val="009D0783"/>
    <w:rsid w:val="009D078D"/>
    <w:rsid w:val="009D1A6B"/>
    <w:rsid w:val="009D27A9"/>
    <w:rsid w:val="009D2E58"/>
    <w:rsid w:val="009D4346"/>
    <w:rsid w:val="009D4C51"/>
    <w:rsid w:val="009D5B11"/>
    <w:rsid w:val="009D6624"/>
    <w:rsid w:val="009D6A25"/>
    <w:rsid w:val="009D7611"/>
    <w:rsid w:val="009E12D8"/>
    <w:rsid w:val="009E137D"/>
    <w:rsid w:val="009E29F8"/>
    <w:rsid w:val="009E3187"/>
    <w:rsid w:val="009E31E4"/>
    <w:rsid w:val="009E42C5"/>
    <w:rsid w:val="009E51FE"/>
    <w:rsid w:val="009E53DE"/>
    <w:rsid w:val="009E5D98"/>
    <w:rsid w:val="009F0CB6"/>
    <w:rsid w:val="009F135D"/>
    <w:rsid w:val="009F14EC"/>
    <w:rsid w:val="009F3DCA"/>
    <w:rsid w:val="009F44DD"/>
    <w:rsid w:val="009F47A4"/>
    <w:rsid w:val="009F58B6"/>
    <w:rsid w:val="009F5C51"/>
    <w:rsid w:val="009F6100"/>
    <w:rsid w:val="00A00BCA"/>
    <w:rsid w:val="00A00D86"/>
    <w:rsid w:val="00A0117B"/>
    <w:rsid w:val="00A0169E"/>
    <w:rsid w:val="00A02559"/>
    <w:rsid w:val="00A02E1B"/>
    <w:rsid w:val="00A047BA"/>
    <w:rsid w:val="00A05919"/>
    <w:rsid w:val="00A05E4B"/>
    <w:rsid w:val="00A0642E"/>
    <w:rsid w:val="00A06561"/>
    <w:rsid w:val="00A06B68"/>
    <w:rsid w:val="00A10079"/>
    <w:rsid w:val="00A1028C"/>
    <w:rsid w:val="00A10492"/>
    <w:rsid w:val="00A10C36"/>
    <w:rsid w:val="00A1225C"/>
    <w:rsid w:val="00A124B5"/>
    <w:rsid w:val="00A13FAF"/>
    <w:rsid w:val="00A140B5"/>
    <w:rsid w:val="00A1499E"/>
    <w:rsid w:val="00A14B17"/>
    <w:rsid w:val="00A14D77"/>
    <w:rsid w:val="00A155DF"/>
    <w:rsid w:val="00A16D70"/>
    <w:rsid w:val="00A17A3C"/>
    <w:rsid w:val="00A20A99"/>
    <w:rsid w:val="00A210CD"/>
    <w:rsid w:val="00A212CE"/>
    <w:rsid w:val="00A2790A"/>
    <w:rsid w:val="00A31791"/>
    <w:rsid w:val="00A31883"/>
    <w:rsid w:val="00A31E55"/>
    <w:rsid w:val="00A32887"/>
    <w:rsid w:val="00A35922"/>
    <w:rsid w:val="00A35C52"/>
    <w:rsid w:val="00A364D8"/>
    <w:rsid w:val="00A374C7"/>
    <w:rsid w:val="00A37D6A"/>
    <w:rsid w:val="00A41171"/>
    <w:rsid w:val="00A42476"/>
    <w:rsid w:val="00A42C96"/>
    <w:rsid w:val="00A43458"/>
    <w:rsid w:val="00A43B1E"/>
    <w:rsid w:val="00A44E26"/>
    <w:rsid w:val="00A4531A"/>
    <w:rsid w:val="00A46A4D"/>
    <w:rsid w:val="00A50D8E"/>
    <w:rsid w:val="00A528D1"/>
    <w:rsid w:val="00A52F81"/>
    <w:rsid w:val="00A539E5"/>
    <w:rsid w:val="00A54AD1"/>
    <w:rsid w:val="00A54BAA"/>
    <w:rsid w:val="00A55457"/>
    <w:rsid w:val="00A5627A"/>
    <w:rsid w:val="00A56FDC"/>
    <w:rsid w:val="00A57DDE"/>
    <w:rsid w:val="00A57F9A"/>
    <w:rsid w:val="00A6063A"/>
    <w:rsid w:val="00A60790"/>
    <w:rsid w:val="00A60B90"/>
    <w:rsid w:val="00A61804"/>
    <w:rsid w:val="00A6259E"/>
    <w:rsid w:val="00A627EE"/>
    <w:rsid w:val="00A655E1"/>
    <w:rsid w:val="00A66BE5"/>
    <w:rsid w:val="00A7040A"/>
    <w:rsid w:val="00A71421"/>
    <w:rsid w:val="00A732FD"/>
    <w:rsid w:val="00A741B0"/>
    <w:rsid w:val="00A74883"/>
    <w:rsid w:val="00A75439"/>
    <w:rsid w:val="00A761B3"/>
    <w:rsid w:val="00A76418"/>
    <w:rsid w:val="00A7667E"/>
    <w:rsid w:val="00A77AEB"/>
    <w:rsid w:val="00A81037"/>
    <w:rsid w:val="00A8268A"/>
    <w:rsid w:val="00A82844"/>
    <w:rsid w:val="00A834CC"/>
    <w:rsid w:val="00A84DC2"/>
    <w:rsid w:val="00A90300"/>
    <w:rsid w:val="00A912B2"/>
    <w:rsid w:val="00A91ADA"/>
    <w:rsid w:val="00A93916"/>
    <w:rsid w:val="00A943D9"/>
    <w:rsid w:val="00A96997"/>
    <w:rsid w:val="00A9706F"/>
    <w:rsid w:val="00AA1182"/>
    <w:rsid w:val="00AA19AB"/>
    <w:rsid w:val="00AA28B3"/>
    <w:rsid w:val="00AA4F36"/>
    <w:rsid w:val="00AA60DE"/>
    <w:rsid w:val="00AA65B3"/>
    <w:rsid w:val="00AA67B0"/>
    <w:rsid w:val="00AA6939"/>
    <w:rsid w:val="00AA6BB1"/>
    <w:rsid w:val="00AA6FF3"/>
    <w:rsid w:val="00AA7049"/>
    <w:rsid w:val="00AA776A"/>
    <w:rsid w:val="00AB2266"/>
    <w:rsid w:val="00AB401C"/>
    <w:rsid w:val="00AB51C8"/>
    <w:rsid w:val="00AB5D30"/>
    <w:rsid w:val="00AB6B70"/>
    <w:rsid w:val="00AB6EE9"/>
    <w:rsid w:val="00AB71A7"/>
    <w:rsid w:val="00AB7BFC"/>
    <w:rsid w:val="00AC3B67"/>
    <w:rsid w:val="00AC3D56"/>
    <w:rsid w:val="00AC4EDD"/>
    <w:rsid w:val="00AC79AD"/>
    <w:rsid w:val="00AD081C"/>
    <w:rsid w:val="00AD0849"/>
    <w:rsid w:val="00AD0F33"/>
    <w:rsid w:val="00AD168E"/>
    <w:rsid w:val="00AD2D9F"/>
    <w:rsid w:val="00AD342D"/>
    <w:rsid w:val="00AD37C1"/>
    <w:rsid w:val="00AD3A94"/>
    <w:rsid w:val="00AD5393"/>
    <w:rsid w:val="00AD561F"/>
    <w:rsid w:val="00AD59AF"/>
    <w:rsid w:val="00AD59FA"/>
    <w:rsid w:val="00AD5A35"/>
    <w:rsid w:val="00AD6647"/>
    <w:rsid w:val="00AD6E5D"/>
    <w:rsid w:val="00AD79A2"/>
    <w:rsid w:val="00AE1566"/>
    <w:rsid w:val="00AE3357"/>
    <w:rsid w:val="00AE425E"/>
    <w:rsid w:val="00AE4F90"/>
    <w:rsid w:val="00AE5352"/>
    <w:rsid w:val="00AE5EF7"/>
    <w:rsid w:val="00AE5FF1"/>
    <w:rsid w:val="00AE6290"/>
    <w:rsid w:val="00AE637A"/>
    <w:rsid w:val="00AE66EC"/>
    <w:rsid w:val="00AE6F91"/>
    <w:rsid w:val="00AE74E7"/>
    <w:rsid w:val="00AE7AEE"/>
    <w:rsid w:val="00AF05B3"/>
    <w:rsid w:val="00AF0CFF"/>
    <w:rsid w:val="00AF16D8"/>
    <w:rsid w:val="00AF179F"/>
    <w:rsid w:val="00AF1CFD"/>
    <w:rsid w:val="00AF2C51"/>
    <w:rsid w:val="00AF2ED4"/>
    <w:rsid w:val="00AF324B"/>
    <w:rsid w:val="00AF47DC"/>
    <w:rsid w:val="00AF5571"/>
    <w:rsid w:val="00AF5EA8"/>
    <w:rsid w:val="00AF68BD"/>
    <w:rsid w:val="00AF7895"/>
    <w:rsid w:val="00AF79D1"/>
    <w:rsid w:val="00B00331"/>
    <w:rsid w:val="00B006D8"/>
    <w:rsid w:val="00B00814"/>
    <w:rsid w:val="00B03148"/>
    <w:rsid w:val="00B04527"/>
    <w:rsid w:val="00B04AB2"/>
    <w:rsid w:val="00B060F6"/>
    <w:rsid w:val="00B063D0"/>
    <w:rsid w:val="00B066D6"/>
    <w:rsid w:val="00B0698E"/>
    <w:rsid w:val="00B06AAB"/>
    <w:rsid w:val="00B07D7E"/>
    <w:rsid w:val="00B07E0F"/>
    <w:rsid w:val="00B10637"/>
    <w:rsid w:val="00B11863"/>
    <w:rsid w:val="00B126DC"/>
    <w:rsid w:val="00B14D47"/>
    <w:rsid w:val="00B14ED0"/>
    <w:rsid w:val="00B14EFC"/>
    <w:rsid w:val="00B16017"/>
    <w:rsid w:val="00B16313"/>
    <w:rsid w:val="00B16479"/>
    <w:rsid w:val="00B167B1"/>
    <w:rsid w:val="00B167E9"/>
    <w:rsid w:val="00B168C4"/>
    <w:rsid w:val="00B16C19"/>
    <w:rsid w:val="00B17101"/>
    <w:rsid w:val="00B17AC5"/>
    <w:rsid w:val="00B21F41"/>
    <w:rsid w:val="00B23499"/>
    <w:rsid w:val="00B244EC"/>
    <w:rsid w:val="00B24EDB"/>
    <w:rsid w:val="00B2536B"/>
    <w:rsid w:val="00B262FD"/>
    <w:rsid w:val="00B26F6B"/>
    <w:rsid w:val="00B314DB"/>
    <w:rsid w:val="00B31C72"/>
    <w:rsid w:val="00B31EBE"/>
    <w:rsid w:val="00B33E7D"/>
    <w:rsid w:val="00B33FEA"/>
    <w:rsid w:val="00B346FC"/>
    <w:rsid w:val="00B3472E"/>
    <w:rsid w:val="00B34C55"/>
    <w:rsid w:val="00B3718B"/>
    <w:rsid w:val="00B37C9F"/>
    <w:rsid w:val="00B37E88"/>
    <w:rsid w:val="00B40371"/>
    <w:rsid w:val="00B408B1"/>
    <w:rsid w:val="00B42DBA"/>
    <w:rsid w:val="00B435E8"/>
    <w:rsid w:val="00B4430A"/>
    <w:rsid w:val="00B449B8"/>
    <w:rsid w:val="00B4632A"/>
    <w:rsid w:val="00B46922"/>
    <w:rsid w:val="00B512CB"/>
    <w:rsid w:val="00B52963"/>
    <w:rsid w:val="00B53049"/>
    <w:rsid w:val="00B53E17"/>
    <w:rsid w:val="00B546A1"/>
    <w:rsid w:val="00B54FFB"/>
    <w:rsid w:val="00B558F6"/>
    <w:rsid w:val="00B56C58"/>
    <w:rsid w:val="00B57B80"/>
    <w:rsid w:val="00B60989"/>
    <w:rsid w:val="00B613C1"/>
    <w:rsid w:val="00B61A36"/>
    <w:rsid w:val="00B61F29"/>
    <w:rsid w:val="00B62618"/>
    <w:rsid w:val="00B62D97"/>
    <w:rsid w:val="00B64D53"/>
    <w:rsid w:val="00B6639C"/>
    <w:rsid w:val="00B66531"/>
    <w:rsid w:val="00B6774D"/>
    <w:rsid w:val="00B7069E"/>
    <w:rsid w:val="00B7095A"/>
    <w:rsid w:val="00B71503"/>
    <w:rsid w:val="00B715AE"/>
    <w:rsid w:val="00B71B46"/>
    <w:rsid w:val="00B71CF5"/>
    <w:rsid w:val="00B71EF2"/>
    <w:rsid w:val="00B72AB2"/>
    <w:rsid w:val="00B73D26"/>
    <w:rsid w:val="00B745A3"/>
    <w:rsid w:val="00B7465C"/>
    <w:rsid w:val="00B74B02"/>
    <w:rsid w:val="00B74E17"/>
    <w:rsid w:val="00B75F5D"/>
    <w:rsid w:val="00B7794C"/>
    <w:rsid w:val="00B81164"/>
    <w:rsid w:val="00B82037"/>
    <w:rsid w:val="00B85D60"/>
    <w:rsid w:val="00B86197"/>
    <w:rsid w:val="00B91438"/>
    <w:rsid w:val="00B92664"/>
    <w:rsid w:val="00B94354"/>
    <w:rsid w:val="00B945E6"/>
    <w:rsid w:val="00B94B90"/>
    <w:rsid w:val="00B9511A"/>
    <w:rsid w:val="00B9553B"/>
    <w:rsid w:val="00B95C0F"/>
    <w:rsid w:val="00B96135"/>
    <w:rsid w:val="00B96A8D"/>
    <w:rsid w:val="00B97D83"/>
    <w:rsid w:val="00BA10A5"/>
    <w:rsid w:val="00BA157E"/>
    <w:rsid w:val="00BA2207"/>
    <w:rsid w:val="00BA276C"/>
    <w:rsid w:val="00BA31B6"/>
    <w:rsid w:val="00BA3595"/>
    <w:rsid w:val="00BA3F40"/>
    <w:rsid w:val="00BA4CE0"/>
    <w:rsid w:val="00BA649E"/>
    <w:rsid w:val="00BA783B"/>
    <w:rsid w:val="00BB0B1C"/>
    <w:rsid w:val="00BB1098"/>
    <w:rsid w:val="00BB133F"/>
    <w:rsid w:val="00BB14D4"/>
    <w:rsid w:val="00BB18E5"/>
    <w:rsid w:val="00BB1DBB"/>
    <w:rsid w:val="00BB29F6"/>
    <w:rsid w:val="00BB306F"/>
    <w:rsid w:val="00BB4CFD"/>
    <w:rsid w:val="00BB5133"/>
    <w:rsid w:val="00BB5C17"/>
    <w:rsid w:val="00BB5D54"/>
    <w:rsid w:val="00BB5F24"/>
    <w:rsid w:val="00BB6BA4"/>
    <w:rsid w:val="00BB72D9"/>
    <w:rsid w:val="00BC1285"/>
    <w:rsid w:val="00BC2764"/>
    <w:rsid w:val="00BC3DF4"/>
    <w:rsid w:val="00BC46D7"/>
    <w:rsid w:val="00BC4A24"/>
    <w:rsid w:val="00BC4B9B"/>
    <w:rsid w:val="00BC6090"/>
    <w:rsid w:val="00BC652C"/>
    <w:rsid w:val="00BC67DC"/>
    <w:rsid w:val="00BC6BBC"/>
    <w:rsid w:val="00BD09FD"/>
    <w:rsid w:val="00BD12E0"/>
    <w:rsid w:val="00BD13DB"/>
    <w:rsid w:val="00BD232B"/>
    <w:rsid w:val="00BD4B89"/>
    <w:rsid w:val="00BD65EC"/>
    <w:rsid w:val="00BE0324"/>
    <w:rsid w:val="00BE054E"/>
    <w:rsid w:val="00BE1BA5"/>
    <w:rsid w:val="00BE3238"/>
    <w:rsid w:val="00BE3433"/>
    <w:rsid w:val="00BE3F0F"/>
    <w:rsid w:val="00BE43C0"/>
    <w:rsid w:val="00BE4B29"/>
    <w:rsid w:val="00BE4D5F"/>
    <w:rsid w:val="00BE6DCB"/>
    <w:rsid w:val="00BE6E23"/>
    <w:rsid w:val="00BE79F9"/>
    <w:rsid w:val="00BF0748"/>
    <w:rsid w:val="00BF2595"/>
    <w:rsid w:val="00BF2B23"/>
    <w:rsid w:val="00BF341C"/>
    <w:rsid w:val="00BF61FA"/>
    <w:rsid w:val="00BF797B"/>
    <w:rsid w:val="00BF7A42"/>
    <w:rsid w:val="00BF7B7C"/>
    <w:rsid w:val="00C002BA"/>
    <w:rsid w:val="00C01CA7"/>
    <w:rsid w:val="00C022FC"/>
    <w:rsid w:val="00C0241D"/>
    <w:rsid w:val="00C02B94"/>
    <w:rsid w:val="00C02E01"/>
    <w:rsid w:val="00C034CC"/>
    <w:rsid w:val="00C042BC"/>
    <w:rsid w:val="00C0450D"/>
    <w:rsid w:val="00C059E2"/>
    <w:rsid w:val="00C061D8"/>
    <w:rsid w:val="00C06D4A"/>
    <w:rsid w:val="00C07A7E"/>
    <w:rsid w:val="00C07D3E"/>
    <w:rsid w:val="00C1131D"/>
    <w:rsid w:val="00C11F09"/>
    <w:rsid w:val="00C12A13"/>
    <w:rsid w:val="00C12EA5"/>
    <w:rsid w:val="00C140AC"/>
    <w:rsid w:val="00C1547B"/>
    <w:rsid w:val="00C16281"/>
    <w:rsid w:val="00C1791F"/>
    <w:rsid w:val="00C2003A"/>
    <w:rsid w:val="00C21762"/>
    <w:rsid w:val="00C2334D"/>
    <w:rsid w:val="00C24543"/>
    <w:rsid w:val="00C256A2"/>
    <w:rsid w:val="00C26281"/>
    <w:rsid w:val="00C26A98"/>
    <w:rsid w:val="00C303AF"/>
    <w:rsid w:val="00C3069A"/>
    <w:rsid w:val="00C30D37"/>
    <w:rsid w:val="00C32840"/>
    <w:rsid w:val="00C34624"/>
    <w:rsid w:val="00C3492D"/>
    <w:rsid w:val="00C350A1"/>
    <w:rsid w:val="00C3552D"/>
    <w:rsid w:val="00C3733F"/>
    <w:rsid w:val="00C37685"/>
    <w:rsid w:val="00C40118"/>
    <w:rsid w:val="00C40EF2"/>
    <w:rsid w:val="00C421C1"/>
    <w:rsid w:val="00C42EF9"/>
    <w:rsid w:val="00C437CC"/>
    <w:rsid w:val="00C43937"/>
    <w:rsid w:val="00C45D49"/>
    <w:rsid w:val="00C45FB9"/>
    <w:rsid w:val="00C46C16"/>
    <w:rsid w:val="00C4731C"/>
    <w:rsid w:val="00C47ED0"/>
    <w:rsid w:val="00C5008F"/>
    <w:rsid w:val="00C50CAB"/>
    <w:rsid w:val="00C5195A"/>
    <w:rsid w:val="00C51BBE"/>
    <w:rsid w:val="00C51D3A"/>
    <w:rsid w:val="00C551F8"/>
    <w:rsid w:val="00C55560"/>
    <w:rsid w:val="00C60416"/>
    <w:rsid w:val="00C60A11"/>
    <w:rsid w:val="00C60BD8"/>
    <w:rsid w:val="00C61449"/>
    <w:rsid w:val="00C62AC1"/>
    <w:rsid w:val="00C63771"/>
    <w:rsid w:val="00C6403A"/>
    <w:rsid w:val="00C64E41"/>
    <w:rsid w:val="00C65A5C"/>
    <w:rsid w:val="00C66B72"/>
    <w:rsid w:val="00C677CF"/>
    <w:rsid w:val="00C7018F"/>
    <w:rsid w:val="00C7093D"/>
    <w:rsid w:val="00C70F2C"/>
    <w:rsid w:val="00C71DA2"/>
    <w:rsid w:val="00C721A4"/>
    <w:rsid w:val="00C723C1"/>
    <w:rsid w:val="00C72EC9"/>
    <w:rsid w:val="00C72EEA"/>
    <w:rsid w:val="00C75EEE"/>
    <w:rsid w:val="00C75F4C"/>
    <w:rsid w:val="00C764D9"/>
    <w:rsid w:val="00C777E4"/>
    <w:rsid w:val="00C77DCB"/>
    <w:rsid w:val="00C77EDB"/>
    <w:rsid w:val="00C77FFD"/>
    <w:rsid w:val="00C80F54"/>
    <w:rsid w:val="00C8140C"/>
    <w:rsid w:val="00C81FEA"/>
    <w:rsid w:val="00C83E94"/>
    <w:rsid w:val="00C84754"/>
    <w:rsid w:val="00C847A2"/>
    <w:rsid w:val="00C84965"/>
    <w:rsid w:val="00C86A79"/>
    <w:rsid w:val="00C8704E"/>
    <w:rsid w:val="00C8709E"/>
    <w:rsid w:val="00C9031C"/>
    <w:rsid w:val="00C91DC6"/>
    <w:rsid w:val="00C92FFC"/>
    <w:rsid w:val="00C93955"/>
    <w:rsid w:val="00C94235"/>
    <w:rsid w:val="00C9424F"/>
    <w:rsid w:val="00C948EA"/>
    <w:rsid w:val="00C94958"/>
    <w:rsid w:val="00C9567A"/>
    <w:rsid w:val="00C956BE"/>
    <w:rsid w:val="00C975C5"/>
    <w:rsid w:val="00CA19F9"/>
    <w:rsid w:val="00CA31B7"/>
    <w:rsid w:val="00CA3B38"/>
    <w:rsid w:val="00CA5103"/>
    <w:rsid w:val="00CA5544"/>
    <w:rsid w:val="00CA580F"/>
    <w:rsid w:val="00CA5D81"/>
    <w:rsid w:val="00CA6061"/>
    <w:rsid w:val="00CA6B0D"/>
    <w:rsid w:val="00CA7B5C"/>
    <w:rsid w:val="00CA7F8A"/>
    <w:rsid w:val="00CB2324"/>
    <w:rsid w:val="00CB2660"/>
    <w:rsid w:val="00CB42E9"/>
    <w:rsid w:val="00CB4A0A"/>
    <w:rsid w:val="00CB51C8"/>
    <w:rsid w:val="00CB79D4"/>
    <w:rsid w:val="00CC403D"/>
    <w:rsid w:val="00CC4945"/>
    <w:rsid w:val="00CC4FFA"/>
    <w:rsid w:val="00CC5E90"/>
    <w:rsid w:val="00CC7AE5"/>
    <w:rsid w:val="00CC7BC9"/>
    <w:rsid w:val="00CD046C"/>
    <w:rsid w:val="00CD200B"/>
    <w:rsid w:val="00CD2A6F"/>
    <w:rsid w:val="00CD2D48"/>
    <w:rsid w:val="00CD397F"/>
    <w:rsid w:val="00CD39D4"/>
    <w:rsid w:val="00CD4245"/>
    <w:rsid w:val="00CD4E00"/>
    <w:rsid w:val="00CD6EB1"/>
    <w:rsid w:val="00CD7789"/>
    <w:rsid w:val="00CD7DA6"/>
    <w:rsid w:val="00CE0035"/>
    <w:rsid w:val="00CE0C39"/>
    <w:rsid w:val="00CE0CB6"/>
    <w:rsid w:val="00CE299F"/>
    <w:rsid w:val="00CE3B7C"/>
    <w:rsid w:val="00CE3D07"/>
    <w:rsid w:val="00CE3FF5"/>
    <w:rsid w:val="00CE44BB"/>
    <w:rsid w:val="00CE464B"/>
    <w:rsid w:val="00CE4720"/>
    <w:rsid w:val="00CE5199"/>
    <w:rsid w:val="00CE5589"/>
    <w:rsid w:val="00CE66D5"/>
    <w:rsid w:val="00CF044B"/>
    <w:rsid w:val="00CF0740"/>
    <w:rsid w:val="00CF0F79"/>
    <w:rsid w:val="00CF271E"/>
    <w:rsid w:val="00CF2BC3"/>
    <w:rsid w:val="00CF40B1"/>
    <w:rsid w:val="00CF4BA5"/>
    <w:rsid w:val="00CF710E"/>
    <w:rsid w:val="00D021ED"/>
    <w:rsid w:val="00D0252C"/>
    <w:rsid w:val="00D025AD"/>
    <w:rsid w:val="00D02B9A"/>
    <w:rsid w:val="00D04424"/>
    <w:rsid w:val="00D048B2"/>
    <w:rsid w:val="00D04D72"/>
    <w:rsid w:val="00D05904"/>
    <w:rsid w:val="00D06466"/>
    <w:rsid w:val="00D066BA"/>
    <w:rsid w:val="00D06F8A"/>
    <w:rsid w:val="00D10862"/>
    <w:rsid w:val="00D1099C"/>
    <w:rsid w:val="00D10BAE"/>
    <w:rsid w:val="00D10D0D"/>
    <w:rsid w:val="00D10D69"/>
    <w:rsid w:val="00D12525"/>
    <w:rsid w:val="00D127FC"/>
    <w:rsid w:val="00D135FA"/>
    <w:rsid w:val="00D13D15"/>
    <w:rsid w:val="00D14C6E"/>
    <w:rsid w:val="00D15602"/>
    <w:rsid w:val="00D16D95"/>
    <w:rsid w:val="00D17FFC"/>
    <w:rsid w:val="00D203B5"/>
    <w:rsid w:val="00D20B60"/>
    <w:rsid w:val="00D237FE"/>
    <w:rsid w:val="00D23AB3"/>
    <w:rsid w:val="00D2638B"/>
    <w:rsid w:val="00D27AC7"/>
    <w:rsid w:val="00D27DD7"/>
    <w:rsid w:val="00D30F10"/>
    <w:rsid w:val="00D31C33"/>
    <w:rsid w:val="00D31F41"/>
    <w:rsid w:val="00D332F7"/>
    <w:rsid w:val="00D34786"/>
    <w:rsid w:val="00D365BC"/>
    <w:rsid w:val="00D3749E"/>
    <w:rsid w:val="00D37994"/>
    <w:rsid w:val="00D40A1E"/>
    <w:rsid w:val="00D434F5"/>
    <w:rsid w:val="00D451B3"/>
    <w:rsid w:val="00D4587D"/>
    <w:rsid w:val="00D45A3F"/>
    <w:rsid w:val="00D46A19"/>
    <w:rsid w:val="00D501A7"/>
    <w:rsid w:val="00D50861"/>
    <w:rsid w:val="00D50C07"/>
    <w:rsid w:val="00D50C13"/>
    <w:rsid w:val="00D511A2"/>
    <w:rsid w:val="00D51DC9"/>
    <w:rsid w:val="00D51F27"/>
    <w:rsid w:val="00D52D60"/>
    <w:rsid w:val="00D53B47"/>
    <w:rsid w:val="00D544DA"/>
    <w:rsid w:val="00D55BB1"/>
    <w:rsid w:val="00D56952"/>
    <w:rsid w:val="00D57210"/>
    <w:rsid w:val="00D57818"/>
    <w:rsid w:val="00D61299"/>
    <w:rsid w:val="00D618A2"/>
    <w:rsid w:val="00D61964"/>
    <w:rsid w:val="00D61D3E"/>
    <w:rsid w:val="00D62B81"/>
    <w:rsid w:val="00D62EC8"/>
    <w:rsid w:val="00D6525D"/>
    <w:rsid w:val="00D67053"/>
    <w:rsid w:val="00D678AC"/>
    <w:rsid w:val="00D679A6"/>
    <w:rsid w:val="00D67B79"/>
    <w:rsid w:val="00D67DA0"/>
    <w:rsid w:val="00D712D3"/>
    <w:rsid w:val="00D71422"/>
    <w:rsid w:val="00D7145E"/>
    <w:rsid w:val="00D71F1D"/>
    <w:rsid w:val="00D7208D"/>
    <w:rsid w:val="00D72A08"/>
    <w:rsid w:val="00D72B9B"/>
    <w:rsid w:val="00D72BB5"/>
    <w:rsid w:val="00D731FD"/>
    <w:rsid w:val="00D73868"/>
    <w:rsid w:val="00D73FB0"/>
    <w:rsid w:val="00D7558D"/>
    <w:rsid w:val="00D76689"/>
    <w:rsid w:val="00D76D24"/>
    <w:rsid w:val="00D77D43"/>
    <w:rsid w:val="00D80763"/>
    <w:rsid w:val="00D81830"/>
    <w:rsid w:val="00D81D92"/>
    <w:rsid w:val="00D8279A"/>
    <w:rsid w:val="00D84BDC"/>
    <w:rsid w:val="00D85282"/>
    <w:rsid w:val="00D85CCE"/>
    <w:rsid w:val="00D87515"/>
    <w:rsid w:val="00D87541"/>
    <w:rsid w:val="00D8757D"/>
    <w:rsid w:val="00D91F0B"/>
    <w:rsid w:val="00D9218B"/>
    <w:rsid w:val="00D92398"/>
    <w:rsid w:val="00D92960"/>
    <w:rsid w:val="00D92972"/>
    <w:rsid w:val="00D93446"/>
    <w:rsid w:val="00D93A73"/>
    <w:rsid w:val="00D93BCC"/>
    <w:rsid w:val="00D93E14"/>
    <w:rsid w:val="00D9460E"/>
    <w:rsid w:val="00D949BC"/>
    <w:rsid w:val="00D94D0F"/>
    <w:rsid w:val="00D950D7"/>
    <w:rsid w:val="00D9736D"/>
    <w:rsid w:val="00DA1E14"/>
    <w:rsid w:val="00DA3437"/>
    <w:rsid w:val="00DA35C5"/>
    <w:rsid w:val="00DA530F"/>
    <w:rsid w:val="00DA5357"/>
    <w:rsid w:val="00DA5505"/>
    <w:rsid w:val="00DA5A20"/>
    <w:rsid w:val="00DA78DF"/>
    <w:rsid w:val="00DA7B5F"/>
    <w:rsid w:val="00DB1576"/>
    <w:rsid w:val="00DB4738"/>
    <w:rsid w:val="00DB49BF"/>
    <w:rsid w:val="00DB503A"/>
    <w:rsid w:val="00DB6977"/>
    <w:rsid w:val="00DB6E23"/>
    <w:rsid w:val="00DB6FA0"/>
    <w:rsid w:val="00DB7682"/>
    <w:rsid w:val="00DC25B0"/>
    <w:rsid w:val="00DC4080"/>
    <w:rsid w:val="00DC4A70"/>
    <w:rsid w:val="00DC4B05"/>
    <w:rsid w:val="00DC60C5"/>
    <w:rsid w:val="00DC6AAE"/>
    <w:rsid w:val="00DC73BD"/>
    <w:rsid w:val="00DC79D4"/>
    <w:rsid w:val="00DC7FAD"/>
    <w:rsid w:val="00DD0147"/>
    <w:rsid w:val="00DD28A2"/>
    <w:rsid w:val="00DD2E0B"/>
    <w:rsid w:val="00DD3D4F"/>
    <w:rsid w:val="00DD49AE"/>
    <w:rsid w:val="00DD4D18"/>
    <w:rsid w:val="00DD4D8F"/>
    <w:rsid w:val="00DD6D9A"/>
    <w:rsid w:val="00DE003D"/>
    <w:rsid w:val="00DE17F9"/>
    <w:rsid w:val="00DE2D09"/>
    <w:rsid w:val="00DE398F"/>
    <w:rsid w:val="00DE474F"/>
    <w:rsid w:val="00DE4EB9"/>
    <w:rsid w:val="00DE6715"/>
    <w:rsid w:val="00DE6D3E"/>
    <w:rsid w:val="00DE795A"/>
    <w:rsid w:val="00DE7A42"/>
    <w:rsid w:val="00DF05F1"/>
    <w:rsid w:val="00DF0842"/>
    <w:rsid w:val="00DF1CA6"/>
    <w:rsid w:val="00DF1E37"/>
    <w:rsid w:val="00DF22F2"/>
    <w:rsid w:val="00DF40BC"/>
    <w:rsid w:val="00DF4700"/>
    <w:rsid w:val="00DF4B4D"/>
    <w:rsid w:val="00DF5C49"/>
    <w:rsid w:val="00DF5DA1"/>
    <w:rsid w:val="00DF60B9"/>
    <w:rsid w:val="00DF6DE1"/>
    <w:rsid w:val="00DF71CC"/>
    <w:rsid w:val="00DF74F9"/>
    <w:rsid w:val="00E00717"/>
    <w:rsid w:val="00E02D4B"/>
    <w:rsid w:val="00E03299"/>
    <w:rsid w:val="00E04B98"/>
    <w:rsid w:val="00E04C96"/>
    <w:rsid w:val="00E05747"/>
    <w:rsid w:val="00E05BBB"/>
    <w:rsid w:val="00E05F32"/>
    <w:rsid w:val="00E06A39"/>
    <w:rsid w:val="00E1019F"/>
    <w:rsid w:val="00E10C95"/>
    <w:rsid w:val="00E1305F"/>
    <w:rsid w:val="00E133B7"/>
    <w:rsid w:val="00E13BD5"/>
    <w:rsid w:val="00E14A89"/>
    <w:rsid w:val="00E15A53"/>
    <w:rsid w:val="00E16741"/>
    <w:rsid w:val="00E17079"/>
    <w:rsid w:val="00E20E40"/>
    <w:rsid w:val="00E21751"/>
    <w:rsid w:val="00E23759"/>
    <w:rsid w:val="00E23999"/>
    <w:rsid w:val="00E24DEE"/>
    <w:rsid w:val="00E25DB5"/>
    <w:rsid w:val="00E2649B"/>
    <w:rsid w:val="00E264FB"/>
    <w:rsid w:val="00E26963"/>
    <w:rsid w:val="00E30075"/>
    <w:rsid w:val="00E300C9"/>
    <w:rsid w:val="00E302A5"/>
    <w:rsid w:val="00E32340"/>
    <w:rsid w:val="00E348F1"/>
    <w:rsid w:val="00E354C3"/>
    <w:rsid w:val="00E35655"/>
    <w:rsid w:val="00E37F67"/>
    <w:rsid w:val="00E41700"/>
    <w:rsid w:val="00E4309D"/>
    <w:rsid w:val="00E43157"/>
    <w:rsid w:val="00E436A1"/>
    <w:rsid w:val="00E43835"/>
    <w:rsid w:val="00E438B6"/>
    <w:rsid w:val="00E438DC"/>
    <w:rsid w:val="00E43DA0"/>
    <w:rsid w:val="00E44C83"/>
    <w:rsid w:val="00E44D30"/>
    <w:rsid w:val="00E4531F"/>
    <w:rsid w:val="00E4636C"/>
    <w:rsid w:val="00E46616"/>
    <w:rsid w:val="00E47C1D"/>
    <w:rsid w:val="00E47E77"/>
    <w:rsid w:val="00E47FFA"/>
    <w:rsid w:val="00E507EE"/>
    <w:rsid w:val="00E50814"/>
    <w:rsid w:val="00E50C20"/>
    <w:rsid w:val="00E51FFF"/>
    <w:rsid w:val="00E526E5"/>
    <w:rsid w:val="00E533FF"/>
    <w:rsid w:val="00E53A36"/>
    <w:rsid w:val="00E53FDD"/>
    <w:rsid w:val="00E54568"/>
    <w:rsid w:val="00E5631A"/>
    <w:rsid w:val="00E568BB"/>
    <w:rsid w:val="00E56B1F"/>
    <w:rsid w:val="00E56CF0"/>
    <w:rsid w:val="00E574B2"/>
    <w:rsid w:val="00E57A57"/>
    <w:rsid w:val="00E60700"/>
    <w:rsid w:val="00E61243"/>
    <w:rsid w:val="00E6225D"/>
    <w:rsid w:val="00E63B60"/>
    <w:rsid w:val="00E64267"/>
    <w:rsid w:val="00E66E91"/>
    <w:rsid w:val="00E674D8"/>
    <w:rsid w:val="00E6759E"/>
    <w:rsid w:val="00E67A5D"/>
    <w:rsid w:val="00E7052A"/>
    <w:rsid w:val="00E709B3"/>
    <w:rsid w:val="00E70D8A"/>
    <w:rsid w:val="00E70DD2"/>
    <w:rsid w:val="00E71410"/>
    <w:rsid w:val="00E719BC"/>
    <w:rsid w:val="00E73469"/>
    <w:rsid w:val="00E735EC"/>
    <w:rsid w:val="00E7415A"/>
    <w:rsid w:val="00E7505F"/>
    <w:rsid w:val="00E755BA"/>
    <w:rsid w:val="00E7767D"/>
    <w:rsid w:val="00E80022"/>
    <w:rsid w:val="00E801A0"/>
    <w:rsid w:val="00E80FAD"/>
    <w:rsid w:val="00E82897"/>
    <w:rsid w:val="00E832F6"/>
    <w:rsid w:val="00E8453C"/>
    <w:rsid w:val="00E8511B"/>
    <w:rsid w:val="00E877B7"/>
    <w:rsid w:val="00E8789F"/>
    <w:rsid w:val="00E91093"/>
    <w:rsid w:val="00E91746"/>
    <w:rsid w:val="00E92703"/>
    <w:rsid w:val="00E9360C"/>
    <w:rsid w:val="00E939E8"/>
    <w:rsid w:val="00E94567"/>
    <w:rsid w:val="00E94D08"/>
    <w:rsid w:val="00E94D5B"/>
    <w:rsid w:val="00E95E5C"/>
    <w:rsid w:val="00E97581"/>
    <w:rsid w:val="00E97B71"/>
    <w:rsid w:val="00EA280B"/>
    <w:rsid w:val="00EA2941"/>
    <w:rsid w:val="00EA2ECB"/>
    <w:rsid w:val="00EA302F"/>
    <w:rsid w:val="00EA33D2"/>
    <w:rsid w:val="00EA5AB1"/>
    <w:rsid w:val="00EB0BBF"/>
    <w:rsid w:val="00EB0C36"/>
    <w:rsid w:val="00EB3C81"/>
    <w:rsid w:val="00EB454D"/>
    <w:rsid w:val="00EB6440"/>
    <w:rsid w:val="00EB6974"/>
    <w:rsid w:val="00EB6EC8"/>
    <w:rsid w:val="00EC1617"/>
    <w:rsid w:val="00EC2D43"/>
    <w:rsid w:val="00EC32AA"/>
    <w:rsid w:val="00EC378B"/>
    <w:rsid w:val="00EC43F0"/>
    <w:rsid w:val="00EC51C7"/>
    <w:rsid w:val="00EC5BAE"/>
    <w:rsid w:val="00EC754D"/>
    <w:rsid w:val="00ED01A4"/>
    <w:rsid w:val="00ED03FC"/>
    <w:rsid w:val="00ED050F"/>
    <w:rsid w:val="00ED2993"/>
    <w:rsid w:val="00ED4F98"/>
    <w:rsid w:val="00ED51CF"/>
    <w:rsid w:val="00ED6E17"/>
    <w:rsid w:val="00ED7297"/>
    <w:rsid w:val="00ED72CF"/>
    <w:rsid w:val="00EE1B92"/>
    <w:rsid w:val="00EE308A"/>
    <w:rsid w:val="00EE3522"/>
    <w:rsid w:val="00EE36E3"/>
    <w:rsid w:val="00EE416B"/>
    <w:rsid w:val="00EE4268"/>
    <w:rsid w:val="00EE42F9"/>
    <w:rsid w:val="00EE467C"/>
    <w:rsid w:val="00EE63A0"/>
    <w:rsid w:val="00EE746A"/>
    <w:rsid w:val="00EE7A53"/>
    <w:rsid w:val="00EF035E"/>
    <w:rsid w:val="00EF08E4"/>
    <w:rsid w:val="00EF14D3"/>
    <w:rsid w:val="00EF1706"/>
    <w:rsid w:val="00EF29E0"/>
    <w:rsid w:val="00EF489C"/>
    <w:rsid w:val="00EF619B"/>
    <w:rsid w:val="00EF6A4F"/>
    <w:rsid w:val="00EF6DFC"/>
    <w:rsid w:val="00EF7FBA"/>
    <w:rsid w:val="00F00B55"/>
    <w:rsid w:val="00F01157"/>
    <w:rsid w:val="00F026B1"/>
    <w:rsid w:val="00F029DD"/>
    <w:rsid w:val="00F041AA"/>
    <w:rsid w:val="00F04361"/>
    <w:rsid w:val="00F04376"/>
    <w:rsid w:val="00F051AF"/>
    <w:rsid w:val="00F05799"/>
    <w:rsid w:val="00F05B4B"/>
    <w:rsid w:val="00F069AD"/>
    <w:rsid w:val="00F06AA8"/>
    <w:rsid w:val="00F10156"/>
    <w:rsid w:val="00F103C4"/>
    <w:rsid w:val="00F1158F"/>
    <w:rsid w:val="00F11B89"/>
    <w:rsid w:val="00F123F5"/>
    <w:rsid w:val="00F1380F"/>
    <w:rsid w:val="00F13D66"/>
    <w:rsid w:val="00F14F0E"/>
    <w:rsid w:val="00F15FE0"/>
    <w:rsid w:val="00F16984"/>
    <w:rsid w:val="00F217DB"/>
    <w:rsid w:val="00F21BF5"/>
    <w:rsid w:val="00F21CC7"/>
    <w:rsid w:val="00F22D9E"/>
    <w:rsid w:val="00F23097"/>
    <w:rsid w:val="00F23C07"/>
    <w:rsid w:val="00F23E5C"/>
    <w:rsid w:val="00F24224"/>
    <w:rsid w:val="00F24C29"/>
    <w:rsid w:val="00F253CC"/>
    <w:rsid w:val="00F2553D"/>
    <w:rsid w:val="00F26FFF"/>
    <w:rsid w:val="00F27442"/>
    <w:rsid w:val="00F27763"/>
    <w:rsid w:val="00F32274"/>
    <w:rsid w:val="00F325D4"/>
    <w:rsid w:val="00F346AC"/>
    <w:rsid w:val="00F3476F"/>
    <w:rsid w:val="00F34CD8"/>
    <w:rsid w:val="00F35197"/>
    <w:rsid w:val="00F35F1C"/>
    <w:rsid w:val="00F36379"/>
    <w:rsid w:val="00F37D6B"/>
    <w:rsid w:val="00F40DD1"/>
    <w:rsid w:val="00F41183"/>
    <w:rsid w:val="00F43000"/>
    <w:rsid w:val="00F43064"/>
    <w:rsid w:val="00F4306E"/>
    <w:rsid w:val="00F446CC"/>
    <w:rsid w:val="00F447D5"/>
    <w:rsid w:val="00F44F76"/>
    <w:rsid w:val="00F46F65"/>
    <w:rsid w:val="00F528BB"/>
    <w:rsid w:val="00F53D00"/>
    <w:rsid w:val="00F568F9"/>
    <w:rsid w:val="00F56BA5"/>
    <w:rsid w:val="00F60967"/>
    <w:rsid w:val="00F61C80"/>
    <w:rsid w:val="00F624C9"/>
    <w:rsid w:val="00F62957"/>
    <w:rsid w:val="00F62F33"/>
    <w:rsid w:val="00F63C1B"/>
    <w:rsid w:val="00F644E6"/>
    <w:rsid w:val="00F646B0"/>
    <w:rsid w:val="00F64D9B"/>
    <w:rsid w:val="00F652DB"/>
    <w:rsid w:val="00F65707"/>
    <w:rsid w:val="00F65F99"/>
    <w:rsid w:val="00F66C31"/>
    <w:rsid w:val="00F671C2"/>
    <w:rsid w:val="00F704BF"/>
    <w:rsid w:val="00F70819"/>
    <w:rsid w:val="00F70A16"/>
    <w:rsid w:val="00F70ABE"/>
    <w:rsid w:val="00F71E18"/>
    <w:rsid w:val="00F725F0"/>
    <w:rsid w:val="00F729D1"/>
    <w:rsid w:val="00F734F6"/>
    <w:rsid w:val="00F736B6"/>
    <w:rsid w:val="00F7499A"/>
    <w:rsid w:val="00F76496"/>
    <w:rsid w:val="00F769D7"/>
    <w:rsid w:val="00F77697"/>
    <w:rsid w:val="00F80CDC"/>
    <w:rsid w:val="00F81E40"/>
    <w:rsid w:val="00F828EA"/>
    <w:rsid w:val="00F8420E"/>
    <w:rsid w:val="00F84F01"/>
    <w:rsid w:val="00F8515B"/>
    <w:rsid w:val="00F87482"/>
    <w:rsid w:val="00F87F9C"/>
    <w:rsid w:val="00F902CA"/>
    <w:rsid w:val="00F91CC3"/>
    <w:rsid w:val="00F94201"/>
    <w:rsid w:val="00F9653B"/>
    <w:rsid w:val="00F96C7F"/>
    <w:rsid w:val="00F9713B"/>
    <w:rsid w:val="00FA009C"/>
    <w:rsid w:val="00FA1213"/>
    <w:rsid w:val="00FA18E7"/>
    <w:rsid w:val="00FA196C"/>
    <w:rsid w:val="00FA197C"/>
    <w:rsid w:val="00FA33C5"/>
    <w:rsid w:val="00FA35EF"/>
    <w:rsid w:val="00FA4053"/>
    <w:rsid w:val="00FA42CF"/>
    <w:rsid w:val="00FA613B"/>
    <w:rsid w:val="00FA622F"/>
    <w:rsid w:val="00FA6352"/>
    <w:rsid w:val="00FA6A7B"/>
    <w:rsid w:val="00FA6B6B"/>
    <w:rsid w:val="00FB11F4"/>
    <w:rsid w:val="00FB174A"/>
    <w:rsid w:val="00FB26D1"/>
    <w:rsid w:val="00FB2E12"/>
    <w:rsid w:val="00FB3F77"/>
    <w:rsid w:val="00FB62CF"/>
    <w:rsid w:val="00FC0390"/>
    <w:rsid w:val="00FC0EEA"/>
    <w:rsid w:val="00FC1A38"/>
    <w:rsid w:val="00FC260E"/>
    <w:rsid w:val="00FC3D6F"/>
    <w:rsid w:val="00FC3EB4"/>
    <w:rsid w:val="00FC3FC0"/>
    <w:rsid w:val="00FC4EE1"/>
    <w:rsid w:val="00FC5EA5"/>
    <w:rsid w:val="00FC653D"/>
    <w:rsid w:val="00FC67E7"/>
    <w:rsid w:val="00FC6BDE"/>
    <w:rsid w:val="00FC6C58"/>
    <w:rsid w:val="00FC6EF6"/>
    <w:rsid w:val="00FC77DD"/>
    <w:rsid w:val="00FD0C90"/>
    <w:rsid w:val="00FD0D85"/>
    <w:rsid w:val="00FD164D"/>
    <w:rsid w:val="00FD2521"/>
    <w:rsid w:val="00FD2E39"/>
    <w:rsid w:val="00FD354D"/>
    <w:rsid w:val="00FD412A"/>
    <w:rsid w:val="00FD4374"/>
    <w:rsid w:val="00FD50BD"/>
    <w:rsid w:val="00FD532C"/>
    <w:rsid w:val="00FD6116"/>
    <w:rsid w:val="00FD73D0"/>
    <w:rsid w:val="00FD7549"/>
    <w:rsid w:val="00FD7A33"/>
    <w:rsid w:val="00FE0EE6"/>
    <w:rsid w:val="00FE160B"/>
    <w:rsid w:val="00FE1AEA"/>
    <w:rsid w:val="00FE1D24"/>
    <w:rsid w:val="00FE205E"/>
    <w:rsid w:val="00FE3533"/>
    <w:rsid w:val="00FE4435"/>
    <w:rsid w:val="00FE4441"/>
    <w:rsid w:val="00FE5E10"/>
    <w:rsid w:val="00FE67F5"/>
    <w:rsid w:val="00FE6B45"/>
    <w:rsid w:val="00FE7B9E"/>
    <w:rsid w:val="00FE7ED0"/>
    <w:rsid w:val="00FF01E9"/>
    <w:rsid w:val="00FF0668"/>
    <w:rsid w:val="00FF45E4"/>
    <w:rsid w:val="00FF5851"/>
    <w:rsid w:val="00FF6950"/>
    <w:rsid w:val="00FF6D63"/>
    <w:rsid w:val="00FF7B79"/>
    <w:rsid w:val="00FF7C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3C8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272A82"/>
    <w:pPr>
      <w:keepNext/>
      <w:numPr>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60"/>
        <w:tab w:val="left" w:pos="1350"/>
      </w:tabs>
      <w:ind w:left="0" w:firstLine="0"/>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uiPriority w:val="9"/>
    <w:unhideWhenUsed/>
    <w:qFormat/>
    <w:rsid w:val="00272A82"/>
    <w:pPr>
      <w:keepNext/>
      <w:numPr>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outlineLvl w:val="1"/>
    </w:pPr>
    <w:rPr>
      <w:rFonts w:asciiTheme="majorHAnsi" w:eastAsiaTheme="majorEastAsia" w:hAnsiTheme="majorHAnsi" w:cstheme="majorBidi"/>
      <w:b/>
      <w:sz w:val="20"/>
      <w:szCs w:val="26"/>
    </w:rPr>
  </w:style>
  <w:style w:type="paragraph" w:styleId="Heading3">
    <w:name w:val="heading 3"/>
    <w:basedOn w:val="Normal"/>
    <w:next w:val="Normal"/>
    <w:link w:val="Heading3Char"/>
    <w:uiPriority w:val="9"/>
    <w:semiHidden/>
    <w:unhideWhenUsed/>
    <w:qFormat/>
    <w:rsid w:val="00272A8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272A82"/>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272A82"/>
    <w:rPr>
      <w:rFonts w:asciiTheme="majorHAnsi" w:eastAsiaTheme="majorEastAsia" w:hAnsiTheme="majorHAnsi" w:cstheme="majorBidi"/>
      <w:b/>
      <w:szCs w:val="26"/>
      <w:lang w:val="en-US" w:eastAsia="en-US"/>
    </w:rPr>
  </w:style>
  <w:style w:type="character" w:customStyle="1" w:styleId="Heading3Char">
    <w:name w:val="Heading 3 Char"/>
    <w:basedOn w:val="DefaultParagraphFont"/>
    <w:link w:val="Heading3"/>
    <w:uiPriority w:val="9"/>
    <w:semiHidden/>
    <w:rsid w:val="00272A82"/>
    <w:rPr>
      <w:rFonts w:asciiTheme="majorHAnsi" w:eastAsiaTheme="majorEastAsia" w:hAnsiTheme="majorHAnsi" w:cstheme="majorBidi"/>
      <w:color w:val="243F60" w:themeColor="accent1" w:themeShade="7F"/>
      <w:sz w:val="24"/>
      <w:szCs w:val="24"/>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272A8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Strong">
    <w:name w:val="Strong"/>
    <w:basedOn w:val="DefaultParagraphFont"/>
    <w:uiPriority w:val="22"/>
    <w:qFormat/>
    <w:rsid w:val="00272A82"/>
    <w:rPr>
      <w:b/>
      <w:bCs/>
    </w:rPr>
  </w:style>
  <w:style w:type="paragraph" w:customStyle="1" w:styleId="parrafos">
    <w:name w:val="parrafos"/>
    <w:basedOn w:val="Normal"/>
    <w:link w:val="parrafosChar"/>
    <w:qFormat/>
    <w:rsid w:val="00272A8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272A82"/>
    <w:rPr>
      <w:rFonts w:asciiTheme="majorHAnsi" w:hAnsiTheme="majorHAnsi"/>
      <w:color w:val="000000" w:themeColor="text1"/>
      <w:lang w:val="en-US" w:eastAsia="en-US"/>
    </w:rPr>
  </w:style>
  <w:style w:type="paragraph" w:customStyle="1" w:styleId="citas">
    <w:name w:val="citas"/>
    <w:link w:val="citasChar"/>
    <w:qFormat/>
    <w:rsid w:val="00272A82"/>
    <w:pPr>
      <w:ind w:left="360" w:right="360"/>
      <w:jc w:val="both"/>
    </w:pPr>
    <w:rPr>
      <w:rFonts w:ascii="Cambria" w:eastAsia="Cambria" w:hAnsi="Cambria" w:cs="Cambria"/>
      <w:color w:val="000000"/>
      <w:sz w:val="18"/>
      <w:szCs w:val="24"/>
      <w:u w:color="000000"/>
    </w:rPr>
  </w:style>
  <w:style w:type="character" w:customStyle="1" w:styleId="citasChar">
    <w:name w:val="citas Char"/>
    <w:link w:val="citas"/>
    <w:rsid w:val="00272A82"/>
    <w:rPr>
      <w:rFonts w:ascii="Cambria" w:eastAsia="Cambria" w:hAnsi="Cambria" w:cs="Cambria"/>
      <w:color w:val="000000"/>
      <w:sz w:val="18"/>
      <w:szCs w:val="24"/>
      <w:u w:color="000000"/>
    </w:rPr>
  </w:style>
  <w:style w:type="character" w:styleId="FollowedHyperlink">
    <w:name w:val="FollowedHyperlink"/>
    <w:basedOn w:val="DefaultParagraphFont"/>
    <w:uiPriority w:val="99"/>
    <w:semiHidden/>
    <w:unhideWhenUsed/>
    <w:rsid w:val="00793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TA-8-2017-0474_ES.html" TargetMode="External"/><Relationship Id="rId7" Type="http://schemas.openxmlformats.org/officeDocument/2006/relationships/hyperlink" Target="https://portal.corteconstitucional.gob.ec/Raiz/2015/258-15-SEP-CC/REL_SENTENCIA_258-15-SEP-CC.pdf" TargetMode="External"/><Relationship Id="rId2" Type="http://schemas.openxmlformats.org/officeDocument/2006/relationships/hyperlink" Target="https://www.ilo.org/wcmsp5/groups/public/---ed_emp/---ifp_skills/documents/publication/wcms_430938.pdf" TargetMode="External"/><Relationship Id="rId1" Type="http://schemas.openxmlformats.org/officeDocument/2006/relationships/hyperlink" Target="https://www.ohchr.org/EN/Issues/Disability/Pages/Instruments.aspx" TargetMode="External"/><Relationship Id="rId6" Type="http://schemas.openxmlformats.org/officeDocument/2006/relationships/hyperlink" Target="https://www.corteconstitucional.gov.co/relatoria/2017/T-340-17.htm" TargetMode="External"/><Relationship Id="rId5" Type="http://schemas.openxmlformats.org/officeDocument/2006/relationships/hyperlink" Target="https://www.ohchr.org/Documents/HRBodies/CRPD/UN2018FlagshipReportDisability.pdf" TargetMode="External"/><Relationship Id="rId4" Type="http://schemas.openxmlformats.org/officeDocument/2006/relationships/hyperlink" Target="https://www.oas.org/en/sare/documents/CIDiscap_ESP_00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B6003-5817-4C65-B1FF-217FF197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11351</Words>
  <Characters>64702</Characters>
  <Application>Microsoft Office Word</Application>
  <DocSecurity>0</DocSecurity>
  <Lines>539</Lines>
  <Paragraphs>151</Paragraphs>
  <ScaleCrop>false</ScaleCrop>
  <Company/>
  <LinksUpToDate>false</LinksUpToDate>
  <CharactersWithSpaces>75902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2021-05-19T16:39:00Z</dcterms:created>
  <dcterms:modified xsi:type="dcterms:W3CDTF">2021-05-19T16:39:00Z</dcterms:modified>
</cp:coreProperties>
</file>