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9201741"/>
    <w:bookmarkStart w:id="1" w:name="_Toc529249984"/>
    <w:p w14:paraId="61E30747" w14:textId="77777777" w:rsidR="004948B8" w:rsidRPr="002A2289" w:rsidRDefault="004948B8" w:rsidP="004948B8">
      <w:pPr>
        <w:jc w:val="both"/>
        <w:rPr>
          <w:rFonts w:asciiTheme="majorHAnsi" w:hAnsiTheme="majorHAnsi" w:cs="Univers"/>
          <w:b/>
          <w:bCs/>
          <w:sz w:val="22"/>
          <w:szCs w:val="22"/>
        </w:rPr>
      </w:pPr>
      <w:r w:rsidRPr="002A2289">
        <w:rPr>
          <w:rFonts w:asciiTheme="majorHAnsi" w:hAnsiTheme="majorHAnsi"/>
          <w:noProof/>
          <w:sz w:val="22"/>
          <w:szCs w:val="22"/>
        </w:rPr>
        <mc:AlternateContent>
          <mc:Choice Requires="wps">
            <w:drawing>
              <wp:anchor distT="0" distB="0" distL="114300" distR="114300" simplePos="0" relativeHeight="251651072" behindDoc="0" locked="0" layoutInCell="1" allowOverlap="1" wp14:anchorId="5B477396" wp14:editId="5F2A2E83">
                <wp:simplePos x="0" y="0"/>
                <wp:positionH relativeFrom="column">
                  <wp:posOffset>1212537</wp:posOffset>
                </wp:positionH>
                <wp:positionV relativeFrom="paragraph">
                  <wp:posOffset>-327660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7F09E" w14:textId="77777777" w:rsidR="00E730C9" w:rsidRDefault="00E730C9" w:rsidP="004948B8">
                            <w:r>
                              <w:rPr>
                                <w:noProof/>
                              </w:rPr>
                              <w:drawing>
                                <wp:inline distT="0" distB="0" distL="0" distR="0" wp14:anchorId="1C8DF8CF" wp14:editId="0D8EEF2D">
                                  <wp:extent cx="2497540" cy="48077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hr.jpg"/>
                                          <pic:cNvPicPr/>
                                        </pic:nvPicPr>
                                        <pic:blipFill>
                                          <a:blip r:embed="rId9">
                                            <a:extLst>
                                              <a:ext uri="{28A0092B-C50C-407E-A947-70E740481C1C}">
                                                <a14:useLocalDpi xmlns:a14="http://schemas.microsoft.com/office/drawing/2010/main" val="0"/>
                                              </a:ext>
                                            </a:extLst>
                                          </a:blip>
                                          <a:stretch>
                                            <a:fillRect/>
                                          </a:stretch>
                                        </pic:blipFill>
                                        <pic:spPr>
                                          <a:xfrm>
                                            <a:off x="0" y="0"/>
                                            <a:ext cx="2587426" cy="498079"/>
                                          </a:xfrm>
                                          <a:prstGeom prst="rect">
                                            <a:avLst/>
                                          </a:prstGeom>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477396" id="_x0000_t202" coordsize="21600,21600" o:spt="202" path="m,l,21600r21600,l21600,xe">
                <v:stroke joinstyle="miter"/>
                <v:path gradientshapeok="t" o:connecttype="rect"/>
              </v:shapetype>
              <v:shape id="Text Box 11" o:spid="_x0000_s1026" type="#_x0000_t202" style="position:absolute;left:0;text-align:left;margin-left:95.5pt;margin-top:-25.8pt;width:413.25pt;height:7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" filled="f" stroked="f" strokeweight=".5pt">
                <v:textbox>
                  <w:txbxContent>
                    <w:p w14:paraId="2777F09E" w14:textId="77777777" w:rsidR="00E730C9" w:rsidRDefault="00E730C9" w:rsidP="004948B8">
                      <w:r>
                        <w:rPr>
                          <w:noProof/>
                        </w:rPr>
                        <w:drawing>
                          <wp:inline distT="0" distB="0" distL="0" distR="0" wp14:anchorId="1C8DF8CF" wp14:editId="0D8EEF2D">
                            <wp:extent cx="2497540" cy="48077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hr.jpg"/>
                                    <pic:cNvPicPr/>
                                  </pic:nvPicPr>
                                  <pic:blipFill>
                                    <a:blip r:embed="rId10">
                                      <a:extLst>
                                        <a:ext uri="{28A0092B-C50C-407E-A947-70E740481C1C}">
                                          <a14:useLocalDpi xmlns:a14="http://schemas.microsoft.com/office/drawing/2010/main" val="0"/>
                                        </a:ext>
                                      </a:extLst>
                                    </a:blip>
                                    <a:stretch>
                                      <a:fillRect/>
                                    </a:stretch>
                                  </pic:blipFill>
                                  <pic:spPr>
                                    <a:xfrm>
                                      <a:off x="0" y="0"/>
                                      <a:ext cx="2587426" cy="498079"/>
                                    </a:xfrm>
                                    <a:prstGeom prst="rect">
                                      <a:avLst/>
                                    </a:prstGeom>
                                  </pic:spPr>
                                </pic:pic>
                              </a:graphicData>
                            </a:graphic>
                          </wp:inline>
                        </w:drawing>
                      </w:r>
                      <w:r>
                        <w:tab/>
                        <w:t xml:space="preserve">                              </w:t>
                      </w:r>
                    </w:p>
                  </w:txbxContent>
                </v:textbox>
              </v:shape>
            </w:pict>
          </mc:Fallback>
        </mc:AlternateContent>
      </w:r>
      <w:r w:rsidRPr="002A2289">
        <w:rPr>
          <w:rFonts w:asciiTheme="majorHAnsi" w:hAnsiTheme="majorHAnsi"/>
          <w:noProof/>
        </w:rPr>
        <mc:AlternateContent>
          <mc:Choice Requires="wps">
            <w:drawing>
              <wp:anchor distT="0" distB="0" distL="114300" distR="114300" simplePos="0" relativeHeight="251663360" behindDoc="0" locked="0" layoutInCell="1" allowOverlap="1" wp14:anchorId="70473C71" wp14:editId="77E6A79E">
                <wp:simplePos x="0" y="0"/>
                <wp:positionH relativeFrom="column">
                  <wp:posOffset>-523875</wp:posOffset>
                </wp:positionH>
                <wp:positionV relativeFrom="paragraph">
                  <wp:posOffset>-394970</wp:posOffset>
                </wp:positionV>
                <wp:extent cx="1409700" cy="8977630"/>
                <wp:effectExtent l="0" t="0" r="0" b="0"/>
                <wp:wrapNone/>
                <wp:docPr id="20"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87FF53" id="Rectangle 1" o:spid="_x0000_s1026" style="position:absolute;margin-left:-41.25pt;margin-top:-31.1pt;width:111pt;height:70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" fillcolor="#67ae3c" stroked="f" strokeweight="2pt"/>
            </w:pict>
          </mc:Fallback>
        </mc:AlternateContent>
      </w:r>
    </w:p>
    <w:p w14:paraId="5D9B1A8A" w14:textId="77777777" w:rsidR="004948B8" w:rsidRPr="002A2289" w:rsidRDefault="004948B8" w:rsidP="004948B8">
      <w:pPr>
        <w:jc w:val="both"/>
        <w:rPr>
          <w:rFonts w:asciiTheme="majorHAnsi" w:hAnsiTheme="majorHAnsi" w:cs="Univers"/>
          <w:b/>
          <w:bCs/>
          <w:sz w:val="22"/>
          <w:szCs w:val="22"/>
        </w:rPr>
      </w:pPr>
    </w:p>
    <w:p w14:paraId="2256019E" w14:textId="77777777" w:rsidR="004948B8" w:rsidRPr="002A2289" w:rsidRDefault="004948B8" w:rsidP="004948B8">
      <w:pPr>
        <w:tabs>
          <w:tab w:val="center" w:pos="5400"/>
        </w:tabs>
        <w:suppressAutoHyphens/>
        <w:jc w:val="both"/>
        <w:rPr>
          <w:rFonts w:asciiTheme="majorHAnsi" w:hAnsiTheme="majorHAnsi"/>
          <w:sz w:val="22"/>
          <w:szCs w:val="22"/>
        </w:rPr>
      </w:pPr>
    </w:p>
    <w:p w14:paraId="5888C9F0" w14:textId="77777777" w:rsidR="004948B8" w:rsidRPr="002A2289" w:rsidRDefault="004948B8" w:rsidP="004948B8">
      <w:pPr>
        <w:tabs>
          <w:tab w:val="center" w:pos="5400"/>
        </w:tabs>
        <w:suppressAutoHyphens/>
        <w:jc w:val="both"/>
        <w:rPr>
          <w:rFonts w:asciiTheme="majorHAnsi" w:hAnsiTheme="majorHAnsi"/>
          <w:sz w:val="22"/>
          <w:szCs w:val="22"/>
        </w:rPr>
      </w:pPr>
    </w:p>
    <w:p w14:paraId="12B7D73A" w14:textId="77777777" w:rsidR="004948B8" w:rsidRPr="002A2289" w:rsidRDefault="004948B8" w:rsidP="004948B8">
      <w:pPr>
        <w:tabs>
          <w:tab w:val="left" w:pos="2268"/>
          <w:tab w:val="left" w:pos="2410"/>
          <w:tab w:val="center" w:pos="5400"/>
        </w:tabs>
        <w:suppressAutoHyphens/>
        <w:rPr>
          <w:rFonts w:asciiTheme="majorHAnsi" w:hAnsiTheme="majorHAnsi"/>
          <w:sz w:val="22"/>
          <w:szCs w:val="22"/>
        </w:rPr>
      </w:pPr>
    </w:p>
    <w:p w14:paraId="31C89A26" w14:textId="77777777" w:rsidR="004948B8" w:rsidRPr="002A2289" w:rsidRDefault="004948B8" w:rsidP="004948B8">
      <w:pPr>
        <w:tabs>
          <w:tab w:val="center" w:pos="5400"/>
        </w:tabs>
        <w:suppressAutoHyphens/>
        <w:rPr>
          <w:rFonts w:asciiTheme="majorHAnsi" w:hAnsiTheme="majorHAnsi"/>
          <w:sz w:val="22"/>
          <w:szCs w:val="22"/>
        </w:rPr>
      </w:pPr>
    </w:p>
    <w:p w14:paraId="77CE619E" w14:textId="77777777" w:rsidR="004948B8" w:rsidRPr="002A2289" w:rsidRDefault="004948B8" w:rsidP="004948B8">
      <w:pPr>
        <w:tabs>
          <w:tab w:val="center" w:pos="5400"/>
        </w:tabs>
        <w:suppressAutoHyphens/>
        <w:rPr>
          <w:rFonts w:asciiTheme="majorHAnsi" w:hAnsiTheme="majorHAnsi"/>
          <w:sz w:val="22"/>
          <w:szCs w:val="22"/>
        </w:rPr>
      </w:pPr>
    </w:p>
    <w:p w14:paraId="4383E4FB" w14:textId="77777777" w:rsidR="004948B8" w:rsidRPr="002A2289" w:rsidRDefault="004948B8" w:rsidP="004948B8">
      <w:pPr>
        <w:tabs>
          <w:tab w:val="center" w:pos="5400"/>
        </w:tabs>
        <w:suppressAutoHyphens/>
        <w:jc w:val="center"/>
        <w:rPr>
          <w:rFonts w:asciiTheme="majorHAnsi" w:hAnsiTheme="majorHAnsi"/>
          <w:sz w:val="22"/>
          <w:szCs w:val="22"/>
        </w:rPr>
      </w:pPr>
    </w:p>
    <w:p w14:paraId="35F45151" w14:textId="77777777" w:rsidR="004948B8" w:rsidRPr="002A2289" w:rsidRDefault="004948B8" w:rsidP="004948B8">
      <w:pPr>
        <w:tabs>
          <w:tab w:val="center" w:pos="5400"/>
        </w:tabs>
        <w:suppressAutoHyphens/>
        <w:jc w:val="center"/>
        <w:rPr>
          <w:rFonts w:asciiTheme="majorHAnsi" w:hAnsiTheme="majorHAnsi"/>
          <w:sz w:val="22"/>
          <w:szCs w:val="22"/>
        </w:rPr>
      </w:pPr>
    </w:p>
    <w:p w14:paraId="78E06BFC" w14:textId="77777777" w:rsidR="004948B8" w:rsidRPr="002A2289" w:rsidRDefault="004948B8" w:rsidP="004948B8">
      <w:pPr>
        <w:tabs>
          <w:tab w:val="center" w:pos="5400"/>
        </w:tabs>
        <w:suppressAutoHyphens/>
        <w:jc w:val="center"/>
        <w:rPr>
          <w:rFonts w:asciiTheme="majorHAnsi" w:hAnsiTheme="majorHAnsi"/>
          <w:sz w:val="22"/>
          <w:szCs w:val="22"/>
        </w:rPr>
      </w:pPr>
    </w:p>
    <w:p w14:paraId="549BA166" w14:textId="77777777" w:rsidR="004948B8" w:rsidRPr="002A2289" w:rsidRDefault="004948B8" w:rsidP="004948B8">
      <w:pPr>
        <w:tabs>
          <w:tab w:val="left" w:pos="2127"/>
          <w:tab w:val="center" w:pos="5400"/>
        </w:tabs>
        <w:suppressAutoHyphens/>
        <w:jc w:val="center"/>
        <w:rPr>
          <w:rFonts w:asciiTheme="majorHAnsi" w:hAnsiTheme="majorHAnsi"/>
          <w:sz w:val="22"/>
          <w:szCs w:val="22"/>
        </w:rPr>
      </w:pPr>
    </w:p>
    <w:p w14:paraId="718BB3D2" w14:textId="77777777" w:rsidR="004948B8" w:rsidRPr="002A2289" w:rsidRDefault="004948B8" w:rsidP="004948B8">
      <w:pPr>
        <w:tabs>
          <w:tab w:val="center" w:pos="5400"/>
        </w:tabs>
        <w:suppressAutoHyphens/>
        <w:jc w:val="center"/>
        <w:rPr>
          <w:rFonts w:asciiTheme="majorHAnsi" w:hAnsiTheme="majorHAnsi"/>
          <w:sz w:val="22"/>
          <w:szCs w:val="22"/>
        </w:rPr>
      </w:pPr>
    </w:p>
    <w:p w14:paraId="177E8377" w14:textId="77777777" w:rsidR="004948B8" w:rsidRPr="002A2289" w:rsidRDefault="004948B8" w:rsidP="004948B8">
      <w:pPr>
        <w:tabs>
          <w:tab w:val="center" w:pos="5400"/>
        </w:tabs>
        <w:suppressAutoHyphens/>
        <w:jc w:val="center"/>
        <w:rPr>
          <w:rFonts w:asciiTheme="majorHAnsi" w:hAnsiTheme="majorHAnsi"/>
          <w:sz w:val="22"/>
          <w:szCs w:val="22"/>
        </w:rPr>
      </w:pPr>
    </w:p>
    <w:p w14:paraId="6B862F97" w14:textId="77777777" w:rsidR="004948B8" w:rsidRPr="002A2289" w:rsidRDefault="004948B8" w:rsidP="004948B8">
      <w:pPr>
        <w:tabs>
          <w:tab w:val="center" w:pos="5400"/>
        </w:tabs>
        <w:suppressAutoHyphens/>
        <w:jc w:val="center"/>
        <w:rPr>
          <w:rFonts w:asciiTheme="majorHAnsi" w:hAnsiTheme="majorHAnsi"/>
          <w:sz w:val="22"/>
          <w:szCs w:val="22"/>
        </w:rPr>
      </w:pPr>
    </w:p>
    <w:p w14:paraId="15DC9903" w14:textId="77777777" w:rsidR="004948B8" w:rsidRPr="002A2289" w:rsidRDefault="004948B8" w:rsidP="004948B8">
      <w:pPr>
        <w:tabs>
          <w:tab w:val="center" w:pos="5400"/>
        </w:tabs>
        <w:suppressAutoHyphens/>
        <w:jc w:val="center"/>
        <w:rPr>
          <w:rFonts w:asciiTheme="majorHAnsi" w:hAnsiTheme="majorHAnsi"/>
          <w:sz w:val="22"/>
          <w:szCs w:val="22"/>
        </w:rPr>
      </w:pPr>
      <w:r w:rsidRPr="002A2289">
        <w:rPr>
          <w:rFonts w:asciiTheme="majorHAnsi" w:hAnsiTheme="majorHAnsi"/>
          <w:noProof/>
          <w:sz w:val="22"/>
          <w:szCs w:val="22"/>
        </w:rPr>
        <mc:AlternateContent>
          <mc:Choice Requires="wps">
            <w:drawing>
              <wp:anchor distT="0" distB="0" distL="114300" distR="114300" simplePos="0" relativeHeight="251642880" behindDoc="0" locked="0" layoutInCell="1" allowOverlap="1" wp14:anchorId="66B9603E" wp14:editId="70AE108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3C8D4" w14:textId="13C6628A" w:rsidR="00E730C9" w:rsidRPr="00921478" w:rsidRDefault="00E730C9" w:rsidP="004948B8">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EA3E07">
                              <w:rPr>
                                <w:rFonts w:asciiTheme="majorHAnsi" w:hAnsiTheme="majorHAnsi"/>
                                <w:b/>
                                <w:bCs/>
                                <w:color w:val="0D0D0D" w:themeColor="text1" w:themeTint="F2"/>
                                <w:sz w:val="36"/>
                              </w:rPr>
                              <w:t>147</w:t>
                            </w:r>
                            <w:r>
                              <w:rPr>
                                <w:rFonts w:asciiTheme="majorHAnsi" w:hAnsiTheme="majorHAnsi"/>
                                <w:b/>
                                <w:bCs/>
                                <w:color w:val="0D0D0D" w:themeColor="text1" w:themeTint="F2"/>
                                <w:sz w:val="36"/>
                              </w:rPr>
                              <w:t>/18</w:t>
                            </w:r>
                          </w:p>
                          <w:p w14:paraId="789C5A1C" w14:textId="6FD9583A" w:rsidR="00E730C9" w:rsidRPr="00851570" w:rsidRDefault="00E730C9" w:rsidP="004948B8">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CASE 12.950</w:t>
                            </w:r>
                          </w:p>
                          <w:p w14:paraId="2139CFFF" w14:textId="77777777" w:rsidR="00E730C9" w:rsidRPr="0010736F" w:rsidRDefault="00E730C9" w:rsidP="004948B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MERITS </w:t>
                            </w:r>
                          </w:p>
                          <w:p w14:paraId="41ED2BCC" w14:textId="77777777" w:rsidR="00E730C9" w:rsidRPr="0010736F" w:rsidRDefault="00E730C9" w:rsidP="004948B8">
                            <w:pPr>
                              <w:spacing w:line="276" w:lineRule="auto"/>
                              <w:rPr>
                                <w:rFonts w:asciiTheme="majorHAnsi" w:hAnsiTheme="majorHAnsi" w:cs="Arial"/>
                                <w:color w:val="0D0D0D" w:themeColor="text1" w:themeTint="F2"/>
                                <w:szCs w:val="22"/>
                              </w:rPr>
                            </w:pPr>
                            <w:bookmarkStart w:id="2" w:name="_ftnref1"/>
                          </w:p>
                          <w:bookmarkEnd w:id="2"/>
                          <w:p w14:paraId="42B619DC" w14:textId="77777777" w:rsidR="00E730C9" w:rsidRDefault="00E730C9" w:rsidP="004948B8">
                            <w:pPr>
                              <w:spacing w:line="276" w:lineRule="auto"/>
                              <w:rPr>
                                <w:rFonts w:asciiTheme="majorHAnsi" w:hAnsiTheme="majorHAnsi"/>
                                <w:color w:val="0D0D0D" w:themeColor="text1" w:themeTint="F2"/>
                                <w:szCs w:val="22"/>
                              </w:rPr>
                            </w:pPr>
                            <w:r w:rsidRPr="00EC7AB1">
                              <w:rPr>
                                <w:rFonts w:asciiTheme="majorHAnsi" w:hAnsiTheme="majorHAnsi"/>
                                <w:color w:val="0D0D0D" w:themeColor="text1" w:themeTint="F2"/>
                                <w:szCs w:val="22"/>
                              </w:rPr>
                              <w:t>RUFINO JORGE ALMEIDA</w:t>
                            </w:r>
                          </w:p>
                          <w:p w14:paraId="5F0AE436" w14:textId="77777777" w:rsidR="00E730C9" w:rsidRPr="0010736F" w:rsidRDefault="00E730C9" w:rsidP="004948B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ARGENTINA</w:t>
                            </w:r>
                          </w:p>
                          <w:p w14:paraId="3FE1DCE9" w14:textId="77777777" w:rsidR="00E730C9" w:rsidRPr="00AE5488" w:rsidRDefault="00E730C9" w:rsidP="004948B8">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7E3C8D4" w14:textId="13C6628A" w:rsidR="00E730C9" w:rsidRPr="00921478" w:rsidRDefault="00E730C9" w:rsidP="004948B8">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EA3E07">
                        <w:rPr>
                          <w:rFonts w:asciiTheme="majorHAnsi" w:hAnsiTheme="majorHAnsi"/>
                          <w:b/>
                          <w:bCs/>
                          <w:color w:val="0D0D0D" w:themeColor="text1" w:themeTint="F2"/>
                          <w:sz w:val="36"/>
                        </w:rPr>
                        <w:t>147</w:t>
                      </w:r>
                      <w:r>
                        <w:rPr>
                          <w:rFonts w:asciiTheme="majorHAnsi" w:hAnsiTheme="majorHAnsi"/>
                          <w:b/>
                          <w:bCs/>
                          <w:color w:val="0D0D0D" w:themeColor="text1" w:themeTint="F2"/>
                          <w:sz w:val="36"/>
                        </w:rPr>
                        <w:t>/18</w:t>
                      </w:r>
                    </w:p>
                    <w:p w14:paraId="789C5A1C" w14:textId="6FD9583A" w:rsidR="00E730C9" w:rsidRPr="00851570" w:rsidRDefault="00E730C9" w:rsidP="004948B8">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CASE 12.950</w:t>
                      </w:r>
                    </w:p>
                    <w:p w14:paraId="2139CFFF" w14:textId="77777777" w:rsidR="00E730C9" w:rsidRPr="0010736F" w:rsidRDefault="00E730C9" w:rsidP="004948B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MERITS </w:t>
                      </w:r>
                    </w:p>
                    <w:p w14:paraId="41ED2BCC" w14:textId="77777777" w:rsidR="00E730C9" w:rsidRPr="0010736F" w:rsidRDefault="00E730C9" w:rsidP="004948B8">
                      <w:pPr>
                        <w:spacing w:line="276" w:lineRule="auto"/>
                        <w:rPr>
                          <w:rFonts w:asciiTheme="majorHAnsi" w:hAnsiTheme="majorHAnsi" w:cs="Arial"/>
                          <w:color w:val="0D0D0D" w:themeColor="text1" w:themeTint="F2"/>
                          <w:szCs w:val="22"/>
                        </w:rPr>
                      </w:pPr>
                      <w:bookmarkStart w:id="3" w:name="_ftnref1"/>
                    </w:p>
                    <w:bookmarkEnd w:id="3"/>
                    <w:p w14:paraId="42B619DC" w14:textId="77777777" w:rsidR="00E730C9" w:rsidRDefault="00E730C9" w:rsidP="004948B8">
                      <w:pPr>
                        <w:spacing w:line="276" w:lineRule="auto"/>
                        <w:rPr>
                          <w:rFonts w:asciiTheme="majorHAnsi" w:hAnsiTheme="majorHAnsi"/>
                          <w:color w:val="0D0D0D" w:themeColor="text1" w:themeTint="F2"/>
                          <w:szCs w:val="22"/>
                        </w:rPr>
                      </w:pPr>
                      <w:r w:rsidRPr="00EC7AB1">
                        <w:rPr>
                          <w:rFonts w:asciiTheme="majorHAnsi" w:hAnsiTheme="majorHAnsi"/>
                          <w:color w:val="0D0D0D" w:themeColor="text1" w:themeTint="F2"/>
                          <w:szCs w:val="22"/>
                        </w:rPr>
                        <w:t>RUFINO JORGE ALMEIDA</w:t>
                      </w:r>
                    </w:p>
                    <w:p w14:paraId="5F0AE436" w14:textId="77777777" w:rsidR="00E730C9" w:rsidRPr="0010736F" w:rsidRDefault="00E730C9" w:rsidP="004948B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ARGENTINA</w:t>
                      </w:r>
                    </w:p>
                    <w:p w14:paraId="3FE1DCE9" w14:textId="77777777" w:rsidR="00E730C9" w:rsidRPr="00AE5488" w:rsidRDefault="00E730C9" w:rsidP="004948B8">
                      <w:pPr>
                        <w:rPr>
                          <w:color w:val="0D0D0D" w:themeColor="text1" w:themeTint="F2"/>
                        </w:rPr>
                      </w:pPr>
                    </w:p>
                  </w:txbxContent>
                </v:textbox>
              </v:shape>
            </w:pict>
          </mc:Fallback>
        </mc:AlternateContent>
      </w:r>
    </w:p>
    <w:p w14:paraId="4AE6C3F5" w14:textId="77777777" w:rsidR="004948B8" w:rsidRPr="002A2289" w:rsidRDefault="004948B8" w:rsidP="004948B8">
      <w:pPr>
        <w:tabs>
          <w:tab w:val="center" w:pos="5400"/>
        </w:tabs>
        <w:suppressAutoHyphens/>
        <w:jc w:val="center"/>
        <w:rPr>
          <w:rFonts w:asciiTheme="majorHAnsi" w:hAnsiTheme="majorHAnsi"/>
          <w:sz w:val="22"/>
          <w:szCs w:val="22"/>
        </w:rPr>
      </w:pPr>
    </w:p>
    <w:p w14:paraId="11F86CDE" w14:textId="77777777" w:rsidR="004948B8" w:rsidRPr="002A2289" w:rsidRDefault="004948B8" w:rsidP="004948B8">
      <w:pPr>
        <w:tabs>
          <w:tab w:val="center" w:pos="5400"/>
        </w:tabs>
        <w:suppressAutoHyphens/>
        <w:jc w:val="center"/>
        <w:rPr>
          <w:rFonts w:asciiTheme="majorHAnsi" w:hAnsiTheme="majorHAnsi"/>
          <w:sz w:val="22"/>
          <w:szCs w:val="22"/>
        </w:rPr>
      </w:pPr>
      <w:r w:rsidRPr="002A2289">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60BBE081" wp14:editId="22A0A52F">
                <wp:simplePos x="0" y="0"/>
                <wp:positionH relativeFrom="column">
                  <wp:posOffset>-564515</wp:posOffset>
                </wp:positionH>
                <wp:positionV relativeFrom="paragraph">
                  <wp:posOffset>30480</wp:posOffset>
                </wp:positionV>
                <wp:extent cx="1402715" cy="1235075"/>
                <wp:effectExtent l="0" t="0" r="0" b="31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235075"/>
                        </a:xfrm>
                        <a:prstGeom prst="rect">
                          <a:avLst/>
                        </a:prstGeom>
                        <a:noFill/>
                        <a:ln w="9525">
                          <a:noFill/>
                          <a:miter lim="800000"/>
                          <a:headEnd/>
                          <a:tailEnd/>
                        </a:ln>
                      </wps:spPr>
                      <wps:txbx>
                        <w:txbxContent>
                          <w:p w14:paraId="1C426E84" w14:textId="51A835AD" w:rsidR="00E730C9" w:rsidRPr="00EA3E07" w:rsidRDefault="00E730C9" w:rsidP="004948B8">
                            <w:pPr>
                              <w:spacing w:line="276" w:lineRule="auto"/>
                              <w:jc w:val="right"/>
                              <w:rPr>
                                <w:rFonts w:asciiTheme="minorHAnsi" w:hAnsiTheme="minorHAnsi"/>
                                <w:color w:val="FFFFFF" w:themeColor="background1"/>
                                <w:sz w:val="22"/>
                                <w:lang w:val="pt-BR"/>
                              </w:rPr>
                            </w:pPr>
                            <w:r w:rsidRPr="00EA3E07">
                              <w:rPr>
                                <w:rFonts w:asciiTheme="minorHAnsi" w:hAnsiTheme="minorHAnsi"/>
                                <w:color w:val="FFFFFF" w:themeColor="background1"/>
                                <w:sz w:val="22"/>
                                <w:lang w:val="pt-BR"/>
                              </w:rPr>
                              <w:t>OEA/Ser.L/V/II.</w:t>
                            </w:r>
                            <w:r w:rsidR="00EA3E07" w:rsidRPr="00EA3E07">
                              <w:rPr>
                                <w:rFonts w:asciiTheme="minorHAnsi" w:hAnsiTheme="minorHAnsi"/>
                                <w:color w:val="FFFFFF" w:themeColor="background1"/>
                                <w:sz w:val="22"/>
                                <w:lang w:val="pt-BR"/>
                              </w:rPr>
                              <w:t>1</w:t>
                            </w:r>
                            <w:r w:rsidR="00EA3E07">
                              <w:rPr>
                                <w:rFonts w:asciiTheme="minorHAnsi" w:hAnsiTheme="minorHAnsi"/>
                                <w:color w:val="FFFFFF" w:themeColor="background1"/>
                                <w:sz w:val="22"/>
                                <w:lang w:val="pt-BR"/>
                              </w:rPr>
                              <w:t>70</w:t>
                            </w:r>
                          </w:p>
                          <w:p w14:paraId="3B968E5A" w14:textId="1237EEC9" w:rsidR="00E730C9" w:rsidRPr="00EA3E07" w:rsidRDefault="00E730C9" w:rsidP="004948B8">
                            <w:pPr>
                              <w:spacing w:line="276" w:lineRule="auto"/>
                              <w:jc w:val="right"/>
                              <w:rPr>
                                <w:rFonts w:asciiTheme="minorHAnsi" w:hAnsiTheme="minorHAnsi"/>
                                <w:color w:val="FFFFFF" w:themeColor="background1"/>
                                <w:sz w:val="22"/>
                                <w:lang w:val="pt-BR"/>
                              </w:rPr>
                            </w:pPr>
                            <w:r w:rsidRPr="00EA3E07">
                              <w:rPr>
                                <w:rFonts w:asciiTheme="minorHAnsi" w:hAnsiTheme="minorHAnsi"/>
                                <w:color w:val="FFFFFF" w:themeColor="background1"/>
                                <w:sz w:val="22"/>
                                <w:lang w:val="pt-BR"/>
                              </w:rPr>
                              <w:t xml:space="preserve">Doc. </w:t>
                            </w:r>
                            <w:r w:rsidR="00EA3E07">
                              <w:rPr>
                                <w:rFonts w:asciiTheme="minorHAnsi" w:hAnsiTheme="minorHAnsi"/>
                                <w:color w:val="FFFFFF" w:themeColor="background1"/>
                                <w:sz w:val="22"/>
                                <w:lang w:val="pt-BR"/>
                              </w:rPr>
                              <w:t>169</w:t>
                            </w:r>
                          </w:p>
                          <w:p w14:paraId="19DFE8B7" w14:textId="7F6BA274" w:rsidR="00E730C9" w:rsidRPr="000F1101" w:rsidRDefault="00EA3E07" w:rsidP="004948B8">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w:t>
                            </w:r>
                            <w:r w:rsidR="00E730C9" w:rsidRPr="000F1101">
                              <w:rPr>
                                <w:rFonts w:asciiTheme="minorHAnsi" w:hAnsiTheme="minorHAnsi"/>
                                <w:color w:val="FFFFFF" w:themeColor="background1"/>
                                <w:sz w:val="22"/>
                              </w:rPr>
                              <w:t xml:space="preserve"> December 2018</w:t>
                            </w:r>
                          </w:p>
                          <w:p w14:paraId="3DEF7C0A" w14:textId="77777777" w:rsidR="00E730C9" w:rsidRPr="000F1101" w:rsidRDefault="00E730C9" w:rsidP="004948B8">
                            <w:pPr>
                              <w:spacing w:line="276" w:lineRule="auto"/>
                              <w:jc w:val="right"/>
                              <w:rPr>
                                <w:rFonts w:asciiTheme="minorHAnsi" w:hAnsiTheme="minorHAnsi"/>
                                <w:color w:val="FFFFFF" w:themeColor="background1"/>
                                <w:sz w:val="22"/>
                              </w:rPr>
                            </w:pPr>
                            <w:r w:rsidRPr="000F1101">
                              <w:rPr>
                                <w:rFonts w:asciiTheme="minorHAnsi" w:hAnsiTheme="minorHAnsi"/>
                                <w:color w:val="FFFFFF" w:themeColor="background1"/>
                                <w:sz w:val="22"/>
                              </w:rPr>
                              <w:t>Original: Spanish</w:t>
                            </w:r>
                          </w:p>
                          <w:p w14:paraId="27765105" w14:textId="77777777" w:rsidR="00E730C9" w:rsidRPr="000F1101" w:rsidRDefault="00E730C9" w:rsidP="004948B8"/>
                          <w:p w14:paraId="010EE7F0" w14:textId="77777777" w:rsidR="00E730C9" w:rsidRDefault="00E730C9" w:rsidP="004948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8" type="#_x0000_t202" style="position:absolute;left:0;text-align:left;margin-left:-44.45pt;margin-top:2.4pt;width:110.45pt;height:97.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" filled="f" stroked="f">
                <v:textbox style="mso-fit-shape-to-text:t">
                  <w:txbxContent>
                    <w:p w14:paraId="1C426E84" w14:textId="51A835AD" w:rsidR="00E730C9" w:rsidRPr="00EA3E07" w:rsidRDefault="00E730C9" w:rsidP="004948B8">
                      <w:pPr>
                        <w:spacing w:line="276" w:lineRule="auto"/>
                        <w:jc w:val="right"/>
                        <w:rPr>
                          <w:rFonts w:asciiTheme="minorHAnsi" w:hAnsiTheme="minorHAnsi"/>
                          <w:color w:val="FFFFFF" w:themeColor="background1"/>
                          <w:sz w:val="22"/>
                          <w:lang w:val="pt-BR"/>
                        </w:rPr>
                      </w:pPr>
                      <w:r w:rsidRPr="00EA3E07">
                        <w:rPr>
                          <w:rFonts w:asciiTheme="minorHAnsi" w:hAnsiTheme="minorHAnsi"/>
                          <w:color w:val="FFFFFF" w:themeColor="background1"/>
                          <w:sz w:val="22"/>
                          <w:lang w:val="pt-BR"/>
                        </w:rPr>
                        <w:t>OEA/Ser.L/V/II.</w:t>
                      </w:r>
                      <w:r w:rsidR="00EA3E07" w:rsidRPr="00EA3E07">
                        <w:rPr>
                          <w:rFonts w:asciiTheme="minorHAnsi" w:hAnsiTheme="minorHAnsi"/>
                          <w:color w:val="FFFFFF" w:themeColor="background1"/>
                          <w:sz w:val="22"/>
                          <w:lang w:val="pt-BR"/>
                        </w:rPr>
                        <w:t>1</w:t>
                      </w:r>
                      <w:r w:rsidR="00EA3E07">
                        <w:rPr>
                          <w:rFonts w:asciiTheme="minorHAnsi" w:hAnsiTheme="minorHAnsi"/>
                          <w:color w:val="FFFFFF" w:themeColor="background1"/>
                          <w:sz w:val="22"/>
                          <w:lang w:val="pt-BR"/>
                        </w:rPr>
                        <w:t>70</w:t>
                      </w:r>
                    </w:p>
                    <w:p w14:paraId="3B968E5A" w14:textId="1237EEC9" w:rsidR="00E730C9" w:rsidRPr="00EA3E07" w:rsidRDefault="00E730C9" w:rsidP="004948B8">
                      <w:pPr>
                        <w:spacing w:line="276" w:lineRule="auto"/>
                        <w:jc w:val="right"/>
                        <w:rPr>
                          <w:rFonts w:asciiTheme="minorHAnsi" w:hAnsiTheme="minorHAnsi"/>
                          <w:color w:val="FFFFFF" w:themeColor="background1"/>
                          <w:sz w:val="22"/>
                          <w:lang w:val="pt-BR"/>
                        </w:rPr>
                      </w:pPr>
                      <w:r w:rsidRPr="00EA3E07">
                        <w:rPr>
                          <w:rFonts w:asciiTheme="minorHAnsi" w:hAnsiTheme="minorHAnsi"/>
                          <w:color w:val="FFFFFF" w:themeColor="background1"/>
                          <w:sz w:val="22"/>
                          <w:lang w:val="pt-BR"/>
                        </w:rPr>
                        <w:t xml:space="preserve">Doc. </w:t>
                      </w:r>
                      <w:r w:rsidR="00EA3E07">
                        <w:rPr>
                          <w:rFonts w:asciiTheme="minorHAnsi" w:hAnsiTheme="minorHAnsi"/>
                          <w:color w:val="FFFFFF" w:themeColor="background1"/>
                          <w:sz w:val="22"/>
                          <w:lang w:val="pt-BR"/>
                        </w:rPr>
                        <w:t>169</w:t>
                      </w:r>
                    </w:p>
                    <w:p w14:paraId="19DFE8B7" w14:textId="7F6BA274" w:rsidR="00E730C9" w:rsidRPr="000F1101" w:rsidRDefault="00EA3E07" w:rsidP="004948B8">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w:t>
                      </w:r>
                      <w:r w:rsidR="00E730C9" w:rsidRPr="000F1101">
                        <w:rPr>
                          <w:rFonts w:asciiTheme="minorHAnsi" w:hAnsiTheme="minorHAnsi"/>
                          <w:color w:val="FFFFFF" w:themeColor="background1"/>
                          <w:sz w:val="22"/>
                        </w:rPr>
                        <w:t xml:space="preserve"> December 2018</w:t>
                      </w:r>
                    </w:p>
                    <w:p w14:paraId="3DEF7C0A" w14:textId="77777777" w:rsidR="00E730C9" w:rsidRPr="000F1101" w:rsidRDefault="00E730C9" w:rsidP="004948B8">
                      <w:pPr>
                        <w:spacing w:line="276" w:lineRule="auto"/>
                        <w:jc w:val="right"/>
                        <w:rPr>
                          <w:rFonts w:asciiTheme="minorHAnsi" w:hAnsiTheme="minorHAnsi"/>
                          <w:color w:val="FFFFFF" w:themeColor="background1"/>
                          <w:sz w:val="22"/>
                        </w:rPr>
                      </w:pPr>
                      <w:r w:rsidRPr="000F1101">
                        <w:rPr>
                          <w:rFonts w:asciiTheme="minorHAnsi" w:hAnsiTheme="minorHAnsi"/>
                          <w:color w:val="FFFFFF" w:themeColor="background1"/>
                          <w:sz w:val="22"/>
                        </w:rPr>
                        <w:t>Original: Spanish</w:t>
                      </w:r>
                    </w:p>
                    <w:p w14:paraId="27765105" w14:textId="77777777" w:rsidR="00E730C9" w:rsidRPr="000F1101" w:rsidRDefault="00E730C9" w:rsidP="004948B8"/>
                    <w:p w14:paraId="010EE7F0" w14:textId="77777777" w:rsidR="00E730C9" w:rsidRDefault="00E730C9" w:rsidP="004948B8"/>
                  </w:txbxContent>
                </v:textbox>
              </v:shape>
            </w:pict>
          </mc:Fallback>
        </mc:AlternateContent>
      </w:r>
    </w:p>
    <w:p w14:paraId="0275327B" w14:textId="77777777" w:rsidR="004948B8" w:rsidRPr="002A2289" w:rsidRDefault="004948B8" w:rsidP="004948B8">
      <w:pPr>
        <w:tabs>
          <w:tab w:val="center" w:pos="5400"/>
        </w:tabs>
        <w:suppressAutoHyphens/>
        <w:jc w:val="center"/>
        <w:rPr>
          <w:rFonts w:asciiTheme="majorHAnsi" w:hAnsiTheme="majorHAnsi" w:cs="Arial"/>
          <w:sz w:val="22"/>
          <w:szCs w:val="22"/>
        </w:rPr>
      </w:pPr>
    </w:p>
    <w:p w14:paraId="651E4424" w14:textId="77777777" w:rsidR="004948B8" w:rsidRPr="002A2289" w:rsidRDefault="004948B8" w:rsidP="004948B8">
      <w:pPr>
        <w:tabs>
          <w:tab w:val="center" w:pos="5400"/>
        </w:tabs>
        <w:suppressAutoHyphens/>
        <w:jc w:val="center"/>
        <w:rPr>
          <w:rFonts w:asciiTheme="majorHAnsi" w:hAnsiTheme="majorHAnsi"/>
          <w:sz w:val="22"/>
          <w:szCs w:val="22"/>
        </w:rPr>
      </w:pPr>
    </w:p>
    <w:p w14:paraId="55290068" w14:textId="77777777" w:rsidR="004948B8" w:rsidRPr="002A2289" w:rsidRDefault="004948B8" w:rsidP="004948B8">
      <w:pPr>
        <w:tabs>
          <w:tab w:val="center" w:pos="5400"/>
        </w:tabs>
        <w:suppressAutoHyphens/>
        <w:jc w:val="center"/>
        <w:rPr>
          <w:rFonts w:asciiTheme="majorHAnsi" w:hAnsiTheme="majorHAnsi"/>
          <w:sz w:val="22"/>
          <w:szCs w:val="22"/>
        </w:rPr>
      </w:pPr>
    </w:p>
    <w:p w14:paraId="210172C5" w14:textId="77777777" w:rsidR="004948B8" w:rsidRPr="002A2289" w:rsidRDefault="004948B8" w:rsidP="004948B8">
      <w:pPr>
        <w:tabs>
          <w:tab w:val="center" w:pos="5400"/>
        </w:tabs>
        <w:suppressAutoHyphens/>
        <w:jc w:val="center"/>
        <w:rPr>
          <w:rFonts w:asciiTheme="majorHAnsi" w:hAnsiTheme="majorHAnsi"/>
          <w:sz w:val="22"/>
          <w:szCs w:val="22"/>
        </w:rPr>
      </w:pPr>
    </w:p>
    <w:p w14:paraId="4F9CB300" w14:textId="77777777" w:rsidR="004948B8" w:rsidRPr="002A2289" w:rsidRDefault="004948B8" w:rsidP="004948B8">
      <w:pPr>
        <w:tabs>
          <w:tab w:val="center" w:pos="5400"/>
        </w:tabs>
        <w:suppressAutoHyphens/>
        <w:jc w:val="center"/>
        <w:rPr>
          <w:rFonts w:asciiTheme="majorHAnsi" w:hAnsiTheme="majorHAnsi"/>
          <w:sz w:val="22"/>
          <w:szCs w:val="22"/>
        </w:rPr>
      </w:pPr>
    </w:p>
    <w:p w14:paraId="498BF31F" w14:textId="77777777" w:rsidR="004948B8" w:rsidRPr="002A2289" w:rsidRDefault="004948B8" w:rsidP="004948B8">
      <w:pPr>
        <w:tabs>
          <w:tab w:val="center" w:pos="5400"/>
        </w:tabs>
        <w:suppressAutoHyphens/>
        <w:jc w:val="center"/>
        <w:rPr>
          <w:rFonts w:asciiTheme="majorHAnsi" w:hAnsiTheme="majorHAnsi"/>
          <w:sz w:val="22"/>
          <w:szCs w:val="22"/>
        </w:rPr>
      </w:pPr>
    </w:p>
    <w:p w14:paraId="18FACA39" w14:textId="77777777" w:rsidR="004948B8" w:rsidRPr="002A2289" w:rsidRDefault="004948B8" w:rsidP="004948B8">
      <w:pPr>
        <w:tabs>
          <w:tab w:val="center" w:pos="5400"/>
        </w:tabs>
        <w:suppressAutoHyphens/>
        <w:jc w:val="center"/>
        <w:rPr>
          <w:rFonts w:asciiTheme="majorHAnsi" w:hAnsiTheme="majorHAnsi"/>
          <w:sz w:val="22"/>
          <w:szCs w:val="22"/>
        </w:rPr>
      </w:pPr>
    </w:p>
    <w:p w14:paraId="682CBE01" w14:textId="77777777" w:rsidR="004948B8" w:rsidRPr="002A2289" w:rsidRDefault="004948B8" w:rsidP="004948B8">
      <w:pPr>
        <w:tabs>
          <w:tab w:val="center" w:pos="5400"/>
        </w:tabs>
        <w:suppressAutoHyphens/>
        <w:jc w:val="center"/>
        <w:rPr>
          <w:rFonts w:asciiTheme="majorHAnsi" w:hAnsiTheme="majorHAnsi"/>
          <w:sz w:val="22"/>
          <w:szCs w:val="22"/>
        </w:rPr>
      </w:pPr>
    </w:p>
    <w:p w14:paraId="17820947" w14:textId="77777777" w:rsidR="004948B8" w:rsidRPr="002A2289" w:rsidRDefault="004948B8" w:rsidP="004948B8">
      <w:pPr>
        <w:tabs>
          <w:tab w:val="center" w:pos="5400"/>
        </w:tabs>
        <w:suppressAutoHyphens/>
        <w:jc w:val="center"/>
        <w:rPr>
          <w:rFonts w:asciiTheme="majorHAnsi" w:hAnsiTheme="majorHAnsi"/>
          <w:sz w:val="22"/>
          <w:szCs w:val="22"/>
        </w:rPr>
      </w:pPr>
    </w:p>
    <w:p w14:paraId="72AAA542" w14:textId="77777777" w:rsidR="004948B8" w:rsidRPr="002A2289" w:rsidRDefault="004948B8" w:rsidP="004948B8">
      <w:pPr>
        <w:tabs>
          <w:tab w:val="center" w:pos="5400"/>
        </w:tabs>
        <w:suppressAutoHyphens/>
        <w:jc w:val="center"/>
        <w:rPr>
          <w:rFonts w:asciiTheme="majorHAnsi" w:hAnsiTheme="majorHAnsi"/>
          <w:sz w:val="22"/>
          <w:szCs w:val="22"/>
        </w:rPr>
      </w:pPr>
    </w:p>
    <w:p w14:paraId="1792C539" w14:textId="77777777" w:rsidR="004948B8" w:rsidRPr="002A2289" w:rsidRDefault="004948B8" w:rsidP="004948B8">
      <w:pPr>
        <w:tabs>
          <w:tab w:val="center" w:pos="5400"/>
        </w:tabs>
        <w:suppressAutoHyphens/>
        <w:jc w:val="center"/>
        <w:rPr>
          <w:rFonts w:asciiTheme="majorHAnsi" w:hAnsiTheme="majorHAnsi"/>
          <w:sz w:val="22"/>
          <w:szCs w:val="22"/>
        </w:rPr>
      </w:pPr>
    </w:p>
    <w:p w14:paraId="74A4D313" w14:textId="77777777" w:rsidR="004948B8" w:rsidRPr="002A2289" w:rsidRDefault="004948B8" w:rsidP="004948B8">
      <w:pPr>
        <w:tabs>
          <w:tab w:val="center" w:pos="5400"/>
        </w:tabs>
        <w:suppressAutoHyphens/>
        <w:jc w:val="center"/>
        <w:rPr>
          <w:rFonts w:asciiTheme="majorHAnsi" w:hAnsiTheme="majorHAnsi"/>
          <w:sz w:val="22"/>
          <w:szCs w:val="22"/>
        </w:rPr>
      </w:pPr>
    </w:p>
    <w:p w14:paraId="72428905" w14:textId="77777777" w:rsidR="004948B8" w:rsidRPr="002A2289" w:rsidRDefault="004948B8" w:rsidP="004948B8">
      <w:pPr>
        <w:tabs>
          <w:tab w:val="center" w:pos="5400"/>
        </w:tabs>
        <w:suppressAutoHyphens/>
        <w:jc w:val="center"/>
        <w:rPr>
          <w:rFonts w:asciiTheme="majorHAnsi" w:hAnsiTheme="majorHAnsi"/>
          <w:sz w:val="18"/>
          <w:szCs w:val="22"/>
        </w:rPr>
      </w:pPr>
    </w:p>
    <w:p w14:paraId="7D8F6E3D" w14:textId="77777777" w:rsidR="004948B8" w:rsidRPr="002A2289" w:rsidRDefault="004948B8" w:rsidP="004948B8">
      <w:pPr>
        <w:tabs>
          <w:tab w:val="center" w:pos="5400"/>
        </w:tabs>
        <w:suppressAutoHyphens/>
        <w:jc w:val="center"/>
        <w:rPr>
          <w:rFonts w:asciiTheme="majorHAnsi" w:hAnsiTheme="majorHAnsi"/>
          <w:sz w:val="18"/>
          <w:szCs w:val="22"/>
        </w:rPr>
      </w:pPr>
    </w:p>
    <w:p w14:paraId="028509E2" w14:textId="77777777" w:rsidR="004948B8" w:rsidRPr="002A2289" w:rsidRDefault="004948B8" w:rsidP="004948B8">
      <w:pPr>
        <w:tabs>
          <w:tab w:val="center" w:pos="5400"/>
        </w:tabs>
        <w:suppressAutoHyphens/>
        <w:jc w:val="center"/>
        <w:rPr>
          <w:rFonts w:asciiTheme="majorHAnsi" w:hAnsiTheme="majorHAnsi"/>
          <w:sz w:val="18"/>
          <w:szCs w:val="22"/>
        </w:rPr>
      </w:pPr>
    </w:p>
    <w:p w14:paraId="44D8CFFC" w14:textId="77777777" w:rsidR="004948B8" w:rsidRPr="002A2289" w:rsidRDefault="004948B8" w:rsidP="004948B8">
      <w:pPr>
        <w:tabs>
          <w:tab w:val="center" w:pos="5400"/>
        </w:tabs>
        <w:suppressAutoHyphens/>
        <w:jc w:val="center"/>
        <w:rPr>
          <w:rFonts w:asciiTheme="majorHAnsi" w:hAnsiTheme="majorHAnsi"/>
          <w:sz w:val="18"/>
          <w:szCs w:val="22"/>
        </w:rPr>
      </w:pPr>
    </w:p>
    <w:p w14:paraId="4CAFC8D2" w14:textId="77777777" w:rsidR="004948B8" w:rsidRPr="002A2289" w:rsidRDefault="004948B8" w:rsidP="004948B8">
      <w:pPr>
        <w:tabs>
          <w:tab w:val="center" w:pos="5400"/>
        </w:tabs>
        <w:suppressAutoHyphens/>
        <w:jc w:val="center"/>
        <w:rPr>
          <w:rFonts w:asciiTheme="majorHAnsi" w:hAnsiTheme="majorHAnsi"/>
          <w:sz w:val="18"/>
          <w:szCs w:val="22"/>
        </w:rPr>
      </w:pPr>
    </w:p>
    <w:p w14:paraId="0EB7FBB4" w14:textId="77777777" w:rsidR="004948B8" w:rsidRPr="002A2289" w:rsidRDefault="004948B8" w:rsidP="004948B8">
      <w:pPr>
        <w:tabs>
          <w:tab w:val="center" w:pos="5400"/>
        </w:tabs>
        <w:suppressAutoHyphens/>
        <w:jc w:val="center"/>
        <w:rPr>
          <w:rFonts w:asciiTheme="majorHAnsi" w:hAnsiTheme="majorHAnsi"/>
          <w:sz w:val="18"/>
          <w:szCs w:val="22"/>
        </w:rPr>
      </w:pPr>
    </w:p>
    <w:p w14:paraId="433FF2F2" w14:textId="77777777" w:rsidR="004948B8" w:rsidRPr="002A2289" w:rsidRDefault="004948B8" w:rsidP="004948B8">
      <w:pPr>
        <w:tabs>
          <w:tab w:val="center" w:pos="5400"/>
        </w:tabs>
        <w:suppressAutoHyphens/>
        <w:jc w:val="center"/>
        <w:rPr>
          <w:rFonts w:asciiTheme="majorHAnsi" w:hAnsiTheme="majorHAnsi"/>
          <w:sz w:val="18"/>
          <w:szCs w:val="22"/>
        </w:rPr>
      </w:pPr>
    </w:p>
    <w:p w14:paraId="0757FD7E" w14:textId="77777777" w:rsidR="004948B8" w:rsidRPr="002A2289" w:rsidRDefault="004948B8" w:rsidP="004948B8">
      <w:pPr>
        <w:tabs>
          <w:tab w:val="center" w:pos="5400"/>
        </w:tabs>
        <w:suppressAutoHyphens/>
        <w:jc w:val="center"/>
        <w:rPr>
          <w:rFonts w:asciiTheme="majorHAnsi" w:hAnsiTheme="majorHAnsi"/>
          <w:sz w:val="18"/>
          <w:szCs w:val="22"/>
        </w:rPr>
      </w:pPr>
    </w:p>
    <w:p w14:paraId="55A47A80" w14:textId="77777777" w:rsidR="004948B8" w:rsidRPr="002A2289" w:rsidRDefault="004948B8" w:rsidP="004948B8">
      <w:pPr>
        <w:tabs>
          <w:tab w:val="center" w:pos="5400"/>
        </w:tabs>
        <w:suppressAutoHyphens/>
        <w:jc w:val="center"/>
        <w:rPr>
          <w:rFonts w:asciiTheme="majorHAnsi" w:hAnsiTheme="majorHAnsi"/>
          <w:sz w:val="18"/>
          <w:szCs w:val="22"/>
        </w:rPr>
      </w:pPr>
    </w:p>
    <w:p w14:paraId="21FC7564" w14:textId="77777777" w:rsidR="004948B8" w:rsidRPr="002A2289" w:rsidRDefault="004948B8" w:rsidP="004948B8">
      <w:pPr>
        <w:tabs>
          <w:tab w:val="center" w:pos="5400"/>
        </w:tabs>
        <w:suppressAutoHyphens/>
        <w:jc w:val="center"/>
        <w:rPr>
          <w:rFonts w:asciiTheme="majorHAnsi" w:hAnsiTheme="majorHAnsi"/>
          <w:sz w:val="18"/>
          <w:szCs w:val="22"/>
        </w:rPr>
      </w:pPr>
      <w:r w:rsidRPr="002A2289">
        <w:rPr>
          <w:rFonts w:asciiTheme="majorHAnsi" w:hAnsiTheme="majorHAnsi"/>
          <w:noProof/>
          <w:sz w:val="22"/>
          <w:szCs w:val="22"/>
        </w:rPr>
        <mc:AlternateContent>
          <mc:Choice Requires="wps">
            <w:drawing>
              <wp:anchor distT="0" distB="0" distL="114300" distR="114300" simplePos="0" relativeHeight="251646976" behindDoc="0" locked="0" layoutInCell="1" allowOverlap="1" wp14:anchorId="07EDBA45" wp14:editId="460F9367">
                <wp:simplePos x="0" y="0"/>
                <wp:positionH relativeFrom="column">
                  <wp:posOffset>1365885</wp:posOffset>
                </wp:positionH>
                <wp:positionV relativeFrom="paragraph">
                  <wp:posOffset>94615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D379B" w14:textId="6FEE83D7" w:rsidR="00E730C9" w:rsidRPr="0091083E" w:rsidRDefault="00E730C9" w:rsidP="00EA3E07">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szCs w:val="20"/>
                              </w:rPr>
                              <w:t xml:space="preserve">Approved by the Commission at its session No. </w:t>
                            </w:r>
                            <w:r w:rsidR="00EA3E07">
                              <w:rPr>
                                <w:rFonts w:asciiTheme="majorHAnsi" w:hAnsiTheme="majorHAnsi"/>
                                <w:color w:val="0D0D0D" w:themeColor="text1" w:themeTint="F2"/>
                                <w:sz w:val="18"/>
                                <w:szCs w:val="20"/>
                              </w:rPr>
                              <w:t>2142</w:t>
                            </w:r>
                            <w:r>
                              <w:rPr>
                                <w:rFonts w:asciiTheme="majorHAnsi" w:hAnsiTheme="majorHAnsi"/>
                                <w:color w:val="0D0D0D" w:themeColor="text1" w:themeTint="F2"/>
                                <w:sz w:val="18"/>
                                <w:szCs w:val="20"/>
                              </w:rPr>
                              <w:t xml:space="preserve"> held on </w:t>
                            </w:r>
                            <w:r w:rsidR="00EA3E07">
                              <w:rPr>
                                <w:rFonts w:asciiTheme="majorHAnsi" w:hAnsiTheme="majorHAnsi"/>
                                <w:color w:val="0D0D0D" w:themeColor="text1" w:themeTint="F2"/>
                                <w:sz w:val="18"/>
                                <w:szCs w:val="20"/>
                              </w:rPr>
                              <w:t>December 7</w:t>
                            </w:r>
                            <w:r>
                              <w:rPr>
                                <w:rFonts w:asciiTheme="majorHAnsi" w:hAnsiTheme="majorHAnsi"/>
                                <w:color w:val="0D0D0D" w:themeColor="text1" w:themeTint="F2"/>
                                <w:sz w:val="18"/>
                                <w:szCs w:val="20"/>
                              </w:rPr>
                              <w:t>, 2018</w:t>
                            </w:r>
                            <w:r>
                              <w:rPr>
                                <w:rFonts w:asciiTheme="majorHAnsi" w:hAnsiTheme="majorHAnsi"/>
                                <w:color w:val="0D0D0D" w:themeColor="text1" w:themeTint="F2"/>
                                <w:sz w:val="18"/>
                                <w:szCs w:val="20"/>
                              </w:rPr>
                              <w:br/>
                            </w:r>
                            <w:r w:rsidR="00EA3E07">
                              <w:rPr>
                                <w:rFonts w:asciiTheme="majorHAnsi" w:hAnsiTheme="majorHAnsi"/>
                                <w:color w:val="0D0D0D" w:themeColor="text1" w:themeTint="F2"/>
                                <w:sz w:val="18"/>
                                <w:szCs w:val="20"/>
                              </w:rPr>
                              <w:t>170</w:t>
                            </w:r>
                            <w:r>
                              <w:rPr>
                                <w:rFonts w:asciiTheme="majorHAnsi" w:hAnsiTheme="majorHAnsi"/>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7.55pt;margin-top:7.45pt;width:388.5pt;height:5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" filled="f" stroked="f" strokeweight=".5pt">
                <v:textbox>
                  <w:txbxContent>
                    <w:p w14:paraId="651D379B" w14:textId="6FEE83D7" w:rsidR="00E730C9" w:rsidRPr="0091083E" w:rsidRDefault="00E730C9" w:rsidP="00EA3E07">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szCs w:val="20"/>
                        </w:rPr>
                        <w:t xml:space="preserve">Approved by the Commission at its session No. </w:t>
                      </w:r>
                      <w:r w:rsidR="00EA3E07">
                        <w:rPr>
                          <w:rFonts w:asciiTheme="majorHAnsi" w:hAnsiTheme="majorHAnsi"/>
                          <w:color w:val="0D0D0D" w:themeColor="text1" w:themeTint="F2"/>
                          <w:sz w:val="18"/>
                          <w:szCs w:val="20"/>
                        </w:rPr>
                        <w:t>2142</w:t>
                      </w:r>
                      <w:r>
                        <w:rPr>
                          <w:rFonts w:asciiTheme="majorHAnsi" w:hAnsiTheme="majorHAnsi"/>
                          <w:color w:val="0D0D0D" w:themeColor="text1" w:themeTint="F2"/>
                          <w:sz w:val="18"/>
                          <w:szCs w:val="20"/>
                        </w:rPr>
                        <w:t xml:space="preserve"> held on </w:t>
                      </w:r>
                      <w:r w:rsidR="00EA3E07">
                        <w:rPr>
                          <w:rFonts w:asciiTheme="majorHAnsi" w:hAnsiTheme="majorHAnsi"/>
                          <w:color w:val="0D0D0D" w:themeColor="text1" w:themeTint="F2"/>
                          <w:sz w:val="18"/>
                          <w:szCs w:val="20"/>
                        </w:rPr>
                        <w:t>December 7</w:t>
                      </w:r>
                      <w:r>
                        <w:rPr>
                          <w:rFonts w:asciiTheme="majorHAnsi" w:hAnsiTheme="majorHAnsi"/>
                          <w:color w:val="0D0D0D" w:themeColor="text1" w:themeTint="F2"/>
                          <w:sz w:val="18"/>
                          <w:szCs w:val="20"/>
                        </w:rPr>
                        <w:t>, 2018</w:t>
                      </w:r>
                      <w:r>
                        <w:rPr>
                          <w:rFonts w:asciiTheme="majorHAnsi" w:hAnsiTheme="majorHAnsi"/>
                          <w:color w:val="0D0D0D" w:themeColor="text1" w:themeTint="F2"/>
                          <w:sz w:val="18"/>
                          <w:szCs w:val="20"/>
                        </w:rPr>
                        <w:br/>
                      </w:r>
                      <w:r w:rsidR="00EA3E07">
                        <w:rPr>
                          <w:rFonts w:asciiTheme="majorHAnsi" w:hAnsiTheme="majorHAnsi"/>
                          <w:color w:val="0D0D0D" w:themeColor="text1" w:themeTint="F2"/>
                          <w:sz w:val="18"/>
                          <w:szCs w:val="20"/>
                        </w:rPr>
                        <w:t>170</w:t>
                      </w:r>
                      <w:r>
                        <w:rPr>
                          <w:rFonts w:asciiTheme="majorHAnsi" w:hAnsiTheme="majorHAnsi"/>
                          <w:color w:val="0D0D0D" w:themeColor="text1" w:themeTint="F2"/>
                          <w:sz w:val="18"/>
                          <w:szCs w:val="20"/>
                        </w:rPr>
                        <w:t xml:space="preserve"> Regular Period of Sessions</w:t>
                      </w:r>
                    </w:p>
                  </w:txbxContent>
                </v:textbox>
              </v:shape>
            </w:pict>
          </mc:Fallback>
        </mc:AlternateContent>
      </w:r>
    </w:p>
    <w:p w14:paraId="6D303E97" w14:textId="77777777" w:rsidR="004948B8" w:rsidRPr="002A2289" w:rsidRDefault="004948B8" w:rsidP="004948B8">
      <w:pPr>
        <w:tabs>
          <w:tab w:val="center" w:pos="5400"/>
        </w:tabs>
        <w:suppressAutoHyphens/>
        <w:jc w:val="center"/>
        <w:rPr>
          <w:rFonts w:asciiTheme="majorHAnsi" w:hAnsiTheme="majorHAnsi"/>
          <w:sz w:val="18"/>
          <w:szCs w:val="22"/>
        </w:rPr>
      </w:pPr>
    </w:p>
    <w:p w14:paraId="6EDE08B6" w14:textId="77777777" w:rsidR="004948B8" w:rsidRPr="002A2289" w:rsidRDefault="004948B8" w:rsidP="004948B8">
      <w:pPr>
        <w:tabs>
          <w:tab w:val="center" w:pos="5400"/>
        </w:tabs>
        <w:suppressAutoHyphens/>
        <w:jc w:val="center"/>
        <w:rPr>
          <w:rFonts w:asciiTheme="majorHAnsi" w:hAnsiTheme="majorHAnsi"/>
          <w:sz w:val="18"/>
          <w:szCs w:val="22"/>
        </w:rPr>
      </w:pPr>
    </w:p>
    <w:p w14:paraId="570110A6" w14:textId="77777777" w:rsidR="004948B8" w:rsidRPr="002A2289" w:rsidRDefault="004948B8" w:rsidP="004948B8">
      <w:pPr>
        <w:tabs>
          <w:tab w:val="center" w:pos="5400"/>
        </w:tabs>
        <w:suppressAutoHyphens/>
        <w:jc w:val="center"/>
        <w:rPr>
          <w:rFonts w:asciiTheme="majorHAnsi" w:hAnsiTheme="majorHAnsi"/>
          <w:sz w:val="18"/>
          <w:szCs w:val="22"/>
        </w:rPr>
      </w:pPr>
    </w:p>
    <w:p w14:paraId="5EE884BF" w14:textId="77777777" w:rsidR="004948B8" w:rsidRPr="002A2289" w:rsidRDefault="004948B8" w:rsidP="004948B8">
      <w:pPr>
        <w:tabs>
          <w:tab w:val="center" w:pos="5400"/>
        </w:tabs>
        <w:suppressAutoHyphens/>
        <w:jc w:val="center"/>
        <w:rPr>
          <w:rFonts w:asciiTheme="majorHAnsi" w:hAnsiTheme="majorHAnsi"/>
          <w:sz w:val="18"/>
          <w:szCs w:val="22"/>
        </w:rPr>
      </w:pPr>
    </w:p>
    <w:p w14:paraId="1939886D" w14:textId="77777777" w:rsidR="004948B8" w:rsidRPr="002A2289" w:rsidRDefault="004948B8" w:rsidP="004948B8">
      <w:pPr>
        <w:tabs>
          <w:tab w:val="center" w:pos="5400"/>
        </w:tabs>
        <w:suppressAutoHyphens/>
        <w:jc w:val="center"/>
        <w:rPr>
          <w:rFonts w:asciiTheme="majorHAnsi" w:hAnsiTheme="majorHAnsi"/>
          <w:sz w:val="18"/>
          <w:szCs w:val="22"/>
        </w:rPr>
      </w:pPr>
      <w:r w:rsidRPr="002A2289">
        <w:rPr>
          <w:rFonts w:asciiTheme="majorHAnsi" w:hAnsiTheme="majorHAnsi"/>
          <w:noProof/>
          <w:sz w:val="18"/>
          <w:szCs w:val="22"/>
        </w:rPr>
        <mc:AlternateContent>
          <mc:Choice Requires="wps">
            <w:drawing>
              <wp:anchor distT="0" distB="0" distL="114300" distR="114300" simplePos="0" relativeHeight="251655168" behindDoc="0" locked="0" layoutInCell="1" allowOverlap="1" wp14:anchorId="5E96A1F2" wp14:editId="53CF9E59">
                <wp:simplePos x="0" y="0"/>
                <wp:positionH relativeFrom="column">
                  <wp:posOffset>1333500</wp:posOffset>
                </wp:positionH>
                <wp:positionV relativeFrom="paragraph">
                  <wp:posOffset>73660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6A4AD" w14:textId="7A40F13F" w:rsidR="00E730C9" w:rsidRPr="00EA3E07" w:rsidRDefault="00E730C9" w:rsidP="00EA3E07">
                            <w:pPr>
                              <w:spacing w:line="276" w:lineRule="auto"/>
                              <w:jc w:val="both"/>
                              <w:rPr>
                                <w:rFonts w:asciiTheme="majorHAnsi" w:hAnsiTheme="majorHAnsi"/>
                                <w:color w:val="595959" w:themeColor="text1" w:themeTint="A6"/>
                                <w:sz w:val="18"/>
                                <w:szCs w:val="18"/>
                                <w:lang w:val="pt-BR"/>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w:t>
                            </w:r>
                            <w:r w:rsidRPr="00EA3E07">
                              <w:rPr>
                                <w:rFonts w:asciiTheme="majorHAnsi" w:hAnsiTheme="majorHAnsi"/>
                                <w:color w:val="595959" w:themeColor="text1" w:themeTint="A6"/>
                                <w:sz w:val="18"/>
                                <w:szCs w:val="18"/>
                              </w:rPr>
                              <w:t xml:space="preserve">IACHR. </w:t>
                            </w:r>
                            <w:r w:rsidR="00EA3E07" w:rsidRPr="00EA3E07">
                              <w:rPr>
                                <w:rFonts w:asciiTheme="majorHAnsi" w:hAnsiTheme="majorHAnsi"/>
                                <w:color w:val="595959" w:themeColor="text1" w:themeTint="A6"/>
                                <w:sz w:val="18"/>
                                <w:szCs w:val="18"/>
                              </w:rPr>
                              <w:t>Report No. 147/18</w:t>
                            </w:r>
                            <w:r w:rsidRPr="00EA3E07">
                              <w:rPr>
                                <w:rFonts w:asciiTheme="majorHAnsi" w:hAnsiTheme="majorHAnsi"/>
                                <w:color w:val="595959" w:themeColor="text1" w:themeTint="A6"/>
                                <w:sz w:val="18"/>
                                <w:szCs w:val="18"/>
                              </w:rPr>
                              <w:t xml:space="preserve">. </w:t>
                            </w:r>
                            <w:proofErr w:type="gramStart"/>
                            <w:r w:rsidRPr="00EA3E07">
                              <w:rPr>
                                <w:rFonts w:asciiTheme="majorHAnsi" w:hAnsiTheme="majorHAnsi"/>
                                <w:color w:val="595959" w:themeColor="text1" w:themeTint="A6"/>
                                <w:sz w:val="18"/>
                                <w:szCs w:val="18"/>
                              </w:rPr>
                              <w:t>Case 12.950.</w:t>
                            </w:r>
                            <w:proofErr w:type="gramEnd"/>
                            <w:r w:rsidRPr="00EA3E07">
                              <w:rPr>
                                <w:rFonts w:asciiTheme="majorHAnsi" w:hAnsiTheme="majorHAnsi"/>
                                <w:color w:val="595959" w:themeColor="text1" w:themeTint="A6"/>
                                <w:sz w:val="18"/>
                                <w:szCs w:val="18"/>
                              </w:rPr>
                              <w:t xml:space="preserve"> </w:t>
                            </w:r>
                            <w:r w:rsidRPr="00EA3E07">
                              <w:rPr>
                                <w:rFonts w:asciiTheme="majorHAnsi" w:hAnsiTheme="majorHAnsi"/>
                                <w:color w:val="595959" w:themeColor="text1" w:themeTint="A6"/>
                                <w:sz w:val="18"/>
                                <w:szCs w:val="18"/>
                                <w:lang w:val="pt-BR"/>
                              </w:rPr>
                              <w:t xml:space="preserve">Merits. Rufino Jorge Almeida. Argentina. </w:t>
                            </w:r>
                          </w:p>
                          <w:p w14:paraId="3AC8652D" w14:textId="270D003B" w:rsidR="00E730C9" w:rsidRPr="002A2289" w:rsidRDefault="00EA3E07" w:rsidP="00EA3E07">
                            <w:pPr>
                              <w:spacing w:line="276" w:lineRule="auto"/>
                              <w:jc w:val="both"/>
                              <w:rPr>
                                <w:rFonts w:asciiTheme="majorHAnsi" w:hAnsiTheme="majorHAnsi"/>
                                <w:color w:val="595959" w:themeColor="text1" w:themeTint="A6"/>
                                <w:sz w:val="18"/>
                                <w:szCs w:val="18"/>
                                <w:lang w:val="pt-BR"/>
                              </w:rPr>
                            </w:pPr>
                            <w:r w:rsidRPr="00EA3E07">
                              <w:rPr>
                                <w:rFonts w:asciiTheme="majorHAnsi" w:hAnsiTheme="majorHAnsi"/>
                                <w:color w:val="595959" w:themeColor="text1" w:themeTint="A6"/>
                                <w:sz w:val="18"/>
                                <w:szCs w:val="18"/>
                                <w:lang w:val="pt-BR"/>
                              </w:rPr>
                              <w:t>December 7, 2018</w:t>
                            </w:r>
                            <w:r w:rsidR="00E730C9" w:rsidRPr="00EA3E07">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5.8pt;width:389.2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" filled="f" stroked="f" strokeweight=".5pt">
                <v:textbox>
                  <w:txbxContent>
                    <w:p w14:paraId="5666A4AD" w14:textId="7A40F13F" w:rsidR="00E730C9" w:rsidRPr="00EA3E07" w:rsidRDefault="00E730C9" w:rsidP="00EA3E07">
                      <w:pPr>
                        <w:spacing w:line="276" w:lineRule="auto"/>
                        <w:jc w:val="both"/>
                        <w:rPr>
                          <w:rFonts w:asciiTheme="majorHAnsi" w:hAnsiTheme="majorHAnsi"/>
                          <w:color w:val="595959" w:themeColor="text1" w:themeTint="A6"/>
                          <w:sz w:val="18"/>
                          <w:szCs w:val="18"/>
                          <w:lang w:val="pt-BR"/>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w:t>
                      </w:r>
                      <w:r w:rsidRPr="00EA3E07">
                        <w:rPr>
                          <w:rFonts w:asciiTheme="majorHAnsi" w:hAnsiTheme="majorHAnsi"/>
                          <w:color w:val="595959" w:themeColor="text1" w:themeTint="A6"/>
                          <w:sz w:val="18"/>
                          <w:szCs w:val="18"/>
                        </w:rPr>
                        <w:t xml:space="preserve">IACHR. </w:t>
                      </w:r>
                      <w:r w:rsidR="00EA3E07" w:rsidRPr="00EA3E07">
                        <w:rPr>
                          <w:rFonts w:asciiTheme="majorHAnsi" w:hAnsiTheme="majorHAnsi"/>
                          <w:color w:val="595959" w:themeColor="text1" w:themeTint="A6"/>
                          <w:sz w:val="18"/>
                          <w:szCs w:val="18"/>
                        </w:rPr>
                        <w:t>Report No. 147/18</w:t>
                      </w:r>
                      <w:r w:rsidRPr="00EA3E07">
                        <w:rPr>
                          <w:rFonts w:asciiTheme="majorHAnsi" w:hAnsiTheme="majorHAnsi"/>
                          <w:color w:val="595959" w:themeColor="text1" w:themeTint="A6"/>
                          <w:sz w:val="18"/>
                          <w:szCs w:val="18"/>
                        </w:rPr>
                        <w:t xml:space="preserve">. </w:t>
                      </w:r>
                      <w:proofErr w:type="gramStart"/>
                      <w:r w:rsidRPr="00EA3E07">
                        <w:rPr>
                          <w:rFonts w:asciiTheme="majorHAnsi" w:hAnsiTheme="majorHAnsi"/>
                          <w:color w:val="595959" w:themeColor="text1" w:themeTint="A6"/>
                          <w:sz w:val="18"/>
                          <w:szCs w:val="18"/>
                        </w:rPr>
                        <w:t>Case 12.950.</w:t>
                      </w:r>
                      <w:proofErr w:type="gramEnd"/>
                      <w:r w:rsidRPr="00EA3E07">
                        <w:rPr>
                          <w:rFonts w:asciiTheme="majorHAnsi" w:hAnsiTheme="majorHAnsi"/>
                          <w:color w:val="595959" w:themeColor="text1" w:themeTint="A6"/>
                          <w:sz w:val="18"/>
                          <w:szCs w:val="18"/>
                        </w:rPr>
                        <w:t xml:space="preserve"> </w:t>
                      </w:r>
                      <w:r w:rsidRPr="00EA3E07">
                        <w:rPr>
                          <w:rFonts w:asciiTheme="majorHAnsi" w:hAnsiTheme="majorHAnsi"/>
                          <w:color w:val="595959" w:themeColor="text1" w:themeTint="A6"/>
                          <w:sz w:val="18"/>
                          <w:szCs w:val="18"/>
                          <w:lang w:val="pt-BR"/>
                        </w:rPr>
                        <w:t xml:space="preserve">Merits. Rufino Jorge Almeida. Argentina. </w:t>
                      </w:r>
                    </w:p>
                    <w:p w14:paraId="3AC8652D" w14:textId="270D003B" w:rsidR="00E730C9" w:rsidRPr="002A2289" w:rsidRDefault="00EA3E07" w:rsidP="00EA3E07">
                      <w:pPr>
                        <w:spacing w:line="276" w:lineRule="auto"/>
                        <w:jc w:val="both"/>
                        <w:rPr>
                          <w:rFonts w:asciiTheme="majorHAnsi" w:hAnsiTheme="majorHAnsi"/>
                          <w:color w:val="595959" w:themeColor="text1" w:themeTint="A6"/>
                          <w:sz w:val="18"/>
                          <w:szCs w:val="18"/>
                          <w:lang w:val="pt-BR"/>
                        </w:rPr>
                      </w:pPr>
                      <w:r w:rsidRPr="00EA3E07">
                        <w:rPr>
                          <w:rFonts w:asciiTheme="majorHAnsi" w:hAnsiTheme="majorHAnsi"/>
                          <w:color w:val="595959" w:themeColor="text1" w:themeTint="A6"/>
                          <w:sz w:val="18"/>
                          <w:szCs w:val="18"/>
                          <w:lang w:val="pt-BR"/>
                        </w:rPr>
                        <w:t>December 7, 2018</w:t>
                      </w:r>
                      <w:r w:rsidR="00E730C9" w:rsidRPr="00EA3E07">
                        <w:rPr>
                          <w:rFonts w:asciiTheme="majorHAnsi" w:hAnsiTheme="majorHAnsi"/>
                          <w:color w:val="595959" w:themeColor="text1" w:themeTint="A6"/>
                          <w:sz w:val="18"/>
                          <w:szCs w:val="18"/>
                          <w:lang w:val="pt-BR"/>
                        </w:rPr>
                        <w:t>.</w:t>
                      </w:r>
                    </w:p>
                  </w:txbxContent>
                </v:textbox>
              </v:shape>
            </w:pict>
          </mc:Fallback>
        </mc:AlternateContent>
      </w:r>
    </w:p>
    <w:p w14:paraId="4F338CCC" w14:textId="77777777" w:rsidR="004948B8" w:rsidRPr="002A2289" w:rsidRDefault="004948B8" w:rsidP="004948B8">
      <w:pPr>
        <w:tabs>
          <w:tab w:val="center" w:pos="5400"/>
        </w:tabs>
        <w:suppressAutoHyphens/>
        <w:jc w:val="center"/>
        <w:rPr>
          <w:rFonts w:asciiTheme="majorHAnsi" w:hAnsiTheme="majorHAnsi"/>
          <w:sz w:val="18"/>
          <w:szCs w:val="22"/>
        </w:rPr>
      </w:pPr>
    </w:p>
    <w:p w14:paraId="07AD47BA" w14:textId="77777777" w:rsidR="004948B8" w:rsidRPr="002A2289" w:rsidRDefault="004948B8" w:rsidP="004948B8">
      <w:pPr>
        <w:tabs>
          <w:tab w:val="center" w:pos="5400"/>
        </w:tabs>
        <w:suppressAutoHyphens/>
        <w:jc w:val="center"/>
        <w:rPr>
          <w:rFonts w:asciiTheme="majorHAnsi" w:hAnsiTheme="majorHAnsi"/>
          <w:sz w:val="18"/>
          <w:szCs w:val="22"/>
        </w:rPr>
      </w:pPr>
    </w:p>
    <w:p w14:paraId="1DA56757" w14:textId="77777777" w:rsidR="004948B8" w:rsidRPr="002A2289" w:rsidRDefault="004948B8" w:rsidP="004948B8">
      <w:pPr>
        <w:tabs>
          <w:tab w:val="center" w:pos="5400"/>
        </w:tabs>
        <w:suppressAutoHyphens/>
        <w:jc w:val="center"/>
        <w:rPr>
          <w:rFonts w:asciiTheme="majorHAnsi" w:hAnsiTheme="majorHAnsi"/>
          <w:sz w:val="18"/>
          <w:szCs w:val="22"/>
        </w:rPr>
      </w:pPr>
    </w:p>
    <w:p w14:paraId="6D7A33FE" w14:textId="77777777" w:rsidR="004948B8" w:rsidRPr="002A2289" w:rsidRDefault="004948B8" w:rsidP="004948B8">
      <w:pPr>
        <w:tabs>
          <w:tab w:val="center" w:pos="5400"/>
        </w:tabs>
        <w:suppressAutoHyphens/>
        <w:jc w:val="center"/>
        <w:rPr>
          <w:rFonts w:asciiTheme="majorHAnsi" w:hAnsiTheme="majorHAnsi"/>
          <w:sz w:val="18"/>
          <w:szCs w:val="22"/>
        </w:rPr>
      </w:pPr>
    </w:p>
    <w:p w14:paraId="04298ABE" w14:textId="77777777" w:rsidR="004948B8" w:rsidRPr="002A2289" w:rsidRDefault="004948B8" w:rsidP="004948B8">
      <w:pPr>
        <w:tabs>
          <w:tab w:val="center" w:pos="5400"/>
        </w:tabs>
        <w:suppressAutoHyphens/>
        <w:jc w:val="center"/>
        <w:rPr>
          <w:rFonts w:asciiTheme="majorHAnsi" w:hAnsiTheme="majorHAnsi"/>
          <w:sz w:val="18"/>
          <w:szCs w:val="22"/>
        </w:rPr>
      </w:pPr>
    </w:p>
    <w:p w14:paraId="48BC4B0D" w14:textId="77777777" w:rsidR="004948B8" w:rsidRPr="002A2289" w:rsidRDefault="004948B8" w:rsidP="004948B8">
      <w:pPr>
        <w:tabs>
          <w:tab w:val="center" w:pos="5400"/>
        </w:tabs>
        <w:suppressAutoHyphens/>
        <w:jc w:val="center"/>
        <w:rPr>
          <w:rFonts w:asciiTheme="majorHAnsi" w:hAnsiTheme="majorHAnsi"/>
          <w:sz w:val="18"/>
          <w:szCs w:val="22"/>
        </w:rPr>
      </w:pPr>
    </w:p>
    <w:p w14:paraId="7A981C1E" w14:textId="77777777" w:rsidR="004948B8" w:rsidRPr="002A2289" w:rsidRDefault="004948B8" w:rsidP="004948B8">
      <w:pPr>
        <w:tabs>
          <w:tab w:val="left" w:pos="1985"/>
          <w:tab w:val="left" w:pos="2268"/>
          <w:tab w:val="left" w:pos="2694"/>
          <w:tab w:val="center" w:pos="5400"/>
        </w:tabs>
        <w:suppressAutoHyphens/>
        <w:jc w:val="center"/>
        <w:rPr>
          <w:rFonts w:asciiTheme="majorHAnsi" w:hAnsiTheme="majorHAnsi"/>
          <w:b/>
          <w:sz w:val="20"/>
        </w:rPr>
      </w:pPr>
      <w:r w:rsidRPr="002A2289">
        <w:rPr>
          <w:rFonts w:asciiTheme="majorHAnsi" w:hAnsiTheme="majorHAnsi"/>
          <w:noProof/>
          <w:sz w:val="18"/>
          <w:szCs w:val="22"/>
        </w:rPr>
        <w:drawing>
          <wp:anchor distT="0" distB="0" distL="114300" distR="114300" simplePos="0" relativeHeight="251675648" behindDoc="0" locked="0" layoutInCell="1" allowOverlap="1" wp14:anchorId="5EFAA993" wp14:editId="51486629">
            <wp:simplePos x="0" y="0"/>
            <wp:positionH relativeFrom="column">
              <wp:posOffset>1369060</wp:posOffset>
            </wp:positionH>
            <wp:positionV relativeFrom="paragraph">
              <wp:posOffset>443865</wp:posOffset>
            </wp:positionV>
            <wp:extent cx="1122045" cy="377825"/>
            <wp:effectExtent l="0" t="0" r="1905" b="3175"/>
            <wp:wrapSquare wrapText="bothSides"/>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jpg"/>
                    <pic:cNvPicPr/>
                  </pic:nvPicPr>
                  <pic:blipFill>
                    <a:blip r:embed="rId11">
                      <a:extLst>
                        <a:ext uri="{28A0092B-C50C-407E-A947-70E740481C1C}">
                          <a14:useLocalDpi xmlns:a14="http://schemas.microsoft.com/office/drawing/2010/main" val="0"/>
                        </a:ext>
                      </a:extLst>
                    </a:blip>
                    <a:stretch>
                      <a:fillRect/>
                    </a:stretch>
                  </pic:blipFill>
                  <pic:spPr>
                    <a:xfrm>
                      <a:off x="0" y="0"/>
                      <a:ext cx="1122045" cy="377825"/>
                    </a:xfrm>
                    <a:prstGeom prst="rect">
                      <a:avLst/>
                    </a:prstGeom>
                  </pic:spPr>
                </pic:pic>
              </a:graphicData>
            </a:graphic>
            <wp14:sizeRelH relativeFrom="page">
              <wp14:pctWidth>0</wp14:pctWidth>
            </wp14:sizeRelH>
            <wp14:sizeRelV relativeFrom="page">
              <wp14:pctHeight>0</wp14:pctHeight>
            </wp14:sizeRelV>
          </wp:anchor>
        </w:drawing>
      </w:r>
      <w:r w:rsidRPr="002A2289">
        <w:rPr>
          <w:rFonts w:asciiTheme="majorHAnsi" w:hAnsiTheme="majorHAnsi"/>
          <w:noProof/>
          <w:sz w:val="18"/>
          <w:szCs w:val="22"/>
        </w:rPr>
        <mc:AlternateContent>
          <mc:Choice Requires="wps">
            <w:drawing>
              <wp:anchor distT="0" distB="0" distL="114300" distR="114300" simplePos="0" relativeHeight="251671552" behindDoc="0" locked="0" layoutInCell="1" allowOverlap="1" wp14:anchorId="6184131A" wp14:editId="22DDAEFA">
                <wp:simplePos x="0" y="0"/>
                <wp:positionH relativeFrom="column">
                  <wp:posOffset>-1009650</wp:posOffset>
                </wp:positionH>
                <wp:positionV relativeFrom="paragraph">
                  <wp:posOffset>555625</wp:posOffset>
                </wp:positionV>
                <wp:extent cx="2377440" cy="46164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61645"/>
                        </a:xfrm>
                        <a:prstGeom prst="rect">
                          <a:avLst/>
                        </a:prstGeom>
                        <a:noFill/>
                        <a:ln w="9525">
                          <a:noFill/>
                          <a:miter lim="800000"/>
                          <a:headEnd/>
                          <a:tailEnd/>
                        </a:ln>
                      </wps:spPr>
                      <wps:txbx>
                        <w:txbxContent>
                          <w:p w14:paraId="4FE999C1" w14:textId="77777777" w:rsidR="00E730C9" w:rsidRPr="00BD3A1A" w:rsidRDefault="00E730C9" w:rsidP="004948B8">
                            <w:pPr>
                              <w:jc w:val="center"/>
                              <w:rPr>
                                <w:rFonts w:ascii="Calibri" w:hAnsi="Calibri"/>
                                <w:b/>
                                <w:color w:val="FFFFFF" w:themeColor="background1"/>
                              </w:rPr>
                            </w:pPr>
                            <w:r w:rsidRPr="00BD3A1A">
                              <w:rPr>
                                <w:rFonts w:ascii="Calibri" w:hAnsi="Calibri"/>
                                <w:b/>
                                <w:color w:val="FFFFFF" w:themeColor="background1"/>
                                <w:lang w:val="pt-BR"/>
                              </w:rPr>
                              <w:t>www.cidh.org</w:t>
                            </w:r>
                          </w:p>
                          <w:p w14:paraId="4FBC5D6D" w14:textId="77777777" w:rsidR="00E730C9" w:rsidRDefault="00E730C9" w:rsidP="004948B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184131A" id="_x0000_s1031" type="#_x0000_t202" style="position:absolute;left:0;text-align:left;margin-left:-79.5pt;margin-top:43.75pt;width:187.2pt;height:36.3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" filled="f" stroked="f">
                <v:textbox style="mso-fit-shape-to-text:t">
                  <w:txbxContent>
                    <w:p w14:paraId="4FE999C1" w14:textId="77777777" w:rsidR="00E730C9" w:rsidRPr="00BD3A1A" w:rsidRDefault="00E730C9" w:rsidP="004948B8">
                      <w:pPr>
                        <w:jc w:val="center"/>
                        <w:rPr>
                          <w:rFonts w:ascii="Calibri" w:hAnsi="Calibri"/>
                          <w:b/>
                          <w:color w:val="FFFFFF" w:themeColor="background1"/>
                        </w:rPr>
                      </w:pPr>
                      <w:r w:rsidRPr="00BD3A1A">
                        <w:rPr>
                          <w:rFonts w:ascii="Calibri" w:hAnsi="Calibri"/>
                          <w:b/>
                          <w:color w:val="FFFFFF" w:themeColor="background1"/>
                          <w:lang w:val="pt-BR"/>
                        </w:rPr>
                        <w:t>www.cidh.org</w:t>
                      </w:r>
                    </w:p>
                    <w:p w14:paraId="4FBC5D6D" w14:textId="77777777" w:rsidR="00E730C9" w:rsidRDefault="00E730C9" w:rsidP="004948B8"/>
                  </w:txbxContent>
                </v:textbox>
              </v:shape>
            </w:pict>
          </mc:Fallback>
        </mc:AlternateContent>
      </w:r>
      <w:r w:rsidRPr="002A2289">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D8E8131" wp14:editId="4EFEFC8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DC0D8" w14:textId="77777777" w:rsidR="00E730C9" w:rsidRPr="004B7EB6" w:rsidRDefault="00E730C9" w:rsidP="004948B8">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8E8131" id="Text Box 4" o:spid="_x0000_s1032" type="#_x0000_t202" style="position:absolute;left:0;text-align:left;margin-left:-21.45pt;margin-top:72.0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6FDC0D8" w14:textId="77777777" w:rsidR="00E730C9" w:rsidRPr="004B7EB6" w:rsidRDefault="00E730C9" w:rsidP="004948B8">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p>
    <w:p w14:paraId="387BA867" w14:textId="77777777" w:rsidR="004948B8" w:rsidRPr="002A2289" w:rsidRDefault="004948B8" w:rsidP="004948B8">
      <w:pPr>
        <w:tabs>
          <w:tab w:val="center" w:pos="5400"/>
        </w:tabs>
        <w:suppressAutoHyphens/>
        <w:jc w:val="center"/>
        <w:rPr>
          <w:rFonts w:asciiTheme="majorHAnsi" w:hAnsiTheme="majorHAnsi"/>
          <w:b/>
          <w:sz w:val="20"/>
        </w:rPr>
        <w:sectPr w:rsidR="004948B8" w:rsidRPr="002A2289"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7AF85AD8" w14:textId="10304AC2" w:rsidR="004948B8" w:rsidRPr="002A2289" w:rsidRDefault="004948B8" w:rsidP="004948B8">
      <w:pPr>
        <w:suppressAutoHyphens/>
        <w:spacing w:line="276" w:lineRule="auto"/>
        <w:jc w:val="center"/>
        <w:rPr>
          <w:rFonts w:asciiTheme="majorHAnsi" w:hAnsiTheme="majorHAnsi"/>
          <w:b/>
          <w:sz w:val="18"/>
          <w:szCs w:val="18"/>
          <w:lang w:val="pt-BR"/>
        </w:rPr>
      </w:pPr>
      <w:r w:rsidRPr="002A2289">
        <w:rPr>
          <w:rFonts w:asciiTheme="majorHAnsi" w:hAnsiTheme="majorHAnsi"/>
          <w:b/>
          <w:sz w:val="18"/>
          <w:szCs w:val="18"/>
          <w:lang w:val="pt-BR"/>
        </w:rPr>
        <w:lastRenderedPageBreak/>
        <w:t xml:space="preserve">REPORT No. </w:t>
      </w:r>
      <w:r w:rsidR="00EA3E07">
        <w:rPr>
          <w:rFonts w:asciiTheme="majorHAnsi" w:hAnsiTheme="majorHAnsi"/>
          <w:b/>
          <w:sz w:val="18"/>
          <w:szCs w:val="18"/>
          <w:lang w:val="pt-BR"/>
        </w:rPr>
        <w:t>147</w:t>
      </w:r>
      <w:r w:rsidRPr="002A2289">
        <w:rPr>
          <w:rFonts w:asciiTheme="majorHAnsi" w:hAnsiTheme="majorHAnsi"/>
          <w:b/>
          <w:sz w:val="18"/>
          <w:szCs w:val="18"/>
          <w:lang w:val="pt-BR"/>
        </w:rPr>
        <w:t>/18</w:t>
      </w:r>
    </w:p>
    <w:p w14:paraId="24C21219" w14:textId="77777777" w:rsidR="004948B8" w:rsidRPr="002A2289" w:rsidRDefault="003E7131" w:rsidP="004948B8">
      <w:pPr>
        <w:suppressAutoHyphens/>
        <w:spacing w:line="276" w:lineRule="auto"/>
        <w:jc w:val="center"/>
        <w:rPr>
          <w:rFonts w:asciiTheme="majorHAnsi" w:hAnsiTheme="majorHAnsi"/>
          <w:b/>
          <w:sz w:val="18"/>
          <w:szCs w:val="18"/>
          <w:lang w:val="pt-BR"/>
        </w:rPr>
      </w:pPr>
      <w:r w:rsidRPr="002A2289">
        <w:rPr>
          <w:rFonts w:asciiTheme="majorHAnsi" w:hAnsiTheme="majorHAnsi"/>
          <w:b/>
          <w:sz w:val="18"/>
          <w:szCs w:val="18"/>
          <w:lang w:val="pt-BR"/>
        </w:rPr>
        <w:t>CASE 12,</w:t>
      </w:r>
      <w:r w:rsidR="004948B8" w:rsidRPr="002A2289">
        <w:rPr>
          <w:rFonts w:asciiTheme="majorHAnsi" w:hAnsiTheme="majorHAnsi"/>
          <w:b/>
          <w:sz w:val="18"/>
          <w:szCs w:val="18"/>
          <w:lang w:val="pt-BR"/>
        </w:rPr>
        <w:t>950</w:t>
      </w:r>
    </w:p>
    <w:p w14:paraId="443D05D9" w14:textId="77777777" w:rsidR="004948B8" w:rsidRPr="002A2289" w:rsidRDefault="004948B8" w:rsidP="004948B8">
      <w:pPr>
        <w:suppressAutoHyphens/>
        <w:spacing w:line="276" w:lineRule="auto"/>
        <w:jc w:val="center"/>
        <w:rPr>
          <w:rFonts w:asciiTheme="majorHAnsi" w:hAnsiTheme="majorHAnsi"/>
          <w:sz w:val="18"/>
          <w:szCs w:val="18"/>
          <w:lang w:val="pt-BR"/>
        </w:rPr>
      </w:pPr>
      <w:r w:rsidRPr="002A2289">
        <w:rPr>
          <w:rFonts w:asciiTheme="majorHAnsi" w:hAnsiTheme="majorHAnsi"/>
          <w:sz w:val="18"/>
          <w:szCs w:val="18"/>
          <w:lang w:val="pt-BR"/>
        </w:rPr>
        <w:t>MERITS</w:t>
      </w:r>
    </w:p>
    <w:p w14:paraId="74163B95" w14:textId="77777777" w:rsidR="004948B8" w:rsidRPr="002A2289" w:rsidRDefault="004948B8" w:rsidP="004948B8">
      <w:pPr>
        <w:suppressAutoHyphens/>
        <w:spacing w:line="276" w:lineRule="auto"/>
        <w:jc w:val="center"/>
        <w:rPr>
          <w:rFonts w:asciiTheme="majorHAnsi" w:hAnsiTheme="majorHAnsi"/>
          <w:sz w:val="18"/>
          <w:szCs w:val="18"/>
          <w:lang w:val="pt-BR"/>
        </w:rPr>
      </w:pPr>
      <w:r w:rsidRPr="002A2289">
        <w:rPr>
          <w:rFonts w:asciiTheme="majorHAnsi" w:hAnsiTheme="majorHAnsi"/>
          <w:sz w:val="18"/>
          <w:szCs w:val="18"/>
          <w:lang w:val="pt-BR"/>
        </w:rPr>
        <w:t>RUFINO JORGE ALMEIDA</w:t>
      </w:r>
    </w:p>
    <w:p w14:paraId="13F8B699" w14:textId="77777777" w:rsidR="004948B8" w:rsidRPr="002A2289" w:rsidRDefault="004948B8" w:rsidP="004948B8">
      <w:pPr>
        <w:suppressAutoHyphens/>
        <w:spacing w:line="276" w:lineRule="auto"/>
        <w:jc w:val="center"/>
        <w:rPr>
          <w:rFonts w:asciiTheme="majorHAnsi" w:hAnsiTheme="majorHAnsi"/>
          <w:sz w:val="18"/>
          <w:szCs w:val="18"/>
        </w:rPr>
      </w:pPr>
      <w:r w:rsidRPr="002A2289">
        <w:rPr>
          <w:rFonts w:asciiTheme="majorHAnsi" w:hAnsiTheme="majorHAnsi"/>
          <w:sz w:val="18"/>
          <w:szCs w:val="18"/>
        </w:rPr>
        <w:t>ARGENTINA</w:t>
      </w:r>
    </w:p>
    <w:p w14:paraId="4781BB9C" w14:textId="1D7E44E7" w:rsidR="004948B8" w:rsidRPr="002A2289" w:rsidRDefault="00EA3E07" w:rsidP="004948B8">
      <w:pPr>
        <w:suppressAutoHyphens/>
        <w:spacing w:line="276" w:lineRule="auto"/>
        <w:jc w:val="center"/>
        <w:rPr>
          <w:rFonts w:asciiTheme="majorHAnsi" w:hAnsiTheme="majorHAnsi"/>
          <w:sz w:val="18"/>
          <w:szCs w:val="18"/>
        </w:rPr>
      </w:pPr>
      <w:r>
        <w:rPr>
          <w:rFonts w:asciiTheme="majorHAnsi" w:hAnsiTheme="majorHAnsi"/>
          <w:sz w:val="18"/>
          <w:szCs w:val="18"/>
        </w:rPr>
        <w:t>DECEMBER 7</w:t>
      </w:r>
      <w:r w:rsidR="004948B8" w:rsidRPr="002A2289">
        <w:rPr>
          <w:rFonts w:asciiTheme="majorHAnsi" w:hAnsiTheme="majorHAnsi"/>
          <w:sz w:val="18"/>
          <w:szCs w:val="18"/>
        </w:rPr>
        <w:t>, 2018</w:t>
      </w:r>
    </w:p>
    <w:p w14:paraId="57073A12" w14:textId="77777777" w:rsidR="004948B8" w:rsidRPr="002A2289" w:rsidRDefault="004948B8" w:rsidP="004948B8">
      <w:pPr>
        <w:suppressAutoHyphens/>
        <w:spacing w:line="276" w:lineRule="auto"/>
        <w:jc w:val="center"/>
        <w:rPr>
          <w:rFonts w:asciiTheme="majorHAnsi" w:hAnsiTheme="majorHAnsi"/>
          <w:color w:val="FF0000"/>
          <w:sz w:val="20"/>
          <w:szCs w:val="20"/>
        </w:rPr>
      </w:pPr>
    </w:p>
    <w:p w14:paraId="4B4B9BAE" w14:textId="77777777" w:rsidR="004948B8" w:rsidRPr="002A2289" w:rsidRDefault="004948B8" w:rsidP="004948B8">
      <w:pPr>
        <w:pStyle w:val="ListParagraph"/>
        <w:suppressAutoHyphens/>
        <w:ind w:left="1440"/>
        <w:rPr>
          <w:rFonts w:asciiTheme="majorHAnsi" w:hAnsiTheme="majorHAnsi"/>
          <w:b/>
          <w:sz w:val="20"/>
          <w:szCs w:val="20"/>
        </w:rPr>
      </w:pPr>
    </w:p>
    <w:p w14:paraId="2EA04591" w14:textId="77777777" w:rsidR="004948B8" w:rsidRPr="002A2289" w:rsidRDefault="004948B8" w:rsidP="002A2289">
      <w:pPr>
        <w:pStyle w:val="Heading1"/>
      </w:pPr>
      <w:r w:rsidRPr="002A2289">
        <w:t>SUMMARY</w:t>
      </w:r>
    </w:p>
    <w:p w14:paraId="55999FF8" w14:textId="77777777" w:rsidR="004948B8" w:rsidRPr="002A2289" w:rsidRDefault="004948B8" w:rsidP="004948B8">
      <w:pPr>
        <w:suppressAutoHyphens/>
        <w:ind w:left="360" w:firstLine="720"/>
        <w:rPr>
          <w:rFonts w:asciiTheme="majorHAnsi" w:hAnsiTheme="majorHAnsi"/>
          <w:b/>
          <w:sz w:val="20"/>
          <w:szCs w:val="20"/>
        </w:rPr>
      </w:pPr>
    </w:p>
    <w:p w14:paraId="019AD433" w14:textId="0E1DF912"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A2289">
        <w:rPr>
          <w:rFonts w:asciiTheme="majorHAnsi" w:hAnsiTheme="majorHAnsi"/>
          <w:sz w:val="20"/>
          <w:szCs w:val="20"/>
        </w:rPr>
        <w:t>On July 3, 2000, the Inter-American Commission on Human Rights (hereinafter, “the Inter-American Commission,” “the Commission,” or “the IACHR”) received a petition filed by Rufino Jorge Almeida, Myriam Carsen, and Octavio Carsen (hereinafter, “the petitioners”) alleging the international responsibility of the Republic</w:t>
      </w:r>
      <w:r w:rsidR="004A16CA">
        <w:rPr>
          <w:rFonts w:asciiTheme="majorHAnsi" w:hAnsiTheme="majorHAnsi"/>
          <w:sz w:val="20"/>
          <w:szCs w:val="20"/>
        </w:rPr>
        <w:t xml:space="preserve"> of Argentina</w:t>
      </w:r>
      <w:r w:rsidRPr="002A2289">
        <w:rPr>
          <w:rFonts w:asciiTheme="majorHAnsi" w:hAnsiTheme="majorHAnsi"/>
          <w:sz w:val="20"/>
          <w:szCs w:val="20"/>
        </w:rPr>
        <w:t xml:space="preserve"> (hereinafter, “the Argentine State,” “the State,” or “Argentina”), to the detriment of Rufino Jorge Almeida. </w:t>
      </w:r>
    </w:p>
    <w:p w14:paraId="2BCB599B" w14:textId="77777777" w:rsidR="004948B8" w:rsidRPr="002A2289" w:rsidRDefault="004948B8" w:rsidP="004948B8">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Theme="majorHAnsi" w:hAnsiTheme="majorHAnsi"/>
          <w:color w:val="000000" w:themeColor="text1"/>
          <w:sz w:val="20"/>
          <w:szCs w:val="20"/>
        </w:rPr>
      </w:pPr>
    </w:p>
    <w:p w14:paraId="3339682D" w14:textId="31A3D5A6"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rPr>
      </w:pPr>
      <w:r w:rsidRPr="002A2289">
        <w:rPr>
          <w:rFonts w:asciiTheme="majorHAnsi" w:hAnsiTheme="majorHAnsi"/>
          <w:color w:val="000000" w:themeColor="text1"/>
          <w:sz w:val="20"/>
          <w:szCs w:val="20"/>
        </w:rPr>
        <w:t>The Commission</w:t>
      </w:r>
      <w:r w:rsidRPr="002A2289">
        <w:rPr>
          <w:rFonts w:asciiTheme="majorHAnsi" w:hAnsiTheme="majorHAnsi"/>
          <w:sz w:val="20"/>
          <w:szCs w:val="20"/>
        </w:rPr>
        <w:t xml:space="preserve"> adopted Admissibility </w:t>
      </w:r>
      <w:r w:rsidR="004A16CA" w:rsidRPr="002A2289">
        <w:rPr>
          <w:rFonts w:asciiTheme="majorHAnsi" w:hAnsiTheme="majorHAnsi"/>
          <w:sz w:val="20"/>
          <w:szCs w:val="20"/>
        </w:rPr>
        <w:t xml:space="preserve">Report </w:t>
      </w:r>
      <w:r w:rsidRPr="002A2289">
        <w:rPr>
          <w:rFonts w:asciiTheme="majorHAnsi" w:hAnsiTheme="majorHAnsi"/>
          <w:sz w:val="20"/>
          <w:szCs w:val="20"/>
        </w:rPr>
        <w:t>No. 45/14 on July 18, 2014.</w:t>
      </w:r>
      <w:r w:rsidRPr="002A2289">
        <w:rPr>
          <w:rStyle w:val="FootnoteReference"/>
          <w:rFonts w:asciiTheme="majorHAnsi" w:hAnsiTheme="majorHAnsi"/>
          <w:sz w:val="20"/>
          <w:szCs w:val="20"/>
        </w:rPr>
        <w:footnoteReference w:id="2"/>
      </w:r>
      <w:r w:rsidRPr="002A2289">
        <w:rPr>
          <w:rFonts w:asciiTheme="majorHAnsi" w:hAnsiTheme="majorHAnsi"/>
          <w:sz w:val="20"/>
          <w:szCs w:val="20"/>
        </w:rPr>
        <w:t xml:space="preserve"> On August 26, 2014, the Commission notified the parties of the report, and placed itself at their disposal with the aim of reaching a friendly settlement.</w:t>
      </w:r>
      <w:r w:rsidRPr="002A2289">
        <w:rPr>
          <w:rStyle w:val="FootnoteReference"/>
          <w:rFonts w:asciiTheme="majorHAnsi" w:hAnsiTheme="majorHAnsi"/>
          <w:sz w:val="20"/>
          <w:szCs w:val="20"/>
        </w:rPr>
        <w:footnoteReference w:id="3"/>
      </w:r>
      <w:r w:rsidRPr="002A2289">
        <w:rPr>
          <w:rFonts w:asciiTheme="majorHAnsi" w:hAnsiTheme="majorHAnsi"/>
          <w:sz w:val="20"/>
          <w:szCs w:val="20"/>
        </w:rPr>
        <w:t xml:space="preserve"> The parties </w:t>
      </w:r>
      <w:r w:rsidR="004A16CA">
        <w:rPr>
          <w:rFonts w:asciiTheme="majorHAnsi" w:hAnsiTheme="majorHAnsi"/>
          <w:sz w:val="20"/>
          <w:szCs w:val="20"/>
        </w:rPr>
        <w:t>enjoyed the time periods provided for in the IACHR’s Rules of Procedure to present</w:t>
      </w:r>
      <w:r w:rsidRPr="002A2289">
        <w:rPr>
          <w:rFonts w:asciiTheme="majorHAnsi" w:hAnsiTheme="majorHAnsi"/>
          <w:sz w:val="20"/>
          <w:szCs w:val="20"/>
        </w:rPr>
        <w:t xml:space="preserve"> additional observations on the merits. All of the information furnished was duly </w:t>
      </w:r>
      <w:r w:rsidR="004A16CA">
        <w:rPr>
          <w:rFonts w:asciiTheme="majorHAnsi" w:hAnsiTheme="majorHAnsi"/>
          <w:sz w:val="20"/>
          <w:szCs w:val="20"/>
        </w:rPr>
        <w:t>transmitted</w:t>
      </w:r>
      <w:r w:rsidRPr="002A2289">
        <w:rPr>
          <w:rFonts w:asciiTheme="majorHAnsi" w:hAnsiTheme="majorHAnsi"/>
          <w:sz w:val="20"/>
          <w:szCs w:val="20"/>
        </w:rPr>
        <w:t xml:space="preserve"> between the parties. </w:t>
      </w:r>
    </w:p>
    <w:p w14:paraId="3C5E55A9" w14:textId="77777777" w:rsidR="004948B8" w:rsidRPr="002A2289" w:rsidRDefault="004948B8" w:rsidP="004948B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0A090549" w14:textId="44D66C74"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rPr>
      </w:pPr>
      <w:r w:rsidRPr="002A2289">
        <w:rPr>
          <w:rFonts w:asciiTheme="majorHAnsi" w:hAnsiTheme="majorHAnsi"/>
          <w:color w:val="000000" w:themeColor="text1"/>
          <w:sz w:val="20"/>
          <w:szCs w:val="20"/>
        </w:rPr>
        <w:t>The petitioners alleged that the State, in denying Mr. Almeida compensation</w:t>
      </w:r>
      <w:r w:rsidR="004A16CA">
        <w:rPr>
          <w:rFonts w:asciiTheme="majorHAnsi" w:hAnsiTheme="majorHAnsi"/>
          <w:color w:val="000000" w:themeColor="text1"/>
          <w:sz w:val="20"/>
          <w:szCs w:val="20"/>
        </w:rPr>
        <w:t xml:space="preserve"> under</w:t>
      </w:r>
      <w:r w:rsidRPr="002A2289">
        <w:rPr>
          <w:rFonts w:asciiTheme="majorHAnsi" w:hAnsiTheme="majorHAnsi"/>
          <w:color w:val="000000" w:themeColor="text1"/>
          <w:sz w:val="20"/>
          <w:szCs w:val="20"/>
        </w:rPr>
        <w:t xml:space="preserve"> Law 24</w:t>
      </w:r>
      <w:r w:rsidR="004A16CA">
        <w:rPr>
          <w:rFonts w:asciiTheme="majorHAnsi" w:hAnsiTheme="majorHAnsi"/>
          <w:color w:val="000000" w:themeColor="text1"/>
          <w:sz w:val="20"/>
          <w:szCs w:val="20"/>
        </w:rPr>
        <w:t>.</w:t>
      </w:r>
      <w:r w:rsidRPr="002A2289">
        <w:rPr>
          <w:rFonts w:asciiTheme="majorHAnsi" w:hAnsiTheme="majorHAnsi"/>
          <w:color w:val="000000" w:themeColor="text1"/>
          <w:sz w:val="20"/>
          <w:szCs w:val="20"/>
        </w:rPr>
        <w:t>043</w:t>
      </w:r>
      <w:r w:rsidR="004A16CA">
        <w:rPr>
          <w:rFonts w:asciiTheme="majorHAnsi" w:hAnsiTheme="majorHAnsi"/>
          <w:color w:val="000000" w:themeColor="text1"/>
          <w:sz w:val="20"/>
          <w:szCs w:val="20"/>
        </w:rPr>
        <w:t xml:space="preserve"> </w:t>
      </w:r>
      <w:r w:rsidRPr="002A2289">
        <w:rPr>
          <w:rFonts w:asciiTheme="majorHAnsi" w:hAnsiTheme="majorHAnsi"/>
          <w:color w:val="000000" w:themeColor="text1"/>
          <w:sz w:val="20"/>
          <w:szCs w:val="20"/>
        </w:rPr>
        <w:t xml:space="preserve">for the time he was </w:t>
      </w:r>
      <w:r w:rsidR="004A16CA">
        <w:rPr>
          <w:rFonts w:asciiTheme="majorHAnsi" w:hAnsiTheme="majorHAnsi"/>
          <w:color w:val="000000" w:themeColor="text1"/>
          <w:sz w:val="20"/>
          <w:szCs w:val="20"/>
        </w:rPr>
        <w:t>subjected to</w:t>
      </w:r>
      <w:r w:rsidRPr="002A2289">
        <w:rPr>
          <w:rFonts w:asciiTheme="majorHAnsi" w:hAnsiTheme="majorHAnsi"/>
          <w:color w:val="000000" w:themeColor="text1"/>
          <w:sz w:val="20"/>
          <w:szCs w:val="20"/>
        </w:rPr>
        <w:t xml:space="preserve"> a “release-under-surveillance” (</w:t>
      </w:r>
      <w:proofErr w:type="spellStart"/>
      <w:r w:rsidRPr="002A2289">
        <w:rPr>
          <w:rFonts w:asciiTheme="majorHAnsi" w:hAnsiTheme="majorHAnsi"/>
          <w:i/>
          <w:color w:val="000000" w:themeColor="text1"/>
          <w:sz w:val="20"/>
          <w:szCs w:val="20"/>
        </w:rPr>
        <w:t>libertad</w:t>
      </w:r>
      <w:proofErr w:type="spellEnd"/>
      <w:r w:rsidRPr="002A2289">
        <w:rPr>
          <w:rFonts w:asciiTheme="majorHAnsi" w:hAnsiTheme="majorHAnsi"/>
          <w:i/>
          <w:color w:val="000000" w:themeColor="text1"/>
          <w:sz w:val="20"/>
          <w:szCs w:val="20"/>
        </w:rPr>
        <w:t xml:space="preserve"> </w:t>
      </w:r>
      <w:proofErr w:type="spellStart"/>
      <w:r w:rsidRPr="002A2289">
        <w:rPr>
          <w:rFonts w:asciiTheme="majorHAnsi" w:hAnsiTheme="majorHAnsi"/>
          <w:i/>
          <w:color w:val="000000" w:themeColor="text1"/>
          <w:sz w:val="20"/>
          <w:szCs w:val="20"/>
        </w:rPr>
        <w:t>vigilada</w:t>
      </w:r>
      <w:proofErr w:type="spellEnd"/>
      <w:r w:rsidRPr="002A2289">
        <w:rPr>
          <w:rFonts w:asciiTheme="majorHAnsi" w:hAnsiTheme="majorHAnsi"/>
          <w:color w:val="000000" w:themeColor="text1"/>
          <w:sz w:val="20"/>
          <w:szCs w:val="20"/>
        </w:rPr>
        <w:t xml:space="preserve">) regime during the dictatorship, violated his right to equal treatment vis-à-vis other individuals who, in his same situation, did receive reparations on the basis of that regime. </w:t>
      </w:r>
    </w:p>
    <w:p w14:paraId="171C64E3" w14:textId="77777777" w:rsidR="004948B8" w:rsidRPr="002A2289" w:rsidRDefault="004948B8" w:rsidP="004948B8">
      <w:pPr>
        <w:pStyle w:val="ListParagraph"/>
        <w:ind w:firstLine="720"/>
        <w:rPr>
          <w:rFonts w:asciiTheme="majorHAnsi" w:hAnsiTheme="majorHAnsi"/>
          <w:color w:val="000000" w:themeColor="text1"/>
          <w:sz w:val="20"/>
          <w:szCs w:val="20"/>
        </w:rPr>
      </w:pPr>
    </w:p>
    <w:p w14:paraId="3757281D" w14:textId="7E9E57D9"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rPr>
      </w:pPr>
      <w:r w:rsidRPr="002A2289">
        <w:rPr>
          <w:rFonts w:asciiTheme="majorHAnsi" w:hAnsiTheme="majorHAnsi"/>
          <w:color w:val="000000" w:themeColor="text1"/>
          <w:sz w:val="20"/>
          <w:szCs w:val="20"/>
        </w:rPr>
        <w:t xml:space="preserve">The State alleged that Mr. Almeida had been unable to prove that his situation fell within the </w:t>
      </w:r>
      <w:r w:rsidR="004A16CA">
        <w:rPr>
          <w:rFonts w:asciiTheme="majorHAnsi" w:hAnsiTheme="majorHAnsi"/>
          <w:color w:val="000000" w:themeColor="text1"/>
          <w:sz w:val="20"/>
          <w:szCs w:val="20"/>
        </w:rPr>
        <w:t>provisions of</w:t>
      </w:r>
      <w:r w:rsidRPr="002A2289">
        <w:rPr>
          <w:rFonts w:asciiTheme="majorHAnsi" w:hAnsiTheme="majorHAnsi"/>
          <w:color w:val="000000" w:themeColor="text1"/>
          <w:sz w:val="20"/>
          <w:szCs w:val="20"/>
        </w:rPr>
        <w:t xml:space="preserve"> Law 24</w:t>
      </w:r>
      <w:r w:rsidR="004A16CA">
        <w:rPr>
          <w:rFonts w:asciiTheme="majorHAnsi" w:hAnsiTheme="majorHAnsi"/>
          <w:color w:val="000000" w:themeColor="text1"/>
          <w:sz w:val="20"/>
          <w:szCs w:val="20"/>
        </w:rPr>
        <w:t>.</w:t>
      </w:r>
      <w:r w:rsidRPr="002A2289">
        <w:rPr>
          <w:rFonts w:asciiTheme="majorHAnsi" w:hAnsiTheme="majorHAnsi"/>
          <w:color w:val="000000" w:themeColor="text1"/>
          <w:sz w:val="20"/>
          <w:szCs w:val="20"/>
        </w:rPr>
        <w:t xml:space="preserve">043 and therefore, the denial of compensation does not constitute a violation of his right to equal protection. The State further indicated that the law </w:t>
      </w:r>
      <w:r w:rsidR="00417EEF" w:rsidRPr="002A2289">
        <w:rPr>
          <w:rFonts w:asciiTheme="majorHAnsi" w:hAnsiTheme="majorHAnsi"/>
          <w:color w:val="000000" w:themeColor="text1"/>
          <w:sz w:val="20"/>
          <w:szCs w:val="20"/>
        </w:rPr>
        <w:t>itself</w:t>
      </w:r>
      <w:r w:rsidRPr="002A2289">
        <w:rPr>
          <w:rFonts w:asciiTheme="majorHAnsi" w:hAnsiTheme="majorHAnsi"/>
          <w:color w:val="000000" w:themeColor="text1"/>
          <w:sz w:val="20"/>
          <w:szCs w:val="20"/>
        </w:rPr>
        <w:t xml:space="preserve"> does not violate that right.</w:t>
      </w:r>
    </w:p>
    <w:p w14:paraId="25AABD99" w14:textId="77777777" w:rsidR="004948B8" w:rsidRPr="002A2289" w:rsidRDefault="004948B8" w:rsidP="004948B8">
      <w:pPr>
        <w:pStyle w:val="ListParagraph"/>
        <w:ind w:firstLine="720"/>
        <w:rPr>
          <w:rFonts w:asciiTheme="majorHAnsi" w:hAnsiTheme="majorHAnsi"/>
          <w:color w:val="000000" w:themeColor="text1"/>
          <w:sz w:val="20"/>
          <w:szCs w:val="20"/>
        </w:rPr>
      </w:pPr>
    </w:p>
    <w:p w14:paraId="223860FD" w14:textId="46BCD936"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rPr>
      </w:pPr>
      <w:r w:rsidRPr="002A2289">
        <w:rPr>
          <w:rFonts w:asciiTheme="majorHAnsi" w:hAnsiTheme="majorHAnsi"/>
          <w:color w:val="000000" w:themeColor="text1"/>
          <w:sz w:val="20"/>
          <w:szCs w:val="20"/>
        </w:rPr>
        <w:t xml:space="preserve">Based on the arguments of fact and law, the Inter-American Commission concluded that the State is responsible for violation of the rights to: </w:t>
      </w:r>
      <w:r w:rsidR="004A16CA">
        <w:rPr>
          <w:rFonts w:asciiTheme="majorHAnsi" w:hAnsiTheme="majorHAnsi"/>
          <w:sz w:val="20"/>
          <w:szCs w:val="20"/>
        </w:rPr>
        <w:t>receive</w:t>
      </w:r>
      <w:r w:rsidR="00FA7A40" w:rsidRPr="002A2289">
        <w:rPr>
          <w:rFonts w:asciiTheme="majorHAnsi" w:hAnsiTheme="majorHAnsi"/>
          <w:sz w:val="20"/>
          <w:szCs w:val="20"/>
        </w:rPr>
        <w:t xml:space="preserve"> a duly founded decision</w:t>
      </w:r>
      <w:r w:rsidR="00FA7A40" w:rsidRPr="002A2289">
        <w:rPr>
          <w:rFonts w:asciiTheme="majorHAnsi" w:hAnsiTheme="majorHAnsi"/>
          <w:color w:val="000000" w:themeColor="text1"/>
          <w:sz w:val="20"/>
          <w:szCs w:val="20"/>
        </w:rPr>
        <w:t xml:space="preserve"> </w:t>
      </w:r>
      <w:r w:rsidRPr="002A2289">
        <w:rPr>
          <w:rFonts w:asciiTheme="majorHAnsi" w:hAnsiTheme="majorHAnsi"/>
          <w:color w:val="000000" w:themeColor="text1"/>
          <w:sz w:val="20"/>
          <w:szCs w:val="20"/>
        </w:rPr>
        <w:t>(Article 8</w:t>
      </w:r>
      <w:r w:rsidR="004A16CA">
        <w:rPr>
          <w:rFonts w:asciiTheme="majorHAnsi" w:hAnsiTheme="majorHAnsi"/>
          <w:color w:val="000000" w:themeColor="text1"/>
          <w:sz w:val="20"/>
          <w:szCs w:val="20"/>
        </w:rPr>
        <w:t>.</w:t>
      </w:r>
      <w:r w:rsidRPr="002A2289">
        <w:rPr>
          <w:rFonts w:asciiTheme="majorHAnsi" w:hAnsiTheme="majorHAnsi"/>
          <w:color w:val="000000" w:themeColor="text1"/>
          <w:sz w:val="20"/>
          <w:szCs w:val="20"/>
        </w:rPr>
        <w:t>1), equal protection (Article 24), and judicial protection (Article 25</w:t>
      </w:r>
      <w:r w:rsidR="004A16CA">
        <w:rPr>
          <w:rFonts w:asciiTheme="majorHAnsi" w:hAnsiTheme="majorHAnsi"/>
          <w:color w:val="000000" w:themeColor="text1"/>
          <w:sz w:val="20"/>
          <w:szCs w:val="20"/>
        </w:rPr>
        <w:t>.</w:t>
      </w:r>
      <w:r w:rsidRPr="002A2289">
        <w:rPr>
          <w:rFonts w:asciiTheme="majorHAnsi" w:hAnsiTheme="majorHAnsi"/>
          <w:color w:val="000000" w:themeColor="text1"/>
          <w:sz w:val="20"/>
          <w:szCs w:val="20"/>
        </w:rPr>
        <w:t>1) of the American Convention on Human Rights (hereinafter, “the American Convention” or “the Convention”), in connection with the obligations set forth in Articles 1</w:t>
      </w:r>
      <w:r w:rsidR="004A16CA">
        <w:rPr>
          <w:rFonts w:asciiTheme="majorHAnsi" w:hAnsiTheme="majorHAnsi"/>
          <w:color w:val="000000" w:themeColor="text1"/>
          <w:sz w:val="20"/>
          <w:szCs w:val="20"/>
        </w:rPr>
        <w:t>.</w:t>
      </w:r>
      <w:r w:rsidRPr="002A2289">
        <w:rPr>
          <w:rFonts w:asciiTheme="majorHAnsi" w:hAnsiTheme="majorHAnsi"/>
          <w:color w:val="000000" w:themeColor="text1"/>
          <w:sz w:val="20"/>
          <w:szCs w:val="20"/>
        </w:rPr>
        <w:t xml:space="preserve">1 and 2 thereof, to the detriment of Rufino Jorge Almeida. The Commission made its respective recommendations. </w:t>
      </w:r>
    </w:p>
    <w:p w14:paraId="67ED8B8C" w14:textId="77777777" w:rsidR="004948B8" w:rsidRPr="002A2289" w:rsidRDefault="004948B8" w:rsidP="004948B8">
      <w:pPr>
        <w:pStyle w:val="ListParagraph"/>
        <w:suppressAutoHyphens/>
        <w:ind w:left="1080" w:firstLine="720"/>
        <w:rPr>
          <w:rFonts w:asciiTheme="majorHAnsi" w:hAnsiTheme="majorHAnsi"/>
          <w:b/>
          <w:sz w:val="20"/>
          <w:szCs w:val="20"/>
        </w:rPr>
      </w:pPr>
    </w:p>
    <w:p w14:paraId="1F0F5832" w14:textId="77777777" w:rsidR="004948B8" w:rsidRPr="002A2289" w:rsidRDefault="004948B8" w:rsidP="002A2289">
      <w:pPr>
        <w:pStyle w:val="Heading1"/>
      </w:pPr>
      <w:bookmarkStart w:id="4" w:name="_Toc529201733"/>
      <w:bookmarkStart w:id="5" w:name="_Toc529249977"/>
      <w:r w:rsidRPr="002A2289">
        <w:t>POSITIONS OF THE PARTIES</w:t>
      </w:r>
      <w:bookmarkEnd w:id="4"/>
      <w:bookmarkEnd w:id="5"/>
    </w:p>
    <w:p w14:paraId="2AB743F1" w14:textId="77777777" w:rsidR="004948B8" w:rsidRPr="002A2289" w:rsidRDefault="004948B8" w:rsidP="004948B8">
      <w:pPr>
        <w:pStyle w:val="ListParagraph"/>
        <w:suppressAutoHyphens/>
        <w:ind w:left="1440" w:hanging="720"/>
        <w:rPr>
          <w:rFonts w:asciiTheme="majorHAnsi" w:hAnsiTheme="majorHAnsi"/>
          <w:b/>
          <w:sz w:val="20"/>
          <w:szCs w:val="20"/>
        </w:rPr>
      </w:pPr>
    </w:p>
    <w:p w14:paraId="53B63CDB" w14:textId="77777777" w:rsidR="004948B8" w:rsidRPr="002A2289" w:rsidRDefault="004948B8" w:rsidP="002A2289">
      <w:pPr>
        <w:pStyle w:val="Heading2"/>
      </w:pPr>
      <w:bookmarkStart w:id="6" w:name="_Toc529201734"/>
      <w:bookmarkStart w:id="7" w:name="_Toc529249978"/>
      <w:r w:rsidRPr="002A2289">
        <w:t>The petitioners</w:t>
      </w:r>
      <w:bookmarkEnd w:id="6"/>
      <w:bookmarkEnd w:id="7"/>
      <w:r w:rsidRPr="002A2289">
        <w:t xml:space="preserve"> </w:t>
      </w:r>
    </w:p>
    <w:p w14:paraId="11498244" w14:textId="77777777" w:rsidR="004948B8" w:rsidRPr="002A2289" w:rsidRDefault="004948B8" w:rsidP="004948B8">
      <w:pPr>
        <w:suppressAutoHyphens/>
        <w:ind w:firstLine="720"/>
        <w:rPr>
          <w:rFonts w:asciiTheme="majorHAnsi" w:hAnsiTheme="majorHAnsi"/>
          <w:sz w:val="20"/>
          <w:szCs w:val="20"/>
        </w:rPr>
      </w:pPr>
    </w:p>
    <w:p w14:paraId="4C1722F9" w14:textId="29ED6C39"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rPr>
      </w:pPr>
      <w:r w:rsidRPr="002A2289">
        <w:rPr>
          <w:rFonts w:asciiTheme="majorHAnsi" w:hAnsiTheme="majorHAnsi"/>
          <w:sz w:val="20"/>
          <w:szCs w:val="20"/>
        </w:rPr>
        <w:t>The petitioners alleged that Rufino Jorge Almeida and his wife were illegally detained on June 5, 1978, by members of the security forces loyal to the military dictatorship established in 1976</w:t>
      </w:r>
      <w:r w:rsidR="009D01B4">
        <w:rPr>
          <w:rFonts w:asciiTheme="majorHAnsi" w:hAnsiTheme="majorHAnsi"/>
          <w:sz w:val="20"/>
          <w:szCs w:val="20"/>
        </w:rPr>
        <w:t>,</w:t>
      </w:r>
      <w:r w:rsidRPr="002A2289">
        <w:rPr>
          <w:rFonts w:asciiTheme="majorHAnsi" w:hAnsiTheme="majorHAnsi"/>
          <w:sz w:val="20"/>
          <w:szCs w:val="20"/>
        </w:rPr>
        <w:t xml:space="preserve"> and held for 54 days in a detention camp known as “</w:t>
      </w:r>
      <w:r w:rsidRPr="002A2289">
        <w:rPr>
          <w:rFonts w:asciiTheme="majorHAnsi" w:hAnsiTheme="majorHAnsi"/>
          <w:i/>
          <w:sz w:val="20"/>
          <w:szCs w:val="20"/>
        </w:rPr>
        <w:t>El Banco</w:t>
      </w:r>
      <w:r w:rsidRPr="002A2289">
        <w:rPr>
          <w:rFonts w:asciiTheme="majorHAnsi" w:hAnsiTheme="majorHAnsi"/>
          <w:sz w:val="20"/>
          <w:szCs w:val="20"/>
        </w:rPr>
        <w:t xml:space="preserve">,” where they were tortured. They indicated that when the two were released by the armed forces, Mr. Almeida was delivered to the custody of his father—who was to serve as “guarantor” that his son would comply with the conditions imposed by his kidnappers—and kept under a system of control similar to the release-under-surveillance regime, which required him to </w:t>
      </w:r>
      <w:r w:rsidRPr="002A2289">
        <w:rPr>
          <w:rFonts w:asciiTheme="majorHAnsi" w:hAnsiTheme="majorHAnsi"/>
          <w:sz w:val="20"/>
          <w:szCs w:val="20"/>
        </w:rPr>
        <w:lastRenderedPageBreak/>
        <w:t>receive random visits from military or police at his home; endure insults and threats if he interacted with politicians or human rights defenders; report periodically to federal police phone numbers; provide photographs; answer questions; etc. According to the petitioners, this situation persisted until April 30, 1983</w:t>
      </w:r>
      <w:r w:rsidR="009D01B4">
        <w:rPr>
          <w:rFonts w:asciiTheme="majorHAnsi" w:hAnsiTheme="majorHAnsi"/>
          <w:sz w:val="20"/>
          <w:szCs w:val="20"/>
        </w:rPr>
        <w:t>,</w:t>
      </w:r>
      <w:r w:rsidRPr="002A2289">
        <w:rPr>
          <w:rFonts w:asciiTheme="majorHAnsi" w:hAnsiTheme="majorHAnsi"/>
          <w:sz w:val="20"/>
          <w:szCs w:val="20"/>
        </w:rPr>
        <w:t xml:space="preserve"> and </w:t>
      </w:r>
      <w:r w:rsidR="009D01B4">
        <w:rPr>
          <w:rFonts w:asciiTheme="majorHAnsi" w:hAnsiTheme="majorHAnsi"/>
          <w:sz w:val="20"/>
          <w:szCs w:val="20"/>
        </w:rPr>
        <w:t>the</w:t>
      </w:r>
      <w:r w:rsidRPr="002A2289">
        <w:rPr>
          <w:rFonts w:asciiTheme="majorHAnsi" w:hAnsiTheme="majorHAnsi"/>
          <w:sz w:val="20"/>
          <w:szCs w:val="20"/>
        </w:rPr>
        <w:t xml:space="preserve"> measures were never justified in any executive or judicial order.</w:t>
      </w:r>
    </w:p>
    <w:p w14:paraId="2EA5941B" w14:textId="77777777" w:rsidR="004948B8" w:rsidRPr="002A2289" w:rsidRDefault="004948B8" w:rsidP="004948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olor w:val="000000" w:themeColor="text1"/>
          <w:sz w:val="20"/>
          <w:szCs w:val="20"/>
        </w:rPr>
      </w:pPr>
    </w:p>
    <w:p w14:paraId="212FADFF" w14:textId="42CAE9AE"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rPr>
      </w:pPr>
      <w:r w:rsidRPr="002A2289">
        <w:rPr>
          <w:rFonts w:asciiTheme="majorHAnsi" w:hAnsiTheme="majorHAnsi"/>
          <w:sz w:val="20"/>
          <w:szCs w:val="20"/>
        </w:rPr>
        <w:t xml:space="preserve">The petitioners </w:t>
      </w:r>
      <w:r w:rsidR="009D01B4">
        <w:rPr>
          <w:rFonts w:asciiTheme="majorHAnsi" w:hAnsiTheme="majorHAnsi"/>
          <w:sz w:val="20"/>
          <w:szCs w:val="20"/>
        </w:rPr>
        <w:t>stated</w:t>
      </w:r>
      <w:r w:rsidRPr="002A2289">
        <w:rPr>
          <w:rFonts w:asciiTheme="majorHAnsi" w:hAnsiTheme="majorHAnsi"/>
          <w:sz w:val="20"/>
          <w:szCs w:val="20"/>
        </w:rPr>
        <w:t xml:space="preserve"> that Mr. Almeida filed a suit against the State in 1995 for payment of compensation</w:t>
      </w:r>
      <w:r w:rsidR="009D01B4">
        <w:rPr>
          <w:rFonts w:asciiTheme="majorHAnsi" w:hAnsiTheme="majorHAnsi"/>
          <w:sz w:val="20"/>
          <w:szCs w:val="20"/>
        </w:rPr>
        <w:t xml:space="preserve"> under</w:t>
      </w:r>
      <w:r w:rsidRPr="002A2289">
        <w:rPr>
          <w:rFonts w:asciiTheme="majorHAnsi" w:hAnsiTheme="majorHAnsi"/>
          <w:sz w:val="20"/>
          <w:szCs w:val="20"/>
        </w:rPr>
        <w:t xml:space="preserve"> Law 24</w:t>
      </w:r>
      <w:r w:rsidR="009D01B4">
        <w:rPr>
          <w:rFonts w:asciiTheme="majorHAnsi" w:hAnsiTheme="majorHAnsi"/>
          <w:sz w:val="20"/>
          <w:szCs w:val="20"/>
        </w:rPr>
        <w:t>.</w:t>
      </w:r>
      <w:r w:rsidRPr="002A2289">
        <w:rPr>
          <w:rFonts w:asciiTheme="majorHAnsi" w:hAnsiTheme="majorHAnsi"/>
          <w:sz w:val="20"/>
          <w:szCs w:val="20"/>
        </w:rPr>
        <w:t>043</w:t>
      </w:r>
      <w:r w:rsidR="009D01B4">
        <w:rPr>
          <w:rFonts w:asciiTheme="majorHAnsi" w:hAnsiTheme="majorHAnsi"/>
          <w:sz w:val="20"/>
          <w:szCs w:val="20"/>
        </w:rPr>
        <w:t xml:space="preserve"> </w:t>
      </w:r>
      <w:r w:rsidRPr="002A2289">
        <w:rPr>
          <w:rFonts w:asciiTheme="majorHAnsi" w:hAnsiTheme="majorHAnsi"/>
          <w:sz w:val="20"/>
          <w:szCs w:val="20"/>
        </w:rPr>
        <w:t xml:space="preserve">for the time he was detained and under the release-under-surveillance regime. They </w:t>
      </w:r>
      <w:r w:rsidR="009D01B4">
        <w:rPr>
          <w:rFonts w:asciiTheme="majorHAnsi" w:hAnsiTheme="majorHAnsi"/>
          <w:sz w:val="20"/>
          <w:szCs w:val="20"/>
        </w:rPr>
        <w:t>stated</w:t>
      </w:r>
      <w:r w:rsidRPr="002A2289">
        <w:rPr>
          <w:rFonts w:asciiTheme="majorHAnsi" w:hAnsiTheme="majorHAnsi"/>
          <w:sz w:val="20"/>
          <w:szCs w:val="20"/>
        </w:rPr>
        <w:t xml:space="preserve"> that the Secretariat for Human Rights of the Ministry of Interior issued administrative decision 2638/96 in 1996, recognizing compensation for the 54 days of detention, but denying compensation for the 4 years and 10 months during which Mr. Almeida claimed he </w:t>
      </w:r>
      <w:r w:rsidR="00297A07" w:rsidRPr="002A2289">
        <w:rPr>
          <w:rFonts w:asciiTheme="majorHAnsi" w:hAnsiTheme="majorHAnsi"/>
          <w:sz w:val="20"/>
          <w:szCs w:val="20"/>
        </w:rPr>
        <w:t>was</w:t>
      </w:r>
      <w:r w:rsidRPr="002A2289">
        <w:rPr>
          <w:rFonts w:asciiTheme="majorHAnsi" w:hAnsiTheme="majorHAnsi"/>
          <w:sz w:val="20"/>
          <w:szCs w:val="20"/>
        </w:rPr>
        <w:t xml:space="preserve"> kept under the release-under-surveillance regime.</w:t>
      </w:r>
    </w:p>
    <w:p w14:paraId="3D32CF7A" w14:textId="77777777" w:rsidR="004948B8" w:rsidRPr="002A2289" w:rsidRDefault="004948B8" w:rsidP="004948B8">
      <w:pPr>
        <w:pStyle w:val="ListParagraph"/>
        <w:ind w:firstLine="720"/>
        <w:rPr>
          <w:rFonts w:asciiTheme="majorHAnsi" w:hAnsiTheme="majorHAnsi"/>
          <w:sz w:val="20"/>
          <w:szCs w:val="20"/>
        </w:rPr>
      </w:pPr>
    </w:p>
    <w:p w14:paraId="614E4BDE" w14:textId="1A280E56" w:rsidR="004948B8" w:rsidRPr="002A2289" w:rsidRDefault="009D01B4"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They reported that </w:t>
      </w:r>
      <w:r w:rsidR="004948B8" w:rsidRPr="002A2289">
        <w:rPr>
          <w:rFonts w:asciiTheme="majorHAnsi" w:hAnsiTheme="majorHAnsi"/>
          <w:sz w:val="20"/>
          <w:szCs w:val="20"/>
        </w:rPr>
        <w:t xml:space="preserve">Mr. Almeida filed an appeal with the National Court of Appeals for Federal Administrative Matters (hereinafter, “CNACAF”) in 1996. In 1999, CNACAF upheld the earlier decision after determining that Mr. Almeida’s situation was not included under the conditions one had to show to be entitled </w:t>
      </w:r>
      <w:r w:rsidR="007301BC" w:rsidRPr="002A2289">
        <w:rPr>
          <w:rFonts w:asciiTheme="majorHAnsi" w:hAnsiTheme="majorHAnsi"/>
          <w:sz w:val="20"/>
          <w:szCs w:val="20"/>
        </w:rPr>
        <w:t xml:space="preserve">to compensation for release under </w:t>
      </w:r>
      <w:r w:rsidR="004948B8" w:rsidRPr="002A2289">
        <w:rPr>
          <w:rFonts w:asciiTheme="majorHAnsi" w:hAnsiTheme="majorHAnsi"/>
          <w:sz w:val="20"/>
          <w:szCs w:val="20"/>
        </w:rPr>
        <w:t>surveillance, which required a declaratory mitigation (</w:t>
      </w:r>
      <w:r w:rsidR="004948B8" w:rsidRPr="002A2289">
        <w:rPr>
          <w:rFonts w:asciiTheme="majorHAnsi" w:hAnsiTheme="majorHAnsi"/>
          <w:i/>
          <w:sz w:val="20"/>
          <w:szCs w:val="20"/>
        </w:rPr>
        <w:t>declaración de atenuación</w:t>
      </w:r>
      <w:r w:rsidR="004948B8" w:rsidRPr="002A2289">
        <w:rPr>
          <w:rFonts w:asciiTheme="majorHAnsi" w:hAnsiTheme="majorHAnsi"/>
          <w:sz w:val="20"/>
          <w:szCs w:val="20"/>
        </w:rPr>
        <w:t>) of the terms of the arrest by presidential decree. The petitioners indicated that Mr. Almeida “[had been] detained unlawfully, and because the situation was illegal, it [was] absurd to ask him to provide the written order for his release under surveillance.” They noted that Mr. Almeida filed a complaint appeal (</w:t>
      </w:r>
      <w:r w:rsidR="004948B8" w:rsidRPr="002A2289">
        <w:rPr>
          <w:rFonts w:asciiTheme="majorHAnsi" w:hAnsiTheme="majorHAnsi"/>
          <w:i/>
          <w:sz w:val="20"/>
          <w:szCs w:val="20"/>
        </w:rPr>
        <w:t>recurso de queja</w:t>
      </w:r>
      <w:r w:rsidR="004948B8" w:rsidRPr="002A2289">
        <w:rPr>
          <w:rFonts w:asciiTheme="majorHAnsi" w:hAnsiTheme="majorHAnsi"/>
          <w:sz w:val="20"/>
          <w:szCs w:val="20"/>
        </w:rPr>
        <w:t>) with the Supreme Court of Justice of the Nation (hereinafter, the “CSJN”) on July 7, 1999, which was rejected on December 2, 1999.</w:t>
      </w:r>
    </w:p>
    <w:p w14:paraId="13C1679B" w14:textId="77777777" w:rsidR="004948B8" w:rsidRPr="002A2289" w:rsidRDefault="004948B8" w:rsidP="004948B8">
      <w:pPr>
        <w:pStyle w:val="ListParagraph"/>
        <w:ind w:firstLine="720"/>
        <w:rPr>
          <w:rFonts w:asciiTheme="majorHAnsi" w:hAnsiTheme="majorHAnsi"/>
          <w:sz w:val="20"/>
          <w:szCs w:val="20"/>
        </w:rPr>
      </w:pPr>
    </w:p>
    <w:p w14:paraId="7DB0649F" w14:textId="44E4DC03"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A2289">
        <w:rPr>
          <w:rFonts w:asciiTheme="majorHAnsi" w:hAnsiTheme="majorHAnsi"/>
          <w:sz w:val="20"/>
          <w:szCs w:val="20"/>
        </w:rPr>
        <w:t>The petitioners claimed that subsequent to its decision on Mr. Almeida’s case, CNACAF did recognize reparations for release under surveillance</w:t>
      </w:r>
      <w:r w:rsidR="00B102C9">
        <w:rPr>
          <w:rFonts w:asciiTheme="majorHAnsi" w:hAnsiTheme="majorHAnsi"/>
          <w:sz w:val="20"/>
          <w:szCs w:val="20"/>
        </w:rPr>
        <w:t>—</w:t>
      </w:r>
      <w:r w:rsidRPr="002A2289">
        <w:rPr>
          <w:rFonts w:asciiTheme="majorHAnsi" w:hAnsiTheme="majorHAnsi"/>
          <w:sz w:val="20"/>
          <w:szCs w:val="20"/>
        </w:rPr>
        <w:t>even when no order had come from the national Executive Branch (hereinafter, “the Executive”)</w:t>
      </w:r>
      <w:r w:rsidR="00B102C9">
        <w:rPr>
          <w:rFonts w:asciiTheme="majorHAnsi" w:hAnsiTheme="majorHAnsi"/>
          <w:sz w:val="20"/>
          <w:szCs w:val="20"/>
        </w:rPr>
        <w:t>—in its judgment i</w:t>
      </w:r>
      <w:r w:rsidRPr="002A2289">
        <w:rPr>
          <w:rFonts w:asciiTheme="majorHAnsi" w:hAnsiTheme="majorHAnsi"/>
          <w:sz w:val="20"/>
          <w:szCs w:val="20"/>
        </w:rPr>
        <w:t xml:space="preserve">n the </w:t>
      </w:r>
      <w:proofErr w:type="spellStart"/>
      <w:r w:rsidRPr="002A2289">
        <w:rPr>
          <w:rFonts w:asciiTheme="majorHAnsi" w:hAnsiTheme="majorHAnsi"/>
          <w:i/>
          <w:sz w:val="20"/>
          <w:szCs w:val="20"/>
        </w:rPr>
        <w:t>Robasto</w:t>
      </w:r>
      <w:proofErr w:type="spellEnd"/>
      <w:r w:rsidRPr="002A2289">
        <w:rPr>
          <w:rFonts w:asciiTheme="majorHAnsi" w:hAnsiTheme="majorHAnsi"/>
          <w:sz w:val="20"/>
          <w:szCs w:val="20"/>
        </w:rPr>
        <w:t xml:space="preserve"> case (2003). They </w:t>
      </w:r>
      <w:r w:rsidR="00B102C9">
        <w:rPr>
          <w:rFonts w:asciiTheme="majorHAnsi" w:hAnsiTheme="majorHAnsi"/>
          <w:sz w:val="20"/>
          <w:szCs w:val="20"/>
        </w:rPr>
        <w:t>argued that since</w:t>
      </w:r>
      <w:r w:rsidRPr="002A2289">
        <w:rPr>
          <w:rFonts w:asciiTheme="majorHAnsi" w:hAnsiTheme="majorHAnsi"/>
          <w:sz w:val="20"/>
          <w:szCs w:val="20"/>
        </w:rPr>
        <w:t xml:space="preserve"> the </w:t>
      </w:r>
      <w:proofErr w:type="spellStart"/>
      <w:r w:rsidRPr="002A2289">
        <w:rPr>
          <w:rFonts w:asciiTheme="majorHAnsi" w:hAnsiTheme="majorHAnsi"/>
          <w:i/>
          <w:sz w:val="20"/>
          <w:szCs w:val="20"/>
        </w:rPr>
        <w:t>Robasto</w:t>
      </w:r>
      <w:proofErr w:type="spellEnd"/>
      <w:r w:rsidRPr="002A2289">
        <w:rPr>
          <w:rFonts w:asciiTheme="majorHAnsi" w:hAnsiTheme="majorHAnsi"/>
          <w:sz w:val="20"/>
          <w:szCs w:val="20"/>
        </w:rPr>
        <w:t xml:space="preserve"> case, the Secretariat for Human Rights amended its criterion for interpreting the scope of Law 24</w:t>
      </w:r>
      <w:r w:rsidR="00B102C9">
        <w:rPr>
          <w:rFonts w:asciiTheme="majorHAnsi" w:hAnsiTheme="majorHAnsi"/>
          <w:sz w:val="20"/>
          <w:szCs w:val="20"/>
        </w:rPr>
        <w:t>.</w:t>
      </w:r>
      <w:r w:rsidRPr="002A2289">
        <w:rPr>
          <w:rFonts w:asciiTheme="majorHAnsi" w:hAnsiTheme="majorHAnsi"/>
          <w:sz w:val="20"/>
          <w:szCs w:val="20"/>
        </w:rPr>
        <w:t>043, including</w:t>
      </w:r>
      <w:r w:rsidR="000E79D4" w:rsidRPr="002A2289">
        <w:rPr>
          <w:rFonts w:asciiTheme="majorHAnsi" w:hAnsiTheme="majorHAnsi"/>
          <w:sz w:val="20"/>
          <w:szCs w:val="20"/>
        </w:rPr>
        <w:t xml:space="preserve"> cases of release </w:t>
      </w:r>
      <w:r w:rsidRPr="002A2289">
        <w:rPr>
          <w:rFonts w:asciiTheme="majorHAnsi" w:hAnsiTheme="majorHAnsi"/>
          <w:sz w:val="20"/>
          <w:szCs w:val="20"/>
        </w:rPr>
        <w:t>under surveillance or</w:t>
      </w:r>
      <w:r w:rsidR="00B102C9">
        <w:rPr>
          <w:rFonts w:asciiTheme="majorHAnsi" w:hAnsiTheme="majorHAnsi"/>
          <w:sz w:val="20"/>
          <w:szCs w:val="20"/>
        </w:rPr>
        <w:t xml:space="preserve">dered by a competent authority under color of law </w:t>
      </w:r>
      <w:r w:rsidR="00B102C9" w:rsidRPr="002A2289">
        <w:rPr>
          <w:rFonts w:asciiTheme="majorHAnsi" w:hAnsiTheme="majorHAnsi"/>
          <w:sz w:val="20"/>
          <w:szCs w:val="20"/>
        </w:rPr>
        <w:t>as compensable</w:t>
      </w:r>
      <w:r w:rsidR="00B102C9">
        <w:rPr>
          <w:rFonts w:asciiTheme="majorHAnsi" w:hAnsiTheme="majorHAnsi"/>
          <w:sz w:val="20"/>
          <w:szCs w:val="20"/>
        </w:rPr>
        <w:t xml:space="preserve">. </w:t>
      </w:r>
      <w:r w:rsidRPr="002A2289">
        <w:rPr>
          <w:rFonts w:asciiTheme="majorHAnsi" w:hAnsiTheme="majorHAnsi"/>
          <w:sz w:val="20"/>
          <w:szCs w:val="20"/>
        </w:rPr>
        <w:t xml:space="preserve">They argued that in other similar cases, favorable decisions </w:t>
      </w:r>
      <w:r w:rsidR="00B102C9">
        <w:rPr>
          <w:rFonts w:asciiTheme="majorHAnsi" w:hAnsiTheme="majorHAnsi"/>
          <w:sz w:val="20"/>
          <w:szCs w:val="20"/>
        </w:rPr>
        <w:t>have since</w:t>
      </w:r>
      <w:r w:rsidRPr="002A2289">
        <w:rPr>
          <w:rFonts w:asciiTheme="majorHAnsi" w:hAnsiTheme="majorHAnsi"/>
          <w:sz w:val="20"/>
          <w:szCs w:val="20"/>
        </w:rPr>
        <w:t xml:space="preserve"> been issued by the Ministry of Justice and Human Rights (hereinafter, “Ministry of Justice”).</w:t>
      </w:r>
      <w:r w:rsidR="0058748D" w:rsidRPr="002A2289">
        <w:rPr>
          <w:rFonts w:asciiTheme="majorHAnsi" w:hAnsiTheme="majorHAnsi"/>
          <w:sz w:val="20"/>
          <w:szCs w:val="20"/>
        </w:rPr>
        <w:t xml:space="preserve"> </w:t>
      </w:r>
    </w:p>
    <w:p w14:paraId="73111441" w14:textId="77777777" w:rsidR="004948B8" w:rsidRPr="002A2289" w:rsidRDefault="004948B8" w:rsidP="004948B8">
      <w:pPr>
        <w:pStyle w:val="ListParagraph"/>
        <w:ind w:firstLine="720"/>
        <w:rPr>
          <w:rFonts w:asciiTheme="majorHAnsi" w:hAnsiTheme="majorHAnsi"/>
          <w:sz w:val="20"/>
          <w:szCs w:val="20"/>
        </w:rPr>
      </w:pPr>
    </w:p>
    <w:p w14:paraId="7143026A" w14:textId="2C4AF641"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A2289">
        <w:rPr>
          <w:rFonts w:asciiTheme="majorHAnsi" w:hAnsiTheme="majorHAnsi"/>
          <w:sz w:val="20"/>
          <w:szCs w:val="20"/>
        </w:rPr>
        <w:t xml:space="preserve">The petitioners claimed that based on </w:t>
      </w:r>
      <w:r w:rsidR="00B102C9">
        <w:rPr>
          <w:rFonts w:asciiTheme="majorHAnsi" w:hAnsiTheme="majorHAnsi"/>
          <w:sz w:val="20"/>
          <w:szCs w:val="20"/>
        </w:rPr>
        <w:t>this</w:t>
      </w:r>
      <w:r w:rsidRPr="002A2289">
        <w:rPr>
          <w:rFonts w:asciiTheme="majorHAnsi" w:hAnsiTheme="majorHAnsi"/>
          <w:sz w:val="20"/>
          <w:szCs w:val="20"/>
        </w:rPr>
        <w:t xml:space="preserve"> change, Mr. Almeida filed an appeal with the Ministry of Justice on December 27, 2004, extended on March 28, 2006, to have decision 2638/96 amended so as to bring it in line with the new criteria being applied to identical situations. They reported that </w:t>
      </w:r>
      <w:r w:rsidR="00FF06C1" w:rsidRPr="002A2289">
        <w:rPr>
          <w:rFonts w:asciiTheme="majorHAnsi" w:hAnsiTheme="majorHAnsi"/>
          <w:sz w:val="20"/>
          <w:szCs w:val="20"/>
        </w:rPr>
        <w:t>the Ministry of Justice issued D</w:t>
      </w:r>
      <w:r w:rsidRPr="002A2289">
        <w:rPr>
          <w:rFonts w:asciiTheme="majorHAnsi" w:hAnsiTheme="majorHAnsi"/>
          <w:sz w:val="20"/>
          <w:szCs w:val="20"/>
        </w:rPr>
        <w:t xml:space="preserve">ecision 1243/2006, rejecting the request </w:t>
      </w:r>
      <w:r w:rsidR="00B102C9">
        <w:rPr>
          <w:rFonts w:asciiTheme="majorHAnsi" w:hAnsiTheme="majorHAnsi"/>
          <w:sz w:val="20"/>
          <w:szCs w:val="20"/>
        </w:rPr>
        <w:t>on the basis that Mr. Almeida was seeking review of a final judicial decision</w:t>
      </w:r>
      <w:r w:rsidRPr="002A2289">
        <w:rPr>
          <w:rFonts w:asciiTheme="majorHAnsi" w:hAnsiTheme="majorHAnsi"/>
          <w:sz w:val="20"/>
          <w:szCs w:val="20"/>
        </w:rPr>
        <w:t xml:space="preserve">. Lastly, they reported that in 2015, in response to </w:t>
      </w:r>
      <w:r w:rsidR="00B102C9">
        <w:rPr>
          <w:rFonts w:asciiTheme="majorHAnsi" w:hAnsiTheme="majorHAnsi"/>
          <w:sz w:val="20"/>
          <w:szCs w:val="20"/>
        </w:rPr>
        <w:t>her first-time</w:t>
      </w:r>
      <w:r w:rsidRPr="002A2289">
        <w:rPr>
          <w:rFonts w:asciiTheme="majorHAnsi" w:hAnsiTheme="majorHAnsi"/>
          <w:sz w:val="20"/>
          <w:szCs w:val="20"/>
        </w:rPr>
        <w:t xml:space="preserve"> request, the Ministry of Justice ordered reparations for Mr. Almeida’s wife “for the same events, which</w:t>
      </w:r>
      <w:r w:rsidR="00FF06C1" w:rsidRPr="002A2289">
        <w:rPr>
          <w:rFonts w:asciiTheme="majorHAnsi" w:hAnsiTheme="majorHAnsi"/>
          <w:sz w:val="20"/>
          <w:szCs w:val="20"/>
        </w:rPr>
        <w:t xml:space="preserve"> occurred simultaneously,” via D</w:t>
      </w:r>
      <w:r w:rsidRPr="002A2289">
        <w:rPr>
          <w:rFonts w:asciiTheme="majorHAnsi" w:hAnsiTheme="majorHAnsi"/>
          <w:sz w:val="20"/>
          <w:szCs w:val="20"/>
        </w:rPr>
        <w:t>ecision 1176/2015.</w:t>
      </w:r>
    </w:p>
    <w:p w14:paraId="32C07FA4" w14:textId="77777777" w:rsidR="004948B8" w:rsidRPr="002A2289" w:rsidRDefault="004948B8" w:rsidP="004948B8">
      <w:pPr>
        <w:pStyle w:val="ListParagraph"/>
        <w:ind w:firstLine="720"/>
        <w:rPr>
          <w:rFonts w:asciiTheme="majorHAnsi" w:hAnsiTheme="majorHAnsi"/>
          <w:sz w:val="20"/>
          <w:szCs w:val="20"/>
        </w:rPr>
      </w:pPr>
    </w:p>
    <w:p w14:paraId="1DED760B" w14:textId="728733B8"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A2289">
        <w:rPr>
          <w:rFonts w:asciiTheme="majorHAnsi" w:hAnsiTheme="majorHAnsi"/>
          <w:sz w:val="20"/>
          <w:szCs w:val="20"/>
        </w:rPr>
        <w:t xml:space="preserve">In view of the foregoing, the petitioners argued that the State, through its laws and legal bodies, does not protect all individuals equally inasmuch as it uses different criteria for identical cases. Specifically, they claimed that the unlawful restriction of personal liberty through the imposition of a </w:t>
      </w:r>
      <w:r w:rsidRPr="002A2289">
        <w:rPr>
          <w:rFonts w:asciiTheme="majorHAnsi" w:hAnsiTheme="majorHAnsi"/>
          <w:i/>
          <w:sz w:val="20"/>
          <w:szCs w:val="20"/>
        </w:rPr>
        <w:t>de facto</w:t>
      </w:r>
      <w:r w:rsidRPr="002A2289">
        <w:rPr>
          <w:rFonts w:asciiTheme="majorHAnsi" w:hAnsiTheme="majorHAnsi"/>
          <w:sz w:val="20"/>
          <w:szCs w:val="20"/>
        </w:rPr>
        <w:t xml:space="preserve"> release-under-surveillance regime was not repaired in timely fashion by the State. They argued violation of the </w:t>
      </w:r>
      <w:r w:rsidRPr="002A2289">
        <w:rPr>
          <w:rFonts w:asciiTheme="majorHAnsi" w:hAnsiTheme="majorHAnsi"/>
          <w:b/>
          <w:sz w:val="20"/>
          <w:szCs w:val="20"/>
        </w:rPr>
        <w:t xml:space="preserve">right to equal protection </w:t>
      </w:r>
      <w:r w:rsidRPr="002A2289">
        <w:rPr>
          <w:rFonts w:asciiTheme="majorHAnsi" w:hAnsiTheme="majorHAnsi"/>
          <w:sz w:val="20"/>
          <w:szCs w:val="20"/>
        </w:rPr>
        <w:t xml:space="preserve">on the basis of two aspects: (i) that in its legislation, the State does not expressly recognize release under surveillance without a judicial order for purposes of reparations; and (ii) </w:t>
      </w:r>
      <w:r w:rsidR="00B102C9">
        <w:rPr>
          <w:rFonts w:asciiTheme="majorHAnsi" w:hAnsiTheme="majorHAnsi"/>
          <w:sz w:val="20"/>
          <w:szCs w:val="20"/>
        </w:rPr>
        <w:t>that in other cases,</w:t>
      </w:r>
      <w:r w:rsidRPr="002A2289">
        <w:rPr>
          <w:rFonts w:asciiTheme="majorHAnsi" w:hAnsiTheme="majorHAnsi"/>
          <w:sz w:val="20"/>
          <w:szCs w:val="20"/>
        </w:rPr>
        <w:t xml:space="preserve"> reparations have been ordered for release under surveillance.</w:t>
      </w:r>
    </w:p>
    <w:p w14:paraId="39D65811" w14:textId="77777777" w:rsidR="004948B8" w:rsidRPr="002A2289" w:rsidRDefault="004948B8" w:rsidP="004948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2A2289">
        <w:rPr>
          <w:rFonts w:asciiTheme="majorHAnsi" w:hAnsiTheme="majorHAnsi"/>
          <w:sz w:val="20"/>
          <w:szCs w:val="20"/>
        </w:rPr>
        <w:t xml:space="preserve"> </w:t>
      </w:r>
    </w:p>
    <w:p w14:paraId="6EFD565F" w14:textId="3B9DBE8A"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A2289">
        <w:rPr>
          <w:rFonts w:asciiTheme="majorHAnsi" w:hAnsiTheme="majorHAnsi"/>
          <w:sz w:val="20"/>
          <w:szCs w:val="20"/>
        </w:rPr>
        <w:t>The petitioners alleged that Mr. Almeida’s case demonstrated a “clear lack of equal protection under the law vis-à-vis other victims of unlawful repression—no internal agency reviewed the evidence, meaning the legal truth was dispensed with as the State limited itself to examining the case from an overly formal standpoint, in obvious contradiction to the obligations it has undertaken internationally and to [other] internal decisions—” inasmuch as reparations have been made in similar circumstances</w:t>
      </w:r>
      <w:r w:rsidR="00B102C9">
        <w:rPr>
          <w:rFonts w:asciiTheme="majorHAnsi" w:hAnsiTheme="majorHAnsi"/>
          <w:sz w:val="20"/>
          <w:szCs w:val="20"/>
        </w:rPr>
        <w:t xml:space="preserve">, in view of the express will of Congress, in passing the law, to make reparation in equity to </w:t>
      </w:r>
      <w:r w:rsidRPr="002A2289">
        <w:rPr>
          <w:rFonts w:asciiTheme="majorHAnsi" w:hAnsiTheme="majorHAnsi"/>
          <w:sz w:val="20"/>
          <w:szCs w:val="20"/>
        </w:rPr>
        <w:t>all those deprived of their liberty during the time of the dictatorship.</w:t>
      </w:r>
    </w:p>
    <w:p w14:paraId="07E75E52" w14:textId="77777777" w:rsidR="004948B8" w:rsidRPr="002A2289" w:rsidRDefault="004948B8" w:rsidP="004948B8">
      <w:pPr>
        <w:pBdr>
          <w:top w:val="none" w:sz="0" w:space="0" w:color="auto"/>
          <w:left w:val="none" w:sz="0" w:space="0" w:color="auto"/>
          <w:bottom w:val="none" w:sz="0" w:space="0" w:color="auto"/>
          <w:right w:val="none" w:sz="0" w:space="0" w:color="auto"/>
          <w:bar w:val="none" w:sz="0" w:color="auto"/>
        </w:pBdr>
        <w:ind w:left="720" w:firstLine="720"/>
        <w:rPr>
          <w:rFonts w:asciiTheme="majorHAnsi" w:hAnsiTheme="majorHAnsi"/>
          <w:sz w:val="20"/>
          <w:szCs w:val="20"/>
        </w:rPr>
      </w:pPr>
    </w:p>
    <w:p w14:paraId="521A212B" w14:textId="4884E101"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A2289">
        <w:rPr>
          <w:rFonts w:asciiTheme="majorHAnsi" w:hAnsiTheme="majorHAnsi"/>
          <w:sz w:val="20"/>
          <w:szCs w:val="20"/>
        </w:rPr>
        <w:lastRenderedPageBreak/>
        <w:t xml:space="preserve">The petitioners alleged that in </w:t>
      </w:r>
      <w:r w:rsidR="00B102C9">
        <w:rPr>
          <w:rFonts w:asciiTheme="majorHAnsi" w:hAnsiTheme="majorHAnsi"/>
          <w:sz w:val="20"/>
          <w:szCs w:val="20"/>
        </w:rPr>
        <w:t>some</w:t>
      </w:r>
      <w:r w:rsidRPr="002A2289">
        <w:rPr>
          <w:rFonts w:asciiTheme="majorHAnsi" w:hAnsiTheme="majorHAnsi"/>
          <w:sz w:val="20"/>
          <w:szCs w:val="20"/>
        </w:rPr>
        <w:t xml:space="preserve"> cases, the </w:t>
      </w:r>
      <w:r w:rsidR="00B102C9">
        <w:rPr>
          <w:rFonts w:asciiTheme="majorHAnsi" w:hAnsiTheme="majorHAnsi"/>
          <w:sz w:val="20"/>
          <w:szCs w:val="20"/>
        </w:rPr>
        <w:t xml:space="preserve">legal provisions governing reparation </w:t>
      </w:r>
      <w:r w:rsidRPr="002A2289">
        <w:rPr>
          <w:rFonts w:asciiTheme="majorHAnsi" w:hAnsiTheme="majorHAnsi"/>
          <w:sz w:val="20"/>
          <w:szCs w:val="20"/>
        </w:rPr>
        <w:t>are insufficient, incomplete, and arbitrary and therefore, violate the right to equal protection. They noted that the IACHR is not being asked to rule on the constitutionality of Argentine domestic law, but rather that the claim has to do with the right to receive fair and appropriate reparation, like the other victims of “State terrorism.”</w:t>
      </w:r>
    </w:p>
    <w:p w14:paraId="4F773CFF" w14:textId="77777777" w:rsidR="004948B8" w:rsidRPr="002A2289" w:rsidRDefault="004948B8" w:rsidP="004948B8">
      <w:pPr>
        <w:pBdr>
          <w:top w:val="none" w:sz="0" w:space="0" w:color="auto"/>
          <w:left w:val="none" w:sz="0" w:space="0" w:color="auto"/>
          <w:bottom w:val="none" w:sz="0" w:space="0" w:color="auto"/>
          <w:right w:val="none" w:sz="0" w:space="0" w:color="auto"/>
          <w:bar w:val="none" w:sz="0" w:color="auto"/>
        </w:pBdr>
        <w:ind w:left="720" w:firstLine="720"/>
        <w:rPr>
          <w:rFonts w:asciiTheme="majorHAnsi" w:hAnsiTheme="majorHAnsi"/>
          <w:sz w:val="20"/>
          <w:szCs w:val="20"/>
        </w:rPr>
      </w:pPr>
    </w:p>
    <w:p w14:paraId="2C6BDC54" w14:textId="77777777" w:rsidR="004948B8" w:rsidRPr="002A2289" w:rsidRDefault="004948B8" w:rsidP="002A2289">
      <w:pPr>
        <w:pStyle w:val="Heading2"/>
      </w:pPr>
      <w:r w:rsidRPr="002A2289">
        <w:t>State</w:t>
      </w:r>
    </w:p>
    <w:p w14:paraId="40F04640" w14:textId="77777777" w:rsidR="004948B8" w:rsidRPr="002A2289" w:rsidRDefault="004948B8" w:rsidP="004948B8">
      <w:pPr>
        <w:suppressAutoHyphens/>
        <w:ind w:firstLine="720"/>
        <w:rPr>
          <w:rFonts w:asciiTheme="majorHAnsi" w:hAnsiTheme="majorHAnsi"/>
          <w:sz w:val="20"/>
          <w:szCs w:val="20"/>
        </w:rPr>
      </w:pPr>
    </w:p>
    <w:p w14:paraId="5CC3E6E1" w14:textId="78A6CE6C"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A2289">
        <w:rPr>
          <w:rFonts w:asciiTheme="majorHAnsi" w:hAnsiTheme="majorHAnsi"/>
          <w:sz w:val="20"/>
          <w:szCs w:val="20"/>
        </w:rPr>
        <w:t xml:space="preserve">The State denied that the rights to </w:t>
      </w:r>
      <w:r w:rsidRPr="002A2289">
        <w:rPr>
          <w:rFonts w:asciiTheme="majorHAnsi" w:hAnsiTheme="majorHAnsi"/>
          <w:b/>
          <w:sz w:val="20"/>
          <w:szCs w:val="20"/>
        </w:rPr>
        <w:t>due process</w:t>
      </w:r>
      <w:r w:rsidRPr="002A2289">
        <w:rPr>
          <w:rFonts w:asciiTheme="majorHAnsi" w:hAnsiTheme="majorHAnsi"/>
          <w:sz w:val="20"/>
          <w:szCs w:val="20"/>
        </w:rPr>
        <w:t xml:space="preserve"> or </w:t>
      </w:r>
      <w:r w:rsidRPr="002A2289">
        <w:rPr>
          <w:rFonts w:asciiTheme="majorHAnsi" w:hAnsiTheme="majorHAnsi"/>
          <w:b/>
          <w:sz w:val="20"/>
          <w:szCs w:val="20"/>
        </w:rPr>
        <w:t>equal protection</w:t>
      </w:r>
      <w:r w:rsidRPr="002A2289">
        <w:rPr>
          <w:rFonts w:asciiTheme="majorHAnsi" w:hAnsiTheme="majorHAnsi"/>
          <w:sz w:val="20"/>
          <w:szCs w:val="20"/>
        </w:rPr>
        <w:t xml:space="preserve"> had been violated in the instant case inasmuch as “[the case] was handled with the utmost consistency and respect for the law, in both form and substance, with everything corroborated judicially in the context of a process carried out in full adherence to the law;” it further held that the legal decisions issued in the case were duly founded. Specifically, regarding the arguments “according to which in similar cases the Judiciary had supposedly ruled differently,” the State contended that “</w:t>
      </w:r>
      <w:r w:rsidR="00EC256B" w:rsidRPr="002A2289">
        <w:rPr>
          <w:rFonts w:asciiTheme="majorHAnsi" w:hAnsiTheme="majorHAnsi"/>
          <w:sz w:val="20"/>
          <w:szCs w:val="20"/>
        </w:rPr>
        <w:t>in Mr. Almeida’s case there were no probative elements that substantiated the existence of release under surveillance at the time his situation was ruled upon by the administrati</w:t>
      </w:r>
      <w:r w:rsidR="00B102C9">
        <w:rPr>
          <w:rFonts w:asciiTheme="majorHAnsi" w:hAnsiTheme="majorHAnsi"/>
          <w:sz w:val="20"/>
          <w:szCs w:val="20"/>
        </w:rPr>
        <w:t>vely</w:t>
      </w:r>
      <w:r w:rsidR="00EC256B" w:rsidRPr="002A2289">
        <w:rPr>
          <w:rFonts w:asciiTheme="majorHAnsi" w:hAnsiTheme="majorHAnsi"/>
          <w:sz w:val="20"/>
          <w:szCs w:val="20"/>
        </w:rPr>
        <w:t xml:space="preserve"> or </w:t>
      </w:r>
      <w:r w:rsidR="00B102C9">
        <w:rPr>
          <w:rFonts w:asciiTheme="majorHAnsi" w:hAnsiTheme="majorHAnsi"/>
          <w:sz w:val="20"/>
          <w:szCs w:val="20"/>
        </w:rPr>
        <w:t xml:space="preserve">in </w:t>
      </w:r>
      <w:r w:rsidR="00EC256B" w:rsidRPr="002A2289">
        <w:rPr>
          <w:rFonts w:asciiTheme="majorHAnsi" w:hAnsiTheme="majorHAnsi"/>
          <w:sz w:val="20"/>
          <w:szCs w:val="20"/>
        </w:rPr>
        <w:t>the courts, nor do those exist currently […]</w:t>
      </w:r>
      <w:r w:rsidRPr="002A2289">
        <w:rPr>
          <w:rFonts w:asciiTheme="majorHAnsi" w:hAnsiTheme="majorHAnsi"/>
          <w:sz w:val="20"/>
          <w:szCs w:val="20"/>
        </w:rPr>
        <w:t>” The State noted, in this regard, that in his domestic case, Mr. Almeida “never managed to exceed the threshold for proving he had been subject to some type of restriction to his liberty (except that for which he had already been compensated).”</w:t>
      </w:r>
    </w:p>
    <w:p w14:paraId="627D3993" w14:textId="77777777" w:rsidR="004948B8" w:rsidRPr="002A2289" w:rsidRDefault="004948B8" w:rsidP="004948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14:paraId="7916B58F" w14:textId="66F5A056"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A2289">
        <w:rPr>
          <w:rFonts w:asciiTheme="majorHAnsi" w:hAnsiTheme="majorHAnsi"/>
          <w:sz w:val="20"/>
          <w:szCs w:val="20"/>
        </w:rPr>
        <w:t xml:space="preserve">The State argued that Article 24 of the American Convention “involves the obligation to ensure equal treatment under the law to those who are in reasonably like circumstances; accordingly, that guarantee does not </w:t>
      </w:r>
      <w:r w:rsidR="00B102C9">
        <w:rPr>
          <w:rFonts w:asciiTheme="majorHAnsi" w:hAnsiTheme="majorHAnsi"/>
          <w:sz w:val="20"/>
          <w:szCs w:val="20"/>
        </w:rPr>
        <w:t>prevent</w:t>
      </w:r>
      <w:r w:rsidRPr="002A2289">
        <w:rPr>
          <w:rFonts w:asciiTheme="majorHAnsi" w:hAnsiTheme="majorHAnsi"/>
          <w:sz w:val="20"/>
          <w:szCs w:val="20"/>
        </w:rPr>
        <w:t xml:space="preserve"> a legislator from </w:t>
      </w:r>
      <w:r w:rsidR="00B102C9">
        <w:rPr>
          <w:rFonts w:asciiTheme="majorHAnsi" w:hAnsiTheme="majorHAnsi"/>
          <w:sz w:val="20"/>
          <w:szCs w:val="20"/>
        </w:rPr>
        <w:t>treating</w:t>
      </w:r>
      <w:r w:rsidRPr="002A2289">
        <w:rPr>
          <w:rFonts w:asciiTheme="majorHAnsi" w:hAnsiTheme="majorHAnsi"/>
          <w:sz w:val="20"/>
          <w:szCs w:val="20"/>
        </w:rPr>
        <w:t xml:space="preserve"> differently situations he or she deems to be different, so long as such distinctions are not formulated using arbitrary criteria.” In this connection, the State recalled the position taken by the IACHR in the </w:t>
      </w:r>
      <w:proofErr w:type="spellStart"/>
      <w:r w:rsidRPr="002A2289">
        <w:rPr>
          <w:rFonts w:asciiTheme="majorHAnsi" w:hAnsiTheme="majorHAnsi"/>
          <w:i/>
          <w:sz w:val="20"/>
          <w:szCs w:val="20"/>
        </w:rPr>
        <w:t>Hanríquez</w:t>
      </w:r>
      <w:proofErr w:type="spellEnd"/>
      <w:r w:rsidRPr="002A2289">
        <w:rPr>
          <w:rFonts w:asciiTheme="majorHAnsi" w:hAnsiTheme="majorHAnsi"/>
          <w:i/>
          <w:sz w:val="20"/>
          <w:szCs w:val="20"/>
        </w:rPr>
        <w:t xml:space="preserve"> </w:t>
      </w:r>
      <w:r w:rsidRPr="002A2289">
        <w:rPr>
          <w:rFonts w:asciiTheme="majorHAnsi" w:hAnsiTheme="majorHAnsi"/>
          <w:sz w:val="20"/>
          <w:szCs w:val="20"/>
        </w:rPr>
        <w:t>case (</w:t>
      </w:r>
      <w:r w:rsidR="00B102C9">
        <w:rPr>
          <w:rFonts w:asciiTheme="majorHAnsi" w:hAnsiTheme="majorHAnsi"/>
          <w:sz w:val="20"/>
          <w:szCs w:val="20"/>
        </w:rPr>
        <w:t>discussed</w:t>
      </w:r>
      <w:r w:rsidRPr="002A2289">
        <w:rPr>
          <w:rFonts w:asciiTheme="majorHAnsi" w:hAnsiTheme="majorHAnsi"/>
          <w:sz w:val="20"/>
          <w:szCs w:val="20"/>
        </w:rPr>
        <w:t xml:space="preserve"> below). </w:t>
      </w:r>
    </w:p>
    <w:p w14:paraId="77402422" w14:textId="77777777" w:rsidR="004948B8" w:rsidRPr="002A2289" w:rsidRDefault="004948B8" w:rsidP="004948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14:paraId="72B72FD9" w14:textId="24F1DD86"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A2289">
        <w:rPr>
          <w:rFonts w:asciiTheme="majorHAnsi" w:hAnsiTheme="majorHAnsi"/>
          <w:sz w:val="20"/>
          <w:szCs w:val="20"/>
        </w:rPr>
        <w:t>The State claimed that the legislature, in approving Law 24</w:t>
      </w:r>
      <w:r w:rsidR="00B102C9">
        <w:rPr>
          <w:rFonts w:asciiTheme="majorHAnsi" w:hAnsiTheme="majorHAnsi"/>
          <w:sz w:val="20"/>
          <w:szCs w:val="20"/>
        </w:rPr>
        <w:t>.</w:t>
      </w:r>
      <w:r w:rsidRPr="002A2289">
        <w:rPr>
          <w:rFonts w:asciiTheme="majorHAnsi" w:hAnsiTheme="majorHAnsi"/>
          <w:sz w:val="20"/>
          <w:szCs w:val="20"/>
        </w:rPr>
        <w:t>043, decided to include under the law’s conditions, release under surveillance by order of the Executive, but omit from its scope “</w:t>
      </w:r>
      <w:r w:rsidRPr="002A2289">
        <w:rPr>
          <w:rFonts w:asciiTheme="majorHAnsi" w:hAnsiTheme="majorHAnsi"/>
          <w:i/>
          <w:sz w:val="20"/>
          <w:szCs w:val="20"/>
        </w:rPr>
        <w:t>de facto</w:t>
      </w:r>
      <w:r w:rsidRPr="002A2289">
        <w:rPr>
          <w:rFonts w:asciiTheme="majorHAnsi" w:hAnsiTheme="majorHAnsi"/>
          <w:sz w:val="20"/>
          <w:szCs w:val="20"/>
        </w:rPr>
        <w:t xml:space="preserve"> release under surveillance.” The State added that “bestowing [to the Executive] the power to extend a legislator’s wishes to conditions not provided for in the law”</w:t>
      </w:r>
      <w:r w:rsidRPr="002A2289">
        <w:rPr>
          <w:rStyle w:val="FootnoteReference"/>
          <w:rFonts w:asciiTheme="majorHAnsi" w:hAnsiTheme="majorHAnsi"/>
          <w:sz w:val="20"/>
          <w:szCs w:val="20"/>
        </w:rPr>
        <w:footnoteReference w:id="4"/>
      </w:r>
      <w:r w:rsidRPr="002A2289">
        <w:rPr>
          <w:rFonts w:asciiTheme="majorHAnsi" w:hAnsiTheme="majorHAnsi"/>
          <w:sz w:val="20"/>
          <w:szCs w:val="20"/>
        </w:rPr>
        <w:t xml:space="preserve"> would run contrary to the constitutional separation of powers, further noting that, along these lines, “the petitioner lodged an appeal and the competent legal authority promptly examined the merits, and based on sound legal reasoning, issued a ruling on the matter [rejecting the petition].” In other words, the State maintained that, by the time domestic remedies had been exhausted in his case, the petitioner had not experienced any unequal treatment inasmuch as the criteria provided for under the law were objec</w:t>
      </w:r>
      <w:r w:rsidR="00B102C9">
        <w:rPr>
          <w:rFonts w:asciiTheme="majorHAnsi" w:hAnsiTheme="majorHAnsi"/>
          <w:sz w:val="20"/>
          <w:szCs w:val="20"/>
        </w:rPr>
        <w:t xml:space="preserve">tively applied; and the law is not itself </w:t>
      </w:r>
      <w:r w:rsidRPr="002A2289">
        <w:rPr>
          <w:rFonts w:asciiTheme="majorHAnsi" w:hAnsiTheme="majorHAnsi"/>
          <w:sz w:val="20"/>
          <w:szCs w:val="20"/>
        </w:rPr>
        <w:t>discriminatory.</w:t>
      </w:r>
    </w:p>
    <w:p w14:paraId="78B38FA4" w14:textId="77777777" w:rsidR="004948B8" w:rsidRPr="002A2289" w:rsidRDefault="004948B8" w:rsidP="004948B8">
      <w:pPr>
        <w:pStyle w:val="ListParagraph"/>
        <w:ind w:firstLine="720"/>
        <w:rPr>
          <w:rFonts w:asciiTheme="majorHAnsi" w:hAnsiTheme="majorHAnsi"/>
          <w:color w:val="auto"/>
          <w:sz w:val="20"/>
          <w:szCs w:val="20"/>
        </w:rPr>
      </w:pPr>
    </w:p>
    <w:p w14:paraId="1B9A7181" w14:textId="7DF58262" w:rsidR="004948B8" w:rsidRPr="002A2289" w:rsidRDefault="004948B8" w:rsidP="004948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A2289">
        <w:rPr>
          <w:rFonts w:asciiTheme="majorHAnsi" w:hAnsiTheme="majorHAnsi"/>
          <w:sz w:val="20"/>
          <w:szCs w:val="20"/>
        </w:rPr>
        <w:t xml:space="preserve">Regarding the similar cases cited by the petitioners, the State “believe[ed] it important to highlight the fact that the legal decisions invoked by the petitioners to paint as arbitrary the decision adopted by the </w:t>
      </w:r>
      <w:r w:rsidR="00B102C9">
        <w:rPr>
          <w:rFonts w:asciiTheme="majorHAnsi" w:hAnsiTheme="majorHAnsi"/>
          <w:sz w:val="20"/>
          <w:szCs w:val="20"/>
        </w:rPr>
        <w:t>administrative</w:t>
      </w:r>
      <w:r w:rsidRPr="002A2289">
        <w:rPr>
          <w:rFonts w:asciiTheme="majorHAnsi" w:hAnsiTheme="majorHAnsi"/>
          <w:sz w:val="20"/>
          <w:szCs w:val="20"/>
        </w:rPr>
        <w:t xml:space="preserve"> authority, besides not being fully</w:t>
      </w:r>
      <w:r w:rsidR="00B102C9">
        <w:rPr>
          <w:rFonts w:asciiTheme="majorHAnsi" w:hAnsiTheme="majorHAnsi"/>
          <w:sz w:val="20"/>
          <w:szCs w:val="20"/>
        </w:rPr>
        <w:t xml:space="preserve"> factually</w:t>
      </w:r>
      <w:r w:rsidRPr="002A2289">
        <w:rPr>
          <w:rFonts w:asciiTheme="majorHAnsi" w:hAnsiTheme="majorHAnsi"/>
          <w:sz w:val="20"/>
          <w:szCs w:val="20"/>
        </w:rPr>
        <w:t xml:space="preserve"> </w:t>
      </w:r>
      <w:r w:rsidR="00B102C9">
        <w:rPr>
          <w:rFonts w:asciiTheme="majorHAnsi" w:hAnsiTheme="majorHAnsi"/>
          <w:sz w:val="20"/>
          <w:szCs w:val="20"/>
        </w:rPr>
        <w:t>identical to</w:t>
      </w:r>
      <w:r w:rsidRPr="002A2289">
        <w:rPr>
          <w:rFonts w:asciiTheme="majorHAnsi" w:hAnsiTheme="majorHAnsi"/>
          <w:sz w:val="20"/>
          <w:szCs w:val="20"/>
        </w:rPr>
        <w:t xml:space="preserve"> the </w:t>
      </w:r>
      <w:r w:rsidR="00B102C9">
        <w:rPr>
          <w:rFonts w:asciiTheme="majorHAnsi" w:hAnsiTheme="majorHAnsi"/>
          <w:sz w:val="20"/>
          <w:szCs w:val="20"/>
        </w:rPr>
        <w:t>facts</w:t>
      </w:r>
      <w:r w:rsidRPr="002A2289">
        <w:rPr>
          <w:rFonts w:asciiTheme="majorHAnsi" w:hAnsiTheme="majorHAnsi"/>
          <w:sz w:val="20"/>
          <w:szCs w:val="20"/>
        </w:rPr>
        <w:t xml:space="preserve"> they </w:t>
      </w:r>
      <w:r w:rsidR="00B102C9">
        <w:rPr>
          <w:rFonts w:asciiTheme="majorHAnsi" w:hAnsiTheme="majorHAnsi"/>
          <w:sz w:val="20"/>
          <w:szCs w:val="20"/>
        </w:rPr>
        <w:t>state</w:t>
      </w:r>
      <w:r w:rsidRPr="002A2289">
        <w:rPr>
          <w:rFonts w:asciiTheme="majorHAnsi" w:hAnsiTheme="majorHAnsi"/>
          <w:sz w:val="20"/>
          <w:szCs w:val="20"/>
        </w:rPr>
        <w:t xml:space="preserve">, as they are attempting to </w:t>
      </w:r>
      <w:r w:rsidR="00B102C9">
        <w:rPr>
          <w:rFonts w:asciiTheme="majorHAnsi" w:hAnsiTheme="majorHAnsi"/>
          <w:sz w:val="20"/>
          <w:szCs w:val="20"/>
        </w:rPr>
        <w:t>claim</w:t>
      </w:r>
      <w:r w:rsidRPr="002A2289">
        <w:rPr>
          <w:rFonts w:asciiTheme="majorHAnsi" w:hAnsiTheme="majorHAnsi"/>
          <w:sz w:val="20"/>
          <w:szCs w:val="20"/>
        </w:rPr>
        <w:t xml:space="preserve">, were also issued subsequent to the decision being challenged.” </w:t>
      </w:r>
      <w:r w:rsidR="00F43B96" w:rsidRPr="002A2289">
        <w:rPr>
          <w:rFonts w:asciiTheme="majorHAnsi" w:hAnsiTheme="majorHAnsi"/>
          <w:sz w:val="20"/>
          <w:szCs w:val="20"/>
        </w:rPr>
        <w:t xml:space="preserve">In this regard, the State “point[ed] out that the </w:t>
      </w:r>
      <w:r w:rsidR="00F43B96" w:rsidRPr="002A2289">
        <w:rPr>
          <w:rFonts w:asciiTheme="majorHAnsi" w:hAnsiTheme="majorHAnsi"/>
          <w:i/>
          <w:sz w:val="20"/>
          <w:szCs w:val="20"/>
        </w:rPr>
        <w:t>res judicata</w:t>
      </w:r>
      <w:r w:rsidR="00F43B96" w:rsidRPr="002A2289">
        <w:rPr>
          <w:rFonts w:asciiTheme="majorHAnsi" w:hAnsiTheme="majorHAnsi"/>
          <w:sz w:val="20"/>
          <w:szCs w:val="20"/>
        </w:rPr>
        <w:t xml:space="preserve"> in Mr. Almeida’s case cannot be changed by a subsequent change in jurisprudence; indeed, it is clear that his case is not comparable to the other cases he cites</w:t>
      </w:r>
      <w:r w:rsidRPr="002A2289">
        <w:rPr>
          <w:rFonts w:asciiTheme="majorHAnsi" w:hAnsiTheme="majorHAnsi"/>
          <w:sz w:val="20"/>
          <w:szCs w:val="20"/>
        </w:rPr>
        <w:t>.”</w:t>
      </w:r>
    </w:p>
    <w:p w14:paraId="0F011D23" w14:textId="77777777" w:rsidR="004948B8" w:rsidRPr="002A2289" w:rsidRDefault="004948B8" w:rsidP="004948B8">
      <w:pPr>
        <w:pStyle w:val="ListParagraph"/>
        <w:ind w:firstLine="720"/>
        <w:rPr>
          <w:rFonts w:asciiTheme="majorHAnsi" w:hAnsiTheme="majorHAnsi"/>
          <w:color w:val="FF0000"/>
          <w:sz w:val="20"/>
          <w:szCs w:val="20"/>
        </w:rPr>
      </w:pPr>
    </w:p>
    <w:p w14:paraId="38C76ED4" w14:textId="77777777" w:rsidR="004948B8" w:rsidRPr="002A2289" w:rsidRDefault="004948B8" w:rsidP="002A2289">
      <w:pPr>
        <w:pStyle w:val="Heading1"/>
      </w:pPr>
      <w:r w:rsidRPr="002A2289">
        <w:t>DETERMINATIONS OF FACT</w:t>
      </w:r>
    </w:p>
    <w:p w14:paraId="55F38DCF" w14:textId="77777777" w:rsidR="004948B8" w:rsidRPr="002A2289" w:rsidRDefault="004948B8" w:rsidP="004948B8">
      <w:pPr>
        <w:ind w:hanging="720"/>
        <w:rPr>
          <w:rFonts w:asciiTheme="majorHAnsi" w:hAnsiTheme="majorHAnsi"/>
          <w:b/>
          <w:sz w:val="20"/>
          <w:szCs w:val="20"/>
        </w:rPr>
      </w:pPr>
    </w:p>
    <w:p w14:paraId="7B943362" w14:textId="77777777" w:rsidR="004948B8" w:rsidRPr="002A2289" w:rsidRDefault="004948B8" w:rsidP="000B1FA9">
      <w:pPr>
        <w:pStyle w:val="Heading2"/>
        <w:numPr>
          <w:ilvl w:val="0"/>
          <w:numId w:val="64"/>
        </w:numPr>
        <w:ind w:left="1440" w:hanging="720"/>
      </w:pPr>
      <w:bookmarkStart w:id="8" w:name="_Toc529201737"/>
      <w:bookmarkStart w:id="9" w:name="_Toc529249981"/>
      <w:r w:rsidRPr="002A2289">
        <w:t>Context of reparations for human rights violations during the dictatorship in Argentina and relevant legal framework</w:t>
      </w:r>
      <w:bookmarkEnd w:id="8"/>
      <w:bookmarkEnd w:id="9"/>
    </w:p>
    <w:p w14:paraId="7F843A19" w14:textId="77777777" w:rsidR="004948B8" w:rsidRPr="002A2289" w:rsidRDefault="004948B8" w:rsidP="004948B8">
      <w:pPr>
        <w:ind w:firstLine="720"/>
        <w:rPr>
          <w:rFonts w:asciiTheme="majorHAnsi" w:hAnsiTheme="majorHAnsi"/>
          <w:b/>
          <w:color w:val="FF0000"/>
          <w:sz w:val="20"/>
          <w:szCs w:val="20"/>
        </w:rPr>
      </w:pPr>
    </w:p>
    <w:p w14:paraId="0EB5C8E5" w14:textId="75AF0A66"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In 1980, a group of persons who had been detained by order of the Executive Branch during the state of </w:t>
      </w:r>
      <w:r w:rsidR="00B102C9">
        <w:rPr>
          <w:rFonts w:asciiTheme="majorHAnsi" w:hAnsiTheme="majorHAnsi" w:cs="Times New Roman"/>
          <w:color w:val="auto"/>
          <w:sz w:val="20"/>
          <w:szCs w:val="20"/>
        </w:rPr>
        <w:t>exception</w:t>
      </w:r>
      <w:r w:rsidR="00786D79">
        <w:rPr>
          <w:rFonts w:asciiTheme="majorHAnsi" w:hAnsiTheme="majorHAnsi" w:cs="Times New Roman"/>
          <w:color w:val="auto"/>
          <w:sz w:val="20"/>
          <w:szCs w:val="20"/>
        </w:rPr>
        <w:t xml:space="preserve"> (</w:t>
      </w:r>
      <w:proofErr w:type="spellStart"/>
      <w:r w:rsidR="00786D79">
        <w:rPr>
          <w:rFonts w:asciiTheme="majorHAnsi" w:hAnsiTheme="majorHAnsi" w:cs="Times New Roman"/>
          <w:i/>
          <w:color w:val="auto"/>
          <w:sz w:val="20"/>
          <w:szCs w:val="20"/>
        </w:rPr>
        <w:t>estado</w:t>
      </w:r>
      <w:proofErr w:type="spellEnd"/>
      <w:r w:rsidR="00786D79">
        <w:rPr>
          <w:rFonts w:asciiTheme="majorHAnsi" w:hAnsiTheme="majorHAnsi" w:cs="Times New Roman"/>
          <w:i/>
          <w:color w:val="auto"/>
          <w:sz w:val="20"/>
          <w:szCs w:val="20"/>
        </w:rPr>
        <w:t xml:space="preserve"> de </w:t>
      </w:r>
      <w:proofErr w:type="spellStart"/>
      <w:r w:rsidR="00786D79">
        <w:rPr>
          <w:rFonts w:asciiTheme="majorHAnsi" w:hAnsiTheme="majorHAnsi" w:cs="Times New Roman"/>
          <w:i/>
          <w:color w:val="auto"/>
          <w:sz w:val="20"/>
          <w:szCs w:val="20"/>
        </w:rPr>
        <w:t>sitio</w:t>
      </w:r>
      <w:proofErr w:type="spellEnd"/>
      <w:r w:rsidR="00786D79">
        <w:rPr>
          <w:rFonts w:asciiTheme="majorHAnsi" w:hAnsiTheme="majorHAnsi" w:cs="Times New Roman"/>
          <w:color w:val="auto"/>
          <w:sz w:val="20"/>
          <w:szCs w:val="20"/>
        </w:rPr>
        <w:t>)</w:t>
      </w:r>
      <w:r w:rsidRPr="002A2289">
        <w:rPr>
          <w:rFonts w:asciiTheme="majorHAnsi" w:hAnsiTheme="majorHAnsi" w:cs="Times New Roman"/>
          <w:color w:val="auto"/>
          <w:sz w:val="20"/>
          <w:szCs w:val="20"/>
        </w:rPr>
        <w:t xml:space="preserve"> and had never received reparations from the Argentine government owing to the fact that the criminal suit</w:t>
      </w:r>
      <w:r w:rsidR="00E03E6B" w:rsidRPr="002A2289">
        <w:rPr>
          <w:rFonts w:asciiTheme="majorHAnsi" w:hAnsiTheme="majorHAnsi" w:cs="Times New Roman"/>
          <w:color w:val="auto"/>
          <w:sz w:val="20"/>
          <w:szCs w:val="20"/>
        </w:rPr>
        <w:t xml:space="preserve"> was time-barred</w:t>
      </w:r>
      <w:r w:rsidRPr="002A2289">
        <w:rPr>
          <w:rFonts w:asciiTheme="majorHAnsi" w:hAnsiTheme="majorHAnsi" w:cs="Times New Roman"/>
          <w:color w:val="auto"/>
          <w:sz w:val="20"/>
          <w:szCs w:val="20"/>
        </w:rPr>
        <w:t xml:space="preserve">, lodged a petition with the IACHR. The petition was </w:t>
      </w:r>
      <w:r w:rsidRPr="002A2289">
        <w:rPr>
          <w:rFonts w:asciiTheme="majorHAnsi" w:hAnsiTheme="majorHAnsi" w:cs="Times New Roman"/>
          <w:color w:val="auto"/>
          <w:sz w:val="20"/>
          <w:szCs w:val="20"/>
        </w:rPr>
        <w:lastRenderedPageBreak/>
        <w:t>settled under the first friendly settlement agreement in the history of the inter-American system,</w:t>
      </w:r>
      <w:r w:rsidRPr="002A2289">
        <w:rPr>
          <w:rStyle w:val="FootnoteReference"/>
          <w:rFonts w:asciiTheme="majorHAnsi" w:hAnsiTheme="majorHAnsi" w:cs="Times New Roman"/>
          <w:color w:val="auto"/>
          <w:sz w:val="20"/>
          <w:szCs w:val="20"/>
        </w:rPr>
        <w:footnoteReference w:id="5"/>
      </w:r>
      <w:r w:rsidRPr="002A2289">
        <w:rPr>
          <w:rFonts w:asciiTheme="majorHAnsi" w:hAnsiTheme="majorHAnsi" w:cs="Times New Roman"/>
          <w:color w:val="auto"/>
          <w:sz w:val="20"/>
          <w:szCs w:val="20"/>
        </w:rPr>
        <w:t xml:space="preserve"> and reflected domestically in Decree 70/91, which ordered compensation to the individuals covered under its terms.</w:t>
      </w:r>
      <w:r w:rsidRPr="002A2289">
        <w:rPr>
          <w:rStyle w:val="FootnoteReference"/>
          <w:rFonts w:asciiTheme="majorHAnsi" w:hAnsiTheme="majorHAnsi" w:cs="Times New Roman"/>
          <w:color w:val="auto"/>
          <w:sz w:val="20"/>
          <w:szCs w:val="20"/>
        </w:rPr>
        <w:footnoteReference w:id="6"/>
      </w:r>
      <w:r w:rsidRPr="002A2289">
        <w:rPr>
          <w:rFonts w:asciiTheme="majorHAnsi" w:hAnsiTheme="majorHAnsi" w:cs="Times New Roman"/>
          <w:color w:val="auto"/>
          <w:sz w:val="20"/>
          <w:szCs w:val="20"/>
        </w:rPr>
        <w:t xml:space="preserve">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 xml:space="preserve">, passed in December 1991, expanded the spectrum of beneficiaries to include those whose liberty had been curtailed </w:t>
      </w:r>
      <w:r w:rsidR="00786D79">
        <w:rPr>
          <w:rFonts w:asciiTheme="majorHAnsi" w:hAnsiTheme="majorHAnsi" w:cs="Times New Roman"/>
          <w:color w:val="auto"/>
          <w:sz w:val="20"/>
          <w:szCs w:val="20"/>
        </w:rPr>
        <w:t>by</w:t>
      </w:r>
      <w:r w:rsidRPr="002A2289">
        <w:rPr>
          <w:rFonts w:asciiTheme="majorHAnsi" w:hAnsiTheme="majorHAnsi" w:cs="Times New Roman"/>
          <w:color w:val="auto"/>
          <w:sz w:val="20"/>
          <w:szCs w:val="20"/>
        </w:rPr>
        <w:t xml:space="preserve"> the Executive until December 10, 1983, as well as those who had been detained by order of the military courts.</w:t>
      </w:r>
      <w:r w:rsidRPr="002A2289">
        <w:rPr>
          <w:rStyle w:val="FootnoteReference"/>
          <w:rFonts w:asciiTheme="majorHAnsi" w:hAnsiTheme="majorHAnsi" w:cs="Times New Roman"/>
          <w:color w:val="auto"/>
          <w:sz w:val="20"/>
          <w:szCs w:val="20"/>
        </w:rPr>
        <w:footnoteReference w:id="7"/>
      </w:r>
    </w:p>
    <w:p w14:paraId="6EE8BDC0" w14:textId="77777777" w:rsidR="004948B8" w:rsidRPr="002A2289" w:rsidRDefault="004948B8" w:rsidP="004948B8">
      <w:pPr>
        <w:ind w:firstLine="720"/>
        <w:jc w:val="both"/>
        <w:rPr>
          <w:rFonts w:asciiTheme="majorHAnsi" w:hAnsiTheme="majorHAnsi"/>
          <w:sz w:val="20"/>
          <w:szCs w:val="20"/>
        </w:rPr>
      </w:pPr>
    </w:p>
    <w:p w14:paraId="71C4504E" w14:textId="4C5E3545" w:rsidR="004948B8" w:rsidRPr="002A2289" w:rsidRDefault="00786D79" w:rsidP="004948B8">
      <w:pPr>
        <w:pStyle w:val="ListParagraph"/>
        <w:numPr>
          <w:ilvl w:val="0"/>
          <w:numId w:val="55"/>
        </w:numPr>
        <w:ind w:left="0" w:firstLine="720"/>
        <w:jc w:val="both"/>
        <w:rPr>
          <w:rFonts w:asciiTheme="majorHAnsi" w:hAnsiTheme="majorHAnsi" w:cs="Times New Roman"/>
          <w:color w:val="auto"/>
          <w:sz w:val="20"/>
          <w:szCs w:val="20"/>
        </w:rPr>
      </w:pPr>
      <w:r>
        <w:rPr>
          <w:rFonts w:asciiTheme="majorHAnsi" w:hAnsiTheme="majorHAnsi" w:cs="Times New Roman"/>
          <w:color w:val="auto"/>
          <w:sz w:val="20"/>
          <w:szCs w:val="20"/>
        </w:rPr>
        <w:t>Law 24.043</w:t>
      </w:r>
      <w:r w:rsidR="004948B8" w:rsidRPr="002A2289">
        <w:rPr>
          <w:rFonts w:asciiTheme="majorHAnsi" w:hAnsiTheme="majorHAnsi" w:cs="Times New Roman"/>
          <w:color w:val="auto"/>
          <w:sz w:val="20"/>
          <w:szCs w:val="20"/>
        </w:rPr>
        <w:t xml:space="preserve"> itself </w:t>
      </w:r>
      <w:r>
        <w:rPr>
          <w:rFonts w:asciiTheme="majorHAnsi" w:hAnsiTheme="majorHAnsi" w:cs="Times New Roman"/>
          <w:color w:val="auto"/>
          <w:sz w:val="20"/>
          <w:szCs w:val="20"/>
        </w:rPr>
        <w:t>forms part of</w:t>
      </w:r>
      <w:r w:rsidR="004948B8" w:rsidRPr="002A2289">
        <w:rPr>
          <w:rFonts w:asciiTheme="majorHAnsi" w:hAnsiTheme="majorHAnsi" w:cs="Times New Roman"/>
          <w:color w:val="auto"/>
          <w:sz w:val="20"/>
          <w:szCs w:val="20"/>
        </w:rPr>
        <w:t xml:space="preserve"> the government</w:t>
      </w:r>
      <w:r>
        <w:rPr>
          <w:rFonts w:asciiTheme="majorHAnsi" w:hAnsiTheme="majorHAnsi" w:cs="Times New Roman"/>
          <w:color w:val="auto"/>
          <w:sz w:val="20"/>
          <w:szCs w:val="20"/>
        </w:rPr>
        <w:t>’s</w:t>
      </w:r>
      <w:r w:rsidR="004948B8" w:rsidRPr="002A2289">
        <w:rPr>
          <w:rFonts w:asciiTheme="majorHAnsi" w:hAnsiTheme="majorHAnsi" w:cs="Times New Roman"/>
          <w:color w:val="auto"/>
          <w:sz w:val="20"/>
          <w:szCs w:val="20"/>
        </w:rPr>
        <w:t xml:space="preserve"> policy to provide reparation to victims of State terrorism during the last civil-military dictatorship. In this regard, the State passed a number of laws that provide for compensation or other benefits to, </w:t>
      </w:r>
      <w:r w:rsidR="004948B8" w:rsidRPr="002A2289">
        <w:rPr>
          <w:rFonts w:asciiTheme="majorHAnsi" w:hAnsiTheme="majorHAnsi" w:cs="Times New Roman"/>
          <w:i/>
          <w:color w:val="auto"/>
          <w:sz w:val="20"/>
          <w:szCs w:val="20"/>
        </w:rPr>
        <w:t>inter alia</w:t>
      </w:r>
      <w:r w:rsidR="004948B8" w:rsidRPr="002A2289">
        <w:rPr>
          <w:rFonts w:asciiTheme="majorHAnsi" w:hAnsiTheme="majorHAnsi" w:cs="Times New Roman"/>
          <w:color w:val="auto"/>
          <w:sz w:val="20"/>
          <w:szCs w:val="20"/>
        </w:rPr>
        <w:t xml:space="preserve">, </w:t>
      </w:r>
      <w:r>
        <w:rPr>
          <w:rFonts w:asciiTheme="majorHAnsi" w:hAnsiTheme="majorHAnsi" w:cs="Times New Roman"/>
          <w:color w:val="auto"/>
          <w:sz w:val="20"/>
          <w:szCs w:val="20"/>
        </w:rPr>
        <w:t>the heirs</w:t>
      </w:r>
      <w:r w:rsidR="004948B8" w:rsidRPr="002A2289">
        <w:rPr>
          <w:rFonts w:asciiTheme="majorHAnsi" w:hAnsiTheme="majorHAnsi" w:cs="Times New Roman"/>
          <w:color w:val="auto"/>
          <w:sz w:val="20"/>
          <w:szCs w:val="20"/>
        </w:rPr>
        <w:t xml:space="preserve"> of victims of forced disappearance (Law 23</w:t>
      </w:r>
      <w:r>
        <w:rPr>
          <w:rFonts w:asciiTheme="majorHAnsi" w:hAnsiTheme="majorHAnsi" w:cs="Times New Roman"/>
          <w:color w:val="auto"/>
          <w:sz w:val="20"/>
          <w:szCs w:val="20"/>
        </w:rPr>
        <w:t>.</w:t>
      </w:r>
      <w:r w:rsidR="004948B8" w:rsidRPr="002A2289">
        <w:rPr>
          <w:rFonts w:asciiTheme="majorHAnsi" w:hAnsiTheme="majorHAnsi" w:cs="Times New Roman"/>
          <w:color w:val="auto"/>
          <w:sz w:val="20"/>
          <w:szCs w:val="20"/>
        </w:rPr>
        <w:t xml:space="preserve">466); children born in detention, </w:t>
      </w:r>
      <w:r>
        <w:rPr>
          <w:rFonts w:asciiTheme="majorHAnsi" w:hAnsiTheme="majorHAnsi" w:cs="Times New Roman"/>
          <w:color w:val="auto"/>
          <w:sz w:val="20"/>
          <w:szCs w:val="20"/>
        </w:rPr>
        <w:t xml:space="preserve">who were </w:t>
      </w:r>
      <w:r w:rsidR="004948B8" w:rsidRPr="002A2289">
        <w:rPr>
          <w:rFonts w:asciiTheme="majorHAnsi" w:hAnsiTheme="majorHAnsi" w:cs="Times New Roman"/>
          <w:color w:val="auto"/>
          <w:sz w:val="20"/>
          <w:szCs w:val="20"/>
        </w:rPr>
        <w:t>detained along with their parents, and/or whose identities were changed (Law 25</w:t>
      </w:r>
      <w:r>
        <w:rPr>
          <w:rFonts w:asciiTheme="majorHAnsi" w:hAnsiTheme="majorHAnsi" w:cs="Times New Roman"/>
          <w:color w:val="auto"/>
          <w:sz w:val="20"/>
          <w:szCs w:val="20"/>
        </w:rPr>
        <w:t>.</w:t>
      </w:r>
      <w:r w:rsidR="004948B8" w:rsidRPr="002A2289">
        <w:rPr>
          <w:rFonts w:asciiTheme="majorHAnsi" w:hAnsiTheme="majorHAnsi" w:cs="Times New Roman"/>
          <w:color w:val="auto"/>
          <w:sz w:val="20"/>
          <w:szCs w:val="20"/>
        </w:rPr>
        <w:t>914); victims of forced disappearance (Law 24</w:t>
      </w:r>
      <w:r>
        <w:rPr>
          <w:rFonts w:asciiTheme="majorHAnsi" w:hAnsiTheme="majorHAnsi" w:cs="Times New Roman"/>
          <w:color w:val="auto"/>
          <w:sz w:val="20"/>
          <w:szCs w:val="20"/>
        </w:rPr>
        <w:t>.</w:t>
      </w:r>
      <w:r w:rsidR="004948B8" w:rsidRPr="002A2289">
        <w:rPr>
          <w:rFonts w:asciiTheme="majorHAnsi" w:hAnsiTheme="majorHAnsi" w:cs="Times New Roman"/>
          <w:color w:val="auto"/>
          <w:sz w:val="20"/>
          <w:szCs w:val="20"/>
        </w:rPr>
        <w:t xml:space="preserve">411); in addition to </w:t>
      </w:r>
      <w:r w:rsidR="004948B8" w:rsidRPr="002A2289">
        <w:rPr>
          <w:rFonts w:asciiTheme="majorHAnsi" w:hAnsiTheme="majorHAnsi" w:cs="Times New Roman"/>
          <w:i/>
          <w:color w:val="auto"/>
          <w:sz w:val="20"/>
          <w:szCs w:val="20"/>
        </w:rPr>
        <w:t xml:space="preserve">ex gratia </w:t>
      </w:r>
      <w:r w:rsidR="004948B8" w:rsidRPr="002A2289">
        <w:rPr>
          <w:rFonts w:asciiTheme="majorHAnsi" w:hAnsiTheme="majorHAnsi" w:cs="Times New Roman"/>
          <w:color w:val="auto"/>
          <w:sz w:val="20"/>
          <w:szCs w:val="20"/>
        </w:rPr>
        <w:t xml:space="preserve">pensions for those who were detained </w:t>
      </w:r>
      <w:r w:rsidR="00FE6606" w:rsidRPr="002A2289">
        <w:rPr>
          <w:rFonts w:asciiTheme="majorHAnsi" w:hAnsiTheme="majorHAnsi" w:cs="Times New Roman"/>
          <w:color w:val="auto"/>
          <w:sz w:val="20"/>
          <w:szCs w:val="20"/>
        </w:rPr>
        <w:t>on</w:t>
      </w:r>
      <w:r w:rsidR="004948B8" w:rsidRPr="002A2289">
        <w:rPr>
          <w:rFonts w:asciiTheme="majorHAnsi" w:hAnsiTheme="majorHAnsi" w:cs="Times New Roman"/>
          <w:color w:val="auto"/>
          <w:sz w:val="20"/>
          <w:szCs w:val="20"/>
        </w:rPr>
        <w:t xml:space="preserve"> political </w:t>
      </w:r>
      <w:r w:rsidR="00FE6606" w:rsidRPr="002A2289">
        <w:rPr>
          <w:rFonts w:asciiTheme="majorHAnsi" w:hAnsiTheme="majorHAnsi" w:cs="Times New Roman"/>
          <w:color w:val="auto"/>
          <w:sz w:val="20"/>
          <w:szCs w:val="20"/>
        </w:rPr>
        <w:t>grounds</w:t>
      </w:r>
      <w:r w:rsidR="004948B8" w:rsidRPr="002A2289">
        <w:rPr>
          <w:rFonts w:asciiTheme="majorHAnsi" w:hAnsiTheme="majorHAnsi" w:cs="Times New Roman"/>
          <w:color w:val="auto"/>
          <w:sz w:val="20"/>
          <w:szCs w:val="20"/>
        </w:rPr>
        <w:t xml:space="preserve"> (Law 26</w:t>
      </w:r>
      <w:r>
        <w:rPr>
          <w:rFonts w:asciiTheme="majorHAnsi" w:hAnsiTheme="majorHAnsi" w:cs="Times New Roman"/>
          <w:color w:val="auto"/>
          <w:sz w:val="20"/>
          <w:szCs w:val="20"/>
        </w:rPr>
        <w:t>.</w:t>
      </w:r>
      <w:r w:rsidR="004948B8" w:rsidRPr="002A2289">
        <w:rPr>
          <w:rFonts w:asciiTheme="majorHAnsi" w:hAnsiTheme="majorHAnsi" w:cs="Times New Roman"/>
          <w:color w:val="auto"/>
          <w:sz w:val="20"/>
          <w:szCs w:val="20"/>
        </w:rPr>
        <w:t>913).</w:t>
      </w:r>
      <w:r w:rsidR="004948B8" w:rsidRPr="002A2289">
        <w:rPr>
          <w:rStyle w:val="FootnoteReference"/>
          <w:rFonts w:asciiTheme="majorHAnsi" w:hAnsiTheme="majorHAnsi" w:cs="Times New Roman"/>
          <w:color w:val="auto"/>
          <w:sz w:val="20"/>
          <w:szCs w:val="20"/>
        </w:rPr>
        <w:footnoteReference w:id="8"/>
      </w:r>
      <w:r w:rsidR="004948B8" w:rsidRPr="002A2289">
        <w:rPr>
          <w:rFonts w:asciiTheme="majorHAnsi" w:hAnsiTheme="majorHAnsi" w:cs="Times New Roman"/>
          <w:color w:val="auto"/>
          <w:sz w:val="20"/>
          <w:szCs w:val="20"/>
        </w:rPr>
        <w:t xml:space="preserve"> </w:t>
      </w:r>
    </w:p>
    <w:p w14:paraId="1349AD5C" w14:textId="77777777" w:rsidR="004948B8" w:rsidRPr="002A2289" w:rsidRDefault="004948B8" w:rsidP="004948B8">
      <w:pPr>
        <w:rPr>
          <w:rFonts w:asciiTheme="majorHAnsi" w:hAnsiTheme="majorHAnsi"/>
          <w:b/>
          <w:color w:val="FF0000"/>
          <w:sz w:val="20"/>
          <w:szCs w:val="20"/>
        </w:rPr>
      </w:pPr>
    </w:p>
    <w:p w14:paraId="0C8C60FE" w14:textId="4E654EE5" w:rsidR="004948B8" w:rsidRPr="002A2289" w:rsidRDefault="004948B8" w:rsidP="004948B8">
      <w:pPr>
        <w:pStyle w:val="ListParagraph"/>
        <w:numPr>
          <w:ilvl w:val="0"/>
          <w:numId w:val="55"/>
        </w:numPr>
        <w:ind w:left="0" w:firstLine="634"/>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With respect to the instant case, the relevant portions of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 xml:space="preserve"> stipulate:</w:t>
      </w:r>
    </w:p>
    <w:p w14:paraId="00719717" w14:textId="77777777" w:rsidR="004948B8" w:rsidRPr="002A2289" w:rsidRDefault="004948B8" w:rsidP="004948B8">
      <w:pPr>
        <w:pStyle w:val="ListParagraph"/>
        <w:ind w:left="634"/>
        <w:rPr>
          <w:rFonts w:asciiTheme="majorHAnsi" w:hAnsiTheme="majorHAnsi" w:cs="Times New Roman"/>
          <w:color w:val="auto"/>
          <w:sz w:val="20"/>
          <w:szCs w:val="20"/>
        </w:rPr>
      </w:pPr>
    </w:p>
    <w:p w14:paraId="20BE0448" w14:textId="77777777" w:rsidR="004948B8" w:rsidRPr="002A2289" w:rsidRDefault="004948B8" w:rsidP="004948B8">
      <w:pPr>
        <w:pStyle w:val="ListParagraph"/>
        <w:ind w:right="720"/>
        <w:jc w:val="both"/>
        <w:rPr>
          <w:rFonts w:asciiTheme="majorHAnsi" w:hAnsiTheme="majorHAnsi" w:cs="Times New Roman"/>
          <w:color w:val="auto"/>
          <w:sz w:val="20"/>
          <w:szCs w:val="20"/>
        </w:rPr>
      </w:pPr>
      <w:r w:rsidRPr="002A2289">
        <w:rPr>
          <w:rFonts w:asciiTheme="majorHAnsi" w:hAnsiTheme="majorHAnsi" w:cs="Times New Roman"/>
          <w:bCs/>
          <w:color w:val="auto"/>
          <w:sz w:val="20"/>
          <w:szCs w:val="20"/>
        </w:rPr>
        <w:t>ARTICLE 2</w:t>
      </w:r>
      <w:r w:rsidRPr="002A2289">
        <w:rPr>
          <w:rFonts w:asciiTheme="majorHAnsi" w:hAnsiTheme="majorHAnsi" w:cs="Times New Roman"/>
          <w:color w:val="auto"/>
          <w:sz w:val="20"/>
          <w:szCs w:val="20"/>
        </w:rPr>
        <w:t xml:space="preserve"> — To avail themselves of the benefits of this law, the individuals referred to in the preceding article must meet at least one of the following requirements:</w:t>
      </w:r>
    </w:p>
    <w:p w14:paraId="34B6F71B" w14:textId="51558EA4" w:rsidR="004948B8" w:rsidRPr="002A2289" w:rsidRDefault="004948B8" w:rsidP="004948B8">
      <w:pPr>
        <w:pStyle w:val="ListParagraph"/>
        <w:numPr>
          <w:ilvl w:val="0"/>
          <w:numId w:val="66"/>
        </w:numPr>
        <w:ind w:left="720" w:right="720" w:firstLine="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Having been held </w:t>
      </w:r>
      <w:r w:rsidR="00D43B8F" w:rsidRPr="002A2289">
        <w:rPr>
          <w:rFonts w:asciiTheme="majorHAnsi" w:hAnsiTheme="majorHAnsi" w:cs="Times New Roman"/>
          <w:color w:val="auto"/>
          <w:sz w:val="20"/>
          <w:szCs w:val="20"/>
        </w:rPr>
        <w:t>under the supervision of</w:t>
      </w:r>
      <w:r w:rsidRPr="002A2289">
        <w:rPr>
          <w:rFonts w:asciiTheme="majorHAnsi" w:hAnsiTheme="majorHAnsi" w:cs="Times New Roman"/>
          <w:color w:val="auto"/>
          <w:sz w:val="20"/>
          <w:szCs w:val="20"/>
        </w:rPr>
        <w:t xml:space="preserve"> the national Executive Branch prior to December 10, 1983.</w:t>
      </w:r>
    </w:p>
    <w:p w14:paraId="6A328795" w14:textId="77777777" w:rsidR="004948B8" w:rsidRPr="002A2289" w:rsidRDefault="004948B8" w:rsidP="004948B8">
      <w:pPr>
        <w:pStyle w:val="ListParagraph"/>
        <w:numPr>
          <w:ilvl w:val="0"/>
          <w:numId w:val="66"/>
        </w:numPr>
        <w:ind w:left="720" w:right="720" w:firstLine="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As civilians, having been deprived of their liberty by order of a military court, whether or not convicted by such court.</w:t>
      </w:r>
    </w:p>
    <w:p w14:paraId="2F884D3D" w14:textId="77777777" w:rsidR="004948B8" w:rsidRPr="002A2289" w:rsidRDefault="004948B8" w:rsidP="004948B8">
      <w:pPr>
        <w:ind w:left="720" w:right="720"/>
        <w:jc w:val="both"/>
        <w:rPr>
          <w:rFonts w:asciiTheme="majorHAnsi" w:hAnsiTheme="majorHAnsi"/>
          <w:bCs/>
          <w:sz w:val="20"/>
          <w:szCs w:val="20"/>
        </w:rPr>
      </w:pPr>
    </w:p>
    <w:p w14:paraId="1B07E0C0" w14:textId="77777777" w:rsidR="004948B8" w:rsidRPr="002A2289" w:rsidRDefault="004948B8" w:rsidP="004948B8">
      <w:pPr>
        <w:ind w:left="720" w:right="720"/>
        <w:jc w:val="both"/>
        <w:rPr>
          <w:rFonts w:asciiTheme="majorHAnsi" w:hAnsiTheme="majorHAnsi"/>
          <w:sz w:val="20"/>
          <w:szCs w:val="20"/>
        </w:rPr>
      </w:pPr>
      <w:r w:rsidRPr="002A2289">
        <w:rPr>
          <w:rFonts w:asciiTheme="majorHAnsi" w:hAnsiTheme="majorHAnsi"/>
          <w:bCs/>
          <w:sz w:val="20"/>
          <w:szCs w:val="20"/>
        </w:rPr>
        <w:t>ARTICLE 4 —</w:t>
      </w:r>
      <w:r w:rsidRPr="002A2289">
        <w:rPr>
          <w:rFonts w:asciiTheme="majorHAnsi" w:hAnsiTheme="majorHAnsi"/>
          <w:sz w:val="20"/>
          <w:szCs w:val="20"/>
        </w:rPr>
        <w:t xml:space="preserve"> The benefit established herein shall be equal to one-thirtieth of the monthly remuneration […], for each day the order referred to in Article 2(a) and (b) lasted, with respect to each beneficiary […] </w:t>
      </w:r>
    </w:p>
    <w:p w14:paraId="1845D316" w14:textId="31DED8D8" w:rsidR="004948B8" w:rsidRPr="002A2289" w:rsidRDefault="004948B8" w:rsidP="004948B8">
      <w:pPr>
        <w:ind w:left="720" w:right="720"/>
        <w:jc w:val="both"/>
        <w:rPr>
          <w:rFonts w:asciiTheme="majorHAnsi" w:hAnsiTheme="majorHAnsi"/>
          <w:sz w:val="20"/>
          <w:szCs w:val="20"/>
        </w:rPr>
      </w:pPr>
      <w:r w:rsidRPr="002A2289">
        <w:rPr>
          <w:rFonts w:asciiTheme="majorHAnsi" w:hAnsiTheme="majorHAnsi"/>
          <w:sz w:val="20"/>
          <w:szCs w:val="20"/>
        </w:rPr>
        <w:t>To calculate the period of time referred to in the preceding paragraph,</w:t>
      </w:r>
      <w:r w:rsidR="000A3009">
        <w:rPr>
          <w:rFonts w:asciiTheme="majorHAnsi" w:hAnsiTheme="majorHAnsi"/>
          <w:sz w:val="20"/>
          <w:szCs w:val="20"/>
        </w:rPr>
        <w:t xml:space="preserve"> the following should be considered:</w:t>
      </w:r>
      <w:r w:rsidRPr="002A2289">
        <w:rPr>
          <w:rFonts w:asciiTheme="majorHAnsi" w:hAnsiTheme="majorHAnsi"/>
          <w:sz w:val="20"/>
          <w:szCs w:val="20"/>
        </w:rPr>
        <w:t xml:space="preserve"> the Executive act ordering the measure, or an arrest not directed by order of a competent judicial authority</w:t>
      </w:r>
      <w:r w:rsidR="000A3009">
        <w:rPr>
          <w:rFonts w:asciiTheme="majorHAnsi" w:hAnsiTheme="majorHAnsi"/>
          <w:sz w:val="20"/>
          <w:szCs w:val="20"/>
        </w:rPr>
        <w:t>;</w:t>
      </w:r>
      <w:r w:rsidRPr="002A2289">
        <w:rPr>
          <w:rFonts w:asciiTheme="majorHAnsi" w:hAnsiTheme="majorHAnsi"/>
          <w:sz w:val="20"/>
          <w:szCs w:val="20"/>
        </w:rPr>
        <w:t xml:space="preserve"> </w:t>
      </w:r>
      <w:r w:rsidR="000A3009">
        <w:rPr>
          <w:rFonts w:asciiTheme="majorHAnsi" w:hAnsiTheme="majorHAnsi"/>
          <w:sz w:val="20"/>
          <w:szCs w:val="20"/>
        </w:rPr>
        <w:t>and</w:t>
      </w:r>
      <w:r w:rsidRPr="002A2289">
        <w:rPr>
          <w:rFonts w:asciiTheme="majorHAnsi" w:hAnsiTheme="majorHAnsi"/>
          <w:sz w:val="20"/>
          <w:szCs w:val="20"/>
        </w:rPr>
        <w:t xml:space="preserve"> the order that overturned it specifically or as a result of the end of the </w:t>
      </w:r>
      <w:proofErr w:type="spellStart"/>
      <w:r w:rsidR="000A3009">
        <w:rPr>
          <w:rFonts w:asciiTheme="majorHAnsi" w:hAnsiTheme="majorHAnsi"/>
          <w:i/>
          <w:sz w:val="20"/>
          <w:szCs w:val="20"/>
        </w:rPr>
        <w:t>estado</w:t>
      </w:r>
      <w:proofErr w:type="spellEnd"/>
      <w:r w:rsidR="000A3009">
        <w:rPr>
          <w:rFonts w:asciiTheme="majorHAnsi" w:hAnsiTheme="majorHAnsi"/>
          <w:i/>
          <w:sz w:val="20"/>
          <w:szCs w:val="20"/>
        </w:rPr>
        <w:t xml:space="preserve"> de </w:t>
      </w:r>
      <w:proofErr w:type="spellStart"/>
      <w:r w:rsidR="000A3009">
        <w:rPr>
          <w:rFonts w:asciiTheme="majorHAnsi" w:hAnsiTheme="majorHAnsi"/>
          <w:i/>
          <w:sz w:val="20"/>
          <w:szCs w:val="20"/>
        </w:rPr>
        <w:t>sitio</w:t>
      </w:r>
      <w:proofErr w:type="spellEnd"/>
      <w:r w:rsidRPr="002A2289">
        <w:rPr>
          <w:rFonts w:asciiTheme="majorHAnsi" w:hAnsiTheme="majorHAnsi"/>
          <w:sz w:val="20"/>
          <w:szCs w:val="20"/>
        </w:rPr>
        <w:t>.</w:t>
      </w:r>
    </w:p>
    <w:p w14:paraId="49BFA259" w14:textId="77777777" w:rsidR="004948B8" w:rsidRPr="002A2289" w:rsidRDefault="004948B8" w:rsidP="004948B8">
      <w:pPr>
        <w:ind w:left="720" w:right="720"/>
        <w:jc w:val="both"/>
        <w:rPr>
          <w:rFonts w:asciiTheme="majorHAnsi" w:hAnsiTheme="majorHAnsi"/>
          <w:sz w:val="20"/>
          <w:szCs w:val="20"/>
        </w:rPr>
      </w:pPr>
      <w:r w:rsidRPr="002A2289">
        <w:rPr>
          <w:rFonts w:asciiTheme="majorHAnsi" w:hAnsiTheme="majorHAnsi"/>
          <w:sz w:val="20"/>
          <w:szCs w:val="20"/>
        </w:rPr>
        <w:t>House arrests or release under surveillance shall not be construed as an order having been rescinded. […]</w:t>
      </w:r>
    </w:p>
    <w:p w14:paraId="57C40261" w14:textId="77777777" w:rsidR="004948B8" w:rsidRPr="002A2289" w:rsidRDefault="004948B8" w:rsidP="004948B8">
      <w:pPr>
        <w:rPr>
          <w:rFonts w:asciiTheme="majorHAnsi" w:hAnsiTheme="majorHAnsi"/>
          <w:b/>
          <w:color w:val="FF0000"/>
          <w:sz w:val="20"/>
          <w:szCs w:val="20"/>
        </w:rPr>
      </w:pPr>
    </w:p>
    <w:p w14:paraId="159C191C" w14:textId="77777777" w:rsidR="004948B8" w:rsidRPr="002A2289" w:rsidRDefault="004948B8" w:rsidP="002A2289">
      <w:pPr>
        <w:pStyle w:val="Heading2"/>
      </w:pPr>
      <w:bookmarkStart w:id="10" w:name="_Toc529201739"/>
      <w:bookmarkStart w:id="11" w:name="_Toc529249982"/>
      <w:r w:rsidRPr="002A2289">
        <w:t>What happened to Mr. Almeida during the dictatorship</w:t>
      </w:r>
      <w:bookmarkEnd w:id="10"/>
      <w:bookmarkEnd w:id="11"/>
    </w:p>
    <w:p w14:paraId="207C00CB" w14:textId="77777777" w:rsidR="004948B8" w:rsidRPr="002A2289" w:rsidRDefault="004948B8" w:rsidP="004948B8">
      <w:pPr>
        <w:ind w:firstLine="720"/>
        <w:rPr>
          <w:rFonts w:asciiTheme="majorHAnsi" w:hAnsiTheme="majorHAnsi"/>
          <w:b/>
          <w:sz w:val="20"/>
          <w:szCs w:val="20"/>
        </w:rPr>
      </w:pPr>
    </w:p>
    <w:p w14:paraId="5037395F" w14:textId="45A44E64"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Rufino Jorge Almeida was born on May 4, 1956 in La Plata and is a carpenter by trade.</w:t>
      </w:r>
      <w:r w:rsidRPr="002A2289">
        <w:rPr>
          <w:rStyle w:val="FootnoteReference"/>
          <w:rFonts w:asciiTheme="majorHAnsi" w:hAnsiTheme="majorHAnsi" w:cs="Times New Roman"/>
          <w:color w:val="auto"/>
          <w:sz w:val="20"/>
          <w:szCs w:val="20"/>
        </w:rPr>
        <w:footnoteReference w:id="9"/>
      </w:r>
      <w:r w:rsidRPr="002A2289">
        <w:rPr>
          <w:rFonts w:asciiTheme="majorHAnsi" w:hAnsiTheme="majorHAnsi" w:cs="Times New Roman"/>
          <w:color w:val="auto"/>
          <w:sz w:val="20"/>
          <w:szCs w:val="20"/>
        </w:rPr>
        <w:t xml:space="preserve"> He is married to Claudia Graciela Esteves, with whom he has at least two children.</w:t>
      </w:r>
      <w:r w:rsidRPr="002A2289">
        <w:rPr>
          <w:rStyle w:val="FootnoteReference"/>
          <w:rFonts w:asciiTheme="majorHAnsi" w:hAnsiTheme="majorHAnsi" w:cs="Times New Roman"/>
          <w:color w:val="auto"/>
          <w:sz w:val="20"/>
          <w:szCs w:val="20"/>
        </w:rPr>
        <w:footnoteReference w:id="10"/>
      </w:r>
      <w:r w:rsidRPr="002A2289">
        <w:rPr>
          <w:rFonts w:asciiTheme="majorHAnsi" w:hAnsiTheme="majorHAnsi" w:cs="Times New Roman"/>
          <w:color w:val="auto"/>
          <w:sz w:val="20"/>
          <w:szCs w:val="20"/>
        </w:rPr>
        <w:t xml:space="preserve"> The account of the facts contained in this section comes from a statement Mr. Almeida gave in another criminal case having to do with the alleged homicide of an individual he met while detained in 1978, as well as from the information furnished by the petitioners in the initial petition. In this regard, </w:t>
      </w:r>
      <w:r w:rsidR="00D349D4">
        <w:rPr>
          <w:rFonts w:asciiTheme="majorHAnsi" w:hAnsiTheme="majorHAnsi" w:cs="Times New Roman"/>
          <w:color w:val="auto"/>
          <w:sz w:val="20"/>
          <w:szCs w:val="20"/>
        </w:rPr>
        <w:t xml:space="preserve">it has been noted </w:t>
      </w:r>
      <w:r w:rsidRPr="002A2289">
        <w:rPr>
          <w:rFonts w:asciiTheme="majorHAnsi" w:hAnsiTheme="majorHAnsi" w:cs="Times New Roman"/>
          <w:color w:val="auto"/>
          <w:sz w:val="20"/>
          <w:szCs w:val="20"/>
        </w:rPr>
        <w:t xml:space="preserve">that Mr. Almeida made the statement in question in 1987, years before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 xml:space="preserve"> and the possibility of compensation provided for therein existed.</w:t>
      </w:r>
    </w:p>
    <w:p w14:paraId="71A0D23E" w14:textId="77777777" w:rsidR="004948B8" w:rsidRPr="002A2289" w:rsidRDefault="004948B8" w:rsidP="004948B8">
      <w:pPr>
        <w:ind w:firstLine="720"/>
        <w:jc w:val="both"/>
        <w:rPr>
          <w:rFonts w:asciiTheme="majorHAnsi" w:hAnsiTheme="majorHAnsi"/>
          <w:sz w:val="20"/>
          <w:szCs w:val="20"/>
        </w:rPr>
      </w:pPr>
    </w:p>
    <w:p w14:paraId="41AE8178" w14:textId="2C569334"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 According to Mr. Almeida’s statement, he and his wife Claudia Graciela Esteves were kidnapped by members of Argentina’s military and security forces on June 5, 1978.</w:t>
      </w:r>
      <w:r w:rsidRPr="002A2289">
        <w:rPr>
          <w:rStyle w:val="FootnoteReference"/>
          <w:rFonts w:asciiTheme="majorHAnsi" w:hAnsiTheme="majorHAnsi" w:cs="Times New Roman"/>
          <w:color w:val="auto"/>
          <w:sz w:val="20"/>
          <w:szCs w:val="20"/>
        </w:rPr>
        <w:footnoteReference w:id="11"/>
      </w:r>
      <w:r w:rsidRPr="002A2289">
        <w:rPr>
          <w:rFonts w:asciiTheme="majorHAnsi" w:hAnsiTheme="majorHAnsi" w:cs="Times New Roman"/>
          <w:color w:val="auto"/>
          <w:sz w:val="20"/>
          <w:szCs w:val="20"/>
        </w:rPr>
        <w:t xml:space="preserve"> He then spent 54 days in custody/disappeared in a clandestine detention camp known as “</w:t>
      </w:r>
      <w:r w:rsidRPr="002A2289">
        <w:rPr>
          <w:rFonts w:asciiTheme="majorHAnsi" w:hAnsiTheme="majorHAnsi" w:cs="Times New Roman"/>
          <w:i/>
          <w:color w:val="auto"/>
          <w:sz w:val="20"/>
          <w:szCs w:val="20"/>
        </w:rPr>
        <w:t>El Banco</w:t>
      </w:r>
      <w:r w:rsidRPr="002A2289">
        <w:rPr>
          <w:rFonts w:asciiTheme="majorHAnsi" w:hAnsiTheme="majorHAnsi" w:cs="Times New Roman"/>
          <w:color w:val="auto"/>
          <w:sz w:val="20"/>
          <w:szCs w:val="20"/>
        </w:rPr>
        <w:t>,” where he was tortured.</w:t>
      </w:r>
      <w:r w:rsidRPr="002A2289">
        <w:rPr>
          <w:rStyle w:val="FootnoteReference"/>
          <w:rFonts w:asciiTheme="majorHAnsi" w:hAnsiTheme="majorHAnsi" w:cs="Times New Roman"/>
          <w:color w:val="auto"/>
          <w:sz w:val="20"/>
          <w:szCs w:val="20"/>
        </w:rPr>
        <w:footnoteReference w:id="12"/>
      </w:r>
      <w:r w:rsidRPr="002A2289">
        <w:rPr>
          <w:rFonts w:asciiTheme="majorHAnsi" w:hAnsiTheme="majorHAnsi" w:cs="Times New Roman"/>
          <w:color w:val="auto"/>
          <w:sz w:val="20"/>
          <w:szCs w:val="20"/>
        </w:rPr>
        <w:t xml:space="preserve"> Mr. </w:t>
      </w:r>
      <w:r w:rsidRPr="002A2289">
        <w:rPr>
          <w:rFonts w:asciiTheme="majorHAnsi" w:hAnsiTheme="majorHAnsi" w:cs="Times New Roman"/>
          <w:color w:val="auto"/>
          <w:sz w:val="20"/>
          <w:szCs w:val="20"/>
        </w:rPr>
        <w:lastRenderedPageBreak/>
        <w:t>Almeida alleges that upon release from custody, he was kept under “a type of ‘release-under-surveillance</w:t>
      </w:r>
      <w:r w:rsidR="00D349D4">
        <w:rPr>
          <w:rFonts w:asciiTheme="majorHAnsi" w:hAnsiTheme="majorHAnsi" w:cs="Times New Roman"/>
          <w:color w:val="auto"/>
          <w:sz w:val="20"/>
          <w:szCs w:val="20"/>
        </w:rPr>
        <w:t>,</w:t>
      </w:r>
      <w:r w:rsidRPr="002A2289">
        <w:rPr>
          <w:rFonts w:asciiTheme="majorHAnsi" w:hAnsiTheme="majorHAnsi" w:cs="Times New Roman"/>
          <w:color w:val="auto"/>
          <w:sz w:val="20"/>
          <w:szCs w:val="20"/>
        </w:rPr>
        <w:t>’ which, like his detention, was secret and unlawful,” until April 30, 1983.</w:t>
      </w:r>
      <w:r w:rsidRPr="002A2289">
        <w:rPr>
          <w:rStyle w:val="FootnoteReference"/>
          <w:rFonts w:asciiTheme="majorHAnsi" w:hAnsiTheme="majorHAnsi" w:cs="Times New Roman"/>
          <w:color w:val="auto"/>
          <w:sz w:val="20"/>
          <w:szCs w:val="20"/>
        </w:rPr>
        <w:footnoteReference w:id="13"/>
      </w:r>
    </w:p>
    <w:p w14:paraId="5EA9B6A1" w14:textId="77777777" w:rsidR="004948B8" w:rsidRPr="002A2289" w:rsidRDefault="004948B8" w:rsidP="004948B8">
      <w:pPr>
        <w:ind w:firstLine="720"/>
        <w:jc w:val="both"/>
        <w:rPr>
          <w:rFonts w:asciiTheme="majorHAnsi" w:hAnsiTheme="majorHAnsi"/>
          <w:sz w:val="20"/>
          <w:szCs w:val="20"/>
        </w:rPr>
      </w:pPr>
    </w:p>
    <w:p w14:paraId="2FD016C1" w14:textId="696CB782"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Mr. Almeida reported that prior to his release from </w:t>
      </w:r>
      <w:r w:rsidRPr="002A2289">
        <w:rPr>
          <w:rFonts w:asciiTheme="majorHAnsi" w:hAnsiTheme="majorHAnsi" w:cs="Times New Roman"/>
          <w:i/>
          <w:color w:val="auto"/>
          <w:sz w:val="20"/>
          <w:szCs w:val="20"/>
        </w:rPr>
        <w:t>El Banco</w:t>
      </w:r>
      <w:r w:rsidRPr="002A2289">
        <w:rPr>
          <w:rFonts w:asciiTheme="majorHAnsi" w:hAnsiTheme="majorHAnsi" w:cs="Times New Roman"/>
          <w:color w:val="auto"/>
          <w:sz w:val="20"/>
          <w:szCs w:val="20"/>
        </w:rPr>
        <w:t>, he had a conversation with an individual who the petitioners claimed was the then</w:t>
      </w:r>
      <w:r w:rsidR="00D349D4">
        <w:rPr>
          <w:rFonts w:asciiTheme="majorHAnsi" w:hAnsiTheme="majorHAnsi" w:cs="Times New Roman"/>
          <w:color w:val="auto"/>
          <w:sz w:val="20"/>
          <w:szCs w:val="20"/>
        </w:rPr>
        <w:t>-</w:t>
      </w:r>
      <w:r w:rsidRPr="002A2289">
        <w:rPr>
          <w:rFonts w:asciiTheme="majorHAnsi" w:hAnsiTheme="majorHAnsi" w:cs="Times New Roman"/>
          <w:color w:val="auto"/>
          <w:sz w:val="20"/>
          <w:szCs w:val="20"/>
        </w:rPr>
        <w:t xml:space="preserve">Colonel Guillermo </w:t>
      </w:r>
      <w:proofErr w:type="spellStart"/>
      <w:r w:rsidRPr="002A2289">
        <w:rPr>
          <w:rFonts w:asciiTheme="majorHAnsi" w:hAnsiTheme="majorHAnsi" w:cs="Times New Roman"/>
          <w:color w:val="auto"/>
          <w:sz w:val="20"/>
          <w:szCs w:val="20"/>
        </w:rPr>
        <w:t>Minicucci</w:t>
      </w:r>
      <w:proofErr w:type="spellEnd"/>
      <w:r w:rsidRPr="002A2289">
        <w:rPr>
          <w:rFonts w:asciiTheme="majorHAnsi" w:hAnsiTheme="majorHAnsi" w:cs="Times New Roman"/>
          <w:color w:val="auto"/>
          <w:sz w:val="20"/>
          <w:szCs w:val="20"/>
        </w:rPr>
        <w:t xml:space="preserve">, who told Mr. Almeida “that there was a new theory that people, young people, had to be recovered, and so, if they released them (him and his wife) they would have to behave, not make any statements or get involved with the human rights people or in politics, and that if he found out they had, they would be </w:t>
      </w:r>
      <w:r w:rsidRPr="002A2289">
        <w:rPr>
          <w:rFonts w:asciiTheme="majorHAnsi" w:hAnsiTheme="majorHAnsi" w:cs="Times New Roman"/>
          <w:i/>
          <w:color w:val="auto"/>
          <w:sz w:val="20"/>
          <w:szCs w:val="20"/>
        </w:rPr>
        <w:t>boleta</w:t>
      </w:r>
      <w:r w:rsidRPr="002A2289">
        <w:rPr>
          <w:rFonts w:asciiTheme="majorHAnsi" w:hAnsiTheme="majorHAnsi" w:cs="Times New Roman"/>
          <w:color w:val="auto"/>
          <w:sz w:val="20"/>
          <w:szCs w:val="20"/>
        </w:rPr>
        <w:t xml:space="preserve"> (killed).”</w:t>
      </w:r>
      <w:r w:rsidRPr="002A2289">
        <w:rPr>
          <w:rStyle w:val="FootnoteReference"/>
          <w:rFonts w:asciiTheme="majorHAnsi" w:hAnsiTheme="majorHAnsi" w:cs="Times New Roman"/>
          <w:color w:val="auto"/>
          <w:sz w:val="20"/>
          <w:szCs w:val="20"/>
        </w:rPr>
        <w:footnoteReference w:id="14"/>
      </w:r>
    </w:p>
    <w:p w14:paraId="5D05C2E7" w14:textId="77777777" w:rsidR="004948B8" w:rsidRPr="002A2289" w:rsidRDefault="004948B8" w:rsidP="004948B8">
      <w:pPr>
        <w:pStyle w:val="ListParagraph"/>
        <w:ind w:firstLine="720"/>
        <w:rPr>
          <w:rFonts w:asciiTheme="majorHAnsi" w:hAnsiTheme="majorHAnsi" w:cs="Times New Roman"/>
          <w:color w:val="auto"/>
          <w:sz w:val="20"/>
          <w:szCs w:val="20"/>
        </w:rPr>
      </w:pPr>
    </w:p>
    <w:p w14:paraId="4112FB20" w14:textId="77777777"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According to Mr. Almeida’s account, on the day he was released, Daniel Adolfo Almeida, his father, “was summoned by another security agent, Julio Héctor Simón, known as </w:t>
      </w:r>
      <w:r w:rsidRPr="002A2289">
        <w:rPr>
          <w:rFonts w:asciiTheme="majorHAnsi" w:hAnsiTheme="majorHAnsi" w:cs="Times New Roman"/>
          <w:i/>
          <w:color w:val="auto"/>
          <w:sz w:val="20"/>
          <w:szCs w:val="20"/>
        </w:rPr>
        <w:t>El Turco Julián</w:t>
      </w:r>
      <w:r w:rsidRPr="002A2289">
        <w:rPr>
          <w:rFonts w:asciiTheme="majorHAnsi" w:hAnsiTheme="majorHAnsi" w:cs="Times New Roman"/>
          <w:color w:val="auto"/>
          <w:sz w:val="20"/>
          <w:szCs w:val="20"/>
        </w:rPr>
        <w:t xml:space="preserve"> […] because [his son and daughter-in-law] were going to be released.” When he [Daniel Adolfo Almeida] arrived, </w:t>
      </w:r>
      <w:r w:rsidRPr="002A2289">
        <w:rPr>
          <w:rFonts w:asciiTheme="majorHAnsi" w:hAnsiTheme="majorHAnsi" w:cs="Times New Roman"/>
          <w:i/>
          <w:color w:val="auto"/>
          <w:sz w:val="20"/>
          <w:szCs w:val="20"/>
        </w:rPr>
        <w:t>El Turco Julián</w:t>
      </w:r>
      <w:r w:rsidRPr="002A2289">
        <w:rPr>
          <w:rFonts w:asciiTheme="majorHAnsi" w:hAnsiTheme="majorHAnsi" w:cs="Times New Roman"/>
          <w:color w:val="auto"/>
          <w:sz w:val="20"/>
          <w:szCs w:val="20"/>
        </w:rPr>
        <w:t xml:space="preserve"> asked him to put on a blindfold and he was taken to </w:t>
      </w:r>
      <w:r w:rsidRPr="002A2289">
        <w:rPr>
          <w:rFonts w:asciiTheme="majorHAnsi" w:hAnsiTheme="majorHAnsi" w:cs="Times New Roman"/>
          <w:i/>
          <w:color w:val="auto"/>
          <w:sz w:val="20"/>
          <w:szCs w:val="20"/>
        </w:rPr>
        <w:t>El Banco</w:t>
      </w:r>
      <w:r w:rsidRPr="002A2289">
        <w:rPr>
          <w:rFonts w:asciiTheme="majorHAnsi" w:hAnsiTheme="majorHAnsi" w:cs="Times New Roman"/>
          <w:color w:val="auto"/>
          <w:sz w:val="20"/>
          <w:szCs w:val="20"/>
        </w:rPr>
        <w:t>, where he witnessed an interrogation of his son.</w:t>
      </w:r>
      <w:r w:rsidRPr="002A2289">
        <w:rPr>
          <w:rStyle w:val="FootnoteReference"/>
          <w:rFonts w:asciiTheme="majorHAnsi" w:hAnsiTheme="majorHAnsi" w:cs="Times New Roman"/>
          <w:color w:val="auto"/>
          <w:sz w:val="20"/>
          <w:szCs w:val="20"/>
        </w:rPr>
        <w:footnoteReference w:id="15"/>
      </w:r>
      <w:r w:rsidRPr="002A2289">
        <w:rPr>
          <w:rFonts w:asciiTheme="majorHAnsi" w:hAnsiTheme="majorHAnsi" w:cs="Times New Roman"/>
          <w:color w:val="auto"/>
          <w:sz w:val="20"/>
          <w:szCs w:val="20"/>
        </w:rPr>
        <w:t xml:space="preserve"> Mr. Almeida was unaware of his father’s presence at that interrogation as he was also blindfolded, but his father later told him about it.</w:t>
      </w:r>
      <w:r w:rsidRPr="002A2289">
        <w:rPr>
          <w:rStyle w:val="FootnoteReference"/>
          <w:rFonts w:asciiTheme="majorHAnsi" w:hAnsiTheme="majorHAnsi" w:cs="Times New Roman"/>
          <w:color w:val="auto"/>
          <w:sz w:val="20"/>
          <w:szCs w:val="20"/>
        </w:rPr>
        <w:footnoteReference w:id="16"/>
      </w:r>
      <w:r w:rsidRPr="002A2289">
        <w:rPr>
          <w:rFonts w:asciiTheme="majorHAnsi" w:hAnsiTheme="majorHAnsi" w:cs="Times New Roman"/>
          <w:color w:val="auto"/>
          <w:sz w:val="20"/>
          <w:szCs w:val="20"/>
        </w:rPr>
        <w:t xml:space="preserve"> Mr. Almeida added that when his father was returned from the detention camp, “the security agent told him he would be releasing (his son and daughter-in-law) into his custody and that was why he had to witness the interrogation.”</w:t>
      </w:r>
      <w:r w:rsidRPr="002A2289">
        <w:rPr>
          <w:rStyle w:val="FootnoteReference"/>
          <w:rFonts w:asciiTheme="majorHAnsi" w:hAnsiTheme="majorHAnsi" w:cs="Times New Roman"/>
          <w:color w:val="auto"/>
          <w:sz w:val="20"/>
          <w:szCs w:val="20"/>
        </w:rPr>
        <w:footnoteReference w:id="17"/>
      </w:r>
    </w:p>
    <w:p w14:paraId="1038C0FC" w14:textId="77777777" w:rsidR="004948B8" w:rsidRPr="002A2289" w:rsidRDefault="004948B8" w:rsidP="004948B8">
      <w:pPr>
        <w:ind w:firstLine="720"/>
        <w:jc w:val="both"/>
        <w:rPr>
          <w:rFonts w:asciiTheme="majorHAnsi" w:hAnsiTheme="majorHAnsi"/>
          <w:sz w:val="20"/>
          <w:szCs w:val="20"/>
        </w:rPr>
      </w:pPr>
    </w:p>
    <w:p w14:paraId="6C504C86" w14:textId="77777777"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In this context, a </w:t>
      </w:r>
      <w:r w:rsidRPr="002A2289">
        <w:rPr>
          <w:rFonts w:asciiTheme="majorHAnsi" w:hAnsiTheme="majorHAnsi" w:cs="Times New Roman"/>
          <w:i/>
          <w:color w:val="auto"/>
          <w:sz w:val="20"/>
          <w:szCs w:val="20"/>
        </w:rPr>
        <w:t>de facto</w:t>
      </w:r>
      <w:r w:rsidRPr="002A2289">
        <w:rPr>
          <w:rFonts w:asciiTheme="majorHAnsi" w:hAnsiTheme="majorHAnsi" w:cs="Times New Roman"/>
          <w:color w:val="auto"/>
          <w:sz w:val="20"/>
          <w:szCs w:val="20"/>
        </w:rPr>
        <w:t xml:space="preserve"> release-under-surveillance regime, which “is not recognized by the Argentine State,” allegedly began the day Mr. Almeida’s detention ended</w:t>
      </w:r>
      <w:r w:rsidRPr="002A2289">
        <w:rPr>
          <w:rStyle w:val="FootnoteReference"/>
          <w:rFonts w:asciiTheme="majorHAnsi" w:hAnsiTheme="majorHAnsi" w:cs="Times New Roman"/>
          <w:color w:val="auto"/>
          <w:sz w:val="20"/>
          <w:szCs w:val="20"/>
        </w:rPr>
        <w:footnoteReference w:id="18"/>
      </w:r>
      <w:r w:rsidRPr="002A2289">
        <w:rPr>
          <w:rFonts w:asciiTheme="majorHAnsi" w:hAnsiTheme="majorHAnsi" w:cs="Times New Roman"/>
          <w:color w:val="auto"/>
          <w:sz w:val="20"/>
          <w:szCs w:val="20"/>
        </w:rPr>
        <w:t xml:space="preserve"> when he was placed into a car with his wife and they were driven to Calles 13 and 32 in the city of La Plata […] where they were “released” into “the custody” of his father by a security agent named Samuel Miara, known as </w:t>
      </w:r>
      <w:r w:rsidRPr="002A2289">
        <w:rPr>
          <w:rFonts w:asciiTheme="majorHAnsi" w:hAnsiTheme="majorHAnsi" w:cs="Times New Roman"/>
          <w:i/>
          <w:color w:val="auto"/>
          <w:sz w:val="20"/>
          <w:szCs w:val="20"/>
        </w:rPr>
        <w:t>Cobani</w:t>
      </w:r>
      <w:r w:rsidRPr="002A2289">
        <w:rPr>
          <w:rFonts w:asciiTheme="majorHAnsi" w:hAnsiTheme="majorHAnsi" w:cs="Times New Roman"/>
          <w:color w:val="auto"/>
          <w:sz w:val="20"/>
          <w:szCs w:val="20"/>
        </w:rPr>
        <w:t>.</w:t>
      </w:r>
      <w:r w:rsidRPr="002A2289">
        <w:rPr>
          <w:rStyle w:val="FootnoteReference"/>
          <w:rFonts w:asciiTheme="majorHAnsi" w:hAnsiTheme="majorHAnsi" w:cs="Times New Roman"/>
          <w:color w:val="auto"/>
          <w:sz w:val="20"/>
          <w:szCs w:val="20"/>
        </w:rPr>
        <w:footnoteReference w:id="19"/>
      </w:r>
    </w:p>
    <w:p w14:paraId="5F94ADBC" w14:textId="77777777" w:rsidR="004948B8" w:rsidRPr="002A2289" w:rsidRDefault="004948B8" w:rsidP="004948B8">
      <w:pPr>
        <w:pStyle w:val="ListParagraph"/>
        <w:ind w:firstLine="720"/>
        <w:rPr>
          <w:rFonts w:asciiTheme="majorHAnsi" w:hAnsiTheme="majorHAnsi" w:cs="Times New Roman"/>
          <w:color w:val="auto"/>
          <w:sz w:val="20"/>
          <w:szCs w:val="20"/>
        </w:rPr>
      </w:pPr>
    </w:p>
    <w:p w14:paraId="65D9E547" w14:textId="569C7809"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The petitioners maintained that “that was when the control that [would] equate [Mr. Almeida’s] situation to that of detainees released under surveillance began, which was aggravated by his powerlessness in the face of the clandestine nature of the measure.”</w:t>
      </w:r>
      <w:r w:rsidRPr="002A2289">
        <w:rPr>
          <w:rStyle w:val="FootnoteReference"/>
          <w:rFonts w:asciiTheme="majorHAnsi" w:hAnsiTheme="majorHAnsi" w:cs="Times New Roman"/>
          <w:color w:val="auto"/>
          <w:sz w:val="20"/>
          <w:szCs w:val="20"/>
        </w:rPr>
        <w:footnoteReference w:id="20"/>
      </w:r>
      <w:r w:rsidRPr="002A2289">
        <w:rPr>
          <w:rFonts w:asciiTheme="majorHAnsi" w:hAnsiTheme="majorHAnsi" w:cs="Times New Roman"/>
          <w:color w:val="auto"/>
          <w:sz w:val="20"/>
          <w:szCs w:val="20"/>
        </w:rPr>
        <w:t xml:space="preserve"> Mr. Almeida claimed that </w:t>
      </w:r>
      <w:r w:rsidRPr="002A2289">
        <w:rPr>
          <w:rFonts w:asciiTheme="majorHAnsi" w:hAnsiTheme="majorHAnsi" w:cs="Times New Roman"/>
          <w:i/>
          <w:color w:val="auto"/>
          <w:sz w:val="20"/>
          <w:szCs w:val="20"/>
        </w:rPr>
        <w:t>El Turco Julián</w:t>
      </w:r>
      <w:r w:rsidRPr="002A2289">
        <w:rPr>
          <w:rFonts w:asciiTheme="majorHAnsi" w:hAnsiTheme="majorHAnsi" w:cs="Times New Roman"/>
          <w:color w:val="auto"/>
          <w:sz w:val="20"/>
          <w:szCs w:val="20"/>
        </w:rPr>
        <w:t xml:space="preserve"> and another security agent, Juan Antonio del Cerro, nicknamed </w:t>
      </w:r>
      <w:r w:rsidRPr="002A2289">
        <w:rPr>
          <w:rFonts w:asciiTheme="majorHAnsi" w:hAnsiTheme="majorHAnsi" w:cs="Times New Roman"/>
          <w:i/>
          <w:color w:val="auto"/>
          <w:sz w:val="20"/>
          <w:szCs w:val="20"/>
        </w:rPr>
        <w:t>Colores</w:t>
      </w:r>
      <w:r w:rsidRPr="002A2289">
        <w:rPr>
          <w:rFonts w:asciiTheme="majorHAnsi" w:hAnsiTheme="majorHAnsi" w:cs="Times New Roman"/>
          <w:color w:val="auto"/>
          <w:sz w:val="20"/>
          <w:szCs w:val="20"/>
        </w:rPr>
        <w:t>, showed up at his house on a number of occasions between 1978 and 1981 to “check on him personally.”</w:t>
      </w:r>
      <w:r w:rsidRPr="002A2289">
        <w:rPr>
          <w:rStyle w:val="FootnoteReference"/>
          <w:rFonts w:asciiTheme="majorHAnsi" w:hAnsiTheme="majorHAnsi" w:cs="Times New Roman"/>
          <w:color w:val="auto"/>
          <w:sz w:val="20"/>
          <w:szCs w:val="20"/>
        </w:rPr>
        <w:footnoteReference w:id="21"/>
      </w:r>
      <w:r w:rsidRPr="002A2289">
        <w:rPr>
          <w:rFonts w:asciiTheme="majorHAnsi" w:hAnsiTheme="majorHAnsi" w:cs="Times New Roman"/>
          <w:color w:val="auto"/>
          <w:sz w:val="20"/>
          <w:szCs w:val="20"/>
        </w:rPr>
        <w:t xml:space="preserve"> </w:t>
      </w:r>
      <w:r w:rsidRPr="002A2289">
        <w:rPr>
          <w:rFonts w:asciiTheme="majorHAnsi" w:hAnsiTheme="majorHAnsi" w:cs="Times New Roman"/>
          <w:i/>
          <w:color w:val="auto"/>
          <w:sz w:val="20"/>
          <w:szCs w:val="20"/>
        </w:rPr>
        <w:t>El Turco Julián</w:t>
      </w:r>
      <w:r w:rsidRPr="002A2289">
        <w:rPr>
          <w:rFonts w:asciiTheme="majorHAnsi" w:hAnsiTheme="majorHAnsi" w:cs="Times New Roman"/>
          <w:color w:val="auto"/>
          <w:sz w:val="20"/>
          <w:szCs w:val="20"/>
        </w:rPr>
        <w:t xml:space="preserve"> and </w:t>
      </w:r>
      <w:r w:rsidRPr="002A2289">
        <w:rPr>
          <w:rFonts w:asciiTheme="majorHAnsi" w:hAnsiTheme="majorHAnsi" w:cs="Times New Roman"/>
          <w:i/>
          <w:color w:val="auto"/>
          <w:sz w:val="20"/>
          <w:szCs w:val="20"/>
        </w:rPr>
        <w:t>Colores</w:t>
      </w:r>
      <w:r w:rsidRPr="002A2289">
        <w:rPr>
          <w:rFonts w:asciiTheme="majorHAnsi" w:hAnsiTheme="majorHAnsi" w:cs="Times New Roman"/>
          <w:color w:val="auto"/>
          <w:sz w:val="20"/>
          <w:szCs w:val="20"/>
        </w:rPr>
        <w:t xml:space="preserve"> were guards Mr. Almeida recog</w:t>
      </w:r>
      <w:r w:rsidR="009856E8" w:rsidRPr="002A2289">
        <w:rPr>
          <w:rFonts w:asciiTheme="majorHAnsi" w:hAnsiTheme="majorHAnsi" w:cs="Times New Roman"/>
          <w:color w:val="auto"/>
          <w:sz w:val="20"/>
          <w:szCs w:val="20"/>
        </w:rPr>
        <w:t>nized from the clandestine camp,</w:t>
      </w:r>
      <w:r w:rsidRPr="002A2289">
        <w:rPr>
          <w:rFonts w:asciiTheme="majorHAnsi" w:hAnsiTheme="majorHAnsi" w:cs="Times New Roman"/>
          <w:color w:val="auto"/>
          <w:sz w:val="20"/>
          <w:szCs w:val="20"/>
        </w:rPr>
        <w:t xml:space="preserve"> </w:t>
      </w:r>
      <w:r w:rsidRPr="002A2289">
        <w:rPr>
          <w:rFonts w:asciiTheme="majorHAnsi" w:hAnsiTheme="majorHAnsi" w:cs="Times New Roman"/>
          <w:i/>
          <w:color w:val="auto"/>
          <w:sz w:val="20"/>
          <w:szCs w:val="20"/>
        </w:rPr>
        <w:t>El Banco</w:t>
      </w:r>
      <w:r w:rsidRPr="002A2289">
        <w:rPr>
          <w:rFonts w:asciiTheme="majorHAnsi" w:hAnsiTheme="majorHAnsi" w:cs="Times New Roman"/>
          <w:color w:val="auto"/>
          <w:sz w:val="20"/>
          <w:szCs w:val="20"/>
        </w:rPr>
        <w:t>.</w:t>
      </w:r>
      <w:r w:rsidRPr="002A2289">
        <w:rPr>
          <w:rStyle w:val="FootnoteReference"/>
          <w:rFonts w:asciiTheme="majorHAnsi" w:hAnsiTheme="majorHAnsi" w:cs="Times New Roman"/>
          <w:color w:val="auto"/>
          <w:sz w:val="20"/>
          <w:szCs w:val="20"/>
        </w:rPr>
        <w:footnoteReference w:id="22"/>
      </w:r>
      <w:r w:rsidRPr="002A2289">
        <w:rPr>
          <w:rFonts w:asciiTheme="majorHAnsi" w:hAnsiTheme="majorHAnsi" w:cs="Times New Roman"/>
          <w:color w:val="auto"/>
          <w:sz w:val="20"/>
          <w:szCs w:val="20"/>
        </w:rPr>
        <w:t xml:space="preserve"> According to his account, these visits initially took place each week and then became more spread out.</w:t>
      </w:r>
      <w:r w:rsidRPr="002A2289">
        <w:rPr>
          <w:rStyle w:val="FootnoteReference"/>
          <w:rFonts w:asciiTheme="majorHAnsi" w:hAnsiTheme="majorHAnsi" w:cs="Times New Roman"/>
          <w:color w:val="auto"/>
          <w:sz w:val="20"/>
          <w:szCs w:val="20"/>
        </w:rPr>
        <w:footnoteReference w:id="23"/>
      </w:r>
      <w:r w:rsidRPr="002A2289">
        <w:rPr>
          <w:rFonts w:asciiTheme="majorHAnsi" w:hAnsiTheme="majorHAnsi" w:cs="Times New Roman"/>
          <w:color w:val="auto"/>
          <w:sz w:val="20"/>
          <w:szCs w:val="20"/>
        </w:rPr>
        <w:t xml:space="preserve"> Mr. Almeida was told that there was no schedule for </w:t>
      </w:r>
      <w:r w:rsidR="00742F41" w:rsidRPr="002A2289">
        <w:rPr>
          <w:rFonts w:asciiTheme="majorHAnsi" w:hAnsiTheme="majorHAnsi" w:cs="Times New Roman"/>
          <w:color w:val="auto"/>
          <w:sz w:val="20"/>
          <w:szCs w:val="20"/>
        </w:rPr>
        <w:t xml:space="preserve">the </w:t>
      </w:r>
      <w:r w:rsidRPr="002A2289">
        <w:rPr>
          <w:rFonts w:asciiTheme="majorHAnsi" w:hAnsiTheme="majorHAnsi" w:cs="Times New Roman"/>
          <w:color w:val="auto"/>
          <w:sz w:val="20"/>
          <w:szCs w:val="20"/>
        </w:rPr>
        <w:t xml:space="preserve">checks. Once the visits </w:t>
      </w:r>
      <w:r w:rsidR="007A338C" w:rsidRPr="002A2289">
        <w:rPr>
          <w:rFonts w:asciiTheme="majorHAnsi" w:hAnsiTheme="majorHAnsi" w:cs="Times New Roman"/>
          <w:color w:val="auto"/>
          <w:sz w:val="20"/>
          <w:szCs w:val="20"/>
        </w:rPr>
        <w:t>ended</w:t>
      </w:r>
      <w:r w:rsidRPr="002A2289">
        <w:rPr>
          <w:rFonts w:asciiTheme="majorHAnsi" w:hAnsiTheme="majorHAnsi" w:cs="Times New Roman"/>
          <w:color w:val="auto"/>
          <w:sz w:val="20"/>
          <w:szCs w:val="20"/>
        </w:rPr>
        <w:t>, “he was given a telephone to call and check-in […], and ask for Julián Gimenez,” until one day when he was told “not to call any more because they had stopped coming by.” But thereafter, an individual who said his name was “Juan Carlos” would occasionally come by the house asking for his and his wife’s personal information.</w:t>
      </w:r>
      <w:r w:rsidRPr="002A2289">
        <w:rPr>
          <w:rStyle w:val="FootnoteReference"/>
          <w:rFonts w:asciiTheme="majorHAnsi" w:hAnsiTheme="majorHAnsi" w:cs="Times New Roman"/>
          <w:color w:val="auto"/>
          <w:sz w:val="20"/>
          <w:szCs w:val="20"/>
        </w:rPr>
        <w:footnoteReference w:id="24"/>
      </w:r>
    </w:p>
    <w:p w14:paraId="733DC8C7" w14:textId="77777777" w:rsidR="004948B8" w:rsidRPr="002A2289" w:rsidRDefault="004948B8" w:rsidP="004948B8">
      <w:pPr>
        <w:pStyle w:val="ListParagraph"/>
        <w:ind w:firstLine="720"/>
        <w:rPr>
          <w:rFonts w:asciiTheme="majorHAnsi" w:hAnsiTheme="majorHAnsi" w:cs="Times New Roman"/>
          <w:color w:val="auto"/>
          <w:sz w:val="20"/>
          <w:szCs w:val="20"/>
        </w:rPr>
      </w:pPr>
    </w:p>
    <w:p w14:paraId="244C8164" w14:textId="77777777" w:rsidR="004948B8" w:rsidRPr="002A2289" w:rsidRDefault="004948B8" w:rsidP="004948B8">
      <w:pPr>
        <w:pStyle w:val="ListParagraph"/>
        <w:numPr>
          <w:ilvl w:val="0"/>
          <w:numId w:val="55"/>
        </w:numPr>
        <w:ind w:left="0" w:firstLine="720"/>
        <w:jc w:val="both"/>
        <w:rPr>
          <w:rFonts w:asciiTheme="majorHAnsi" w:hAnsiTheme="majorHAnsi"/>
          <w:color w:val="auto"/>
          <w:sz w:val="20"/>
          <w:szCs w:val="20"/>
        </w:rPr>
      </w:pPr>
      <w:r w:rsidRPr="002A2289">
        <w:rPr>
          <w:rFonts w:asciiTheme="majorHAnsi" w:hAnsiTheme="majorHAnsi" w:cs="Times New Roman"/>
          <w:color w:val="auto"/>
          <w:sz w:val="20"/>
          <w:szCs w:val="20"/>
        </w:rPr>
        <w:t xml:space="preserve">Lastly, Mr. Almeida alleged that in April 1983 he received calls from </w:t>
      </w:r>
      <w:r w:rsidRPr="002A2289">
        <w:rPr>
          <w:rFonts w:asciiTheme="majorHAnsi" w:hAnsiTheme="majorHAnsi" w:cs="Times New Roman"/>
          <w:i/>
          <w:color w:val="auto"/>
          <w:sz w:val="20"/>
          <w:szCs w:val="20"/>
        </w:rPr>
        <w:t>Colores</w:t>
      </w:r>
      <w:r w:rsidRPr="002A2289">
        <w:rPr>
          <w:rFonts w:asciiTheme="majorHAnsi" w:hAnsiTheme="majorHAnsi" w:cs="Times New Roman"/>
          <w:color w:val="auto"/>
          <w:sz w:val="20"/>
          <w:szCs w:val="20"/>
        </w:rPr>
        <w:t>, who gave him a phone number that ended up belonging to the Federal Police, telling him to “make an appointment to fill out some forms;” the appointment never happened.</w:t>
      </w:r>
      <w:r w:rsidRPr="002A2289">
        <w:rPr>
          <w:rStyle w:val="FootnoteReference"/>
          <w:rFonts w:asciiTheme="majorHAnsi" w:hAnsiTheme="majorHAnsi" w:cs="Times New Roman"/>
          <w:color w:val="auto"/>
          <w:sz w:val="20"/>
          <w:szCs w:val="20"/>
        </w:rPr>
        <w:footnoteReference w:id="25"/>
      </w:r>
      <w:r w:rsidRPr="002A2289">
        <w:rPr>
          <w:rFonts w:asciiTheme="majorHAnsi" w:hAnsiTheme="majorHAnsi" w:cs="Times New Roman"/>
          <w:color w:val="auto"/>
          <w:sz w:val="20"/>
          <w:szCs w:val="20"/>
        </w:rPr>
        <w:t xml:space="preserve"> He stated that this release-under-surveillance situation came to end on April 30, 1983</w:t>
      </w:r>
      <w:r w:rsidRPr="002A2289">
        <w:rPr>
          <w:rFonts w:asciiTheme="majorHAnsi" w:hAnsiTheme="majorHAnsi"/>
          <w:color w:val="auto"/>
          <w:sz w:val="20"/>
          <w:szCs w:val="20"/>
        </w:rPr>
        <w:t>.</w:t>
      </w:r>
      <w:r w:rsidRPr="002A2289">
        <w:rPr>
          <w:rStyle w:val="FootnoteReference"/>
          <w:rFonts w:asciiTheme="majorHAnsi" w:hAnsiTheme="majorHAnsi"/>
          <w:color w:val="auto"/>
          <w:sz w:val="20"/>
          <w:szCs w:val="20"/>
        </w:rPr>
        <w:footnoteReference w:id="26"/>
      </w:r>
    </w:p>
    <w:p w14:paraId="260C9FFD" w14:textId="77777777" w:rsidR="004948B8" w:rsidRDefault="004948B8" w:rsidP="004948B8">
      <w:pPr>
        <w:ind w:firstLine="720"/>
        <w:rPr>
          <w:rFonts w:asciiTheme="majorHAnsi" w:hAnsiTheme="majorHAnsi"/>
          <w:b/>
          <w:color w:val="FF0000"/>
          <w:sz w:val="20"/>
          <w:szCs w:val="20"/>
        </w:rPr>
      </w:pPr>
    </w:p>
    <w:p w14:paraId="496D36CF" w14:textId="77777777" w:rsidR="000B1FA9" w:rsidRDefault="000B1FA9" w:rsidP="004948B8">
      <w:pPr>
        <w:ind w:firstLine="720"/>
        <w:rPr>
          <w:rFonts w:asciiTheme="majorHAnsi" w:hAnsiTheme="majorHAnsi"/>
          <w:b/>
          <w:color w:val="FF0000"/>
          <w:sz w:val="20"/>
          <w:szCs w:val="20"/>
        </w:rPr>
      </w:pPr>
    </w:p>
    <w:p w14:paraId="7DDC7C36" w14:textId="77777777" w:rsidR="000B1FA9" w:rsidRPr="002A2289" w:rsidRDefault="000B1FA9" w:rsidP="004948B8">
      <w:pPr>
        <w:ind w:firstLine="720"/>
        <w:rPr>
          <w:rFonts w:asciiTheme="majorHAnsi" w:hAnsiTheme="majorHAnsi"/>
          <w:b/>
          <w:color w:val="FF0000"/>
          <w:sz w:val="20"/>
          <w:szCs w:val="20"/>
        </w:rPr>
      </w:pPr>
    </w:p>
    <w:p w14:paraId="4D626B66" w14:textId="2A47A2C0" w:rsidR="004948B8" w:rsidRPr="002A2289" w:rsidRDefault="004948B8" w:rsidP="002A2289">
      <w:pPr>
        <w:pStyle w:val="Heading2"/>
      </w:pPr>
      <w:bookmarkStart w:id="12" w:name="_Toc529249983"/>
      <w:bookmarkStart w:id="13" w:name="_Toc529201740"/>
      <w:r w:rsidRPr="002A2289">
        <w:lastRenderedPageBreak/>
        <w:t xml:space="preserve">Administrative procedure under </w:t>
      </w:r>
      <w:r w:rsidR="00786D79">
        <w:t>Law 24.043</w:t>
      </w:r>
      <w:bookmarkEnd w:id="12"/>
      <w:r w:rsidRPr="002A2289">
        <w:t xml:space="preserve"> </w:t>
      </w:r>
      <w:bookmarkEnd w:id="13"/>
    </w:p>
    <w:p w14:paraId="53BF14A0" w14:textId="77777777" w:rsidR="004948B8" w:rsidRPr="002A2289" w:rsidRDefault="004948B8" w:rsidP="004948B8">
      <w:pPr>
        <w:ind w:firstLine="720"/>
        <w:rPr>
          <w:rFonts w:asciiTheme="majorHAnsi" w:hAnsiTheme="majorHAnsi"/>
          <w:b/>
          <w:color w:val="FF0000"/>
          <w:sz w:val="20"/>
          <w:szCs w:val="20"/>
        </w:rPr>
      </w:pPr>
    </w:p>
    <w:p w14:paraId="64871F88" w14:textId="1795FE57"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In 1995, Mr. Almeida filed an administrative </w:t>
      </w:r>
      <w:r w:rsidR="004A6D2D" w:rsidRPr="002A2289">
        <w:rPr>
          <w:rFonts w:asciiTheme="majorHAnsi" w:hAnsiTheme="majorHAnsi" w:cs="Times New Roman"/>
          <w:color w:val="auto"/>
          <w:sz w:val="20"/>
          <w:szCs w:val="20"/>
        </w:rPr>
        <w:t>petition</w:t>
      </w:r>
      <w:r w:rsidRPr="002A2289">
        <w:rPr>
          <w:rFonts w:asciiTheme="majorHAnsi" w:hAnsiTheme="majorHAnsi" w:cs="Times New Roman"/>
          <w:color w:val="auto"/>
          <w:sz w:val="20"/>
          <w:szCs w:val="20"/>
        </w:rPr>
        <w:t xml:space="preserve"> on the basis of the facts described above, pursuant to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 By means of Decision 2638/96, of October 3, 1996, the Ministry of the Interior recognized his right to compensation—in the amount of 4031.64 Argentine pesos—for the 54 days he was illegally detained; he was notified of this on October 8, 1996.</w:t>
      </w:r>
      <w:r w:rsidRPr="002A2289">
        <w:rPr>
          <w:rStyle w:val="FootnoteReference"/>
          <w:rFonts w:asciiTheme="majorHAnsi" w:hAnsiTheme="majorHAnsi" w:cs="Times New Roman"/>
          <w:color w:val="auto"/>
          <w:sz w:val="20"/>
          <w:szCs w:val="20"/>
        </w:rPr>
        <w:footnoteReference w:id="27"/>
      </w:r>
    </w:p>
    <w:p w14:paraId="2ED18357" w14:textId="77777777" w:rsidR="004948B8" w:rsidRPr="002A2289" w:rsidRDefault="004948B8" w:rsidP="004948B8">
      <w:pPr>
        <w:ind w:firstLine="720"/>
        <w:jc w:val="both"/>
        <w:rPr>
          <w:rFonts w:asciiTheme="majorHAnsi" w:hAnsiTheme="majorHAnsi"/>
          <w:sz w:val="20"/>
          <w:szCs w:val="20"/>
        </w:rPr>
      </w:pPr>
    </w:p>
    <w:p w14:paraId="36A87FC4" w14:textId="59245CD5"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Mr. Almeida appealed Decision 2638/96 “given that it attributes just 54 days to him, starting on June 5, 1978, as compensable, but not the period from the time he was turned over ‘to the custody of his father’ by </w:t>
      </w:r>
      <w:r w:rsidRPr="002A2289">
        <w:rPr>
          <w:rFonts w:asciiTheme="majorHAnsi" w:hAnsiTheme="majorHAnsi" w:cs="Times New Roman"/>
          <w:i/>
          <w:color w:val="auto"/>
          <w:sz w:val="20"/>
          <w:szCs w:val="20"/>
        </w:rPr>
        <w:t>El Turco Julián</w:t>
      </w:r>
      <w:r w:rsidRPr="002A2289">
        <w:rPr>
          <w:rFonts w:asciiTheme="majorHAnsi" w:hAnsiTheme="majorHAnsi" w:cs="Times New Roman"/>
          <w:color w:val="auto"/>
          <w:sz w:val="20"/>
          <w:szCs w:val="20"/>
        </w:rPr>
        <w:t xml:space="preserve"> until April 30, 1983, that is, the 1,795 days he was held under a type of release under surveillance.”</w:t>
      </w:r>
      <w:r w:rsidRPr="002A2289">
        <w:rPr>
          <w:rStyle w:val="FootnoteReference"/>
          <w:rFonts w:asciiTheme="majorHAnsi" w:hAnsiTheme="majorHAnsi" w:cs="Times New Roman"/>
          <w:color w:val="auto"/>
          <w:sz w:val="20"/>
          <w:szCs w:val="20"/>
        </w:rPr>
        <w:footnoteReference w:id="28"/>
      </w:r>
      <w:r w:rsidRPr="002A2289">
        <w:rPr>
          <w:rFonts w:asciiTheme="majorHAnsi" w:hAnsiTheme="majorHAnsi" w:cs="Times New Roman"/>
          <w:color w:val="auto"/>
          <w:sz w:val="20"/>
          <w:szCs w:val="20"/>
        </w:rPr>
        <w:t xml:space="preserve"> He contended that, “although he had not been in the custody of [the Executive], nor tried and convicted by any military court, he had been detained at […] </w:t>
      </w:r>
      <w:r w:rsidRPr="002A2289">
        <w:rPr>
          <w:rFonts w:asciiTheme="majorHAnsi" w:hAnsiTheme="majorHAnsi" w:cs="Times New Roman"/>
          <w:i/>
          <w:color w:val="auto"/>
          <w:sz w:val="20"/>
          <w:szCs w:val="20"/>
        </w:rPr>
        <w:t>El Banco</w:t>
      </w:r>
      <w:r w:rsidRPr="002A2289">
        <w:rPr>
          <w:rFonts w:asciiTheme="majorHAnsi" w:hAnsiTheme="majorHAnsi" w:cs="Times New Roman"/>
          <w:color w:val="auto"/>
          <w:sz w:val="20"/>
          <w:szCs w:val="20"/>
        </w:rPr>
        <w:t xml:space="preserve">,” and thereafter “lacked full freedom of movement” because of his situation, which was similar to release under surveillance, and should therefore receive equitable reparation, in accordance with the will expressed by the Executive in issuing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w:t>
      </w:r>
      <w:r w:rsidRPr="002A2289">
        <w:rPr>
          <w:rStyle w:val="FootnoteReference"/>
          <w:rFonts w:asciiTheme="majorHAnsi" w:hAnsiTheme="majorHAnsi" w:cs="Times New Roman"/>
          <w:color w:val="auto"/>
          <w:sz w:val="20"/>
          <w:szCs w:val="20"/>
        </w:rPr>
        <w:footnoteReference w:id="29"/>
      </w:r>
      <w:r w:rsidRPr="002A2289">
        <w:rPr>
          <w:rFonts w:asciiTheme="majorHAnsi" w:hAnsiTheme="majorHAnsi" w:cs="Times New Roman"/>
          <w:color w:val="auto"/>
          <w:sz w:val="20"/>
          <w:szCs w:val="20"/>
        </w:rPr>
        <w:t xml:space="preserve"> Mr. Almeida expressly alleged that the denial of his request for reparations constituted a violation of the right to equal protection under the law prescribed by the Argentine constitution, the American Declaration, and the International Covenant on Civil and Political Rights “inasmuch as it constitutes an arbitrary exclusion from the scope of historic reparation sought by the Law,” and “arbitrarily and restrictively determine[s] whether or not to grant the benefit to an individual who was </w:t>
      </w:r>
      <w:r w:rsidRPr="002A2289">
        <w:rPr>
          <w:rFonts w:asciiTheme="majorHAnsi" w:hAnsiTheme="majorHAnsi" w:cs="Times New Roman"/>
          <w:i/>
          <w:color w:val="auto"/>
          <w:sz w:val="20"/>
          <w:szCs w:val="20"/>
        </w:rPr>
        <w:t>de facto</w:t>
      </w:r>
      <w:r w:rsidRPr="002A2289">
        <w:rPr>
          <w:rFonts w:asciiTheme="majorHAnsi" w:hAnsiTheme="majorHAnsi" w:cs="Times New Roman"/>
          <w:color w:val="auto"/>
          <w:sz w:val="20"/>
          <w:szCs w:val="20"/>
        </w:rPr>
        <w:t xml:space="preserve"> deprived of full liberty while the state of </w:t>
      </w:r>
      <w:r w:rsidR="00D349D4">
        <w:rPr>
          <w:rFonts w:asciiTheme="majorHAnsi" w:hAnsiTheme="majorHAnsi" w:cs="Times New Roman"/>
          <w:color w:val="auto"/>
          <w:sz w:val="20"/>
          <w:szCs w:val="20"/>
        </w:rPr>
        <w:t>exception</w:t>
      </w:r>
      <w:r w:rsidRPr="002A2289">
        <w:rPr>
          <w:rFonts w:asciiTheme="majorHAnsi" w:hAnsiTheme="majorHAnsi" w:cs="Times New Roman"/>
          <w:color w:val="auto"/>
          <w:sz w:val="20"/>
          <w:szCs w:val="20"/>
        </w:rPr>
        <w:t xml:space="preserve"> was in place.”</w:t>
      </w:r>
      <w:r w:rsidRPr="002A2289">
        <w:rPr>
          <w:rStyle w:val="FootnoteReference"/>
          <w:rFonts w:asciiTheme="majorHAnsi" w:hAnsiTheme="majorHAnsi" w:cs="Times New Roman"/>
          <w:color w:val="auto"/>
          <w:sz w:val="20"/>
          <w:szCs w:val="20"/>
        </w:rPr>
        <w:footnoteReference w:id="30"/>
      </w:r>
    </w:p>
    <w:p w14:paraId="793A4FE7" w14:textId="77777777" w:rsidR="004948B8" w:rsidRPr="002A2289" w:rsidRDefault="004948B8" w:rsidP="004948B8">
      <w:pPr>
        <w:ind w:firstLine="720"/>
        <w:jc w:val="both"/>
        <w:rPr>
          <w:rFonts w:asciiTheme="majorHAnsi" w:hAnsiTheme="majorHAnsi"/>
          <w:sz w:val="20"/>
          <w:szCs w:val="20"/>
        </w:rPr>
      </w:pPr>
    </w:p>
    <w:p w14:paraId="4D18389E" w14:textId="3F8AEDA4"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On March 25, 1999, </w:t>
      </w:r>
      <w:r w:rsidR="00D349D4">
        <w:rPr>
          <w:rFonts w:asciiTheme="majorHAnsi" w:hAnsiTheme="majorHAnsi" w:cs="Times New Roman"/>
          <w:color w:val="auto"/>
          <w:sz w:val="20"/>
          <w:szCs w:val="20"/>
        </w:rPr>
        <w:t xml:space="preserve">the </w:t>
      </w:r>
      <w:r w:rsidRPr="002A2289">
        <w:rPr>
          <w:rFonts w:asciiTheme="majorHAnsi" w:hAnsiTheme="majorHAnsi" w:cs="Times New Roman"/>
          <w:color w:val="auto"/>
          <w:sz w:val="20"/>
          <w:szCs w:val="20"/>
        </w:rPr>
        <w:t xml:space="preserve">CNACAF upheld the first instance decision given that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 xml:space="preserve"> “was meant to recognize reparation for those individuals who had been under the supervision of [the Executive] prior to December 10, 1983 or who were, as civilians, deprived of their liberty by order of a military court, whether or not they had been convicted by such courts,” noting that “it is not possible by interpretation to extend the compensation rate set forth in that law to conditions different from those established therein.”</w:t>
      </w:r>
      <w:r w:rsidRPr="002A2289">
        <w:rPr>
          <w:rStyle w:val="FootnoteReference"/>
          <w:rFonts w:asciiTheme="majorHAnsi" w:hAnsiTheme="majorHAnsi" w:cs="Times New Roman"/>
          <w:color w:val="auto"/>
          <w:sz w:val="20"/>
          <w:szCs w:val="20"/>
        </w:rPr>
        <w:footnoteReference w:id="31"/>
      </w:r>
      <w:r w:rsidRPr="002A2289">
        <w:rPr>
          <w:rFonts w:asciiTheme="majorHAnsi" w:hAnsiTheme="majorHAnsi" w:cs="Times New Roman"/>
          <w:color w:val="auto"/>
          <w:sz w:val="20"/>
          <w:szCs w:val="20"/>
        </w:rPr>
        <w:t xml:space="preserve"> Specifically, CNACAF considered that Law 21</w:t>
      </w:r>
      <w:r w:rsidR="000A7A3E">
        <w:rPr>
          <w:rFonts w:asciiTheme="majorHAnsi" w:hAnsiTheme="majorHAnsi" w:cs="Times New Roman"/>
          <w:color w:val="auto"/>
          <w:sz w:val="20"/>
          <w:szCs w:val="20"/>
        </w:rPr>
        <w:t>.</w:t>
      </w:r>
      <w:r w:rsidRPr="002A2289">
        <w:rPr>
          <w:rFonts w:asciiTheme="majorHAnsi" w:hAnsiTheme="majorHAnsi" w:cs="Times New Roman"/>
          <w:color w:val="auto"/>
          <w:sz w:val="20"/>
          <w:szCs w:val="20"/>
        </w:rPr>
        <w:t>650</w:t>
      </w:r>
      <w:r w:rsidR="000A7A3E">
        <w:rPr>
          <w:rFonts w:asciiTheme="majorHAnsi" w:hAnsiTheme="majorHAnsi" w:cs="Times New Roman"/>
          <w:color w:val="auto"/>
          <w:sz w:val="20"/>
          <w:szCs w:val="20"/>
        </w:rPr>
        <w:t xml:space="preserve"> defined release-under-surveillance, and it</w:t>
      </w:r>
      <w:r w:rsidRPr="002A2289">
        <w:rPr>
          <w:rFonts w:asciiTheme="majorHAnsi" w:hAnsiTheme="majorHAnsi" w:cs="Times New Roman"/>
          <w:color w:val="auto"/>
          <w:sz w:val="20"/>
          <w:szCs w:val="20"/>
        </w:rPr>
        <w:t xml:space="preserve"> “provided for a regime to mitigate the terms of arrest (release-under-surveillance regime), ordered via decree by the President of the Nation […].”</w:t>
      </w:r>
      <w:r w:rsidRPr="002A2289">
        <w:rPr>
          <w:rStyle w:val="FootnoteReference"/>
          <w:rFonts w:asciiTheme="majorHAnsi" w:hAnsiTheme="majorHAnsi" w:cs="Times New Roman"/>
          <w:color w:val="auto"/>
          <w:sz w:val="20"/>
          <w:szCs w:val="20"/>
        </w:rPr>
        <w:footnoteReference w:id="32"/>
      </w:r>
      <w:r w:rsidRPr="002A2289">
        <w:rPr>
          <w:rFonts w:asciiTheme="majorHAnsi" w:hAnsiTheme="majorHAnsi" w:cs="Times New Roman"/>
          <w:color w:val="auto"/>
          <w:sz w:val="20"/>
          <w:szCs w:val="20"/>
        </w:rPr>
        <w:t xml:space="preserve"> In light of the above,</w:t>
      </w:r>
    </w:p>
    <w:p w14:paraId="3540EE39" w14:textId="77777777" w:rsidR="004948B8" w:rsidRPr="002A2289" w:rsidRDefault="004948B8" w:rsidP="004948B8">
      <w:pPr>
        <w:pStyle w:val="ListParagraph"/>
        <w:rPr>
          <w:rFonts w:asciiTheme="majorHAnsi" w:hAnsiTheme="majorHAnsi" w:cs="Times New Roman"/>
          <w:color w:val="auto"/>
          <w:sz w:val="20"/>
          <w:szCs w:val="20"/>
        </w:rPr>
      </w:pPr>
    </w:p>
    <w:p w14:paraId="16FFDEF8" w14:textId="1BAB6849" w:rsidR="004948B8" w:rsidRPr="002A2289" w:rsidRDefault="004948B8" w:rsidP="004948B8">
      <w:pPr>
        <w:pStyle w:val="ListParagraph"/>
        <w:ind w:right="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The </w:t>
      </w:r>
      <w:r w:rsidR="00407CFD" w:rsidRPr="002A2289">
        <w:rPr>
          <w:rFonts w:asciiTheme="majorHAnsi" w:hAnsiTheme="majorHAnsi" w:cs="Times New Roman"/>
          <w:color w:val="auto"/>
          <w:sz w:val="20"/>
          <w:szCs w:val="20"/>
        </w:rPr>
        <w:t>petitioner’s</w:t>
      </w:r>
      <w:r w:rsidRPr="002A2289">
        <w:rPr>
          <w:rFonts w:asciiTheme="majorHAnsi" w:hAnsiTheme="majorHAnsi" w:cs="Times New Roman"/>
          <w:color w:val="auto"/>
          <w:sz w:val="20"/>
          <w:szCs w:val="20"/>
        </w:rPr>
        <w:t xml:space="preserve"> claim, which posits that the time of detention should be computed through April 30, 1983 because, from the time of his release on July 27, 1978 until then, he allegedly had to report to </w:t>
      </w:r>
      <w:r w:rsidRPr="002A2289">
        <w:rPr>
          <w:rFonts w:asciiTheme="majorHAnsi" w:hAnsiTheme="majorHAnsi" w:cs="Times New Roman"/>
          <w:i/>
          <w:color w:val="auto"/>
          <w:sz w:val="20"/>
          <w:szCs w:val="20"/>
        </w:rPr>
        <w:t>Colores</w:t>
      </w:r>
      <w:r w:rsidRPr="002A2289">
        <w:rPr>
          <w:rFonts w:asciiTheme="majorHAnsi" w:hAnsiTheme="majorHAnsi" w:cs="Times New Roman"/>
          <w:color w:val="auto"/>
          <w:sz w:val="20"/>
          <w:szCs w:val="20"/>
        </w:rPr>
        <w:t xml:space="preserve">, Javier, and </w:t>
      </w:r>
      <w:r w:rsidRPr="002A2289">
        <w:rPr>
          <w:rFonts w:asciiTheme="majorHAnsi" w:hAnsiTheme="majorHAnsi" w:cs="Times New Roman"/>
          <w:i/>
          <w:color w:val="auto"/>
          <w:sz w:val="20"/>
          <w:szCs w:val="20"/>
        </w:rPr>
        <w:t>El Turco Julián</w:t>
      </w:r>
      <w:r w:rsidRPr="002A2289">
        <w:rPr>
          <w:rFonts w:asciiTheme="majorHAnsi" w:hAnsiTheme="majorHAnsi" w:cs="Times New Roman"/>
          <w:color w:val="auto"/>
          <w:sz w:val="20"/>
          <w:szCs w:val="20"/>
        </w:rPr>
        <w:t xml:space="preserve">, should be dismissed </w:t>
      </w:r>
      <w:r w:rsidR="00B316D8" w:rsidRPr="002A2289">
        <w:rPr>
          <w:rFonts w:asciiTheme="majorHAnsi" w:hAnsiTheme="majorHAnsi" w:cs="Times New Roman"/>
          <w:color w:val="auto"/>
          <w:sz w:val="20"/>
          <w:szCs w:val="20"/>
        </w:rPr>
        <w:t xml:space="preserve">because, </w:t>
      </w:r>
      <w:r w:rsidR="000A7A3E">
        <w:rPr>
          <w:rFonts w:asciiTheme="majorHAnsi" w:hAnsiTheme="majorHAnsi" w:cs="Times New Roman"/>
          <w:i/>
          <w:color w:val="auto"/>
          <w:sz w:val="20"/>
          <w:szCs w:val="20"/>
        </w:rPr>
        <w:t>whatever the truth of his assertions</w:t>
      </w:r>
      <w:r w:rsidR="00B316D8" w:rsidRPr="002A2289">
        <w:rPr>
          <w:rFonts w:asciiTheme="majorHAnsi" w:hAnsiTheme="majorHAnsi" w:cs="Times New Roman"/>
          <w:i/>
          <w:color w:val="auto"/>
          <w:sz w:val="20"/>
          <w:szCs w:val="20"/>
        </w:rPr>
        <w:t>, his situation i</w:t>
      </w:r>
      <w:r w:rsidR="000A7A3E">
        <w:rPr>
          <w:rFonts w:asciiTheme="majorHAnsi" w:hAnsiTheme="majorHAnsi" w:cs="Times New Roman"/>
          <w:i/>
          <w:color w:val="auto"/>
          <w:sz w:val="20"/>
          <w:szCs w:val="20"/>
        </w:rPr>
        <w:t>s not provided for under Law 21.</w:t>
      </w:r>
      <w:r w:rsidR="00B316D8" w:rsidRPr="002A2289">
        <w:rPr>
          <w:rFonts w:asciiTheme="majorHAnsi" w:hAnsiTheme="majorHAnsi" w:cs="Times New Roman"/>
          <w:i/>
          <w:color w:val="auto"/>
          <w:sz w:val="20"/>
          <w:szCs w:val="20"/>
        </w:rPr>
        <w:t>650</w:t>
      </w:r>
      <w:r w:rsidR="00B316D8" w:rsidRPr="002A2289">
        <w:rPr>
          <w:rFonts w:asciiTheme="majorHAnsi" w:hAnsiTheme="majorHAnsi" w:cs="Times New Roman"/>
          <w:color w:val="auto"/>
          <w:sz w:val="20"/>
          <w:szCs w:val="20"/>
        </w:rPr>
        <w:t xml:space="preserve">, to which, Law 24043 </w:t>
      </w:r>
      <w:r w:rsidR="000A7A3E" w:rsidRPr="002A2289">
        <w:rPr>
          <w:rFonts w:asciiTheme="majorHAnsi" w:hAnsiTheme="majorHAnsi" w:cs="Times New Roman"/>
          <w:color w:val="auto"/>
          <w:sz w:val="20"/>
          <w:szCs w:val="20"/>
        </w:rPr>
        <w:t xml:space="preserve">implicitly </w:t>
      </w:r>
      <w:r w:rsidR="00B316D8" w:rsidRPr="002A2289">
        <w:rPr>
          <w:rFonts w:asciiTheme="majorHAnsi" w:hAnsiTheme="majorHAnsi" w:cs="Times New Roman"/>
          <w:color w:val="auto"/>
          <w:sz w:val="20"/>
          <w:szCs w:val="20"/>
        </w:rPr>
        <w:t xml:space="preserve">refers </w:t>
      </w:r>
      <w:r w:rsidRPr="002A2289">
        <w:rPr>
          <w:rFonts w:asciiTheme="majorHAnsi" w:hAnsiTheme="majorHAnsi" w:cs="Times New Roman"/>
          <w:color w:val="auto"/>
          <w:sz w:val="20"/>
          <w:szCs w:val="20"/>
        </w:rPr>
        <w:t>where it stipulates that release under surveillance should not be construed as termination of the measure restricting freedom and, as a result, authorizes extension of the period of detention subject to compensation until the achievement of full freedom.</w:t>
      </w:r>
      <w:r w:rsidRPr="002A2289">
        <w:rPr>
          <w:rStyle w:val="FootnoteReference"/>
          <w:rFonts w:asciiTheme="majorHAnsi" w:hAnsiTheme="majorHAnsi" w:cs="Times New Roman"/>
          <w:color w:val="auto"/>
          <w:sz w:val="20"/>
          <w:szCs w:val="20"/>
        </w:rPr>
        <w:footnoteReference w:id="33"/>
      </w:r>
      <w:r w:rsidRPr="002A2289">
        <w:rPr>
          <w:rFonts w:asciiTheme="majorHAnsi" w:hAnsiTheme="majorHAnsi" w:cs="Times New Roman"/>
          <w:color w:val="auto"/>
          <w:sz w:val="20"/>
          <w:szCs w:val="20"/>
        </w:rPr>
        <w:t xml:space="preserve"> (italics added)</w:t>
      </w:r>
    </w:p>
    <w:p w14:paraId="711996E6" w14:textId="77777777" w:rsidR="004948B8" w:rsidRPr="002A2289" w:rsidRDefault="004948B8" w:rsidP="004948B8">
      <w:pPr>
        <w:pStyle w:val="ListParagraph"/>
        <w:rPr>
          <w:rFonts w:asciiTheme="majorHAnsi" w:hAnsiTheme="majorHAnsi" w:cs="Times New Roman"/>
          <w:color w:val="auto"/>
          <w:sz w:val="20"/>
          <w:szCs w:val="20"/>
        </w:rPr>
      </w:pPr>
    </w:p>
    <w:p w14:paraId="7DBEE857" w14:textId="35F0FCBB"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Lastly, </w:t>
      </w:r>
      <w:r w:rsidR="000A7A3E">
        <w:rPr>
          <w:rFonts w:asciiTheme="majorHAnsi" w:hAnsiTheme="majorHAnsi" w:cs="Times New Roman"/>
          <w:color w:val="auto"/>
          <w:sz w:val="20"/>
          <w:szCs w:val="20"/>
        </w:rPr>
        <w:t xml:space="preserve">the </w:t>
      </w:r>
      <w:r w:rsidRPr="002A2289">
        <w:rPr>
          <w:rFonts w:asciiTheme="majorHAnsi" w:hAnsiTheme="majorHAnsi" w:cs="Times New Roman"/>
          <w:color w:val="auto"/>
          <w:sz w:val="20"/>
          <w:szCs w:val="20"/>
        </w:rPr>
        <w:t>CNACAF indicated in its decision that “persons who were subjected to the release-under-surveilla</w:t>
      </w:r>
      <w:r w:rsidR="000A7A3E">
        <w:rPr>
          <w:rFonts w:asciiTheme="majorHAnsi" w:hAnsiTheme="majorHAnsi" w:cs="Times New Roman"/>
          <w:color w:val="auto"/>
          <w:sz w:val="20"/>
          <w:szCs w:val="20"/>
        </w:rPr>
        <w:t>nce regime prescribed by Law 21.</w:t>
      </w:r>
      <w:r w:rsidRPr="002A2289">
        <w:rPr>
          <w:rFonts w:asciiTheme="majorHAnsi" w:hAnsiTheme="majorHAnsi" w:cs="Times New Roman"/>
          <w:color w:val="auto"/>
          <w:sz w:val="20"/>
          <w:szCs w:val="20"/>
        </w:rPr>
        <w:t xml:space="preserve">650 were in a situation different from that of the </w:t>
      </w:r>
      <w:r w:rsidR="00407CFD" w:rsidRPr="002A2289">
        <w:rPr>
          <w:rFonts w:asciiTheme="majorHAnsi" w:hAnsiTheme="majorHAnsi" w:cs="Times New Roman"/>
          <w:color w:val="auto"/>
          <w:sz w:val="20"/>
          <w:szCs w:val="20"/>
        </w:rPr>
        <w:t>petitioner</w:t>
      </w:r>
      <w:r w:rsidRPr="002A2289">
        <w:rPr>
          <w:rFonts w:asciiTheme="majorHAnsi" w:hAnsiTheme="majorHAnsi" w:cs="Times New Roman"/>
          <w:color w:val="auto"/>
          <w:sz w:val="20"/>
          <w:szCs w:val="20"/>
        </w:rPr>
        <w:t xml:space="preserve">. Accordingly, from a legal standpoint, the Court did not find that the decision being challenged infringed the </w:t>
      </w:r>
      <w:r w:rsidRPr="002A2289">
        <w:rPr>
          <w:rFonts w:asciiTheme="majorHAnsi" w:hAnsiTheme="majorHAnsi" w:cs="Times New Roman"/>
          <w:color w:val="auto"/>
          <w:sz w:val="20"/>
          <w:szCs w:val="20"/>
        </w:rPr>
        <w:lastRenderedPageBreak/>
        <w:t>guarantee [of equal protection under the law],” “without prejudice to any assessment that might be made in the future, on the basis of those facts, by government authorities in exercise of their own powers.”</w:t>
      </w:r>
      <w:r w:rsidRPr="002A2289">
        <w:rPr>
          <w:rStyle w:val="FootnoteReference"/>
          <w:rFonts w:asciiTheme="majorHAnsi" w:hAnsiTheme="majorHAnsi" w:cs="Times New Roman"/>
          <w:color w:val="auto"/>
          <w:sz w:val="20"/>
          <w:szCs w:val="20"/>
        </w:rPr>
        <w:footnoteReference w:id="34"/>
      </w:r>
    </w:p>
    <w:p w14:paraId="1FE45C4D" w14:textId="77777777" w:rsidR="004948B8" w:rsidRPr="002A2289" w:rsidRDefault="004948B8" w:rsidP="004948B8">
      <w:pPr>
        <w:ind w:firstLine="720"/>
        <w:jc w:val="both"/>
        <w:rPr>
          <w:rFonts w:asciiTheme="majorHAnsi" w:hAnsiTheme="majorHAnsi"/>
          <w:sz w:val="20"/>
          <w:szCs w:val="20"/>
        </w:rPr>
      </w:pPr>
    </w:p>
    <w:p w14:paraId="16B5B1D8" w14:textId="6D87EFC2"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On April 22, 1999, Mr. Almeida filed a special appeal with the Supreme Court of Justice, challenging the CNACAF decision in a brief substantially equivalent to the appeal lodged with CNACAF.</w:t>
      </w:r>
      <w:r w:rsidRPr="002A2289">
        <w:rPr>
          <w:rStyle w:val="FootnoteReference"/>
          <w:rFonts w:asciiTheme="majorHAnsi" w:hAnsiTheme="majorHAnsi" w:cs="Times New Roman"/>
          <w:color w:val="auto"/>
          <w:sz w:val="20"/>
          <w:szCs w:val="20"/>
        </w:rPr>
        <w:footnoteReference w:id="35"/>
      </w:r>
      <w:r w:rsidRPr="002A2289">
        <w:rPr>
          <w:rFonts w:asciiTheme="majorHAnsi" w:hAnsiTheme="majorHAnsi" w:cs="Times New Roman"/>
          <w:color w:val="auto"/>
          <w:sz w:val="20"/>
          <w:szCs w:val="20"/>
        </w:rPr>
        <w:t xml:space="preserve"> He added that “he [had been] detained unlawfully, and because his situation was illegal, it [was] absurd to ask him to provide the written order that directed his release under surveillance; in this case, as in many others, the release under surveillance was the product of an ongoing threat to not only his own physical safety, but also to that of his immediate relatives, since it was a specific way of operating within the policy of unlawful repression, and not an isolated incident resulting from the actions of some members of the armed forces.” He contended that the CNACAF decision constituted a violation of his right to equal protection under the law “since situations that are essentially identical are being treated differently based on a narrow interpretation of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w:t>
      </w:r>
      <w:r w:rsidRPr="002A2289">
        <w:rPr>
          <w:rStyle w:val="FootnoteReference"/>
          <w:rFonts w:asciiTheme="majorHAnsi" w:hAnsiTheme="majorHAnsi" w:cs="Times New Roman"/>
          <w:color w:val="auto"/>
          <w:sz w:val="20"/>
          <w:szCs w:val="20"/>
        </w:rPr>
        <w:footnoteReference w:id="36"/>
      </w:r>
    </w:p>
    <w:p w14:paraId="537463F7" w14:textId="77777777" w:rsidR="004948B8" w:rsidRPr="002A2289" w:rsidRDefault="004948B8" w:rsidP="004948B8">
      <w:pPr>
        <w:pStyle w:val="ListParagraph"/>
        <w:ind w:firstLine="720"/>
        <w:rPr>
          <w:rFonts w:asciiTheme="majorHAnsi" w:hAnsiTheme="majorHAnsi" w:cs="Times New Roman"/>
          <w:color w:val="auto"/>
          <w:sz w:val="20"/>
          <w:szCs w:val="20"/>
        </w:rPr>
      </w:pPr>
    </w:p>
    <w:p w14:paraId="332BD2EC" w14:textId="12873734"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Regarding these alleged “essentially identically situations,” Mr. Almeida noted two types of cases. He first cited the Supreme Court decision in the case of </w:t>
      </w:r>
      <w:r w:rsidRPr="002A2289">
        <w:rPr>
          <w:rFonts w:asciiTheme="majorHAnsi" w:hAnsiTheme="majorHAnsi" w:cs="Times New Roman"/>
          <w:i/>
          <w:color w:val="auto"/>
          <w:sz w:val="20"/>
          <w:szCs w:val="20"/>
        </w:rPr>
        <w:t>Horacio José Noro</w:t>
      </w:r>
      <w:r w:rsidRPr="002A2289">
        <w:rPr>
          <w:rFonts w:asciiTheme="majorHAnsi" w:hAnsiTheme="majorHAnsi" w:cs="Times New Roman"/>
          <w:color w:val="auto"/>
          <w:sz w:val="20"/>
          <w:szCs w:val="20"/>
        </w:rPr>
        <w:t xml:space="preserve"> (1997), who “once the decree had been issued […] that overturned [his] arrest under [the Executive] […]was placed in a situation in which his personal liberty was limited;” this</w:t>
      </w:r>
      <w:r w:rsidR="000F6123">
        <w:rPr>
          <w:rFonts w:asciiTheme="majorHAnsi" w:hAnsiTheme="majorHAnsi" w:cs="Times New Roman"/>
          <w:color w:val="auto"/>
          <w:sz w:val="20"/>
          <w:szCs w:val="20"/>
        </w:rPr>
        <w:t xml:space="preserve"> was held to</w:t>
      </w:r>
      <w:r w:rsidRPr="002A2289">
        <w:rPr>
          <w:rFonts w:asciiTheme="majorHAnsi" w:hAnsiTheme="majorHAnsi" w:cs="Times New Roman"/>
          <w:color w:val="auto"/>
          <w:sz w:val="20"/>
          <w:szCs w:val="20"/>
        </w:rPr>
        <w:t xml:space="preserve"> fall under the conditions described in Article 4 of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 xml:space="preserve">, since, pursuant to his account and to the archives from the army command in the city of Paraná, </w:t>
      </w:r>
      <w:r w:rsidR="000F6123">
        <w:rPr>
          <w:rFonts w:asciiTheme="majorHAnsi" w:hAnsiTheme="majorHAnsi" w:cs="Times New Roman"/>
          <w:color w:val="auto"/>
          <w:sz w:val="20"/>
          <w:szCs w:val="20"/>
        </w:rPr>
        <w:t>Noro</w:t>
      </w:r>
      <w:r w:rsidRPr="002A2289">
        <w:rPr>
          <w:rFonts w:asciiTheme="majorHAnsi" w:hAnsiTheme="majorHAnsi" w:cs="Times New Roman"/>
          <w:color w:val="auto"/>
          <w:sz w:val="20"/>
          <w:szCs w:val="20"/>
        </w:rPr>
        <w:t xml:space="preserve"> was required to “request authorization—at least over the phone—when he was leaving the city, ‘indicating dates of departure and return, where he was going, and the vehicle in which he would be making the trip’.”</w:t>
      </w:r>
      <w:r w:rsidRPr="002A2289">
        <w:rPr>
          <w:rStyle w:val="FootnoteReference"/>
          <w:rFonts w:asciiTheme="majorHAnsi" w:hAnsiTheme="majorHAnsi" w:cs="Times New Roman"/>
          <w:color w:val="auto"/>
          <w:sz w:val="20"/>
          <w:szCs w:val="20"/>
        </w:rPr>
        <w:footnoteReference w:id="37"/>
      </w:r>
      <w:r w:rsidRPr="002A2289">
        <w:rPr>
          <w:rFonts w:asciiTheme="majorHAnsi" w:hAnsiTheme="majorHAnsi" w:cs="Times New Roman"/>
          <w:color w:val="auto"/>
          <w:sz w:val="20"/>
          <w:szCs w:val="20"/>
        </w:rPr>
        <w:t xml:space="preserve"> </w:t>
      </w:r>
      <w:r w:rsidR="000F6123">
        <w:rPr>
          <w:rFonts w:asciiTheme="majorHAnsi" w:hAnsiTheme="majorHAnsi" w:cs="Times New Roman"/>
          <w:color w:val="auto"/>
          <w:sz w:val="20"/>
          <w:szCs w:val="20"/>
        </w:rPr>
        <w:t>Given these facts</w:t>
      </w:r>
      <w:r w:rsidRPr="002A2289">
        <w:rPr>
          <w:rFonts w:asciiTheme="majorHAnsi" w:hAnsiTheme="majorHAnsi" w:cs="Times New Roman"/>
          <w:color w:val="auto"/>
          <w:sz w:val="20"/>
          <w:szCs w:val="20"/>
        </w:rPr>
        <w:t xml:space="preserve">, the Supreme Court stated: </w:t>
      </w:r>
    </w:p>
    <w:p w14:paraId="3347798F" w14:textId="77777777" w:rsidR="004948B8" w:rsidRPr="002A2289" w:rsidRDefault="004948B8" w:rsidP="004948B8">
      <w:pPr>
        <w:pStyle w:val="ListParagraph"/>
        <w:rPr>
          <w:rFonts w:asciiTheme="majorHAnsi" w:hAnsiTheme="majorHAnsi" w:cs="Times New Roman"/>
          <w:color w:val="auto"/>
          <w:sz w:val="20"/>
          <w:szCs w:val="20"/>
        </w:rPr>
      </w:pPr>
    </w:p>
    <w:p w14:paraId="580F23E9" w14:textId="427C9BEA" w:rsidR="004948B8" w:rsidRPr="002A2289" w:rsidRDefault="004948B8" w:rsidP="004948B8">
      <w:pPr>
        <w:pStyle w:val="ListParagraph"/>
        <w:ind w:right="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The aim of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 xml:space="preserve"> was to grant financial compensation to persons deprived of the constitutional right to liberty, not by virtue of an order by a competent authority, but rather pursuant to unlawful acts—whatever their formal expression—which emanated in certain circumstances from military tribunals and from those who exercised [the Executive authority of the Nation] during the last </w:t>
      </w:r>
      <w:r w:rsidRPr="002A2289">
        <w:rPr>
          <w:rFonts w:asciiTheme="majorHAnsi" w:hAnsiTheme="majorHAnsi" w:cs="Times New Roman"/>
          <w:i/>
          <w:color w:val="auto"/>
          <w:sz w:val="20"/>
          <w:szCs w:val="20"/>
        </w:rPr>
        <w:t>de facto</w:t>
      </w:r>
      <w:r w:rsidRPr="002A2289">
        <w:rPr>
          <w:rFonts w:asciiTheme="majorHAnsi" w:hAnsiTheme="majorHAnsi" w:cs="Times New Roman"/>
          <w:color w:val="auto"/>
          <w:sz w:val="20"/>
          <w:szCs w:val="20"/>
        </w:rPr>
        <w:t xml:space="preserve"> government. Essentially, it is not the form the act of authority took—and even less so its adherence to the requirements of Article 5 of Law 21</w:t>
      </w:r>
      <w:r w:rsidR="000F6123">
        <w:rPr>
          <w:rFonts w:asciiTheme="majorHAnsi" w:hAnsiTheme="majorHAnsi" w:cs="Times New Roman"/>
          <w:color w:val="auto"/>
          <w:sz w:val="20"/>
          <w:szCs w:val="20"/>
        </w:rPr>
        <w:t>.</w:t>
      </w:r>
      <w:r w:rsidRPr="002A2289">
        <w:rPr>
          <w:rFonts w:asciiTheme="majorHAnsi" w:hAnsiTheme="majorHAnsi" w:cs="Times New Roman"/>
          <w:color w:val="auto"/>
          <w:sz w:val="20"/>
          <w:szCs w:val="20"/>
        </w:rPr>
        <w:t xml:space="preserve">650—but rather the evidence of the effective impairment of liberty in the different degrees provided for under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w:t>
      </w:r>
    </w:p>
    <w:p w14:paraId="57E18DFD" w14:textId="77777777" w:rsidR="004948B8" w:rsidRPr="002A2289" w:rsidRDefault="004948B8" w:rsidP="004948B8">
      <w:pPr>
        <w:pStyle w:val="ListParagraph"/>
        <w:ind w:right="720"/>
        <w:jc w:val="both"/>
        <w:rPr>
          <w:rFonts w:asciiTheme="majorHAnsi" w:hAnsiTheme="majorHAnsi" w:cs="Times New Roman"/>
          <w:color w:val="auto"/>
          <w:sz w:val="20"/>
          <w:szCs w:val="20"/>
        </w:rPr>
      </w:pPr>
    </w:p>
    <w:p w14:paraId="031115C7" w14:textId="76331DD3" w:rsidR="004948B8" w:rsidRPr="002A2289" w:rsidRDefault="004948B8" w:rsidP="004948B8">
      <w:pPr>
        <w:pStyle w:val="ListParagraph"/>
        <w:ind w:right="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In light of the fact that the aim was</w:t>
      </w:r>
      <w:r w:rsidR="00553BA9" w:rsidRPr="002A2289">
        <w:rPr>
          <w:rFonts w:asciiTheme="majorHAnsi" w:hAnsiTheme="majorHAnsi" w:cs="Times New Roman"/>
          <w:color w:val="auto"/>
          <w:sz w:val="20"/>
          <w:szCs w:val="20"/>
        </w:rPr>
        <w:t xml:space="preserve"> fairness and justice, and given that the law contains no definition whatsoever, it is fitting to include under the construct of “release under surveillance,” both the cases that were in line with the government regulations themselves, as well as those others in which the person was subject to a situation of control and </w:t>
      </w:r>
      <w:r w:rsidR="0045460C" w:rsidRPr="002A2289">
        <w:rPr>
          <w:rFonts w:asciiTheme="majorHAnsi" w:hAnsiTheme="majorHAnsi" w:cs="Times New Roman"/>
          <w:color w:val="auto"/>
          <w:sz w:val="20"/>
          <w:szCs w:val="20"/>
        </w:rPr>
        <w:t>powerlessness</w:t>
      </w:r>
      <w:r w:rsidR="00553BA9" w:rsidRPr="002A2289">
        <w:rPr>
          <w:rFonts w:asciiTheme="majorHAnsi" w:hAnsiTheme="majorHAnsi" w:cs="Times New Roman"/>
          <w:color w:val="auto"/>
          <w:sz w:val="20"/>
          <w:szCs w:val="20"/>
        </w:rPr>
        <w:t xml:space="preserve"> without guarantees—or without full enjoyment of guarantees—verifiable in the facts, that represented a comparable impairment of their liberty</w:t>
      </w:r>
      <w:r w:rsidRPr="002A2289">
        <w:rPr>
          <w:rFonts w:asciiTheme="majorHAnsi" w:hAnsiTheme="majorHAnsi" w:cs="Times New Roman"/>
          <w:color w:val="auto"/>
          <w:sz w:val="20"/>
          <w:szCs w:val="20"/>
        </w:rPr>
        <w:t>.</w:t>
      </w:r>
      <w:r w:rsidRPr="002A2289">
        <w:rPr>
          <w:rStyle w:val="FootnoteReference"/>
          <w:rFonts w:asciiTheme="majorHAnsi" w:hAnsiTheme="majorHAnsi" w:cs="Times New Roman"/>
          <w:color w:val="auto"/>
          <w:sz w:val="20"/>
          <w:szCs w:val="20"/>
        </w:rPr>
        <w:footnoteReference w:id="38"/>
      </w:r>
    </w:p>
    <w:p w14:paraId="417D383A" w14:textId="77777777" w:rsidR="004948B8" w:rsidRPr="002A2289" w:rsidRDefault="004948B8" w:rsidP="004948B8">
      <w:pPr>
        <w:pStyle w:val="ListParagraph"/>
        <w:rPr>
          <w:rFonts w:asciiTheme="majorHAnsi" w:hAnsiTheme="majorHAnsi"/>
          <w:color w:val="auto"/>
          <w:sz w:val="20"/>
          <w:szCs w:val="20"/>
        </w:rPr>
      </w:pPr>
    </w:p>
    <w:p w14:paraId="7BE2E71B" w14:textId="71D4F1A3"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The State, for its part, </w:t>
      </w:r>
      <w:r w:rsidR="000F6123">
        <w:rPr>
          <w:rFonts w:asciiTheme="majorHAnsi" w:hAnsiTheme="majorHAnsi" w:cs="Times New Roman"/>
          <w:color w:val="auto"/>
          <w:sz w:val="20"/>
          <w:szCs w:val="20"/>
        </w:rPr>
        <w:t>argued</w:t>
      </w:r>
      <w:r w:rsidRPr="002A2289">
        <w:rPr>
          <w:rFonts w:asciiTheme="majorHAnsi" w:hAnsiTheme="majorHAnsi" w:cs="Times New Roman"/>
          <w:color w:val="auto"/>
          <w:sz w:val="20"/>
          <w:szCs w:val="20"/>
        </w:rPr>
        <w:t xml:space="preserve"> that the </w:t>
      </w:r>
      <w:r w:rsidRPr="002A2289">
        <w:rPr>
          <w:rFonts w:asciiTheme="majorHAnsi" w:hAnsiTheme="majorHAnsi" w:cs="Times New Roman"/>
          <w:i/>
          <w:color w:val="auto"/>
          <w:sz w:val="20"/>
          <w:szCs w:val="20"/>
        </w:rPr>
        <w:t>Noro</w:t>
      </w:r>
      <w:r w:rsidRPr="002A2289">
        <w:rPr>
          <w:rFonts w:asciiTheme="majorHAnsi" w:hAnsiTheme="majorHAnsi" w:cs="Times New Roman"/>
          <w:color w:val="auto"/>
          <w:sz w:val="20"/>
          <w:szCs w:val="20"/>
        </w:rPr>
        <w:t xml:space="preserve"> case was not comparable to this case, both because the specific facts are different and because of the nature of the evidence furnished. Specifically, the State noted that in </w:t>
      </w:r>
      <w:r w:rsidRPr="002A2289">
        <w:rPr>
          <w:rFonts w:asciiTheme="majorHAnsi" w:hAnsiTheme="majorHAnsi" w:cs="Times New Roman"/>
          <w:i/>
          <w:color w:val="auto"/>
          <w:sz w:val="20"/>
          <w:szCs w:val="20"/>
        </w:rPr>
        <w:t>Noro</w:t>
      </w:r>
      <w:r w:rsidRPr="002A2289">
        <w:rPr>
          <w:rFonts w:asciiTheme="majorHAnsi" w:hAnsiTheme="majorHAnsi" w:cs="Times New Roman"/>
          <w:color w:val="auto"/>
          <w:sz w:val="20"/>
          <w:szCs w:val="20"/>
        </w:rPr>
        <w:t xml:space="preserve"> “the requirement to produce the specific administrative order was dispensed with and instead, the evidence contained in court documents was taken into consideration to establish the veracity of claims of restrictions on liberty outside the types expressly covered in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 In the Almeida case, however, “not only was there no formal or express order to mitigate the terms of detention imposed via a specific administrative order, no evidence at all was provided—at any level—beyond [Mr. Almeida’s] own accounts, that he had been subjected to any restriction of his liberty […]”</w:t>
      </w:r>
      <w:r w:rsidRPr="002A2289">
        <w:rPr>
          <w:rStyle w:val="FootnoteReference"/>
          <w:rFonts w:asciiTheme="majorHAnsi" w:hAnsiTheme="majorHAnsi" w:cs="Times New Roman"/>
          <w:color w:val="auto"/>
          <w:sz w:val="20"/>
          <w:szCs w:val="20"/>
        </w:rPr>
        <w:footnoteReference w:id="39"/>
      </w:r>
    </w:p>
    <w:p w14:paraId="4AC8E614" w14:textId="77777777" w:rsidR="004948B8" w:rsidRPr="002A2289" w:rsidRDefault="004948B8" w:rsidP="004948B8">
      <w:pPr>
        <w:ind w:firstLine="720"/>
        <w:jc w:val="both"/>
        <w:rPr>
          <w:rFonts w:asciiTheme="majorHAnsi" w:hAnsiTheme="majorHAnsi"/>
          <w:sz w:val="20"/>
          <w:szCs w:val="20"/>
        </w:rPr>
      </w:pPr>
    </w:p>
    <w:p w14:paraId="182F5D11" w14:textId="3FE9BEE4"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lastRenderedPageBreak/>
        <w:t xml:space="preserve">In this connection, the State emphasized the lack of sufficient evidence to support Mr. Almeida’s allegations in the legal proceeding. It noted that the “alleged situation of ‘informal release under surveillance’ indeed could have been investigated and settled </w:t>
      </w:r>
      <w:r w:rsidR="000F6123">
        <w:rPr>
          <w:rFonts w:asciiTheme="majorHAnsi" w:hAnsiTheme="majorHAnsi" w:cs="Times New Roman"/>
          <w:color w:val="auto"/>
          <w:sz w:val="20"/>
          <w:szCs w:val="20"/>
        </w:rPr>
        <w:t>in the course of the proceeding</w:t>
      </w:r>
      <w:r w:rsidR="00D30662" w:rsidRPr="002A2289">
        <w:rPr>
          <w:rFonts w:asciiTheme="majorHAnsi" w:hAnsiTheme="majorHAnsi" w:cs="Times New Roman"/>
          <w:color w:val="auto"/>
          <w:sz w:val="20"/>
          <w:szCs w:val="20"/>
        </w:rPr>
        <w:t xml:space="preserve"> under</w:t>
      </w:r>
      <w:r w:rsidRPr="002A2289">
        <w:rPr>
          <w:rFonts w:asciiTheme="majorHAnsi" w:hAnsiTheme="majorHAnsi" w:cs="Times New Roman"/>
          <w:color w:val="auto"/>
          <w:sz w:val="20"/>
          <w:szCs w:val="20"/>
        </w:rPr>
        <w:t xml:space="preserve">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 which would have allowed for the presentation of all sorts of evidence</w:t>
      </w:r>
      <w:r w:rsidR="000F6123">
        <w:rPr>
          <w:rFonts w:asciiTheme="majorHAnsi" w:hAnsiTheme="majorHAnsi" w:cs="Times New Roman"/>
          <w:color w:val="auto"/>
          <w:sz w:val="20"/>
          <w:szCs w:val="20"/>
        </w:rPr>
        <w:t xml:space="preserve"> to prove the existence of </w:t>
      </w:r>
      <w:r w:rsidR="00E730C9">
        <w:rPr>
          <w:rFonts w:asciiTheme="majorHAnsi" w:hAnsiTheme="majorHAnsi" w:cs="Times New Roman"/>
          <w:color w:val="auto"/>
          <w:sz w:val="20"/>
          <w:szCs w:val="20"/>
        </w:rPr>
        <w:t>said situation</w:t>
      </w:r>
      <w:r w:rsidRPr="002A2289">
        <w:rPr>
          <w:rFonts w:asciiTheme="majorHAnsi" w:hAnsiTheme="majorHAnsi" w:cs="Times New Roman"/>
          <w:color w:val="auto"/>
          <w:sz w:val="20"/>
          <w:szCs w:val="20"/>
        </w:rPr>
        <w:t>.”</w:t>
      </w:r>
      <w:r w:rsidRPr="002A2289">
        <w:rPr>
          <w:rStyle w:val="FootnoteReference"/>
          <w:rFonts w:asciiTheme="majorHAnsi" w:hAnsiTheme="majorHAnsi" w:cs="Times New Roman"/>
          <w:color w:val="auto"/>
          <w:sz w:val="20"/>
          <w:szCs w:val="20"/>
        </w:rPr>
        <w:footnoteReference w:id="40"/>
      </w:r>
      <w:r w:rsidRPr="002A2289">
        <w:rPr>
          <w:rFonts w:asciiTheme="majorHAnsi" w:hAnsiTheme="majorHAnsi" w:cs="Times New Roman"/>
          <w:color w:val="auto"/>
          <w:sz w:val="20"/>
          <w:szCs w:val="20"/>
        </w:rPr>
        <w:t xml:space="preserve"> Accordingly, the State alleged “that the case had failed to prove to the competent authorities—administrative and legal—that Mr. Almeida had effectively been subject to the “release under surveillance” he was alleging, and that his witness statement alone—given in another case—was not suitable and/or sufficient for endorsing payment of the financial compensation sought by the petitioner.”</w:t>
      </w:r>
      <w:r w:rsidRPr="002A2289">
        <w:rPr>
          <w:rStyle w:val="FootnoteReference"/>
          <w:rFonts w:asciiTheme="majorHAnsi" w:hAnsiTheme="majorHAnsi" w:cs="Times New Roman"/>
          <w:color w:val="auto"/>
          <w:sz w:val="20"/>
          <w:szCs w:val="20"/>
        </w:rPr>
        <w:footnoteReference w:id="41"/>
      </w:r>
    </w:p>
    <w:p w14:paraId="6C1219CF" w14:textId="77777777" w:rsidR="004948B8" w:rsidRPr="002A2289" w:rsidRDefault="004948B8" w:rsidP="004948B8">
      <w:pPr>
        <w:ind w:firstLine="720"/>
        <w:jc w:val="both"/>
        <w:rPr>
          <w:rFonts w:asciiTheme="majorHAnsi" w:hAnsiTheme="majorHAnsi"/>
          <w:sz w:val="20"/>
          <w:szCs w:val="20"/>
        </w:rPr>
      </w:pPr>
    </w:p>
    <w:p w14:paraId="0D7502BA" w14:textId="2CBE5525" w:rsidR="004948B8" w:rsidRPr="002A2289" w:rsidRDefault="004948B8" w:rsidP="004948B8">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Secondly, Mr. Almeida cited CNACAF and CSJN cases of persons who had been detained and subsequently escaped or were </w:t>
      </w:r>
      <w:r w:rsidR="00124864" w:rsidRPr="002A2289">
        <w:rPr>
          <w:rFonts w:asciiTheme="majorHAnsi" w:hAnsiTheme="majorHAnsi" w:cs="Times New Roman"/>
          <w:color w:val="auto"/>
          <w:sz w:val="20"/>
          <w:szCs w:val="20"/>
        </w:rPr>
        <w:t>exiled</w:t>
      </w:r>
      <w:r w:rsidRPr="002A2289">
        <w:rPr>
          <w:rFonts w:asciiTheme="majorHAnsi" w:hAnsiTheme="majorHAnsi" w:cs="Times New Roman"/>
          <w:color w:val="auto"/>
          <w:sz w:val="20"/>
          <w:szCs w:val="20"/>
        </w:rPr>
        <w:t xml:space="preserve"> from Argentine territory—even though they had no order from the Executive to that effect—and remained in exile until their respective cases were resolved.</w:t>
      </w:r>
      <w:r w:rsidRPr="002A2289">
        <w:rPr>
          <w:rStyle w:val="FootnoteReference"/>
          <w:rFonts w:asciiTheme="majorHAnsi" w:hAnsiTheme="majorHAnsi" w:cs="Times New Roman"/>
          <w:color w:val="auto"/>
          <w:sz w:val="20"/>
          <w:szCs w:val="20"/>
        </w:rPr>
        <w:footnoteReference w:id="42"/>
      </w:r>
      <w:r w:rsidRPr="002A2289">
        <w:rPr>
          <w:rFonts w:asciiTheme="majorHAnsi" w:hAnsiTheme="majorHAnsi" w:cs="Times New Roman"/>
          <w:color w:val="auto"/>
          <w:sz w:val="20"/>
          <w:szCs w:val="20"/>
        </w:rPr>
        <w:t xml:space="preserve"> The cases in question </w:t>
      </w:r>
      <w:r w:rsidR="00E730C9">
        <w:rPr>
          <w:rFonts w:asciiTheme="majorHAnsi" w:hAnsiTheme="majorHAnsi" w:cs="Times New Roman"/>
          <w:color w:val="auto"/>
          <w:sz w:val="20"/>
          <w:szCs w:val="20"/>
        </w:rPr>
        <w:t>used generous criteria</w:t>
      </w:r>
      <w:r w:rsidRPr="002A2289">
        <w:rPr>
          <w:rFonts w:asciiTheme="majorHAnsi" w:hAnsiTheme="majorHAnsi" w:cs="Times New Roman"/>
          <w:color w:val="auto"/>
          <w:sz w:val="20"/>
          <w:szCs w:val="20"/>
        </w:rPr>
        <w:t xml:space="preserve"> to </w:t>
      </w:r>
      <w:r w:rsidR="00E730C9">
        <w:rPr>
          <w:rFonts w:asciiTheme="majorHAnsi" w:hAnsiTheme="majorHAnsi" w:cs="Times New Roman"/>
          <w:color w:val="auto"/>
          <w:sz w:val="20"/>
          <w:szCs w:val="20"/>
        </w:rPr>
        <w:t>grant</w:t>
      </w:r>
      <w:r w:rsidRPr="002A2289">
        <w:rPr>
          <w:rFonts w:asciiTheme="majorHAnsi" w:hAnsiTheme="majorHAnsi" w:cs="Times New Roman"/>
          <w:color w:val="auto"/>
          <w:sz w:val="20"/>
          <w:szCs w:val="20"/>
        </w:rPr>
        <w:t xml:space="preserve"> compensation, bearing in mind that the aim of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 xml:space="preserve"> “was to grant financial compensation to persons deprived of the constitutional right to liberty based on unlawful acts—whatever their formal expression—which emanated, in certain circumstances, from military tribunals or from those who exercised the [Executive authority of the Nation] during the last </w:t>
      </w:r>
      <w:r w:rsidRPr="002A2289">
        <w:rPr>
          <w:rFonts w:asciiTheme="majorHAnsi" w:hAnsiTheme="majorHAnsi" w:cs="Times New Roman"/>
          <w:i/>
          <w:color w:val="auto"/>
          <w:sz w:val="20"/>
          <w:szCs w:val="20"/>
        </w:rPr>
        <w:t>de facto</w:t>
      </w:r>
      <w:r w:rsidRPr="002A2289">
        <w:rPr>
          <w:rFonts w:asciiTheme="majorHAnsi" w:hAnsiTheme="majorHAnsi" w:cs="Times New Roman"/>
          <w:color w:val="auto"/>
          <w:sz w:val="20"/>
          <w:szCs w:val="20"/>
        </w:rPr>
        <w:t xml:space="preserve"> government.”</w:t>
      </w:r>
      <w:r w:rsidRPr="002A2289">
        <w:rPr>
          <w:rStyle w:val="FootnoteReference"/>
          <w:rFonts w:asciiTheme="majorHAnsi" w:hAnsiTheme="majorHAnsi" w:cs="Times New Roman"/>
          <w:color w:val="auto"/>
          <w:sz w:val="20"/>
          <w:szCs w:val="20"/>
        </w:rPr>
        <w:footnoteReference w:id="43"/>
      </w:r>
    </w:p>
    <w:p w14:paraId="5CF65C08" w14:textId="77777777" w:rsidR="004948B8" w:rsidRPr="002A2289" w:rsidRDefault="004948B8" w:rsidP="004948B8">
      <w:pPr>
        <w:pStyle w:val="ListParagraph"/>
        <w:ind w:firstLine="720"/>
        <w:rPr>
          <w:rFonts w:asciiTheme="majorHAnsi" w:hAnsiTheme="majorHAnsi" w:cs="Times New Roman"/>
          <w:color w:val="auto"/>
          <w:sz w:val="20"/>
          <w:szCs w:val="20"/>
        </w:rPr>
      </w:pPr>
    </w:p>
    <w:p w14:paraId="72357D2A" w14:textId="2A68E40F" w:rsidR="004948B8" w:rsidRPr="002A2289" w:rsidRDefault="004948B8" w:rsidP="004948B8">
      <w:pPr>
        <w:pStyle w:val="ListParagraph"/>
        <w:numPr>
          <w:ilvl w:val="0"/>
          <w:numId w:val="55"/>
        </w:numPr>
        <w:ind w:left="0" w:firstLine="720"/>
        <w:jc w:val="both"/>
        <w:rPr>
          <w:rFonts w:asciiTheme="majorHAnsi" w:hAnsiTheme="majorHAnsi"/>
          <w:color w:val="auto"/>
          <w:sz w:val="20"/>
          <w:szCs w:val="20"/>
        </w:rPr>
      </w:pPr>
      <w:r w:rsidRPr="002A2289">
        <w:rPr>
          <w:rFonts w:asciiTheme="majorHAnsi" w:hAnsiTheme="majorHAnsi" w:cs="Times New Roman"/>
          <w:color w:val="auto"/>
          <w:sz w:val="20"/>
          <w:szCs w:val="20"/>
        </w:rPr>
        <w:t xml:space="preserve">The State, for its part, emphasized the factual differences between the </w:t>
      </w:r>
      <w:r w:rsidRPr="002A2289">
        <w:rPr>
          <w:rFonts w:asciiTheme="majorHAnsi" w:hAnsiTheme="majorHAnsi" w:cs="Times New Roman"/>
          <w:i/>
          <w:color w:val="auto"/>
          <w:sz w:val="20"/>
          <w:szCs w:val="20"/>
        </w:rPr>
        <w:t>Bufano</w:t>
      </w:r>
      <w:r w:rsidRPr="002A2289">
        <w:rPr>
          <w:rFonts w:asciiTheme="majorHAnsi" w:hAnsiTheme="majorHAnsi" w:cs="Times New Roman"/>
          <w:color w:val="auto"/>
          <w:sz w:val="20"/>
          <w:szCs w:val="20"/>
        </w:rPr>
        <w:t xml:space="preserve"> case and the other cases of exile and Mr. Almeida’s case; the specificity of the opinion issued by the Office of the Inspector General of the Nation, which cites the Court in </w:t>
      </w:r>
      <w:proofErr w:type="spellStart"/>
      <w:r w:rsidRPr="002A2289">
        <w:rPr>
          <w:rFonts w:asciiTheme="majorHAnsi" w:hAnsiTheme="majorHAnsi" w:cs="Times New Roman"/>
          <w:i/>
          <w:color w:val="auto"/>
          <w:sz w:val="20"/>
          <w:szCs w:val="20"/>
        </w:rPr>
        <w:t>Bufano</w:t>
      </w:r>
      <w:proofErr w:type="spellEnd"/>
      <w:r w:rsidRPr="002A2289">
        <w:rPr>
          <w:rFonts w:asciiTheme="majorHAnsi" w:hAnsiTheme="majorHAnsi" w:cs="Times New Roman"/>
          <w:color w:val="auto"/>
          <w:sz w:val="20"/>
          <w:szCs w:val="20"/>
        </w:rPr>
        <w:t xml:space="preserve">, </w:t>
      </w:r>
      <w:r w:rsidR="00E730C9">
        <w:rPr>
          <w:rFonts w:asciiTheme="majorHAnsi" w:hAnsiTheme="majorHAnsi" w:cs="Times New Roman"/>
          <w:color w:val="auto"/>
          <w:sz w:val="20"/>
          <w:szCs w:val="20"/>
        </w:rPr>
        <w:t>stating</w:t>
      </w:r>
      <w:r w:rsidRPr="002A2289">
        <w:rPr>
          <w:rFonts w:asciiTheme="majorHAnsi" w:hAnsiTheme="majorHAnsi" w:cs="Times New Roman"/>
          <w:color w:val="auto"/>
          <w:sz w:val="20"/>
          <w:szCs w:val="20"/>
        </w:rPr>
        <w:t xml:space="preserve"> “each case should be subject to a detailed individual examination because no two cases are exactly identical, factually speaking;” and that the facts of the </w:t>
      </w:r>
      <w:r w:rsidRPr="002A2289">
        <w:rPr>
          <w:rFonts w:asciiTheme="majorHAnsi" w:hAnsiTheme="majorHAnsi" w:cs="Times New Roman"/>
          <w:i/>
          <w:color w:val="auto"/>
          <w:sz w:val="20"/>
          <w:szCs w:val="20"/>
        </w:rPr>
        <w:t>Bufano</w:t>
      </w:r>
      <w:r w:rsidRPr="002A2289">
        <w:rPr>
          <w:rFonts w:asciiTheme="majorHAnsi" w:hAnsiTheme="majorHAnsi" w:cs="Times New Roman"/>
          <w:color w:val="auto"/>
          <w:sz w:val="20"/>
          <w:szCs w:val="20"/>
        </w:rPr>
        <w:t xml:space="preserve"> case “were more than sufficiently substantiated in those court documents; this is what the judge drew on to apply the provisions of </w:t>
      </w:r>
      <w:r w:rsidR="00786D79">
        <w:rPr>
          <w:rFonts w:asciiTheme="majorHAnsi" w:hAnsiTheme="majorHAnsi" w:cs="Times New Roman"/>
          <w:color w:val="auto"/>
          <w:sz w:val="20"/>
          <w:szCs w:val="20"/>
        </w:rPr>
        <w:t>Law 24.043</w:t>
      </w:r>
      <w:r w:rsidRPr="002A2289">
        <w:rPr>
          <w:rFonts w:asciiTheme="majorHAnsi" w:hAnsiTheme="majorHAnsi"/>
          <w:color w:val="auto"/>
          <w:sz w:val="20"/>
          <w:szCs w:val="20"/>
        </w:rPr>
        <w:t>.”</w:t>
      </w:r>
      <w:r w:rsidRPr="002A2289">
        <w:rPr>
          <w:rStyle w:val="FootnoteReference"/>
          <w:rFonts w:asciiTheme="majorHAnsi" w:hAnsiTheme="majorHAnsi"/>
          <w:color w:val="auto"/>
          <w:sz w:val="20"/>
          <w:szCs w:val="20"/>
        </w:rPr>
        <w:footnoteReference w:id="44"/>
      </w:r>
      <w:r w:rsidRPr="002A2289">
        <w:rPr>
          <w:rFonts w:asciiTheme="majorHAnsi" w:hAnsiTheme="majorHAnsi"/>
          <w:color w:val="auto"/>
          <w:sz w:val="20"/>
          <w:szCs w:val="20"/>
        </w:rPr>
        <w:t xml:space="preserve"> </w:t>
      </w:r>
    </w:p>
    <w:p w14:paraId="090FA16F" w14:textId="77777777" w:rsidR="004948B8" w:rsidRPr="002A2289" w:rsidRDefault="004948B8" w:rsidP="004948B8">
      <w:pPr>
        <w:ind w:firstLine="720"/>
        <w:jc w:val="both"/>
        <w:rPr>
          <w:rFonts w:asciiTheme="majorHAnsi" w:hAnsiTheme="majorHAnsi"/>
          <w:sz w:val="20"/>
          <w:szCs w:val="20"/>
        </w:rPr>
      </w:pPr>
    </w:p>
    <w:p w14:paraId="37B0C577" w14:textId="77777777" w:rsidR="004948B8" w:rsidRPr="002A2289" w:rsidRDefault="004948B8" w:rsidP="004948B8">
      <w:pPr>
        <w:pStyle w:val="ListParagraph"/>
        <w:numPr>
          <w:ilvl w:val="0"/>
          <w:numId w:val="55"/>
        </w:numPr>
        <w:ind w:left="0" w:firstLine="720"/>
        <w:jc w:val="both"/>
        <w:rPr>
          <w:rFonts w:asciiTheme="majorHAnsi" w:hAnsiTheme="majorHAnsi"/>
          <w:color w:val="auto"/>
          <w:sz w:val="20"/>
          <w:szCs w:val="20"/>
        </w:rPr>
      </w:pPr>
      <w:r w:rsidRPr="002A2289">
        <w:rPr>
          <w:rFonts w:asciiTheme="majorHAnsi" w:hAnsiTheme="majorHAnsi" w:cs="Times New Roman"/>
          <w:color w:val="auto"/>
          <w:sz w:val="20"/>
          <w:szCs w:val="20"/>
        </w:rPr>
        <w:t>The special appeal was denied on June 8, 1999, as it did not prove an exception</w:t>
      </w:r>
      <w:r w:rsidR="006907E8" w:rsidRPr="002A2289">
        <w:rPr>
          <w:rFonts w:asciiTheme="majorHAnsi" w:hAnsiTheme="majorHAnsi" w:cs="Times New Roman"/>
          <w:color w:val="auto"/>
          <w:sz w:val="20"/>
          <w:szCs w:val="20"/>
        </w:rPr>
        <w:t>al</w:t>
      </w:r>
      <w:r w:rsidRPr="002A2289">
        <w:rPr>
          <w:rFonts w:asciiTheme="majorHAnsi" w:hAnsiTheme="majorHAnsi" w:cs="Times New Roman"/>
          <w:color w:val="auto"/>
          <w:sz w:val="20"/>
          <w:szCs w:val="20"/>
        </w:rPr>
        <w:t xml:space="preserve"> </w:t>
      </w:r>
      <w:r w:rsidR="006907E8" w:rsidRPr="002A2289">
        <w:rPr>
          <w:rFonts w:asciiTheme="majorHAnsi" w:hAnsiTheme="majorHAnsi" w:cs="Times New Roman"/>
          <w:color w:val="auto"/>
          <w:sz w:val="20"/>
          <w:szCs w:val="20"/>
        </w:rPr>
        <w:t xml:space="preserve">situation “in which </w:t>
      </w:r>
      <w:r w:rsidRPr="002A2289">
        <w:rPr>
          <w:rFonts w:asciiTheme="majorHAnsi" w:hAnsiTheme="majorHAnsi" w:cs="Times New Roman"/>
          <w:color w:val="auto"/>
          <w:sz w:val="20"/>
          <w:szCs w:val="20"/>
        </w:rPr>
        <w:t xml:space="preserve">the </w:t>
      </w:r>
      <w:r w:rsidR="006907E8" w:rsidRPr="002A2289">
        <w:rPr>
          <w:rFonts w:asciiTheme="majorHAnsi" w:hAnsiTheme="majorHAnsi" w:cs="Times New Roman"/>
          <w:color w:val="auto"/>
          <w:sz w:val="20"/>
          <w:szCs w:val="20"/>
        </w:rPr>
        <w:t xml:space="preserve">judgment’s </w:t>
      </w:r>
      <w:r w:rsidRPr="002A2289">
        <w:rPr>
          <w:rFonts w:asciiTheme="majorHAnsi" w:hAnsiTheme="majorHAnsi" w:cs="Times New Roman"/>
          <w:color w:val="auto"/>
          <w:sz w:val="20"/>
          <w:szCs w:val="20"/>
        </w:rPr>
        <w:t>reasoning was based</w:t>
      </w:r>
      <w:r w:rsidR="006907E8" w:rsidRPr="002A2289">
        <w:rPr>
          <w:rFonts w:asciiTheme="majorHAnsi" w:hAnsiTheme="majorHAnsi" w:cs="Times New Roman"/>
          <w:color w:val="auto"/>
          <w:sz w:val="20"/>
          <w:szCs w:val="20"/>
        </w:rPr>
        <w:t xml:space="preserve"> on faulty logic</w:t>
      </w:r>
      <w:r w:rsidRPr="002A2289">
        <w:rPr>
          <w:rFonts w:asciiTheme="majorHAnsi" w:hAnsiTheme="majorHAnsi" w:cs="Times New Roman"/>
          <w:color w:val="auto"/>
          <w:sz w:val="20"/>
          <w:szCs w:val="20"/>
        </w:rPr>
        <w:t xml:space="preserve"> or a clear lack of legal grounds, </w:t>
      </w:r>
      <w:r w:rsidR="00956EBC" w:rsidRPr="002A2289">
        <w:rPr>
          <w:rFonts w:asciiTheme="majorHAnsi" w:hAnsiTheme="majorHAnsi" w:cs="Times New Roman"/>
          <w:color w:val="auto"/>
          <w:sz w:val="20"/>
          <w:szCs w:val="20"/>
        </w:rPr>
        <w:t xml:space="preserve">which </w:t>
      </w:r>
      <w:r w:rsidR="006907E8" w:rsidRPr="002A2289">
        <w:rPr>
          <w:rFonts w:asciiTheme="majorHAnsi" w:hAnsiTheme="majorHAnsi" w:cs="Times New Roman"/>
          <w:color w:val="auto"/>
          <w:sz w:val="20"/>
          <w:szCs w:val="20"/>
        </w:rPr>
        <w:t xml:space="preserve">would </w:t>
      </w:r>
      <w:r w:rsidR="00956EBC" w:rsidRPr="002A2289">
        <w:rPr>
          <w:rFonts w:asciiTheme="majorHAnsi" w:hAnsiTheme="majorHAnsi" w:cs="Times New Roman"/>
          <w:color w:val="auto"/>
          <w:sz w:val="20"/>
          <w:szCs w:val="20"/>
        </w:rPr>
        <w:t>have made</w:t>
      </w:r>
      <w:r w:rsidRPr="002A2289">
        <w:rPr>
          <w:rFonts w:asciiTheme="majorHAnsi" w:hAnsiTheme="majorHAnsi" w:cs="Times New Roman"/>
          <w:color w:val="auto"/>
          <w:sz w:val="20"/>
          <w:szCs w:val="20"/>
        </w:rPr>
        <w:t xml:space="preserve"> it impossible to co</w:t>
      </w:r>
      <w:r w:rsidR="006907E8" w:rsidRPr="002A2289">
        <w:rPr>
          <w:rFonts w:asciiTheme="majorHAnsi" w:hAnsiTheme="majorHAnsi" w:cs="Times New Roman"/>
          <w:color w:val="auto"/>
          <w:sz w:val="20"/>
          <w:szCs w:val="20"/>
        </w:rPr>
        <w:t xml:space="preserve">nsider the appealed decision </w:t>
      </w:r>
      <w:r w:rsidRPr="002A2289">
        <w:rPr>
          <w:rFonts w:asciiTheme="majorHAnsi" w:hAnsiTheme="majorHAnsi" w:cs="Times New Roman"/>
          <w:color w:val="auto"/>
          <w:sz w:val="20"/>
          <w:szCs w:val="20"/>
        </w:rPr>
        <w:t>a valid legal act.”</w:t>
      </w:r>
      <w:r w:rsidRPr="002A2289">
        <w:rPr>
          <w:rStyle w:val="FootnoteReference"/>
          <w:rFonts w:asciiTheme="majorHAnsi" w:hAnsiTheme="majorHAnsi" w:cs="Times New Roman"/>
          <w:color w:val="auto"/>
          <w:sz w:val="20"/>
          <w:szCs w:val="20"/>
        </w:rPr>
        <w:footnoteReference w:id="45"/>
      </w:r>
      <w:r w:rsidRPr="002A2289">
        <w:rPr>
          <w:rFonts w:asciiTheme="majorHAnsi" w:hAnsiTheme="majorHAnsi" w:cs="Times New Roman"/>
          <w:color w:val="auto"/>
          <w:sz w:val="20"/>
          <w:szCs w:val="20"/>
        </w:rPr>
        <w:t xml:space="preserve"> Mr. Almeida filed a complaint appeal (</w:t>
      </w:r>
      <w:r w:rsidRPr="002A2289">
        <w:rPr>
          <w:rFonts w:asciiTheme="majorHAnsi" w:hAnsiTheme="majorHAnsi" w:cs="Times New Roman"/>
          <w:i/>
          <w:color w:val="auto"/>
          <w:sz w:val="20"/>
          <w:szCs w:val="20"/>
        </w:rPr>
        <w:t>recurso de queja</w:t>
      </w:r>
      <w:r w:rsidRPr="002A2289">
        <w:rPr>
          <w:rFonts w:asciiTheme="majorHAnsi" w:hAnsiTheme="majorHAnsi" w:cs="Times New Roman"/>
          <w:color w:val="auto"/>
          <w:sz w:val="20"/>
          <w:szCs w:val="20"/>
        </w:rPr>
        <w:t>) on July 7, 1999, substantially reiterating his arguments;</w:t>
      </w:r>
      <w:r w:rsidRPr="002A2289">
        <w:rPr>
          <w:rStyle w:val="FootnoteReference"/>
          <w:rFonts w:asciiTheme="majorHAnsi" w:hAnsiTheme="majorHAnsi" w:cs="Times New Roman"/>
          <w:color w:val="auto"/>
          <w:sz w:val="20"/>
          <w:szCs w:val="20"/>
        </w:rPr>
        <w:footnoteReference w:id="46"/>
      </w:r>
      <w:r w:rsidRPr="002A2289">
        <w:rPr>
          <w:rFonts w:asciiTheme="majorHAnsi" w:hAnsiTheme="majorHAnsi" w:cs="Times New Roman"/>
          <w:color w:val="auto"/>
          <w:sz w:val="20"/>
          <w:szCs w:val="20"/>
        </w:rPr>
        <w:t xml:space="preserve"> such appeal was declared inadmissible on December 2, 1999</w:t>
      </w:r>
      <w:r w:rsidRPr="002A2289">
        <w:rPr>
          <w:rFonts w:asciiTheme="majorHAnsi" w:hAnsiTheme="majorHAnsi"/>
          <w:color w:val="auto"/>
          <w:sz w:val="20"/>
          <w:szCs w:val="20"/>
        </w:rPr>
        <w:t>.</w:t>
      </w:r>
      <w:r w:rsidRPr="002A2289">
        <w:rPr>
          <w:rStyle w:val="FootnoteReference"/>
          <w:rFonts w:asciiTheme="majorHAnsi" w:hAnsiTheme="majorHAnsi"/>
          <w:color w:val="auto"/>
          <w:sz w:val="20"/>
          <w:szCs w:val="20"/>
        </w:rPr>
        <w:footnoteReference w:id="47"/>
      </w:r>
    </w:p>
    <w:p w14:paraId="13942B2B" w14:textId="77777777" w:rsidR="004948B8" w:rsidRPr="002A2289" w:rsidRDefault="004948B8" w:rsidP="004948B8">
      <w:pPr>
        <w:rPr>
          <w:rFonts w:asciiTheme="majorHAnsi" w:hAnsiTheme="majorHAnsi"/>
          <w:b/>
          <w:color w:val="FF0000"/>
          <w:sz w:val="20"/>
          <w:szCs w:val="20"/>
        </w:rPr>
      </w:pPr>
    </w:p>
    <w:p w14:paraId="3648C84B" w14:textId="1DE7B2AF" w:rsidR="00EC7AB1" w:rsidRPr="002A2289" w:rsidRDefault="00EC7AB1" w:rsidP="002A2289">
      <w:pPr>
        <w:pStyle w:val="Heading2"/>
      </w:pPr>
      <w:r w:rsidRPr="002A2289">
        <w:t>De</w:t>
      </w:r>
      <w:r w:rsidR="004571ED" w:rsidRPr="002A2289">
        <w:t>velopments at a domestic lev</w:t>
      </w:r>
      <w:r w:rsidR="002F2841" w:rsidRPr="002A2289">
        <w:t>el subsequent to Mr. </w:t>
      </w:r>
      <w:r w:rsidR="004571ED" w:rsidRPr="002A2289">
        <w:t>Almeida’</w:t>
      </w:r>
      <w:r w:rsidRPr="002A2289">
        <w:t>s</w:t>
      </w:r>
      <w:r w:rsidR="004571ED" w:rsidRPr="002A2289">
        <w:t xml:space="preserve"> appeal</w:t>
      </w:r>
      <w:r w:rsidR="005A596C" w:rsidRPr="002A2289">
        <w:t xml:space="preserve"> and</w:t>
      </w:r>
      <w:r w:rsidR="004571ED" w:rsidRPr="002A2289">
        <w:t xml:space="preserve"> </w:t>
      </w:r>
      <w:r w:rsidR="00C563ED" w:rsidRPr="002A2289">
        <w:t xml:space="preserve">special </w:t>
      </w:r>
      <w:r w:rsidR="004571ED" w:rsidRPr="002A2289">
        <w:t>appeal</w:t>
      </w:r>
      <w:r w:rsidR="005A596C" w:rsidRPr="002A2289">
        <w:t>,</w:t>
      </w:r>
      <w:r w:rsidR="004571ED" w:rsidRPr="002A2289">
        <w:t xml:space="preserve"> and the presentation of his petition to the IACHR. </w:t>
      </w:r>
      <w:bookmarkEnd w:id="0"/>
      <w:bookmarkEnd w:id="1"/>
    </w:p>
    <w:p w14:paraId="2138BD84" w14:textId="77777777" w:rsidR="00EC7AB1" w:rsidRPr="002A2289" w:rsidRDefault="00EC7AB1" w:rsidP="00EC7AB1">
      <w:pPr>
        <w:jc w:val="both"/>
        <w:rPr>
          <w:rFonts w:asciiTheme="majorHAnsi" w:hAnsiTheme="majorHAnsi"/>
          <w:b/>
          <w:sz w:val="20"/>
          <w:szCs w:val="20"/>
        </w:rPr>
      </w:pPr>
    </w:p>
    <w:p w14:paraId="18CB2362" w14:textId="0B52E831" w:rsidR="00EC7AB1" w:rsidRPr="002A2289" w:rsidRDefault="00010161" w:rsidP="00EC7AB1">
      <w:pPr>
        <w:pStyle w:val="ListParagraph"/>
        <w:numPr>
          <w:ilvl w:val="0"/>
          <w:numId w:val="55"/>
        </w:numPr>
        <w:ind w:left="0" w:firstLine="720"/>
        <w:jc w:val="both"/>
        <w:rPr>
          <w:rFonts w:asciiTheme="majorHAnsi" w:hAnsiTheme="majorHAnsi" w:cs="Times New Roman"/>
          <w:color w:val="auto"/>
          <w:sz w:val="20"/>
          <w:szCs w:val="20"/>
        </w:rPr>
      </w:pPr>
      <w:r>
        <w:rPr>
          <w:rFonts w:asciiTheme="majorHAnsi" w:hAnsiTheme="majorHAnsi" w:cs="Times New Roman"/>
          <w:color w:val="auto"/>
          <w:sz w:val="20"/>
          <w:szCs w:val="20"/>
        </w:rPr>
        <w:t>By</w:t>
      </w:r>
      <w:r w:rsidR="004571ED" w:rsidRPr="002A2289">
        <w:rPr>
          <w:rFonts w:asciiTheme="majorHAnsi" w:hAnsiTheme="majorHAnsi" w:cs="Times New Roman"/>
          <w:color w:val="auto"/>
          <w:sz w:val="20"/>
          <w:szCs w:val="20"/>
        </w:rPr>
        <w:t xml:space="preserve"> letter dated March 1, 2</w:t>
      </w:r>
      <w:r w:rsidR="00EC7AB1" w:rsidRPr="002A2289">
        <w:rPr>
          <w:rFonts w:asciiTheme="majorHAnsi" w:hAnsiTheme="majorHAnsi" w:cs="Times New Roman"/>
          <w:color w:val="auto"/>
          <w:sz w:val="20"/>
          <w:szCs w:val="20"/>
        </w:rPr>
        <w:t xml:space="preserve">004, </w:t>
      </w:r>
      <w:r w:rsidR="004571ED" w:rsidRPr="002A2289">
        <w:rPr>
          <w:rFonts w:asciiTheme="majorHAnsi" w:hAnsiTheme="majorHAnsi" w:cs="Times New Roman"/>
          <w:color w:val="auto"/>
          <w:sz w:val="20"/>
          <w:szCs w:val="20"/>
        </w:rPr>
        <w:t>the p</w:t>
      </w:r>
      <w:r w:rsidR="004E0D00" w:rsidRPr="002A2289">
        <w:rPr>
          <w:rFonts w:asciiTheme="majorHAnsi" w:hAnsiTheme="majorHAnsi" w:cs="Times New Roman"/>
          <w:color w:val="auto"/>
          <w:sz w:val="20"/>
          <w:szCs w:val="20"/>
        </w:rPr>
        <w:t>laintiff</w:t>
      </w:r>
      <w:r w:rsidR="004571ED" w:rsidRPr="002A2289">
        <w:rPr>
          <w:rFonts w:asciiTheme="majorHAnsi" w:hAnsiTheme="majorHAnsi" w:cs="Times New Roman"/>
          <w:color w:val="auto"/>
          <w:sz w:val="20"/>
          <w:szCs w:val="20"/>
        </w:rPr>
        <w:t xml:space="preserve"> forwarded the case of</w:t>
      </w:r>
      <w:r w:rsidR="00EC7AB1" w:rsidRPr="002A2289">
        <w:rPr>
          <w:rFonts w:asciiTheme="majorHAnsi" w:hAnsiTheme="majorHAnsi" w:cs="Times New Roman"/>
          <w:color w:val="auto"/>
          <w:sz w:val="20"/>
          <w:szCs w:val="20"/>
        </w:rPr>
        <w:t xml:space="preserve"> Jorge Enrique Robasto</w:t>
      </w:r>
      <w:r w:rsidR="00327DFE" w:rsidRPr="002A2289">
        <w:rPr>
          <w:rFonts w:asciiTheme="majorHAnsi" w:hAnsiTheme="majorHAnsi" w:cs="Times New Roman"/>
          <w:color w:val="auto"/>
          <w:sz w:val="20"/>
          <w:szCs w:val="20"/>
        </w:rPr>
        <w:t xml:space="preserve">. </w:t>
      </w:r>
      <w:r w:rsidR="00C40AC4" w:rsidRPr="002A2289">
        <w:rPr>
          <w:rFonts w:asciiTheme="majorHAnsi" w:hAnsiTheme="majorHAnsi" w:cs="Times New Roman"/>
          <w:color w:val="auto"/>
          <w:sz w:val="20"/>
          <w:szCs w:val="20"/>
        </w:rPr>
        <w:t>Mr.</w:t>
      </w:r>
      <w:r w:rsidR="00327DFE" w:rsidRPr="002A2289">
        <w:rPr>
          <w:rFonts w:asciiTheme="majorHAnsi" w:hAnsiTheme="majorHAnsi" w:cs="Times New Roman"/>
          <w:color w:val="auto"/>
          <w:sz w:val="20"/>
          <w:szCs w:val="20"/>
        </w:rPr>
        <w:t xml:space="preserve"> Robasto</w:t>
      </w:r>
      <w:r w:rsidR="004571ED" w:rsidRPr="002A2289">
        <w:rPr>
          <w:rFonts w:asciiTheme="majorHAnsi" w:hAnsiTheme="majorHAnsi" w:cs="Times New Roman"/>
          <w:color w:val="auto"/>
          <w:sz w:val="20"/>
          <w:szCs w:val="20"/>
        </w:rPr>
        <w:t xml:space="preserve"> </w:t>
      </w:r>
      <w:r w:rsidR="005A596C" w:rsidRPr="002A2289">
        <w:rPr>
          <w:rFonts w:asciiTheme="majorHAnsi" w:hAnsiTheme="majorHAnsi" w:cs="Times New Roman"/>
          <w:color w:val="auto"/>
          <w:sz w:val="20"/>
          <w:szCs w:val="20"/>
        </w:rPr>
        <w:t>had been</w:t>
      </w:r>
      <w:r w:rsidR="004571ED" w:rsidRPr="002A2289">
        <w:rPr>
          <w:rFonts w:asciiTheme="majorHAnsi" w:hAnsiTheme="majorHAnsi" w:cs="Times New Roman"/>
          <w:color w:val="auto"/>
          <w:sz w:val="20"/>
          <w:szCs w:val="20"/>
        </w:rPr>
        <w:t xml:space="preserve"> </w:t>
      </w:r>
      <w:r w:rsidR="00327DFE" w:rsidRPr="002A2289">
        <w:rPr>
          <w:rFonts w:asciiTheme="majorHAnsi" w:hAnsiTheme="majorHAnsi" w:cs="Times New Roman"/>
          <w:color w:val="auto"/>
          <w:sz w:val="20"/>
          <w:szCs w:val="20"/>
        </w:rPr>
        <w:t>provided</w:t>
      </w:r>
      <w:r w:rsidR="004571ED" w:rsidRPr="002A2289">
        <w:rPr>
          <w:rFonts w:asciiTheme="majorHAnsi" w:hAnsiTheme="majorHAnsi" w:cs="Times New Roman"/>
          <w:color w:val="auto"/>
          <w:sz w:val="20"/>
          <w:szCs w:val="20"/>
        </w:rPr>
        <w:t xml:space="preserve"> compensation for “a situation of </w:t>
      </w:r>
      <w:r w:rsidR="004571ED" w:rsidRPr="002A2289">
        <w:rPr>
          <w:rFonts w:asciiTheme="majorHAnsi" w:hAnsiTheme="majorHAnsi" w:cs="Times New Roman"/>
          <w:i/>
          <w:color w:val="auto"/>
          <w:sz w:val="20"/>
          <w:szCs w:val="20"/>
        </w:rPr>
        <w:t>de facto</w:t>
      </w:r>
      <w:r w:rsidR="004571ED" w:rsidRPr="002A2289">
        <w:rPr>
          <w:rFonts w:asciiTheme="majorHAnsi" w:hAnsiTheme="majorHAnsi" w:cs="Times New Roman"/>
          <w:color w:val="auto"/>
          <w:sz w:val="20"/>
          <w:szCs w:val="20"/>
        </w:rPr>
        <w:t xml:space="preserve"> release</w:t>
      </w:r>
      <w:r w:rsidR="002F2841" w:rsidRPr="002A2289">
        <w:rPr>
          <w:rFonts w:asciiTheme="majorHAnsi" w:hAnsiTheme="majorHAnsi" w:cs="Times New Roman"/>
          <w:color w:val="auto"/>
          <w:sz w:val="20"/>
          <w:szCs w:val="20"/>
        </w:rPr>
        <w:t xml:space="preserve"> under s</w:t>
      </w:r>
      <w:r w:rsidR="004E0D00" w:rsidRPr="002A2289">
        <w:rPr>
          <w:rFonts w:asciiTheme="majorHAnsi" w:hAnsiTheme="majorHAnsi" w:cs="Times New Roman"/>
          <w:color w:val="auto"/>
          <w:sz w:val="20"/>
          <w:szCs w:val="20"/>
        </w:rPr>
        <w:t>urveillance</w:t>
      </w:r>
      <w:r w:rsidR="004571ED" w:rsidRPr="002A2289">
        <w:rPr>
          <w:rFonts w:asciiTheme="majorHAnsi" w:hAnsiTheme="majorHAnsi" w:cs="Times New Roman"/>
          <w:color w:val="auto"/>
          <w:sz w:val="20"/>
          <w:szCs w:val="20"/>
        </w:rPr>
        <w:t xml:space="preserve">” that </w:t>
      </w:r>
      <w:r w:rsidR="005A596C" w:rsidRPr="002A2289">
        <w:rPr>
          <w:rFonts w:asciiTheme="majorHAnsi" w:hAnsiTheme="majorHAnsi" w:cs="Times New Roman"/>
          <w:color w:val="auto"/>
          <w:sz w:val="20"/>
          <w:szCs w:val="20"/>
        </w:rPr>
        <w:t xml:space="preserve">had lasted </w:t>
      </w:r>
      <w:r w:rsidR="004571ED" w:rsidRPr="002A2289">
        <w:rPr>
          <w:rFonts w:asciiTheme="majorHAnsi" w:hAnsiTheme="majorHAnsi" w:cs="Times New Roman"/>
          <w:color w:val="auto"/>
          <w:sz w:val="20"/>
          <w:szCs w:val="20"/>
        </w:rPr>
        <w:t xml:space="preserve">from </w:t>
      </w:r>
      <w:r w:rsidR="005A596C" w:rsidRPr="002A2289">
        <w:rPr>
          <w:rFonts w:asciiTheme="majorHAnsi" w:hAnsiTheme="majorHAnsi" w:cs="Times New Roman"/>
          <w:color w:val="auto"/>
          <w:sz w:val="20"/>
          <w:szCs w:val="20"/>
        </w:rPr>
        <w:t>the time</w:t>
      </w:r>
      <w:r w:rsidR="004571ED" w:rsidRPr="002A2289">
        <w:rPr>
          <w:rFonts w:asciiTheme="majorHAnsi" w:hAnsiTheme="majorHAnsi" w:cs="Times New Roman"/>
          <w:color w:val="auto"/>
          <w:sz w:val="20"/>
          <w:szCs w:val="20"/>
        </w:rPr>
        <w:t xml:space="preserve"> </w:t>
      </w:r>
      <w:r w:rsidR="00327DFE" w:rsidRPr="002A2289">
        <w:rPr>
          <w:rFonts w:asciiTheme="majorHAnsi" w:hAnsiTheme="majorHAnsi" w:cs="Times New Roman"/>
          <w:color w:val="auto"/>
          <w:sz w:val="20"/>
          <w:szCs w:val="20"/>
        </w:rPr>
        <w:t>he</w:t>
      </w:r>
      <w:r w:rsidR="004571ED" w:rsidRPr="002A2289">
        <w:rPr>
          <w:rFonts w:asciiTheme="majorHAnsi" w:hAnsiTheme="majorHAnsi" w:cs="Times New Roman"/>
          <w:color w:val="auto"/>
          <w:sz w:val="20"/>
          <w:szCs w:val="20"/>
        </w:rPr>
        <w:t xml:space="preserve"> was </w:t>
      </w:r>
      <w:r w:rsidR="00E27580" w:rsidRPr="002A2289">
        <w:rPr>
          <w:rFonts w:asciiTheme="majorHAnsi" w:hAnsiTheme="majorHAnsi" w:cs="Times New Roman"/>
          <w:color w:val="auto"/>
          <w:sz w:val="20"/>
          <w:szCs w:val="20"/>
        </w:rPr>
        <w:t xml:space="preserve">released from the </w:t>
      </w:r>
      <w:r w:rsidR="00327DFE" w:rsidRPr="002A2289">
        <w:rPr>
          <w:rFonts w:asciiTheme="majorHAnsi" w:hAnsiTheme="majorHAnsi" w:cs="Times New Roman"/>
          <w:color w:val="auto"/>
          <w:sz w:val="20"/>
          <w:szCs w:val="20"/>
        </w:rPr>
        <w:t>detention facility “</w:t>
      </w:r>
      <w:r>
        <w:rPr>
          <w:rFonts w:asciiTheme="majorHAnsi" w:hAnsiTheme="majorHAnsi" w:cs="Times New Roman"/>
          <w:color w:val="auto"/>
          <w:sz w:val="20"/>
          <w:szCs w:val="20"/>
        </w:rPr>
        <w:t>E</w:t>
      </w:r>
      <w:r w:rsidR="00327DFE" w:rsidRPr="002A2289">
        <w:rPr>
          <w:rFonts w:asciiTheme="majorHAnsi" w:hAnsiTheme="majorHAnsi" w:cs="Times New Roman"/>
          <w:color w:val="auto"/>
          <w:sz w:val="20"/>
          <w:szCs w:val="20"/>
        </w:rPr>
        <w:t xml:space="preserve">l </w:t>
      </w:r>
      <w:proofErr w:type="spellStart"/>
      <w:r w:rsidR="00327DFE" w:rsidRPr="002A2289">
        <w:rPr>
          <w:rFonts w:asciiTheme="majorHAnsi" w:hAnsiTheme="majorHAnsi" w:cs="Times New Roman"/>
          <w:color w:val="auto"/>
          <w:sz w:val="20"/>
          <w:szCs w:val="20"/>
        </w:rPr>
        <w:t>Olimpo</w:t>
      </w:r>
      <w:proofErr w:type="spellEnd"/>
      <w:r w:rsidR="00327DFE" w:rsidRPr="002A2289">
        <w:rPr>
          <w:rFonts w:asciiTheme="majorHAnsi" w:hAnsiTheme="majorHAnsi" w:cs="Times New Roman"/>
          <w:color w:val="auto"/>
          <w:sz w:val="20"/>
          <w:szCs w:val="20"/>
        </w:rPr>
        <w:t>” i</w:t>
      </w:r>
      <w:r w:rsidR="00E27580" w:rsidRPr="002A2289">
        <w:rPr>
          <w:rFonts w:asciiTheme="majorHAnsi" w:hAnsiTheme="majorHAnsi" w:cs="Times New Roman"/>
          <w:color w:val="auto"/>
          <w:sz w:val="20"/>
          <w:szCs w:val="20"/>
        </w:rPr>
        <w:t xml:space="preserve">n 1978 until December 10, 1983, </w:t>
      </w:r>
      <w:r w:rsidR="00327DFE" w:rsidRPr="002A2289">
        <w:rPr>
          <w:rFonts w:asciiTheme="majorHAnsi" w:hAnsiTheme="majorHAnsi" w:cs="Times New Roman"/>
          <w:color w:val="auto"/>
          <w:sz w:val="20"/>
          <w:szCs w:val="20"/>
        </w:rPr>
        <w:lastRenderedPageBreak/>
        <w:t xml:space="preserve">in application of the </w:t>
      </w:r>
      <w:r w:rsidR="00E27580" w:rsidRPr="002A2289">
        <w:rPr>
          <w:rFonts w:asciiTheme="majorHAnsi" w:hAnsiTheme="majorHAnsi" w:cs="Times New Roman"/>
          <w:color w:val="auto"/>
          <w:sz w:val="20"/>
          <w:szCs w:val="20"/>
        </w:rPr>
        <w:t xml:space="preserve">criteria </w:t>
      </w:r>
      <w:r w:rsidR="002E0029" w:rsidRPr="002A2289">
        <w:rPr>
          <w:rFonts w:asciiTheme="majorHAnsi" w:hAnsiTheme="majorHAnsi" w:cs="Times New Roman"/>
          <w:color w:val="auto"/>
          <w:sz w:val="20"/>
          <w:szCs w:val="20"/>
        </w:rPr>
        <w:t xml:space="preserve">of </w:t>
      </w:r>
      <w:r w:rsidR="00E27580" w:rsidRPr="002A2289">
        <w:rPr>
          <w:rFonts w:asciiTheme="majorHAnsi" w:hAnsiTheme="majorHAnsi" w:cs="Times New Roman"/>
          <w:color w:val="auto"/>
          <w:sz w:val="20"/>
          <w:szCs w:val="20"/>
        </w:rPr>
        <w:t xml:space="preserve">the Supreme Court in the </w:t>
      </w:r>
      <w:r w:rsidR="00E27580" w:rsidRPr="002A2289">
        <w:rPr>
          <w:rFonts w:asciiTheme="majorHAnsi" w:hAnsiTheme="majorHAnsi" w:cs="Times New Roman"/>
          <w:i/>
          <w:color w:val="auto"/>
          <w:sz w:val="20"/>
          <w:szCs w:val="20"/>
        </w:rPr>
        <w:t>Noro</w:t>
      </w:r>
      <w:r w:rsidR="00E27580" w:rsidRPr="002A2289">
        <w:rPr>
          <w:rFonts w:asciiTheme="majorHAnsi" w:hAnsiTheme="majorHAnsi" w:cs="Times New Roman"/>
          <w:color w:val="auto"/>
          <w:sz w:val="20"/>
          <w:szCs w:val="20"/>
        </w:rPr>
        <w:t xml:space="preserve"> Case</w:t>
      </w:r>
      <w:r w:rsidR="002F2841" w:rsidRPr="002A2289">
        <w:rPr>
          <w:rFonts w:asciiTheme="majorHAnsi" w:hAnsiTheme="majorHAnsi" w:cs="Times New Roman"/>
          <w:color w:val="auto"/>
          <w:sz w:val="20"/>
          <w:szCs w:val="20"/>
        </w:rPr>
        <w:t>, which provided that Law 21</w:t>
      </w:r>
      <w:r>
        <w:rPr>
          <w:rFonts w:asciiTheme="majorHAnsi" w:hAnsiTheme="majorHAnsi" w:cs="Times New Roman"/>
          <w:color w:val="auto"/>
          <w:sz w:val="20"/>
          <w:szCs w:val="20"/>
        </w:rPr>
        <w:t>.</w:t>
      </w:r>
      <w:r w:rsidR="003D2581" w:rsidRPr="002A2289">
        <w:rPr>
          <w:rFonts w:asciiTheme="majorHAnsi" w:hAnsiTheme="majorHAnsi" w:cs="Times New Roman"/>
          <w:color w:val="auto"/>
          <w:sz w:val="20"/>
          <w:szCs w:val="20"/>
        </w:rPr>
        <w:t xml:space="preserve">650 was not to be strictly applied and </w:t>
      </w:r>
      <w:r w:rsidR="00E27580" w:rsidRPr="002A2289">
        <w:rPr>
          <w:rFonts w:asciiTheme="majorHAnsi" w:hAnsiTheme="majorHAnsi" w:cs="Times New Roman"/>
          <w:color w:val="auto"/>
          <w:sz w:val="20"/>
          <w:szCs w:val="20"/>
        </w:rPr>
        <w:t xml:space="preserve">a </w:t>
      </w:r>
      <w:r>
        <w:rPr>
          <w:rFonts w:asciiTheme="majorHAnsi" w:hAnsiTheme="majorHAnsi" w:cs="Times New Roman"/>
          <w:i/>
          <w:color w:val="auto"/>
          <w:sz w:val="20"/>
          <w:szCs w:val="20"/>
        </w:rPr>
        <w:t xml:space="preserve">de facto </w:t>
      </w:r>
      <w:r w:rsidR="004E0D00" w:rsidRPr="002A2289">
        <w:rPr>
          <w:rFonts w:asciiTheme="majorHAnsi" w:hAnsiTheme="majorHAnsi" w:cs="Times New Roman"/>
          <w:color w:val="auto"/>
          <w:sz w:val="20"/>
          <w:szCs w:val="20"/>
        </w:rPr>
        <w:t>system of release under surveillance</w:t>
      </w:r>
      <w:r w:rsidR="003D2581" w:rsidRPr="002A2289">
        <w:rPr>
          <w:rFonts w:asciiTheme="majorHAnsi" w:hAnsiTheme="majorHAnsi" w:cs="Times New Roman"/>
          <w:color w:val="auto"/>
          <w:sz w:val="20"/>
          <w:szCs w:val="20"/>
        </w:rPr>
        <w:t xml:space="preserve"> had existed</w:t>
      </w:r>
      <w:r>
        <w:rPr>
          <w:rFonts w:asciiTheme="majorHAnsi" w:hAnsiTheme="majorHAnsi" w:cs="Times New Roman"/>
          <w:color w:val="auto"/>
          <w:sz w:val="20"/>
          <w:szCs w:val="20"/>
        </w:rPr>
        <w:t xml:space="preserve"> in </w:t>
      </w:r>
      <w:proofErr w:type="spellStart"/>
      <w:r>
        <w:rPr>
          <w:rFonts w:asciiTheme="majorHAnsi" w:hAnsiTheme="majorHAnsi" w:cs="Times New Roman"/>
          <w:color w:val="auto"/>
          <w:sz w:val="20"/>
          <w:szCs w:val="20"/>
        </w:rPr>
        <w:t>Robasto’s</w:t>
      </w:r>
      <w:proofErr w:type="spellEnd"/>
      <w:r>
        <w:rPr>
          <w:rFonts w:asciiTheme="majorHAnsi" w:hAnsiTheme="majorHAnsi" w:cs="Times New Roman"/>
          <w:color w:val="auto"/>
          <w:sz w:val="20"/>
          <w:szCs w:val="20"/>
        </w:rPr>
        <w:t xml:space="preserve"> case</w:t>
      </w:r>
      <w:r w:rsidR="00E27580" w:rsidRPr="002A2289">
        <w:rPr>
          <w:rFonts w:asciiTheme="majorHAnsi" w:hAnsiTheme="majorHAnsi" w:cs="Times New Roman"/>
          <w:color w:val="auto"/>
          <w:sz w:val="20"/>
          <w:szCs w:val="20"/>
        </w:rPr>
        <w:t>.</w:t>
      </w:r>
      <w:r w:rsidR="00EC7AB1" w:rsidRPr="002A2289">
        <w:rPr>
          <w:rStyle w:val="FootnoteReference"/>
          <w:rFonts w:asciiTheme="majorHAnsi" w:hAnsiTheme="majorHAnsi" w:cs="Times New Roman"/>
          <w:color w:val="auto"/>
          <w:sz w:val="20"/>
          <w:szCs w:val="20"/>
        </w:rPr>
        <w:footnoteReference w:id="48"/>
      </w:r>
      <w:r w:rsidR="00EC7AB1" w:rsidRPr="002A2289">
        <w:rPr>
          <w:rFonts w:asciiTheme="majorHAnsi" w:hAnsiTheme="majorHAnsi" w:cs="Times New Roman"/>
          <w:color w:val="auto"/>
          <w:sz w:val="20"/>
          <w:szCs w:val="20"/>
        </w:rPr>
        <w:t xml:space="preserve"> </w:t>
      </w:r>
      <w:r w:rsidR="00E27580" w:rsidRPr="002A2289">
        <w:rPr>
          <w:rFonts w:asciiTheme="majorHAnsi" w:hAnsiTheme="majorHAnsi" w:cs="Times New Roman"/>
          <w:color w:val="auto"/>
          <w:sz w:val="20"/>
          <w:szCs w:val="20"/>
        </w:rPr>
        <w:t>With regard to the “</w:t>
      </w:r>
      <w:r w:rsidR="00E27580" w:rsidRPr="002A2289">
        <w:rPr>
          <w:rFonts w:asciiTheme="majorHAnsi" w:hAnsiTheme="majorHAnsi" w:cs="Times New Roman"/>
          <w:i/>
          <w:color w:val="auto"/>
          <w:sz w:val="20"/>
          <w:szCs w:val="20"/>
        </w:rPr>
        <w:t xml:space="preserve">de facto </w:t>
      </w:r>
      <w:r w:rsidR="00E27580" w:rsidRPr="002A2289">
        <w:rPr>
          <w:rFonts w:asciiTheme="majorHAnsi" w:hAnsiTheme="majorHAnsi" w:cs="Times New Roman"/>
          <w:color w:val="auto"/>
          <w:sz w:val="20"/>
          <w:szCs w:val="20"/>
        </w:rPr>
        <w:t>release</w:t>
      </w:r>
      <w:r w:rsidR="004E0D00" w:rsidRPr="002A2289">
        <w:rPr>
          <w:rFonts w:asciiTheme="majorHAnsi" w:hAnsiTheme="majorHAnsi" w:cs="Times New Roman"/>
          <w:color w:val="auto"/>
          <w:sz w:val="20"/>
          <w:szCs w:val="20"/>
        </w:rPr>
        <w:t xml:space="preserve"> under surveillance</w:t>
      </w:r>
      <w:r w:rsidR="00E27580" w:rsidRPr="002A2289">
        <w:rPr>
          <w:rFonts w:asciiTheme="majorHAnsi" w:hAnsiTheme="majorHAnsi" w:cs="Times New Roman"/>
          <w:color w:val="auto"/>
          <w:sz w:val="20"/>
          <w:szCs w:val="20"/>
        </w:rPr>
        <w:t>,” the Court deemed that</w:t>
      </w:r>
      <w:r w:rsidR="00EC7AB1" w:rsidRPr="002A2289">
        <w:rPr>
          <w:rFonts w:asciiTheme="majorHAnsi" w:hAnsiTheme="majorHAnsi" w:cs="Times New Roman"/>
          <w:color w:val="auto"/>
          <w:sz w:val="20"/>
          <w:szCs w:val="20"/>
        </w:rPr>
        <w:t xml:space="preserve">: </w:t>
      </w:r>
    </w:p>
    <w:p w14:paraId="44192372" w14:textId="77777777" w:rsidR="00EC7AB1" w:rsidRPr="002A2289" w:rsidRDefault="00EC7AB1" w:rsidP="00EC7AB1">
      <w:pPr>
        <w:pStyle w:val="ListParagraph"/>
        <w:ind w:left="634"/>
        <w:jc w:val="both"/>
        <w:rPr>
          <w:rFonts w:asciiTheme="majorHAnsi" w:hAnsiTheme="majorHAnsi" w:cs="Times New Roman"/>
          <w:color w:val="auto"/>
          <w:sz w:val="20"/>
          <w:szCs w:val="20"/>
        </w:rPr>
      </w:pPr>
    </w:p>
    <w:p w14:paraId="137192C6" w14:textId="6EFE4CD7" w:rsidR="00EC7AB1" w:rsidRPr="002A2289" w:rsidRDefault="00EC7AB1" w:rsidP="00EC7AB1">
      <w:pPr>
        <w:pStyle w:val="ListParagraph"/>
        <w:ind w:right="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w:t>
      </w:r>
      <w:r w:rsidR="004E0D00" w:rsidRPr="002A2289">
        <w:rPr>
          <w:rFonts w:asciiTheme="majorHAnsi" w:hAnsiTheme="majorHAnsi" w:cs="Times New Roman"/>
          <w:color w:val="auto"/>
          <w:sz w:val="20"/>
          <w:szCs w:val="20"/>
        </w:rPr>
        <w:t>The plaintiff alleged that</w:t>
      </w:r>
      <w:r w:rsidRPr="002A2289">
        <w:rPr>
          <w:rFonts w:asciiTheme="majorHAnsi" w:hAnsiTheme="majorHAnsi" w:cs="Times New Roman"/>
          <w:color w:val="auto"/>
          <w:sz w:val="20"/>
          <w:szCs w:val="20"/>
        </w:rPr>
        <w:t xml:space="preserve">] </w:t>
      </w:r>
      <w:r w:rsidRPr="002A2289">
        <w:rPr>
          <w:rFonts w:asciiTheme="majorHAnsi" w:hAnsiTheme="majorHAnsi" w:cs="Times New Roman"/>
          <w:i/>
          <w:color w:val="auto"/>
          <w:sz w:val="20"/>
          <w:szCs w:val="20"/>
        </w:rPr>
        <w:t>Colores</w:t>
      </w:r>
      <w:r w:rsidRPr="002A2289">
        <w:rPr>
          <w:rFonts w:asciiTheme="majorHAnsi" w:hAnsiTheme="majorHAnsi" w:cs="Times New Roman"/>
          <w:color w:val="auto"/>
          <w:sz w:val="20"/>
          <w:szCs w:val="20"/>
        </w:rPr>
        <w:t xml:space="preserve"> </w:t>
      </w:r>
      <w:r w:rsidR="004E0D00" w:rsidRPr="002A2289">
        <w:rPr>
          <w:rFonts w:asciiTheme="majorHAnsi" w:hAnsiTheme="majorHAnsi" w:cs="Times New Roman"/>
          <w:color w:val="auto"/>
          <w:sz w:val="20"/>
          <w:szCs w:val="20"/>
        </w:rPr>
        <w:t xml:space="preserve">tells me that as from this moment </w:t>
      </w:r>
      <w:r w:rsidRPr="002A2289">
        <w:rPr>
          <w:rFonts w:asciiTheme="majorHAnsi" w:hAnsiTheme="majorHAnsi" w:cs="Times New Roman"/>
          <w:color w:val="auto"/>
          <w:sz w:val="20"/>
          <w:szCs w:val="20"/>
        </w:rPr>
        <w:t>(</w:t>
      </w:r>
      <w:r w:rsidR="004E0D00" w:rsidRPr="002A2289">
        <w:rPr>
          <w:rFonts w:asciiTheme="majorHAnsi" w:hAnsiTheme="majorHAnsi" w:cs="Times New Roman"/>
          <w:color w:val="auto"/>
          <w:sz w:val="20"/>
          <w:szCs w:val="20"/>
        </w:rPr>
        <w:t xml:space="preserve">end of </w:t>
      </w:r>
      <w:r w:rsidRPr="002A2289">
        <w:rPr>
          <w:rFonts w:asciiTheme="majorHAnsi" w:hAnsiTheme="majorHAnsi" w:cs="Times New Roman"/>
          <w:color w:val="auto"/>
          <w:sz w:val="20"/>
          <w:szCs w:val="20"/>
        </w:rPr>
        <w:t xml:space="preserve">1981) </w:t>
      </w:r>
      <w:r w:rsidR="004E0D00" w:rsidRPr="002A2289">
        <w:rPr>
          <w:rFonts w:asciiTheme="majorHAnsi" w:hAnsiTheme="majorHAnsi" w:cs="Times New Roman"/>
          <w:color w:val="auto"/>
          <w:sz w:val="20"/>
          <w:szCs w:val="20"/>
        </w:rPr>
        <w:t xml:space="preserve">I am going to be officially </w:t>
      </w:r>
      <w:r w:rsidR="0018536C" w:rsidRPr="002A2289">
        <w:rPr>
          <w:rFonts w:asciiTheme="majorHAnsi" w:hAnsiTheme="majorHAnsi" w:cs="Times New Roman"/>
          <w:color w:val="auto"/>
          <w:sz w:val="20"/>
          <w:szCs w:val="20"/>
        </w:rPr>
        <w:t>contacting</w:t>
      </w:r>
      <w:r w:rsidR="004E0D00" w:rsidRPr="002A2289">
        <w:rPr>
          <w:rFonts w:asciiTheme="majorHAnsi" w:hAnsiTheme="majorHAnsi" w:cs="Times New Roman"/>
          <w:color w:val="auto"/>
          <w:sz w:val="20"/>
          <w:szCs w:val="20"/>
        </w:rPr>
        <w:t xml:space="preserve"> them. He give</w:t>
      </w:r>
      <w:r w:rsidR="00BE4FAD" w:rsidRPr="002A2289">
        <w:rPr>
          <w:rFonts w:asciiTheme="majorHAnsi" w:hAnsiTheme="majorHAnsi" w:cs="Times New Roman"/>
          <w:color w:val="auto"/>
          <w:sz w:val="20"/>
          <w:szCs w:val="20"/>
        </w:rPr>
        <w:t>s</w:t>
      </w:r>
      <w:r w:rsidR="004E0D00" w:rsidRPr="002A2289">
        <w:rPr>
          <w:rFonts w:asciiTheme="majorHAnsi" w:hAnsiTheme="majorHAnsi" w:cs="Times New Roman"/>
          <w:color w:val="auto"/>
          <w:sz w:val="20"/>
          <w:szCs w:val="20"/>
        </w:rPr>
        <w:t xml:space="preserve"> me a number f</w:t>
      </w:r>
      <w:r w:rsidR="003D2581" w:rsidRPr="002A2289">
        <w:rPr>
          <w:rFonts w:asciiTheme="majorHAnsi" w:hAnsiTheme="majorHAnsi" w:cs="Times New Roman"/>
          <w:color w:val="auto"/>
          <w:sz w:val="20"/>
          <w:szCs w:val="20"/>
        </w:rPr>
        <w:t>or</w:t>
      </w:r>
      <w:r w:rsidR="004E0D00" w:rsidRPr="002A2289">
        <w:rPr>
          <w:rFonts w:asciiTheme="majorHAnsi" w:hAnsiTheme="majorHAnsi" w:cs="Times New Roman"/>
          <w:color w:val="auto"/>
          <w:sz w:val="20"/>
          <w:szCs w:val="20"/>
        </w:rPr>
        <w:t xml:space="preserve"> army intelligence and tells me to call weekly until I am told otherwise and </w:t>
      </w:r>
      <w:r w:rsidR="003D2581" w:rsidRPr="002A2289">
        <w:rPr>
          <w:rFonts w:asciiTheme="majorHAnsi" w:hAnsiTheme="majorHAnsi" w:cs="Times New Roman"/>
          <w:color w:val="auto"/>
          <w:sz w:val="20"/>
          <w:szCs w:val="20"/>
        </w:rPr>
        <w:t xml:space="preserve">to </w:t>
      </w:r>
      <w:r w:rsidR="004E0D00" w:rsidRPr="002A2289">
        <w:rPr>
          <w:rFonts w:asciiTheme="majorHAnsi" w:hAnsiTheme="majorHAnsi" w:cs="Times New Roman"/>
          <w:color w:val="auto"/>
          <w:sz w:val="20"/>
          <w:szCs w:val="20"/>
        </w:rPr>
        <w:t xml:space="preserve">ask for him or </w:t>
      </w:r>
      <w:r w:rsidRPr="002A2289">
        <w:rPr>
          <w:rFonts w:asciiTheme="majorHAnsi" w:hAnsiTheme="majorHAnsi" w:cs="Times New Roman"/>
          <w:color w:val="auto"/>
          <w:sz w:val="20"/>
          <w:szCs w:val="20"/>
        </w:rPr>
        <w:t xml:space="preserve">Juan Carlos. </w:t>
      </w:r>
      <w:r w:rsidR="004E0D00" w:rsidRPr="002A2289">
        <w:rPr>
          <w:rFonts w:asciiTheme="majorHAnsi" w:hAnsiTheme="majorHAnsi" w:cs="Times New Roman"/>
          <w:color w:val="auto"/>
          <w:sz w:val="20"/>
          <w:szCs w:val="20"/>
        </w:rPr>
        <w:t>Every time I call</w:t>
      </w:r>
      <w:r w:rsidR="0018536C" w:rsidRPr="002A2289">
        <w:rPr>
          <w:rFonts w:asciiTheme="majorHAnsi" w:hAnsiTheme="majorHAnsi" w:cs="Times New Roman"/>
          <w:color w:val="auto"/>
          <w:sz w:val="20"/>
          <w:szCs w:val="20"/>
        </w:rPr>
        <w:t>ed</w:t>
      </w:r>
      <w:r w:rsidR="004E0D00" w:rsidRPr="002A2289">
        <w:rPr>
          <w:rFonts w:asciiTheme="majorHAnsi" w:hAnsiTheme="majorHAnsi" w:cs="Times New Roman"/>
          <w:color w:val="auto"/>
          <w:sz w:val="20"/>
          <w:szCs w:val="20"/>
        </w:rPr>
        <w:t xml:space="preserve"> a woman’s voice </w:t>
      </w:r>
      <w:r w:rsidR="0018536C" w:rsidRPr="002A2289">
        <w:rPr>
          <w:rFonts w:asciiTheme="majorHAnsi" w:hAnsiTheme="majorHAnsi" w:cs="Times New Roman"/>
          <w:color w:val="auto"/>
          <w:sz w:val="20"/>
          <w:szCs w:val="20"/>
        </w:rPr>
        <w:t>would say</w:t>
      </w:r>
      <w:r w:rsidR="004E0D00" w:rsidRPr="002A2289">
        <w:rPr>
          <w:rFonts w:asciiTheme="majorHAnsi" w:hAnsiTheme="majorHAnsi" w:cs="Times New Roman"/>
          <w:color w:val="auto"/>
          <w:sz w:val="20"/>
          <w:szCs w:val="20"/>
        </w:rPr>
        <w:t xml:space="preserve"> </w:t>
      </w:r>
      <w:r w:rsidR="003D2581" w:rsidRPr="002A2289">
        <w:rPr>
          <w:rFonts w:asciiTheme="majorHAnsi" w:hAnsiTheme="majorHAnsi" w:cs="Times New Roman"/>
          <w:color w:val="auto"/>
          <w:sz w:val="20"/>
          <w:szCs w:val="20"/>
        </w:rPr>
        <w:t>‘</w:t>
      </w:r>
      <w:r w:rsidR="004E0D00" w:rsidRPr="002A2289">
        <w:rPr>
          <w:rFonts w:asciiTheme="majorHAnsi" w:hAnsiTheme="majorHAnsi" w:cs="Times New Roman"/>
          <w:color w:val="auto"/>
          <w:sz w:val="20"/>
          <w:szCs w:val="20"/>
        </w:rPr>
        <w:t>federal police</w:t>
      </w:r>
      <w:r w:rsidR="003D2581" w:rsidRPr="002A2289">
        <w:rPr>
          <w:rFonts w:asciiTheme="majorHAnsi" w:hAnsiTheme="majorHAnsi" w:cs="Times New Roman"/>
          <w:color w:val="auto"/>
          <w:sz w:val="20"/>
          <w:szCs w:val="20"/>
        </w:rPr>
        <w:t>’</w:t>
      </w:r>
      <w:r w:rsidR="004E0D00" w:rsidRPr="002A2289">
        <w:rPr>
          <w:rFonts w:asciiTheme="majorHAnsi" w:hAnsiTheme="majorHAnsi" w:cs="Times New Roman"/>
          <w:color w:val="auto"/>
          <w:sz w:val="20"/>
          <w:szCs w:val="20"/>
        </w:rPr>
        <w:t xml:space="preserve"> and I </w:t>
      </w:r>
      <w:r w:rsidR="0018536C" w:rsidRPr="002A2289">
        <w:rPr>
          <w:rFonts w:asciiTheme="majorHAnsi" w:hAnsiTheme="majorHAnsi" w:cs="Times New Roman"/>
          <w:color w:val="auto"/>
          <w:sz w:val="20"/>
          <w:szCs w:val="20"/>
        </w:rPr>
        <w:t xml:space="preserve">would have </w:t>
      </w:r>
      <w:r w:rsidR="004E0D00" w:rsidRPr="002A2289">
        <w:rPr>
          <w:rFonts w:asciiTheme="majorHAnsi" w:hAnsiTheme="majorHAnsi" w:cs="Times New Roman"/>
          <w:color w:val="auto"/>
          <w:sz w:val="20"/>
          <w:szCs w:val="20"/>
        </w:rPr>
        <w:t>to ask whether there was any news for</w:t>
      </w:r>
      <w:r w:rsidRPr="002A2289">
        <w:rPr>
          <w:rFonts w:asciiTheme="majorHAnsi" w:hAnsiTheme="majorHAnsi" w:cs="Times New Roman"/>
          <w:color w:val="auto"/>
          <w:sz w:val="20"/>
          <w:szCs w:val="20"/>
        </w:rPr>
        <w:t xml:space="preserve"> Jorge Robasto</w:t>
      </w:r>
      <w:r w:rsidR="004E0D00" w:rsidRPr="002A2289">
        <w:rPr>
          <w:rFonts w:asciiTheme="majorHAnsi" w:hAnsiTheme="majorHAnsi" w:cs="Times New Roman"/>
          <w:color w:val="auto"/>
          <w:sz w:val="20"/>
          <w:szCs w:val="20"/>
        </w:rPr>
        <w:t xml:space="preserve">. This continued until a week prior to </w:t>
      </w:r>
      <w:r w:rsidRPr="002A2289">
        <w:rPr>
          <w:rFonts w:asciiTheme="majorHAnsi" w:hAnsiTheme="majorHAnsi" w:cs="Times New Roman"/>
          <w:color w:val="auto"/>
          <w:sz w:val="20"/>
          <w:szCs w:val="20"/>
        </w:rPr>
        <w:t xml:space="preserve">Dr. Alfonsín </w:t>
      </w:r>
      <w:r w:rsidR="004E0D00" w:rsidRPr="002A2289">
        <w:rPr>
          <w:rFonts w:asciiTheme="majorHAnsi" w:hAnsiTheme="majorHAnsi" w:cs="Times New Roman"/>
          <w:color w:val="auto"/>
          <w:sz w:val="20"/>
          <w:szCs w:val="20"/>
        </w:rPr>
        <w:t>taking power in</w:t>
      </w:r>
      <w:r w:rsidRPr="002A2289">
        <w:rPr>
          <w:rFonts w:asciiTheme="majorHAnsi" w:hAnsiTheme="majorHAnsi" w:cs="Times New Roman"/>
          <w:color w:val="auto"/>
          <w:sz w:val="20"/>
          <w:szCs w:val="20"/>
        </w:rPr>
        <w:t xml:space="preserve"> </w:t>
      </w:r>
      <w:r w:rsidR="00BE4FAD" w:rsidRPr="002A2289">
        <w:rPr>
          <w:rFonts w:asciiTheme="majorHAnsi" w:hAnsiTheme="majorHAnsi" w:cs="Times New Roman"/>
          <w:color w:val="auto"/>
          <w:sz w:val="20"/>
          <w:szCs w:val="20"/>
        </w:rPr>
        <w:t>1993 [sic]</w:t>
      </w:r>
      <w:r w:rsidRPr="002A2289">
        <w:rPr>
          <w:rFonts w:asciiTheme="majorHAnsi" w:hAnsiTheme="majorHAnsi" w:cs="Times New Roman"/>
          <w:color w:val="auto"/>
          <w:sz w:val="20"/>
          <w:szCs w:val="20"/>
        </w:rPr>
        <w:t>.</w:t>
      </w:r>
    </w:p>
    <w:p w14:paraId="07187EEA" w14:textId="77777777" w:rsidR="00EC7AB1" w:rsidRPr="002A2289" w:rsidRDefault="00EC7AB1" w:rsidP="00EC7AB1">
      <w:pPr>
        <w:pStyle w:val="ListParagraph"/>
        <w:ind w:right="720"/>
        <w:jc w:val="both"/>
        <w:rPr>
          <w:rFonts w:asciiTheme="majorHAnsi" w:hAnsiTheme="majorHAnsi" w:cs="Times New Roman"/>
          <w:color w:val="auto"/>
          <w:sz w:val="20"/>
          <w:szCs w:val="20"/>
        </w:rPr>
      </w:pPr>
    </w:p>
    <w:p w14:paraId="51C98756" w14:textId="6CCB4D9A" w:rsidR="00EC7AB1" w:rsidRPr="002A2289" w:rsidRDefault="0018536C" w:rsidP="00EC7AB1">
      <w:pPr>
        <w:pStyle w:val="ListParagraph"/>
        <w:ind w:right="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Thus,</w:t>
      </w:r>
      <w:r w:rsidR="00BE4FAD" w:rsidRPr="002A2289">
        <w:rPr>
          <w:rFonts w:asciiTheme="majorHAnsi" w:hAnsiTheme="majorHAnsi" w:cs="Times New Roman"/>
          <w:color w:val="auto"/>
          <w:sz w:val="20"/>
          <w:szCs w:val="20"/>
        </w:rPr>
        <w:t xml:space="preserve"> it has been sufficiently established in court documents that the plaintiff was in a situation </w:t>
      </w:r>
      <w:r w:rsidR="003D2581" w:rsidRPr="002A2289">
        <w:rPr>
          <w:rFonts w:asciiTheme="majorHAnsi" w:hAnsiTheme="majorHAnsi" w:cs="Times New Roman"/>
          <w:color w:val="auto"/>
          <w:sz w:val="20"/>
          <w:szCs w:val="20"/>
        </w:rPr>
        <w:t xml:space="preserve">that </w:t>
      </w:r>
      <w:r w:rsidR="00DE250F" w:rsidRPr="002A2289">
        <w:rPr>
          <w:rFonts w:asciiTheme="majorHAnsi" w:hAnsiTheme="majorHAnsi" w:cs="Times New Roman"/>
          <w:color w:val="auto"/>
          <w:sz w:val="20"/>
          <w:szCs w:val="20"/>
        </w:rPr>
        <w:t>restrict</w:t>
      </w:r>
      <w:r w:rsidR="003D2581" w:rsidRPr="002A2289">
        <w:rPr>
          <w:rFonts w:asciiTheme="majorHAnsi" w:hAnsiTheme="majorHAnsi" w:cs="Times New Roman"/>
          <w:color w:val="auto"/>
          <w:sz w:val="20"/>
          <w:szCs w:val="20"/>
        </w:rPr>
        <w:t>ed</w:t>
      </w:r>
      <w:r w:rsidR="00DE250F" w:rsidRPr="002A2289">
        <w:rPr>
          <w:rFonts w:asciiTheme="majorHAnsi" w:hAnsiTheme="majorHAnsi" w:cs="Times New Roman"/>
          <w:color w:val="auto"/>
          <w:sz w:val="20"/>
          <w:szCs w:val="20"/>
        </w:rPr>
        <w:t xml:space="preserve"> his personal liberty, as </w:t>
      </w:r>
      <w:r w:rsidR="003D2581" w:rsidRPr="002A2289">
        <w:rPr>
          <w:rFonts w:asciiTheme="majorHAnsi" w:hAnsiTheme="majorHAnsi" w:cs="Times New Roman"/>
          <w:color w:val="auto"/>
          <w:sz w:val="20"/>
          <w:szCs w:val="20"/>
        </w:rPr>
        <w:t xml:space="preserve">provided for </w:t>
      </w:r>
      <w:r w:rsidR="00BE4FAD" w:rsidRPr="002A2289">
        <w:rPr>
          <w:rFonts w:asciiTheme="majorHAnsi" w:hAnsiTheme="majorHAnsi" w:cs="Times New Roman"/>
          <w:color w:val="auto"/>
          <w:sz w:val="20"/>
          <w:szCs w:val="20"/>
        </w:rPr>
        <w:t>by legislator</w:t>
      </w:r>
      <w:r w:rsidR="00DE250F" w:rsidRPr="002A2289">
        <w:rPr>
          <w:rFonts w:asciiTheme="majorHAnsi" w:hAnsiTheme="majorHAnsi" w:cs="Times New Roman"/>
          <w:color w:val="auto"/>
          <w:sz w:val="20"/>
          <w:szCs w:val="20"/>
        </w:rPr>
        <w:t>s</w:t>
      </w:r>
      <w:r w:rsidR="00BE4FAD" w:rsidRPr="002A2289">
        <w:rPr>
          <w:rFonts w:asciiTheme="majorHAnsi" w:hAnsiTheme="majorHAnsi" w:cs="Times New Roman"/>
          <w:color w:val="auto"/>
          <w:sz w:val="20"/>
          <w:szCs w:val="20"/>
        </w:rPr>
        <w:t xml:space="preserve"> [in </w:t>
      </w:r>
      <w:r w:rsidR="00786D79">
        <w:rPr>
          <w:rFonts w:asciiTheme="majorHAnsi" w:hAnsiTheme="majorHAnsi" w:cs="Times New Roman"/>
          <w:color w:val="auto"/>
          <w:sz w:val="20"/>
          <w:szCs w:val="20"/>
        </w:rPr>
        <w:t>Law 24.043</w:t>
      </w:r>
      <w:r w:rsidR="00EC7AB1" w:rsidRPr="002A2289">
        <w:rPr>
          <w:rFonts w:asciiTheme="majorHAnsi" w:hAnsiTheme="majorHAnsi" w:cs="Times New Roman"/>
          <w:color w:val="auto"/>
          <w:sz w:val="20"/>
          <w:szCs w:val="20"/>
        </w:rPr>
        <w:t>]</w:t>
      </w:r>
      <w:r w:rsidR="00BE4FAD" w:rsidRPr="002A2289">
        <w:rPr>
          <w:rFonts w:asciiTheme="majorHAnsi" w:hAnsiTheme="majorHAnsi" w:cs="Times New Roman"/>
          <w:color w:val="auto"/>
          <w:sz w:val="20"/>
          <w:szCs w:val="20"/>
        </w:rPr>
        <w:t>.</w:t>
      </w:r>
      <w:r w:rsidR="00EC7AB1" w:rsidRPr="002A2289">
        <w:rPr>
          <w:rStyle w:val="FootnoteReference"/>
          <w:rFonts w:asciiTheme="majorHAnsi" w:hAnsiTheme="majorHAnsi" w:cs="Times New Roman"/>
          <w:color w:val="auto"/>
          <w:sz w:val="20"/>
          <w:szCs w:val="20"/>
        </w:rPr>
        <w:footnoteReference w:id="49"/>
      </w:r>
      <w:r w:rsidR="00EC7AB1" w:rsidRPr="002A2289">
        <w:rPr>
          <w:rFonts w:asciiTheme="majorHAnsi" w:hAnsiTheme="majorHAnsi" w:cs="Times New Roman"/>
          <w:color w:val="auto"/>
          <w:sz w:val="20"/>
          <w:szCs w:val="20"/>
        </w:rPr>
        <w:t xml:space="preserve"> </w:t>
      </w:r>
    </w:p>
    <w:p w14:paraId="3B59CE27" w14:textId="77777777" w:rsidR="00EC7AB1" w:rsidRPr="002A2289" w:rsidRDefault="00EC7AB1" w:rsidP="00EC7AB1">
      <w:pPr>
        <w:pStyle w:val="ListParagraph"/>
        <w:ind w:left="634"/>
        <w:jc w:val="both"/>
        <w:rPr>
          <w:rFonts w:asciiTheme="majorHAnsi" w:hAnsiTheme="majorHAnsi" w:cs="Times New Roman"/>
          <w:color w:val="auto"/>
          <w:sz w:val="20"/>
          <w:szCs w:val="20"/>
        </w:rPr>
      </w:pPr>
    </w:p>
    <w:p w14:paraId="7F4674D2" w14:textId="0CF57CDD" w:rsidR="00EC7AB1" w:rsidRPr="002A2289" w:rsidRDefault="00BE4FAD"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In this regard, the State </w:t>
      </w:r>
      <w:r w:rsidR="00010161">
        <w:rPr>
          <w:rFonts w:asciiTheme="majorHAnsi" w:hAnsiTheme="majorHAnsi" w:cs="Times New Roman"/>
          <w:color w:val="auto"/>
          <w:sz w:val="20"/>
          <w:szCs w:val="20"/>
        </w:rPr>
        <w:t>argued</w:t>
      </w:r>
      <w:r w:rsidRPr="002A2289">
        <w:rPr>
          <w:rFonts w:asciiTheme="majorHAnsi" w:hAnsiTheme="majorHAnsi" w:cs="Times New Roman"/>
          <w:color w:val="auto"/>
          <w:sz w:val="20"/>
          <w:szCs w:val="20"/>
        </w:rPr>
        <w:t xml:space="preserve"> that in the </w:t>
      </w:r>
      <w:r w:rsidR="00EC7AB1" w:rsidRPr="002A2289">
        <w:rPr>
          <w:rFonts w:asciiTheme="majorHAnsi" w:hAnsiTheme="majorHAnsi" w:cs="Times New Roman"/>
          <w:i/>
          <w:color w:val="auto"/>
          <w:sz w:val="20"/>
          <w:szCs w:val="20"/>
        </w:rPr>
        <w:t>Robasto</w:t>
      </w:r>
      <w:r w:rsidRPr="002A2289">
        <w:rPr>
          <w:rFonts w:asciiTheme="majorHAnsi" w:hAnsiTheme="majorHAnsi" w:cs="Times New Roman"/>
          <w:i/>
          <w:color w:val="auto"/>
          <w:sz w:val="20"/>
          <w:szCs w:val="20"/>
        </w:rPr>
        <w:t xml:space="preserve"> </w:t>
      </w:r>
      <w:r w:rsidRPr="002A2289">
        <w:rPr>
          <w:rFonts w:asciiTheme="majorHAnsi" w:hAnsiTheme="majorHAnsi" w:cs="Times New Roman"/>
          <w:color w:val="auto"/>
          <w:sz w:val="20"/>
          <w:szCs w:val="20"/>
        </w:rPr>
        <w:t>case</w:t>
      </w:r>
      <w:r w:rsidR="00EC7AB1" w:rsidRPr="002A2289">
        <w:rPr>
          <w:rFonts w:asciiTheme="majorHAnsi" w:hAnsiTheme="majorHAnsi" w:cs="Times New Roman"/>
          <w:color w:val="auto"/>
          <w:sz w:val="20"/>
          <w:szCs w:val="20"/>
        </w:rPr>
        <w:t>, “</w:t>
      </w:r>
      <w:r w:rsidRPr="002A2289">
        <w:rPr>
          <w:rFonts w:asciiTheme="majorHAnsi" w:hAnsiTheme="majorHAnsi" w:cs="Times New Roman"/>
          <w:color w:val="auto"/>
          <w:sz w:val="20"/>
          <w:szCs w:val="20"/>
        </w:rPr>
        <w:t xml:space="preserve">the Court of Appeals </w:t>
      </w:r>
      <w:r w:rsidR="00DE250F" w:rsidRPr="002A2289">
        <w:rPr>
          <w:rFonts w:asciiTheme="majorHAnsi" w:hAnsiTheme="majorHAnsi" w:cs="Times New Roman"/>
          <w:color w:val="auto"/>
          <w:sz w:val="20"/>
          <w:szCs w:val="20"/>
        </w:rPr>
        <w:t xml:space="preserve">deemed </w:t>
      </w:r>
      <w:r w:rsidRPr="002A2289">
        <w:rPr>
          <w:rFonts w:asciiTheme="majorHAnsi" w:hAnsiTheme="majorHAnsi" w:cs="Times New Roman"/>
          <w:color w:val="auto"/>
          <w:sz w:val="20"/>
          <w:szCs w:val="20"/>
        </w:rPr>
        <w:t xml:space="preserve">the plaintiff’s release under surveillance </w:t>
      </w:r>
      <w:r w:rsidR="003D2581" w:rsidRPr="002A2289">
        <w:rPr>
          <w:rFonts w:asciiTheme="majorHAnsi" w:hAnsiTheme="majorHAnsi" w:cs="Times New Roman"/>
          <w:color w:val="auto"/>
          <w:sz w:val="20"/>
          <w:szCs w:val="20"/>
        </w:rPr>
        <w:t xml:space="preserve">to have been </w:t>
      </w:r>
      <w:r w:rsidRPr="002A2289">
        <w:rPr>
          <w:rFonts w:asciiTheme="majorHAnsi" w:hAnsiTheme="majorHAnsi" w:cs="Times New Roman"/>
          <w:color w:val="auto"/>
          <w:sz w:val="20"/>
          <w:szCs w:val="20"/>
        </w:rPr>
        <w:t xml:space="preserve">proven based on </w:t>
      </w:r>
      <w:r w:rsidR="00DE250F" w:rsidRPr="002A2289">
        <w:rPr>
          <w:rFonts w:asciiTheme="majorHAnsi" w:hAnsiTheme="majorHAnsi" w:cs="Times New Roman"/>
          <w:color w:val="auto"/>
          <w:sz w:val="20"/>
          <w:szCs w:val="20"/>
        </w:rPr>
        <w:t>h</w:t>
      </w:r>
      <w:r w:rsidRPr="002A2289">
        <w:rPr>
          <w:rFonts w:asciiTheme="majorHAnsi" w:hAnsiTheme="majorHAnsi" w:cs="Times New Roman"/>
          <w:color w:val="auto"/>
          <w:sz w:val="20"/>
          <w:szCs w:val="20"/>
        </w:rPr>
        <w:t xml:space="preserve">is own witness statement provided in another </w:t>
      </w:r>
      <w:r w:rsidR="00DE250F" w:rsidRPr="002A2289">
        <w:rPr>
          <w:rFonts w:asciiTheme="majorHAnsi" w:hAnsiTheme="majorHAnsi" w:cs="Times New Roman"/>
          <w:color w:val="auto"/>
          <w:sz w:val="20"/>
          <w:szCs w:val="20"/>
        </w:rPr>
        <w:t xml:space="preserve">court </w:t>
      </w:r>
      <w:r w:rsidRPr="002A2289">
        <w:rPr>
          <w:rFonts w:asciiTheme="majorHAnsi" w:hAnsiTheme="majorHAnsi" w:cs="Times New Roman"/>
          <w:color w:val="auto"/>
          <w:sz w:val="20"/>
          <w:szCs w:val="20"/>
        </w:rPr>
        <w:t xml:space="preserve">case,” and cited </w:t>
      </w:r>
      <w:r w:rsidR="00EC7AB1" w:rsidRPr="002A2289">
        <w:rPr>
          <w:rFonts w:asciiTheme="majorHAnsi" w:hAnsiTheme="majorHAnsi" w:cs="Times New Roman"/>
          <w:color w:val="auto"/>
          <w:sz w:val="20"/>
          <w:szCs w:val="20"/>
        </w:rPr>
        <w:t>CNACAF</w:t>
      </w:r>
      <w:r w:rsidRPr="002A2289">
        <w:rPr>
          <w:rFonts w:asciiTheme="majorHAnsi" w:hAnsiTheme="majorHAnsi" w:cs="Times New Roman"/>
          <w:color w:val="auto"/>
          <w:sz w:val="20"/>
          <w:szCs w:val="20"/>
        </w:rPr>
        <w:t xml:space="preserve">’s conclusion that “from that arose the obligation </w:t>
      </w:r>
      <w:r w:rsidR="00DE250F" w:rsidRPr="002A2289">
        <w:rPr>
          <w:rFonts w:asciiTheme="majorHAnsi" w:hAnsiTheme="majorHAnsi" w:cs="Times New Roman"/>
          <w:color w:val="auto"/>
          <w:sz w:val="20"/>
          <w:szCs w:val="20"/>
        </w:rPr>
        <w:t>imposed</w:t>
      </w:r>
      <w:r w:rsidR="00A222C2" w:rsidRPr="002A2289">
        <w:rPr>
          <w:rFonts w:asciiTheme="majorHAnsi" w:hAnsiTheme="majorHAnsi" w:cs="Times New Roman"/>
          <w:color w:val="auto"/>
          <w:sz w:val="20"/>
          <w:szCs w:val="20"/>
        </w:rPr>
        <w:t xml:space="preserve"> on him—</w:t>
      </w:r>
      <w:r w:rsidR="00C40AC4" w:rsidRPr="002A2289">
        <w:rPr>
          <w:rFonts w:asciiTheme="majorHAnsi" w:hAnsiTheme="majorHAnsi" w:cs="Times New Roman"/>
          <w:color w:val="auto"/>
          <w:sz w:val="20"/>
          <w:szCs w:val="20"/>
        </w:rPr>
        <w:t xml:space="preserve">to say the </w:t>
      </w:r>
      <w:r w:rsidR="00A222C2" w:rsidRPr="002A2289">
        <w:rPr>
          <w:rFonts w:asciiTheme="majorHAnsi" w:hAnsiTheme="majorHAnsi" w:cs="Times New Roman"/>
          <w:color w:val="auto"/>
          <w:sz w:val="20"/>
          <w:szCs w:val="20"/>
        </w:rPr>
        <w:t xml:space="preserve">least—to report </w:t>
      </w:r>
      <w:r w:rsidR="00DE250F" w:rsidRPr="002A2289">
        <w:rPr>
          <w:rFonts w:asciiTheme="majorHAnsi" w:hAnsiTheme="majorHAnsi" w:cs="Times New Roman"/>
          <w:color w:val="auto"/>
          <w:sz w:val="20"/>
          <w:szCs w:val="20"/>
        </w:rPr>
        <w:t xml:space="preserve">his whereabouts </w:t>
      </w:r>
      <w:r w:rsidR="00A222C2" w:rsidRPr="002A2289">
        <w:rPr>
          <w:rFonts w:asciiTheme="majorHAnsi" w:hAnsiTheme="majorHAnsi" w:cs="Times New Roman"/>
          <w:color w:val="auto"/>
          <w:sz w:val="20"/>
          <w:szCs w:val="20"/>
        </w:rPr>
        <w:t xml:space="preserve">by phone, which is why the </w:t>
      </w:r>
      <w:r w:rsidR="00DE250F" w:rsidRPr="002A2289">
        <w:rPr>
          <w:rFonts w:asciiTheme="majorHAnsi" w:hAnsiTheme="majorHAnsi" w:cs="Times New Roman"/>
          <w:color w:val="auto"/>
          <w:sz w:val="20"/>
          <w:szCs w:val="20"/>
        </w:rPr>
        <w:t>decisions</w:t>
      </w:r>
      <w:r w:rsidR="00A222C2" w:rsidRPr="002A2289">
        <w:rPr>
          <w:rFonts w:asciiTheme="majorHAnsi" w:hAnsiTheme="majorHAnsi" w:cs="Times New Roman"/>
          <w:color w:val="auto"/>
          <w:sz w:val="20"/>
          <w:szCs w:val="20"/>
        </w:rPr>
        <w:t xml:space="preserve"> challenged </w:t>
      </w:r>
      <w:r w:rsidR="00DE250F" w:rsidRPr="002A2289">
        <w:rPr>
          <w:rFonts w:asciiTheme="majorHAnsi" w:hAnsiTheme="majorHAnsi" w:cs="Times New Roman"/>
          <w:color w:val="auto"/>
          <w:sz w:val="20"/>
          <w:szCs w:val="20"/>
        </w:rPr>
        <w:t>must</w:t>
      </w:r>
      <w:r w:rsidR="00A222C2" w:rsidRPr="002A2289">
        <w:rPr>
          <w:rFonts w:asciiTheme="majorHAnsi" w:hAnsiTheme="majorHAnsi" w:cs="Times New Roman"/>
          <w:color w:val="auto"/>
          <w:sz w:val="20"/>
          <w:szCs w:val="20"/>
        </w:rPr>
        <w:t xml:space="preserve"> be </w:t>
      </w:r>
      <w:r w:rsidR="00DE250F" w:rsidRPr="002A2289">
        <w:rPr>
          <w:rFonts w:asciiTheme="majorHAnsi" w:hAnsiTheme="majorHAnsi" w:cs="Times New Roman"/>
          <w:color w:val="auto"/>
          <w:sz w:val="20"/>
          <w:szCs w:val="20"/>
        </w:rPr>
        <w:t>overturned in that regard</w:t>
      </w:r>
      <w:r w:rsidR="0021294E" w:rsidRPr="002A2289">
        <w:rPr>
          <w:rFonts w:asciiTheme="majorHAnsi" w:hAnsiTheme="majorHAnsi" w:cs="Times New Roman"/>
          <w:color w:val="auto"/>
          <w:sz w:val="20"/>
          <w:szCs w:val="20"/>
        </w:rPr>
        <w:t>.”</w:t>
      </w:r>
      <w:r w:rsidR="00EC7AB1" w:rsidRPr="002A2289">
        <w:rPr>
          <w:rStyle w:val="FootnoteReference"/>
          <w:rFonts w:asciiTheme="majorHAnsi" w:hAnsiTheme="majorHAnsi" w:cs="Times New Roman"/>
          <w:color w:val="auto"/>
          <w:sz w:val="20"/>
          <w:szCs w:val="20"/>
        </w:rPr>
        <w:footnoteReference w:id="50"/>
      </w:r>
      <w:r w:rsidR="00EC7AB1" w:rsidRPr="002A2289">
        <w:rPr>
          <w:rFonts w:asciiTheme="majorHAnsi" w:hAnsiTheme="majorHAnsi" w:cs="Times New Roman"/>
          <w:color w:val="auto"/>
          <w:sz w:val="20"/>
          <w:szCs w:val="20"/>
        </w:rPr>
        <w:t xml:space="preserve"> </w:t>
      </w:r>
      <w:r w:rsidR="0021294E" w:rsidRPr="002A2289">
        <w:rPr>
          <w:rFonts w:asciiTheme="majorHAnsi" w:hAnsiTheme="majorHAnsi" w:cs="Times New Roman"/>
          <w:color w:val="auto"/>
          <w:sz w:val="20"/>
          <w:szCs w:val="20"/>
        </w:rPr>
        <w:t>The State specified that the court “considered a</w:t>
      </w:r>
      <w:r w:rsidR="003D2581" w:rsidRPr="002A2289">
        <w:rPr>
          <w:rFonts w:asciiTheme="majorHAnsi" w:hAnsiTheme="majorHAnsi" w:cs="Times New Roman"/>
          <w:color w:val="auto"/>
          <w:sz w:val="20"/>
          <w:szCs w:val="20"/>
        </w:rPr>
        <w:t>s a</w:t>
      </w:r>
      <w:r w:rsidR="0021294E" w:rsidRPr="002A2289">
        <w:rPr>
          <w:rFonts w:asciiTheme="majorHAnsi" w:hAnsiTheme="majorHAnsi" w:cs="Times New Roman"/>
          <w:color w:val="auto"/>
          <w:sz w:val="20"/>
          <w:szCs w:val="20"/>
        </w:rPr>
        <w:t xml:space="preserve"> </w:t>
      </w:r>
      <w:r w:rsidR="00D13597" w:rsidRPr="002A2289">
        <w:rPr>
          <w:rFonts w:asciiTheme="majorHAnsi" w:hAnsiTheme="majorHAnsi" w:cs="Times New Roman"/>
          <w:color w:val="auto"/>
          <w:sz w:val="20"/>
          <w:szCs w:val="20"/>
        </w:rPr>
        <w:t>decisive</w:t>
      </w:r>
      <w:r w:rsidR="00FC2C08" w:rsidRPr="002A2289">
        <w:rPr>
          <w:rFonts w:asciiTheme="majorHAnsi" w:hAnsiTheme="majorHAnsi" w:cs="Times New Roman"/>
          <w:color w:val="auto"/>
          <w:sz w:val="20"/>
          <w:szCs w:val="20"/>
        </w:rPr>
        <w:t xml:space="preserve"> </w:t>
      </w:r>
      <w:r w:rsidR="0021294E" w:rsidRPr="002A2289">
        <w:rPr>
          <w:rFonts w:asciiTheme="majorHAnsi" w:hAnsiTheme="majorHAnsi" w:cs="Times New Roman"/>
          <w:color w:val="auto"/>
          <w:sz w:val="20"/>
          <w:szCs w:val="20"/>
        </w:rPr>
        <w:t xml:space="preserve">factor […] the existence of multiple witness statements </w:t>
      </w:r>
      <w:r w:rsidR="00325DF2" w:rsidRPr="002A2289">
        <w:rPr>
          <w:rFonts w:asciiTheme="majorHAnsi" w:hAnsiTheme="majorHAnsi" w:cs="Times New Roman"/>
          <w:color w:val="auto"/>
          <w:sz w:val="20"/>
          <w:szCs w:val="20"/>
        </w:rPr>
        <w:t xml:space="preserve">that concurred on the existence of </w:t>
      </w:r>
      <w:r w:rsidR="00FC2C08" w:rsidRPr="002A2289">
        <w:rPr>
          <w:rFonts w:asciiTheme="majorHAnsi" w:hAnsiTheme="majorHAnsi" w:cs="Times New Roman"/>
          <w:color w:val="auto"/>
          <w:sz w:val="20"/>
          <w:szCs w:val="20"/>
        </w:rPr>
        <w:t xml:space="preserve">undeclared release under surveillance as a specific method used by </w:t>
      </w:r>
      <w:r w:rsidR="00D13597" w:rsidRPr="002A2289">
        <w:rPr>
          <w:rFonts w:asciiTheme="majorHAnsi" w:hAnsiTheme="majorHAnsi" w:cs="Times New Roman"/>
          <w:color w:val="auto"/>
          <w:sz w:val="20"/>
          <w:szCs w:val="20"/>
        </w:rPr>
        <w:t>security forces</w:t>
      </w:r>
      <w:r w:rsidR="00FC2C08" w:rsidRPr="002A2289">
        <w:rPr>
          <w:rFonts w:asciiTheme="majorHAnsi" w:hAnsiTheme="majorHAnsi" w:cs="Times New Roman"/>
          <w:color w:val="auto"/>
          <w:sz w:val="20"/>
          <w:szCs w:val="20"/>
        </w:rPr>
        <w:t>.</w:t>
      </w:r>
      <w:r w:rsidR="00EC7AB1" w:rsidRPr="002A2289">
        <w:rPr>
          <w:rFonts w:asciiTheme="majorHAnsi" w:hAnsiTheme="majorHAnsi" w:cs="Times New Roman"/>
          <w:color w:val="auto"/>
          <w:sz w:val="20"/>
          <w:szCs w:val="20"/>
        </w:rPr>
        <w:t>”</w:t>
      </w:r>
      <w:r w:rsidR="00EC7AB1" w:rsidRPr="002A2289">
        <w:rPr>
          <w:rStyle w:val="FootnoteReference"/>
          <w:rFonts w:asciiTheme="majorHAnsi" w:hAnsiTheme="majorHAnsi" w:cs="Times New Roman"/>
          <w:color w:val="auto"/>
          <w:sz w:val="20"/>
          <w:szCs w:val="20"/>
        </w:rPr>
        <w:footnoteReference w:id="51"/>
      </w:r>
    </w:p>
    <w:p w14:paraId="4CFCA781" w14:textId="77777777" w:rsidR="00EC7AB1" w:rsidRPr="002A2289" w:rsidRDefault="00EC7AB1" w:rsidP="00EC7AB1">
      <w:pPr>
        <w:ind w:firstLine="720"/>
        <w:jc w:val="both"/>
        <w:rPr>
          <w:rFonts w:asciiTheme="majorHAnsi" w:hAnsiTheme="majorHAnsi"/>
          <w:sz w:val="20"/>
          <w:szCs w:val="20"/>
        </w:rPr>
      </w:pPr>
    </w:p>
    <w:p w14:paraId="13B2EC96" w14:textId="7250CE62" w:rsidR="00EC7AB1" w:rsidRPr="002A2289" w:rsidRDefault="00FC2C08"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In this respect, pursuant to a brief dated March 25, 2007, the petitioner stated that, in keeping with the </w:t>
      </w:r>
      <w:r w:rsidR="00C40AC4" w:rsidRPr="002A2289">
        <w:rPr>
          <w:rFonts w:asciiTheme="majorHAnsi" w:hAnsiTheme="majorHAnsi" w:cs="Times New Roman"/>
          <w:color w:val="auto"/>
          <w:sz w:val="20"/>
          <w:szCs w:val="20"/>
        </w:rPr>
        <w:t>guidelines</w:t>
      </w:r>
      <w:r w:rsidRPr="002A2289">
        <w:rPr>
          <w:rFonts w:asciiTheme="majorHAnsi" w:hAnsiTheme="majorHAnsi" w:cs="Times New Roman"/>
          <w:color w:val="auto"/>
          <w:sz w:val="20"/>
          <w:szCs w:val="20"/>
        </w:rPr>
        <w:t xml:space="preserve"> established in </w:t>
      </w:r>
      <w:r w:rsidR="00EC7AB1" w:rsidRPr="002A2289">
        <w:rPr>
          <w:rFonts w:asciiTheme="majorHAnsi" w:hAnsiTheme="majorHAnsi" w:cs="Times New Roman"/>
          <w:i/>
          <w:color w:val="auto"/>
          <w:sz w:val="20"/>
          <w:szCs w:val="20"/>
        </w:rPr>
        <w:t>Robasto</w:t>
      </w:r>
      <w:r w:rsidR="00EC7AB1" w:rsidRPr="002A2289">
        <w:rPr>
          <w:rFonts w:asciiTheme="majorHAnsi" w:hAnsiTheme="majorHAnsi" w:cs="Times New Roman"/>
          <w:color w:val="auto"/>
          <w:sz w:val="20"/>
          <w:szCs w:val="20"/>
        </w:rPr>
        <w:t xml:space="preserve">, </w:t>
      </w:r>
      <w:r w:rsidRPr="002A2289">
        <w:rPr>
          <w:rFonts w:asciiTheme="majorHAnsi" w:hAnsiTheme="majorHAnsi" w:cs="Times New Roman"/>
          <w:color w:val="auto"/>
          <w:sz w:val="20"/>
          <w:szCs w:val="20"/>
        </w:rPr>
        <w:t xml:space="preserve">compensation had been </w:t>
      </w:r>
      <w:r w:rsidR="00BA1A89" w:rsidRPr="002A2289">
        <w:rPr>
          <w:rFonts w:asciiTheme="majorHAnsi" w:hAnsiTheme="majorHAnsi" w:cs="Times New Roman"/>
          <w:color w:val="auto"/>
          <w:sz w:val="20"/>
          <w:szCs w:val="20"/>
        </w:rPr>
        <w:t xml:space="preserve">awarded </w:t>
      </w:r>
      <w:r w:rsidR="00325DF2" w:rsidRPr="002A2289">
        <w:rPr>
          <w:rFonts w:asciiTheme="majorHAnsi" w:hAnsiTheme="majorHAnsi" w:cs="Times New Roman"/>
          <w:color w:val="auto"/>
          <w:sz w:val="20"/>
          <w:szCs w:val="20"/>
        </w:rPr>
        <w:t>for a regime o</w:t>
      </w:r>
      <w:r w:rsidR="00BA1A89" w:rsidRPr="002A2289">
        <w:rPr>
          <w:rFonts w:asciiTheme="majorHAnsi" w:hAnsiTheme="majorHAnsi" w:cs="Times New Roman"/>
          <w:color w:val="auto"/>
          <w:sz w:val="20"/>
          <w:szCs w:val="20"/>
        </w:rPr>
        <w:t xml:space="preserve">f </w:t>
      </w:r>
      <w:r w:rsidR="00BA1A89" w:rsidRPr="002A2289">
        <w:rPr>
          <w:rFonts w:asciiTheme="majorHAnsi" w:hAnsiTheme="majorHAnsi" w:cs="Times New Roman"/>
          <w:i/>
          <w:color w:val="auto"/>
          <w:sz w:val="20"/>
          <w:szCs w:val="20"/>
        </w:rPr>
        <w:t>de facto</w:t>
      </w:r>
      <w:r w:rsidR="00BA1A89" w:rsidRPr="002A2289">
        <w:rPr>
          <w:rFonts w:asciiTheme="majorHAnsi" w:hAnsiTheme="majorHAnsi" w:cs="Times New Roman"/>
          <w:color w:val="auto"/>
          <w:sz w:val="20"/>
          <w:szCs w:val="20"/>
        </w:rPr>
        <w:t xml:space="preserve"> release under surveillance </w:t>
      </w:r>
      <w:r w:rsidR="00325DF2" w:rsidRPr="002A2289">
        <w:rPr>
          <w:rFonts w:asciiTheme="majorHAnsi" w:hAnsiTheme="majorHAnsi" w:cs="Times New Roman"/>
          <w:color w:val="auto"/>
          <w:sz w:val="20"/>
          <w:szCs w:val="20"/>
        </w:rPr>
        <w:t xml:space="preserve">in “other cases similar to mine. These cases included that </w:t>
      </w:r>
      <w:r w:rsidR="00BA1A89" w:rsidRPr="002A2289">
        <w:rPr>
          <w:rFonts w:asciiTheme="majorHAnsi" w:hAnsiTheme="majorHAnsi" w:cs="Times New Roman"/>
          <w:color w:val="auto"/>
          <w:sz w:val="20"/>
          <w:szCs w:val="20"/>
        </w:rPr>
        <w:t xml:space="preserve">of Mrs. </w:t>
      </w:r>
      <w:r w:rsidR="00EC7AB1" w:rsidRPr="002A2289">
        <w:rPr>
          <w:rFonts w:asciiTheme="majorHAnsi" w:hAnsiTheme="majorHAnsi" w:cs="Times New Roman"/>
          <w:color w:val="auto"/>
          <w:sz w:val="20"/>
          <w:szCs w:val="20"/>
        </w:rPr>
        <w:t>Brull de Guillén, Gilberto Rengel Ponce (</w:t>
      </w:r>
      <w:r w:rsidR="00BA1A89" w:rsidRPr="002A2289">
        <w:rPr>
          <w:rFonts w:asciiTheme="majorHAnsi" w:hAnsiTheme="majorHAnsi" w:cs="Times New Roman"/>
          <w:color w:val="auto"/>
          <w:sz w:val="20"/>
          <w:szCs w:val="20"/>
        </w:rPr>
        <w:t xml:space="preserve">Case </w:t>
      </w:r>
      <w:r w:rsidR="00EC7AB1" w:rsidRPr="002A2289">
        <w:rPr>
          <w:rFonts w:asciiTheme="majorHAnsi" w:hAnsiTheme="majorHAnsi" w:cs="Times New Roman"/>
          <w:color w:val="auto"/>
          <w:sz w:val="20"/>
          <w:szCs w:val="20"/>
        </w:rPr>
        <w:t>277068/95)</w:t>
      </w:r>
      <w:r w:rsidR="005D131B" w:rsidRPr="002A2289">
        <w:rPr>
          <w:rFonts w:asciiTheme="majorHAnsi" w:hAnsiTheme="majorHAnsi" w:cs="Times New Roman"/>
          <w:color w:val="auto"/>
          <w:sz w:val="20"/>
          <w:szCs w:val="20"/>
        </w:rPr>
        <w:t>,</w:t>
      </w:r>
      <w:r w:rsidR="00EC7AB1" w:rsidRPr="002A2289">
        <w:rPr>
          <w:rFonts w:asciiTheme="majorHAnsi" w:hAnsiTheme="majorHAnsi" w:cs="Times New Roman"/>
          <w:color w:val="auto"/>
          <w:sz w:val="20"/>
          <w:szCs w:val="20"/>
        </w:rPr>
        <w:t xml:space="preserve"> </w:t>
      </w:r>
      <w:r w:rsidR="00BA1A89" w:rsidRPr="002A2289">
        <w:rPr>
          <w:rFonts w:asciiTheme="majorHAnsi" w:hAnsiTheme="majorHAnsi" w:cs="Times New Roman"/>
          <w:color w:val="auto"/>
          <w:sz w:val="20"/>
          <w:szCs w:val="20"/>
        </w:rPr>
        <w:t>and</w:t>
      </w:r>
      <w:r w:rsidR="00EC7AB1" w:rsidRPr="002A2289">
        <w:rPr>
          <w:rFonts w:asciiTheme="majorHAnsi" w:hAnsiTheme="majorHAnsi" w:cs="Times New Roman"/>
          <w:color w:val="auto"/>
          <w:sz w:val="20"/>
          <w:szCs w:val="20"/>
        </w:rPr>
        <w:t xml:space="preserve"> Juan Agustín Guillén (</w:t>
      </w:r>
      <w:r w:rsidR="00BA1A89" w:rsidRPr="002A2289">
        <w:rPr>
          <w:rFonts w:asciiTheme="majorHAnsi" w:hAnsiTheme="majorHAnsi" w:cs="Times New Roman"/>
          <w:color w:val="auto"/>
          <w:sz w:val="20"/>
          <w:szCs w:val="20"/>
        </w:rPr>
        <w:t xml:space="preserve">Case </w:t>
      </w:r>
      <w:r w:rsidR="00EC7AB1" w:rsidRPr="002A2289">
        <w:rPr>
          <w:rFonts w:asciiTheme="majorHAnsi" w:hAnsiTheme="majorHAnsi" w:cs="Times New Roman"/>
          <w:color w:val="auto"/>
          <w:sz w:val="20"/>
          <w:szCs w:val="20"/>
        </w:rPr>
        <w:t xml:space="preserve">377031/95), </w:t>
      </w:r>
      <w:r w:rsidR="00BA1A89" w:rsidRPr="002A2289">
        <w:rPr>
          <w:rFonts w:asciiTheme="majorHAnsi" w:hAnsiTheme="majorHAnsi" w:cs="Times New Roman"/>
          <w:color w:val="auto"/>
          <w:sz w:val="20"/>
          <w:szCs w:val="20"/>
        </w:rPr>
        <w:t xml:space="preserve">where the petitioners had </w:t>
      </w:r>
      <w:r w:rsidR="00FC4116" w:rsidRPr="002A2289">
        <w:rPr>
          <w:rFonts w:asciiTheme="majorHAnsi" w:hAnsiTheme="majorHAnsi" w:cs="Times New Roman"/>
          <w:color w:val="auto"/>
          <w:sz w:val="20"/>
          <w:szCs w:val="20"/>
        </w:rPr>
        <w:t xml:space="preserve">also </w:t>
      </w:r>
      <w:r w:rsidR="00BA1A89" w:rsidRPr="002A2289">
        <w:rPr>
          <w:rFonts w:asciiTheme="majorHAnsi" w:hAnsiTheme="majorHAnsi" w:cs="Times New Roman"/>
          <w:color w:val="auto"/>
          <w:sz w:val="20"/>
          <w:szCs w:val="20"/>
        </w:rPr>
        <w:t>been kidnapped</w:t>
      </w:r>
      <w:r w:rsidR="00FC4116" w:rsidRPr="002A2289">
        <w:rPr>
          <w:rFonts w:asciiTheme="majorHAnsi" w:hAnsiTheme="majorHAnsi" w:cs="Times New Roman"/>
          <w:color w:val="auto"/>
          <w:sz w:val="20"/>
          <w:szCs w:val="20"/>
        </w:rPr>
        <w:t>,</w:t>
      </w:r>
      <w:r w:rsidR="00BA1A89" w:rsidRPr="002A2289">
        <w:rPr>
          <w:rFonts w:asciiTheme="majorHAnsi" w:hAnsiTheme="majorHAnsi" w:cs="Times New Roman"/>
          <w:color w:val="auto"/>
          <w:sz w:val="20"/>
          <w:szCs w:val="20"/>
        </w:rPr>
        <w:t xml:space="preserve"> and once release</w:t>
      </w:r>
      <w:r w:rsidR="00FC4116" w:rsidRPr="002A2289">
        <w:rPr>
          <w:rFonts w:asciiTheme="majorHAnsi" w:hAnsiTheme="majorHAnsi" w:cs="Times New Roman"/>
          <w:color w:val="auto"/>
          <w:sz w:val="20"/>
          <w:szCs w:val="20"/>
        </w:rPr>
        <w:t>d,</w:t>
      </w:r>
      <w:r w:rsidR="00BA1A89" w:rsidRPr="002A2289">
        <w:rPr>
          <w:rFonts w:asciiTheme="majorHAnsi" w:hAnsiTheme="majorHAnsi" w:cs="Times New Roman"/>
          <w:color w:val="auto"/>
          <w:sz w:val="20"/>
          <w:szCs w:val="20"/>
        </w:rPr>
        <w:t xml:space="preserve"> had to continue reporting </w:t>
      </w:r>
      <w:r w:rsidR="00325DF2" w:rsidRPr="002A2289">
        <w:rPr>
          <w:rFonts w:asciiTheme="majorHAnsi" w:hAnsiTheme="majorHAnsi" w:cs="Times New Roman"/>
          <w:color w:val="auto"/>
          <w:sz w:val="20"/>
          <w:szCs w:val="20"/>
        </w:rPr>
        <w:t xml:space="preserve">to their captors </w:t>
      </w:r>
      <w:r w:rsidR="00BA1A89" w:rsidRPr="002A2289">
        <w:rPr>
          <w:rFonts w:asciiTheme="majorHAnsi" w:hAnsiTheme="majorHAnsi" w:cs="Times New Roman"/>
          <w:color w:val="auto"/>
          <w:sz w:val="20"/>
          <w:szCs w:val="20"/>
        </w:rPr>
        <w:t>by phone and receiving ‘visits’ from the</w:t>
      </w:r>
      <w:r w:rsidR="00325DF2" w:rsidRPr="002A2289">
        <w:rPr>
          <w:rFonts w:asciiTheme="majorHAnsi" w:hAnsiTheme="majorHAnsi" w:cs="Times New Roman"/>
          <w:color w:val="auto"/>
          <w:sz w:val="20"/>
          <w:szCs w:val="20"/>
        </w:rPr>
        <w:t>m</w:t>
      </w:r>
      <w:r w:rsidR="00BA1A89" w:rsidRPr="002A2289">
        <w:rPr>
          <w:rFonts w:asciiTheme="majorHAnsi" w:hAnsiTheme="majorHAnsi" w:cs="Times New Roman"/>
          <w:color w:val="auto"/>
          <w:sz w:val="20"/>
          <w:szCs w:val="20"/>
        </w:rPr>
        <w:t xml:space="preserve"> until the beginning of </w:t>
      </w:r>
      <w:r w:rsidR="00FC4116" w:rsidRPr="002A2289">
        <w:rPr>
          <w:rFonts w:asciiTheme="majorHAnsi" w:hAnsiTheme="majorHAnsi" w:cs="Times New Roman"/>
          <w:color w:val="auto"/>
          <w:sz w:val="20"/>
          <w:szCs w:val="20"/>
        </w:rPr>
        <w:t>democracy</w:t>
      </w:r>
      <w:r w:rsidR="00BA1A89" w:rsidRPr="002A2289">
        <w:rPr>
          <w:rFonts w:asciiTheme="majorHAnsi" w:hAnsiTheme="majorHAnsi" w:cs="Times New Roman"/>
          <w:color w:val="auto"/>
          <w:sz w:val="20"/>
          <w:szCs w:val="20"/>
        </w:rPr>
        <w:t>.” He continued:</w:t>
      </w:r>
    </w:p>
    <w:p w14:paraId="522AFF79" w14:textId="77777777" w:rsidR="00EC7AB1" w:rsidRPr="002A2289" w:rsidRDefault="00EC7AB1" w:rsidP="00EC7AB1">
      <w:pPr>
        <w:pStyle w:val="ListParagraph"/>
        <w:ind w:left="634"/>
        <w:jc w:val="both"/>
        <w:rPr>
          <w:rFonts w:asciiTheme="majorHAnsi" w:hAnsiTheme="majorHAnsi" w:cs="Times New Roman"/>
          <w:color w:val="auto"/>
          <w:sz w:val="20"/>
          <w:szCs w:val="20"/>
        </w:rPr>
      </w:pPr>
    </w:p>
    <w:p w14:paraId="56979BA6" w14:textId="0376D6BD" w:rsidR="00EC7AB1" w:rsidRPr="002A2289" w:rsidRDefault="00BA1A89" w:rsidP="00EC7AB1">
      <w:pPr>
        <w:pStyle w:val="ListParagraph"/>
        <w:ind w:right="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For this reason, when the criteri</w:t>
      </w:r>
      <w:r w:rsidR="00325DF2" w:rsidRPr="002A2289">
        <w:rPr>
          <w:rFonts w:asciiTheme="majorHAnsi" w:hAnsiTheme="majorHAnsi" w:cs="Times New Roman"/>
          <w:color w:val="auto"/>
          <w:sz w:val="20"/>
          <w:szCs w:val="20"/>
        </w:rPr>
        <w:t>a</w:t>
      </w:r>
      <w:r w:rsidRPr="002A2289">
        <w:rPr>
          <w:rFonts w:asciiTheme="majorHAnsi" w:hAnsiTheme="majorHAnsi" w:cs="Times New Roman"/>
          <w:color w:val="auto"/>
          <w:sz w:val="20"/>
          <w:szCs w:val="20"/>
        </w:rPr>
        <w:t xml:space="preserve"> for awarding compensation changed</w:t>
      </w:r>
      <w:r w:rsidR="00325DF2" w:rsidRPr="002A2289">
        <w:rPr>
          <w:rFonts w:asciiTheme="majorHAnsi" w:hAnsiTheme="majorHAnsi" w:cs="Times New Roman"/>
          <w:color w:val="auto"/>
          <w:sz w:val="20"/>
          <w:szCs w:val="20"/>
        </w:rPr>
        <w:t>,</w:t>
      </w:r>
      <w:r w:rsidRPr="002A2289">
        <w:rPr>
          <w:rFonts w:asciiTheme="majorHAnsi" w:hAnsiTheme="majorHAnsi" w:cs="Times New Roman"/>
          <w:color w:val="auto"/>
          <w:sz w:val="20"/>
          <w:szCs w:val="20"/>
        </w:rPr>
        <w:t xml:space="preserve"> in an effort to obtain a solution to my situation within the domestic </w:t>
      </w:r>
      <w:r w:rsidR="00325DF2" w:rsidRPr="002A2289">
        <w:rPr>
          <w:rFonts w:asciiTheme="majorHAnsi" w:hAnsiTheme="majorHAnsi" w:cs="Times New Roman"/>
          <w:color w:val="auto"/>
          <w:sz w:val="20"/>
          <w:szCs w:val="20"/>
        </w:rPr>
        <w:t>system</w:t>
      </w:r>
      <w:r w:rsidRPr="002A2289">
        <w:rPr>
          <w:rFonts w:asciiTheme="majorHAnsi" w:hAnsiTheme="majorHAnsi" w:cs="Times New Roman"/>
          <w:color w:val="auto"/>
          <w:sz w:val="20"/>
          <w:szCs w:val="20"/>
        </w:rPr>
        <w:t>, I sen</w:t>
      </w:r>
      <w:r w:rsidR="00484F6F" w:rsidRPr="002A2289">
        <w:rPr>
          <w:rFonts w:asciiTheme="majorHAnsi" w:hAnsiTheme="majorHAnsi" w:cs="Times New Roman"/>
          <w:color w:val="auto"/>
          <w:sz w:val="20"/>
          <w:szCs w:val="20"/>
        </w:rPr>
        <w:t>t</w:t>
      </w:r>
      <w:r w:rsidRPr="002A2289">
        <w:rPr>
          <w:rFonts w:asciiTheme="majorHAnsi" w:hAnsiTheme="majorHAnsi" w:cs="Times New Roman"/>
          <w:color w:val="auto"/>
          <w:sz w:val="20"/>
          <w:szCs w:val="20"/>
        </w:rPr>
        <w:t xml:space="preserve"> petitions to the </w:t>
      </w:r>
      <w:r w:rsidR="00EC7AB1" w:rsidRPr="002A2289">
        <w:rPr>
          <w:rFonts w:asciiTheme="majorHAnsi" w:hAnsiTheme="majorHAnsi" w:cs="Times New Roman"/>
          <w:color w:val="auto"/>
          <w:sz w:val="20"/>
          <w:szCs w:val="20"/>
        </w:rPr>
        <w:t>[</w:t>
      </w:r>
      <w:r w:rsidR="005D6812" w:rsidRPr="002A2289">
        <w:rPr>
          <w:rFonts w:asciiTheme="majorHAnsi" w:hAnsiTheme="majorHAnsi" w:cs="Times New Roman"/>
          <w:color w:val="auto"/>
          <w:sz w:val="20"/>
          <w:szCs w:val="20"/>
        </w:rPr>
        <w:t>Ministry of Justice</w:t>
      </w:r>
      <w:r w:rsidR="00EC7AB1" w:rsidRPr="002A2289">
        <w:rPr>
          <w:rFonts w:asciiTheme="majorHAnsi" w:hAnsiTheme="majorHAnsi" w:cs="Times New Roman"/>
          <w:color w:val="auto"/>
          <w:sz w:val="20"/>
          <w:szCs w:val="20"/>
        </w:rPr>
        <w:t xml:space="preserve">] </w:t>
      </w:r>
      <w:r w:rsidR="00484F6F" w:rsidRPr="002A2289">
        <w:rPr>
          <w:rFonts w:asciiTheme="majorHAnsi" w:hAnsiTheme="majorHAnsi" w:cs="Times New Roman"/>
          <w:color w:val="auto"/>
          <w:sz w:val="20"/>
          <w:szCs w:val="20"/>
        </w:rPr>
        <w:t xml:space="preserve">on December </w:t>
      </w:r>
      <w:r w:rsidR="00EC7AB1" w:rsidRPr="002A2289">
        <w:rPr>
          <w:rFonts w:asciiTheme="majorHAnsi" w:hAnsiTheme="majorHAnsi" w:cs="Times New Roman"/>
          <w:color w:val="auto"/>
          <w:sz w:val="20"/>
          <w:szCs w:val="20"/>
        </w:rPr>
        <w:t>27</w:t>
      </w:r>
      <w:r w:rsidR="00484F6F" w:rsidRPr="002A2289">
        <w:rPr>
          <w:rFonts w:asciiTheme="majorHAnsi" w:hAnsiTheme="majorHAnsi" w:cs="Times New Roman"/>
          <w:color w:val="auto"/>
          <w:sz w:val="20"/>
          <w:szCs w:val="20"/>
        </w:rPr>
        <w:t>,</w:t>
      </w:r>
      <w:r w:rsidR="00EC7AB1" w:rsidRPr="002A2289">
        <w:rPr>
          <w:rFonts w:asciiTheme="majorHAnsi" w:hAnsiTheme="majorHAnsi" w:cs="Times New Roman"/>
          <w:color w:val="auto"/>
          <w:sz w:val="20"/>
          <w:szCs w:val="20"/>
        </w:rPr>
        <w:t xml:space="preserve"> 2004, am</w:t>
      </w:r>
      <w:r w:rsidR="00484F6F" w:rsidRPr="002A2289">
        <w:rPr>
          <w:rFonts w:asciiTheme="majorHAnsi" w:hAnsiTheme="majorHAnsi" w:cs="Times New Roman"/>
          <w:color w:val="auto"/>
          <w:sz w:val="20"/>
          <w:szCs w:val="20"/>
        </w:rPr>
        <w:t xml:space="preserve">ended on March </w:t>
      </w:r>
      <w:r w:rsidR="00EC7AB1" w:rsidRPr="002A2289">
        <w:rPr>
          <w:rFonts w:asciiTheme="majorHAnsi" w:hAnsiTheme="majorHAnsi" w:cs="Times New Roman"/>
          <w:color w:val="auto"/>
          <w:sz w:val="20"/>
          <w:szCs w:val="20"/>
        </w:rPr>
        <w:t>28</w:t>
      </w:r>
      <w:r w:rsidR="00484F6F" w:rsidRPr="002A2289">
        <w:rPr>
          <w:rFonts w:asciiTheme="majorHAnsi" w:hAnsiTheme="majorHAnsi" w:cs="Times New Roman"/>
          <w:color w:val="auto"/>
          <w:sz w:val="20"/>
          <w:szCs w:val="20"/>
        </w:rPr>
        <w:t xml:space="preserve">, </w:t>
      </w:r>
      <w:r w:rsidR="00EC7AB1" w:rsidRPr="002A2289">
        <w:rPr>
          <w:rFonts w:asciiTheme="majorHAnsi" w:hAnsiTheme="majorHAnsi" w:cs="Times New Roman"/>
          <w:color w:val="auto"/>
          <w:sz w:val="20"/>
          <w:szCs w:val="20"/>
        </w:rPr>
        <w:t xml:space="preserve">2006; </w:t>
      </w:r>
      <w:r w:rsidR="00484F6F" w:rsidRPr="002A2289">
        <w:rPr>
          <w:rFonts w:asciiTheme="majorHAnsi" w:hAnsiTheme="majorHAnsi" w:cs="Times New Roman"/>
          <w:color w:val="auto"/>
          <w:sz w:val="20"/>
          <w:szCs w:val="20"/>
        </w:rPr>
        <w:t xml:space="preserve">and to </w:t>
      </w:r>
      <w:r w:rsidR="00EC7AB1" w:rsidRPr="002A2289">
        <w:rPr>
          <w:rFonts w:asciiTheme="majorHAnsi" w:hAnsiTheme="majorHAnsi" w:cs="Times New Roman"/>
          <w:color w:val="auto"/>
          <w:sz w:val="20"/>
          <w:szCs w:val="20"/>
        </w:rPr>
        <w:t>[</w:t>
      </w:r>
      <w:r w:rsidR="00484F6F" w:rsidRPr="002A2289">
        <w:rPr>
          <w:rFonts w:asciiTheme="majorHAnsi" w:hAnsiTheme="majorHAnsi" w:cs="Times New Roman"/>
          <w:color w:val="auto"/>
          <w:sz w:val="20"/>
          <w:szCs w:val="20"/>
        </w:rPr>
        <w:t>the Ministry of Foreign Relations</w:t>
      </w:r>
      <w:r w:rsidR="00EC7AB1" w:rsidRPr="002A2289">
        <w:rPr>
          <w:rFonts w:asciiTheme="majorHAnsi" w:hAnsiTheme="majorHAnsi" w:cs="Times New Roman"/>
          <w:color w:val="auto"/>
          <w:sz w:val="20"/>
          <w:szCs w:val="20"/>
        </w:rPr>
        <w:t xml:space="preserve">] </w:t>
      </w:r>
      <w:r w:rsidR="00484F6F" w:rsidRPr="002A2289">
        <w:rPr>
          <w:rFonts w:asciiTheme="majorHAnsi" w:hAnsiTheme="majorHAnsi" w:cs="Times New Roman"/>
          <w:color w:val="auto"/>
          <w:sz w:val="20"/>
          <w:szCs w:val="20"/>
        </w:rPr>
        <w:t xml:space="preserve">on October 31, </w:t>
      </w:r>
      <w:r w:rsidR="00EC7AB1" w:rsidRPr="002A2289">
        <w:rPr>
          <w:rFonts w:asciiTheme="majorHAnsi" w:hAnsiTheme="majorHAnsi" w:cs="Times New Roman"/>
          <w:color w:val="auto"/>
          <w:sz w:val="20"/>
          <w:szCs w:val="20"/>
        </w:rPr>
        <w:t>2006</w:t>
      </w:r>
      <w:r w:rsidR="00484F6F" w:rsidRPr="002A2289">
        <w:rPr>
          <w:rFonts w:asciiTheme="majorHAnsi" w:hAnsiTheme="majorHAnsi" w:cs="Times New Roman"/>
          <w:color w:val="auto"/>
          <w:sz w:val="20"/>
          <w:szCs w:val="20"/>
        </w:rPr>
        <w:t>, the copies of which are attached.</w:t>
      </w:r>
      <w:r w:rsidR="00EC7AB1" w:rsidRPr="002A2289">
        <w:rPr>
          <w:rFonts w:asciiTheme="majorHAnsi" w:hAnsiTheme="majorHAnsi" w:cs="Times New Roman"/>
          <w:color w:val="auto"/>
          <w:sz w:val="20"/>
          <w:szCs w:val="20"/>
        </w:rPr>
        <w:t xml:space="preserve"> </w:t>
      </w:r>
      <w:r w:rsidR="00484F6F" w:rsidRPr="002A2289">
        <w:rPr>
          <w:rFonts w:asciiTheme="majorHAnsi" w:hAnsiTheme="majorHAnsi" w:cs="Times New Roman"/>
          <w:color w:val="auto"/>
          <w:sz w:val="20"/>
          <w:szCs w:val="20"/>
        </w:rPr>
        <w:t xml:space="preserve">These </w:t>
      </w:r>
      <w:r w:rsidR="00AE1A6C" w:rsidRPr="002A2289">
        <w:rPr>
          <w:rFonts w:asciiTheme="majorHAnsi" w:hAnsiTheme="majorHAnsi" w:cs="Times New Roman"/>
          <w:color w:val="auto"/>
          <w:sz w:val="20"/>
          <w:szCs w:val="20"/>
        </w:rPr>
        <w:t>submissions</w:t>
      </w:r>
      <w:r w:rsidR="00484F6F" w:rsidRPr="002A2289">
        <w:rPr>
          <w:rFonts w:asciiTheme="majorHAnsi" w:hAnsiTheme="majorHAnsi" w:cs="Times New Roman"/>
          <w:color w:val="auto"/>
          <w:sz w:val="20"/>
          <w:szCs w:val="20"/>
        </w:rPr>
        <w:t xml:space="preserve"> may not be considered appeals in and of themselves, inasmuch as they are </w:t>
      </w:r>
      <w:r w:rsidR="00AE1A6C" w:rsidRPr="002A2289">
        <w:rPr>
          <w:rFonts w:asciiTheme="majorHAnsi" w:hAnsiTheme="majorHAnsi" w:cs="Times New Roman"/>
          <w:color w:val="auto"/>
          <w:sz w:val="20"/>
          <w:szCs w:val="20"/>
        </w:rPr>
        <w:t>merely</w:t>
      </w:r>
      <w:r w:rsidR="00484F6F" w:rsidRPr="002A2289">
        <w:rPr>
          <w:rFonts w:asciiTheme="majorHAnsi" w:hAnsiTheme="majorHAnsi" w:cs="Times New Roman"/>
          <w:color w:val="auto"/>
          <w:sz w:val="20"/>
          <w:szCs w:val="20"/>
        </w:rPr>
        <w:t xml:space="preserve"> petitions that citizens can present to authorities, </w:t>
      </w:r>
      <w:r w:rsidR="00010161">
        <w:rPr>
          <w:rFonts w:asciiTheme="majorHAnsi" w:hAnsiTheme="majorHAnsi" w:cs="Times New Roman"/>
          <w:color w:val="auto"/>
          <w:sz w:val="20"/>
          <w:szCs w:val="20"/>
        </w:rPr>
        <w:t>whose resolution</w:t>
      </w:r>
      <w:r w:rsidR="00AE1A6C" w:rsidRPr="002A2289">
        <w:rPr>
          <w:rFonts w:asciiTheme="majorHAnsi" w:hAnsiTheme="majorHAnsi" w:cs="Times New Roman"/>
          <w:color w:val="auto"/>
          <w:sz w:val="20"/>
          <w:szCs w:val="20"/>
        </w:rPr>
        <w:t xml:space="preserve"> </w:t>
      </w:r>
      <w:r w:rsidR="00484F6F" w:rsidRPr="002A2289">
        <w:rPr>
          <w:rFonts w:asciiTheme="majorHAnsi" w:hAnsiTheme="majorHAnsi" w:cs="Times New Roman"/>
          <w:color w:val="auto"/>
          <w:sz w:val="20"/>
          <w:szCs w:val="20"/>
        </w:rPr>
        <w:t xml:space="preserve">does not </w:t>
      </w:r>
      <w:r w:rsidR="00AE1A6C" w:rsidRPr="002A2289">
        <w:rPr>
          <w:rFonts w:asciiTheme="majorHAnsi" w:hAnsiTheme="majorHAnsi" w:cs="Times New Roman"/>
          <w:color w:val="auto"/>
          <w:sz w:val="20"/>
          <w:szCs w:val="20"/>
        </w:rPr>
        <w:t>allow</w:t>
      </w:r>
      <w:r w:rsidR="00484F6F" w:rsidRPr="002A2289">
        <w:rPr>
          <w:rFonts w:asciiTheme="majorHAnsi" w:hAnsiTheme="majorHAnsi" w:cs="Times New Roman"/>
          <w:color w:val="auto"/>
          <w:sz w:val="20"/>
          <w:szCs w:val="20"/>
        </w:rPr>
        <w:t xml:space="preserve"> for </w:t>
      </w:r>
      <w:r w:rsidR="00010161">
        <w:rPr>
          <w:rFonts w:asciiTheme="majorHAnsi" w:hAnsiTheme="majorHAnsi" w:cs="Times New Roman"/>
          <w:color w:val="auto"/>
          <w:sz w:val="20"/>
          <w:szCs w:val="20"/>
        </w:rPr>
        <w:t>judicial review</w:t>
      </w:r>
      <w:r w:rsidR="00484F6F" w:rsidRPr="002A2289">
        <w:rPr>
          <w:rFonts w:asciiTheme="majorHAnsi" w:hAnsiTheme="majorHAnsi" w:cs="Times New Roman"/>
          <w:color w:val="auto"/>
          <w:sz w:val="20"/>
          <w:szCs w:val="20"/>
        </w:rPr>
        <w:t>.</w:t>
      </w:r>
    </w:p>
    <w:p w14:paraId="113B0F37" w14:textId="77777777" w:rsidR="00EC7AB1" w:rsidRPr="002A2289" w:rsidRDefault="00EC7AB1" w:rsidP="00EC7AB1">
      <w:pPr>
        <w:pStyle w:val="ListParagraph"/>
        <w:ind w:right="720"/>
        <w:jc w:val="both"/>
        <w:rPr>
          <w:rFonts w:asciiTheme="majorHAnsi" w:hAnsiTheme="majorHAnsi" w:cs="Times New Roman"/>
          <w:color w:val="auto"/>
          <w:sz w:val="20"/>
          <w:szCs w:val="20"/>
        </w:rPr>
      </w:pPr>
    </w:p>
    <w:p w14:paraId="21C377A4" w14:textId="0118B66E" w:rsidR="00EC7AB1" w:rsidRPr="002A2289" w:rsidRDefault="00EC7AB1" w:rsidP="00EC7AB1">
      <w:pPr>
        <w:pStyle w:val="ListParagraph"/>
        <w:ind w:right="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w:t>
      </w:r>
      <w:r w:rsidR="00484F6F" w:rsidRPr="002A2289">
        <w:rPr>
          <w:rFonts w:asciiTheme="majorHAnsi" w:hAnsiTheme="majorHAnsi" w:cs="Times New Roman"/>
          <w:color w:val="auto"/>
          <w:sz w:val="20"/>
          <w:szCs w:val="20"/>
        </w:rPr>
        <w:t xml:space="preserve">The </w:t>
      </w:r>
      <w:r w:rsidR="005D6812" w:rsidRPr="002A2289">
        <w:rPr>
          <w:rFonts w:asciiTheme="majorHAnsi" w:hAnsiTheme="majorHAnsi" w:cs="Times New Roman"/>
          <w:color w:val="auto"/>
          <w:sz w:val="20"/>
          <w:szCs w:val="20"/>
        </w:rPr>
        <w:t>Ministry of Justice</w:t>
      </w:r>
      <w:r w:rsidRPr="002A2289">
        <w:rPr>
          <w:rFonts w:asciiTheme="majorHAnsi" w:hAnsiTheme="majorHAnsi" w:cs="Times New Roman"/>
          <w:color w:val="auto"/>
          <w:sz w:val="20"/>
          <w:szCs w:val="20"/>
        </w:rPr>
        <w:t>]</w:t>
      </w:r>
      <w:r w:rsidR="00681076" w:rsidRPr="002A2289">
        <w:rPr>
          <w:rFonts w:asciiTheme="majorHAnsi" w:hAnsiTheme="majorHAnsi" w:cs="Times New Roman"/>
          <w:color w:val="auto"/>
          <w:sz w:val="20"/>
          <w:szCs w:val="20"/>
        </w:rPr>
        <w:t>,</w:t>
      </w:r>
      <w:r w:rsidR="00484F6F" w:rsidRPr="002A2289">
        <w:rPr>
          <w:rFonts w:asciiTheme="majorHAnsi" w:hAnsiTheme="majorHAnsi" w:cs="Times New Roman"/>
          <w:color w:val="auto"/>
          <w:sz w:val="20"/>
          <w:szCs w:val="20"/>
        </w:rPr>
        <w:t xml:space="preserve"> although it does not deny th</w:t>
      </w:r>
      <w:r w:rsidR="00AE1A6C" w:rsidRPr="002A2289">
        <w:rPr>
          <w:rFonts w:asciiTheme="majorHAnsi" w:hAnsiTheme="majorHAnsi" w:cs="Times New Roman"/>
          <w:color w:val="auto"/>
          <w:sz w:val="20"/>
          <w:szCs w:val="20"/>
        </w:rPr>
        <w:t>at</w:t>
      </w:r>
      <w:r w:rsidR="00484F6F" w:rsidRPr="002A2289">
        <w:rPr>
          <w:rFonts w:asciiTheme="majorHAnsi" w:hAnsiTheme="majorHAnsi" w:cs="Times New Roman"/>
          <w:color w:val="auto"/>
          <w:sz w:val="20"/>
          <w:szCs w:val="20"/>
        </w:rPr>
        <w:t xml:space="preserve"> the Executive</w:t>
      </w:r>
      <w:r w:rsidR="00AE1A6C" w:rsidRPr="002A2289">
        <w:rPr>
          <w:rFonts w:asciiTheme="majorHAnsi" w:hAnsiTheme="majorHAnsi" w:cs="Times New Roman"/>
          <w:color w:val="auto"/>
          <w:sz w:val="20"/>
          <w:szCs w:val="20"/>
        </w:rPr>
        <w:t xml:space="preserve"> has the power</w:t>
      </w:r>
      <w:r w:rsidR="00484F6F" w:rsidRPr="002A2289">
        <w:rPr>
          <w:rFonts w:asciiTheme="majorHAnsi" w:hAnsiTheme="majorHAnsi" w:cs="Times New Roman"/>
          <w:color w:val="auto"/>
          <w:sz w:val="20"/>
          <w:szCs w:val="20"/>
        </w:rPr>
        <w:t xml:space="preserve"> to revi</w:t>
      </w:r>
      <w:r w:rsidR="00AE1A6C" w:rsidRPr="002A2289">
        <w:rPr>
          <w:rFonts w:asciiTheme="majorHAnsi" w:hAnsiTheme="majorHAnsi" w:cs="Times New Roman"/>
          <w:color w:val="auto"/>
          <w:sz w:val="20"/>
          <w:szCs w:val="20"/>
        </w:rPr>
        <w:t>ew</w:t>
      </w:r>
      <w:r w:rsidR="00484F6F" w:rsidRPr="002A2289">
        <w:rPr>
          <w:rFonts w:asciiTheme="majorHAnsi" w:hAnsiTheme="majorHAnsi" w:cs="Times New Roman"/>
          <w:color w:val="auto"/>
          <w:sz w:val="20"/>
          <w:szCs w:val="20"/>
        </w:rPr>
        <w:t xml:space="preserve"> its own acts </w:t>
      </w:r>
      <w:r w:rsidR="00AE1A6C" w:rsidRPr="002A2289">
        <w:rPr>
          <w:rFonts w:asciiTheme="majorHAnsi" w:hAnsiTheme="majorHAnsi" w:cs="Times New Roman"/>
          <w:color w:val="auto"/>
          <w:sz w:val="20"/>
          <w:szCs w:val="20"/>
        </w:rPr>
        <w:t>provided</w:t>
      </w:r>
      <w:r w:rsidR="00484F6F" w:rsidRPr="002A2289">
        <w:rPr>
          <w:rFonts w:asciiTheme="majorHAnsi" w:hAnsiTheme="majorHAnsi" w:cs="Times New Roman"/>
          <w:color w:val="auto"/>
          <w:sz w:val="20"/>
          <w:szCs w:val="20"/>
        </w:rPr>
        <w:t xml:space="preserve"> it does not affect </w:t>
      </w:r>
      <w:r w:rsidR="00AE1A6C" w:rsidRPr="002A2289">
        <w:rPr>
          <w:rFonts w:asciiTheme="majorHAnsi" w:hAnsiTheme="majorHAnsi" w:cs="Times New Roman"/>
          <w:color w:val="auto"/>
          <w:sz w:val="20"/>
          <w:szCs w:val="20"/>
        </w:rPr>
        <w:t xml:space="preserve">vested </w:t>
      </w:r>
      <w:r w:rsidR="00484F6F" w:rsidRPr="002A2289">
        <w:rPr>
          <w:rFonts w:asciiTheme="majorHAnsi" w:hAnsiTheme="majorHAnsi" w:cs="Times New Roman"/>
          <w:color w:val="auto"/>
          <w:sz w:val="20"/>
          <w:szCs w:val="20"/>
        </w:rPr>
        <w:t>right</w:t>
      </w:r>
      <w:r w:rsidR="00AE1A6C" w:rsidRPr="002A2289">
        <w:rPr>
          <w:rFonts w:asciiTheme="majorHAnsi" w:hAnsiTheme="majorHAnsi" w:cs="Times New Roman"/>
          <w:color w:val="auto"/>
          <w:sz w:val="20"/>
          <w:szCs w:val="20"/>
        </w:rPr>
        <w:t>s</w:t>
      </w:r>
      <w:r w:rsidR="00484F6F" w:rsidRPr="002A2289">
        <w:rPr>
          <w:rFonts w:asciiTheme="majorHAnsi" w:hAnsiTheme="majorHAnsi" w:cs="Times New Roman"/>
          <w:color w:val="auto"/>
          <w:sz w:val="20"/>
          <w:szCs w:val="20"/>
        </w:rPr>
        <w:t xml:space="preserve"> </w:t>
      </w:r>
      <w:r w:rsidR="00AE1A6C" w:rsidRPr="002A2289">
        <w:rPr>
          <w:rFonts w:asciiTheme="majorHAnsi" w:hAnsiTheme="majorHAnsi" w:cs="Times New Roman"/>
          <w:color w:val="auto"/>
          <w:sz w:val="20"/>
          <w:szCs w:val="20"/>
        </w:rPr>
        <w:t>of the public</w:t>
      </w:r>
      <w:r w:rsidR="00842DA9" w:rsidRPr="002A2289">
        <w:rPr>
          <w:rFonts w:asciiTheme="majorHAnsi" w:hAnsiTheme="majorHAnsi" w:cs="Times New Roman"/>
          <w:color w:val="auto"/>
          <w:sz w:val="20"/>
          <w:szCs w:val="20"/>
        </w:rPr>
        <w:t>, distorts my petition</w:t>
      </w:r>
      <w:r w:rsidR="00190E24" w:rsidRPr="002A2289">
        <w:rPr>
          <w:rFonts w:asciiTheme="majorHAnsi" w:hAnsiTheme="majorHAnsi" w:cs="Times New Roman"/>
          <w:color w:val="auto"/>
          <w:sz w:val="20"/>
          <w:szCs w:val="20"/>
        </w:rPr>
        <w:t xml:space="preserve">, which, </w:t>
      </w:r>
      <w:r w:rsidR="00C97A99" w:rsidRPr="002A2289">
        <w:rPr>
          <w:rFonts w:asciiTheme="majorHAnsi" w:hAnsiTheme="majorHAnsi" w:cs="Times New Roman"/>
          <w:color w:val="auto"/>
          <w:sz w:val="20"/>
          <w:szCs w:val="20"/>
        </w:rPr>
        <w:t>t</w:t>
      </w:r>
      <w:r w:rsidR="00842DA9" w:rsidRPr="002A2289">
        <w:rPr>
          <w:rFonts w:asciiTheme="majorHAnsi" w:hAnsiTheme="majorHAnsi" w:cs="Times New Roman"/>
          <w:color w:val="auto"/>
          <w:sz w:val="20"/>
          <w:szCs w:val="20"/>
        </w:rPr>
        <w:t xml:space="preserve">ogether with a similar analysis </w:t>
      </w:r>
      <w:r w:rsidR="00C97A99" w:rsidRPr="002A2289">
        <w:rPr>
          <w:rFonts w:asciiTheme="majorHAnsi" w:hAnsiTheme="majorHAnsi" w:cs="Times New Roman"/>
          <w:color w:val="auto"/>
          <w:sz w:val="20"/>
          <w:szCs w:val="20"/>
        </w:rPr>
        <w:t>from</w:t>
      </w:r>
      <w:r w:rsidR="00842DA9" w:rsidRPr="002A2289">
        <w:rPr>
          <w:rFonts w:asciiTheme="majorHAnsi" w:hAnsiTheme="majorHAnsi" w:cs="Times New Roman"/>
          <w:color w:val="auto"/>
          <w:sz w:val="20"/>
          <w:szCs w:val="20"/>
        </w:rPr>
        <w:t xml:space="preserve"> the Office of Legal Affairs</w:t>
      </w:r>
      <w:r w:rsidR="00190E24" w:rsidRPr="002A2289">
        <w:rPr>
          <w:rFonts w:asciiTheme="majorHAnsi" w:hAnsiTheme="majorHAnsi" w:cs="Times New Roman"/>
          <w:color w:val="auto"/>
          <w:sz w:val="20"/>
          <w:szCs w:val="20"/>
        </w:rPr>
        <w:t>,</w:t>
      </w:r>
      <w:r w:rsidR="00842DA9" w:rsidRPr="002A2289">
        <w:rPr>
          <w:rFonts w:asciiTheme="majorHAnsi" w:hAnsiTheme="majorHAnsi" w:cs="Times New Roman"/>
          <w:color w:val="auto"/>
          <w:sz w:val="20"/>
          <w:szCs w:val="20"/>
        </w:rPr>
        <w:t xml:space="preserve"> </w:t>
      </w:r>
      <w:r w:rsidR="00C97A99" w:rsidRPr="002A2289">
        <w:rPr>
          <w:rFonts w:asciiTheme="majorHAnsi" w:hAnsiTheme="majorHAnsi" w:cs="Times New Roman"/>
          <w:color w:val="auto"/>
          <w:sz w:val="20"/>
          <w:szCs w:val="20"/>
        </w:rPr>
        <w:t xml:space="preserve">leads to </w:t>
      </w:r>
      <w:r w:rsidR="00842DA9" w:rsidRPr="002A2289">
        <w:rPr>
          <w:rFonts w:asciiTheme="majorHAnsi" w:hAnsiTheme="majorHAnsi" w:cs="Times New Roman"/>
          <w:color w:val="auto"/>
          <w:sz w:val="20"/>
          <w:szCs w:val="20"/>
        </w:rPr>
        <w:t xml:space="preserve">an erroneous interpretation […] </w:t>
      </w:r>
      <w:r w:rsidR="00325DF2" w:rsidRPr="002A2289">
        <w:rPr>
          <w:rFonts w:asciiTheme="majorHAnsi" w:hAnsiTheme="majorHAnsi" w:cs="Times New Roman"/>
          <w:color w:val="auto"/>
          <w:sz w:val="20"/>
          <w:szCs w:val="20"/>
        </w:rPr>
        <w:t>that suggests</w:t>
      </w:r>
      <w:r w:rsidR="00842DA9" w:rsidRPr="002A2289">
        <w:rPr>
          <w:rFonts w:asciiTheme="majorHAnsi" w:hAnsiTheme="majorHAnsi" w:cs="Times New Roman"/>
          <w:color w:val="auto"/>
          <w:sz w:val="20"/>
          <w:szCs w:val="20"/>
        </w:rPr>
        <w:t xml:space="preserve"> my intention is </w:t>
      </w:r>
      <w:r w:rsidR="00BD74CA" w:rsidRPr="002A2289">
        <w:rPr>
          <w:rFonts w:asciiTheme="majorHAnsi" w:hAnsiTheme="majorHAnsi" w:cs="Times New Roman"/>
          <w:color w:val="auto"/>
          <w:sz w:val="20"/>
          <w:szCs w:val="20"/>
        </w:rPr>
        <w:t xml:space="preserve">for there to be a review of </w:t>
      </w:r>
      <w:r w:rsidR="00C97A99" w:rsidRPr="002A2289">
        <w:rPr>
          <w:rFonts w:asciiTheme="majorHAnsi" w:hAnsiTheme="majorHAnsi" w:cs="Times New Roman"/>
          <w:color w:val="auto"/>
          <w:sz w:val="20"/>
          <w:szCs w:val="20"/>
        </w:rPr>
        <w:t>a</w:t>
      </w:r>
      <w:r w:rsidR="00842DA9" w:rsidRPr="002A2289">
        <w:rPr>
          <w:rFonts w:asciiTheme="majorHAnsi" w:hAnsiTheme="majorHAnsi" w:cs="Times New Roman"/>
          <w:color w:val="auto"/>
          <w:sz w:val="20"/>
          <w:szCs w:val="20"/>
        </w:rPr>
        <w:t xml:space="preserve"> judicial ruling (that I reiterate I never consented to and is still not </w:t>
      </w:r>
      <w:r w:rsidR="00325DF2" w:rsidRPr="002A2289">
        <w:rPr>
          <w:rFonts w:asciiTheme="majorHAnsi" w:hAnsiTheme="majorHAnsi" w:cs="Times New Roman"/>
          <w:color w:val="auto"/>
          <w:sz w:val="20"/>
          <w:szCs w:val="20"/>
        </w:rPr>
        <w:t>final</w:t>
      </w:r>
      <w:r w:rsidR="00842DA9" w:rsidRPr="002A2289">
        <w:rPr>
          <w:rFonts w:asciiTheme="majorHAnsi" w:hAnsiTheme="majorHAnsi" w:cs="Times New Roman"/>
          <w:color w:val="auto"/>
          <w:sz w:val="20"/>
          <w:szCs w:val="20"/>
        </w:rPr>
        <w:t xml:space="preserve">). </w:t>
      </w:r>
      <w:r w:rsidR="00BD74CA" w:rsidRPr="002A2289">
        <w:rPr>
          <w:rFonts w:asciiTheme="majorHAnsi" w:hAnsiTheme="majorHAnsi" w:cs="Times New Roman"/>
          <w:color w:val="auto"/>
          <w:sz w:val="20"/>
          <w:szCs w:val="20"/>
        </w:rPr>
        <w:t xml:space="preserve">The truth </w:t>
      </w:r>
      <w:r w:rsidR="00842DA9" w:rsidRPr="002A2289">
        <w:rPr>
          <w:rFonts w:asciiTheme="majorHAnsi" w:hAnsiTheme="majorHAnsi" w:cs="Times New Roman"/>
          <w:color w:val="auto"/>
          <w:sz w:val="20"/>
          <w:szCs w:val="20"/>
        </w:rPr>
        <w:t xml:space="preserve">is that </w:t>
      </w:r>
      <w:r w:rsidR="00BD74CA" w:rsidRPr="002A2289">
        <w:rPr>
          <w:rFonts w:asciiTheme="majorHAnsi" w:hAnsiTheme="majorHAnsi" w:cs="Times New Roman"/>
          <w:color w:val="auto"/>
          <w:sz w:val="20"/>
          <w:szCs w:val="20"/>
        </w:rPr>
        <w:t xml:space="preserve">what </w:t>
      </w:r>
      <w:r w:rsidR="00842DA9" w:rsidRPr="002A2289">
        <w:rPr>
          <w:rFonts w:asciiTheme="majorHAnsi" w:hAnsiTheme="majorHAnsi" w:cs="Times New Roman"/>
          <w:color w:val="auto"/>
          <w:sz w:val="20"/>
          <w:szCs w:val="20"/>
        </w:rPr>
        <w:t xml:space="preserve">I requested </w:t>
      </w:r>
      <w:r w:rsidR="00BD74CA" w:rsidRPr="002A2289">
        <w:rPr>
          <w:rFonts w:asciiTheme="majorHAnsi" w:hAnsiTheme="majorHAnsi" w:cs="Times New Roman"/>
          <w:color w:val="auto"/>
          <w:sz w:val="20"/>
          <w:szCs w:val="20"/>
        </w:rPr>
        <w:t xml:space="preserve">was </w:t>
      </w:r>
      <w:r w:rsidR="00190E24" w:rsidRPr="002A2289">
        <w:rPr>
          <w:rFonts w:asciiTheme="majorHAnsi" w:hAnsiTheme="majorHAnsi" w:cs="Times New Roman"/>
          <w:color w:val="auto"/>
          <w:sz w:val="20"/>
          <w:szCs w:val="20"/>
        </w:rPr>
        <w:t xml:space="preserve">that </w:t>
      </w:r>
      <w:r w:rsidR="00842DA9" w:rsidRPr="002A2289">
        <w:rPr>
          <w:rFonts w:asciiTheme="majorHAnsi" w:hAnsiTheme="majorHAnsi" w:cs="Times New Roman"/>
          <w:color w:val="auto"/>
          <w:sz w:val="20"/>
          <w:szCs w:val="20"/>
        </w:rPr>
        <w:t>a</w:t>
      </w:r>
      <w:r w:rsidR="00BD74CA" w:rsidRPr="002A2289">
        <w:rPr>
          <w:rFonts w:asciiTheme="majorHAnsi" w:hAnsiTheme="majorHAnsi" w:cs="Times New Roman"/>
          <w:color w:val="auto"/>
          <w:sz w:val="20"/>
          <w:szCs w:val="20"/>
        </w:rPr>
        <w:t xml:space="preserve">n administrative decision be modified </w:t>
      </w:r>
      <w:r w:rsidR="00842DA9" w:rsidRPr="002A2289">
        <w:rPr>
          <w:rFonts w:asciiTheme="majorHAnsi" w:hAnsiTheme="majorHAnsi" w:cs="Times New Roman"/>
          <w:color w:val="auto"/>
          <w:sz w:val="20"/>
          <w:szCs w:val="20"/>
        </w:rPr>
        <w:t>to adapt it to the new criteria the Administration ha</w:t>
      </w:r>
      <w:r w:rsidR="00BD74CA" w:rsidRPr="002A2289">
        <w:rPr>
          <w:rFonts w:asciiTheme="majorHAnsi" w:hAnsiTheme="majorHAnsi" w:cs="Times New Roman"/>
          <w:color w:val="auto"/>
          <w:sz w:val="20"/>
          <w:szCs w:val="20"/>
        </w:rPr>
        <w:t>d</w:t>
      </w:r>
      <w:r w:rsidR="00842DA9" w:rsidRPr="002A2289">
        <w:rPr>
          <w:rFonts w:asciiTheme="majorHAnsi" w:hAnsiTheme="majorHAnsi" w:cs="Times New Roman"/>
          <w:color w:val="auto"/>
          <w:sz w:val="20"/>
          <w:szCs w:val="20"/>
        </w:rPr>
        <w:t xml:space="preserve"> been applying to identical situation</w:t>
      </w:r>
      <w:r w:rsidR="00BD74CA" w:rsidRPr="002A2289">
        <w:rPr>
          <w:rFonts w:asciiTheme="majorHAnsi" w:hAnsiTheme="majorHAnsi" w:cs="Times New Roman"/>
          <w:color w:val="auto"/>
          <w:sz w:val="20"/>
          <w:szCs w:val="20"/>
        </w:rPr>
        <w:t>s</w:t>
      </w:r>
      <w:r w:rsidR="00842DA9" w:rsidRPr="002A2289">
        <w:rPr>
          <w:rFonts w:asciiTheme="majorHAnsi" w:hAnsiTheme="majorHAnsi" w:cs="Times New Roman"/>
          <w:color w:val="auto"/>
          <w:sz w:val="20"/>
          <w:szCs w:val="20"/>
        </w:rPr>
        <w:t xml:space="preserve"> </w:t>
      </w:r>
      <w:r w:rsidR="00BD74CA" w:rsidRPr="002A2289">
        <w:rPr>
          <w:rFonts w:asciiTheme="majorHAnsi" w:hAnsiTheme="majorHAnsi" w:cs="Times New Roman"/>
          <w:color w:val="auto"/>
          <w:sz w:val="20"/>
          <w:szCs w:val="20"/>
        </w:rPr>
        <w:t>under</w:t>
      </w:r>
      <w:r w:rsidR="00842DA9" w:rsidRPr="002A2289">
        <w:rPr>
          <w:rFonts w:asciiTheme="majorHAnsi" w:hAnsiTheme="majorHAnsi" w:cs="Times New Roman"/>
          <w:color w:val="auto"/>
          <w:sz w:val="20"/>
          <w:szCs w:val="20"/>
        </w:rPr>
        <w:t xml:space="preserve"> the new human rights policy, </w:t>
      </w:r>
      <w:r w:rsidR="00BD74CA" w:rsidRPr="002A2289">
        <w:rPr>
          <w:rFonts w:asciiTheme="majorHAnsi" w:hAnsiTheme="majorHAnsi" w:cs="Times New Roman"/>
          <w:color w:val="auto"/>
          <w:sz w:val="20"/>
          <w:szCs w:val="20"/>
        </w:rPr>
        <w:t>thus</w:t>
      </w:r>
      <w:r w:rsidR="00842DA9" w:rsidRPr="002A2289">
        <w:rPr>
          <w:rFonts w:asciiTheme="majorHAnsi" w:hAnsiTheme="majorHAnsi" w:cs="Times New Roman"/>
          <w:color w:val="auto"/>
          <w:sz w:val="20"/>
          <w:szCs w:val="20"/>
        </w:rPr>
        <w:t xml:space="preserve"> put</w:t>
      </w:r>
      <w:r w:rsidR="00BD74CA" w:rsidRPr="002A2289">
        <w:rPr>
          <w:rFonts w:asciiTheme="majorHAnsi" w:hAnsiTheme="majorHAnsi" w:cs="Times New Roman"/>
          <w:color w:val="auto"/>
          <w:sz w:val="20"/>
          <w:szCs w:val="20"/>
        </w:rPr>
        <w:t>ting</w:t>
      </w:r>
      <w:r w:rsidR="00842DA9" w:rsidRPr="002A2289">
        <w:rPr>
          <w:rFonts w:asciiTheme="majorHAnsi" w:hAnsiTheme="majorHAnsi" w:cs="Times New Roman"/>
          <w:color w:val="auto"/>
          <w:sz w:val="20"/>
          <w:szCs w:val="20"/>
        </w:rPr>
        <w:t xml:space="preserve"> an end to a dispute that </w:t>
      </w:r>
      <w:r w:rsidR="00190E24" w:rsidRPr="002A2289">
        <w:rPr>
          <w:rFonts w:asciiTheme="majorHAnsi" w:hAnsiTheme="majorHAnsi" w:cs="Times New Roman"/>
          <w:color w:val="auto"/>
          <w:sz w:val="20"/>
          <w:szCs w:val="20"/>
        </w:rPr>
        <w:t>had</w:t>
      </w:r>
      <w:r w:rsidR="00842DA9" w:rsidRPr="002A2289">
        <w:rPr>
          <w:rFonts w:asciiTheme="majorHAnsi" w:hAnsiTheme="majorHAnsi" w:cs="Times New Roman"/>
          <w:color w:val="auto"/>
          <w:sz w:val="20"/>
          <w:szCs w:val="20"/>
        </w:rPr>
        <w:t xml:space="preserve"> </w:t>
      </w:r>
      <w:r w:rsidR="00325DF2" w:rsidRPr="002A2289">
        <w:rPr>
          <w:rFonts w:asciiTheme="majorHAnsi" w:hAnsiTheme="majorHAnsi" w:cs="Times New Roman"/>
          <w:color w:val="auto"/>
          <w:sz w:val="20"/>
          <w:szCs w:val="20"/>
        </w:rPr>
        <w:t>dragged on</w:t>
      </w:r>
      <w:r w:rsidR="00842DA9" w:rsidRPr="002A2289">
        <w:rPr>
          <w:rFonts w:asciiTheme="majorHAnsi" w:hAnsiTheme="majorHAnsi" w:cs="Times New Roman"/>
          <w:color w:val="auto"/>
          <w:sz w:val="20"/>
          <w:szCs w:val="20"/>
        </w:rPr>
        <w:t xml:space="preserve"> for </w:t>
      </w:r>
      <w:r w:rsidR="00BD74CA" w:rsidRPr="002A2289">
        <w:rPr>
          <w:rFonts w:asciiTheme="majorHAnsi" w:hAnsiTheme="majorHAnsi" w:cs="Times New Roman"/>
          <w:color w:val="auto"/>
          <w:sz w:val="20"/>
          <w:szCs w:val="20"/>
        </w:rPr>
        <w:t xml:space="preserve">the last </w:t>
      </w:r>
      <w:r w:rsidR="00842DA9" w:rsidRPr="002A2289">
        <w:rPr>
          <w:rFonts w:asciiTheme="majorHAnsi" w:hAnsiTheme="majorHAnsi" w:cs="Times New Roman"/>
          <w:color w:val="auto"/>
          <w:sz w:val="20"/>
          <w:szCs w:val="20"/>
        </w:rPr>
        <w:t xml:space="preserve">ten years. </w:t>
      </w:r>
      <w:r w:rsidR="005B2295" w:rsidRPr="002A2289">
        <w:rPr>
          <w:rFonts w:asciiTheme="majorHAnsi" w:hAnsiTheme="majorHAnsi" w:cs="Times New Roman"/>
          <w:color w:val="auto"/>
          <w:sz w:val="20"/>
          <w:szCs w:val="20"/>
        </w:rPr>
        <w:t xml:space="preserve">So </w:t>
      </w:r>
      <w:r w:rsidR="00190E24" w:rsidRPr="002A2289">
        <w:rPr>
          <w:rFonts w:asciiTheme="majorHAnsi" w:hAnsiTheme="majorHAnsi" w:cs="Times New Roman"/>
          <w:color w:val="auto"/>
          <w:sz w:val="20"/>
          <w:szCs w:val="20"/>
        </w:rPr>
        <w:t>the Minister of Justice issued</w:t>
      </w:r>
      <w:r w:rsidR="00842DA9" w:rsidRPr="002A2289">
        <w:rPr>
          <w:rFonts w:asciiTheme="majorHAnsi" w:hAnsiTheme="majorHAnsi" w:cs="Times New Roman"/>
          <w:color w:val="auto"/>
          <w:sz w:val="20"/>
          <w:szCs w:val="20"/>
        </w:rPr>
        <w:t xml:space="preserve"> </w:t>
      </w:r>
      <w:r w:rsidR="008412A9" w:rsidRPr="002A2289">
        <w:rPr>
          <w:rFonts w:asciiTheme="majorHAnsi" w:hAnsiTheme="majorHAnsi" w:cs="Times New Roman"/>
          <w:color w:val="auto"/>
          <w:sz w:val="20"/>
          <w:szCs w:val="20"/>
        </w:rPr>
        <w:t>Decision</w:t>
      </w:r>
      <w:r w:rsidR="00842DA9" w:rsidRPr="002A2289">
        <w:rPr>
          <w:rFonts w:asciiTheme="majorHAnsi" w:hAnsiTheme="majorHAnsi" w:cs="Times New Roman"/>
          <w:color w:val="auto"/>
          <w:sz w:val="20"/>
          <w:szCs w:val="20"/>
        </w:rPr>
        <w:t xml:space="preserve"> 1243/2006 rejecting my petition, a copy of which is also attached.</w:t>
      </w:r>
    </w:p>
    <w:p w14:paraId="62D18D11" w14:textId="77777777" w:rsidR="00EC7AB1" w:rsidRPr="002A2289" w:rsidRDefault="00EC7AB1" w:rsidP="00EC7AB1">
      <w:pPr>
        <w:pStyle w:val="ListParagraph"/>
        <w:ind w:left="634"/>
        <w:jc w:val="both"/>
        <w:rPr>
          <w:rFonts w:asciiTheme="majorHAnsi" w:hAnsiTheme="majorHAnsi" w:cs="Times New Roman"/>
          <w:color w:val="auto"/>
          <w:sz w:val="20"/>
          <w:szCs w:val="20"/>
        </w:rPr>
      </w:pPr>
    </w:p>
    <w:p w14:paraId="1C1DB1C0" w14:textId="5BFACD2C" w:rsidR="00EC7AB1" w:rsidRPr="002A2289" w:rsidRDefault="00EC7AB1" w:rsidP="00EC7AB1">
      <w:pPr>
        <w:pStyle w:val="ListParagraph"/>
        <w:ind w:right="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w:t>
      </w:r>
      <w:r w:rsidR="00190E24" w:rsidRPr="002A2289">
        <w:rPr>
          <w:rFonts w:asciiTheme="majorHAnsi" w:hAnsiTheme="majorHAnsi" w:cs="Times New Roman"/>
          <w:color w:val="auto"/>
          <w:sz w:val="20"/>
          <w:szCs w:val="20"/>
        </w:rPr>
        <w:t>For</w:t>
      </w:r>
      <w:r w:rsidR="00653C92" w:rsidRPr="002A2289">
        <w:rPr>
          <w:rFonts w:asciiTheme="majorHAnsi" w:hAnsiTheme="majorHAnsi" w:cs="Times New Roman"/>
          <w:color w:val="auto"/>
          <w:sz w:val="20"/>
          <w:szCs w:val="20"/>
        </w:rPr>
        <w:t xml:space="preserve"> its part, the Foreign Ministry indicated that </w:t>
      </w:r>
      <w:r w:rsidR="00190E24" w:rsidRPr="002A2289">
        <w:rPr>
          <w:rFonts w:asciiTheme="majorHAnsi" w:hAnsiTheme="majorHAnsi" w:cs="Times New Roman"/>
          <w:color w:val="auto"/>
          <w:sz w:val="20"/>
          <w:szCs w:val="20"/>
        </w:rPr>
        <w:t>the</w:t>
      </w:r>
      <w:r w:rsidR="00653C92" w:rsidRPr="002A2289">
        <w:rPr>
          <w:rFonts w:asciiTheme="majorHAnsi" w:hAnsiTheme="majorHAnsi" w:cs="Times New Roman"/>
          <w:color w:val="auto"/>
          <w:sz w:val="20"/>
          <w:szCs w:val="20"/>
        </w:rPr>
        <w:t xml:space="preserve"> petition </w:t>
      </w:r>
      <w:r w:rsidR="00190E24" w:rsidRPr="002A2289">
        <w:rPr>
          <w:rFonts w:asciiTheme="majorHAnsi" w:hAnsiTheme="majorHAnsi" w:cs="Times New Roman"/>
          <w:color w:val="auto"/>
          <w:sz w:val="20"/>
          <w:szCs w:val="20"/>
        </w:rPr>
        <w:t>is subject to</w:t>
      </w:r>
      <w:r w:rsidR="00597DAC" w:rsidRPr="002A2289">
        <w:rPr>
          <w:rFonts w:asciiTheme="majorHAnsi" w:hAnsiTheme="majorHAnsi" w:cs="Times New Roman"/>
          <w:color w:val="auto"/>
          <w:sz w:val="20"/>
          <w:szCs w:val="20"/>
        </w:rPr>
        <w:t xml:space="preserve"> internal jurisdiction—e.g</w:t>
      </w:r>
      <w:r w:rsidR="00653C92" w:rsidRPr="002A2289">
        <w:rPr>
          <w:rFonts w:asciiTheme="majorHAnsi" w:hAnsiTheme="majorHAnsi" w:cs="Times New Roman"/>
          <w:color w:val="auto"/>
          <w:sz w:val="20"/>
          <w:szCs w:val="20"/>
        </w:rPr>
        <w:t xml:space="preserve">., of the </w:t>
      </w:r>
      <w:r w:rsidR="005D6812" w:rsidRPr="002A2289">
        <w:rPr>
          <w:rFonts w:asciiTheme="majorHAnsi" w:hAnsiTheme="majorHAnsi" w:cs="Times New Roman"/>
          <w:color w:val="auto"/>
          <w:sz w:val="20"/>
          <w:szCs w:val="20"/>
        </w:rPr>
        <w:t>Ministry of Justice</w:t>
      </w:r>
      <w:r w:rsidRPr="002A2289">
        <w:rPr>
          <w:rFonts w:asciiTheme="majorHAnsi" w:hAnsiTheme="majorHAnsi" w:cs="Times New Roman"/>
          <w:color w:val="auto"/>
          <w:sz w:val="20"/>
          <w:szCs w:val="20"/>
        </w:rPr>
        <w:t>.]</w:t>
      </w:r>
    </w:p>
    <w:p w14:paraId="3A38CDCB" w14:textId="77777777" w:rsidR="00EC7AB1" w:rsidRPr="002A2289" w:rsidRDefault="00EC7AB1" w:rsidP="00EF57D6">
      <w:pPr>
        <w:jc w:val="both"/>
        <w:rPr>
          <w:rFonts w:asciiTheme="majorHAnsi" w:hAnsiTheme="majorHAnsi"/>
          <w:sz w:val="20"/>
          <w:szCs w:val="20"/>
        </w:rPr>
      </w:pPr>
    </w:p>
    <w:p w14:paraId="303BC3AE" w14:textId="1E5EEC5E" w:rsidR="00EC7AB1" w:rsidRPr="002A2289" w:rsidRDefault="00190E24" w:rsidP="00EF57D6">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With regard to the</w:t>
      </w:r>
      <w:r w:rsidR="00653C92" w:rsidRPr="002A2289">
        <w:rPr>
          <w:rFonts w:asciiTheme="majorHAnsi" w:hAnsiTheme="majorHAnsi" w:cs="Times New Roman"/>
          <w:color w:val="auto"/>
          <w:sz w:val="20"/>
          <w:szCs w:val="20"/>
        </w:rPr>
        <w:t>s</w:t>
      </w:r>
      <w:r w:rsidRPr="002A2289">
        <w:rPr>
          <w:rFonts w:asciiTheme="majorHAnsi" w:hAnsiTheme="majorHAnsi" w:cs="Times New Roman"/>
          <w:color w:val="auto"/>
          <w:sz w:val="20"/>
          <w:szCs w:val="20"/>
        </w:rPr>
        <w:t>e</w:t>
      </w:r>
      <w:r w:rsidR="00653C92" w:rsidRPr="002A2289">
        <w:rPr>
          <w:rFonts w:asciiTheme="majorHAnsi" w:hAnsiTheme="majorHAnsi" w:cs="Times New Roman"/>
          <w:color w:val="auto"/>
          <w:sz w:val="20"/>
          <w:szCs w:val="20"/>
        </w:rPr>
        <w:t xml:space="preserve"> proceeding</w:t>
      </w:r>
      <w:r w:rsidRPr="002A2289">
        <w:rPr>
          <w:rFonts w:asciiTheme="majorHAnsi" w:hAnsiTheme="majorHAnsi" w:cs="Times New Roman"/>
          <w:color w:val="auto"/>
          <w:sz w:val="20"/>
          <w:szCs w:val="20"/>
        </w:rPr>
        <w:t>s</w:t>
      </w:r>
      <w:r w:rsidR="00653C92" w:rsidRPr="002A2289">
        <w:rPr>
          <w:rFonts w:asciiTheme="majorHAnsi" w:hAnsiTheme="majorHAnsi" w:cs="Times New Roman"/>
          <w:color w:val="auto"/>
          <w:sz w:val="20"/>
          <w:szCs w:val="20"/>
        </w:rPr>
        <w:t xml:space="preserve">, the State indicated that </w:t>
      </w:r>
      <w:r w:rsidR="005B2295" w:rsidRPr="002A2289">
        <w:rPr>
          <w:rFonts w:asciiTheme="majorHAnsi" w:hAnsiTheme="majorHAnsi" w:cs="Times New Roman"/>
          <w:color w:val="auto"/>
          <w:sz w:val="20"/>
          <w:szCs w:val="20"/>
        </w:rPr>
        <w:t xml:space="preserve">Mr. </w:t>
      </w:r>
      <w:r w:rsidR="00EC7AB1" w:rsidRPr="002A2289">
        <w:rPr>
          <w:rFonts w:asciiTheme="majorHAnsi" w:hAnsiTheme="majorHAnsi" w:cs="Times New Roman"/>
          <w:color w:val="auto"/>
          <w:sz w:val="20"/>
          <w:szCs w:val="20"/>
        </w:rPr>
        <w:t xml:space="preserve">Almeida </w:t>
      </w:r>
      <w:r w:rsidR="005B2295" w:rsidRPr="002A2289">
        <w:rPr>
          <w:rFonts w:asciiTheme="majorHAnsi" w:hAnsiTheme="majorHAnsi" w:cs="Times New Roman"/>
          <w:color w:val="auto"/>
          <w:sz w:val="20"/>
          <w:szCs w:val="20"/>
        </w:rPr>
        <w:t xml:space="preserve">had </w:t>
      </w:r>
      <w:r w:rsidR="00653C92" w:rsidRPr="002A2289">
        <w:rPr>
          <w:rFonts w:asciiTheme="majorHAnsi" w:hAnsiTheme="majorHAnsi" w:cs="Times New Roman"/>
          <w:color w:val="auto"/>
          <w:sz w:val="20"/>
          <w:szCs w:val="20"/>
        </w:rPr>
        <w:t xml:space="preserve">filed an administrative appeal </w:t>
      </w:r>
      <w:r w:rsidRPr="002A2289">
        <w:rPr>
          <w:rFonts w:asciiTheme="majorHAnsi" w:hAnsiTheme="majorHAnsi" w:cs="Times New Roman"/>
          <w:color w:val="auto"/>
          <w:sz w:val="20"/>
          <w:szCs w:val="20"/>
        </w:rPr>
        <w:t>to have the initial decision</w:t>
      </w:r>
      <w:r w:rsidR="00010161">
        <w:rPr>
          <w:rFonts w:asciiTheme="majorHAnsi" w:hAnsiTheme="majorHAnsi" w:cs="Times New Roman"/>
          <w:color w:val="auto"/>
          <w:sz w:val="20"/>
          <w:szCs w:val="20"/>
        </w:rPr>
        <w:t xml:space="preserve">, No. </w:t>
      </w:r>
      <w:r w:rsidR="00653C92" w:rsidRPr="002A2289">
        <w:rPr>
          <w:rFonts w:asciiTheme="majorHAnsi" w:hAnsiTheme="majorHAnsi" w:cs="Times New Roman"/>
          <w:color w:val="auto"/>
          <w:sz w:val="20"/>
          <w:szCs w:val="20"/>
        </w:rPr>
        <w:t>2638</w:t>
      </w:r>
      <w:r w:rsidR="00010161">
        <w:rPr>
          <w:rFonts w:asciiTheme="majorHAnsi" w:hAnsiTheme="majorHAnsi" w:cs="Times New Roman"/>
          <w:color w:val="auto"/>
          <w:sz w:val="20"/>
          <w:szCs w:val="20"/>
        </w:rPr>
        <w:t>/</w:t>
      </w:r>
      <w:r w:rsidR="00EC7AB1" w:rsidRPr="002A2289">
        <w:rPr>
          <w:rFonts w:asciiTheme="majorHAnsi" w:hAnsiTheme="majorHAnsi" w:cs="Times New Roman"/>
          <w:color w:val="auto"/>
          <w:sz w:val="20"/>
          <w:szCs w:val="20"/>
        </w:rPr>
        <w:t>1996</w:t>
      </w:r>
      <w:r w:rsidR="00010161">
        <w:rPr>
          <w:rFonts w:asciiTheme="majorHAnsi" w:hAnsiTheme="majorHAnsi" w:cs="Times New Roman"/>
          <w:color w:val="auto"/>
          <w:sz w:val="20"/>
          <w:szCs w:val="20"/>
        </w:rPr>
        <w:t xml:space="preserve">, </w:t>
      </w:r>
      <w:r w:rsidRPr="002A2289">
        <w:rPr>
          <w:rFonts w:asciiTheme="majorHAnsi" w:hAnsiTheme="majorHAnsi" w:cs="Times New Roman"/>
          <w:color w:val="auto"/>
          <w:sz w:val="20"/>
          <w:szCs w:val="20"/>
        </w:rPr>
        <w:t>set aside. This appeal</w:t>
      </w:r>
      <w:r w:rsidR="00653C92" w:rsidRPr="002A2289">
        <w:rPr>
          <w:rFonts w:asciiTheme="majorHAnsi" w:hAnsiTheme="majorHAnsi" w:cs="Times New Roman"/>
          <w:color w:val="auto"/>
          <w:sz w:val="20"/>
          <w:szCs w:val="20"/>
        </w:rPr>
        <w:t xml:space="preserve"> was re</w:t>
      </w:r>
      <w:r w:rsidRPr="002A2289">
        <w:rPr>
          <w:rFonts w:asciiTheme="majorHAnsi" w:hAnsiTheme="majorHAnsi" w:cs="Times New Roman"/>
          <w:color w:val="auto"/>
          <w:sz w:val="20"/>
          <w:szCs w:val="20"/>
        </w:rPr>
        <w:t xml:space="preserve">jected by the </w:t>
      </w:r>
      <w:r w:rsidR="005D6812" w:rsidRPr="002A2289">
        <w:rPr>
          <w:rFonts w:asciiTheme="majorHAnsi" w:hAnsiTheme="majorHAnsi" w:cs="Times New Roman"/>
          <w:color w:val="auto"/>
          <w:sz w:val="20"/>
          <w:szCs w:val="20"/>
        </w:rPr>
        <w:t>Ministry of Justice</w:t>
      </w:r>
      <w:r w:rsidRPr="002A2289">
        <w:rPr>
          <w:rFonts w:asciiTheme="majorHAnsi" w:hAnsiTheme="majorHAnsi" w:cs="Times New Roman"/>
          <w:color w:val="auto"/>
          <w:sz w:val="20"/>
          <w:szCs w:val="20"/>
        </w:rPr>
        <w:t xml:space="preserve"> pursuant to D</w:t>
      </w:r>
      <w:r w:rsidR="00C40AC4" w:rsidRPr="002A2289">
        <w:rPr>
          <w:rFonts w:asciiTheme="majorHAnsi" w:hAnsiTheme="majorHAnsi" w:cs="Times New Roman"/>
          <w:color w:val="auto"/>
          <w:sz w:val="20"/>
          <w:szCs w:val="20"/>
        </w:rPr>
        <w:t>ecisions</w:t>
      </w:r>
      <w:r w:rsidR="00653C92" w:rsidRPr="002A2289">
        <w:rPr>
          <w:rFonts w:asciiTheme="majorHAnsi" w:hAnsiTheme="majorHAnsi" w:cs="Times New Roman"/>
          <w:color w:val="auto"/>
          <w:sz w:val="20"/>
          <w:szCs w:val="20"/>
        </w:rPr>
        <w:t xml:space="preserve"> </w:t>
      </w:r>
      <w:r w:rsidR="00EC7AB1" w:rsidRPr="002A2289">
        <w:rPr>
          <w:rFonts w:asciiTheme="majorHAnsi" w:hAnsiTheme="majorHAnsi" w:cs="Times New Roman"/>
          <w:color w:val="auto"/>
          <w:sz w:val="20"/>
          <w:szCs w:val="20"/>
        </w:rPr>
        <w:t xml:space="preserve">1243 </w:t>
      </w:r>
      <w:r w:rsidR="00653C92" w:rsidRPr="002A2289">
        <w:rPr>
          <w:rFonts w:asciiTheme="majorHAnsi" w:hAnsiTheme="majorHAnsi" w:cs="Times New Roman"/>
          <w:color w:val="auto"/>
          <w:sz w:val="20"/>
          <w:szCs w:val="20"/>
        </w:rPr>
        <w:t xml:space="preserve">of August </w:t>
      </w:r>
      <w:r w:rsidR="00EC7AB1" w:rsidRPr="002A2289">
        <w:rPr>
          <w:rFonts w:asciiTheme="majorHAnsi" w:hAnsiTheme="majorHAnsi" w:cs="Times New Roman"/>
          <w:color w:val="auto"/>
          <w:sz w:val="20"/>
          <w:szCs w:val="20"/>
        </w:rPr>
        <w:t>14</w:t>
      </w:r>
      <w:r w:rsidR="00653C92" w:rsidRPr="002A2289">
        <w:rPr>
          <w:rFonts w:asciiTheme="majorHAnsi" w:hAnsiTheme="majorHAnsi" w:cs="Times New Roman"/>
          <w:color w:val="auto"/>
          <w:sz w:val="20"/>
          <w:szCs w:val="20"/>
        </w:rPr>
        <w:t>,</w:t>
      </w:r>
      <w:r w:rsidR="00EC7AB1" w:rsidRPr="002A2289">
        <w:rPr>
          <w:rFonts w:asciiTheme="majorHAnsi" w:hAnsiTheme="majorHAnsi" w:cs="Times New Roman"/>
          <w:color w:val="auto"/>
          <w:sz w:val="20"/>
          <w:szCs w:val="20"/>
        </w:rPr>
        <w:t xml:space="preserve"> 2006 </w:t>
      </w:r>
      <w:r w:rsidR="00653C92" w:rsidRPr="002A2289">
        <w:rPr>
          <w:rFonts w:asciiTheme="majorHAnsi" w:hAnsiTheme="majorHAnsi" w:cs="Times New Roman"/>
          <w:color w:val="auto"/>
          <w:sz w:val="20"/>
          <w:szCs w:val="20"/>
        </w:rPr>
        <w:t>and</w:t>
      </w:r>
      <w:r w:rsidR="00EC7AB1" w:rsidRPr="002A2289">
        <w:rPr>
          <w:rFonts w:asciiTheme="majorHAnsi" w:hAnsiTheme="majorHAnsi" w:cs="Times New Roman"/>
          <w:color w:val="auto"/>
          <w:sz w:val="20"/>
          <w:szCs w:val="20"/>
        </w:rPr>
        <w:t xml:space="preserve"> 1431 </w:t>
      </w:r>
      <w:r w:rsidR="00653C92" w:rsidRPr="002A2289">
        <w:rPr>
          <w:rFonts w:asciiTheme="majorHAnsi" w:hAnsiTheme="majorHAnsi" w:cs="Times New Roman"/>
          <w:color w:val="auto"/>
          <w:sz w:val="20"/>
          <w:szCs w:val="20"/>
        </w:rPr>
        <w:t xml:space="preserve">of September </w:t>
      </w:r>
      <w:r w:rsidR="00EC7AB1" w:rsidRPr="002A2289">
        <w:rPr>
          <w:rFonts w:asciiTheme="majorHAnsi" w:hAnsiTheme="majorHAnsi" w:cs="Times New Roman"/>
          <w:color w:val="auto"/>
          <w:sz w:val="20"/>
          <w:szCs w:val="20"/>
        </w:rPr>
        <w:t>25</w:t>
      </w:r>
      <w:r w:rsidR="00653C92" w:rsidRPr="002A2289">
        <w:rPr>
          <w:rFonts w:asciiTheme="majorHAnsi" w:hAnsiTheme="majorHAnsi" w:cs="Times New Roman"/>
          <w:color w:val="auto"/>
          <w:sz w:val="20"/>
          <w:szCs w:val="20"/>
        </w:rPr>
        <w:t xml:space="preserve">, </w:t>
      </w:r>
      <w:r w:rsidR="00EC7AB1" w:rsidRPr="002A2289">
        <w:rPr>
          <w:rFonts w:asciiTheme="majorHAnsi" w:hAnsiTheme="majorHAnsi" w:cs="Times New Roman"/>
          <w:color w:val="auto"/>
          <w:sz w:val="20"/>
          <w:szCs w:val="20"/>
        </w:rPr>
        <w:t>2006</w:t>
      </w:r>
      <w:r w:rsidR="00653C92" w:rsidRPr="002A2289">
        <w:rPr>
          <w:rFonts w:asciiTheme="majorHAnsi" w:hAnsiTheme="majorHAnsi" w:cs="Times New Roman"/>
          <w:color w:val="auto"/>
          <w:sz w:val="20"/>
          <w:szCs w:val="20"/>
        </w:rPr>
        <w:t>.</w:t>
      </w:r>
      <w:r w:rsidR="00EC7AB1" w:rsidRPr="002A2289">
        <w:rPr>
          <w:rStyle w:val="FootnoteReference"/>
          <w:rFonts w:asciiTheme="majorHAnsi" w:hAnsiTheme="majorHAnsi" w:cs="Times New Roman"/>
          <w:color w:val="auto"/>
          <w:sz w:val="20"/>
          <w:szCs w:val="20"/>
        </w:rPr>
        <w:footnoteReference w:id="52"/>
      </w:r>
      <w:r w:rsidR="00EC7AB1" w:rsidRPr="002A2289">
        <w:rPr>
          <w:rFonts w:asciiTheme="majorHAnsi" w:hAnsiTheme="majorHAnsi" w:cs="Times New Roman"/>
          <w:color w:val="auto"/>
          <w:sz w:val="20"/>
          <w:szCs w:val="20"/>
        </w:rPr>
        <w:t xml:space="preserve"> </w:t>
      </w:r>
      <w:r w:rsidR="007B1916" w:rsidRPr="002A2289">
        <w:rPr>
          <w:rFonts w:asciiTheme="majorHAnsi" w:hAnsiTheme="majorHAnsi" w:cs="Times New Roman"/>
          <w:color w:val="auto"/>
          <w:sz w:val="20"/>
          <w:szCs w:val="20"/>
        </w:rPr>
        <w:t xml:space="preserve">The State also </w:t>
      </w:r>
      <w:r w:rsidR="00010161">
        <w:rPr>
          <w:rFonts w:asciiTheme="majorHAnsi" w:hAnsiTheme="majorHAnsi" w:cs="Times New Roman"/>
          <w:color w:val="auto"/>
          <w:sz w:val="20"/>
          <w:szCs w:val="20"/>
        </w:rPr>
        <w:t>stated</w:t>
      </w:r>
      <w:r w:rsidR="007B1916" w:rsidRPr="002A2289">
        <w:rPr>
          <w:rFonts w:asciiTheme="majorHAnsi" w:hAnsiTheme="majorHAnsi" w:cs="Times New Roman"/>
          <w:color w:val="auto"/>
          <w:sz w:val="20"/>
          <w:szCs w:val="20"/>
        </w:rPr>
        <w:t xml:space="preserve"> that </w:t>
      </w:r>
      <w:r w:rsidR="003A07F3" w:rsidRPr="002A2289">
        <w:rPr>
          <w:rFonts w:asciiTheme="majorHAnsi" w:hAnsiTheme="majorHAnsi" w:cs="Times New Roman"/>
          <w:color w:val="auto"/>
          <w:sz w:val="20"/>
          <w:szCs w:val="20"/>
        </w:rPr>
        <w:t xml:space="preserve">in </w:t>
      </w:r>
      <w:r w:rsidR="007C013B" w:rsidRPr="002A2289">
        <w:rPr>
          <w:rFonts w:asciiTheme="majorHAnsi" w:hAnsiTheme="majorHAnsi" w:cs="Times New Roman"/>
          <w:color w:val="auto"/>
          <w:sz w:val="20"/>
          <w:szCs w:val="20"/>
        </w:rPr>
        <w:t xml:space="preserve">“successive </w:t>
      </w:r>
      <w:r w:rsidR="00893D1D" w:rsidRPr="002A2289">
        <w:rPr>
          <w:rFonts w:asciiTheme="majorHAnsi" w:hAnsiTheme="majorHAnsi" w:cs="Times New Roman"/>
          <w:color w:val="auto"/>
          <w:sz w:val="20"/>
          <w:szCs w:val="20"/>
        </w:rPr>
        <w:t>judgments</w:t>
      </w:r>
      <w:r w:rsidR="003A07F3" w:rsidRPr="002A2289">
        <w:rPr>
          <w:rFonts w:asciiTheme="majorHAnsi" w:hAnsiTheme="majorHAnsi" w:cs="Times New Roman"/>
          <w:color w:val="auto"/>
          <w:sz w:val="20"/>
          <w:szCs w:val="20"/>
        </w:rPr>
        <w:t xml:space="preserve">” since </w:t>
      </w:r>
      <w:r w:rsidR="003A07F3" w:rsidRPr="002A2289">
        <w:rPr>
          <w:rFonts w:asciiTheme="majorHAnsi" w:hAnsiTheme="majorHAnsi" w:cs="Times New Roman"/>
          <w:i/>
          <w:color w:val="auto"/>
          <w:sz w:val="20"/>
          <w:szCs w:val="20"/>
        </w:rPr>
        <w:t>Robasto</w:t>
      </w:r>
      <w:r w:rsidR="003A07F3" w:rsidRPr="002A2289">
        <w:rPr>
          <w:rFonts w:asciiTheme="majorHAnsi" w:hAnsiTheme="majorHAnsi" w:cs="Times New Roman"/>
          <w:color w:val="auto"/>
          <w:sz w:val="20"/>
          <w:szCs w:val="20"/>
        </w:rPr>
        <w:t xml:space="preserve"> </w:t>
      </w:r>
      <w:r w:rsidR="00DE2AC9" w:rsidRPr="002A2289">
        <w:rPr>
          <w:rFonts w:asciiTheme="majorHAnsi" w:hAnsiTheme="majorHAnsi" w:cs="Times New Roman"/>
          <w:color w:val="auto"/>
          <w:sz w:val="20"/>
          <w:szCs w:val="20"/>
        </w:rPr>
        <w:t>“</w:t>
      </w:r>
      <w:r w:rsidR="007B1916" w:rsidRPr="002A2289">
        <w:rPr>
          <w:rFonts w:asciiTheme="majorHAnsi" w:hAnsiTheme="majorHAnsi" w:cs="Times New Roman"/>
          <w:color w:val="auto"/>
          <w:sz w:val="20"/>
          <w:szCs w:val="20"/>
        </w:rPr>
        <w:t>formal req</w:t>
      </w:r>
      <w:r w:rsidR="003A07F3" w:rsidRPr="002A2289">
        <w:rPr>
          <w:rFonts w:asciiTheme="majorHAnsi" w:hAnsiTheme="majorHAnsi" w:cs="Times New Roman"/>
          <w:color w:val="auto"/>
          <w:sz w:val="20"/>
          <w:szCs w:val="20"/>
        </w:rPr>
        <w:t xml:space="preserve">uirements—above all evidentiary requirements—provided for under </w:t>
      </w:r>
      <w:r w:rsidR="00786D79">
        <w:rPr>
          <w:rFonts w:asciiTheme="majorHAnsi" w:hAnsiTheme="majorHAnsi" w:cs="Times New Roman"/>
          <w:color w:val="auto"/>
          <w:sz w:val="20"/>
          <w:szCs w:val="20"/>
        </w:rPr>
        <w:t>Law 24.043</w:t>
      </w:r>
      <w:r w:rsidR="007C013B" w:rsidRPr="002A2289">
        <w:rPr>
          <w:rFonts w:asciiTheme="majorHAnsi" w:hAnsiTheme="majorHAnsi" w:cs="Times New Roman"/>
          <w:color w:val="auto"/>
          <w:sz w:val="20"/>
          <w:szCs w:val="20"/>
        </w:rPr>
        <w:t xml:space="preserve"> </w:t>
      </w:r>
      <w:r w:rsidR="005B2295" w:rsidRPr="002A2289">
        <w:rPr>
          <w:rFonts w:asciiTheme="majorHAnsi" w:hAnsiTheme="majorHAnsi" w:cs="Times New Roman"/>
          <w:color w:val="auto"/>
          <w:sz w:val="20"/>
          <w:szCs w:val="20"/>
        </w:rPr>
        <w:t>in order to obtain</w:t>
      </w:r>
      <w:r w:rsidR="003A07F3" w:rsidRPr="002A2289">
        <w:rPr>
          <w:rFonts w:asciiTheme="majorHAnsi" w:hAnsiTheme="majorHAnsi" w:cs="Times New Roman"/>
          <w:color w:val="auto"/>
          <w:sz w:val="20"/>
          <w:szCs w:val="20"/>
        </w:rPr>
        <w:t xml:space="preserve"> </w:t>
      </w:r>
      <w:r w:rsidR="005B2295" w:rsidRPr="002A2289">
        <w:rPr>
          <w:rFonts w:asciiTheme="majorHAnsi" w:hAnsiTheme="majorHAnsi" w:cs="Times New Roman"/>
          <w:color w:val="auto"/>
          <w:sz w:val="20"/>
          <w:szCs w:val="20"/>
        </w:rPr>
        <w:t>compensation</w:t>
      </w:r>
      <w:r w:rsidR="003A07F3" w:rsidRPr="002A2289">
        <w:rPr>
          <w:rFonts w:asciiTheme="majorHAnsi" w:hAnsiTheme="majorHAnsi" w:cs="Times New Roman"/>
          <w:color w:val="auto"/>
          <w:sz w:val="20"/>
          <w:szCs w:val="20"/>
        </w:rPr>
        <w:t xml:space="preserve"> </w:t>
      </w:r>
      <w:r w:rsidR="007B1916" w:rsidRPr="002A2289">
        <w:rPr>
          <w:rFonts w:asciiTheme="majorHAnsi" w:hAnsiTheme="majorHAnsi" w:cs="Times New Roman"/>
          <w:color w:val="auto"/>
          <w:sz w:val="20"/>
          <w:szCs w:val="20"/>
        </w:rPr>
        <w:t xml:space="preserve">have taken a back seat </w:t>
      </w:r>
      <w:r w:rsidR="007C013B" w:rsidRPr="002A2289">
        <w:rPr>
          <w:rFonts w:asciiTheme="majorHAnsi" w:hAnsiTheme="majorHAnsi" w:cs="Times New Roman"/>
          <w:color w:val="auto"/>
          <w:sz w:val="20"/>
          <w:szCs w:val="20"/>
        </w:rPr>
        <w:t>to</w:t>
      </w:r>
      <w:r w:rsidR="00EC7AB1" w:rsidRPr="002A2289">
        <w:rPr>
          <w:rFonts w:asciiTheme="majorHAnsi" w:hAnsiTheme="majorHAnsi" w:cs="Times New Roman"/>
          <w:color w:val="auto"/>
          <w:sz w:val="20"/>
          <w:szCs w:val="20"/>
        </w:rPr>
        <w:t xml:space="preserve"> </w:t>
      </w:r>
      <w:r w:rsidR="00DE2AC9" w:rsidRPr="002A2289">
        <w:rPr>
          <w:rFonts w:asciiTheme="majorHAnsi" w:hAnsiTheme="majorHAnsi" w:cs="Times New Roman"/>
          <w:color w:val="auto"/>
          <w:sz w:val="20"/>
          <w:szCs w:val="20"/>
        </w:rPr>
        <w:t>a duly substantiated</w:t>
      </w:r>
      <w:r w:rsidR="007C013B" w:rsidRPr="002A2289">
        <w:rPr>
          <w:rFonts w:asciiTheme="majorHAnsi" w:hAnsiTheme="majorHAnsi" w:cs="Times New Roman"/>
          <w:color w:val="auto"/>
          <w:sz w:val="20"/>
          <w:szCs w:val="20"/>
        </w:rPr>
        <w:t xml:space="preserve"> impairment of the right to personal liberty </w:t>
      </w:r>
      <w:r w:rsidR="00EF57D6" w:rsidRPr="002A2289">
        <w:rPr>
          <w:rFonts w:asciiTheme="majorHAnsi" w:hAnsiTheme="majorHAnsi" w:cs="Times New Roman"/>
          <w:color w:val="auto"/>
          <w:sz w:val="20"/>
          <w:szCs w:val="20"/>
        </w:rPr>
        <w:t>at the hands of the State. In contra</w:t>
      </w:r>
      <w:r w:rsidR="00C40AC4" w:rsidRPr="002A2289">
        <w:rPr>
          <w:rFonts w:asciiTheme="majorHAnsi" w:hAnsiTheme="majorHAnsi" w:cs="Times New Roman"/>
          <w:color w:val="auto"/>
          <w:sz w:val="20"/>
          <w:szCs w:val="20"/>
        </w:rPr>
        <w:t>st [to these cases], in Mr. Alme</w:t>
      </w:r>
      <w:r w:rsidR="00EF57D6" w:rsidRPr="002A2289">
        <w:rPr>
          <w:rFonts w:asciiTheme="majorHAnsi" w:hAnsiTheme="majorHAnsi" w:cs="Times New Roman"/>
          <w:color w:val="auto"/>
          <w:sz w:val="20"/>
          <w:szCs w:val="20"/>
        </w:rPr>
        <w:t xml:space="preserve">ida’s case there were no probative elements that </w:t>
      </w:r>
      <w:r w:rsidR="00DE2AC9" w:rsidRPr="002A2289">
        <w:rPr>
          <w:rFonts w:asciiTheme="majorHAnsi" w:hAnsiTheme="majorHAnsi" w:cs="Times New Roman"/>
          <w:color w:val="auto"/>
          <w:sz w:val="20"/>
          <w:szCs w:val="20"/>
        </w:rPr>
        <w:t xml:space="preserve">substantiated </w:t>
      </w:r>
      <w:r w:rsidR="00EF57D6" w:rsidRPr="002A2289">
        <w:rPr>
          <w:rFonts w:asciiTheme="majorHAnsi" w:hAnsiTheme="majorHAnsi" w:cs="Times New Roman"/>
          <w:color w:val="auto"/>
          <w:sz w:val="20"/>
          <w:szCs w:val="20"/>
        </w:rPr>
        <w:t xml:space="preserve">the existence of release under surveillance at the time his situation was ruled upon </w:t>
      </w:r>
      <w:r w:rsidR="00DE2AC9" w:rsidRPr="002A2289">
        <w:rPr>
          <w:rFonts w:asciiTheme="majorHAnsi" w:hAnsiTheme="majorHAnsi" w:cs="Times New Roman"/>
          <w:color w:val="auto"/>
          <w:sz w:val="20"/>
          <w:szCs w:val="20"/>
        </w:rPr>
        <w:t>by the administration or the courts</w:t>
      </w:r>
      <w:r w:rsidR="00EF57D6" w:rsidRPr="002A2289">
        <w:rPr>
          <w:rFonts w:asciiTheme="majorHAnsi" w:hAnsiTheme="majorHAnsi" w:cs="Times New Roman"/>
          <w:color w:val="auto"/>
          <w:sz w:val="20"/>
          <w:szCs w:val="20"/>
        </w:rPr>
        <w:t xml:space="preserve">, nor do those exist currently […] Finally, it bears noting that the </w:t>
      </w:r>
      <w:r w:rsidR="00EF57D6" w:rsidRPr="002A2289">
        <w:rPr>
          <w:rFonts w:asciiTheme="majorHAnsi" w:hAnsiTheme="majorHAnsi" w:cs="Times New Roman"/>
          <w:i/>
          <w:color w:val="auto"/>
          <w:sz w:val="20"/>
          <w:szCs w:val="20"/>
        </w:rPr>
        <w:t>res judicata</w:t>
      </w:r>
      <w:r w:rsidR="00EF57D6" w:rsidRPr="002A2289">
        <w:rPr>
          <w:rFonts w:asciiTheme="majorHAnsi" w:hAnsiTheme="majorHAnsi" w:cs="Times New Roman"/>
          <w:color w:val="auto"/>
          <w:sz w:val="20"/>
          <w:szCs w:val="20"/>
        </w:rPr>
        <w:t xml:space="preserve"> in Mr. Almeida’s case cannot be </w:t>
      </w:r>
      <w:r w:rsidR="00DE2AC9" w:rsidRPr="002A2289">
        <w:rPr>
          <w:rFonts w:asciiTheme="majorHAnsi" w:hAnsiTheme="majorHAnsi" w:cs="Times New Roman"/>
          <w:color w:val="auto"/>
          <w:sz w:val="20"/>
          <w:szCs w:val="20"/>
        </w:rPr>
        <w:t>changed</w:t>
      </w:r>
      <w:r w:rsidR="00EF57D6" w:rsidRPr="002A2289">
        <w:rPr>
          <w:rFonts w:asciiTheme="majorHAnsi" w:hAnsiTheme="majorHAnsi" w:cs="Times New Roman"/>
          <w:color w:val="auto"/>
          <w:sz w:val="20"/>
          <w:szCs w:val="20"/>
        </w:rPr>
        <w:t xml:space="preserve"> by a subsequent change </w:t>
      </w:r>
      <w:r w:rsidR="00DE2AC9" w:rsidRPr="002A2289">
        <w:rPr>
          <w:rFonts w:asciiTheme="majorHAnsi" w:hAnsiTheme="majorHAnsi" w:cs="Times New Roman"/>
          <w:color w:val="auto"/>
          <w:sz w:val="20"/>
          <w:szCs w:val="20"/>
        </w:rPr>
        <w:t>in jurisprudence</w:t>
      </w:r>
      <w:r w:rsidR="00EF57D6" w:rsidRPr="002A2289">
        <w:rPr>
          <w:rFonts w:asciiTheme="majorHAnsi" w:hAnsiTheme="majorHAnsi" w:cs="Times New Roman"/>
          <w:color w:val="auto"/>
          <w:sz w:val="20"/>
          <w:szCs w:val="20"/>
        </w:rPr>
        <w:t xml:space="preserve">; </w:t>
      </w:r>
      <w:r w:rsidR="00DE2AC9" w:rsidRPr="002A2289">
        <w:rPr>
          <w:rFonts w:asciiTheme="majorHAnsi" w:hAnsiTheme="majorHAnsi" w:cs="Times New Roman"/>
          <w:color w:val="auto"/>
          <w:sz w:val="20"/>
          <w:szCs w:val="20"/>
        </w:rPr>
        <w:t>indeed, it is clear</w:t>
      </w:r>
      <w:r w:rsidR="00EF57D6" w:rsidRPr="002A2289">
        <w:rPr>
          <w:rFonts w:asciiTheme="majorHAnsi" w:hAnsiTheme="majorHAnsi" w:cs="Times New Roman"/>
          <w:color w:val="auto"/>
          <w:sz w:val="20"/>
          <w:szCs w:val="20"/>
        </w:rPr>
        <w:t xml:space="preserve"> that his case is not comparable to the other cases he cites.</w:t>
      </w:r>
      <w:r w:rsidR="00EC7AB1" w:rsidRPr="002A2289">
        <w:rPr>
          <w:rFonts w:asciiTheme="majorHAnsi" w:hAnsiTheme="majorHAnsi" w:cs="Times New Roman"/>
          <w:color w:val="auto"/>
          <w:sz w:val="20"/>
          <w:szCs w:val="20"/>
        </w:rPr>
        <w:t>”</w:t>
      </w:r>
      <w:r w:rsidR="00EC7AB1" w:rsidRPr="002A2289">
        <w:rPr>
          <w:rStyle w:val="FootnoteReference"/>
          <w:rFonts w:asciiTheme="majorHAnsi" w:hAnsiTheme="majorHAnsi" w:cs="Times New Roman"/>
          <w:color w:val="auto"/>
          <w:sz w:val="20"/>
          <w:szCs w:val="20"/>
        </w:rPr>
        <w:footnoteReference w:id="53"/>
      </w:r>
    </w:p>
    <w:p w14:paraId="7FCEC95E" w14:textId="77777777" w:rsidR="00EC7AB1" w:rsidRPr="002A2289" w:rsidRDefault="00EC7AB1" w:rsidP="00EF57D6">
      <w:pPr>
        <w:ind w:firstLine="720"/>
        <w:jc w:val="both"/>
        <w:rPr>
          <w:rFonts w:asciiTheme="majorHAnsi" w:hAnsiTheme="majorHAnsi"/>
          <w:sz w:val="20"/>
          <w:szCs w:val="20"/>
        </w:rPr>
      </w:pPr>
    </w:p>
    <w:p w14:paraId="3B100F37" w14:textId="4E848BA0" w:rsidR="00EC7AB1" w:rsidRPr="002A2289" w:rsidRDefault="00EC7AB1" w:rsidP="00EF57D6">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Final</w:t>
      </w:r>
      <w:r w:rsidR="00EF57D6" w:rsidRPr="002A2289">
        <w:rPr>
          <w:rFonts w:asciiTheme="majorHAnsi" w:hAnsiTheme="majorHAnsi" w:cs="Times New Roman"/>
          <w:color w:val="auto"/>
          <w:sz w:val="20"/>
          <w:szCs w:val="20"/>
        </w:rPr>
        <w:t xml:space="preserve">ly, </w:t>
      </w:r>
      <w:r w:rsidR="004D2CFC" w:rsidRPr="002A2289">
        <w:rPr>
          <w:rFonts w:asciiTheme="majorHAnsi" w:hAnsiTheme="majorHAnsi" w:cs="Times New Roman"/>
          <w:color w:val="auto"/>
          <w:sz w:val="20"/>
          <w:szCs w:val="20"/>
        </w:rPr>
        <w:t>in</w:t>
      </w:r>
      <w:r w:rsidR="00EF57D6" w:rsidRPr="002A2289">
        <w:rPr>
          <w:rFonts w:asciiTheme="majorHAnsi" w:hAnsiTheme="majorHAnsi" w:cs="Times New Roman"/>
          <w:color w:val="auto"/>
          <w:sz w:val="20"/>
          <w:szCs w:val="20"/>
        </w:rPr>
        <w:t xml:space="preserve"> a letter received by the IACHR on December 29, 2015, Mr. Almeida reported that “my wife</w:t>
      </w:r>
      <w:r w:rsidR="000C2C6C" w:rsidRPr="002A2289">
        <w:rPr>
          <w:rFonts w:asciiTheme="majorHAnsi" w:hAnsiTheme="majorHAnsi" w:cs="Times New Roman"/>
          <w:color w:val="auto"/>
          <w:sz w:val="20"/>
          <w:szCs w:val="20"/>
        </w:rPr>
        <w:t>,</w:t>
      </w:r>
      <w:r w:rsidR="00EF57D6" w:rsidRPr="002A2289">
        <w:rPr>
          <w:rFonts w:asciiTheme="majorHAnsi" w:hAnsiTheme="majorHAnsi" w:cs="Times New Roman"/>
          <w:color w:val="auto"/>
          <w:sz w:val="20"/>
          <w:szCs w:val="20"/>
        </w:rPr>
        <w:t xml:space="preserve"> </w:t>
      </w:r>
      <w:r w:rsidR="000C2C6C" w:rsidRPr="002A2289">
        <w:rPr>
          <w:rFonts w:asciiTheme="majorHAnsi" w:hAnsiTheme="majorHAnsi" w:cs="Times New Roman"/>
          <w:color w:val="auto"/>
          <w:sz w:val="20"/>
          <w:szCs w:val="20"/>
        </w:rPr>
        <w:t xml:space="preserve">Claudia Graciela Esteves, </w:t>
      </w:r>
      <w:r w:rsidR="001E1A8E" w:rsidRPr="002A2289">
        <w:rPr>
          <w:rFonts w:asciiTheme="majorHAnsi" w:hAnsiTheme="majorHAnsi" w:cs="Times New Roman"/>
          <w:color w:val="auto"/>
          <w:sz w:val="20"/>
          <w:szCs w:val="20"/>
        </w:rPr>
        <w:t xml:space="preserve">filed a new administrative </w:t>
      </w:r>
      <w:r w:rsidR="00EF57D6" w:rsidRPr="002A2289">
        <w:rPr>
          <w:rFonts w:asciiTheme="majorHAnsi" w:hAnsiTheme="majorHAnsi" w:cs="Times New Roman"/>
          <w:color w:val="auto"/>
          <w:sz w:val="20"/>
          <w:szCs w:val="20"/>
        </w:rPr>
        <w:t xml:space="preserve">claim </w:t>
      </w:r>
      <w:r w:rsidR="001E1A8E" w:rsidRPr="002A2289">
        <w:rPr>
          <w:rFonts w:asciiTheme="majorHAnsi" w:hAnsiTheme="majorHAnsi" w:cs="Times New Roman"/>
          <w:color w:val="auto"/>
          <w:sz w:val="20"/>
          <w:szCs w:val="20"/>
        </w:rPr>
        <w:t xml:space="preserve">for </w:t>
      </w:r>
      <w:r w:rsidR="000C2C6C" w:rsidRPr="002A2289">
        <w:rPr>
          <w:rFonts w:asciiTheme="majorHAnsi" w:hAnsiTheme="majorHAnsi" w:cs="Times New Roman"/>
          <w:color w:val="auto"/>
          <w:sz w:val="20"/>
          <w:szCs w:val="20"/>
        </w:rPr>
        <w:t xml:space="preserve">compensation </w:t>
      </w:r>
      <w:r w:rsidR="001E1A8E" w:rsidRPr="002A2289">
        <w:rPr>
          <w:rFonts w:asciiTheme="majorHAnsi" w:hAnsiTheme="majorHAnsi" w:cs="Times New Roman"/>
          <w:color w:val="auto"/>
          <w:sz w:val="20"/>
          <w:szCs w:val="20"/>
        </w:rPr>
        <w:t xml:space="preserve">to </w:t>
      </w:r>
      <w:r w:rsidR="004D2CFC" w:rsidRPr="002A2289">
        <w:rPr>
          <w:rFonts w:asciiTheme="majorHAnsi" w:hAnsiTheme="majorHAnsi" w:cs="Times New Roman"/>
          <w:color w:val="auto"/>
          <w:sz w:val="20"/>
          <w:szCs w:val="20"/>
        </w:rPr>
        <w:t>cover</w:t>
      </w:r>
      <w:r w:rsidR="000C2C6C" w:rsidRPr="002A2289">
        <w:rPr>
          <w:rFonts w:asciiTheme="majorHAnsi" w:hAnsiTheme="majorHAnsi" w:cs="Times New Roman"/>
          <w:color w:val="auto"/>
          <w:sz w:val="20"/>
          <w:szCs w:val="20"/>
        </w:rPr>
        <w:t xml:space="preserve"> the days her liberty was </w:t>
      </w:r>
      <w:r w:rsidR="00C40AC4" w:rsidRPr="002A2289">
        <w:rPr>
          <w:rFonts w:asciiTheme="majorHAnsi" w:hAnsiTheme="majorHAnsi" w:cs="Times New Roman"/>
          <w:color w:val="auto"/>
          <w:sz w:val="20"/>
          <w:szCs w:val="20"/>
        </w:rPr>
        <w:t>restricted</w:t>
      </w:r>
      <w:r w:rsidR="000C2C6C" w:rsidRPr="002A2289">
        <w:rPr>
          <w:rFonts w:asciiTheme="majorHAnsi" w:hAnsiTheme="majorHAnsi" w:cs="Times New Roman"/>
          <w:color w:val="auto"/>
          <w:sz w:val="20"/>
          <w:szCs w:val="20"/>
        </w:rPr>
        <w:t xml:space="preserve"> by surveillance and </w:t>
      </w:r>
      <w:r w:rsidR="001E1A8E" w:rsidRPr="002A2289">
        <w:rPr>
          <w:rFonts w:asciiTheme="majorHAnsi" w:hAnsiTheme="majorHAnsi" w:cs="Times New Roman"/>
          <w:color w:val="auto"/>
          <w:sz w:val="20"/>
          <w:szCs w:val="20"/>
        </w:rPr>
        <w:t>inspections</w:t>
      </w:r>
      <w:r w:rsidR="000C2C6C" w:rsidRPr="002A2289">
        <w:rPr>
          <w:rFonts w:asciiTheme="majorHAnsi" w:hAnsiTheme="majorHAnsi" w:cs="Times New Roman"/>
          <w:color w:val="auto"/>
          <w:sz w:val="20"/>
          <w:szCs w:val="20"/>
        </w:rPr>
        <w:t xml:space="preserve">, and her claim was admitted. This decision </w:t>
      </w:r>
      <w:r w:rsidRPr="002A2289">
        <w:rPr>
          <w:rFonts w:asciiTheme="majorHAnsi" w:hAnsiTheme="majorHAnsi" w:cs="Times New Roman"/>
          <w:color w:val="auto"/>
          <w:sz w:val="20"/>
          <w:szCs w:val="20"/>
        </w:rPr>
        <w:t>(</w:t>
      </w:r>
      <w:r w:rsidR="005D6812" w:rsidRPr="002A2289">
        <w:rPr>
          <w:rFonts w:asciiTheme="majorHAnsi" w:hAnsiTheme="majorHAnsi" w:cs="Times New Roman"/>
          <w:color w:val="auto"/>
          <w:sz w:val="20"/>
          <w:szCs w:val="20"/>
        </w:rPr>
        <w:t>Ministry of Justice</w:t>
      </w:r>
      <w:r w:rsidRPr="002A2289">
        <w:rPr>
          <w:rFonts w:asciiTheme="majorHAnsi" w:hAnsiTheme="majorHAnsi" w:cs="Times New Roman"/>
          <w:color w:val="auto"/>
          <w:sz w:val="20"/>
          <w:szCs w:val="20"/>
        </w:rPr>
        <w:t xml:space="preserve"> </w:t>
      </w:r>
      <w:r w:rsidR="00547F44" w:rsidRPr="002A2289">
        <w:rPr>
          <w:rFonts w:asciiTheme="majorHAnsi" w:hAnsiTheme="majorHAnsi" w:cs="Times New Roman"/>
          <w:color w:val="auto"/>
          <w:sz w:val="20"/>
          <w:szCs w:val="20"/>
        </w:rPr>
        <w:t>Case </w:t>
      </w:r>
      <w:r w:rsidRPr="002A2289">
        <w:rPr>
          <w:rFonts w:asciiTheme="majorHAnsi" w:hAnsiTheme="majorHAnsi" w:cs="Times New Roman"/>
          <w:color w:val="auto"/>
          <w:sz w:val="20"/>
          <w:szCs w:val="20"/>
        </w:rPr>
        <w:t>0034439/14</w:t>
      </w:r>
      <w:r w:rsidR="00690833" w:rsidRPr="002A2289">
        <w:rPr>
          <w:rFonts w:asciiTheme="majorHAnsi" w:hAnsiTheme="majorHAnsi" w:cs="Times New Roman"/>
          <w:color w:val="auto"/>
          <w:sz w:val="20"/>
          <w:szCs w:val="20"/>
        </w:rPr>
        <w:t>,</w:t>
      </w:r>
      <w:r w:rsidRPr="002A2289">
        <w:rPr>
          <w:rFonts w:asciiTheme="majorHAnsi" w:hAnsiTheme="majorHAnsi" w:cs="Times New Roman"/>
          <w:color w:val="auto"/>
          <w:sz w:val="20"/>
          <w:szCs w:val="20"/>
        </w:rPr>
        <w:t xml:space="preserve"> </w:t>
      </w:r>
      <w:r w:rsidR="001E1A8E" w:rsidRPr="002A2289">
        <w:rPr>
          <w:rFonts w:asciiTheme="majorHAnsi" w:hAnsiTheme="majorHAnsi" w:cs="Times New Roman"/>
          <w:color w:val="auto"/>
          <w:sz w:val="20"/>
          <w:szCs w:val="20"/>
        </w:rPr>
        <w:t>Decision</w:t>
      </w:r>
      <w:r w:rsidRPr="002A2289">
        <w:rPr>
          <w:rFonts w:asciiTheme="majorHAnsi" w:hAnsiTheme="majorHAnsi" w:cs="Times New Roman"/>
          <w:color w:val="auto"/>
          <w:sz w:val="20"/>
          <w:szCs w:val="20"/>
        </w:rPr>
        <w:t xml:space="preserve"> 1176 [</w:t>
      </w:r>
      <w:r w:rsidR="005D6812" w:rsidRPr="002A2289">
        <w:rPr>
          <w:rFonts w:asciiTheme="majorHAnsi" w:hAnsiTheme="majorHAnsi" w:cs="Times New Roman"/>
          <w:color w:val="auto"/>
          <w:sz w:val="20"/>
          <w:szCs w:val="20"/>
        </w:rPr>
        <w:t>Ministry of Justice</w:t>
      </w:r>
      <w:r w:rsidRPr="002A2289">
        <w:rPr>
          <w:rFonts w:asciiTheme="majorHAnsi" w:hAnsiTheme="majorHAnsi" w:cs="Times New Roman"/>
          <w:color w:val="auto"/>
          <w:sz w:val="20"/>
          <w:szCs w:val="20"/>
        </w:rPr>
        <w:t xml:space="preserve">]) </w:t>
      </w:r>
      <w:r w:rsidR="000C2C6C" w:rsidRPr="002A2289">
        <w:rPr>
          <w:rFonts w:asciiTheme="majorHAnsi" w:hAnsiTheme="majorHAnsi" w:cs="Times New Roman"/>
          <w:color w:val="auto"/>
          <w:sz w:val="20"/>
          <w:szCs w:val="20"/>
        </w:rPr>
        <w:t xml:space="preserve">was made </w:t>
      </w:r>
      <w:r w:rsidR="001E1A8E" w:rsidRPr="002A2289">
        <w:rPr>
          <w:rFonts w:asciiTheme="majorHAnsi" w:hAnsiTheme="majorHAnsi" w:cs="Times New Roman"/>
          <w:color w:val="auto"/>
          <w:sz w:val="20"/>
          <w:szCs w:val="20"/>
        </w:rPr>
        <w:t>about</w:t>
      </w:r>
      <w:r w:rsidR="000C2C6C" w:rsidRPr="002A2289">
        <w:rPr>
          <w:rFonts w:asciiTheme="majorHAnsi" w:hAnsiTheme="majorHAnsi" w:cs="Times New Roman"/>
          <w:color w:val="auto"/>
          <w:sz w:val="20"/>
          <w:szCs w:val="20"/>
        </w:rPr>
        <w:t xml:space="preserve"> the same events</w:t>
      </w:r>
      <w:r w:rsidR="001E1A8E" w:rsidRPr="002A2289">
        <w:rPr>
          <w:rFonts w:asciiTheme="majorHAnsi" w:hAnsiTheme="majorHAnsi" w:cs="Times New Roman"/>
          <w:color w:val="auto"/>
          <w:sz w:val="20"/>
          <w:szCs w:val="20"/>
        </w:rPr>
        <w:t xml:space="preserve"> that we endured </w:t>
      </w:r>
      <w:r w:rsidR="000C2C6C" w:rsidRPr="002A2289">
        <w:rPr>
          <w:rFonts w:asciiTheme="majorHAnsi" w:hAnsiTheme="majorHAnsi" w:cs="Times New Roman"/>
          <w:color w:val="auto"/>
          <w:sz w:val="20"/>
          <w:szCs w:val="20"/>
        </w:rPr>
        <w:t>together (my wife and myself), and th</w:t>
      </w:r>
      <w:r w:rsidR="001E1A8E" w:rsidRPr="002A2289">
        <w:rPr>
          <w:rFonts w:asciiTheme="majorHAnsi" w:hAnsiTheme="majorHAnsi" w:cs="Times New Roman"/>
          <w:color w:val="auto"/>
          <w:sz w:val="20"/>
          <w:szCs w:val="20"/>
        </w:rPr>
        <w:t>erefore in</w:t>
      </w:r>
      <w:r w:rsidR="000C2C6C" w:rsidRPr="002A2289">
        <w:rPr>
          <w:rFonts w:asciiTheme="majorHAnsi" w:hAnsiTheme="majorHAnsi" w:cs="Times New Roman"/>
          <w:color w:val="auto"/>
          <w:sz w:val="20"/>
          <w:szCs w:val="20"/>
        </w:rPr>
        <w:t xml:space="preserve"> identical and inseparable conditions and timeframes. The evidence taken as grounds for this decision were our own statements in Argentine courts, especially those made prior to any willingness or legislation on the part of the Argentine State</w:t>
      </w:r>
      <w:r w:rsidR="00547F44" w:rsidRPr="002A2289">
        <w:rPr>
          <w:rFonts w:asciiTheme="majorHAnsi" w:hAnsiTheme="majorHAnsi" w:cs="Times New Roman"/>
          <w:color w:val="auto"/>
          <w:sz w:val="20"/>
          <w:szCs w:val="20"/>
        </w:rPr>
        <w:t xml:space="preserve"> to make reparations</w:t>
      </w:r>
      <w:r w:rsidR="000C2C6C" w:rsidRPr="002A2289">
        <w:rPr>
          <w:rFonts w:asciiTheme="majorHAnsi" w:hAnsiTheme="majorHAnsi" w:cs="Times New Roman"/>
          <w:color w:val="auto"/>
          <w:sz w:val="20"/>
          <w:szCs w:val="20"/>
        </w:rPr>
        <w:t>.”</w:t>
      </w:r>
      <w:r w:rsidRPr="002A2289">
        <w:rPr>
          <w:rFonts w:asciiTheme="majorHAnsi" w:hAnsiTheme="majorHAnsi" w:cs="Times New Roman"/>
          <w:color w:val="auto"/>
          <w:sz w:val="20"/>
          <w:szCs w:val="20"/>
        </w:rPr>
        <w:t xml:space="preserve"> </w:t>
      </w:r>
    </w:p>
    <w:p w14:paraId="72247264" w14:textId="77777777" w:rsidR="00EC7AB1" w:rsidRPr="002A2289" w:rsidRDefault="00EC7AB1" w:rsidP="00EC7AB1">
      <w:pPr>
        <w:pStyle w:val="ListParagraph"/>
        <w:ind w:firstLine="720"/>
        <w:rPr>
          <w:rFonts w:asciiTheme="majorHAnsi" w:hAnsiTheme="majorHAnsi" w:cs="Times New Roman"/>
          <w:color w:val="auto"/>
          <w:sz w:val="20"/>
          <w:szCs w:val="20"/>
        </w:rPr>
      </w:pPr>
    </w:p>
    <w:p w14:paraId="7B45561E" w14:textId="77777777" w:rsidR="00EC7AB1" w:rsidRPr="002A2289" w:rsidRDefault="000C2C6C"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In said decision, the Ministry of Justice</w:t>
      </w:r>
      <w:r w:rsidR="008D6093" w:rsidRPr="002A2289">
        <w:rPr>
          <w:rFonts w:asciiTheme="majorHAnsi" w:hAnsiTheme="majorHAnsi" w:cs="Times New Roman"/>
          <w:color w:val="auto"/>
          <w:sz w:val="20"/>
          <w:szCs w:val="20"/>
        </w:rPr>
        <w:t xml:space="preserve"> and Human Rights</w:t>
      </w:r>
      <w:r w:rsidRPr="002A2289">
        <w:rPr>
          <w:rFonts w:asciiTheme="majorHAnsi" w:hAnsiTheme="majorHAnsi" w:cs="Times New Roman"/>
          <w:color w:val="auto"/>
          <w:sz w:val="20"/>
          <w:szCs w:val="20"/>
        </w:rPr>
        <w:t xml:space="preserve"> provided that: </w:t>
      </w:r>
    </w:p>
    <w:p w14:paraId="2E05BD67" w14:textId="77777777" w:rsidR="00EC7AB1" w:rsidRPr="002A2289" w:rsidRDefault="00EC7AB1" w:rsidP="00EC7AB1">
      <w:pPr>
        <w:pStyle w:val="ListParagraph"/>
        <w:rPr>
          <w:rFonts w:asciiTheme="majorHAnsi" w:hAnsiTheme="majorHAnsi" w:cs="Times New Roman"/>
          <w:color w:val="auto"/>
          <w:sz w:val="20"/>
          <w:szCs w:val="20"/>
        </w:rPr>
      </w:pPr>
    </w:p>
    <w:p w14:paraId="2D3FDFAD" w14:textId="06B69DBA" w:rsidR="00EC7AB1" w:rsidRPr="002A2289" w:rsidRDefault="00EC7AB1" w:rsidP="00EC7AB1">
      <w:pPr>
        <w:pStyle w:val="ListParagraph"/>
        <w:ind w:right="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w:t>
      </w:r>
      <w:r w:rsidR="00FA10BD" w:rsidRPr="002A2289">
        <w:rPr>
          <w:rFonts w:asciiTheme="majorHAnsi" w:hAnsiTheme="majorHAnsi" w:cs="Times New Roman"/>
          <w:color w:val="auto"/>
          <w:sz w:val="20"/>
          <w:szCs w:val="20"/>
        </w:rPr>
        <w:t>The d</w:t>
      </w:r>
      <w:r w:rsidR="001E1A8E" w:rsidRPr="002A2289">
        <w:rPr>
          <w:rFonts w:asciiTheme="majorHAnsi" w:hAnsiTheme="majorHAnsi" w:cs="Times New Roman"/>
          <w:color w:val="auto"/>
          <w:sz w:val="20"/>
          <w:szCs w:val="20"/>
        </w:rPr>
        <w:t>ecision</w:t>
      </w:r>
      <w:r w:rsidR="000C2C6C" w:rsidRPr="002A2289">
        <w:rPr>
          <w:rFonts w:asciiTheme="majorHAnsi" w:hAnsiTheme="majorHAnsi" w:cs="Times New Roman"/>
          <w:color w:val="auto"/>
          <w:sz w:val="20"/>
          <w:szCs w:val="20"/>
        </w:rPr>
        <w:t xml:space="preserve"> of January 18, </w:t>
      </w:r>
      <w:r w:rsidRPr="002A2289">
        <w:rPr>
          <w:rFonts w:asciiTheme="majorHAnsi" w:hAnsiTheme="majorHAnsi" w:cs="Times New Roman"/>
          <w:color w:val="auto"/>
          <w:sz w:val="20"/>
          <w:szCs w:val="20"/>
        </w:rPr>
        <w:t xml:space="preserve">1999] </w:t>
      </w:r>
      <w:r w:rsidR="008D6093" w:rsidRPr="002A2289">
        <w:rPr>
          <w:rFonts w:asciiTheme="majorHAnsi" w:hAnsiTheme="majorHAnsi" w:cs="Times New Roman"/>
          <w:color w:val="auto"/>
          <w:sz w:val="20"/>
          <w:szCs w:val="20"/>
        </w:rPr>
        <w:t xml:space="preserve">had </w:t>
      </w:r>
      <w:r w:rsidR="00972375" w:rsidRPr="002A2289">
        <w:rPr>
          <w:rFonts w:asciiTheme="majorHAnsi" w:hAnsiTheme="majorHAnsi" w:cs="Times New Roman"/>
          <w:color w:val="auto"/>
          <w:sz w:val="20"/>
          <w:szCs w:val="20"/>
        </w:rPr>
        <w:t xml:space="preserve">recognized 57 days </w:t>
      </w:r>
      <w:r w:rsidR="00FA10BD" w:rsidRPr="002A2289">
        <w:rPr>
          <w:rFonts w:asciiTheme="majorHAnsi" w:hAnsiTheme="majorHAnsi" w:cs="Times New Roman"/>
          <w:color w:val="auto"/>
          <w:sz w:val="20"/>
          <w:szCs w:val="20"/>
        </w:rPr>
        <w:t>of compensation to</w:t>
      </w:r>
      <w:r w:rsidR="00972375" w:rsidRPr="002A2289">
        <w:rPr>
          <w:rFonts w:asciiTheme="majorHAnsi" w:hAnsiTheme="majorHAnsi" w:cs="Times New Roman"/>
          <w:color w:val="auto"/>
          <w:sz w:val="20"/>
          <w:szCs w:val="20"/>
        </w:rPr>
        <w:t xml:space="preserve"> Dr. </w:t>
      </w:r>
      <w:r w:rsidRPr="002A2289">
        <w:rPr>
          <w:rFonts w:asciiTheme="majorHAnsi" w:hAnsiTheme="majorHAnsi" w:cs="Times New Roman"/>
          <w:color w:val="auto"/>
          <w:sz w:val="20"/>
          <w:szCs w:val="20"/>
        </w:rPr>
        <w:t xml:space="preserve">Claudia Graciela </w:t>
      </w:r>
      <w:proofErr w:type="spellStart"/>
      <w:r w:rsidRPr="002A2289">
        <w:rPr>
          <w:rFonts w:asciiTheme="majorHAnsi" w:hAnsiTheme="majorHAnsi" w:cs="Times New Roman"/>
          <w:color w:val="auto"/>
          <w:sz w:val="20"/>
          <w:szCs w:val="20"/>
        </w:rPr>
        <w:t>Esteves</w:t>
      </w:r>
      <w:proofErr w:type="spellEnd"/>
      <w:r w:rsidRPr="002A2289">
        <w:rPr>
          <w:rFonts w:asciiTheme="majorHAnsi" w:hAnsiTheme="majorHAnsi" w:cs="Times New Roman"/>
          <w:color w:val="auto"/>
          <w:sz w:val="20"/>
          <w:szCs w:val="20"/>
        </w:rPr>
        <w:t xml:space="preserve"> [</w:t>
      </w:r>
      <w:r w:rsidR="00972375" w:rsidRPr="002A2289">
        <w:rPr>
          <w:rFonts w:asciiTheme="majorHAnsi" w:hAnsiTheme="majorHAnsi" w:cs="Times New Roman"/>
          <w:color w:val="auto"/>
          <w:sz w:val="20"/>
          <w:szCs w:val="20"/>
        </w:rPr>
        <w:t xml:space="preserve">under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w:t>
      </w:r>
      <w:r w:rsidR="00972375" w:rsidRPr="002A2289">
        <w:rPr>
          <w:rFonts w:asciiTheme="majorHAnsi" w:hAnsiTheme="majorHAnsi" w:cs="Times New Roman"/>
          <w:color w:val="auto"/>
          <w:sz w:val="20"/>
          <w:szCs w:val="20"/>
        </w:rPr>
        <w:t>, corresponding to the period of detention spanning June 1 to July 27, 1978</w:t>
      </w:r>
      <w:r w:rsidRPr="002A2289">
        <w:rPr>
          <w:rFonts w:asciiTheme="majorHAnsi" w:hAnsiTheme="majorHAnsi" w:cs="Times New Roman"/>
          <w:color w:val="auto"/>
          <w:sz w:val="20"/>
          <w:szCs w:val="20"/>
        </w:rPr>
        <w:t>.</w:t>
      </w:r>
    </w:p>
    <w:p w14:paraId="0674BFBA" w14:textId="77777777" w:rsidR="00EC7AB1" w:rsidRPr="002A2289" w:rsidRDefault="00EC7AB1" w:rsidP="00EC7AB1">
      <w:pPr>
        <w:pStyle w:val="ListParagraph"/>
        <w:ind w:right="720"/>
        <w:jc w:val="both"/>
        <w:rPr>
          <w:rFonts w:asciiTheme="majorHAnsi" w:hAnsiTheme="majorHAnsi" w:cs="Times New Roman"/>
          <w:color w:val="auto"/>
          <w:sz w:val="20"/>
          <w:szCs w:val="20"/>
        </w:rPr>
      </w:pPr>
    </w:p>
    <w:p w14:paraId="47EBE7CF" w14:textId="708CE4DE" w:rsidR="00EC7AB1" w:rsidRPr="002A2289" w:rsidRDefault="00972375" w:rsidP="00EC7AB1">
      <w:pPr>
        <w:pStyle w:val="ListParagraph"/>
        <w:ind w:right="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In October</w:t>
      </w:r>
      <w:r w:rsidR="00EC7AB1" w:rsidRPr="002A2289">
        <w:rPr>
          <w:rFonts w:asciiTheme="majorHAnsi" w:hAnsiTheme="majorHAnsi" w:cs="Times New Roman"/>
          <w:color w:val="auto"/>
          <w:sz w:val="20"/>
          <w:szCs w:val="20"/>
        </w:rPr>
        <w:t xml:space="preserve"> 2014, </w:t>
      </w:r>
      <w:r w:rsidRPr="002A2289">
        <w:rPr>
          <w:rFonts w:asciiTheme="majorHAnsi" w:hAnsiTheme="majorHAnsi" w:cs="Times New Roman"/>
          <w:color w:val="auto"/>
          <w:sz w:val="20"/>
          <w:szCs w:val="20"/>
        </w:rPr>
        <w:t xml:space="preserve">Dr. Esteves again requested </w:t>
      </w:r>
      <w:r w:rsidR="008D6093" w:rsidRPr="002A2289">
        <w:rPr>
          <w:rFonts w:asciiTheme="majorHAnsi" w:hAnsiTheme="majorHAnsi" w:cs="Times New Roman"/>
          <w:color w:val="auto"/>
          <w:sz w:val="20"/>
          <w:szCs w:val="20"/>
        </w:rPr>
        <w:t>compensation</w:t>
      </w:r>
      <w:r w:rsidRPr="002A2289">
        <w:rPr>
          <w:rFonts w:asciiTheme="majorHAnsi" w:hAnsiTheme="majorHAnsi" w:cs="Times New Roman"/>
          <w:color w:val="auto"/>
          <w:sz w:val="20"/>
          <w:szCs w:val="20"/>
        </w:rPr>
        <w:t xml:space="preserve"> </w:t>
      </w:r>
      <w:r w:rsidR="00A35528" w:rsidRPr="002A2289">
        <w:rPr>
          <w:rFonts w:asciiTheme="majorHAnsi" w:hAnsiTheme="majorHAnsi" w:cs="Times New Roman"/>
          <w:color w:val="auto"/>
          <w:sz w:val="20"/>
          <w:szCs w:val="20"/>
        </w:rPr>
        <w:t xml:space="preserve">be </w:t>
      </w:r>
      <w:r w:rsidR="00FA10BD" w:rsidRPr="002A2289">
        <w:rPr>
          <w:rFonts w:asciiTheme="majorHAnsi" w:hAnsiTheme="majorHAnsi" w:cs="Times New Roman"/>
          <w:color w:val="auto"/>
          <w:sz w:val="20"/>
          <w:szCs w:val="20"/>
        </w:rPr>
        <w:t>awarded</w:t>
      </w:r>
      <w:r w:rsidR="00A35528" w:rsidRPr="002A2289">
        <w:rPr>
          <w:rFonts w:asciiTheme="majorHAnsi" w:hAnsiTheme="majorHAnsi" w:cs="Times New Roman"/>
          <w:color w:val="auto"/>
          <w:sz w:val="20"/>
          <w:szCs w:val="20"/>
        </w:rPr>
        <w:t xml:space="preserve"> </w:t>
      </w:r>
      <w:r w:rsidRPr="002A2289">
        <w:rPr>
          <w:rFonts w:asciiTheme="majorHAnsi" w:hAnsiTheme="majorHAnsi" w:cs="Times New Roman"/>
          <w:color w:val="auto"/>
          <w:sz w:val="20"/>
          <w:szCs w:val="20"/>
        </w:rPr>
        <w:t xml:space="preserve">under </w:t>
      </w:r>
      <w:r w:rsidR="00786D79">
        <w:rPr>
          <w:rFonts w:asciiTheme="majorHAnsi" w:hAnsiTheme="majorHAnsi" w:cs="Times New Roman"/>
          <w:color w:val="auto"/>
          <w:sz w:val="20"/>
          <w:szCs w:val="20"/>
        </w:rPr>
        <w:t>Law 24.043</w:t>
      </w:r>
      <w:r w:rsidRPr="002A2289">
        <w:rPr>
          <w:rFonts w:asciiTheme="majorHAnsi" w:hAnsiTheme="majorHAnsi" w:cs="Times New Roman"/>
          <w:color w:val="auto"/>
          <w:sz w:val="20"/>
          <w:szCs w:val="20"/>
        </w:rPr>
        <w:t xml:space="preserve">, this time for deprivation of liberty she </w:t>
      </w:r>
      <w:r w:rsidR="008D6093" w:rsidRPr="002A2289">
        <w:rPr>
          <w:rFonts w:asciiTheme="majorHAnsi" w:hAnsiTheme="majorHAnsi" w:cs="Times New Roman"/>
          <w:color w:val="auto"/>
          <w:sz w:val="20"/>
          <w:szCs w:val="20"/>
        </w:rPr>
        <w:t>claimed to have</w:t>
      </w:r>
      <w:r w:rsidR="00A35528" w:rsidRPr="002A2289">
        <w:rPr>
          <w:rFonts w:asciiTheme="majorHAnsi" w:hAnsiTheme="majorHAnsi" w:cs="Times New Roman"/>
          <w:color w:val="auto"/>
          <w:sz w:val="20"/>
          <w:szCs w:val="20"/>
        </w:rPr>
        <w:t xml:space="preserve"> </w:t>
      </w:r>
      <w:r w:rsidR="00FA10BD" w:rsidRPr="002A2289">
        <w:rPr>
          <w:rFonts w:asciiTheme="majorHAnsi" w:hAnsiTheme="majorHAnsi" w:cs="Times New Roman"/>
          <w:color w:val="auto"/>
          <w:sz w:val="20"/>
          <w:szCs w:val="20"/>
        </w:rPr>
        <w:t xml:space="preserve">endured </w:t>
      </w:r>
      <w:r w:rsidR="00A35528" w:rsidRPr="002A2289">
        <w:rPr>
          <w:rFonts w:asciiTheme="majorHAnsi" w:hAnsiTheme="majorHAnsi" w:cs="Times New Roman"/>
          <w:color w:val="auto"/>
          <w:sz w:val="20"/>
          <w:szCs w:val="20"/>
        </w:rPr>
        <w:t xml:space="preserve">during the period spanning June 4, 1978 </w:t>
      </w:r>
      <w:r w:rsidR="00010161">
        <w:rPr>
          <w:rFonts w:asciiTheme="majorHAnsi" w:hAnsiTheme="majorHAnsi" w:cs="Times New Roman"/>
          <w:color w:val="auto"/>
          <w:sz w:val="20"/>
          <w:szCs w:val="20"/>
        </w:rPr>
        <w:t>to</w:t>
      </w:r>
      <w:r w:rsidR="00A35528" w:rsidRPr="002A2289">
        <w:rPr>
          <w:rFonts w:asciiTheme="majorHAnsi" w:hAnsiTheme="majorHAnsi" w:cs="Times New Roman"/>
          <w:color w:val="auto"/>
          <w:sz w:val="20"/>
          <w:szCs w:val="20"/>
        </w:rPr>
        <w:t xml:space="preserve"> April 4, 1983. </w:t>
      </w:r>
    </w:p>
    <w:p w14:paraId="4028D49A" w14:textId="77777777" w:rsidR="00EC7AB1" w:rsidRPr="002A2289" w:rsidRDefault="00EC7AB1" w:rsidP="00EC7AB1">
      <w:pPr>
        <w:pStyle w:val="ListParagraph"/>
        <w:ind w:right="720"/>
        <w:jc w:val="both"/>
        <w:rPr>
          <w:rFonts w:asciiTheme="majorHAnsi" w:hAnsiTheme="majorHAnsi" w:cs="Times New Roman"/>
          <w:color w:val="auto"/>
          <w:sz w:val="20"/>
          <w:szCs w:val="20"/>
        </w:rPr>
      </w:pPr>
    </w:p>
    <w:p w14:paraId="79710111" w14:textId="77777777" w:rsidR="00EC7AB1" w:rsidRPr="002A2289" w:rsidRDefault="00A35528" w:rsidP="00EC7AB1">
      <w:pPr>
        <w:pStyle w:val="ListParagraph"/>
        <w:ind w:right="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 After analyzing the documents found in the case file, it was decided that the petitioner had been subjected to a </w:t>
      </w:r>
      <w:r w:rsidR="008D6093" w:rsidRPr="002A2289">
        <w:rPr>
          <w:rFonts w:asciiTheme="majorHAnsi" w:hAnsiTheme="majorHAnsi" w:cs="Times New Roman"/>
          <w:color w:val="auto"/>
          <w:sz w:val="20"/>
          <w:szCs w:val="20"/>
        </w:rPr>
        <w:t xml:space="preserve">regime </w:t>
      </w:r>
      <w:r w:rsidRPr="002A2289">
        <w:rPr>
          <w:rFonts w:asciiTheme="majorHAnsi" w:hAnsiTheme="majorHAnsi" w:cs="Times New Roman"/>
          <w:color w:val="auto"/>
          <w:sz w:val="20"/>
          <w:szCs w:val="20"/>
        </w:rPr>
        <w:t xml:space="preserve">of release under surveillance from July 28, 1978 to April 1, 1983, and was </w:t>
      </w:r>
      <w:r w:rsidR="008D6093" w:rsidRPr="002A2289">
        <w:rPr>
          <w:rFonts w:asciiTheme="majorHAnsi" w:hAnsiTheme="majorHAnsi" w:cs="Times New Roman"/>
          <w:color w:val="auto"/>
          <w:sz w:val="20"/>
          <w:szCs w:val="20"/>
        </w:rPr>
        <w:t xml:space="preserve">therefore </w:t>
      </w:r>
      <w:r w:rsidRPr="002A2289">
        <w:rPr>
          <w:rFonts w:asciiTheme="majorHAnsi" w:hAnsiTheme="majorHAnsi" w:cs="Times New Roman"/>
          <w:color w:val="auto"/>
          <w:sz w:val="20"/>
          <w:szCs w:val="20"/>
        </w:rPr>
        <w:t xml:space="preserve">entitled to have </w:t>
      </w:r>
      <w:r w:rsidR="008D6093" w:rsidRPr="002A2289">
        <w:rPr>
          <w:rFonts w:asciiTheme="majorHAnsi" w:hAnsiTheme="majorHAnsi" w:cs="Times New Roman"/>
          <w:color w:val="auto"/>
          <w:sz w:val="20"/>
          <w:szCs w:val="20"/>
        </w:rPr>
        <w:t>compensation</w:t>
      </w:r>
      <w:r w:rsidRPr="002A2289">
        <w:rPr>
          <w:rFonts w:asciiTheme="majorHAnsi" w:hAnsiTheme="majorHAnsi" w:cs="Times New Roman"/>
          <w:color w:val="auto"/>
          <w:sz w:val="20"/>
          <w:szCs w:val="20"/>
        </w:rPr>
        <w:t xml:space="preserve"> </w:t>
      </w:r>
      <w:r w:rsidR="00FA10BD" w:rsidRPr="002A2289">
        <w:rPr>
          <w:rFonts w:asciiTheme="majorHAnsi" w:hAnsiTheme="majorHAnsi" w:cs="Times New Roman"/>
          <w:color w:val="auto"/>
          <w:sz w:val="20"/>
          <w:szCs w:val="20"/>
        </w:rPr>
        <w:t>awarded</w:t>
      </w:r>
      <w:r w:rsidRPr="002A2289">
        <w:rPr>
          <w:rFonts w:asciiTheme="majorHAnsi" w:hAnsiTheme="majorHAnsi" w:cs="Times New Roman"/>
          <w:color w:val="auto"/>
          <w:sz w:val="20"/>
          <w:szCs w:val="20"/>
        </w:rPr>
        <w:t xml:space="preserve"> for that period. [The existence of this </w:t>
      </w:r>
      <w:r w:rsidR="008D6093" w:rsidRPr="002A2289">
        <w:rPr>
          <w:rFonts w:asciiTheme="majorHAnsi" w:hAnsiTheme="majorHAnsi" w:cs="Times New Roman"/>
          <w:color w:val="auto"/>
          <w:sz w:val="20"/>
          <w:szCs w:val="20"/>
        </w:rPr>
        <w:t>regime</w:t>
      </w:r>
      <w:r w:rsidRPr="002A2289">
        <w:rPr>
          <w:rFonts w:asciiTheme="majorHAnsi" w:hAnsiTheme="majorHAnsi" w:cs="Times New Roman"/>
          <w:color w:val="auto"/>
          <w:sz w:val="20"/>
          <w:szCs w:val="20"/>
        </w:rPr>
        <w:t xml:space="preserve"> from April 2 to 4, 1983 was not </w:t>
      </w:r>
      <w:r w:rsidR="007504E3" w:rsidRPr="002A2289">
        <w:rPr>
          <w:rFonts w:asciiTheme="majorHAnsi" w:hAnsiTheme="majorHAnsi" w:cs="Times New Roman"/>
          <w:color w:val="auto"/>
          <w:sz w:val="20"/>
          <w:szCs w:val="20"/>
        </w:rPr>
        <w:t>deemed</w:t>
      </w:r>
      <w:r w:rsidRPr="002A2289">
        <w:rPr>
          <w:rFonts w:asciiTheme="majorHAnsi" w:hAnsiTheme="majorHAnsi" w:cs="Times New Roman"/>
          <w:color w:val="auto"/>
          <w:sz w:val="20"/>
          <w:szCs w:val="20"/>
        </w:rPr>
        <w:t xml:space="preserve"> to have been proven.]</w:t>
      </w:r>
      <w:r w:rsidR="00EC7AB1" w:rsidRPr="002A2289">
        <w:rPr>
          <w:rStyle w:val="FootnoteReference"/>
          <w:rFonts w:asciiTheme="majorHAnsi" w:hAnsiTheme="majorHAnsi" w:cs="Times New Roman"/>
          <w:color w:val="auto"/>
          <w:sz w:val="20"/>
          <w:szCs w:val="20"/>
        </w:rPr>
        <w:footnoteReference w:id="54"/>
      </w:r>
    </w:p>
    <w:p w14:paraId="7F42E34E" w14:textId="77777777" w:rsidR="00EC7AB1" w:rsidRPr="002A2289" w:rsidRDefault="00EC7AB1" w:rsidP="00EC7AB1">
      <w:pPr>
        <w:pStyle w:val="ListParagraph"/>
        <w:ind w:left="634"/>
        <w:jc w:val="both"/>
        <w:rPr>
          <w:rFonts w:asciiTheme="majorHAnsi" w:hAnsiTheme="majorHAnsi" w:cs="Times New Roman"/>
          <w:color w:val="auto"/>
          <w:sz w:val="20"/>
          <w:szCs w:val="20"/>
        </w:rPr>
      </w:pPr>
    </w:p>
    <w:p w14:paraId="44172A89" w14:textId="77777777" w:rsidR="00EC7AB1" w:rsidRPr="002A2289" w:rsidRDefault="00A35528"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In light of the foregoing, </w:t>
      </w:r>
      <w:r w:rsidR="00EC7AB1" w:rsidRPr="002A2289">
        <w:rPr>
          <w:rFonts w:asciiTheme="majorHAnsi" w:hAnsiTheme="majorHAnsi" w:cs="Times New Roman"/>
          <w:color w:val="auto"/>
          <w:sz w:val="20"/>
          <w:szCs w:val="20"/>
        </w:rPr>
        <w:t xml:space="preserve">Claudia Graciela Esteves </w:t>
      </w:r>
      <w:r w:rsidRPr="002A2289">
        <w:rPr>
          <w:rFonts w:asciiTheme="majorHAnsi" w:hAnsiTheme="majorHAnsi" w:cs="Times New Roman"/>
          <w:color w:val="auto"/>
          <w:sz w:val="20"/>
          <w:szCs w:val="20"/>
        </w:rPr>
        <w:t xml:space="preserve">has been granted the amount of </w:t>
      </w:r>
      <w:r w:rsidR="00EC7AB1" w:rsidRPr="002A2289">
        <w:rPr>
          <w:rFonts w:asciiTheme="majorHAnsi" w:hAnsiTheme="majorHAnsi" w:cs="Times New Roman"/>
          <w:color w:val="auto"/>
          <w:sz w:val="20"/>
          <w:szCs w:val="20"/>
        </w:rPr>
        <w:t>$</w:t>
      </w:r>
      <w:r w:rsidRPr="002A2289">
        <w:rPr>
          <w:rFonts w:asciiTheme="majorHAnsi" w:hAnsiTheme="majorHAnsi" w:cs="Times New Roman"/>
          <w:color w:val="auto"/>
          <w:sz w:val="20"/>
          <w:szCs w:val="20"/>
        </w:rPr>
        <w:t>1,019,914.</w:t>
      </w:r>
      <w:r w:rsidR="00EC7AB1" w:rsidRPr="002A2289">
        <w:rPr>
          <w:rFonts w:asciiTheme="majorHAnsi" w:hAnsiTheme="majorHAnsi" w:cs="Times New Roman"/>
          <w:color w:val="auto"/>
          <w:sz w:val="20"/>
          <w:szCs w:val="20"/>
        </w:rPr>
        <w:t xml:space="preserve">11 </w:t>
      </w:r>
      <w:r w:rsidRPr="002A2289">
        <w:rPr>
          <w:rFonts w:asciiTheme="majorHAnsi" w:hAnsiTheme="majorHAnsi" w:cs="Times New Roman"/>
          <w:color w:val="auto"/>
          <w:sz w:val="20"/>
          <w:szCs w:val="20"/>
        </w:rPr>
        <w:t xml:space="preserve">Argentine pesos, </w:t>
      </w:r>
      <w:r w:rsidR="007504E3" w:rsidRPr="002A2289">
        <w:rPr>
          <w:rFonts w:asciiTheme="majorHAnsi" w:hAnsiTheme="majorHAnsi" w:cs="Times New Roman"/>
          <w:color w:val="auto"/>
          <w:sz w:val="20"/>
          <w:szCs w:val="20"/>
        </w:rPr>
        <w:t>corresponding</w:t>
      </w:r>
      <w:r w:rsidRPr="002A2289">
        <w:rPr>
          <w:rFonts w:asciiTheme="majorHAnsi" w:hAnsiTheme="majorHAnsi" w:cs="Times New Roman"/>
          <w:color w:val="auto"/>
          <w:sz w:val="20"/>
          <w:szCs w:val="20"/>
        </w:rPr>
        <w:t xml:space="preserve"> to </w:t>
      </w:r>
      <w:r w:rsidR="00EC7AB1" w:rsidRPr="002A2289">
        <w:rPr>
          <w:rFonts w:asciiTheme="majorHAnsi" w:hAnsiTheme="majorHAnsi" w:cs="Times New Roman"/>
          <w:color w:val="auto"/>
          <w:sz w:val="20"/>
          <w:szCs w:val="20"/>
        </w:rPr>
        <w:t xml:space="preserve">1,709 </w:t>
      </w:r>
      <w:r w:rsidRPr="002A2289">
        <w:rPr>
          <w:rFonts w:asciiTheme="majorHAnsi" w:hAnsiTheme="majorHAnsi" w:cs="Times New Roman"/>
          <w:color w:val="auto"/>
          <w:sz w:val="20"/>
          <w:szCs w:val="20"/>
        </w:rPr>
        <w:t>days of compensation.</w:t>
      </w:r>
      <w:r w:rsidR="00EC7AB1" w:rsidRPr="002A2289">
        <w:rPr>
          <w:rStyle w:val="FootnoteReference"/>
          <w:rFonts w:asciiTheme="majorHAnsi" w:hAnsiTheme="majorHAnsi" w:cs="Times New Roman"/>
          <w:color w:val="auto"/>
          <w:sz w:val="20"/>
          <w:szCs w:val="20"/>
        </w:rPr>
        <w:footnoteReference w:id="55"/>
      </w:r>
    </w:p>
    <w:p w14:paraId="47C7A5B5" w14:textId="77777777" w:rsidR="00EC7AB1" w:rsidRPr="002A2289" w:rsidRDefault="00EC7AB1" w:rsidP="00EC7AB1">
      <w:pPr>
        <w:jc w:val="both"/>
        <w:rPr>
          <w:rFonts w:asciiTheme="majorHAnsi" w:hAnsiTheme="majorHAnsi"/>
          <w:b/>
          <w:sz w:val="20"/>
          <w:szCs w:val="20"/>
        </w:rPr>
      </w:pPr>
    </w:p>
    <w:p w14:paraId="512CE5B9" w14:textId="77777777" w:rsidR="00EC7AB1" w:rsidRPr="002A2289" w:rsidRDefault="00EC7AB1" w:rsidP="00EC7AB1">
      <w:pPr>
        <w:rPr>
          <w:rFonts w:asciiTheme="majorHAnsi" w:eastAsia="Cambria" w:hAnsiTheme="majorHAnsi" w:cs="Cambria"/>
          <w:b/>
          <w:sz w:val="20"/>
          <w:szCs w:val="20"/>
        </w:rPr>
      </w:pPr>
      <w:bookmarkStart w:id="14" w:name="_Toc529201742"/>
      <w:r w:rsidRPr="002A2289">
        <w:rPr>
          <w:rFonts w:asciiTheme="majorHAnsi" w:hAnsiTheme="majorHAnsi"/>
        </w:rPr>
        <w:br w:type="page"/>
      </w:r>
    </w:p>
    <w:p w14:paraId="4275C34C" w14:textId="77777777" w:rsidR="00EC7AB1" w:rsidRPr="002A2289" w:rsidRDefault="00C07099" w:rsidP="002A2289">
      <w:pPr>
        <w:pStyle w:val="Heading1"/>
      </w:pPr>
      <w:bookmarkStart w:id="15" w:name="_Toc529249985"/>
      <w:r w:rsidRPr="002A2289">
        <w:lastRenderedPageBreak/>
        <w:t>LEGAL ANALYSIS</w:t>
      </w:r>
      <w:bookmarkEnd w:id="14"/>
      <w:bookmarkEnd w:id="15"/>
    </w:p>
    <w:p w14:paraId="3AD21353" w14:textId="77777777" w:rsidR="00EC7AB1" w:rsidRPr="002A2289" w:rsidRDefault="00EC7AB1" w:rsidP="00EC7AB1">
      <w:pPr>
        <w:suppressAutoHyphens/>
        <w:rPr>
          <w:rFonts w:asciiTheme="majorHAnsi" w:hAnsiTheme="majorHAnsi"/>
          <w:b/>
          <w:sz w:val="20"/>
          <w:szCs w:val="20"/>
        </w:rPr>
      </w:pPr>
    </w:p>
    <w:p w14:paraId="283C3364" w14:textId="077D3F99" w:rsidR="00EC7AB1" w:rsidRPr="002A2289" w:rsidRDefault="00C07099" w:rsidP="000B1FA9">
      <w:pPr>
        <w:pStyle w:val="Heading2"/>
        <w:numPr>
          <w:ilvl w:val="0"/>
          <w:numId w:val="65"/>
        </w:numPr>
        <w:ind w:left="1440" w:hanging="720"/>
      </w:pPr>
      <w:bookmarkStart w:id="16" w:name="_Toc529201743"/>
      <w:bookmarkStart w:id="17" w:name="_Toc529249986"/>
      <w:r w:rsidRPr="002A2289">
        <w:t xml:space="preserve">The right to equal </w:t>
      </w:r>
      <w:r w:rsidR="00F320A3" w:rsidRPr="002A2289">
        <w:t>protection,</w:t>
      </w:r>
      <w:r w:rsidR="00EC7AB1" w:rsidRPr="002A2289">
        <w:rPr>
          <w:rStyle w:val="FootnoteReference"/>
        </w:rPr>
        <w:footnoteReference w:id="56"/>
      </w:r>
      <w:r w:rsidR="00EC7AB1" w:rsidRPr="002A2289">
        <w:t xml:space="preserve"> </w:t>
      </w:r>
      <w:r w:rsidRPr="002A2289">
        <w:t xml:space="preserve">the right to a </w:t>
      </w:r>
      <w:r w:rsidR="000F2317" w:rsidRPr="002A2289">
        <w:t>duly founded decision</w:t>
      </w:r>
      <w:r w:rsidR="00222C27" w:rsidRPr="002A2289">
        <w:t>,</w:t>
      </w:r>
      <w:r w:rsidR="00EC7AB1" w:rsidRPr="002A2289">
        <w:rPr>
          <w:rStyle w:val="FootnoteReference"/>
        </w:rPr>
        <w:footnoteReference w:id="57"/>
      </w:r>
      <w:r w:rsidR="00EC7AB1" w:rsidRPr="002A2289">
        <w:t xml:space="preserve"> </w:t>
      </w:r>
      <w:r w:rsidR="00222C27" w:rsidRPr="002A2289">
        <w:t>and the right to judicial protection</w:t>
      </w:r>
      <w:r w:rsidR="00EC7AB1" w:rsidRPr="002A2289">
        <w:rPr>
          <w:rStyle w:val="FootnoteReference"/>
        </w:rPr>
        <w:footnoteReference w:id="58"/>
      </w:r>
      <w:r w:rsidR="00EC7AB1" w:rsidRPr="002A2289">
        <w:t xml:space="preserve"> </w:t>
      </w:r>
      <w:r w:rsidR="006C6BB0" w:rsidRPr="002A2289">
        <w:t>in relation to A</w:t>
      </w:r>
      <w:r w:rsidR="00222C27" w:rsidRPr="002A2289">
        <w:t>rticles 1</w:t>
      </w:r>
      <w:r w:rsidR="00010161">
        <w:t>.</w:t>
      </w:r>
      <w:r w:rsidR="00222C27" w:rsidRPr="002A2289">
        <w:t>1</w:t>
      </w:r>
      <w:r w:rsidR="00EC7AB1" w:rsidRPr="002A2289">
        <w:rPr>
          <w:rStyle w:val="FootnoteReference"/>
        </w:rPr>
        <w:footnoteReference w:id="59"/>
      </w:r>
      <w:r w:rsidR="00EC7AB1" w:rsidRPr="002A2289">
        <w:t xml:space="preserve"> </w:t>
      </w:r>
      <w:r w:rsidR="00222C27" w:rsidRPr="002A2289">
        <w:t>and</w:t>
      </w:r>
      <w:r w:rsidR="00EC7AB1" w:rsidRPr="002A2289">
        <w:t xml:space="preserve"> 2</w:t>
      </w:r>
      <w:r w:rsidR="00EC7AB1" w:rsidRPr="002A2289">
        <w:rPr>
          <w:rStyle w:val="FootnoteReference"/>
        </w:rPr>
        <w:footnoteReference w:id="60"/>
      </w:r>
      <w:r w:rsidR="00EC7AB1" w:rsidRPr="002A2289">
        <w:t xml:space="preserve"> </w:t>
      </w:r>
      <w:r w:rsidR="00222C27" w:rsidRPr="002A2289">
        <w:t>of the American Convention</w:t>
      </w:r>
      <w:bookmarkEnd w:id="16"/>
      <w:bookmarkEnd w:id="17"/>
    </w:p>
    <w:p w14:paraId="288C4DCF" w14:textId="77777777" w:rsidR="00EC7AB1" w:rsidRPr="002A2289" w:rsidRDefault="00EC7AB1" w:rsidP="00EC7AB1">
      <w:pPr>
        <w:ind w:left="630"/>
        <w:rPr>
          <w:rFonts w:asciiTheme="majorHAnsi" w:hAnsiTheme="majorHAnsi"/>
          <w:sz w:val="20"/>
          <w:szCs w:val="20"/>
        </w:rPr>
      </w:pPr>
    </w:p>
    <w:p w14:paraId="2991C6CE" w14:textId="151972ED" w:rsidR="00EC7AB1" w:rsidRPr="002A2289" w:rsidRDefault="00222C27" w:rsidP="00EC7AB1">
      <w:pPr>
        <w:pStyle w:val="ListParagraph"/>
        <w:numPr>
          <w:ilvl w:val="0"/>
          <w:numId w:val="55"/>
        </w:numPr>
        <w:ind w:left="0" w:firstLine="720"/>
        <w:jc w:val="both"/>
        <w:rPr>
          <w:rFonts w:asciiTheme="majorHAnsi" w:hAnsiTheme="majorHAnsi" w:cs="Times New Roman"/>
          <w:sz w:val="20"/>
          <w:szCs w:val="20"/>
        </w:rPr>
      </w:pPr>
      <w:r w:rsidRPr="002A2289">
        <w:rPr>
          <w:rFonts w:asciiTheme="majorHAnsi" w:hAnsiTheme="majorHAnsi" w:cs="Times New Roman"/>
          <w:sz w:val="20"/>
          <w:szCs w:val="20"/>
        </w:rPr>
        <w:t xml:space="preserve">Based on the facts established and the parties’ </w:t>
      </w:r>
      <w:r w:rsidR="00AC2E6D" w:rsidRPr="002A2289">
        <w:rPr>
          <w:rFonts w:asciiTheme="majorHAnsi" w:hAnsiTheme="majorHAnsi" w:cs="Times New Roman"/>
          <w:sz w:val="20"/>
          <w:szCs w:val="20"/>
        </w:rPr>
        <w:t>arguments</w:t>
      </w:r>
      <w:r w:rsidRPr="002A2289">
        <w:rPr>
          <w:rFonts w:asciiTheme="majorHAnsi" w:hAnsiTheme="majorHAnsi" w:cs="Times New Roman"/>
          <w:sz w:val="20"/>
          <w:szCs w:val="20"/>
        </w:rPr>
        <w:t>, the Commission understand</w:t>
      </w:r>
      <w:r w:rsidR="00F320A3" w:rsidRPr="002A2289">
        <w:rPr>
          <w:rFonts w:asciiTheme="majorHAnsi" w:hAnsiTheme="majorHAnsi" w:cs="Times New Roman"/>
          <w:sz w:val="20"/>
          <w:szCs w:val="20"/>
        </w:rPr>
        <w:t>s</w:t>
      </w:r>
      <w:r w:rsidRPr="002A2289">
        <w:rPr>
          <w:rFonts w:asciiTheme="majorHAnsi" w:hAnsiTheme="majorHAnsi" w:cs="Times New Roman"/>
          <w:sz w:val="20"/>
          <w:szCs w:val="20"/>
        </w:rPr>
        <w:t xml:space="preserve"> that the instant case raises at least three independent legal problems regarding the right to </w:t>
      </w:r>
      <w:r w:rsidR="00F320A3" w:rsidRPr="002A2289">
        <w:rPr>
          <w:rFonts w:asciiTheme="majorHAnsi" w:hAnsiTheme="majorHAnsi" w:cs="Times New Roman"/>
          <w:sz w:val="20"/>
          <w:szCs w:val="20"/>
        </w:rPr>
        <w:t>equal protection</w:t>
      </w:r>
      <w:r w:rsidR="001C0FEB" w:rsidRPr="002A2289">
        <w:rPr>
          <w:rFonts w:asciiTheme="majorHAnsi" w:hAnsiTheme="majorHAnsi" w:cs="Times New Roman"/>
          <w:sz w:val="20"/>
          <w:szCs w:val="20"/>
        </w:rPr>
        <w:t xml:space="preserve"> under the law</w:t>
      </w:r>
      <w:r w:rsidRPr="002A2289">
        <w:rPr>
          <w:rFonts w:asciiTheme="majorHAnsi" w:hAnsiTheme="majorHAnsi" w:cs="Times New Roman"/>
          <w:sz w:val="20"/>
          <w:szCs w:val="20"/>
        </w:rPr>
        <w:t>, two of which must also be analyzed in light of the right to judicial protection and the right to</w:t>
      </w:r>
      <w:r w:rsidR="001C0FEB" w:rsidRPr="002A2289">
        <w:rPr>
          <w:rFonts w:asciiTheme="majorHAnsi" w:hAnsiTheme="majorHAnsi" w:cs="Times New Roman"/>
          <w:sz w:val="20"/>
          <w:szCs w:val="20"/>
        </w:rPr>
        <w:t xml:space="preserve"> </w:t>
      </w:r>
      <w:r w:rsidR="00010161">
        <w:rPr>
          <w:rFonts w:asciiTheme="majorHAnsi" w:hAnsiTheme="majorHAnsi" w:cs="Times New Roman"/>
          <w:sz w:val="20"/>
          <w:szCs w:val="20"/>
        </w:rPr>
        <w:t>receive</w:t>
      </w:r>
      <w:r w:rsidR="00741D30" w:rsidRPr="002A2289">
        <w:rPr>
          <w:rFonts w:asciiTheme="majorHAnsi" w:hAnsiTheme="majorHAnsi" w:cs="Times New Roman"/>
          <w:sz w:val="20"/>
          <w:szCs w:val="20"/>
        </w:rPr>
        <w:t xml:space="preserve"> </w:t>
      </w:r>
      <w:r w:rsidR="00AC2E6D" w:rsidRPr="002A2289">
        <w:rPr>
          <w:rFonts w:asciiTheme="majorHAnsi" w:hAnsiTheme="majorHAnsi" w:cs="Times New Roman"/>
          <w:sz w:val="20"/>
          <w:szCs w:val="20"/>
        </w:rPr>
        <w:t xml:space="preserve">a </w:t>
      </w:r>
      <w:r w:rsidR="001C0FEB" w:rsidRPr="002A2289">
        <w:rPr>
          <w:rFonts w:asciiTheme="majorHAnsi" w:hAnsiTheme="majorHAnsi" w:cs="Times New Roman"/>
          <w:sz w:val="20"/>
          <w:szCs w:val="20"/>
        </w:rPr>
        <w:t>duly</w:t>
      </w:r>
      <w:r w:rsidR="00741D30" w:rsidRPr="002A2289">
        <w:rPr>
          <w:rFonts w:asciiTheme="majorHAnsi" w:hAnsiTheme="majorHAnsi" w:cs="Times New Roman"/>
          <w:sz w:val="20"/>
          <w:szCs w:val="20"/>
        </w:rPr>
        <w:t xml:space="preserve"> </w:t>
      </w:r>
      <w:r w:rsidR="001C0FEB" w:rsidRPr="002A2289">
        <w:rPr>
          <w:rFonts w:asciiTheme="majorHAnsi" w:hAnsiTheme="majorHAnsi" w:cs="Times New Roman"/>
          <w:sz w:val="20"/>
          <w:szCs w:val="20"/>
        </w:rPr>
        <w:t>founded</w:t>
      </w:r>
      <w:r w:rsidR="00F320A3" w:rsidRPr="002A2289">
        <w:rPr>
          <w:rFonts w:asciiTheme="majorHAnsi" w:hAnsiTheme="majorHAnsi" w:cs="Times New Roman"/>
          <w:sz w:val="20"/>
          <w:szCs w:val="20"/>
        </w:rPr>
        <w:t xml:space="preserve"> </w:t>
      </w:r>
      <w:r w:rsidR="00AC2E6D" w:rsidRPr="002A2289">
        <w:rPr>
          <w:rFonts w:asciiTheme="majorHAnsi" w:hAnsiTheme="majorHAnsi" w:cs="Times New Roman"/>
          <w:sz w:val="20"/>
          <w:szCs w:val="20"/>
        </w:rPr>
        <w:t>decision</w:t>
      </w:r>
      <w:r w:rsidRPr="002A2289">
        <w:rPr>
          <w:rFonts w:asciiTheme="majorHAnsi" w:hAnsiTheme="majorHAnsi" w:cs="Times New Roman"/>
          <w:sz w:val="20"/>
          <w:szCs w:val="20"/>
        </w:rPr>
        <w:t>. Thus, the IACHR will undertake a joint analysis of the rights set forth under Articles 8</w:t>
      </w:r>
      <w:r w:rsidR="00010161">
        <w:rPr>
          <w:rFonts w:asciiTheme="majorHAnsi" w:hAnsiTheme="majorHAnsi" w:cs="Times New Roman"/>
          <w:sz w:val="20"/>
          <w:szCs w:val="20"/>
        </w:rPr>
        <w:t>.</w:t>
      </w:r>
      <w:r w:rsidRPr="002A2289">
        <w:rPr>
          <w:rFonts w:asciiTheme="majorHAnsi" w:hAnsiTheme="majorHAnsi" w:cs="Times New Roman"/>
          <w:sz w:val="20"/>
          <w:szCs w:val="20"/>
        </w:rPr>
        <w:t>1, 24, and 25</w:t>
      </w:r>
      <w:r w:rsidR="00010161">
        <w:rPr>
          <w:rFonts w:asciiTheme="majorHAnsi" w:hAnsiTheme="majorHAnsi" w:cs="Times New Roman"/>
          <w:sz w:val="20"/>
          <w:szCs w:val="20"/>
        </w:rPr>
        <w:t>.</w:t>
      </w:r>
      <w:r w:rsidRPr="002A2289">
        <w:rPr>
          <w:rFonts w:asciiTheme="majorHAnsi" w:hAnsiTheme="majorHAnsi" w:cs="Times New Roman"/>
          <w:sz w:val="20"/>
          <w:szCs w:val="20"/>
        </w:rPr>
        <w:t xml:space="preserve">1 of the Convention, in </w:t>
      </w:r>
      <w:r w:rsidR="00006B63" w:rsidRPr="002A2289">
        <w:rPr>
          <w:rFonts w:asciiTheme="majorHAnsi" w:hAnsiTheme="majorHAnsi" w:cs="Times New Roman"/>
          <w:sz w:val="20"/>
          <w:szCs w:val="20"/>
        </w:rPr>
        <w:t>connection with</w:t>
      </w:r>
      <w:r w:rsidR="00F320A3" w:rsidRPr="002A2289">
        <w:rPr>
          <w:rFonts w:asciiTheme="majorHAnsi" w:hAnsiTheme="majorHAnsi" w:cs="Times New Roman"/>
          <w:sz w:val="20"/>
          <w:szCs w:val="20"/>
        </w:rPr>
        <w:t xml:space="preserve"> Ar</w:t>
      </w:r>
      <w:r w:rsidRPr="002A2289">
        <w:rPr>
          <w:rFonts w:asciiTheme="majorHAnsi" w:hAnsiTheme="majorHAnsi" w:cs="Times New Roman"/>
          <w:sz w:val="20"/>
          <w:szCs w:val="20"/>
        </w:rPr>
        <w:t>ti</w:t>
      </w:r>
      <w:r w:rsidR="00F320A3" w:rsidRPr="002A2289">
        <w:rPr>
          <w:rFonts w:asciiTheme="majorHAnsi" w:hAnsiTheme="majorHAnsi" w:cs="Times New Roman"/>
          <w:sz w:val="20"/>
          <w:szCs w:val="20"/>
        </w:rPr>
        <w:t>c</w:t>
      </w:r>
      <w:r w:rsidRPr="002A2289">
        <w:rPr>
          <w:rFonts w:asciiTheme="majorHAnsi" w:hAnsiTheme="majorHAnsi" w:cs="Times New Roman"/>
          <w:sz w:val="20"/>
          <w:szCs w:val="20"/>
        </w:rPr>
        <w:t>le</w:t>
      </w:r>
      <w:r w:rsidR="00F320A3" w:rsidRPr="002A2289">
        <w:rPr>
          <w:rFonts w:asciiTheme="majorHAnsi" w:hAnsiTheme="majorHAnsi" w:cs="Times New Roman"/>
          <w:sz w:val="20"/>
          <w:szCs w:val="20"/>
        </w:rPr>
        <w:t>s</w:t>
      </w:r>
      <w:r w:rsidRPr="002A2289">
        <w:rPr>
          <w:rFonts w:asciiTheme="majorHAnsi" w:hAnsiTheme="majorHAnsi" w:cs="Times New Roman"/>
          <w:sz w:val="20"/>
          <w:szCs w:val="20"/>
        </w:rPr>
        <w:t xml:space="preserve"> 1</w:t>
      </w:r>
      <w:r w:rsidR="00010161">
        <w:rPr>
          <w:rFonts w:asciiTheme="majorHAnsi" w:hAnsiTheme="majorHAnsi" w:cs="Times New Roman"/>
          <w:sz w:val="20"/>
          <w:szCs w:val="20"/>
        </w:rPr>
        <w:t>.</w:t>
      </w:r>
      <w:r w:rsidRPr="002A2289">
        <w:rPr>
          <w:rFonts w:asciiTheme="majorHAnsi" w:hAnsiTheme="majorHAnsi" w:cs="Times New Roman"/>
          <w:sz w:val="20"/>
          <w:szCs w:val="20"/>
        </w:rPr>
        <w:t>1 and 2 there</w:t>
      </w:r>
      <w:r w:rsidR="007E3366" w:rsidRPr="002A2289">
        <w:rPr>
          <w:rFonts w:asciiTheme="majorHAnsi" w:hAnsiTheme="majorHAnsi" w:cs="Times New Roman"/>
          <w:sz w:val="20"/>
          <w:szCs w:val="20"/>
        </w:rPr>
        <w:t>of, in the following order: (i) </w:t>
      </w:r>
      <w:r w:rsidRPr="002A2289">
        <w:rPr>
          <w:rFonts w:asciiTheme="majorHAnsi" w:hAnsiTheme="majorHAnsi" w:cs="Times New Roman"/>
          <w:sz w:val="20"/>
          <w:szCs w:val="20"/>
        </w:rPr>
        <w:t>General considerations on the right</w:t>
      </w:r>
      <w:r w:rsidR="001C0FEB" w:rsidRPr="002A2289">
        <w:rPr>
          <w:rFonts w:asciiTheme="majorHAnsi" w:hAnsiTheme="majorHAnsi" w:cs="Times New Roman"/>
          <w:sz w:val="20"/>
          <w:szCs w:val="20"/>
        </w:rPr>
        <w:t>s</w:t>
      </w:r>
      <w:r w:rsidRPr="002A2289">
        <w:rPr>
          <w:rFonts w:asciiTheme="majorHAnsi" w:hAnsiTheme="majorHAnsi" w:cs="Times New Roman"/>
          <w:sz w:val="20"/>
          <w:szCs w:val="20"/>
        </w:rPr>
        <w:t xml:space="preserve"> to </w:t>
      </w:r>
      <w:r w:rsidR="00F320A3" w:rsidRPr="002A2289">
        <w:rPr>
          <w:rFonts w:asciiTheme="majorHAnsi" w:hAnsiTheme="majorHAnsi" w:cs="Times New Roman"/>
          <w:sz w:val="20"/>
          <w:szCs w:val="20"/>
        </w:rPr>
        <w:t>equal protection</w:t>
      </w:r>
      <w:r w:rsidR="001C0FEB" w:rsidRPr="002A2289">
        <w:rPr>
          <w:rFonts w:asciiTheme="majorHAnsi" w:hAnsiTheme="majorHAnsi" w:cs="Times New Roman"/>
          <w:sz w:val="20"/>
          <w:szCs w:val="20"/>
        </w:rPr>
        <w:t xml:space="preserve"> under the law</w:t>
      </w:r>
      <w:r w:rsidRPr="002A2289">
        <w:rPr>
          <w:rFonts w:asciiTheme="majorHAnsi" w:hAnsiTheme="majorHAnsi" w:cs="Times New Roman"/>
          <w:sz w:val="20"/>
          <w:szCs w:val="20"/>
        </w:rPr>
        <w:t xml:space="preserve">, judicial protection, and </w:t>
      </w:r>
      <w:r w:rsidR="00DC6667" w:rsidRPr="002A2289">
        <w:rPr>
          <w:rFonts w:asciiTheme="majorHAnsi" w:hAnsiTheme="majorHAnsi" w:cs="Times New Roman"/>
          <w:sz w:val="20"/>
          <w:szCs w:val="20"/>
        </w:rPr>
        <w:t xml:space="preserve">to </w:t>
      </w:r>
      <w:r w:rsidR="00010161">
        <w:rPr>
          <w:rFonts w:asciiTheme="majorHAnsi" w:hAnsiTheme="majorHAnsi" w:cs="Times New Roman"/>
          <w:sz w:val="20"/>
          <w:szCs w:val="20"/>
        </w:rPr>
        <w:t>receive</w:t>
      </w:r>
      <w:r w:rsidR="00010161" w:rsidRPr="002A2289">
        <w:rPr>
          <w:rFonts w:asciiTheme="majorHAnsi" w:hAnsiTheme="majorHAnsi" w:cs="Times New Roman"/>
          <w:sz w:val="20"/>
          <w:szCs w:val="20"/>
        </w:rPr>
        <w:t xml:space="preserve"> </w:t>
      </w:r>
      <w:r w:rsidR="00AC2E6D" w:rsidRPr="002A2289">
        <w:rPr>
          <w:rFonts w:asciiTheme="majorHAnsi" w:hAnsiTheme="majorHAnsi" w:cs="Times New Roman"/>
          <w:sz w:val="20"/>
          <w:szCs w:val="20"/>
        </w:rPr>
        <w:t xml:space="preserve">a </w:t>
      </w:r>
      <w:r w:rsidR="00DC6667" w:rsidRPr="002A2289">
        <w:rPr>
          <w:rFonts w:asciiTheme="majorHAnsi" w:hAnsiTheme="majorHAnsi" w:cs="Times New Roman"/>
          <w:sz w:val="20"/>
          <w:szCs w:val="20"/>
        </w:rPr>
        <w:t>duly founded decision</w:t>
      </w:r>
      <w:r w:rsidR="004C7EC6" w:rsidRPr="002A2289">
        <w:rPr>
          <w:rFonts w:asciiTheme="majorHAnsi" w:hAnsiTheme="majorHAnsi" w:cs="Times New Roman"/>
          <w:sz w:val="20"/>
          <w:szCs w:val="20"/>
        </w:rPr>
        <w:t>; (ii) a</w:t>
      </w:r>
      <w:r w:rsidRPr="002A2289">
        <w:rPr>
          <w:rFonts w:asciiTheme="majorHAnsi" w:hAnsiTheme="majorHAnsi" w:cs="Times New Roman"/>
          <w:sz w:val="20"/>
          <w:szCs w:val="20"/>
        </w:rPr>
        <w:t xml:space="preserve">nalysis of whether </w:t>
      </w:r>
      <w:r w:rsidR="00786D79">
        <w:rPr>
          <w:rFonts w:asciiTheme="majorHAnsi" w:hAnsiTheme="majorHAnsi" w:cs="Times New Roman"/>
          <w:sz w:val="20"/>
          <w:szCs w:val="20"/>
        </w:rPr>
        <w:t>Law 24.043</w:t>
      </w:r>
      <w:r w:rsidR="00EC7AB1" w:rsidRPr="002A2289">
        <w:rPr>
          <w:rFonts w:asciiTheme="majorHAnsi" w:hAnsiTheme="majorHAnsi" w:cs="Times New Roman"/>
          <w:sz w:val="20"/>
          <w:szCs w:val="20"/>
        </w:rPr>
        <w:t xml:space="preserve"> </w:t>
      </w:r>
      <w:r w:rsidRPr="002A2289">
        <w:rPr>
          <w:rFonts w:asciiTheme="majorHAnsi" w:hAnsiTheme="majorHAnsi" w:cs="Times New Roman"/>
          <w:sz w:val="20"/>
          <w:szCs w:val="20"/>
        </w:rPr>
        <w:t xml:space="preserve">and its </w:t>
      </w:r>
      <w:r w:rsidR="001C0FEB" w:rsidRPr="002A2289">
        <w:rPr>
          <w:rFonts w:asciiTheme="majorHAnsi" w:hAnsiTheme="majorHAnsi" w:cs="Times New Roman"/>
          <w:sz w:val="20"/>
          <w:szCs w:val="20"/>
        </w:rPr>
        <w:t>application</w:t>
      </w:r>
      <w:r w:rsidRPr="002A2289">
        <w:rPr>
          <w:rFonts w:asciiTheme="majorHAnsi" w:hAnsiTheme="majorHAnsi" w:cs="Times New Roman"/>
          <w:sz w:val="20"/>
          <w:szCs w:val="20"/>
        </w:rPr>
        <w:t xml:space="preserve"> to Mr. Almeida was in and of itself a violation of the right to </w:t>
      </w:r>
      <w:r w:rsidR="00F320A3" w:rsidRPr="002A2289">
        <w:rPr>
          <w:rFonts w:asciiTheme="majorHAnsi" w:hAnsiTheme="majorHAnsi" w:cs="Times New Roman"/>
          <w:sz w:val="20"/>
          <w:szCs w:val="20"/>
        </w:rPr>
        <w:t>equal protection</w:t>
      </w:r>
      <w:r w:rsidR="001C0FEB" w:rsidRPr="002A2289">
        <w:rPr>
          <w:rFonts w:asciiTheme="majorHAnsi" w:hAnsiTheme="majorHAnsi" w:cs="Times New Roman"/>
          <w:sz w:val="20"/>
          <w:szCs w:val="20"/>
        </w:rPr>
        <w:t xml:space="preserve"> under the law</w:t>
      </w:r>
      <w:r w:rsidRPr="002A2289">
        <w:rPr>
          <w:rFonts w:asciiTheme="majorHAnsi" w:hAnsiTheme="majorHAnsi" w:cs="Times New Roman"/>
          <w:sz w:val="20"/>
          <w:szCs w:val="20"/>
        </w:rPr>
        <w:t xml:space="preserve">; (iii) </w:t>
      </w:r>
      <w:r w:rsidR="004C7EC6" w:rsidRPr="002A2289">
        <w:rPr>
          <w:rFonts w:asciiTheme="majorHAnsi" w:hAnsiTheme="majorHAnsi" w:cs="Times New Roman"/>
          <w:sz w:val="20"/>
          <w:szCs w:val="20"/>
        </w:rPr>
        <w:t>a</w:t>
      </w:r>
      <w:r w:rsidR="006C158D" w:rsidRPr="002A2289">
        <w:rPr>
          <w:rFonts w:asciiTheme="majorHAnsi" w:hAnsiTheme="majorHAnsi" w:cs="Times New Roman"/>
          <w:sz w:val="20"/>
          <w:szCs w:val="20"/>
        </w:rPr>
        <w:t xml:space="preserve">nalysis of whether Mr. Almeida had an effective remedy with due guarantees </w:t>
      </w:r>
      <w:r w:rsidR="00AC2E6D" w:rsidRPr="002A2289">
        <w:rPr>
          <w:rFonts w:asciiTheme="majorHAnsi" w:hAnsiTheme="majorHAnsi" w:cs="Times New Roman"/>
          <w:sz w:val="20"/>
          <w:szCs w:val="20"/>
        </w:rPr>
        <w:t xml:space="preserve">vis-à-vis </w:t>
      </w:r>
      <w:r w:rsidR="006C158D" w:rsidRPr="002A2289">
        <w:rPr>
          <w:rFonts w:asciiTheme="majorHAnsi" w:hAnsiTheme="majorHAnsi" w:cs="Times New Roman"/>
          <w:sz w:val="20"/>
          <w:szCs w:val="20"/>
        </w:rPr>
        <w:t xml:space="preserve">the alleged violation of </w:t>
      </w:r>
      <w:r w:rsidRPr="002A2289">
        <w:rPr>
          <w:rFonts w:asciiTheme="majorHAnsi" w:hAnsiTheme="majorHAnsi" w:cs="Times New Roman"/>
          <w:sz w:val="20"/>
          <w:szCs w:val="20"/>
        </w:rPr>
        <w:t xml:space="preserve">the right to </w:t>
      </w:r>
      <w:r w:rsidR="00F320A3" w:rsidRPr="002A2289">
        <w:rPr>
          <w:rFonts w:asciiTheme="majorHAnsi" w:hAnsiTheme="majorHAnsi" w:cs="Times New Roman"/>
          <w:sz w:val="20"/>
          <w:szCs w:val="20"/>
        </w:rPr>
        <w:t>equal protection</w:t>
      </w:r>
      <w:r w:rsidRPr="002A2289">
        <w:rPr>
          <w:rFonts w:asciiTheme="majorHAnsi" w:hAnsiTheme="majorHAnsi" w:cs="Times New Roman"/>
          <w:sz w:val="20"/>
          <w:szCs w:val="20"/>
        </w:rPr>
        <w:t xml:space="preserve"> </w:t>
      </w:r>
      <w:r w:rsidR="001C0FEB" w:rsidRPr="002A2289">
        <w:rPr>
          <w:rFonts w:asciiTheme="majorHAnsi" w:hAnsiTheme="majorHAnsi" w:cs="Times New Roman"/>
          <w:sz w:val="20"/>
          <w:szCs w:val="20"/>
        </w:rPr>
        <w:t>under</w:t>
      </w:r>
      <w:r w:rsidRPr="002A2289">
        <w:rPr>
          <w:rFonts w:asciiTheme="majorHAnsi" w:hAnsiTheme="majorHAnsi" w:cs="Times New Roman"/>
          <w:sz w:val="20"/>
          <w:szCs w:val="20"/>
        </w:rPr>
        <w:t xml:space="preserve"> the first administrative proceedings and </w:t>
      </w:r>
      <w:r w:rsidR="0035772D" w:rsidRPr="002A2289">
        <w:rPr>
          <w:rFonts w:asciiTheme="majorHAnsi" w:hAnsiTheme="majorHAnsi" w:cs="Times New Roman"/>
          <w:sz w:val="20"/>
          <w:szCs w:val="20"/>
        </w:rPr>
        <w:t xml:space="preserve">the </w:t>
      </w:r>
      <w:r w:rsidR="00D4073F" w:rsidRPr="002A2289">
        <w:rPr>
          <w:rFonts w:asciiTheme="majorHAnsi" w:hAnsiTheme="majorHAnsi" w:cs="Times New Roman"/>
          <w:sz w:val="20"/>
          <w:szCs w:val="20"/>
        </w:rPr>
        <w:t>judicial appeals</w:t>
      </w:r>
      <w:r w:rsidR="004C7EC6" w:rsidRPr="002A2289">
        <w:rPr>
          <w:rFonts w:asciiTheme="majorHAnsi" w:hAnsiTheme="majorHAnsi" w:cs="Times New Roman"/>
          <w:sz w:val="20"/>
          <w:szCs w:val="20"/>
        </w:rPr>
        <w:t>; and (iv) a</w:t>
      </w:r>
      <w:r w:rsidRPr="002A2289">
        <w:rPr>
          <w:rFonts w:asciiTheme="majorHAnsi" w:hAnsiTheme="majorHAnsi" w:cs="Times New Roman"/>
          <w:sz w:val="20"/>
          <w:szCs w:val="20"/>
        </w:rPr>
        <w:t>nalysis of whether Mr. Almeida ha</w:t>
      </w:r>
      <w:r w:rsidR="006C158D" w:rsidRPr="002A2289">
        <w:rPr>
          <w:rFonts w:asciiTheme="majorHAnsi" w:hAnsiTheme="majorHAnsi" w:cs="Times New Roman"/>
          <w:sz w:val="20"/>
          <w:szCs w:val="20"/>
        </w:rPr>
        <w:t>d</w:t>
      </w:r>
      <w:r w:rsidRPr="002A2289">
        <w:rPr>
          <w:rFonts w:asciiTheme="majorHAnsi" w:hAnsiTheme="majorHAnsi" w:cs="Times New Roman"/>
          <w:sz w:val="20"/>
          <w:szCs w:val="20"/>
        </w:rPr>
        <w:t xml:space="preserve"> an effective remedy with due guarantees </w:t>
      </w:r>
      <w:r w:rsidR="00AC2E6D" w:rsidRPr="002A2289">
        <w:rPr>
          <w:rFonts w:asciiTheme="majorHAnsi" w:hAnsiTheme="majorHAnsi" w:cs="Times New Roman"/>
          <w:sz w:val="20"/>
          <w:szCs w:val="20"/>
        </w:rPr>
        <w:t xml:space="preserve">vis-à-vis </w:t>
      </w:r>
      <w:r w:rsidR="00F320A3" w:rsidRPr="002A2289">
        <w:rPr>
          <w:rFonts w:asciiTheme="majorHAnsi" w:hAnsiTheme="majorHAnsi" w:cs="Times New Roman"/>
          <w:sz w:val="20"/>
          <w:szCs w:val="20"/>
        </w:rPr>
        <w:t xml:space="preserve">the alleged violation of the right to equal protection in the framework of his claims subsequent to the </w:t>
      </w:r>
      <w:r w:rsidR="00F320A3" w:rsidRPr="002A2289">
        <w:rPr>
          <w:rFonts w:asciiTheme="majorHAnsi" w:hAnsiTheme="majorHAnsi" w:cs="Times New Roman"/>
          <w:i/>
          <w:sz w:val="20"/>
          <w:szCs w:val="20"/>
        </w:rPr>
        <w:t>Robasto</w:t>
      </w:r>
      <w:r w:rsidR="00F320A3" w:rsidRPr="002A2289">
        <w:rPr>
          <w:rFonts w:asciiTheme="majorHAnsi" w:hAnsiTheme="majorHAnsi" w:cs="Times New Roman"/>
          <w:sz w:val="20"/>
          <w:szCs w:val="20"/>
        </w:rPr>
        <w:t xml:space="preserve"> case.</w:t>
      </w:r>
      <w:r w:rsidR="00EC7AB1" w:rsidRPr="002A2289">
        <w:rPr>
          <w:rFonts w:asciiTheme="majorHAnsi" w:hAnsiTheme="majorHAnsi" w:cs="Times New Roman"/>
          <w:i/>
          <w:sz w:val="20"/>
          <w:szCs w:val="20"/>
        </w:rPr>
        <w:t xml:space="preserve"> </w:t>
      </w:r>
    </w:p>
    <w:p w14:paraId="5884A70C" w14:textId="77777777" w:rsidR="00EC7AB1" w:rsidRPr="002A2289" w:rsidRDefault="00EC7AB1" w:rsidP="00EC7AB1">
      <w:pPr>
        <w:ind w:firstLine="720"/>
        <w:rPr>
          <w:rFonts w:asciiTheme="majorHAnsi" w:hAnsiTheme="majorHAnsi"/>
          <w:sz w:val="20"/>
          <w:szCs w:val="20"/>
        </w:rPr>
      </w:pPr>
    </w:p>
    <w:p w14:paraId="74096BDF" w14:textId="57CC7E81" w:rsidR="00EC7AB1" w:rsidRPr="002A2289" w:rsidRDefault="004D2CFC" w:rsidP="00EC7AB1">
      <w:pPr>
        <w:pStyle w:val="ListParagraph"/>
        <w:numPr>
          <w:ilvl w:val="0"/>
          <w:numId w:val="67"/>
        </w:numPr>
        <w:ind w:firstLine="0"/>
        <w:jc w:val="both"/>
        <w:rPr>
          <w:rFonts w:asciiTheme="majorHAnsi" w:hAnsiTheme="majorHAnsi" w:cs="Times New Roman"/>
          <w:b/>
          <w:sz w:val="20"/>
          <w:szCs w:val="20"/>
        </w:rPr>
      </w:pPr>
      <w:r w:rsidRPr="002A2289">
        <w:rPr>
          <w:rFonts w:asciiTheme="majorHAnsi" w:hAnsiTheme="majorHAnsi" w:cs="Times New Roman"/>
          <w:b/>
          <w:sz w:val="20"/>
          <w:szCs w:val="20"/>
        </w:rPr>
        <w:t>General considerations on the right</w:t>
      </w:r>
      <w:r w:rsidR="00D4073F" w:rsidRPr="002A2289">
        <w:rPr>
          <w:rFonts w:asciiTheme="majorHAnsi" w:hAnsiTheme="majorHAnsi" w:cs="Times New Roman"/>
          <w:b/>
          <w:sz w:val="20"/>
          <w:szCs w:val="20"/>
        </w:rPr>
        <w:t>s</w:t>
      </w:r>
      <w:r w:rsidRPr="002A2289">
        <w:rPr>
          <w:rFonts w:asciiTheme="majorHAnsi" w:hAnsiTheme="majorHAnsi" w:cs="Times New Roman"/>
          <w:b/>
          <w:sz w:val="20"/>
          <w:szCs w:val="20"/>
        </w:rPr>
        <w:t xml:space="preserve"> to equal protection</w:t>
      </w:r>
      <w:r w:rsidR="00D4073F" w:rsidRPr="002A2289">
        <w:rPr>
          <w:rFonts w:asciiTheme="majorHAnsi" w:hAnsiTheme="majorHAnsi" w:cs="Times New Roman"/>
          <w:b/>
          <w:sz w:val="20"/>
          <w:szCs w:val="20"/>
        </w:rPr>
        <w:t xml:space="preserve"> under the law</w:t>
      </w:r>
      <w:r w:rsidRPr="002A2289">
        <w:rPr>
          <w:rFonts w:asciiTheme="majorHAnsi" w:hAnsiTheme="majorHAnsi" w:cs="Times New Roman"/>
          <w:b/>
          <w:sz w:val="20"/>
          <w:szCs w:val="20"/>
        </w:rPr>
        <w:t xml:space="preserve">, judicial protection, and </w:t>
      </w:r>
      <w:r w:rsidR="00DC6667" w:rsidRPr="002A2289">
        <w:rPr>
          <w:rFonts w:asciiTheme="majorHAnsi" w:hAnsiTheme="majorHAnsi" w:cs="Times New Roman"/>
          <w:b/>
          <w:sz w:val="20"/>
          <w:szCs w:val="20"/>
        </w:rPr>
        <w:t xml:space="preserve">to </w:t>
      </w:r>
      <w:r w:rsidR="00590C32" w:rsidRPr="00590C32">
        <w:rPr>
          <w:rFonts w:asciiTheme="majorHAnsi" w:hAnsiTheme="majorHAnsi" w:cs="Times New Roman"/>
          <w:b/>
          <w:sz w:val="20"/>
          <w:szCs w:val="20"/>
        </w:rPr>
        <w:t xml:space="preserve">receive </w:t>
      </w:r>
      <w:r w:rsidR="00DC6667" w:rsidRPr="002A2289">
        <w:rPr>
          <w:rFonts w:asciiTheme="majorHAnsi" w:hAnsiTheme="majorHAnsi" w:cs="Times New Roman"/>
          <w:b/>
          <w:sz w:val="20"/>
          <w:szCs w:val="20"/>
        </w:rPr>
        <w:t>duly founded decisions</w:t>
      </w:r>
    </w:p>
    <w:p w14:paraId="287C3529" w14:textId="77777777" w:rsidR="00EC7AB1" w:rsidRPr="002A2289" w:rsidRDefault="00EC7AB1" w:rsidP="00EC7AB1">
      <w:pPr>
        <w:ind w:firstLine="720"/>
        <w:jc w:val="both"/>
        <w:rPr>
          <w:rFonts w:asciiTheme="majorHAnsi" w:hAnsiTheme="majorHAnsi"/>
          <w:b/>
          <w:sz w:val="20"/>
          <w:szCs w:val="20"/>
        </w:rPr>
      </w:pPr>
    </w:p>
    <w:p w14:paraId="40103625" w14:textId="50CEA6D9" w:rsidR="00EC7AB1" w:rsidRPr="002A2289" w:rsidRDefault="004D2CFC" w:rsidP="00EC7AB1">
      <w:pPr>
        <w:pStyle w:val="ListParagraph"/>
        <w:numPr>
          <w:ilvl w:val="0"/>
          <w:numId w:val="55"/>
        </w:numPr>
        <w:ind w:left="0" w:firstLine="720"/>
        <w:jc w:val="both"/>
        <w:rPr>
          <w:rFonts w:asciiTheme="majorHAnsi" w:hAnsiTheme="majorHAnsi" w:cs="Times New Roman"/>
          <w:sz w:val="20"/>
          <w:szCs w:val="20"/>
          <w:lang w:eastAsia="es-MX"/>
        </w:rPr>
      </w:pPr>
      <w:bookmarkStart w:id="18" w:name="_Ref455671574"/>
      <w:r w:rsidRPr="002A2289">
        <w:rPr>
          <w:rFonts w:asciiTheme="majorHAnsi" w:hAnsiTheme="majorHAnsi" w:cs="Times New Roman"/>
          <w:sz w:val="20"/>
          <w:szCs w:val="20"/>
        </w:rPr>
        <w:t>The Inter-</w:t>
      </w:r>
      <w:r w:rsidR="00C40AC4" w:rsidRPr="002A2289">
        <w:rPr>
          <w:rFonts w:asciiTheme="majorHAnsi" w:hAnsiTheme="majorHAnsi" w:cs="Times New Roman"/>
          <w:sz w:val="20"/>
          <w:szCs w:val="20"/>
        </w:rPr>
        <w:t>American</w:t>
      </w:r>
      <w:r w:rsidRPr="002A2289">
        <w:rPr>
          <w:rFonts w:asciiTheme="majorHAnsi" w:hAnsiTheme="majorHAnsi" w:cs="Times New Roman"/>
          <w:sz w:val="20"/>
          <w:szCs w:val="20"/>
        </w:rPr>
        <w:t xml:space="preserve"> Court has indicated that </w:t>
      </w:r>
      <w:r w:rsidR="005646A2" w:rsidRPr="002A2289">
        <w:rPr>
          <w:rFonts w:asciiTheme="majorHAnsi" w:hAnsiTheme="majorHAnsi" w:cs="Times New Roman"/>
          <w:sz w:val="20"/>
          <w:szCs w:val="20"/>
        </w:rPr>
        <w:t xml:space="preserve">the notion of equality springs directly from the oneness of the human family and is linked to the essential dignity of the individual. That principle cannot be reconciled with the notion that a given group has the right to privileged treatment because of its perceived superiority. It is equally irreconcilable with that notion to characterize a group as inferior and treat it with hostility or otherwise subject it to discrimination in the enjoyment of </w:t>
      </w:r>
      <w:r w:rsidR="00893D1D" w:rsidRPr="002A2289">
        <w:rPr>
          <w:rFonts w:asciiTheme="majorHAnsi" w:hAnsiTheme="majorHAnsi" w:cs="Times New Roman"/>
          <w:sz w:val="20"/>
          <w:szCs w:val="20"/>
        </w:rPr>
        <w:t>rights that are accorded</w:t>
      </w:r>
      <w:r w:rsidR="005646A2" w:rsidRPr="002A2289">
        <w:rPr>
          <w:rFonts w:asciiTheme="majorHAnsi" w:hAnsiTheme="majorHAnsi" w:cs="Times New Roman"/>
          <w:sz w:val="20"/>
          <w:szCs w:val="20"/>
        </w:rPr>
        <w:t xml:space="preserve"> to others not so classified</w:t>
      </w:r>
      <w:r w:rsidR="00933509" w:rsidRPr="002A2289">
        <w:rPr>
          <w:rFonts w:asciiTheme="majorHAnsi" w:hAnsiTheme="majorHAnsi" w:cs="Times New Roman"/>
          <w:sz w:val="20"/>
          <w:szCs w:val="20"/>
        </w:rPr>
        <w:t>.</w:t>
      </w:r>
      <w:r w:rsidR="00EC7AB1" w:rsidRPr="002A2289">
        <w:rPr>
          <w:rFonts w:asciiTheme="majorHAnsi" w:hAnsiTheme="majorHAnsi" w:cs="Times New Roman"/>
          <w:sz w:val="20"/>
          <w:szCs w:val="20"/>
        </w:rPr>
        <w:t xml:space="preserve"> </w:t>
      </w:r>
      <w:r w:rsidR="00933509" w:rsidRPr="002A2289">
        <w:rPr>
          <w:rFonts w:asciiTheme="majorHAnsi" w:hAnsiTheme="majorHAnsi" w:cs="Times New Roman"/>
          <w:sz w:val="20"/>
          <w:szCs w:val="20"/>
        </w:rPr>
        <w:t>The case law of the Court has indicated that in the current stage of develop</w:t>
      </w:r>
      <w:r w:rsidR="005646A2" w:rsidRPr="002A2289">
        <w:rPr>
          <w:rFonts w:asciiTheme="majorHAnsi" w:hAnsiTheme="majorHAnsi" w:cs="Times New Roman"/>
          <w:sz w:val="20"/>
          <w:szCs w:val="20"/>
        </w:rPr>
        <w:t>ment</w:t>
      </w:r>
      <w:r w:rsidR="00933509" w:rsidRPr="002A2289">
        <w:rPr>
          <w:rFonts w:asciiTheme="majorHAnsi" w:hAnsiTheme="majorHAnsi" w:cs="Times New Roman"/>
          <w:sz w:val="20"/>
          <w:szCs w:val="20"/>
        </w:rPr>
        <w:t xml:space="preserve"> of international law, the fundamental principle of equality and non-discrimination has </w:t>
      </w:r>
      <w:r w:rsidR="005646A2" w:rsidRPr="002A2289">
        <w:rPr>
          <w:rFonts w:asciiTheme="majorHAnsi" w:hAnsiTheme="majorHAnsi" w:cs="Times New Roman"/>
          <w:sz w:val="20"/>
          <w:szCs w:val="20"/>
        </w:rPr>
        <w:t xml:space="preserve">entered into the domain </w:t>
      </w:r>
      <w:r w:rsidR="00EC7AB1" w:rsidRPr="002A2289">
        <w:rPr>
          <w:rFonts w:asciiTheme="majorHAnsi" w:hAnsiTheme="majorHAnsi" w:cs="Times New Roman"/>
          <w:i/>
          <w:sz w:val="20"/>
          <w:szCs w:val="20"/>
        </w:rPr>
        <w:t>ius cogens</w:t>
      </w:r>
      <w:r w:rsidR="00EC7AB1" w:rsidRPr="002A2289">
        <w:rPr>
          <w:rFonts w:asciiTheme="majorHAnsi" w:hAnsiTheme="majorHAnsi" w:cs="Times New Roman"/>
          <w:sz w:val="20"/>
          <w:szCs w:val="20"/>
        </w:rPr>
        <w:t>.</w:t>
      </w:r>
      <w:r w:rsidR="00EC7AB1" w:rsidRPr="002A2289">
        <w:rPr>
          <w:rFonts w:asciiTheme="majorHAnsi" w:hAnsiTheme="majorHAnsi" w:cs="Times New Roman"/>
          <w:i/>
          <w:sz w:val="20"/>
          <w:szCs w:val="20"/>
        </w:rPr>
        <w:t xml:space="preserve"> </w:t>
      </w:r>
      <w:r w:rsidR="001750B8" w:rsidRPr="002A2289">
        <w:rPr>
          <w:rFonts w:asciiTheme="majorHAnsi" w:hAnsiTheme="majorHAnsi" w:cs="Times New Roman"/>
          <w:sz w:val="20"/>
          <w:szCs w:val="20"/>
        </w:rPr>
        <w:t>Upo</w:t>
      </w:r>
      <w:r w:rsidR="005646A2" w:rsidRPr="002A2289">
        <w:rPr>
          <w:rFonts w:asciiTheme="majorHAnsi" w:hAnsiTheme="majorHAnsi" w:cs="Times New Roman"/>
          <w:sz w:val="20"/>
          <w:szCs w:val="20"/>
        </w:rPr>
        <w:t xml:space="preserve">n this </w:t>
      </w:r>
      <w:r w:rsidR="00D4073F" w:rsidRPr="002A2289">
        <w:rPr>
          <w:rFonts w:asciiTheme="majorHAnsi" w:hAnsiTheme="majorHAnsi" w:cs="Times New Roman"/>
          <w:sz w:val="20"/>
          <w:szCs w:val="20"/>
        </w:rPr>
        <w:t xml:space="preserve">principle </w:t>
      </w:r>
      <w:r w:rsidR="005646A2" w:rsidRPr="002A2289">
        <w:rPr>
          <w:rFonts w:asciiTheme="majorHAnsi" w:hAnsiTheme="majorHAnsi" w:cs="Times New Roman"/>
          <w:sz w:val="20"/>
          <w:szCs w:val="20"/>
        </w:rPr>
        <w:t>rests the legal architecture of national and international public order, which permeates the entire legal</w:t>
      </w:r>
      <w:r w:rsidR="005646A2" w:rsidRPr="002A2289">
        <w:rPr>
          <w:rFonts w:asciiTheme="majorHAnsi" w:hAnsiTheme="majorHAnsi" w:cs="Times New Roman"/>
          <w:i/>
          <w:sz w:val="20"/>
          <w:szCs w:val="20"/>
        </w:rPr>
        <w:t xml:space="preserve"> </w:t>
      </w:r>
      <w:r w:rsidR="005646A2" w:rsidRPr="002A2289">
        <w:rPr>
          <w:rFonts w:asciiTheme="majorHAnsi" w:hAnsiTheme="majorHAnsi" w:cs="Times New Roman"/>
          <w:sz w:val="20"/>
          <w:szCs w:val="20"/>
        </w:rPr>
        <w:t>system.</w:t>
      </w:r>
      <w:r w:rsidR="00EC7AB1" w:rsidRPr="002A2289">
        <w:rPr>
          <w:rStyle w:val="FootnoteReference"/>
          <w:rFonts w:asciiTheme="majorHAnsi" w:hAnsiTheme="majorHAnsi" w:cs="Times New Roman"/>
          <w:sz w:val="20"/>
          <w:szCs w:val="20"/>
        </w:rPr>
        <w:footnoteReference w:id="61"/>
      </w:r>
      <w:bookmarkEnd w:id="18"/>
    </w:p>
    <w:p w14:paraId="48F9F186" w14:textId="77777777" w:rsidR="00EC7AB1" w:rsidRPr="002A2289" w:rsidRDefault="00EC7AB1" w:rsidP="00EC7AB1">
      <w:pPr>
        <w:pStyle w:val="ListParagraph"/>
        <w:ind w:left="634" w:firstLine="720"/>
        <w:jc w:val="both"/>
        <w:rPr>
          <w:rFonts w:asciiTheme="majorHAnsi" w:hAnsiTheme="majorHAnsi" w:cs="Times New Roman"/>
          <w:sz w:val="20"/>
          <w:szCs w:val="20"/>
          <w:lang w:eastAsia="es-MX"/>
        </w:rPr>
      </w:pPr>
    </w:p>
    <w:p w14:paraId="37B3717B" w14:textId="625F49D6" w:rsidR="00EC7AB1" w:rsidRPr="002A2289" w:rsidRDefault="001750B8" w:rsidP="00EC7AB1">
      <w:pPr>
        <w:pStyle w:val="ListParagraph"/>
        <w:numPr>
          <w:ilvl w:val="0"/>
          <w:numId w:val="55"/>
        </w:numPr>
        <w:ind w:left="0" w:firstLine="720"/>
        <w:jc w:val="both"/>
        <w:rPr>
          <w:rFonts w:asciiTheme="majorHAnsi" w:hAnsiTheme="majorHAnsi" w:cs="Times New Roman"/>
          <w:sz w:val="20"/>
          <w:szCs w:val="20"/>
          <w:lang w:eastAsia="es-MX"/>
        </w:rPr>
      </w:pPr>
      <w:r w:rsidRPr="002A2289">
        <w:rPr>
          <w:rFonts w:asciiTheme="majorHAnsi" w:hAnsiTheme="majorHAnsi" w:cs="Times New Roman"/>
          <w:sz w:val="20"/>
          <w:szCs w:val="20"/>
        </w:rPr>
        <w:t>The principle of equality and non-discrimination is to be understood as comprising two concepts</w:t>
      </w:r>
      <w:r w:rsidR="00EC7AB1" w:rsidRPr="002A2289">
        <w:rPr>
          <w:rFonts w:asciiTheme="majorHAnsi" w:hAnsiTheme="majorHAnsi" w:cs="Times New Roman"/>
          <w:sz w:val="20"/>
          <w:szCs w:val="20"/>
        </w:rPr>
        <w:t>: “(…)</w:t>
      </w:r>
      <w:r w:rsidR="00187A7A" w:rsidRPr="002A2289">
        <w:rPr>
          <w:rFonts w:asciiTheme="majorHAnsi" w:hAnsiTheme="majorHAnsi" w:cs="Times New Roman"/>
          <w:sz w:val="20"/>
          <w:szCs w:val="20"/>
        </w:rPr>
        <w:t xml:space="preserve"> </w:t>
      </w:r>
      <w:r w:rsidRPr="002A2289">
        <w:rPr>
          <w:rFonts w:asciiTheme="majorHAnsi" w:hAnsiTheme="majorHAnsi" w:cs="Times New Roman"/>
          <w:sz w:val="20"/>
          <w:szCs w:val="20"/>
        </w:rPr>
        <w:t>a negative concept related to the prohibition of arbitrary different treatment, and an affirmative concept related to the obligation of States Party to create real equal conditions towards groups who have been historically excluded or who are exposed to a greater risk of being discriminated</w:t>
      </w:r>
      <w:r w:rsidR="00590C32">
        <w:rPr>
          <w:rFonts w:asciiTheme="majorHAnsi" w:hAnsiTheme="majorHAnsi" w:cs="Times New Roman"/>
          <w:sz w:val="20"/>
          <w:szCs w:val="20"/>
        </w:rPr>
        <w:t xml:space="preserve"> against</w:t>
      </w:r>
      <w:r w:rsidRPr="002A2289">
        <w:rPr>
          <w:rFonts w:asciiTheme="majorHAnsi" w:hAnsiTheme="majorHAnsi" w:cs="Times New Roman"/>
          <w:sz w:val="20"/>
          <w:szCs w:val="20"/>
        </w:rPr>
        <w:t>.</w:t>
      </w:r>
      <w:r w:rsidR="00EC7AB1" w:rsidRPr="002A2289">
        <w:rPr>
          <w:rFonts w:asciiTheme="majorHAnsi" w:hAnsiTheme="majorHAnsi" w:cs="Times New Roman"/>
          <w:sz w:val="20"/>
          <w:szCs w:val="20"/>
        </w:rPr>
        <w:t>”</w:t>
      </w:r>
      <w:r w:rsidR="00EC7AB1" w:rsidRPr="002A2289">
        <w:rPr>
          <w:rStyle w:val="FootnoteReference"/>
          <w:rFonts w:asciiTheme="majorHAnsi" w:hAnsiTheme="majorHAnsi" w:cs="Times New Roman"/>
          <w:sz w:val="20"/>
          <w:szCs w:val="20"/>
        </w:rPr>
        <w:footnoteReference w:id="62"/>
      </w:r>
      <w:r w:rsidR="00EC7AB1" w:rsidRPr="002A2289">
        <w:rPr>
          <w:rFonts w:asciiTheme="majorHAnsi" w:hAnsiTheme="majorHAnsi" w:cs="Times New Roman"/>
          <w:sz w:val="20"/>
          <w:szCs w:val="20"/>
        </w:rPr>
        <w:t xml:space="preserve"> </w:t>
      </w:r>
      <w:r w:rsidR="00590C32">
        <w:rPr>
          <w:rFonts w:asciiTheme="majorHAnsi" w:hAnsiTheme="majorHAnsi" w:cs="Times New Roman"/>
          <w:sz w:val="20"/>
          <w:szCs w:val="20"/>
        </w:rPr>
        <w:t>The instant</w:t>
      </w:r>
      <w:r w:rsidRPr="002A2289">
        <w:rPr>
          <w:rFonts w:asciiTheme="majorHAnsi" w:hAnsiTheme="majorHAnsi" w:cs="Times New Roman"/>
          <w:sz w:val="20"/>
          <w:szCs w:val="20"/>
        </w:rPr>
        <w:t xml:space="preserve"> case </w:t>
      </w:r>
      <w:r w:rsidR="005B5EF3" w:rsidRPr="002A2289">
        <w:rPr>
          <w:rFonts w:asciiTheme="majorHAnsi" w:hAnsiTheme="majorHAnsi" w:cs="Times New Roman"/>
          <w:sz w:val="20"/>
          <w:szCs w:val="20"/>
        </w:rPr>
        <w:t>comes under</w:t>
      </w:r>
      <w:r w:rsidRPr="002A2289">
        <w:rPr>
          <w:rFonts w:asciiTheme="majorHAnsi" w:hAnsiTheme="majorHAnsi" w:cs="Times New Roman"/>
          <w:sz w:val="20"/>
          <w:szCs w:val="20"/>
        </w:rPr>
        <w:t xml:space="preserve"> the first concept, in keeping with which </w:t>
      </w:r>
      <w:r w:rsidR="00187A7A" w:rsidRPr="002A2289">
        <w:rPr>
          <w:rFonts w:asciiTheme="majorHAnsi" w:hAnsiTheme="majorHAnsi" w:cs="Times New Roman"/>
          <w:sz w:val="20"/>
          <w:szCs w:val="20"/>
        </w:rPr>
        <w:t>not all differences in legal treatment are discriminatory as such, for not all differences in treatment are in themselves offensive to human dignity</w:t>
      </w:r>
      <w:r w:rsidRPr="002A2289">
        <w:rPr>
          <w:rFonts w:asciiTheme="majorHAnsi" w:hAnsiTheme="majorHAnsi" w:cs="Times New Roman"/>
          <w:sz w:val="20"/>
          <w:szCs w:val="20"/>
        </w:rPr>
        <w:t xml:space="preserve">. In this sense </w:t>
      </w:r>
      <w:r w:rsidR="00187A7A" w:rsidRPr="002A2289">
        <w:rPr>
          <w:rFonts w:asciiTheme="majorHAnsi" w:hAnsiTheme="majorHAnsi" w:cs="Times New Roman"/>
          <w:sz w:val="20"/>
          <w:szCs w:val="20"/>
        </w:rPr>
        <w:t xml:space="preserve">a difference in treatment is only discriminatory when it “has no objective and reasonable </w:t>
      </w:r>
      <w:r w:rsidR="00187A7A" w:rsidRPr="002A2289">
        <w:rPr>
          <w:rFonts w:asciiTheme="majorHAnsi" w:hAnsiTheme="majorHAnsi" w:cs="Times New Roman"/>
          <w:sz w:val="20"/>
          <w:szCs w:val="20"/>
        </w:rPr>
        <w:lastRenderedPageBreak/>
        <w:t>justification,”</w:t>
      </w:r>
      <w:r w:rsidR="00EC7AB1" w:rsidRPr="002A2289">
        <w:rPr>
          <w:rStyle w:val="FootnoteReference"/>
          <w:rFonts w:asciiTheme="majorHAnsi" w:hAnsiTheme="majorHAnsi" w:cs="Times New Roman"/>
          <w:sz w:val="20"/>
          <w:szCs w:val="20"/>
        </w:rPr>
        <w:footnoteReference w:id="63"/>
      </w:r>
      <w:r w:rsidR="00EC7AB1" w:rsidRPr="002A2289">
        <w:rPr>
          <w:rFonts w:asciiTheme="majorHAnsi" w:hAnsiTheme="majorHAnsi" w:cs="Times New Roman"/>
          <w:sz w:val="20"/>
          <w:szCs w:val="20"/>
        </w:rPr>
        <w:t xml:space="preserve"> </w:t>
      </w:r>
      <w:r w:rsidR="00187A7A" w:rsidRPr="002A2289">
        <w:rPr>
          <w:rFonts w:asciiTheme="majorHAnsi" w:hAnsiTheme="majorHAnsi" w:cs="Times New Roman"/>
          <w:sz w:val="20"/>
          <w:szCs w:val="20"/>
        </w:rPr>
        <w:t>whic</w:t>
      </w:r>
      <w:r w:rsidR="001C2154" w:rsidRPr="002A2289">
        <w:rPr>
          <w:rFonts w:asciiTheme="majorHAnsi" w:hAnsiTheme="majorHAnsi" w:cs="Times New Roman"/>
          <w:sz w:val="20"/>
          <w:szCs w:val="20"/>
        </w:rPr>
        <w:t>h should be evaluated on a case-</w:t>
      </w:r>
      <w:r w:rsidR="00187A7A" w:rsidRPr="002A2289">
        <w:rPr>
          <w:rFonts w:asciiTheme="majorHAnsi" w:hAnsiTheme="majorHAnsi" w:cs="Times New Roman"/>
          <w:sz w:val="20"/>
          <w:szCs w:val="20"/>
        </w:rPr>
        <w:t>by</w:t>
      </w:r>
      <w:r w:rsidR="001C2154" w:rsidRPr="002A2289">
        <w:rPr>
          <w:rFonts w:asciiTheme="majorHAnsi" w:hAnsiTheme="majorHAnsi" w:cs="Times New Roman"/>
          <w:sz w:val="20"/>
          <w:szCs w:val="20"/>
        </w:rPr>
        <w:t>-</w:t>
      </w:r>
      <w:r w:rsidR="00187A7A" w:rsidRPr="002A2289">
        <w:rPr>
          <w:rFonts w:asciiTheme="majorHAnsi" w:hAnsiTheme="majorHAnsi" w:cs="Times New Roman"/>
          <w:sz w:val="20"/>
          <w:szCs w:val="20"/>
        </w:rPr>
        <w:t xml:space="preserve">case basis and </w:t>
      </w:r>
      <w:r w:rsidR="00CB295F" w:rsidRPr="002A2289">
        <w:rPr>
          <w:rFonts w:asciiTheme="majorHAnsi" w:hAnsiTheme="majorHAnsi" w:cs="Times New Roman"/>
          <w:sz w:val="20"/>
          <w:szCs w:val="20"/>
        </w:rPr>
        <w:t xml:space="preserve">with </w:t>
      </w:r>
      <w:r w:rsidR="005B5EF3" w:rsidRPr="002A2289">
        <w:rPr>
          <w:rFonts w:asciiTheme="majorHAnsi" w:hAnsiTheme="majorHAnsi" w:cs="Times New Roman"/>
          <w:sz w:val="20"/>
          <w:szCs w:val="20"/>
        </w:rPr>
        <w:t>greater or lesser</w:t>
      </w:r>
      <w:r w:rsidR="00187A7A" w:rsidRPr="002A2289">
        <w:rPr>
          <w:rFonts w:asciiTheme="majorHAnsi" w:hAnsiTheme="majorHAnsi" w:cs="Times New Roman"/>
          <w:sz w:val="20"/>
          <w:szCs w:val="20"/>
        </w:rPr>
        <w:t xml:space="preserve"> intensity according to the </w:t>
      </w:r>
      <w:r w:rsidR="00864785" w:rsidRPr="002A2289">
        <w:rPr>
          <w:rFonts w:asciiTheme="majorHAnsi" w:hAnsiTheme="majorHAnsi" w:cs="Times New Roman"/>
          <w:sz w:val="20"/>
          <w:szCs w:val="20"/>
        </w:rPr>
        <w:t>rights</w:t>
      </w:r>
      <w:r w:rsidR="00187A7A" w:rsidRPr="002A2289">
        <w:rPr>
          <w:rFonts w:asciiTheme="majorHAnsi" w:hAnsiTheme="majorHAnsi" w:cs="Times New Roman"/>
          <w:sz w:val="20"/>
          <w:szCs w:val="20"/>
        </w:rPr>
        <w:t xml:space="preserve"> or interests involved, or accordin</w:t>
      </w:r>
      <w:r w:rsidR="00864785" w:rsidRPr="002A2289">
        <w:rPr>
          <w:rFonts w:asciiTheme="majorHAnsi" w:hAnsiTheme="majorHAnsi" w:cs="Times New Roman"/>
          <w:sz w:val="20"/>
          <w:szCs w:val="20"/>
        </w:rPr>
        <w:t>g</w:t>
      </w:r>
      <w:r w:rsidR="00187A7A" w:rsidRPr="002A2289">
        <w:rPr>
          <w:rFonts w:asciiTheme="majorHAnsi" w:hAnsiTheme="majorHAnsi" w:cs="Times New Roman"/>
          <w:sz w:val="20"/>
          <w:szCs w:val="20"/>
        </w:rPr>
        <w:t xml:space="preserve"> to whether it is a group that has been historically subject to discrimination or exclusion.</w:t>
      </w:r>
      <w:r w:rsidR="00EC7AB1" w:rsidRPr="002A2289">
        <w:rPr>
          <w:rFonts w:asciiTheme="majorHAnsi" w:hAnsiTheme="majorHAnsi" w:cs="Times New Roman"/>
          <w:sz w:val="20"/>
          <w:szCs w:val="20"/>
        </w:rPr>
        <w:t xml:space="preserve"> </w:t>
      </w:r>
    </w:p>
    <w:p w14:paraId="7A154051" w14:textId="77777777" w:rsidR="00EC7AB1" w:rsidRPr="002A2289" w:rsidRDefault="00EC7AB1" w:rsidP="00EC7AB1">
      <w:pPr>
        <w:ind w:firstLine="720"/>
        <w:jc w:val="both"/>
        <w:rPr>
          <w:rFonts w:asciiTheme="majorHAnsi" w:hAnsiTheme="majorHAnsi"/>
          <w:sz w:val="20"/>
          <w:szCs w:val="20"/>
          <w:lang w:eastAsia="es-MX"/>
        </w:rPr>
      </w:pPr>
    </w:p>
    <w:p w14:paraId="1C514BF4" w14:textId="74F30316" w:rsidR="00EC7AB1" w:rsidRPr="002A2289" w:rsidRDefault="00187A7A" w:rsidP="00EC7AB1">
      <w:pPr>
        <w:pStyle w:val="ListParagraph"/>
        <w:numPr>
          <w:ilvl w:val="0"/>
          <w:numId w:val="55"/>
        </w:numPr>
        <w:ind w:left="0" w:firstLine="720"/>
        <w:jc w:val="both"/>
        <w:rPr>
          <w:rFonts w:asciiTheme="majorHAnsi" w:hAnsiTheme="majorHAnsi" w:cs="Times New Roman"/>
          <w:sz w:val="20"/>
          <w:szCs w:val="20"/>
        </w:rPr>
      </w:pPr>
      <w:r w:rsidRPr="002A2289">
        <w:rPr>
          <w:rFonts w:asciiTheme="majorHAnsi" w:hAnsiTheme="majorHAnsi" w:cs="Times New Roman"/>
          <w:sz w:val="20"/>
          <w:szCs w:val="20"/>
        </w:rPr>
        <w:t>The Inter-American Court has indicated that Article 25</w:t>
      </w:r>
      <w:r w:rsidR="00590C32">
        <w:rPr>
          <w:rFonts w:asciiTheme="majorHAnsi" w:hAnsiTheme="majorHAnsi" w:cs="Times New Roman"/>
          <w:sz w:val="20"/>
          <w:szCs w:val="20"/>
        </w:rPr>
        <w:t>.</w:t>
      </w:r>
      <w:r w:rsidRPr="002A2289">
        <w:rPr>
          <w:rFonts w:asciiTheme="majorHAnsi" w:hAnsiTheme="majorHAnsi" w:cs="Times New Roman"/>
          <w:sz w:val="20"/>
          <w:szCs w:val="20"/>
        </w:rPr>
        <w:t xml:space="preserve">1 of the Convention provides for, in broad terms, the </w:t>
      </w:r>
      <w:r w:rsidR="00864785" w:rsidRPr="002A2289">
        <w:rPr>
          <w:rFonts w:asciiTheme="majorHAnsi" w:hAnsiTheme="majorHAnsi" w:cs="Times New Roman"/>
          <w:sz w:val="20"/>
          <w:szCs w:val="20"/>
        </w:rPr>
        <w:t xml:space="preserve">State’s </w:t>
      </w:r>
      <w:r w:rsidRPr="002A2289">
        <w:rPr>
          <w:rFonts w:asciiTheme="majorHAnsi" w:hAnsiTheme="majorHAnsi" w:cs="Times New Roman"/>
          <w:sz w:val="20"/>
          <w:szCs w:val="20"/>
        </w:rPr>
        <w:t xml:space="preserve">obligation to offer </w:t>
      </w:r>
      <w:r w:rsidR="00AE24DE" w:rsidRPr="002A2289">
        <w:rPr>
          <w:rFonts w:asciiTheme="majorHAnsi" w:hAnsiTheme="majorHAnsi" w:cs="Times New Roman"/>
          <w:sz w:val="20"/>
          <w:szCs w:val="20"/>
        </w:rPr>
        <w:t xml:space="preserve">all individuals subject to its jurisdiction an effective judicial remedy </w:t>
      </w:r>
      <w:r w:rsidR="00864785" w:rsidRPr="002A2289">
        <w:rPr>
          <w:rFonts w:asciiTheme="majorHAnsi" w:hAnsiTheme="majorHAnsi" w:cs="Times New Roman"/>
          <w:sz w:val="20"/>
          <w:szCs w:val="20"/>
        </w:rPr>
        <w:t>for</w:t>
      </w:r>
      <w:r w:rsidR="00AE24DE" w:rsidRPr="002A2289">
        <w:rPr>
          <w:rFonts w:asciiTheme="majorHAnsi" w:hAnsiTheme="majorHAnsi" w:cs="Times New Roman"/>
          <w:sz w:val="20"/>
          <w:szCs w:val="20"/>
        </w:rPr>
        <w:t xml:space="preserve"> acts that violate their fundamental rights.</w:t>
      </w:r>
      <w:r w:rsidR="00EC7AB1" w:rsidRPr="002A2289">
        <w:rPr>
          <w:rStyle w:val="FootnoteReference"/>
          <w:rFonts w:asciiTheme="majorHAnsi" w:hAnsiTheme="majorHAnsi" w:cs="Times New Roman"/>
          <w:sz w:val="20"/>
          <w:szCs w:val="20"/>
        </w:rPr>
        <w:footnoteReference w:id="64"/>
      </w:r>
    </w:p>
    <w:p w14:paraId="75DB9219" w14:textId="77777777" w:rsidR="00EC7AB1" w:rsidRPr="002A2289" w:rsidRDefault="00EC7AB1" w:rsidP="00EC7AB1">
      <w:pPr>
        <w:ind w:firstLine="720"/>
        <w:jc w:val="both"/>
        <w:rPr>
          <w:rFonts w:asciiTheme="majorHAnsi" w:hAnsiTheme="majorHAnsi"/>
          <w:sz w:val="20"/>
          <w:szCs w:val="20"/>
        </w:rPr>
      </w:pPr>
    </w:p>
    <w:p w14:paraId="0380CDB6" w14:textId="7B57EEF2" w:rsidR="00EC7AB1" w:rsidRPr="002A2289" w:rsidRDefault="00AE24DE" w:rsidP="00EC7AB1">
      <w:pPr>
        <w:pStyle w:val="ListParagraph"/>
        <w:numPr>
          <w:ilvl w:val="0"/>
          <w:numId w:val="55"/>
        </w:numPr>
        <w:ind w:left="0" w:firstLine="720"/>
        <w:jc w:val="both"/>
        <w:rPr>
          <w:rFonts w:asciiTheme="majorHAnsi" w:hAnsiTheme="majorHAnsi" w:cs="Times New Roman"/>
          <w:sz w:val="20"/>
          <w:szCs w:val="20"/>
        </w:rPr>
      </w:pPr>
      <w:r w:rsidRPr="002A2289">
        <w:rPr>
          <w:rFonts w:asciiTheme="majorHAnsi" w:hAnsiTheme="majorHAnsi" w:cs="Times New Roman"/>
          <w:sz w:val="20"/>
          <w:szCs w:val="20"/>
        </w:rPr>
        <w:t xml:space="preserve">Furthermore, the Court has held that for a State to comply with the </w:t>
      </w:r>
      <w:r w:rsidR="00C40AC4" w:rsidRPr="002A2289">
        <w:rPr>
          <w:rFonts w:asciiTheme="majorHAnsi" w:hAnsiTheme="majorHAnsi" w:cs="Times New Roman"/>
          <w:sz w:val="20"/>
          <w:szCs w:val="20"/>
        </w:rPr>
        <w:t>provisions</w:t>
      </w:r>
      <w:r w:rsidRPr="002A2289">
        <w:rPr>
          <w:rFonts w:asciiTheme="majorHAnsi" w:hAnsiTheme="majorHAnsi" w:cs="Times New Roman"/>
          <w:sz w:val="20"/>
          <w:szCs w:val="20"/>
        </w:rPr>
        <w:t xml:space="preserve"> set</w:t>
      </w:r>
      <w:r w:rsidR="00864785" w:rsidRPr="002A2289">
        <w:rPr>
          <w:rFonts w:asciiTheme="majorHAnsi" w:hAnsiTheme="majorHAnsi" w:cs="Times New Roman"/>
          <w:sz w:val="20"/>
          <w:szCs w:val="20"/>
        </w:rPr>
        <w:t xml:space="preserve"> forth under Article 25 of the C</w:t>
      </w:r>
      <w:r w:rsidRPr="002A2289">
        <w:rPr>
          <w:rFonts w:asciiTheme="majorHAnsi" w:hAnsiTheme="majorHAnsi" w:cs="Times New Roman"/>
          <w:sz w:val="20"/>
          <w:szCs w:val="20"/>
        </w:rPr>
        <w:t>onvention</w:t>
      </w:r>
      <w:r w:rsidR="00590C32">
        <w:rPr>
          <w:rFonts w:asciiTheme="majorHAnsi" w:hAnsiTheme="majorHAnsi" w:cs="Times New Roman"/>
          <w:sz w:val="20"/>
          <w:szCs w:val="20"/>
        </w:rPr>
        <w:t>,</w:t>
      </w:r>
      <w:r w:rsidRPr="002A2289">
        <w:rPr>
          <w:rFonts w:asciiTheme="majorHAnsi" w:hAnsiTheme="majorHAnsi" w:cs="Times New Roman"/>
          <w:sz w:val="20"/>
          <w:szCs w:val="20"/>
        </w:rPr>
        <w:t xml:space="preserve"> it is not enough for the remedies to exist formally, but, rather, </w:t>
      </w:r>
      <w:r w:rsidR="00864785" w:rsidRPr="002A2289">
        <w:rPr>
          <w:rFonts w:asciiTheme="majorHAnsi" w:hAnsiTheme="majorHAnsi" w:cs="Times New Roman"/>
          <w:sz w:val="20"/>
          <w:szCs w:val="20"/>
        </w:rPr>
        <w:t>such remedies</w:t>
      </w:r>
      <w:r w:rsidRPr="002A2289">
        <w:rPr>
          <w:rFonts w:asciiTheme="majorHAnsi" w:hAnsiTheme="majorHAnsi" w:cs="Times New Roman"/>
          <w:sz w:val="20"/>
          <w:szCs w:val="20"/>
        </w:rPr>
        <w:t xml:space="preserve"> must be effective; in other words, they must provide results or responses to violation</w:t>
      </w:r>
      <w:r w:rsidR="00864785" w:rsidRPr="002A2289">
        <w:rPr>
          <w:rFonts w:asciiTheme="majorHAnsi" w:hAnsiTheme="majorHAnsi" w:cs="Times New Roman"/>
          <w:sz w:val="20"/>
          <w:szCs w:val="20"/>
        </w:rPr>
        <w:t>s</w:t>
      </w:r>
      <w:r w:rsidRPr="002A2289">
        <w:rPr>
          <w:rFonts w:asciiTheme="majorHAnsi" w:hAnsiTheme="majorHAnsi" w:cs="Times New Roman"/>
          <w:sz w:val="20"/>
          <w:szCs w:val="20"/>
        </w:rPr>
        <w:t xml:space="preserve"> of rights recognized</w:t>
      </w:r>
      <w:r w:rsidR="003F5072" w:rsidRPr="002A2289">
        <w:rPr>
          <w:rFonts w:asciiTheme="majorHAnsi" w:hAnsiTheme="majorHAnsi" w:cs="Times New Roman"/>
          <w:sz w:val="20"/>
          <w:szCs w:val="20"/>
        </w:rPr>
        <w:t>—be that</w:t>
      </w:r>
      <w:r w:rsidR="00864785" w:rsidRPr="002A2289">
        <w:rPr>
          <w:rFonts w:asciiTheme="majorHAnsi" w:hAnsiTheme="majorHAnsi" w:cs="Times New Roman"/>
          <w:sz w:val="20"/>
          <w:szCs w:val="20"/>
        </w:rPr>
        <w:t xml:space="preserve"> </w:t>
      </w:r>
      <w:r w:rsidRPr="002A2289">
        <w:rPr>
          <w:rFonts w:asciiTheme="majorHAnsi" w:hAnsiTheme="majorHAnsi" w:cs="Times New Roman"/>
          <w:sz w:val="20"/>
          <w:szCs w:val="20"/>
        </w:rPr>
        <w:t xml:space="preserve">in the Convention, the </w:t>
      </w:r>
      <w:r w:rsidR="00C40AC4" w:rsidRPr="002A2289">
        <w:rPr>
          <w:rFonts w:asciiTheme="majorHAnsi" w:hAnsiTheme="majorHAnsi" w:cs="Times New Roman"/>
          <w:sz w:val="20"/>
          <w:szCs w:val="20"/>
        </w:rPr>
        <w:t>Constitution</w:t>
      </w:r>
      <w:r w:rsidRPr="002A2289">
        <w:rPr>
          <w:rFonts w:asciiTheme="majorHAnsi" w:hAnsiTheme="majorHAnsi" w:cs="Times New Roman"/>
          <w:sz w:val="20"/>
          <w:szCs w:val="20"/>
        </w:rPr>
        <w:t xml:space="preserve">, or the law. The foregoing means that the remedy must be </w:t>
      </w:r>
      <w:r w:rsidR="003F5072" w:rsidRPr="002A2289">
        <w:rPr>
          <w:rFonts w:asciiTheme="majorHAnsi" w:hAnsiTheme="majorHAnsi" w:cs="Times New Roman"/>
          <w:sz w:val="20"/>
          <w:szCs w:val="20"/>
        </w:rPr>
        <w:t xml:space="preserve">suitable </w:t>
      </w:r>
      <w:r w:rsidRPr="002A2289">
        <w:rPr>
          <w:rFonts w:asciiTheme="majorHAnsi" w:hAnsiTheme="majorHAnsi" w:cs="Times New Roman"/>
          <w:sz w:val="20"/>
          <w:szCs w:val="20"/>
        </w:rPr>
        <w:t xml:space="preserve">to </w:t>
      </w:r>
      <w:r w:rsidR="003F5072" w:rsidRPr="002A2289">
        <w:rPr>
          <w:rFonts w:asciiTheme="majorHAnsi" w:hAnsiTheme="majorHAnsi" w:cs="Times New Roman"/>
          <w:sz w:val="20"/>
          <w:szCs w:val="20"/>
        </w:rPr>
        <w:t>counter</w:t>
      </w:r>
      <w:r w:rsidRPr="002A2289">
        <w:rPr>
          <w:rFonts w:asciiTheme="majorHAnsi" w:hAnsiTheme="majorHAnsi" w:cs="Times New Roman"/>
          <w:sz w:val="20"/>
          <w:szCs w:val="20"/>
        </w:rPr>
        <w:t xml:space="preserve"> the violation and </w:t>
      </w:r>
      <w:r w:rsidR="003F5072" w:rsidRPr="002A2289">
        <w:rPr>
          <w:rFonts w:asciiTheme="majorHAnsi" w:hAnsiTheme="majorHAnsi" w:cs="Times New Roman"/>
          <w:sz w:val="20"/>
          <w:szCs w:val="20"/>
        </w:rPr>
        <w:t>the competent authority’s</w:t>
      </w:r>
      <w:r w:rsidRPr="002A2289">
        <w:rPr>
          <w:rFonts w:asciiTheme="majorHAnsi" w:hAnsiTheme="majorHAnsi" w:cs="Times New Roman"/>
          <w:sz w:val="20"/>
          <w:szCs w:val="20"/>
        </w:rPr>
        <w:t xml:space="preserve"> </w:t>
      </w:r>
      <w:r w:rsidR="00AC2E6D" w:rsidRPr="002A2289">
        <w:rPr>
          <w:rFonts w:asciiTheme="majorHAnsi" w:hAnsiTheme="majorHAnsi" w:cs="Times New Roman"/>
          <w:sz w:val="20"/>
          <w:szCs w:val="20"/>
        </w:rPr>
        <w:t>application</w:t>
      </w:r>
      <w:r w:rsidRPr="002A2289">
        <w:rPr>
          <w:rFonts w:asciiTheme="majorHAnsi" w:hAnsiTheme="majorHAnsi" w:cs="Times New Roman"/>
          <w:sz w:val="20"/>
          <w:szCs w:val="20"/>
        </w:rPr>
        <w:t xml:space="preserve"> </w:t>
      </w:r>
      <w:r w:rsidR="003F5072" w:rsidRPr="002A2289">
        <w:rPr>
          <w:rFonts w:asciiTheme="majorHAnsi" w:hAnsiTheme="majorHAnsi" w:cs="Times New Roman"/>
          <w:sz w:val="20"/>
          <w:szCs w:val="20"/>
        </w:rPr>
        <w:t>thereof</w:t>
      </w:r>
      <w:r w:rsidRPr="002A2289">
        <w:rPr>
          <w:rFonts w:asciiTheme="majorHAnsi" w:hAnsiTheme="majorHAnsi" w:cs="Times New Roman"/>
          <w:sz w:val="20"/>
          <w:szCs w:val="20"/>
        </w:rPr>
        <w:t xml:space="preserve"> must be effective. An effective remedy </w:t>
      </w:r>
      <w:r w:rsidR="003F5072" w:rsidRPr="002A2289">
        <w:rPr>
          <w:rFonts w:asciiTheme="majorHAnsi" w:hAnsiTheme="majorHAnsi" w:cs="Times New Roman"/>
          <w:sz w:val="20"/>
          <w:szCs w:val="20"/>
        </w:rPr>
        <w:t>likewise</w:t>
      </w:r>
      <w:r w:rsidRPr="002A2289">
        <w:rPr>
          <w:rFonts w:asciiTheme="majorHAnsi" w:hAnsiTheme="majorHAnsi" w:cs="Times New Roman"/>
          <w:sz w:val="20"/>
          <w:szCs w:val="20"/>
        </w:rPr>
        <w:t xml:space="preserve"> means that </w:t>
      </w:r>
      <w:r w:rsidR="003F5072" w:rsidRPr="002A2289">
        <w:rPr>
          <w:rFonts w:asciiTheme="majorHAnsi" w:hAnsiTheme="majorHAnsi" w:cs="Times New Roman"/>
          <w:sz w:val="20"/>
          <w:szCs w:val="20"/>
        </w:rPr>
        <w:t xml:space="preserve">the competent authority’s </w:t>
      </w:r>
      <w:r w:rsidRPr="002A2289">
        <w:rPr>
          <w:rFonts w:asciiTheme="majorHAnsi" w:hAnsiTheme="majorHAnsi" w:cs="Times New Roman"/>
          <w:sz w:val="20"/>
          <w:szCs w:val="20"/>
        </w:rPr>
        <w:t xml:space="preserve">analysis </w:t>
      </w:r>
      <w:r w:rsidR="00D52F15" w:rsidRPr="002A2289">
        <w:rPr>
          <w:rFonts w:asciiTheme="majorHAnsi" w:hAnsiTheme="majorHAnsi" w:cs="Times New Roman"/>
          <w:sz w:val="20"/>
          <w:szCs w:val="20"/>
        </w:rPr>
        <w:t xml:space="preserve">of </w:t>
      </w:r>
      <w:r w:rsidRPr="002A2289">
        <w:rPr>
          <w:rFonts w:asciiTheme="majorHAnsi" w:hAnsiTheme="majorHAnsi" w:cs="Times New Roman"/>
          <w:sz w:val="20"/>
          <w:szCs w:val="20"/>
        </w:rPr>
        <w:t>a legal remedy m</w:t>
      </w:r>
      <w:r w:rsidR="003F5072" w:rsidRPr="002A2289">
        <w:rPr>
          <w:rFonts w:asciiTheme="majorHAnsi" w:hAnsiTheme="majorHAnsi" w:cs="Times New Roman"/>
          <w:sz w:val="20"/>
          <w:szCs w:val="20"/>
        </w:rPr>
        <w:t>ay not just be a mere formality;</w:t>
      </w:r>
      <w:r w:rsidRPr="002A2289">
        <w:rPr>
          <w:rFonts w:asciiTheme="majorHAnsi" w:hAnsiTheme="majorHAnsi" w:cs="Times New Roman"/>
          <w:sz w:val="20"/>
          <w:szCs w:val="20"/>
        </w:rPr>
        <w:t xml:space="preserve"> rather</w:t>
      </w:r>
      <w:r w:rsidR="003F5072" w:rsidRPr="002A2289">
        <w:rPr>
          <w:rFonts w:asciiTheme="majorHAnsi" w:hAnsiTheme="majorHAnsi" w:cs="Times New Roman"/>
          <w:sz w:val="20"/>
          <w:szCs w:val="20"/>
        </w:rPr>
        <w:t>,</w:t>
      </w:r>
      <w:r w:rsidRPr="002A2289">
        <w:rPr>
          <w:rFonts w:asciiTheme="majorHAnsi" w:hAnsiTheme="majorHAnsi" w:cs="Times New Roman"/>
          <w:sz w:val="20"/>
          <w:szCs w:val="20"/>
        </w:rPr>
        <w:t xml:space="preserve"> the authority must </w:t>
      </w:r>
      <w:r w:rsidR="003F5072" w:rsidRPr="002A2289">
        <w:rPr>
          <w:rFonts w:asciiTheme="majorHAnsi" w:hAnsiTheme="majorHAnsi" w:cs="Times New Roman"/>
          <w:sz w:val="20"/>
          <w:szCs w:val="20"/>
        </w:rPr>
        <w:t>weigh</w:t>
      </w:r>
      <w:r w:rsidRPr="002A2289">
        <w:rPr>
          <w:rFonts w:asciiTheme="majorHAnsi" w:hAnsiTheme="majorHAnsi" w:cs="Times New Roman"/>
          <w:sz w:val="20"/>
          <w:szCs w:val="20"/>
        </w:rPr>
        <w:t xml:space="preserve"> the </w:t>
      </w:r>
      <w:r w:rsidR="00590C32">
        <w:rPr>
          <w:rFonts w:asciiTheme="majorHAnsi" w:hAnsiTheme="majorHAnsi" w:cs="Times New Roman"/>
          <w:sz w:val="20"/>
          <w:szCs w:val="20"/>
        </w:rPr>
        <w:t>arguments</w:t>
      </w:r>
      <w:r w:rsidRPr="002A2289">
        <w:rPr>
          <w:rFonts w:asciiTheme="majorHAnsi" w:hAnsiTheme="majorHAnsi" w:cs="Times New Roman"/>
          <w:sz w:val="20"/>
          <w:szCs w:val="20"/>
        </w:rPr>
        <w:t xml:space="preserve"> invoked by the petitioner and must expressly </w:t>
      </w:r>
      <w:r w:rsidR="00D52F15" w:rsidRPr="002A2289">
        <w:rPr>
          <w:rFonts w:asciiTheme="majorHAnsi" w:hAnsiTheme="majorHAnsi" w:cs="Times New Roman"/>
          <w:sz w:val="20"/>
          <w:szCs w:val="20"/>
        </w:rPr>
        <w:t>rule on them</w:t>
      </w:r>
      <w:r w:rsidRPr="002A2289">
        <w:rPr>
          <w:rFonts w:asciiTheme="majorHAnsi" w:hAnsiTheme="majorHAnsi" w:cs="Times New Roman"/>
          <w:sz w:val="20"/>
          <w:szCs w:val="20"/>
        </w:rPr>
        <w:t>.</w:t>
      </w:r>
      <w:r w:rsidR="00EC7AB1" w:rsidRPr="002A2289">
        <w:rPr>
          <w:rFonts w:asciiTheme="majorHAnsi" w:hAnsiTheme="majorHAnsi" w:cs="Times New Roman"/>
          <w:sz w:val="20"/>
          <w:szCs w:val="20"/>
        </w:rPr>
        <w:t xml:space="preserve"> </w:t>
      </w:r>
      <w:r w:rsidR="00CD486B" w:rsidRPr="002A2289">
        <w:rPr>
          <w:rFonts w:asciiTheme="majorHAnsi" w:hAnsiTheme="majorHAnsi" w:cs="Times New Roman"/>
          <w:sz w:val="20"/>
          <w:szCs w:val="20"/>
        </w:rPr>
        <w:t xml:space="preserve">Those remedies which, due to the country’s general condition or even particular circumstances in a given case, are </w:t>
      </w:r>
      <w:r w:rsidR="003F5072" w:rsidRPr="002A2289">
        <w:rPr>
          <w:rFonts w:asciiTheme="majorHAnsi" w:hAnsiTheme="majorHAnsi" w:cs="Times New Roman"/>
          <w:sz w:val="20"/>
          <w:szCs w:val="20"/>
        </w:rPr>
        <w:t>illusory</w:t>
      </w:r>
      <w:r w:rsidR="00590C32">
        <w:rPr>
          <w:rFonts w:asciiTheme="majorHAnsi" w:hAnsiTheme="majorHAnsi" w:cs="Times New Roman"/>
          <w:sz w:val="20"/>
          <w:szCs w:val="20"/>
        </w:rPr>
        <w:t>,</w:t>
      </w:r>
      <w:r w:rsidR="00CD486B" w:rsidRPr="002A2289">
        <w:rPr>
          <w:rFonts w:asciiTheme="majorHAnsi" w:hAnsiTheme="majorHAnsi" w:cs="Times New Roman"/>
          <w:sz w:val="20"/>
          <w:szCs w:val="20"/>
        </w:rPr>
        <w:t xml:space="preserve"> cannot be considered effective. This may happen, for example, when their uselessness has been demonstrated in practice, because means are lacking to execute decision</w:t>
      </w:r>
      <w:r w:rsidR="003F5072" w:rsidRPr="002A2289">
        <w:rPr>
          <w:rFonts w:asciiTheme="majorHAnsi" w:hAnsiTheme="majorHAnsi" w:cs="Times New Roman"/>
          <w:sz w:val="20"/>
          <w:szCs w:val="20"/>
        </w:rPr>
        <w:t>s</w:t>
      </w:r>
      <w:r w:rsidR="00CD486B" w:rsidRPr="002A2289">
        <w:rPr>
          <w:rFonts w:asciiTheme="majorHAnsi" w:hAnsiTheme="majorHAnsi" w:cs="Times New Roman"/>
          <w:sz w:val="20"/>
          <w:szCs w:val="20"/>
        </w:rPr>
        <w:t xml:space="preserve"> or due to any other situation that </w:t>
      </w:r>
      <w:r w:rsidR="003F5072" w:rsidRPr="002A2289">
        <w:rPr>
          <w:rFonts w:asciiTheme="majorHAnsi" w:hAnsiTheme="majorHAnsi" w:cs="Times New Roman"/>
          <w:sz w:val="20"/>
          <w:szCs w:val="20"/>
        </w:rPr>
        <w:t xml:space="preserve">leads </w:t>
      </w:r>
      <w:r w:rsidR="00590C32">
        <w:rPr>
          <w:rFonts w:asciiTheme="majorHAnsi" w:hAnsiTheme="majorHAnsi" w:cs="Times New Roman"/>
          <w:sz w:val="20"/>
          <w:szCs w:val="20"/>
        </w:rPr>
        <w:t>to the</w:t>
      </w:r>
      <w:r w:rsidR="00CD486B" w:rsidRPr="002A2289">
        <w:rPr>
          <w:rFonts w:asciiTheme="majorHAnsi" w:hAnsiTheme="majorHAnsi" w:cs="Times New Roman"/>
          <w:sz w:val="20"/>
          <w:szCs w:val="20"/>
        </w:rPr>
        <w:t xml:space="preserve"> denial of justice. Thus, proceedings must lead to </w:t>
      </w:r>
      <w:r w:rsidR="00D52F15" w:rsidRPr="002A2289">
        <w:rPr>
          <w:rFonts w:asciiTheme="majorHAnsi" w:hAnsiTheme="majorHAnsi" w:cs="Times New Roman"/>
          <w:sz w:val="20"/>
          <w:szCs w:val="20"/>
        </w:rPr>
        <w:t>achieving</w:t>
      </w:r>
      <w:r w:rsidR="00CD486B" w:rsidRPr="002A2289">
        <w:rPr>
          <w:rFonts w:asciiTheme="majorHAnsi" w:hAnsiTheme="majorHAnsi" w:cs="Times New Roman"/>
          <w:sz w:val="20"/>
          <w:szCs w:val="20"/>
        </w:rPr>
        <w:t xml:space="preserve"> protection of </w:t>
      </w:r>
      <w:r w:rsidR="003F5072" w:rsidRPr="002A2289">
        <w:rPr>
          <w:rFonts w:asciiTheme="majorHAnsi" w:hAnsiTheme="majorHAnsi" w:cs="Times New Roman"/>
          <w:sz w:val="20"/>
          <w:szCs w:val="20"/>
        </w:rPr>
        <w:t xml:space="preserve">the </w:t>
      </w:r>
      <w:r w:rsidR="00CD486B" w:rsidRPr="002A2289">
        <w:rPr>
          <w:rFonts w:asciiTheme="majorHAnsi" w:hAnsiTheme="majorHAnsi" w:cs="Times New Roman"/>
          <w:sz w:val="20"/>
          <w:szCs w:val="20"/>
        </w:rPr>
        <w:t xml:space="preserve">right recognized in the legal decision through </w:t>
      </w:r>
      <w:r w:rsidR="00590C32">
        <w:rPr>
          <w:rFonts w:asciiTheme="majorHAnsi" w:hAnsiTheme="majorHAnsi" w:cs="Times New Roman"/>
          <w:sz w:val="20"/>
          <w:szCs w:val="20"/>
        </w:rPr>
        <w:t xml:space="preserve">the </w:t>
      </w:r>
      <w:r w:rsidR="003F5072" w:rsidRPr="002A2289">
        <w:rPr>
          <w:rFonts w:asciiTheme="majorHAnsi" w:hAnsiTheme="majorHAnsi" w:cs="Times New Roman"/>
          <w:sz w:val="20"/>
          <w:szCs w:val="20"/>
        </w:rPr>
        <w:t xml:space="preserve">proper </w:t>
      </w:r>
      <w:r w:rsidR="00D52F15" w:rsidRPr="002A2289">
        <w:rPr>
          <w:rFonts w:asciiTheme="majorHAnsi" w:hAnsiTheme="majorHAnsi" w:cs="Times New Roman"/>
          <w:sz w:val="20"/>
          <w:szCs w:val="20"/>
        </w:rPr>
        <w:t>implementation</w:t>
      </w:r>
      <w:r w:rsidR="00CD486B" w:rsidRPr="002A2289">
        <w:rPr>
          <w:rFonts w:asciiTheme="majorHAnsi" w:hAnsiTheme="majorHAnsi" w:cs="Times New Roman"/>
          <w:sz w:val="20"/>
          <w:szCs w:val="20"/>
        </w:rPr>
        <w:t xml:space="preserve"> of</w:t>
      </w:r>
      <w:r w:rsidR="00D52F15" w:rsidRPr="002A2289">
        <w:rPr>
          <w:rFonts w:asciiTheme="majorHAnsi" w:hAnsiTheme="majorHAnsi" w:cs="Times New Roman"/>
          <w:sz w:val="20"/>
          <w:szCs w:val="20"/>
        </w:rPr>
        <w:t xml:space="preserve"> said decision</w:t>
      </w:r>
      <w:r w:rsidR="00CD486B" w:rsidRPr="002A2289">
        <w:rPr>
          <w:rFonts w:asciiTheme="majorHAnsi" w:hAnsiTheme="majorHAnsi" w:cs="Times New Roman"/>
          <w:sz w:val="20"/>
          <w:szCs w:val="20"/>
        </w:rPr>
        <w:t xml:space="preserve"> (quotes omitted</w:t>
      </w:r>
      <w:r w:rsidR="00EC7AB1" w:rsidRPr="002A2289">
        <w:rPr>
          <w:rFonts w:asciiTheme="majorHAnsi" w:hAnsiTheme="majorHAnsi" w:cs="Times New Roman"/>
          <w:sz w:val="20"/>
          <w:szCs w:val="20"/>
        </w:rPr>
        <w:t>)</w:t>
      </w:r>
      <w:r w:rsidR="00262092" w:rsidRPr="002A2289">
        <w:rPr>
          <w:rFonts w:asciiTheme="majorHAnsi" w:hAnsiTheme="majorHAnsi" w:cs="Times New Roman"/>
          <w:sz w:val="20"/>
          <w:szCs w:val="20"/>
        </w:rPr>
        <w:t>.</w:t>
      </w:r>
      <w:r w:rsidR="00EC7AB1" w:rsidRPr="002A2289">
        <w:rPr>
          <w:rStyle w:val="FootnoteReference"/>
          <w:rFonts w:asciiTheme="majorHAnsi" w:hAnsiTheme="majorHAnsi" w:cs="Times New Roman"/>
          <w:sz w:val="20"/>
          <w:szCs w:val="20"/>
        </w:rPr>
        <w:footnoteReference w:id="65"/>
      </w:r>
    </w:p>
    <w:p w14:paraId="7F605FB5" w14:textId="77777777" w:rsidR="00EC7AB1" w:rsidRPr="002A2289" w:rsidRDefault="00EC7AB1" w:rsidP="00EC7AB1">
      <w:pPr>
        <w:ind w:firstLine="720"/>
        <w:jc w:val="both"/>
        <w:rPr>
          <w:rFonts w:asciiTheme="majorHAnsi" w:hAnsiTheme="majorHAnsi"/>
          <w:sz w:val="20"/>
          <w:szCs w:val="20"/>
        </w:rPr>
      </w:pPr>
    </w:p>
    <w:p w14:paraId="2F44A37B" w14:textId="4737C705" w:rsidR="00EC7AB1" w:rsidRPr="002A2289" w:rsidRDefault="00CD486B" w:rsidP="00EC7AB1">
      <w:pPr>
        <w:pStyle w:val="ListParagraph"/>
        <w:numPr>
          <w:ilvl w:val="0"/>
          <w:numId w:val="55"/>
        </w:numPr>
        <w:ind w:left="0" w:firstLine="720"/>
        <w:jc w:val="both"/>
        <w:rPr>
          <w:rFonts w:asciiTheme="majorHAnsi" w:hAnsiTheme="majorHAnsi" w:cs="Times New Roman"/>
          <w:sz w:val="20"/>
          <w:szCs w:val="20"/>
        </w:rPr>
      </w:pPr>
      <w:r w:rsidRPr="002A2289">
        <w:rPr>
          <w:rFonts w:asciiTheme="majorHAnsi" w:hAnsiTheme="majorHAnsi" w:cs="Times New Roman"/>
          <w:sz w:val="20"/>
          <w:szCs w:val="20"/>
        </w:rPr>
        <w:t>The C</w:t>
      </w:r>
      <w:r w:rsidR="0098417A" w:rsidRPr="002A2289">
        <w:rPr>
          <w:rFonts w:asciiTheme="majorHAnsi" w:hAnsiTheme="majorHAnsi" w:cs="Times New Roman"/>
          <w:sz w:val="20"/>
          <w:szCs w:val="20"/>
        </w:rPr>
        <w:t>ourt has pointed out that, in t</w:t>
      </w:r>
      <w:r w:rsidRPr="002A2289">
        <w:rPr>
          <w:rFonts w:asciiTheme="majorHAnsi" w:hAnsiTheme="majorHAnsi" w:cs="Times New Roman"/>
          <w:sz w:val="20"/>
          <w:szCs w:val="20"/>
        </w:rPr>
        <w:t>erm</w:t>
      </w:r>
      <w:r w:rsidR="0098417A" w:rsidRPr="002A2289">
        <w:rPr>
          <w:rFonts w:asciiTheme="majorHAnsi" w:hAnsiTheme="majorHAnsi" w:cs="Times New Roman"/>
          <w:sz w:val="20"/>
          <w:szCs w:val="20"/>
        </w:rPr>
        <w:t>s</w:t>
      </w:r>
      <w:r w:rsidRPr="002A2289">
        <w:rPr>
          <w:rFonts w:asciiTheme="majorHAnsi" w:hAnsiTheme="majorHAnsi" w:cs="Times New Roman"/>
          <w:sz w:val="20"/>
          <w:szCs w:val="20"/>
        </w:rPr>
        <w:t xml:space="preserve"> of Article 25 of the Convention</w:t>
      </w:r>
      <w:r w:rsidR="00C23197" w:rsidRPr="002A2289">
        <w:rPr>
          <w:rFonts w:asciiTheme="majorHAnsi" w:hAnsiTheme="majorHAnsi" w:cs="Times New Roman"/>
          <w:sz w:val="20"/>
          <w:szCs w:val="20"/>
        </w:rPr>
        <w:t>,</w:t>
      </w:r>
      <w:r w:rsidRPr="002A2289">
        <w:rPr>
          <w:rFonts w:asciiTheme="majorHAnsi" w:hAnsiTheme="majorHAnsi" w:cs="Times New Roman"/>
          <w:sz w:val="20"/>
          <w:szCs w:val="20"/>
        </w:rPr>
        <w:t xml:space="preserve"> it is possible to identify two specific obligations of the States. The first is to normatively enshrine and ensure</w:t>
      </w:r>
      <w:r w:rsidR="00CA082C" w:rsidRPr="002A2289">
        <w:rPr>
          <w:rFonts w:asciiTheme="majorHAnsi" w:hAnsiTheme="majorHAnsi" w:cs="Times New Roman"/>
          <w:sz w:val="20"/>
          <w:szCs w:val="20"/>
        </w:rPr>
        <w:t xml:space="preserve"> proper </w:t>
      </w:r>
      <w:r w:rsidR="00D52F15" w:rsidRPr="002A2289">
        <w:rPr>
          <w:rFonts w:asciiTheme="majorHAnsi" w:hAnsiTheme="majorHAnsi" w:cs="Times New Roman"/>
          <w:sz w:val="20"/>
          <w:szCs w:val="20"/>
        </w:rPr>
        <w:t>application</w:t>
      </w:r>
      <w:r w:rsidR="00E6122B" w:rsidRPr="002A2289">
        <w:rPr>
          <w:rFonts w:asciiTheme="majorHAnsi" w:hAnsiTheme="majorHAnsi" w:cs="Times New Roman"/>
          <w:sz w:val="20"/>
          <w:szCs w:val="20"/>
        </w:rPr>
        <w:t xml:space="preserve"> of effective remedies</w:t>
      </w:r>
      <w:r w:rsidR="00450792" w:rsidRPr="002A2289">
        <w:rPr>
          <w:rFonts w:asciiTheme="majorHAnsi" w:hAnsiTheme="majorHAnsi" w:cs="Times New Roman"/>
          <w:sz w:val="20"/>
          <w:szCs w:val="20"/>
        </w:rPr>
        <w:t xml:space="preserve"> before competent authorities</w:t>
      </w:r>
      <w:r w:rsidR="00E6122B" w:rsidRPr="002A2289">
        <w:rPr>
          <w:rFonts w:asciiTheme="majorHAnsi" w:hAnsiTheme="majorHAnsi" w:cs="Times New Roman"/>
          <w:sz w:val="20"/>
          <w:szCs w:val="20"/>
        </w:rPr>
        <w:t xml:space="preserve">, which protect all individuals under its jurisdiction </w:t>
      </w:r>
      <w:r w:rsidR="00CA082C" w:rsidRPr="002A2289">
        <w:rPr>
          <w:rFonts w:asciiTheme="majorHAnsi" w:hAnsiTheme="majorHAnsi" w:cs="Times New Roman"/>
          <w:sz w:val="20"/>
          <w:szCs w:val="20"/>
        </w:rPr>
        <w:t xml:space="preserve">from </w:t>
      </w:r>
      <w:r w:rsidR="00E6122B" w:rsidRPr="002A2289">
        <w:rPr>
          <w:rFonts w:asciiTheme="majorHAnsi" w:hAnsiTheme="majorHAnsi" w:cs="Times New Roman"/>
          <w:sz w:val="20"/>
          <w:szCs w:val="20"/>
        </w:rPr>
        <w:t>acts that violate their fundamental rights</w:t>
      </w:r>
      <w:r w:rsidR="00CA082C" w:rsidRPr="002A2289">
        <w:rPr>
          <w:rFonts w:asciiTheme="majorHAnsi" w:hAnsiTheme="majorHAnsi" w:cs="Times New Roman"/>
          <w:sz w:val="20"/>
          <w:szCs w:val="20"/>
        </w:rPr>
        <w:t>,</w:t>
      </w:r>
      <w:r w:rsidR="00E6122B" w:rsidRPr="002A2289">
        <w:rPr>
          <w:rFonts w:asciiTheme="majorHAnsi" w:hAnsiTheme="majorHAnsi" w:cs="Times New Roman"/>
          <w:sz w:val="20"/>
          <w:szCs w:val="20"/>
        </w:rPr>
        <w:t xml:space="preserve"> or </w:t>
      </w:r>
      <w:r w:rsidR="00CA082C" w:rsidRPr="002A2289">
        <w:rPr>
          <w:rFonts w:asciiTheme="majorHAnsi" w:hAnsiTheme="majorHAnsi" w:cs="Times New Roman"/>
          <w:sz w:val="20"/>
          <w:szCs w:val="20"/>
        </w:rPr>
        <w:t>which</w:t>
      </w:r>
      <w:r w:rsidR="00E6122B" w:rsidRPr="002A2289">
        <w:rPr>
          <w:rFonts w:asciiTheme="majorHAnsi" w:hAnsiTheme="majorHAnsi" w:cs="Times New Roman"/>
          <w:sz w:val="20"/>
          <w:szCs w:val="20"/>
        </w:rPr>
        <w:t xml:space="preserve"> entail determination of the</w:t>
      </w:r>
      <w:r w:rsidR="00CA082C" w:rsidRPr="002A2289">
        <w:rPr>
          <w:rFonts w:asciiTheme="majorHAnsi" w:hAnsiTheme="majorHAnsi" w:cs="Times New Roman"/>
          <w:sz w:val="20"/>
          <w:szCs w:val="20"/>
        </w:rPr>
        <w:t>se individuals’</w:t>
      </w:r>
      <w:r w:rsidR="00E6122B" w:rsidRPr="002A2289">
        <w:rPr>
          <w:rFonts w:asciiTheme="majorHAnsi" w:hAnsiTheme="majorHAnsi" w:cs="Times New Roman"/>
          <w:sz w:val="20"/>
          <w:szCs w:val="20"/>
        </w:rPr>
        <w:t xml:space="preserve"> rights and obligations. </w:t>
      </w:r>
      <w:r w:rsidR="00450792" w:rsidRPr="002A2289">
        <w:rPr>
          <w:rFonts w:asciiTheme="majorHAnsi" w:hAnsiTheme="majorHAnsi" w:cs="Times New Roman"/>
          <w:sz w:val="20"/>
          <w:szCs w:val="20"/>
        </w:rPr>
        <w:t>The second is</w:t>
      </w:r>
      <w:r w:rsidR="00E6122B" w:rsidRPr="002A2289">
        <w:rPr>
          <w:rFonts w:asciiTheme="majorHAnsi" w:hAnsiTheme="majorHAnsi" w:cs="Times New Roman"/>
          <w:sz w:val="20"/>
          <w:szCs w:val="20"/>
        </w:rPr>
        <w:t xml:space="preserve"> to guarantee the means to execute the respective decisions and judgments issued by such competent authorities such that </w:t>
      </w:r>
      <w:r w:rsidR="00450792" w:rsidRPr="002A2289">
        <w:rPr>
          <w:rFonts w:asciiTheme="majorHAnsi" w:hAnsiTheme="majorHAnsi" w:cs="Times New Roman"/>
          <w:sz w:val="20"/>
          <w:szCs w:val="20"/>
        </w:rPr>
        <w:t xml:space="preserve">stated </w:t>
      </w:r>
      <w:r w:rsidR="00E6122B" w:rsidRPr="002A2289">
        <w:rPr>
          <w:rFonts w:asciiTheme="majorHAnsi" w:hAnsiTheme="majorHAnsi" w:cs="Times New Roman"/>
          <w:sz w:val="20"/>
          <w:szCs w:val="20"/>
        </w:rPr>
        <w:t xml:space="preserve">or recognized rights are effectively protected. The right set forth under Article 25 is closely tied to the general obligation </w:t>
      </w:r>
      <w:r w:rsidR="00450792" w:rsidRPr="002A2289">
        <w:rPr>
          <w:rFonts w:asciiTheme="majorHAnsi" w:hAnsiTheme="majorHAnsi" w:cs="Times New Roman"/>
          <w:sz w:val="20"/>
          <w:szCs w:val="20"/>
        </w:rPr>
        <w:t>of</w:t>
      </w:r>
      <w:r w:rsidR="00E6122B" w:rsidRPr="002A2289">
        <w:rPr>
          <w:rFonts w:asciiTheme="majorHAnsi" w:hAnsiTheme="majorHAnsi" w:cs="Times New Roman"/>
          <w:sz w:val="20"/>
          <w:szCs w:val="20"/>
        </w:rPr>
        <w:t xml:space="preserve"> Article 1</w:t>
      </w:r>
      <w:r w:rsidR="00590C32">
        <w:rPr>
          <w:rFonts w:asciiTheme="majorHAnsi" w:hAnsiTheme="majorHAnsi" w:cs="Times New Roman"/>
          <w:sz w:val="20"/>
          <w:szCs w:val="20"/>
        </w:rPr>
        <w:t>.</w:t>
      </w:r>
      <w:r w:rsidR="00E6122B" w:rsidRPr="002A2289">
        <w:rPr>
          <w:rFonts w:asciiTheme="majorHAnsi" w:hAnsiTheme="majorHAnsi" w:cs="Times New Roman"/>
          <w:sz w:val="20"/>
          <w:szCs w:val="20"/>
        </w:rPr>
        <w:t xml:space="preserve">1 of the Convention, by attributing </w:t>
      </w:r>
      <w:r w:rsidR="00450792" w:rsidRPr="002A2289">
        <w:rPr>
          <w:rFonts w:asciiTheme="majorHAnsi" w:hAnsiTheme="majorHAnsi" w:cs="Times New Roman"/>
          <w:sz w:val="20"/>
          <w:szCs w:val="20"/>
        </w:rPr>
        <w:t>to the States Part</w:t>
      </w:r>
      <w:r w:rsidR="00D52F15" w:rsidRPr="002A2289">
        <w:rPr>
          <w:rFonts w:asciiTheme="majorHAnsi" w:hAnsiTheme="majorHAnsi" w:cs="Times New Roman"/>
          <w:sz w:val="20"/>
          <w:szCs w:val="20"/>
        </w:rPr>
        <w:t>ies’</w:t>
      </w:r>
      <w:r w:rsidR="00450792" w:rsidRPr="002A2289">
        <w:rPr>
          <w:rFonts w:asciiTheme="majorHAnsi" w:hAnsiTheme="majorHAnsi" w:cs="Times New Roman"/>
          <w:sz w:val="20"/>
          <w:szCs w:val="20"/>
        </w:rPr>
        <w:t xml:space="preserve"> domestic law duties of </w:t>
      </w:r>
      <w:r w:rsidR="00E6122B" w:rsidRPr="002A2289">
        <w:rPr>
          <w:rFonts w:asciiTheme="majorHAnsi" w:hAnsiTheme="majorHAnsi" w:cs="Times New Roman"/>
          <w:sz w:val="20"/>
          <w:szCs w:val="20"/>
        </w:rPr>
        <w:t>protection. In light of the foregoing, the State has the responsibility not only to normatively design and enshrine an effective remedy, but also to ensure</w:t>
      </w:r>
      <w:r w:rsidR="00590C32">
        <w:rPr>
          <w:rFonts w:asciiTheme="majorHAnsi" w:hAnsiTheme="majorHAnsi" w:cs="Times New Roman"/>
          <w:sz w:val="20"/>
          <w:szCs w:val="20"/>
        </w:rPr>
        <w:t xml:space="preserve"> that</w:t>
      </w:r>
      <w:r w:rsidR="00E6122B" w:rsidRPr="002A2289">
        <w:rPr>
          <w:rFonts w:asciiTheme="majorHAnsi" w:hAnsiTheme="majorHAnsi" w:cs="Times New Roman"/>
          <w:sz w:val="20"/>
          <w:szCs w:val="20"/>
        </w:rPr>
        <w:t xml:space="preserve"> </w:t>
      </w:r>
      <w:r w:rsidR="00450792" w:rsidRPr="002A2289">
        <w:rPr>
          <w:rFonts w:asciiTheme="majorHAnsi" w:hAnsiTheme="majorHAnsi" w:cs="Times New Roman"/>
          <w:sz w:val="20"/>
          <w:szCs w:val="20"/>
        </w:rPr>
        <w:t xml:space="preserve">legal authorities properly </w:t>
      </w:r>
      <w:r w:rsidR="00D52F15" w:rsidRPr="002A2289">
        <w:rPr>
          <w:rFonts w:asciiTheme="majorHAnsi" w:hAnsiTheme="majorHAnsi" w:cs="Times New Roman"/>
          <w:sz w:val="20"/>
          <w:szCs w:val="20"/>
        </w:rPr>
        <w:t xml:space="preserve">apply </w:t>
      </w:r>
      <w:r w:rsidR="00590C32">
        <w:rPr>
          <w:rFonts w:asciiTheme="majorHAnsi" w:hAnsiTheme="majorHAnsi" w:cs="Times New Roman"/>
          <w:sz w:val="20"/>
          <w:szCs w:val="20"/>
        </w:rPr>
        <w:t>the</w:t>
      </w:r>
      <w:r w:rsidR="00E6122B" w:rsidRPr="002A2289">
        <w:rPr>
          <w:rFonts w:asciiTheme="majorHAnsi" w:hAnsiTheme="majorHAnsi" w:cs="Times New Roman"/>
          <w:sz w:val="20"/>
          <w:szCs w:val="20"/>
        </w:rPr>
        <w:t xml:space="preserve"> remedy </w:t>
      </w:r>
      <w:r w:rsidR="00EC7AB1" w:rsidRPr="002A2289">
        <w:rPr>
          <w:rFonts w:asciiTheme="majorHAnsi" w:hAnsiTheme="majorHAnsi" w:cs="Times New Roman"/>
          <w:sz w:val="20"/>
          <w:szCs w:val="20"/>
        </w:rPr>
        <w:t>(</w:t>
      </w:r>
      <w:r w:rsidR="00E6122B" w:rsidRPr="002A2289">
        <w:rPr>
          <w:rFonts w:asciiTheme="majorHAnsi" w:hAnsiTheme="majorHAnsi" w:cs="Times New Roman"/>
          <w:sz w:val="20"/>
          <w:szCs w:val="20"/>
        </w:rPr>
        <w:t>quotes omitted</w:t>
      </w:r>
      <w:r w:rsidR="00EC7AB1" w:rsidRPr="002A2289">
        <w:rPr>
          <w:rFonts w:asciiTheme="majorHAnsi" w:hAnsiTheme="majorHAnsi" w:cs="Times New Roman"/>
          <w:sz w:val="20"/>
          <w:szCs w:val="20"/>
        </w:rPr>
        <w:t>)</w:t>
      </w:r>
      <w:r w:rsidR="00E6122B" w:rsidRPr="002A2289">
        <w:rPr>
          <w:rFonts w:asciiTheme="majorHAnsi" w:hAnsiTheme="majorHAnsi" w:cs="Times New Roman"/>
          <w:sz w:val="20"/>
          <w:szCs w:val="20"/>
        </w:rPr>
        <w:t>.</w:t>
      </w:r>
      <w:r w:rsidR="00EC7AB1" w:rsidRPr="002A2289">
        <w:rPr>
          <w:rStyle w:val="FootnoteReference"/>
          <w:rFonts w:asciiTheme="majorHAnsi" w:hAnsiTheme="majorHAnsi" w:cs="Times New Roman"/>
          <w:sz w:val="20"/>
          <w:szCs w:val="20"/>
        </w:rPr>
        <w:footnoteReference w:id="66"/>
      </w:r>
    </w:p>
    <w:p w14:paraId="774081EB" w14:textId="77777777" w:rsidR="00EC7AB1" w:rsidRPr="002A2289" w:rsidRDefault="00EC7AB1" w:rsidP="00EC7AB1">
      <w:pPr>
        <w:pStyle w:val="ListParagraph"/>
        <w:ind w:left="634" w:firstLine="720"/>
        <w:jc w:val="both"/>
        <w:rPr>
          <w:rFonts w:asciiTheme="majorHAnsi" w:hAnsiTheme="majorHAnsi" w:cs="Times New Roman"/>
          <w:sz w:val="20"/>
          <w:szCs w:val="20"/>
        </w:rPr>
      </w:pPr>
    </w:p>
    <w:p w14:paraId="00C50538" w14:textId="4BCF3ED9" w:rsidR="00EC7AB1" w:rsidRPr="002A2289" w:rsidRDefault="00746AE9" w:rsidP="00EC7AB1">
      <w:pPr>
        <w:pStyle w:val="ListParagraph"/>
        <w:numPr>
          <w:ilvl w:val="0"/>
          <w:numId w:val="55"/>
        </w:numPr>
        <w:ind w:left="0" w:firstLine="720"/>
        <w:jc w:val="both"/>
        <w:rPr>
          <w:rFonts w:asciiTheme="majorHAnsi" w:hAnsiTheme="majorHAnsi" w:cs="Times New Roman"/>
          <w:sz w:val="20"/>
          <w:szCs w:val="20"/>
        </w:rPr>
      </w:pPr>
      <w:r w:rsidRPr="002A2289">
        <w:rPr>
          <w:rFonts w:asciiTheme="majorHAnsi" w:hAnsiTheme="majorHAnsi" w:cs="Times New Roman"/>
          <w:sz w:val="20"/>
          <w:szCs w:val="20"/>
        </w:rPr>
        <w:t>Finally, w</w:t>
      </w:r>
      <w:r w:rsidR="0098417A" w:rsidRPr="002A2289">
        <w:rPr>
          <w:rFonts w:asciiTheme="majorHAnsi" w:hAnsiTheme="majorHAnsi" w:cs="Times New Roman"/>
          <w:sz w:val="20"/>
          <w:szCs w:val="20"/>
        </w:rPr>
        <w:t xml:space="preserve">ith regard </w:t>
      </w:r>
      <w:r w:rsidR="00FC6402" w:rsidRPr="002A2289">
        <w:rPr>
          <w:rFonts w:asciiTheme="majorHAnsi" w:hAnsiTheme="majorHAnsi" w:cs="Times New Roman"/>
          <w:sz w:val="20"/>
          <w:szCs w:val="20"/>
        </w:rPr>
        <w:t xml:space="preserve">to the right </w:t>
      </w:r>
      <w:r w:rsidR="00DC6667" w:rsidRPr="002A2289">
        <w:rPr>
          <w:rFonts w:asciiTheme="majorHAnsi" w:hAnsiTheme="majorHAnsi" w:cs="Times New Roman"/>
          <w:sz w:val="20"/>
          <w:szCs w:val="20"/>
        </w:rPr>
        <w:t xml:space="preserve">to </w:t>
      </w:r>
      <w:r w:rsidR="00590C32">
        <w:rPr>
          <w:rFonts w:asciiTheme="majorHAnsi" w:hAnsiTheme="majorHAnsi" w:cs="Times New Roman"/>
          <w:sz w:val="20"/>
          <w:szCs w:val="20"/>
        </w:rPr>
        <w:t>receive</w:t>
      </w:r>
      <w:r w:rsidR="00DC6667" w:rsidRPr="002A2289">
        <w:rPr>
          <w:rFonts w:asciiTheme="majorHAnsi" w:hAnsiTheme="majorHAnsi" w:cs="Times New Roman"/>
          <w:sz w:val="20"/>
          <w:szCs w:val="20"/>
        </w:rPr>
        <w:t xml:space="preserve"> </w:t>
      </w:r>
      <w:r w:rsidR="006B4E8A" w:rsidRPr="002A2289">
        <w:rPr>
          <w:rFonts w:asciiTheme="majorHAnsi" w:hAnsiTheme="majorHAnsi" w:cs="Times New Roman"/>
          <w:sz w:val="20"/>
          <w:szCs w:val="20"/>
        </w:rPr>
        <w:t>a</w:t>
      </w:r>
      <w:r w:rsidR="00DC6667" w:rsidRPr="002A2289">
        <w:rPr>
          <w:rFonts w:asciiTheme="majorHAnsi" w:hAnsiTheme="majorHAnsi" w:cs="Times New Roman"/>
          <w:sz w:val="20"/>
          <w:szCs w:val="20"/>
        </w:rPr>
        <w:t xml:space="preserve"> duly founded decision</w:t>
      </w:r>
      <w:r w:rsidR="0098417A" w:rsidRPr="002A2289">
        <w:rPr>
          <w:rFonts w:asciiTheme="majorHAnsi" w:hAnsiTheme="majorHAnsi" w:cs="Times New Roman"/>
          <w:sz w:val="20"/>
          <w:szCs w:val="20"/>
        </w:rPr>
        <w:t xml:space="preserve">, the Inter-American Court has pointed out that </w:t>
      </w:r>
      <w:r w:rsidR="00B74C0B" w:rsidRPr="002A2289">
        <w:rPr>
          <w:rFonts w:asciiTheme="majorHAnsi" w:hAnsiTheme="majorHAnsi" w:cs="Times New Roman"/>
          <w:sz w:val="20"/>
          <w:szCs w:val="20"/>
        </w:rPr>
        <w:t xml:space="preserve">the grounds </w:t>
      </w:r>
      <w:r w:rsidR="00FC6402" w:rsidRPr="002A2289">
        <w:rPr>
          <w:rFonts w:asciiTheme="majorHAnsi" w:hAnsiTheme="majorHAnsi" w:cs="Times New Roman"/>
          <w:sz w:val="20"/>
          <w:szCs w:val="20"/>
        </w:rPr>
        <w:t xml:space="preserve">for decisions </w:t>
      </w:r>
      <w:r w:rsidR="00B74C0B" w:rsidRPr="002A2289">
        <w:rPr>
          <w:rFonts w:asciiTheme="majorHAnsi" w:hAnsiTheme="majorHAnsi" w:cs="Times New Roman"/>
          <w:sz w:val="20"/>
          <w:szCs w:val="20"/>
        </w:rPr>
        <w:t>“are the exteriorization of the reasoned justification that allows a conclusion to be reached.” The obligation to found decisions is a guarantee related to the correct administration of justice, which protects the right of the people to be tried for the reasons established by law and grants credibility to judicial decisions in a democratic society. For this reason, decisions made by domestic bodies that can affect human rights must be duly founded; otherwise they would be arbitrary decisions. In this regard, the considerations of a ruling and certain administrative decisions must reveal the facts, grounds</w:t>
      </w:r>
      <w:r w:rsidR="00FC6402" w:rsidRPr="002A2289">
        <w:rPr>
          <w:rFonts w:asciiTheme="majorHAnsi" w:hAnsiTheme="majorHAnsi" w:cs="Times New Roman"/>
          <w:sz w:val="20"/>
          <w:szCs w:val="20"/>
        </w:rPr>
        <w:t>,</w:t>
      </w:r>
      <w:r w:rsidR="00B74C0B" w:rsidRPr="002A2289">
        <w:rPr>
          <w:rFonts w:asciiTheme="majorHAnsi" w:hAnsiTheme="majorHAnsi" w:cs="Times New Roman"/>
          <w:sz w:val="20"/>
          <w:szCs w:val="20"/>
        </w:rPr>
        <w:t xml:space="preserve"> and laws on which the authority based itself to make its decision in order to eliminate any sign of arbitrariness. Furthermore, the justification demonstrates to the parties that they have been heard and, in those cases where the decision can be appealed, allows them to contest the decision and to obtain another examination of the matter before a higher court. Based on the foregoing, the obligation to provide the </w:t>
      </w:r>
      <w:r w:rsidR="00B74C0B" w:rsidRPr="002A2289">
        <w:rPr>
          <w:rFonts w:asciiTheme="majorHAnsi" w:hAnsiTheme="majorHAnsi" w:cs="Times New Roman"/>
          <w:sz w:val="20"/>
          <w:szCs w:val="20"/>
        </w:rPr>
        <w:lastRenderedPageBreak/>
        <w:t>grounds for a decision is one of the “due guarantees” included in Article 8</w:t>
      </w:r>
      <w:r w:rsidR="00590C32">
        <w:rPr>
          <w:rFonts w:asciiTheme="majorHAnsi" w:hAnsiTheme="majorHAnsi" w:cs="Times New Roman"/>
          <w:sz w:val="20"/>
          <w:szCs w:val="20"/>
        </w:rPr>
        <w:t>.</w:t>
      </w:r>
      <w:r w:rsidR="00B74C0B" w:rsidRPr="002A2289">
        <w:rPr>
          <w:rFonts w:asciiTheme="majorHAnsi" w:hAnsiTheme="majorHAnsi" w:cs="Times New Roman"/>
          <w:sz w:val="20"/>
          <w:szCs w:val="20"/>
        </w:rPr>
        <w:t>1 to safeguard the right to due process.</w:t>
      </w:r>
      <w:r w:rsidR="00EC7AB1" w:rsidRPr="002A2289">
        <w:rPr>
          <w:rStyle w:val="FootnoteReference"/>
          <w:rFonts w:asciiTheme="majorHAnsi" w:hAnsiTheme="majorHAnsi" w:cs="Times New Roman"/>
          <w:sz w:val="20"/>
          <w:szCs w:val="20"/>
          <w:lang w:bidi="en-US"/>
        </w:rPr>
        <w:footnoteReference w:id="67"/>
      </w:r>
    </w:p>
    <w:p w14:paraId="2165D7BD" w14:textId="77777777" w:rsidR="00EC7AB1" w:rsidRPr="002A2289" w:rsidRDefault="00EC7AB1" w:rsidP="00EC7AB1">
      <w:pPr>
        <w:jc w:val="both"/>
        <w:rPr>
          <w:rFonts w:asciiTheme="majorHAnsi" w:hAnsiTheme="majorHAnsi"/>
          <w:b/>
          <w:sz w:val="20"/>
          <w:szCs w:val="20"/>
        </w:rPr>
      </w:pPr>
    </w:p>
    <w:p w14:paraId="5B122F72" w14:textId="3024C53E" w:rsidR="00EC7AB1" w:rsidRPr="002A2289" w:rsidRDefault="00EC7AB1" w:rsidP="00EC7AB1">
      <w:pPr>
        <w:pStyle w:val="ListParagraph"/>
        <w:numPr>
          <w:ilvl w:val="0"/>
          <w:numId w:val="67"/>
        </w:numPr>
        <w:ind w:left="1440" w:hanging="720"/>
        <w:jc w:val="both"/>
        <w:rPr>
          <w:rFonts w:asciiTheme="majorHAnsi" w:hAnsiTheme="majorHAnsi" w:cs="Times New Roman"/>
          <w:b/>
          <w:sz w:val="20"/>
          <w:szCs w:val="20"/>
        </w:rPr>
      </w:pPr>
      <w:r w:rsidRPr="002A2289">
        <w:rPr>
          <w:rFonts w:asciiTheme="majorHAnsi" w:hAnsiTheme="majorHAnsi" w:cs="Times New Roman"/>
          <w:b/>
          <w:sz w:val="20"/>
          <w:szCs w:val="20"/>
        </w:rPr>
        <w:t>An</w:t>
      </w:r>
      <w:r w:rsidR="00B74C0B" w:rsidRPr="002A2289">
        <w:rPr>
          <w:rFonts w:asciiTheme="majorHAnsi" w:hAnsiTheme="majorHAnsi" w:cs="Times New Roman"/>
          <w:b/>
          <w:sz w:val="20"/>
          <w:szCs w:val="20"/>
        </w:rPr>
        <w:t xml:space="preserve">alysis of whether </w:t>
      </w:r>
      <w:r w:rsidR="00786D79">
        <w:rPr>
          <w:rFonts w:asciiTheme="majorHAnsi" w:hAnsiTheme="majorHAnsi" w:cs="Times New Roman"/>
          <w:b/>
          <w:sz w:val="20"/>
          <w:szCs w:val="20"/>
        </w:rPr>
        <w:t>Law 24.043</w:t>
      </w:r>
      <w:r w:rsidRPr="002A2289">
        <w:rPr>
          <w:rFonts w:asciiTheme="majorHAnsi" w:hAnsiTheme="majorHAnsi" w:cs="Times New Roman"/>
          <w:b/>
          <w:sz w:val="20"/>
          <w:szCs w:val="20"/>
        </w:rPr>
        <w:t xml:space="preserve"> </w:t>
      </w:r>
      <w:r w:rsidR="00B74C0B" w:rsidRPr="002A2289">
        <w:rPr>
          <w:rFonts w:asciiTheme="majorHAnsi" w:hAnsiTheme="majorHAnsi" w:cs="Times New Roman"/>
          <w:b/>
          <w:sz w:val="20"/>
          <w:szCs w:val="20"/>
        </w:rPr>
        <w:t xml:space="preserve">and its application </w:t>
      </w:r>
      <w:r w:rsidR="00462013" w:rsidRPr="002A2289">
        <w:rPr>
          <w:rFonts w:asciiTheme="majorHAnsi" w:hAnsiTheme="majorHAnsi" w:cs="Times New Roman"/>
          <w:b/>
          <w:sz w:val="20"/>
          <w:szCs w:val="20"/>
        </w:rPr>
        <w:t xml:space="preserve">with regard </w:t>
      </w:r>
      <w:r w:rsidR="00B74C0B" w:rsidRPr="002A2289">
        <w:rPr>
          <w:rFonts w:asciiTheme="majorHAnsi" w:hAnsiTheme="majorHAnsi" w:cs="Times New Roman"/>
          <w:b/>
          <w:sz w:val="20"/>
          <w:szCs w:val="20"/>
        </w:rPr>
        <w:t xml:space="preserve">to Mr. </w:t>
      </w:r>
      <w:r w:rsidRPr="002A2289">
        <w:rPr>
          <w:rFonts w:asciiTheme="majorHAnsi" w:hAnsiTheme="majorHAnsi" w:cs="Times New Roman"/>
          <w:b/>
          <w:sz w:val="20"/>
          <w:szCs w:val="20"/>
        </w:rPr>
        <w:t xml:space="preserve">Almeida </w:t>
      </w:r>
      <w:r w:rsidR="00B74C0B" w:rsidRPr="002A2289">
        <w:rPr>
          <w:rFonts w:asciiTheme="majorHAnsi" w:hAnsiTheme="majorHAnsi" w:cs="Times New Roman"/>
          <w:b/>
          <w:sz w:val="20"/>
          <w:szCs w:val="20"/>
        </w:rPr>
        <w:t xml:space="preserve">was in and of itself a violation of equal protection </w:t>
      </w:r>
      <w:r w:rsidR="00FC6402" w:rsidRPr="002A2289">
        <w:rPr>
          <w:rFonts w:asciiTheme="majorHAnsi" w:hAnsiTheme="majorHAnsi" w:cs="Times New Roman"/>
          <w:b/>
          <w:sz w:val="20"/>
          <w:szCs w:val="20"/>
        </w:rPr>
        <w:t>under</w:t>
      </w:r>
      <w:r w:rsidR="00B74C0B" w:rsidRPr="002A2289">
        <w:rPr>
          <w:rFonts w:asciiTheme="majorHAnsi" w:hAnsiTheme="majorHAnsi" w:cs="Times New Roman"/>
          <w:b/>
          <w:sz w:val="20"/>
          <w:szCs w:val="20"/>
        </w:rPr>
        <w:t xml:space="preserve"> the law</w:t>
      </w:r>
    </w:p>
    <w:p w14:paraId="63B3202F" w14:textId="77777777" w:rsidR="00EC7AB1" w:rsidRPr="002A2289" w:rsidRDefault="00EC7AB1" w:rsidP="00EC7AB1">
      <w:pPr>
        <w:ind w:firstLine="720"/>
        <w:rPr>
          <w:rFonts w:asciiTheme="majorHAnsi" w:hAnsiTheme="majorHAnsi"/>
          <w:b/>
          <w:sz w:val="20"/>
          <w:szCs w:val="20"/>
        </w:rPr>
      </w:pPr>
    </w:p>
    <w:p w14:paraId="69E6A5A8" w14:textId="2FEB4ABA" w:rsidR="00EC7AB1" w:rsidRPr="002A2289" w:rsidRDefault="00473FC2"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In </w:t>
      </w:r>
      <w:proofErr w:type="spellStart"/>
      <w:r w:rsidR="00EC7AB1" w:rsidRPr="002A2289">
        <w:rPr>
          <w:rFonts w:asciiTheme="majorHAnsi" w:hAnsiTheme="majorHAnsi" w:cs="Times New Roman"/>
          <w:i/>
          <w:color w:val="auto"/>
          <w:sz w:val="20"/>
          <w:szCs w:val="20"/>
        </w:rPr>
        <w:t>Hanríquez</w:t>
      </w:r>
      <w:proofErr w:type="spellEnd"/>
      <w:r w:rsidR="00EC7AB1" w:rsidRPr="002A2289">
        <w:rPr>
          <w:rFonts w:asciiTheme="majorHAnsi" w:hAnsiTheme="majorHAnsi" w:cs="Times New Roman"/>
          <w:i/>
          <w:color w:val="auto"/>
          <w:sz w:val="20"/>
          <w:szCs w:val="20"/>
        </w:rPr>
        <w:t xml:space="preserve"> </w:t>
      </w:r>
      <w:r w:rsidRPr="002A2289">
        <w:rPr>
          <w:rFonts w:asciiTheme="majorHAnsi" w:hAnsiTheme="majorHAnsi" w:cs="Times New Roman"/>
          <w:i/>
          <w:color w:val="auto"/>
          <w:sz w:val="20"/>
          <w:szCs w:val="20"/>
        </w:rPr>
        <w:t>v. Argentina</w:t>
      </w:r>
      <w:r w:rsidRPr="002A2289">
        <w:rPr>
          <w:rFonts w:asciiTheme="majorHAnsi" w:hAnsiTheme="majorHAnsi" w:cs="Times New Roman"/>
          <w:color w:val="auto"/>
          <w:sz w:val="20"/>
          <w:szCs w:val="20"/>
        </w:rPr>
        <w:t xml:space="preserve"> </w:t>
      </w:r>
      <w:r w:rsidR="00EC7AB1" w:rsidRPr="002A2289">
        <w:rPr>
          <w:rFonts w:asciiTheme="majorHAnsi" w:hAnsiTheme="majorHAnsi" w:cs="Times New Roman"/>
          <w:color w:val="auto"/>
          <w:sz w:val="20"/>
          <w:szCs w:val="20"/>
        </w:rPr>
        <w:t xml:space="preserve">(2000), </w:t>
      </w:r>
      <w:r w:rsidRPr="002A2289">
        <w:rPr>
          <w:rFonts w:asciiTheme="majorHAnsi" w:hAnsiTheme="majorHAnsi" w:cs="Times New Roman"/>
          <w:color w:val="auto"/>
          <w:sz w:val="20"/>
          <w:szCs w:val="20"/>
        </w:rPr>
        <w:t>the Commission</w:t>
      </w:r>
      <w:r w:rsidR="00462013" w:rsidRPr="002A2289">
        <w:rPr>
          <w:rFonts w:asciiTheme="majorHAnsi" w:hAnsiTheme="majorHAnsi" w:cs="Times New Roman"/>
          <w:color w:val="auto"/>
          <w:sz w:val="20"/>
          <w:szCs w:val="20"/>
        </w:rPr>
        <w:t xml:space="preserve"> had t</w:t>
      </w:r>
      <w:r w:rsidR="00DB0451" w:rsidRPr="002A2289">
        <w:rPr>
          <w:rFonts w:asciiTheme="majorHAnsi" w:hAnsiTheme="majorHAnsi" w:cs="Times New Roman"/>
          <w:color w:val="auto"/>
          <w:sz w:val="20"/>
          <w:szCs w:val="20"/>
        </w:rPr>
        <w:t>he</w:t>
      </w:r>
      <w:r w:rsidR="00462013" w:rsidRPr="002A2289">
        <w:rPr>
          <w:rFonts w:asciiTheme="majorHAnsi" w:hAnsiTheme="majorHAnsi" w:cs="Times New Roman"/>
          <w:color w:val="auto"/>
          <w:sz w:val="20"/>
          <w:szCs w:val="20"/>
        </w:rPr>
        <w:t xml:space="preserve"> opportunity to rule</w:t>
      </w:r>
      <w:r w:rsidRPr="002A2289">
        <w:rPr>
          <w:rFonts w:asciiTheme="majorHAnsi" w:hAnsiTheme="majorHAnsi" w:cs="Times New Roman"/>
          <w:color w:val="auto"/>
          <w:sz w:val="20"/>
          <w:szCs w:val="20"/>
        </w:rPr>
        <w:t xml:space="preserve"> on </w:t>
      </w:r>
      <w:r w:rsidR="00786D79">
        <w:rPr>
          <w:rFonts w:asciiTheme="majorHAnsi" w:hAnsiTheme="majorHAnsi" w:cs="Times New Roman"/>
          <w:color w:val="auto"/>
          <w:sz w:val="20"/>
          <w:szCs w:val="20"/>
        </w:rPr>
        <w:t>Law 24.043</w:t>
      </w:r>
      <w:r w:rsidR="00EC7AB1" w:rsidRPr="002A2289">
        <w:rPr>
          <w:rFonts w:asciiTheme="majorHAnsi" w:hAnsiTheme="majorHAnsi" w:cs="Times New Roman"/>
          <w:color w:val="auto"/>
          <w:sz w:val="20"/>
          <w:szCs w:val="20"/>
        </w:rPr>
        <w:t xml:space="preserve">, </w:t>
      </w:r>
      <w:r w:rsidR="00590C32">
        <w:rPr>
          <w:rFonts w:asciiTheme="majorHAnsi" w:hAnsiTheme="majorHAnsi" w:cs="Times New Roman"/>
          <w:color w:val="auto"/>
          <w:sz w:val="20"/>
          <w:szCs w:val="20"/>
        </w:rPr>
        <w:t xml:space="preserve">and </w:t>
      </w:r>
      <w:r w:rsidR="00EC7AB1" w:rsidRPr="002A2289">
        <w:rPr>
          <w:rFonts w:asciiTheme="majorHAnsi" w:hAnsiTheme="majorHAnsi" w:cs="Times New Roman"/>
          <w:color w:val="auto"/>
          <w:sz w:val="20"/>
          <w:szCs w:val="20"/>
        </w:rPr>
        <w:t>indica</w:t>
      </w:r>
      <w:r w:rsidRPr="002A2289">
        <w:rPr>
          <w:rFonts w:asciiTheme="majorHAnsi" w:hAnsiTheme="majorHAnsi" w:cs="Times New Roman"/>
          <w:color w:val="auto"/>
          <w:sz w:val="20"/>
          <w:szCs w:val="20"/>
        </w:rPr>
        <w:t>t</w:t>
      </w:r>
      <w:r w:rsidR="00590C32">
        <w:rPr>
          <w:rFonts w:asciiTheme="majorHAnsi" w:hAnsiTheme="majorHAnsi" w:cs="Times New Roman"/>
          <w:color w:val="auto"/>
          <w:sz w:val="20"/>
          <w:szCs w:val="20"/>
        </w:rPr>
        <w:t>ed</w:t>
      </w:r>
      <w:r w:rsidRPr="002A2289">
        <w:rPr>
          <w:rFonts w:asciiTheme="majorHAnsi" w:hAnsiTheme="majorHAnsi" w:cs="Times New Roman"/>
          <w:color w:val="auto"/>
          <w:sz w:val="20"/>
          <w:szCs w:val="20"/>
        </w:rPr>
        <w:t xml:space="preserve"> that “</w:t>
      </w:r>
      <w:r w:rsidRPr="002A2289">
        <w:rPr>
          <w:rFonts w:asciiTheme="majorHAnsi" w:hAnsiTheme="majorHAnsi" w:cs="Times New Roman"/>
          <w:sz w:val="20"/>
          <w:szCs w:val="20"/>
        </w:rPr>
        <w:t xml:space="preserve">the effect of </w:t>
      </w:r>
      <w:r w:rsidR="00786D79">
        <w:rPr>
          <w:rFonts w:asciiTheme="majorHAnsi" w:hAnsiTheme="majorHAnsi" w:cs="Times New Roman"/>
          <w:sz w:val="20"/>
          <w:szCs w:val="20"/>
        </w:rPr>
        <w:t>Law 24.043</w:t>
      </w:r>
      <w:r w:rsidRPr="002A2289">
        <w:rPr>
          <w:rFonts w:asciiTheme="majorHAnsi" w:hAnsiTheme="majorHAnsi" w:cs="Times New Roman"/>
          <w:sz w:val="20"/>
          <w:szCs w:val="20"/>
        </w:rPr>
        <w:t xml:space="preserve"> is not to establish a substantive right to a compensation for the persons it covers and preclude those not covered,</w:t>
      </w:r>
      <w:r w:rsidR="00EC7AB1" w:rsidRPr="002A2289">
        <w:rPr>
          <w:rFonts w:asciiTheme="majorHAnsi" w:hAnsiTheme="majorHAnsi" w:cs="Times New Roman"/>
          <w:color w:val="auto"/>
          <w:sz w:val="20"/>
          <w:szCs w:val="20"/>
        </w:rPr>
        <w:t>”</w:t>
      </w:r>
      <w:r w:rsidR="00462013" w:rsidRPr="002A2289">
        <w:rPr>
          <w:rFonts w:asciiTheme="majorHAnsi" w:hAnsiTheme="majorHAnsi" w:cs="Times New Roman"/>
          <w:color w:val="auto"/>
          <w:sz w:val="20"/>
          <w:szCs w:val="20"/>
        </w:rPr>
        <w:t xml:space="preserve"> as </w:t>
      </w:r>
      <w:r w:rsidR="00590C32">
        <w:rPr>
          <w:rFonts w:asciiTheme="majorHAnsi" w:hAnsiTheme="majorHAnsi" w:cs="Times New Roman"/>
          <w:color w:val="auto"/>
          <w:sz w:val="20"/>
          <w:szCs w:val="20"/>
        </w:rPr>
        <w:t xml:space="preserve">ensuring </w:t>
      </w:r>
      <w:r w:rsidR="00462013" w:rsidRPr="002A2289">
        <w:rPr>
          <w:rFonts w:asciiTheme="majorHAnsi" w:hAnsiTheme="majorHAnsi" w:cs="Times New Roman"/>
          <w:color w:val="auto"/>
          <w:sz w:val="20"/>
          <w:szCs w:val="20"/>
        </w:rPr>
        <w:t>reparation</w:t>
      </w:r>
      <w:r w:rsidRPr="002A2289">
        <w:rPr>
          <w:rFonts w:asciiTheme="majorHAnsi" w:hAnsiTheme="majorHAnsi" w:cs="Times New Roman"/>
          <w:color w:val="auto"/>
          <w:sz w:val="20"/>
          <w:szCs w:val="20"/>
        </w:rPr>
        <w:t xml:space="preserve"> for </w:t>
      </w:r>
      <w:r w:rsidR="00590C32">
        <w:rPr>
          <w:rFonts w:asciiTheme="majorHAnsi" w:hAnsiTheme="majorHAnsi" w:cs="Times New Roman"/>
          <w:color w:val="auto"/>
          <w:sz w:val="20"/>
          <w:szCs w:val="20"/>
        </w:rPr>
        <w:t xml:space="preserve">the </w:t>
      </w:r>
      <w:r w:rsidRPr="002A2289">
        <w:rPr>
          <w:rFonts w:asciiTheme="majorHAnsi" w:hAnsiTheme="majorHAnsi" w:cs="Times New Roman"/>
          <w:color w:val="auto"/>
          <w:sz w:val="20"/>
          <w:szCs w:val="20"/>
        </w:rPr>
        <w:t>violation of an international ob</w:t>
      </w:r>
      <w:r w:rsidR="00590C32">
        <w:rPr>
          <w:rFonts w:asciiTheme="majorHAnsi" w:hAnsiTheme="majorHAnsi" w:cs="Times New Roman"/>
          <w:color w:val="auto"/>
          <w:sz w:val="20"/>
          <w:szCs w:val="20"/>
        </w:rPr>
        <w:t xml:space="preserve">ligation of the State—such as a </w:t>
      </w:r>
      <w:r w:rsidRPr="002A2289">
        <w:rPr>
          <w:rFonts w:asciiTheme="majorHAnsi" w:hAnsiTheme="majorHAnsi" w:cs="Times New Roman"/>
          <w:color w:val="auto"/>
          <w:sz w:val="20"/>
          <w:szCs w:val="20"/>
        </w:rPr>
        <w:t>res</w:t>
      </w:r>
      <w:r w:rsidR="00462013" w:rsidRPr="002A2289">
        <w:rPr>
          <w:rFonts w:asciiTheme="majorHAnsi" w:hAnsiTheme="majorHAnsi" w:cs="Times New Roman"/>
          <w:color w:val="auto"/>
          <w:sz w:val="20"/>
          <w:szCs w:val="20"/>
        </w:rPr>
        <w:t>triction</w:t>
      </w:r>
      <w:r w:rsidR="00590C32">
        <w:rPr>
          <w:rFonts w:asciiTheme="majorHAnsi" w:hAnsiTheme="majorHAnsi" w:cs="Times New Roman"/>
          <w:color w:val="auto"/>
          <w:sz w:val="20"/>
          <w:szCs w:val="20"/>
        </w:rPr>
        <w:t xml:space="preserve"> on personal liberty—</w:t>
      </w:r>
      <w:r w:rsidR="00462013" w:rsidRPr="002A2289">
        <w:rPr>
          <w:rFonts w:asciiTheme="majorHAnsi" w:hAnsiTheme="majorHAnsi" w:cs="Times New Roman"/>
          <w:color w:val="auto"/>
          <w:sz w:val="20"/>
          <w:szCs w:val="20"/>
        </w:rPr>
        <w:t>is</w:t>
      </w:r>
      <w:r w:rsidRPr="002A2289">
        <w:rPr>
          <w:rFonts w:asciiTheme="majorHAnsi" w:hAnsiTheme="majorHAnsi" w:cs="Times New Roman"/>
          <w:color w:val="auto"/>
          <w:sz w:val="20"/>
          <w:szCs w:val="20"/>
        </w:rPr>
        <w:t xml:space="preserve"> not optional, </w:t>
      </w:r>
      <w:r w:rsidR="00590C32">
        <w:rPr>
          <w:rFonts w:asciiTheme="majorHAnsi" w:hAnsiTheme="majorHAnsi" w:cs="Times New Roman"/>
          <w:color w:val="auto"/>
          <w:sz w:val="20"/>
          <w:szCs w:val="20"/>
        </w:rPr>
        <w:t xml:space="preserve">but </w:t>
      </w:r>
      <w:r w:rsidRPr="002A2289">
        <w:rPr>
          <w:rFonts w:asciiTheme="majorHAnsi" w:hAnsiTheme="majorHAnsi" w:cs="Times New Roman"/>
          <w:color w:val="auto"/>
          <w:sz w:val="20"/>
          <w:szCs w:val="20"/>
        </w:rPr>
        <w:t>mandatory.</w:t>
      </w:r>
      <w:r w:rsidR="00EC7AB1" w:rsidRPr="002A2289">
        <w:rPr>
          <w:rStyle w:val="FootnoteReference"/>
          <w:rFonts w:asciiTheme="majorHAnsi" w:hAnsiTheme="majorHAnsi" w:cs="Times New Roman"/>
          <w:color w:val="auto"/>
          <w:sz w:val="20"/>
          <w:szCs w:val="20"/>
        </w:rPr>
        <w:footnoteReference w:id="68"/>
      </w:r>
      <w:r w:rsidR="00EC7AB1" w:rsidRPr="002A2289">
        <w:rPr>
          <w:rFonts w:asciiTheme="majorHAnsi" w:hAnsiTheme="majorHAnsi" w:cs="Times New Roman"/>
          <w:color w:val="auto"/>
          <w:sz w:val="20"/>
          <w:szCs w:val="20"/>
        </w:rPr>
        <w:t xml:space="preserve"> </w:t>
      </w:r>
      <w:r w:rsidRPr="002A2289">
        <w:rPr>
          <w:rFonts w:asciiTheme="majorHAnsi" w:hAnsiTheme="majorHAnsi" w:cs="Times New Roman"/>
          <w:color w:val="auto"/>
          <w:sz w:val="20"/>
          <w:szCs w:val="20"/>
        </w:rPr>
        <w:t>In this sense, the IACHR considered that “</w:t>
      </w:r>
      <w:r w:rsidR="00786D79">
        <w:rPr>
          <w:rFonts w:asciiTheme="majorHAnsi" w:hAnsiTheme="majorHAnsi" w:cs="Times New Roman"/>
          <w:color w:val="auto"/>
          <w:sz w:val="20"/>
          <w:szCs w:val="20"/>
        </w:rPr>
        <w:t>Law 24.043</w:t>
      </w:r>
      <w:r w:rsidR="005C79F1" w:rsidRPr="002A2289">
        <w:rPr>
          <w:rFonts w:asciiTheme="majorHAnsi" w:hAnsiTheme="majorHAnsi" w:cs="Times New Roman"/>
          <w:color w:val="auto"/>
          <w:sz w:val="20"/>
          <w:szCs w:val="20"/>
        </w:rPr>
        <w:t xml:space="preserve"> </w:t>
      </w:r>
      <w:r w:rsidR="005C79F1" w:rsidRPr="002A2289">
        <w:rPr>
          <w:rFonts w:asciiTheme="majorHAnsi" w:hAnsiTheme="majorHAnsi" w:cs="Times New Roman"/>
          <w:sz w:val="20"/>
          <w:szCs w:val="20"/>
        </w:rPr>
        <w:t xml:space="preserve">merely regulates a special procedure that will be used to determine: </w:t>
      </w:r>
      <w:r w:rsidR="00462013" w:rsidRPr="002A2289">
        <w:rPr>
          <w:rFonts w:asciiTheme="majorHAnsi" w:hAnsiTheme="majorHAnsi" w:cs="Times New Roman"/>
          <w:sz w:val="20"/>
          <w:szCs w:val="20"/>
        </w:rPr>
        <w:t>(</w:t>
      </w:r>
      <w:r w:rsidR="005C79F1" w:rsidRPr="002A2289">
        <w:rPr>
          <w:rFonts w:asciiTheme="majorHAnsi" w:hAnsiTheme="majorHAnsi" w:cs="Times New Roman"/>
          <w:sz w:val="20"/>
          <w:szCs w:val="20"/>
        </w:rPr>
        <w:t xml:space="preserve">a) whether compensation is owed, </w:t>
      </w:r>
      <w:r w:rsidR="00462013" w:rsidRPr="002A2289">
        <w:rPr>
          <w:rFonts w:asciiTheme="majorHAnsi" w:hAnsiTheme="majorHAnsi" w:cs="Times New Roman"/>
          <w:sz w:val="20"/>
          <w:szCs w:val="20"/>
        </w:rPr>
        <w:t>(</w:t>
      </w:r>
      <w:r w:rsidR="005C79F1" w:rsidRPr="002A2289">
        <w:rPr>
          <w:rFonts w:asciiTheme="majorHAnsi" w:hAnsiTheme="majorHAnsi" w:cs="Times New Roman"/>
          <w:sz w:val="20"/>
          <w:szCs w:val="20"/>
        </w:rPr>
        <w:t xml:space="preserve">b) the amount of the compensation, and </w:t>
      </w:r>
      <w:r w:rsidR="00462013" w:rsidRPr="002A2289">
        <w:rPr>
          <w:rFonts w:asciiTheme="majorHAnsi" w:hAnsiTheme="majorHAnsi" w:cs="Times New Roman"/>
          <w:sz w:val="20"/>
          <w:szCs w:val="20"/>
        </w:rPr>
        <w:t>(</w:t>
      </w:r>
      <w:r w:rsidR="005C79F1" w:rsidRPr="002A2289">
        <w:rPr>
          <w:rFonts w:asciiTheme="majorHAnsi" w:hAnsiTheme="majorHAnsi" w:cs="Times New Roman"/>
          <w:sz w:val="20"/>
          <w:szCs w:val="20"/>
        </w:rPr>
        <w:t>c) the manner of payment,</w:t>
      </w:r>
      <w:r w:rsidR="00EC7AB1" w:rsidRPr="002A2289">
        <w:rPr>
          <w:rFonts w:asciiTheme="majorHAnsi" w:hAnsiTheme="majorHAnsi" w:cs="Times New Roman"/>
          <w:color w:val="auto"/>
          <w:sz w:val="20"/>
          <w:szCs w:val="20"/>
        </w:rPr>
        <w:t>”</w:t>
      </w:r>
      <w:r w:rsidR="00EC7AB1" w:rsidRPr="002A2289">
        <w:rPr>
          <w:rStyle w:val="FootnoteReference"/>
          <w:rFonts w:asciiTheme="majorHAnsi" w:hAnsiTheme="majorHAnsi" w:cs="Times New Roman"/>
          <w:color w:val="auto"/>
          <w:sz w:val="20"/>
          <w:szCs w:val="20"/>
        </w:rPr>
        <w:footnoteReference w:id="69"/>
      </w:r>
      <w:r w:rsidR="005C79F1" w:rsidRPr="002A2289">
        <w:rPr>
          <w:rFonts w:asciiTheme="majorHAnsi" w:hAnsiTheme="majorHAnsi" w:cs="Times New Roman"/>
          <w:color w:val="auto"/>
          <w:sz w:val="20"/>
          <w:szCs w:val="20"/>
        </w:rPr>
        <w:t xml:space="preserve"> in exchange for which the individuals who opt for this procedure “</w:t>
      </w:r>
      <w:r w:rsidR="005C79F1" w:rsidRPr="002A2289">
        <w:rPr>
          <w:rFonts w:asciiTheme="majorHAnsi" w:hAnsiTheme="majorHAnsi" w:cs="Times New Roman"/>
          <w:sz w:val="20"/>
          <w:szCs w:val="20"/>
        </w:rPr>
        <w:t>conced[e] certain rights, among them the right to bring or prosecute an action for damages and injuries, a right they would have otherwise retained</w:t>
      </w:r>
      <w:r w:rsidR="00462013" w:rsidRPr="002A2289">
        <w:rPr>
          <w:rFonts w:asciiTheme="majorHAnsi" w:hAnsiTheme="majorHAnsi" w:cs="Times New Roman"/>
          <w:sz w:val="20"/>
          <w:szCs w:val="20"/>
        </w:rPr>
        <w:t>.</w:t>
      </w:r>
      <w:r w:rsidR="00EC7AB1" w:rsidRPr="002A2289">
        <w:rPr>
          <w:rFonts w:asciiTheme="majorHAnsi" w:hAnsiTheme="majorHAnsi" w:cs="Times New Roman"/>
          <w:color w:val="auto"/>
          <w:sz w:val="20"/>
          <w:szCs w:val="20"/>
        </w:rPr>
        <w:t>”</w:t>
      </w:r>
      <w:r w:rsidR="00EC7AB1" w:rsidRPr="002A2289">
        <w:rPr>
          <w:rStyle w:val="FootnoteReference"/>
          <w:rFonts w:asciiTheme="majorHAnsi" w:hAnsiTheme="majorHAnsi" w:cs="Times New Roman"/>
          <w:color w:val="auto"/>
          <w:sz w:val="20"/>
          <w:szCs w:val="20"/>
        </w:rPr>
        <w:footnoteReference w:id="70"/>
      </w:r>
      <w:r w:rsidR="00EC7AB1" w:rsidRPr="002A2289">
        <w:rPr>
          <w:rFonts w:asciiTheme="majorHAnsi" w:hAnsiTheme="majorHAnsi" w:cs="Times New Roman"/>
          <w:color w:val="auto"/>
          <w:sz w:val="20"/>
          <w:szCs w:val="20"/>
        </w:rPr>
        <w:t xml:space="preserve"> </w:t>
      </w:r>
    </w:p>
    <w:p w14:paraId="506DFE2A" w14:textId="77777777" w:rsidR="00EC7AB1" w:rsidRPr="002A2289" w:rsidRDefault="00EC7AB1" w:rsidP="00EC7AB1">
      <w:pPr>
        <w:ind w:firstLine="720"/>
        <w:jc w:val="both"/>
        <w:rPr>
          <w:rFonts w:asciiTheme="majorHAnsi" w:hAnsiTheme="majorHAnsi"/>
          <w:sz w:val="20"/>
          <w:szCs w:val="20"/>
        </w:rPr>
      </w:pPr>
    </w:p>
    <w:p w14:paraId="26BC6CD2" w14:textId="616451EF" w:rsidR="00EC7AB1" w:rsidRPr="002A2289" w:rsidRDefault="005C79F1"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The IACHR note</w:t>
      </w:r>
      <w:r w:rsidR="00636EBC" w:rsidRPr="002A2289">
        <w:rPr>
          <w:rFonts w:asciiTheme="majorHAnsi" w:hAnsiTheme="majorHAnsi" w:cs="Times New Roman"/>
          <w:color w:val="auto"/>
          <w:sz w:val="20"/>
          <w:szCs w:val="20"/>
        </w:rPr>
        <w:t>d</w:t>
      </w:r>
      <w:r w:rsidRPr="002A2289">
        <w:rPr>
          <w:rFonts w:asciiTheme="majorHAnsi" w:hAnsiTheme="majorHAnsi" w:cs="Times New Roman"/>
          <w:color w:val="auto"/>
          <w:sz w:val="20"/>
          <w:szCs w:val="20"/>
        </w:rPr>
        <w:t xml:space="preserve"> </w:t>
      </w:r>
      <w:r w:rsidR="00590C32">
        <w:rPr>
          <w:rFonts w:asciiTheme="majorHAnsi" w:hAnsiTheme="majorHAnsi" w:cs="Times New Roman"/>
          <w:color w:val="auto"/>
          <w:sz w:val="20"/>
          <w:szCs w:val="20"/>
        </w:rPr>
        <w:t xml:space="preserve">in </w:t>
      </w:r>
      <w:proofErr w:type="spellStart"/>
      <w:r w:rsidR="00590C32">
        <w:rPr>
          <w:rFonts w:asciiTheme="majorHAnsi" w:hAnsiTheme="majorHAnsi" w:cs="Times New Roman"/>
          <w:i/>
          <w:color w:val="auto"/>
          <w:sz w:val="20"/>
          <w:szCs w:val="20"/>
        </w:rPr>
        <w:t>Hanríquez</w:t>
      </w:r>
      <w:proofErr w:type="spellEnd"/>
      <w:r w:rsidR="00590C32">
        <w:rPr>
          <w:rFonts w:asciiTheme="majorHAnsi" w:hAnsiTheme="majorHAnsi" w:cs="Times New Roman"/>
          <w:color w:val="auto"/>
          <w:sz w:val="20"/>
          <w:szCs w:val="20"/>
        </w:rPr>
        <w:t xml:space="preserve"> that</w:t>
      </w:r>
      <w:r w:rsidR="00E033C5" w:rsidRPr="002A2289">
        <w:rPr>
          <w:rFonts w:asciiTheme="majorHAnsi" w:hAnsiTheme="majorHAnsi" w:cs="Times New Roman"/>
          <w:color w:val="auto"/>
          <w:sz w:val="20"/>
          <w:szCs w:val="20"/>
        </w:rPr>
        <w:t xml:space="preserve"> </w:t>
      </w:r>
      <w:r w:rsidR="00786D79">
        <w:rPr>
          <w:rFonts w:asciiTheme="majorHAnsi" w:hAnsiTheme="majorHAnsi" w:cs="Times New Roman"/>
          <w:color w:val="auto"/>
          <w:sz w:val="20"/>
          <w:szCs w:val="20"/>
        </w:rPr>
        <w:t>Law 24.043</w:t>
      </w:r>
      <w:r w:rsidR="00636EBC" w:rsidRPr="002A2289">
        <w:rPr>
          <w:rFonts w:asciiTheme="majorHAnsi" w:hAnsiTheme="majorHAnsi" w:cs="Times New Roman"/>
          <w:color w:val="auto"/>
          <w:sz w:val="20"/>
          <w:szCs w:val="20"/>
        </w:rPr>
        <w:t xml:space="preserve"> does not seek to cover all cases of human rights violations that occurred under the country’s last </w:t>
      </w:r>
      <w:r w:rsidR="005E7043" w:rsidRPr="002A2289">
        <w:rPr>
          <w:rFonts w:asciiTheme="majorHAnsi" w:hAnsiTheme="majorHAnsi" w:cs="Times New Roman"/>
          <w:color w:val="auto"/>
          <w:sz w:val="20"/>
          <w:szCs w:val="20"/>
        </w:rPr>
        <w:t>civil</w:t>
      </w:r>
      <w:r w:rsidR="00462013" w:rsidRPr="002A2289">
        <w:rPr>
          <w:rFonts w:asciiTheme="majorHAnsi" w:hAnsiTheme="majorHAnsi" w:cs="Times New Roman"/>
          <w:color w:val="auto"/>
          <w:sz w:val="20"/>
          <w:szCs w:val="20"/>
        </w:rPr>
        <w:t>-</w:t>
      </w:r>
      <w:r w:rsidR="00636EBC" w:rsidRPr="002A2289">
        <w:rPr>
          <w:rFonts w:asciiTheme="majorHAnsi" w:hAnsiTheme="majorHAnsi" w:cs="Times New Roman"/>
          <w:color w:val="auto"/>
          <w:sz w:val="20"/>
          <w:szCs w:val="20"/>
        </w:rPr>
        <w:t xml:space="preserve">military dictatorship, and therefore the exclusion of some </w:t>
      </w:r>
      <w:r w:rsidR="00462013" w:rsidRPr="002A2289">
        <w:rPr>
          <w:rFonts w:asciiTheme="majorHAnsi" w:hAnsiTheme="majorHAnsi" w:cs="Times New Roman"/>
          <w:color w:val="auto"/>
          <w:sz w:val="20"/>
          <w:szCs w:val="20"/>
        </w:rPr>
        <w:t>k</w:t>
      </w:r>
      <w:r w:rsidR="00636EBC" w:rsidRPr="002A2289">
        <w:rPr>
          <w:rFonts w:asciiTheme="majorHAnsi" w:hAnsiTheme="majorHAnsi" w:cs="Times New Roman"/>
          <w:color w:val="auto"/>
          <w:sz w:val="20"/>
          <w:szCs w:val="20"/>
        </w:rPr>
        <w:t>ind</w:t>
      </w:r>
      <w:r w:rsidR="00462013" w:rsidRPr="002A2289">
        <w:rPr>
          <w:rFonts w:asciiTheme="majorHAnsi" w:hAnsiTheme="majorHAnsi" w:cs="Times New Roman"/>
          <w:color w:val="auto"/>
          <w:sz w:val="20"/>
          <w:szCs w:val="20"/>
        </w:rPr>
        <w:t>s of cases from the terms</w:t>
      </w:r>
      <w:r w:rsidR="00636EBC" w:rsidRPr="002A2289">
        <w:rPr>
          <w:rFonts w:asciiTheme="majorHAnsi" w:hAnsiTheme="majorHAnsi" w:cs="Times New Roman"/>
          <w:color w:val="auto"/>
          <w:sz w:val="20"/>
          <w:szCs w:val="20"/>
        </w:rPr>
        <w:t xml:space="preserve"> of the law is not </w:t>
      </w:r>
      <w:r w:rsidR="00636EBC" w:rsidRPr="001E5AE7">
        <w:rPr>
          <w:rFonts w:asciiTheme="majorHAnsi" w:hAnsiTheme="majorHAnsi" w:cs="Times New Roman"/>
          <w:i/>
          <w:color w:val="auto"/>
          <w:sz w:val="20"/>
          <w:szCs w:val="20"/>
        </w:rPr>
        <w:t>per se</w:t>
      </w:r>
      <w:r w:rsidR="00636EBC" w:rsidRPr="002A2289">
        <w:rPr>
          <w:rFonts w:asciiTheme="majorHAnsi" w:hAnsiTheme="majorHAnsi" w:cs="Times New Roman"/>
          <w:color w:val="auto"/>
          <w:sz w:val="20"/>
          <w:szCs w:val="20"/>
        </w:rPr>
        <w:t xml:space="preserve"> a violation of the right to </w:t>
      </w:r>
      <w:r w:rsidR="006E69B9" w:rsidRPr="002A2289">
        <w:rPr>
          <w:rFonts w:asciiTheme="majorHAnsi" w:hAnsiTheme="majorHAnsi" w:cs="Times New Roman"/>
          <w:color w:val="auto"/>
          <w:sz w:val="20"/>
          <w:szCs w:val="20"/>
        </w:rPr>
        <w:t xml:space="preserve">equal </w:t>
      </w:r>
      <w:r w:rsidR="00636EBC" w:rsidRPr="002A2289">
        <w:rPr>
          <w:rFonts w:asciiTheme="majorHAnsi" w:hAnsiTheme="majorHAnsi" w:cs="Times New Roman"/>
          <w:color w:val="auto"/>
          <w:sz w:val="20"/>
          <w:szCs w:val="20"/>
        </w:rPr>
        <w:t xml:space="preserve">protection </w:t>
      </w:r>
      <w:r w:rsidR="006E69B9" w:rsidRPr="002A2289">
        <w:rPr>
          <w:rFonts w:asciiTheme="majorHAnsi" w:hAnsiTheme="majorHAnsi" w:cs="Times New Roman"/>
          <w:color w:val="auto"/>
          <w:sz w:val="20"/>
          <w:szCs w:val="20"/>
        </w:rPr>
        <w:t>under</w:t>
      </w:r>
      <w:r w:rsidR="00636EBC" w:rsidRPr="002A2289">
        <w:rPr>
          <w:rFonts w:asciiTheme="majorHAnsi" w:hAnsiTheme="majorHAnsi" w:cs="Times New Roman"/>
          <w:color w:val="auto"/>
          <w:sz w:val="20"/>
          <w:szCs w:val="20"/>
        </w:rPr>
        <w:t xml:space="preserve"> the law, provided that said exclusion responds to an objective and reasonable justification and is proportional to the aims sought.</w:t>
      </w:r>
      <w:r w:rsidR="00EC7AB1" w:rsidRPr="002A2289">
        <w:rPr>
          <w:rStyle w:val="FootnoteReference"/>
          <w:rFonts w:asciiTheme="majorHAnsi" w:hAnsiTheme="majorHAnsi" w:cs="Times New Roman"/>
          <w:color w:val="auto"/>
          <w:sz w:val="20"/>
          <w:szCs w:val="20"/>
        </w:rPr>
        <w:footnoteReference w:id="71"/>
      </w:r>
      <w:r w:rsidR="00EC7AB1" w:rsidRPr="002A2289">
        <w:rPr>
          <w:rFonts w:asciiTheme="majorHAnsi" w:hAnsiTheme="majorHAnsi" w:cs="Times New Roman"/>
          <w:color w:val="auto"/>
          <w:sz w:val="20"/>
          <w:szCs w:val="20"/>
        </w:rPr>
        <w:t xml:space="preserve"> </w:t>
      </w:r>
      <w:r w:rsidR="00636EBC" w:rsidRPr="002A2289">
        <w:rPr>
          <w:rFonts w:asciiTheme="majorHAnsi" w:hAnsiTheme="majorHAnsi" w:cs="Times New Roman"/>
          <w:color w:val="auto"/>
          <w:sz w:val="20"/>
          <w:szCs w:val="20"/>
        </w:rPr>
        <w:t>This, taking into account that a civil suit is routinely available as another option for obtaining compensation.</w:t>
      </w:r>
      <w:r w:rsidR="00EC7AB1" w:rsidRPr="002A2289">
        <w:rPr>
          <w:rStyle w:val="FootnoteReference"/>
          <w:rFonts w:asciiTheme="majorHAnsi" w:hAnsiTheme="majorHAnsi" w:cs="Times New Roman"/>
          <w:color w:val="auto"/>
          <w:sz w:val="20"/>
          <w:szCs w:val="20"/>
        </w:rPr>
        <w:footnoteReference w:id="72"/>
      </w:r>
      <w:r w:rsidR="00EC7AB1" w:rsidRPr="002A2289">
        <w:rPr>
          <w:rFonts w:asciiTheme="majorHAnsi" w:hAnsiTheme="majorHAnsi" w:cs="Times New Roman"/>
          <w:color w:val="auto"/>
          <w:sz w:val="20"/>
          <w:szCs w:val="20"/>
        </w:rPr>
        <w:t xml:space="preserve"> </w:t>
      </w:r>
    </w:p>
    <w:p w14:paraId="25A78CC8" w14:textId="77777777" w:rsidR="00EC7AB1" w:rsidRPr="002A2289" w:rsidRDefault="00EC7AB1" w:rsidP="00EC7AB1">
      <w:pPr>
        <w:ind w:firstLine="720"/>
        <w:jc w:val="both"/>
        <w:rPr>
          <w:rFonts w:asciiTheme="majorHAnsi" w:hAnsiTheme="majorHAnsi"/>
          <w:sz w:val="20"/>
          <w:szCs w:val="20"/>
        </w:rPr>
      </w:pPr>
    </w:p>
    <w:p w14:paraId="27D09BFD" w14:textId="17799A56" w:rsidR="00EC7AB1" w:rsidRPr="002A2289" w:rsidRDefault="00636EBC"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The Commission </w:t>
      </w:r>
      <w:r w:rsidR="00B35EDE" w:rsidRPr="002A2289">
        <w:rPr>
          <w:rFonts w:asciiTheme="majorHAnsi" w:hAnsiTheme="majorHAnsi" w:cs="Times New Roman"/>
          <w:color w:val="auto"/>
          <w:sz w:val="20"/>
          <w:szCs w:val="20"/>
        </w:rPr>
        <w:t>notes</w:t>
      </w:r>
      <w:r w:rsidRPr="002A2289">
        <w:rPr>
          <w:rFonts w:asciiTheme="majorHAnsi" w:hAnsiTheme="majorHAnsi" w:cs="Times New Roman"/>
          <w:color w:val="auto"/>
          <w:sz w:val="20"/>
          <w:szCs w:val="20"/>
        </w:rPr>
        <w:t xml:space="preserve"> that the State </w:t>
      </w:r>
      <w:r w:rsidR="006E69B9" w:rsidRPr="002A2289">
        <w:rPr>
          <w:rFonts w:asciiTheme="majorHAnsi" w:hAnsiTheme="majorHAnsi" w:cs="Times New Roman"/>
          <w:color w:val="auto"/>
          <w:sz w:val="20"/>
          <w:szCs w:val="20"/>
        </w:rPr>
        <w:t xml:space="preserve">has </w:t>
      </w:r>
      <w:r w:rsidRPr="002A2289">
        <w:rPr>
          <w:rFonts w:asciiTheme="majorHAnsi" w:hAnsiTheme="majorHAnsi" w:cs="Times New Roman"/>
          <w:color w:val="auto"/>
          <w:sz w:val="20"/>
          <w:szCs w:val="20"/>
        </w:rPr>
        <w:t>indicated that “</w:t>
      </w:r>
      <w:r w:rsidR="00B35EDE" w:rsidRPr="002A2289">
        <w:rPr>
          <w:rFonts w:asciiTheme="majorHAnsi" w:hAnsiTheme="majorHAnsi" w:cs="Times New Roman"/>
          <w:color w:val="auto"/>
          <w:sz w:val="20"/>
          <w:szCs w:val="20"/>
        </w:rPr>
        <w:t xml:space="preserve">it is crystal clear </w:t>
      </w:r>
      <w:r w:rsidR="006E69B9" w:rsidRPr="002A2289">
        <w:rPr>
          <w:rFonts w:asciiTheme="majorHAnsi" w:hAnsiTheme="majorHAnsi" w:cs="Times New Roman"/>
          <w:color w:val="auto"/>
          <w:sz w:val="20"/>
          <w:szCs w:val="20"/>
        </w:rPr>
        <w:t xml:space="preserve">that </w:t>
      </w:r>
      <w:r w:rsidR="00B35EDE" w:rsidRPr="002A2289">
        <w:rPr>
          <w:rFonts w:asciiTheme="majorHAnsi" w:hAnsiTheme="majorHAnsi" w:cs="Times New Roman"/>
          <w:color w:val="auto"/>
          <w:sz w:val="20"/>
          <w:szCs w:val="20"/>
        </w:rPr>
        <w:t xml:space="preserve">the situation posed by Mr. Almeida, like that proposed [in </w:t>
      </w:r>
      <w:r w:rsidR="00EC7AB1" w:rsidRPr="002A2289">
        <w:rPr>
          <w:rFonts w:asciiTheme="majorHAnsi" w:hAnsiTheme="majorHAnsi" w:cs="Times New Roman"/>
          <w:i/>
          <w:color w:val="auto"/>
          <w:sz w:val="20"/>
          <w:szCs w:val="20"/>
        </w:rPr>
        <w:t>Hanríquez</w:t>
      </w:r>
      <w:r w:rsidR="00B35EDE" w:rsidRPr="002A2289">
        <w:rPr>
          <w:rFonts w:asciiTheme="majorHAnsi" w:hAnsiTheme="majorHAnsi" w:cs="Times New Roman"/>
          <w:color w:val="auto"/>
          <w:sz w:val="20"/>
          <w:szCs w:val="20"/>
        </w:rPr>
        <w:t>]</w:t>
      </w:r>
      <w:r w:rsidR="00EC7AB1" w:rsidRPr="002A2289">
        <w:rPr>
          <w:rFonts w:asciiTheme="majorHAnsi" w:hAnsiTheme="majorHAnsi" w:cs="Times New Roman"/>
          <w:color w:val="auto"/>
          <w:sz w:val="20"/>
          <w:szCs w:val="20"/>
        </w:rPr>
        <w:t xml:space="preserve"> </w:t>
      </w:r>
      <w:r w:rsidR="00B35EDE" w:rsidRPr="002A2289">
        <w:rPr>
          <w:rFonts w:asciiTheme="majorHAnsi" w:hAnsiTheme="majorHAnsi" w:cs="Times New Roman"/>
          <w:color w:val="auto"/>
          <w:sz w:val="20"/>
          <w:szCs w:val="20"/>
        </w:rPr>
        <w:t xml:space="preserve">is not covered by the </w:t>
      </w:r>
      <w:r w:rsidR="005532E4" w:rsidRPr="002A2289">
        <w:rPr>
          <w:rFonts w:asciiTheme="majorHAnsi" w:hAnsiTheme="majorHAnsi" w:cs="Times New Roman"/>
          <w:color w:val="auto"/>
          <w:sz w:val="20"/>
          <w:szCs w:val="20"/>
        </w:rPr>
        <w:t>framework of scenarios that give rise to</w:t>
      </w:r>
      <w:r w:rsidR="00B35EDE" w:rsidRPr="002A2289">
        <w:rPr>
          <w:rFonts w:asciiTheme="majorHAnsi" w:hAnsiTheme="majorHAnsi" w:cs="Times New Roman"/>
          <w:color w:val="auto"/>
          <w:sz w:val="20"/>
          <w:szCs w:val="20"/>
        </w:rPr>
        <w:t xml:space="preserve"> compensation under the </w:t>
      </w:r>
      <w:r w:rsidR="005532E4" w:rsidRPr="002A2289">
        <w:rPr>
          <w:rFonts w:asciiTheme="majorHAnsi" w:hAnsiTheme="majorHAnsi" w:cs="Times New Roman"/>
          <w:color w:val="auto"/>
          <w:sz w:val="20"/>
          <w:szCs w:val="20"/>
        </w:rPr>
        <w:t xml:space="preserve">application of the </w:t>
      </w:r>
      <w:r w:rsidR="00B35EDE" w:rsidRPr="002A2289">
        <w:rPr>
          <w:rFonts w:asciiTheme="majorHAnsi" w:hAnsiTheme="majorHAnsi" w:cs="Times New Roman"/>
          <w:color w:val="auto"/>
          <w:sz w:val="20"/>
          <w:szCs w:val="20"/>
        </w:rPr>
        <w:t xml:space="preserve">law </w:t>
      </w:r>
      <w:r w:rsidR="005532E4" w:rsidRPr="002A2289">
        <w:rPr>
          <w:rFonts w:asciiTheme="majorHAnsi" w:hAnsiTheme="majorHAnsi" w:cs="Times New Roman"/>
          <w:color w:val="auto"/>
          <w:sz w:val="20"/>
          <w:szCs w:val="20"/>
        </w:rPr>
        <w:t>in question</w:t>
      </w:r>
      <w:r w:rsidR="00B35EDE" w:rsidRPr="002A2289">
        <w:rPr>
          <w:rFonts w:asciiTheme="majorHAnsi" w:hAnsiTheme="majorHAnsi" w:cs="Times New Roman"/>
          <w:color w:val="auto"/>
          <w:sz w:val="20"/>
          <w:szCs w:val="20"/>
        </w:rPr>
        <w:t xml:space="preserve">, which features a </w:t>
      </w:r>
      <w:r w:rsidR="00325630" w:rsidRPr="002A2289">
        <w:rPr>
          <w:rFonts w:asciiTheme="majorHAnsi" w:hAnsiTheme="majorHAnsi" w:cs="Times New Roman"/>
          <w:i/>
          <w:color w:val="auto"/>
          <w:sz w:val="20"/>
          <w:szCs w:val="20"/>
        </w:rPr>
        <w:t>numerus clausus</w:t>
      </w:r>
      <w:r w:rsidR="00325630" w:rsidRPr="002A2289">
        <w:rPr>
          <w:rFonts w:asciiTheme="majorHAnsi" w:hAnsiTheme="majorHAnsi" w:cs="Times New Roman"/>
          <w:color w:val="auto"/>
          <w:sz w:val="20"/>
          <w:szCs w:val="20"/>
        </w:rPr>
        <w:t xml:space="preserve"> </w:t>
      </w:r>
      <w:r w:rsidR="00B35EDE" w:rsidRPr="002A2289">
        <w:rPr>
          <w:rFonts w:asciiTheme="majorHAnsi" w:hAnsiTheme="majorHAnsi" w:cs="Times New Roman"/>
          <w:color w:val="auto"/>
          <w:sz w:val="20"/>
          <w:szCs w:val="20"/>
        </w:rPr>
        <w:t xml:space="preserve">system </w:t>
      </w:r>
      <w:r w:rsidR="00325630" w:rsidRPr="002A2289">
        <w:rPr>
          <w:rFonts w:asciiTheme="majorHAnsi" w:hAnsiTheme="majorHAnsi" w:cs="Times New Roman"/>
          <w:color w:val="auto"/>
          <w:sz w:val="20"/>
          <w:szCs w:val="20"/>
        </w:rPr>
        <w:t>of</w:t>
      </w:r>
      <w:r w:rsidR="00B35EDE" w:rsidRPr="002A2289">
        <w:rPr>
          <w:rFonts w:asciiTheme="majorHAnsi" w:hAnsiTheme="majorHAnsi" w:cs="Times New Roman"/>
          <w:color w:val="auto"/>
          <w:sz w:val="20"/>
          <w:szCs w:val="20"/>
        </w:rPr>
        <w:t xml:space="preserve"> hypotheses.</w:t>
      </w:r>
      <w:r w:rsidR="00EC7AB1" w:rsidRPr="002A2289">
        <w:rPr>
          <w:rFonts w:asciiTheme="majorHAnsi" w:hAnsiTheme="majorHAnsi" w:cs="Times New Roman"/>
          <w:color w:val="auto"/>
          <w:sz w:val="20"/>
          <w:szCs w:val="20"/>
        </w:rPr>
        <w:t>”</w:t>
      </w:r>
      <w:r w:rsidR="00EC7AB1" w:rsidRPr="002A2289">
        <w:rPr>
          <w:rStyle w:val="FootnoteReference"/>
          <w:rFonts w:asciiTheme="majorHAnsi" w:hAnsiTheme="majorHAnsi" w:cs="Times New Roman"/>
          <w:color w:val="auto"/>
          <w:sz w:val="20"/>
          <w:szCs w:val="20"/>
        </w:rPr>
        <w:footnoteReference w:id="73"/>
      </w:r>
      <w:r w:rsidR="00EC7AB1" w:rsidRPr="002A2289">
        <w:rPr>
          <w:rFonts w:asciiTheme="majorHAnsi" w:hAnsiTheme="majorHAnsi" w:cs="Times New Roman"/>
          <w:color w:val="auto"/>
          <w:sz w:val="20"/>
          <w:szCs w:val="20"/>
        </w:rPr>
        <w:t xml:space="preserve"> </w:t>
      </w:r>
      <w:r w:rsidR="00325630" w:rsidRPr="002A2289">
        <w:rPr>
          <w:rFonts w:asciiTheme="majorHAnsi" w:hAnsiTheme="majorHAnsi" w:cs="Times New Roman"/>
          <w:color w:val="auto"/>
          <w:sz w:val="20"/>
          <w:szCs w:val="20"/>
        </w:rPr>
        <w:t xml:space="preserve">In this regard, the first legal problem that seems to be posed regarding the law is whether excluding situations of </w:t>
      </w:r>
      <w:r w:rsidR="001E5AE7" w:rsidRPr="002A2289">
        <w:rPr>
          <w:rFonts w:asciiTheme="majorHAnsi" w:hAnsiTheme="majorHAnsi" w:cs="Times New Roman"/>
          <w:i/>
          <w:color w:val="auto"/>
          <w:sz w:val="20"/>
          <w:szCs w:val="20"/>
        </w:rPr>
        <w:t>de facto</w:t>
      </w:r>
      <w:r w:rsidR="001E5AE7" w:rsidRPr="002A2289">
        <w:rPr>
          <w:rFonts w:asciiTheme="majorHAnsi" w:hAnsiTheme="majorHAnsi" w:cs="Times New Roman"/>
          <w:color w:val="auto"/>
          <w:sz w:val="20"/>
          <w:szCs w:val="20"/>
        </w:rPr>
        <w:t xml:space="preserve"> </w:t>
      </w:r>
      <w:r w:rsidR="00325630" w:rsidRPr="002A2289">
        <w:rPr>
          <w:rFonts w:asciiTheme="majorHAnsi" w:hAnsiTheme="majorHAnsi" w:cs="Times New Roman"/>
          <w:color w:val="auto"/>
          <w:sz w:val="20"/>
          <w:szCs w:val="20"/>
        </w:rPr>
        <w:t xml:space="preserve">release under surveillance from </w:t>
      </w:r>
      <w:r w:rsidR="005532E4" w:rsidRPr="002A2289">
        <w:rPr>
          <w:rFonts w:asciiTheme="majorHAnsi" w:hAnsiTheme="majorHAnsi" w:cs="Times New Roman"/>
          <w:color w:val="auto"/>
          <w:sz w:val="20"/>
          <w:szCs w:val="20"/>
        </w:rPr>
        <w:t xml:space="preserve">the possibility of </w:t>
      </w:r>
      <w:r w:rsidR="00325630" w:rsidRPr="002A2289">
        <w:rPr>
          <w:rFonts w:asciiTheme="majorHAnsi" w:hAnsiTheme="majorHAnsi" w:cs="Times New Roman"/>
          <w:color w:val="auto"/>
          <w:sz w:val="20"/>
          <w:szCs w:val="20"/>
        </w:rPr>
        <w:t xml:space="preserve">receiving compensation under this </w:t>
      </w:r>
      <w:r w:rsidR="001E5AE7">
        <w:rPr>
          <w:rFonts w:asciiTheme="majorHAnsi" w:hAnsiTheme="majorHAnsi" w:cs="Times New Roman"/>
          <w:color w:val="auto"/>
          <w:sz w:val="20"/>
          <w:szCs w:val="20"/>
        </w:rPr>
        <w:t>law</w:t>
      </w:r>
      <w:r w:rsidR="00325630" w:rsidRPr="002A2289">
        <w:rPr>
          <w:rFonts w:asciiTheme="majorHAnsi" w:hAnsiTheme="majorHAnsi" w:cs="Times New Roman"/>
          <w:color w:val="auto"/>
          <w:sz w:val="20"/>
          <w:szCs w:val="20"/>
        </w:rPr>
        <w:t xml:space="preserve"> violates the principle of equal</w:t>
      </w:r>
      <w:r w:rsidR="005532E4" w:rsidRPr="002A2289">
        <w:rPr>
          <w:rFonts w:asciiTheme="majorHAnsi" w:hAnsiTheme="majorHAnsi" w:cs="Times New Roman"/>
          <w:color w:val="auto"/>
          <w:sz w:val="20"/>
          <w:szCs w:val="20"/>
        </w:rPr>
        <w:t>ity</w:t>
      </w:r>
      <w:r w:rsidR="00325630" w:rsidRPr="002A2289">
        <w:rPr>
          <w:rFonts w:asciiTheme="majorHAnsi" w:hAnsiTheme="majorHAnsi" w:cs="Times New Roman"/>
          <w:color w:val="auto"/>
          <w:sz w:val="20"/>
          <w:szCs w:val="20"/>
        </w:rPr>
        <w:t xml:space="preserve"> and non-discrimination. In </w:t>
      </w:r>
      <w:r w:rsidR="001E5AE7">
        <w:rPr>
          <w:rFonts w:asciiTheme="majorHAnsi" w:hAnsiTheme="majorHAnsi" w:cs="Times New Roman"/>
          <w:color w:val="auto"/>
          <w:sz w:val="20"/>
          <w:szCs w:val="20"/>
        </w:rPr>
        <w:t>this</w:t>
      </w:r>
      <w:r w:rsidR="00325630" w:rsidRPr="002A2289">
        <w:rPr>
          <w:rFonts w:asciiTheme="majorHAnsi" w:hAnsiTheme="majorHAnsi" w:cs="Times New Roman"/>
          <w:color w:val="auto"/>
          <w:sz w:val="20"/>
          <w:szCs w:val="20"/>
        </w:rPr>
        <w:t xml:space="preserve"> respect, the IACHR notes that the State did not provide an explanation about the objective and reasonable nature of the exclusion.</w:t>
      </w:r>
      <w:r w:rsidR="00EC7AB1" w:rsidRPr="002A2289">
        <w:rPr>
          <w:rFonts w:asciiTheme="majorHAnsi" w:hAnsiTheme="majorHAnsi" w:cs="Times New Roman"/>
          <w:color w:val="auto"/>
          <w:sz w:val="20"/>
          <w:szCs w:val="20"/>
        </w:rPr>
        <w:t xml:space="preserve"> </w:t>
      </w:r>
    </w:p>
    <w:p w14:paraId="08FD0FC1" w14:textId="77777777" w:rsidR="00EC7AB1" w:rsidRPr="002A2289" w:rsidRDefault="00EC7AB1" w:rsidP="00EC7AB1">
      <w:pPr>
        <w:pStyle w:val="ListParagraph"/>
        <w:ind w:firstLine="720"/>
        <w:rPr>
          <w:rFonts w:asciiTheme="majorHAnsi" w:hAnsiTheme="majorHAnsi" w:cs="Times New Roman"/>
          <w:color w:val="auto"/>
          <w:sz w:val="20"/>
          <w:szCs w:val="20"/>
        </w:rPr>
      </w:pPr>
    </w:p>
    <w:p w14:paraId="6F522698" w14:textId="35B7F14B" w:rsidR="00EC7AB1" w:rsidRPr="002A2289" w:rsidRDefault="00636EBC"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The IACHR </w:t>
      </w:r>
      <w:r w:rsidR="005532E4" w:rsidRPr="002A2289">
        <w:rPr>
          <w:rFonts w:asciiTheme="majorHAnsi" w:hAnsiTheme="majorHAnsi" w:cs="Times New Roman"/>
          <w:color w:val="auto"/>
          <w:sz w:val="20"/>
          <w:szCs w:val="20"/>
        </w:rPr>
        <w:t xml:space="preserve">further </w:t>
      </w:r>
      <w:r w:rsidRPr="002A2289">
        <w:rPr>
          <w:rFonts w:asciiTheme="majorHAnsi" w:hAnsiTheme="majorHAnsi" w:cs="Times New Roman"/>
          <w:color w:val="auto"/>
          <w:sz w:val="20"/>
          <w:szCs w:val="20"/>
        </w:rPr>
        <w:t>notes that in the instant case</w:t>
      </w:r>
      <w:r w:rsidR="001E5AE7">
        <w:rPr>
          <w:rFonts w:asciiTheme="majorHAnsi" w:hAnsiTheme="majorHAnsi" w:cs="Times New Roman"/>
          <w:color w:val="auto"/>
          <w:sz w:val="20"/>
          <w:szCs w:val="20"/>
        </w:rPr>
        <w:t>,</w:t>
      </w:r>
      <w:r w:rsidRPr="002A2289">
        <w:rPr>
          <w:rFonts w:asciiTheme="majorHAnsi" w:hAnsiTheme="majorHAnsi" w:cs="Times New Roman"/>
          <w:color w:val="auto"/>
          <w:sz w:val="20"/>
          <w:szCs w:val="20"/>
        </w:rPr>
        <w:t xml:space="preserve"> there is an underlying </w:t>
      </w:r>
      <w:r w:rsidR="00325630" w:rsidRPr="002A2289">
        <w:rPr>
          <w:rFonts w:asciiTheme="majorHAnsi" w:hAnsiTheme="majorHAnsi" w:cs="Times New Roman"/>
          <w:color w:val="auto"/>
          <w:sz w:val="20"/>
          <w:szCs w:val="20"/>
        </w:rPr>
        <w:t>question</w:t>
      </w:r>
      <w:r w:rsidRPr="002A2289">
        <w:rPr>
          <w:rFonts w:asciiTheme="majorHAnsi" w:hAnsiTheme="majorHAnsi" w:cs="Times New Roman"/>
          <w:color w:val="auto"/>
          <w:sz w:val="20"/>
          <w:szCs w:val="20"/>
        </w:rPr>
        <w:t xml:space="preserve"> </w:t>
      </w:r>
      <w:r w:rsidR="001E5AE7">
        <w:rPr>
          <w:rFonts w:asciiTheme="majorHAnsi" w:hAnsiTheme="majorHAnsi" w:cs="Times New Roman"/>
          <w:color w:val="auto"/>
          <w:sz w:val="20"/>
          <w:szCs w:val="20"/>
        </w:rPr>
        <w:t>which is</w:t>
      </w:r>
      <w:r w:rsidRPr="002A2289">
        <w:rPr>
          <w:rFonts w:asciiTheme="majorHAnsi" w:hAnsiTheme="majorHAnsi" w:cs="Times New Roman"/>
          <w:color w:val="auto"/>
          <w:sz w:val="20"/>
          <w:szCs w:val="20"/>
        </w:rPr>
        <w:t xml:space="preserve"> whether Mr. Almeida indeed proved he had been in a situation of </w:t>
      </w:r>
      <w:r w:rsidRPr="002A2289">
        <w:rPr>
          <w:rFonts w:asciiTheme="majorHAnsi" w:hAnsiTheme="majorHAnsi" w:cs="Times New Roman"/>
          <w:i/>
          <w:color w:val="auto"/>
          <w:sz w:val="20"/>
          <w:szCs w:val="20"/>
        </w:rPr>
        <w:t>de facto</w:t>
      </w:r>
      <w:r w:rsidRPr="002A2289">
        <w:rPr>
          <w:rFonts w:asciiTheme="majorHAnsi" w:hAnsiTheme="majorHAnsi" w:cs="Times New Roman"/>
          <w:color w:val="auto"/>
          <w:sz w:val="20"/>
          <w:szCs w:val="20"/>
        </w:rPr>
        <w:t xml:space="preserve"> release under surveillance</w:t>
      </w:r>
      <w:r w:rsidR="00325630" w:rsidRPr="002A2289">
        <w:rPr>
          <w:rFonts w:asciiTheme="majorHAnsi" w:hAnsiTheme="majorHAnsi" w:cs="Times New Roman"/>
          <w:color w:val="auto"/>
          <w:sz w:val="20"/>
          <w:szCs w:val="20"/>
        </w:rPr>
        <w:t xml:space="preserve">. This </w:t>
      </w:r>
      <w:r w:rsidR="005532E4" w:rsidRPr="002A2289">
        <w:rPr>
          <w:rFonts w:asciiTheme="majorHAnsi" w:hAnsiTheme="majorHAnsi" w:cs="Times New Roman"/>
          <w:color w:val="auto"/>
          <w:sz w:val="20"/>
          <w:szCs w:val="20"/>
        </w:rPr>
        <w:t>argument</w:t>
      </w:r>
      <w:r w:rsidR="00325630" w:rsidRPr="002A2289">
        <w:rPr>
          <w:rFonts w:asciiTheme="majorHAnsi" w:hAnsiTheme="majorHAnsi" w:cs="Times New Roman"/>
          <w:color w:val="auto"/>
          <w:sz w:val="20"/>
          <w:szCs w:val="20"/>
        </w:rPr>
        <w:t xml:space="preserve"> was presented by the State in the inter-American proceedings</w:t>
      </w:r>
      <w:r w:rsidR="00DB0451" w:rsidRPr="002A2289">
        <w:rPr>
          <w:rFonts w:asciiTheme="majorHAnsi" w:hAnsiTheme="majorHAnsi" w:cs="Times New Roman"/>
          <w:color w:val="auto"/>
          <w:sz w:val="20"/>
          <w:szCs w:val="20"/>
        </w:rPr>
        <w:t xml:space="preserve">; however, </w:t>
      </w:r>
      <w:r w:rsidR="00A34BF4" w:rsidRPr="002A2289">
        <w:rPr>
          <w:rFonts w:asciiTheme="majorHAnsi" w:hAnsiTheme="majorHAnsi" w:cs="Times New Roman"/>
          <w:color w:val="auto"/>
          <w:sz w:val="20"/>
          <w:szCs w:val="20"/>
        </w:rPr>
        <w:t xml:space="preserve">this point </w:t>
      </w:r>
      <w:r w:rsidR="00325630" w:rsidRPr="002A2289">
        <w:rPr>
          <w:rFonts w:asciiTheme="majorHAnsi" w:hAnsiTheme="majorHAnsi" w:cs="Times New Roman"/>
          <w:color w:val="auto"/>
          <w:sz w:val="20"/>
          <w:szCs w:val="20"/>
        </w:rPr>
        <w:t xml:space="preserve">was not part of the central argument </w:t>
      </w:r>
      <w:r w:rsidR="001E5AE7">
        <w:rPr>
          <w:rFonts w:asciiTheme="majorHAnsi" w:hAnsiTheme="majorHAnsi" w:cs="Times New Roman"/>
          <w:color w:val="auto"/>
          <w:sz w:val="20"/>
          <w:szCs w:val="20"/>
        </w:rPr>
        <w:t>in</w:t>
      </w:r>
      <w:r w:rsidR="00325630" w:rsidRPr="002A2289">
        <w:rPr>
          <w:rFonts w:asciiTheme="majorHAnsi" w:hAnsiTheme="majorHAnsi" w:cs="Times New Roman"/>
          <w:color w:val="auto"/>
          <w:sz w:val="20"/>
          <w:szCs w:val="20"/>
        </w:rPr>
        <w:t xml:space="preserve"> the </w:t>
      </w:r>
      <w:r w:rsidR="0001145C" w:rsidRPr="002A2289">
        <w:rPr>
          <w:rFonts w:asciiTheme="majorHAnsi" w:hAnsiTheme="majorHAnsi" w:cs="Times New Roman"/>
          <w:color w:val="auto"/>
          <w:sz w:val="20"/>
          <w:szCs w:val="20"/>
        </w:rPr>
        <w:t>suit brought</w:t>
      </w:r>
      <w:r w:rsidR="00325630" w:rsidRPr="002A2289">
        <w:rPr>
          <w:rFonts w:asciiTheme="majorHAnsi" w:hAnsiTheme="majorHAnsi" w:cs="Times New Roman"/>
          <w:color w:val="auto"/>
          <w:sz w:val="20"/>
          <w:szCs w:val="20"/>
        </w:rPr>
        <w:t xml:space="preserve"> by the alleged vic</w:t>
      </w:r>
      <w:r w:rsidR="00DF2107" w:rsidRPr="002A2289">
        <w:rPr>
          <w:rFonts w:asciiTheme="majorHAnsi" w:hAnsiTheme="majorHAnsi" w:cs="Times New Roman"/>
          <w:color w:val="auto"/>
          <w:sz w:val="20"/>
          <w:szCs w:val="20"/>
        </w:rPr>
        <w:t>t</w:t>
      </w:r>
      <w:r w:rsidR="00325630" w:rsidRPr="002A2289">
        <w:rPr>
          <w:rFonts w:asciiTheme="majorHAnsi" w:hAnsiTheme="majorHAnsi" w:cs="Times New Roman"/>
          <w:color w:val="auto"/>
          <w:sz w:val="20"/>
          <w:szCs w:val="20"/>
        </w:rPr>
        <w:t xml:space="preserve">im under </w:t>
      </w:r>
      <w:r w:rsidR="00786D79">
        <w:rPr>
          <w:rFonts w:asciiTheme="majorHAnsi" w:hAnsiTheme="majorHAnsi" w:cs="Times New Roman"/>
          <w:color w:val="auto"/>
          <w:sz w:val="20"/>
          <w:szCs w:val="20"/>
        </w:rPr>
        <w:t>Law 24.043</w:t>
      </w:r>
      <w:r w:rsidR="00325630" w:rsidRPr="002A2289">
        <w:rPr>
          <w:rFonts w:asciiTheme="majorHAnsi" w:hAnsiTheme="majorHAnsi" w:cs="Times New Roman"/>
          <w:color w:val="auto"/>
          <w:sz w:val="20"/>
          <w:szCs w:val="20"/>
        </w:rPr>
        <w:t xml:space="preserve"> and its respective appeals. In effect, as revealed </w:t>
      </w:r>
      <w:r w:rsidR="001E5AE7">
        <w:rPr>
          <w:rFonts w:asciiTheme="majorHAnsi" w:hAnsiTheme="majorHAnsi" w:cs="Times New Roman"/>
          <w:color w:val="auto"/>
          <w:sz w:val="20"/>
          <w:szCs w:val="20"/>
        </w:rPr>
        <w:t>in the section on facts</w:t>
      </w:r>
      <w:r w:rsidR="00325630" w:rsidRPr="002A2289">
        <w:rPr>
          <w:rFonts w:asciiTheme="majorHAnsi" w:hAnsiTheme="majorHAnsi" w:cs="Times New Roman"/>
          <w:color w:val="auto"/>
          <w:sz w:val="20"/>
          <w:szCs w:val="20"/>
        </w:rPr>
        <w:t>, in the</w:t>
      </w:r>
      <w:r w:rsidR="000704F3" w:rsidRPr="002A2289">
        <w:rPr>
          <w:rFonts w:asciiTheme="majorHAnsi" w:hAnsiTheme="majorHAnsi" w:cs="Times New Roman"/>
          <w:color w:val="auto"/>
          <w:sz w:val="20"/>
          <w:szCs w:val="20"/>
        </w:rPr>
        <w:t xml:space="preserve"> </w:t>
      </w:r>
      <w:r w:rsidR="00325630" w:rsidRPr="002A2289">
        <w:rPr>
          <w:rFonts w:asciiTheme="majorHAnsi" w:hAnsiTheme="majorHAnsi" w:cs="Times New Roman"/>
          <w:color w:val="auto"/>
          <w:sz w:val="20"/>
          <w:szCs w:val="20"/>
        </w:rPr>
        <w:t>f</w:t>
      </w:r>
      <w:r w:rsidR="000704F3" w:rsidRPr="002A2289">
        <w:rPr>
          <w:rFonts w:asciiTheme="majorHAnsi" w:hAnsiTheme="majorHAnsi" w:cs="Times New Roman"/>
          <w:color w:val="auto"/>
          <w:sz w:val="20"/>
          <w:szCs w:val="20"/>
        </w:rPr>
        <w:t>r</w:t>
      </w:r>
      <w:r w:rsidR="00325630" w:rsidRPr="002A2289">
        <w:rPr>
          <w:rFonts w:asciiTheme="majorHAnsi" w:hAnsiTheme="majorHAnsi" w:cs="Times New Roman"/>
          <w:color w:val="auto"/>
          <w:sz w:val="20"/>
          <w:szCs w:val="20"/>
        </w:rPr>
        <w:t xml:space="preserve">amework of said proceedings, </w:t>
      </w:r>
      <w:r w:rsidR="001E5AE7">
        <w:rPr>
          <w:rFonts w:asciiTheme="majorHAnsi" w:hAnsiTheme="majorHAnsi" w:cs="Times New Roman"/>
          <w:color w:val="auto"/>
          <w:sz w:val="20"/>
          <w:szCs w:val="20"/>
        </w:rPr>
        <w:t xml:space="preserve">his claim was denied </w:t>
      </w:r>
      <w:r w:rsidR="00325630" w:rsidRPr="002A2289">
        <w:rPr>
          <w:rFonts w:asciiTheme="majorHAnsi" w:hAnsiTheme="majorHAnsi" w:cs="Times New Roman"/>
          <w:color w:val="auto"/>
          <w:sz w:val="20"/>
          <w:szCs w:val="20"/>
        </w:rPr>
        <w:t xml:space="preserve">because, </w:t>
      </w:r>
      <w:r w:rsidR="001E5AE7">
        <w:rPr>
          <w:rFonts w:asciiTheme="majorHAnsi" w:hAnsiTheme="majorHAnsi" w:cs="Times New Roman"/>
          <w:color w:val="auto"/>
          <w:sz w:val="20"/>
          <w:szCs w:val="20"/>
        </w:rPr>
        <w:t>“</w:t>
      </w:r>
      <w:r w:rsidR="001E5AE7">
        <w:rPr>
          <w:rFonts w:asciiTheme="majorHAnsi" w:hAnsiTheme="majorHAnsi" w:cs="Times New Roman"/>
          <w:i/>
          <w:color w:val="auto"/>
          <w:sz w:val="20"/>
          <w:szCs w:val="20"/>
        </w:rPr>
        <w:t>whatever the truth of his assertions</w:t>
      </w:r>
      <w:r w:rsidR="001E5AE7" w:rsidRPr="002A2289">
        <w:rPr>
          <w:rFonts w:asciiTheme="majorHAnsi" w:hAnsiTheme="majorHAnsi" w:cs="Times New Roman"/>
          <w:i/>
          <w:color w:val="auto"/>
          <w:sz w:val="20"/>
          <w:szCs w:val="20"/>
        </w:rPr>
        <w:t>, his situation i</w:t>
      </w:r>
      <w:r w:rsidR="001E5AE7">
        <w:rPr>
          <w:rFonts w:asciiTheme="majorHAnsi" w:hAnsiTheme="majorHAnsi" w:cs="Times New Roman"/>
          <w:i/>
          <w:color w:val="auto"/>
          <w:sz w:val="20"/>
          <w:szCs w:val="20"/>
        </w:rPr>
        <w:t>s not provided for under Law 21.</w:t>
      </w:r>
      <w:r w:rsidR="001E5AE7" w:rsidRPr="002A2289">
        <w:rPr>
          <w:rFonts w:asciiTheme="majorHAnsi" w:hAnsiTheme="majorHAnsi" w:cs="Times New Roman"/>
          <w:i/>
          <w:color w:val="auto"/>
          <w:sz w:val="20"/>
          <w:szCs w:val="20"/>
        </w:rPr>
        <w:t>650</w:t>
      </w:r>
      <w:r w:rsidR="00325630" w:rsidRPr="002A2289">
        <w:rPr>
          <w:rFonts w:asciiTheme="majorHAnsi" w:hAnsiTheme="majorHAnsi" w:cs="Times New Roman"/>
          <w:color w:val="auto"/>
          <w:sz w:val="20"/>
          <w:szCs w:val="20"/>
        </w:rPr>
        <w:t xml:space="preserve">, </w:t>
      </w:r>
      <w:r w:rsidR="000704F3" w:rsidRPr="002A2289">
        <w:rPr>
          <w:rFonts w:asciiTheme="majorHAnsi" w:hAnsiTheme="majorHAnsi" w:cs="Times New Roman"/>
          <w:color w:val="auto"/>
          <w:sz w:val="20"/>
          <w:szCs w:val="20"/>
        </w:rPr>
        <w:t xml:space="preserve">to </w:t>
      </w:r>
      <w:r w:rsidR="00325630" w:rsidRPr="002A2289">
        <w:rPr>
          <w:rFonts w:asciiTheme="majorHAnsi" w:hAnsiTheme="majorHAnsi" w:cs="Times New Roman"/>
          <w:color w:val="auto"/>
          <w:sz w:val="20"/>
          <w:szCs w:val="20"/>
        </w:rPr>
        <w:t>w</w:t>
      </w:r>
      <w:r w:rsidR="00DF2107" w:rsidRPr="002A2289">
        <w:rPr>
          <w:rFonts w:asciiTheme="majorHAnsi" w:hAnsiTheme="majorHAnsi" w:cs="Times New Roman"/>
          <w:color w:val="auto"/>
          <w:sz w:val="20"/>
          <w:szCs w:val="20"/>
        </w:rPr>
        <w:t xml:space="preserve">hich, implicitly </w:t>
      </w:r>
      <w:r w:rsidR="00786D79">
        <w:rPr>
          <w:rFonts w:asciiTheme="majorHAnsi" w:hAnsiTheme="majorHAnsi" w:cs="Times New Roman"/>
          <w:color w:val="auto"/>
          <w:sz w:val="20"/>
          <w:szCs w:val="20"/>
        </w:rPr>
        <w:t>Law 24.043</w:t>
      </w:r>
      <w:r w:rsidR="00A34BF4" w:rsidRPr="002A2289">
        <w:rPr>
          <w:rFonts w:asciiTheme="majorHAnsi" w:hAnsiTheme="majorHAnsi" w:cs="Times New Roman"/>
          <w:color w:val="auto"/>
          <w:sz w:val="20"/>
          <w:szCs w:val="20"/>
        </w:rPr>
        <w:t xml:space="preserve"> </w:t>
      </w:r>
      <w:r w:rsidR="00DF2107" w:rsidRPr="002A2289">
        <w:rPr>
          <w:rFonts w:asciiTheme="majorHAnsi" w:hAnsiTheme="majorHAnsi" w:cs="Times New Roman"/>
          <w:color w:val="auto"/>
          <w:sz w:val="20"/>
          <w:szCs w:val="20"/>
        </w:rPr>
        <w:t>refers.</w:t>
      </w:r>
      <w:r w:rsidR="00EC7AB1" w:rsidRPr="002A2289">
        <w:rPr>
          <w:rFonts w:asciiTheme="majorHAnsi" w:hAnsiTheme="majorHAnsi" w:cs="Times New Roman"/>
          <w:color w:val="auto"/>
          <w:sz w:val="20"/>
          <w:szCs w:val="20"/>
        </w:rPr>
        <w:t xml:space="preserve">” </w:t>
      </w:r>
      <w:r w:rsidR="0001145C" w:rsidRPr="002A2289">
        <w:rPr>
          <w:rFonts w:asciiTheme="majorHAnsi" w:hAnsiTheme="majorHAnsi" w:cs="Times New Roman"/>
          <w:color w:val="auto"/>
          <w:sz w:val="20"/>
          <w:szCs w:val="20"/>
        </w:rPr>
        <w:t>Thus, contrar</w:t>
      </w:r>
      <w:r w:rsidR="00DF2107" w:rsidRPr="002A2289">
        <w:rPr>
          <w:rFonts w:asciiTheme="majorHAnsi" w:hAnsiTheme="majorHAnsi" w:cs="Times New Roman"/>
          <w:color w:val="auto"/>
          <w:sz w:val="20"/>
          <w:szCs w:val="20"/>
        </w:rPr>
        <w:t>y to wh</w:t>
      </w:r>
      <w:r w:rsidR="000704F3" w:rsidRPr="002A2289">
        <w:rPr>
          <w:rFonts w:asciiTheme="majorHAnsi" w:hAnsiTheme="majorHAnsi" w:cs="Times New Roman"/>
          <w:color w:val="auto"/>
          <w:sz w:val="20"/>
          <w:szCs w:val="20"/>
        </w:rPr>
        <w:t>at</w:t>
      </w:r>
      <w:r w:rsidR="00DF2107" w:rsidRPr="002A2289">
        <w:rPr>
          <w:rFonts w:asciiTheme="majorHAnsi" w:hAnsiTheme="majorHAnsi" w:cs="Times New Roman"/>
          <w:color w:val="auto"/>
          <w:sz w:val="20"/>
          <w:szCs w:val="20"/>
        </w:rPr>
        <w:t xml:space="preserve"> the State </w:t>
      </w:r>
      <w:r w:rsidR="000704F3" w:rsidRPr="002A2289">
        <w:rPr>
          <w:rFonts w:asciiTheme="majorHAnsi" w:hAnsiTheme="majorHAnsi" w:cs="Times New Roman"/>
          <w:color w:val="auto"/>
          <w:sz w:val="20"/>
          <w:szCs w:val="20"/>
        </w:rPr>
        <w:t>asserts</w:t>
      </w:r>
      <w:r w:rsidR="00DF2107" w:rsidRPr="002A2289">
        <w:rPr>
          <w:rFonts w:asciiTheme="majorHAnsi" w:hAnsiTheme="majorHAnsi" w:cs="Times New Roman"/>
          <w:color w:val="auto"/>
          <w:sz w:val="20"/>
          <w:szCs w:val="20"/>
        </w:rPr>
        <w:t xml:space="preserve">, the decision that was unfavorable to Mr. Almeida was not based on an alleged lack of evidence </w:t>
      </w:r>
      <w:r w:rsidR="000704F3" w:rsidRPr="002A2289">
        <w:rPr>
          <w:rFonts w:asciiTheme="majorHAnsi" w:hAnsiTheme="majorHAnsi" w:cs="Times New Roman"/>
          <w:color w:val="auto"/>
          <w:sz w:val="20"/>
          <w:szCs w:val="20"/>
        </w:rPr>
        <w:t xml:space="preserve">to </w:t>
      </w:r>
      <w:r w:rsidR="00DF2107" w:rsidRPr="002A2289">
        <w:rPr>
          <w:rFonts w:asciiTheme="majorHAnsi" w:hAnsiTheme="majorHAnsi" w:cs="Times New Roman"/>
          <w:color w:val="auto"/>
          <w:sz w:val="20"/>
          <w:szCs w:val="20"/>
        </w:rPr>
        <w:t>demonstrat</w:t>
      </w:r>
      <w:r w:rsidR="000704F3" w:rsidRPr="002A2289">
        <w:rPr>
          <w:rFonts w:asciiTheme="majorHAnsi" w:hAnsiTheme="majorHAnsi" w:cs="Times New Roman"/>
          <w:color w:val="auto"/>
          <w:sz w:val="20"/>
          <w:szCs w:val="20"/>
        </w:rPr>
        <w:t>e</w:t>
      </w:r>
      <w:r w:rsidR="00DF2107" w:rsidRPr="002A2289">
        <w:rPr>
          <w:rFonts w:asciiTheme="majorHAnsi" w:hAnsiTheme="majorHAnsi" w:cs="Times New Roman"/>
          <w:color w:val="auto"/>
          <w:sz w:val="20"/>
          <w:szCs w:val="20"/>
        </w:rPr>
        <w:t xml:space="preserve"> his </w:t>
      </w:r>
      <w:r w:rsidR="00DF2107" w:rsidRPr="002A2289">
        <w:rPr>
          <w:rFonts w:asciiTheme="majorHAnsi" w:hAnsiTheme="majorHAnsi" w:cs="Times New Roman"/>
          <w:i/>
          <w:color w:val="auto"/>
          <w:sz w:val="20"/>
          <w:szCs w:val="20"/>
        </w:rPr>
        <w:t>de facto</w:t>
      </w:r>
      <w:r w:rsidR="00DF2107" w:rsidRPr="002A2289">
        <w:rPr>
          <w:rFonts w:asciiTheme="majorHAnsi" w:hAnsiTheme="majorHAnsi" w:cs="Times New Roman"/>
          <w:color w:val="auto"/>
          <w:sz w:val="20"/>
          <w:szCs w:val="20"/>
        </w:rPr>
        <w:t xml:space="preserve"> release under surveillance</w:t>
      </w:r>
      <w:r w:rsidR="00A34BF4" w:rsidRPr="002A2289">
        <w:rPr>
          <w:rFonts w:asciiTheme="majorHAnsi" w:hAnsiTheme="majorHAnsi" w:cs="Times New Roman"/>
          <w:color w:val="auto"/>
          <w:sz w:val="20"/>
          <w:szCs w:val="20"/>
        </w:rPr>
        <w:t xml:space="preserve">, but, </w:t>
      </w:r>
      <w:r w:rsidR="006E69B9" w:rsidRPr="002A2289">
        <w:rPr>
          <w:rFonts w:asciiTheme="majorHAnsi" w:hAnsiTheme="majorHAnsi" w:cs="Times New Roman"/>
          <w:color w:val="auto"/>
          <w:sz w:val="20"/>
          <w:szCs w:val="20"/>
        </w:rPr>
        <w:t>rather</w:t>
      </w:r>
      <w:r w:rsidR="00A34BF4" w:rsidRPr="002A2289">
        <w:rPr>
          <w:rFonts w:asciiTheme="majorHAnsi" w:hAnsiTheme="majorHAnsi" w:cs="Times New Roman"/>
          <w:color w:val="auto"/>
          <w:sz w:val="20"/>
          <w:szCs w:val="20"/>
        </w:rPr>
        <w:t>, on the fact that</w:t>
      </w:r>
      <w:r w:rsidR="006E69B9" w:rsidRPr="002A2289">
        <w:rPr>
          <w:rFonts w:asciiTheme="majorHAnsi" w:hAnsiTheme="majorHAnsi" w:cs="Times New Roman"/>
          <w:color w:val="auto"/>
          <w:sz w:val="20"/>
          <w:szCs w:val="20"/>
        </w:rPr>
        <w:t xml:space="preserve"> the </w:t>
      </w:r>
      <w:r w:rsidR="000704F3" w:rsidRPr="002A2289">
        <w:rPr>
          <w:rFonts w:asciiTheme="majorHAnsi" w:hAnsiTheme="majorHAnsi" w:cs="Times New Roman"/>
          <w:color w:val="auto"/>
          <w:sz w:val="20"/>
          <w:szCs w:val="20"/>
        </w:rPr>
        <w:t>circumstances</w:t>
      </w:r>
      <w:r w:rsidR="006E69B9" w:rsidRPr="002A2289">
        <w:rPr>
          <w:rFonts w:asciiTheme="majorHAnsi" w:hAnsiTheme="majorHAnsi" w:cs="Times New Roman"/>
          <w:color w:val="auto"/>
          <w:sz w:val="20"/>
          <w:szCs w:val="20"/>
        </w:rPr>
        <w:t xml:space="preserve"> </w:t>
      </w:r>
      <w:r w:rsidR="00DF2107" w:rsidRPr="002A2289">
        <w:rPr>
          <w:rFonts w:asciiTheme="majorHAnsi" w:hAnsiTheme="majorHAnsi" w:cs="Times New Roman"/>
          <w:color w:val="auto"/>
          <w:sz w:val="20"/>
          <w:szCs w:val="20"/>
        </w:rPr>
        <w:t xml:space="preserve">the alleged victim </w:t>
      </w:r>
      <w:r w:rsidR="000704F3" w:rsidRPr="002A2289">
        <w:rPr>
          <w:rFonts w:asciiTheme="majorHAnsi" w:hAnsiTheme="majorHAnsi" w:cs="Times New Roman"/>
          <w:color w:val="auto"/>
          <w:sz w:val="20"/>
          <w:szCs w:val="20"/>
        </w:rPr>
        <w:t xml:space="preserve">invoked </w:t>
      </w:r>
      <w:r w:rsidR="00DF2107" w:rsidRPr="002A2289">
        <w:rPr>
          <w:rFonts w:asciiTheme="majorHAnsi" w:hAnsiTheme="majorHAnsi" w:cs="Times New Roman"/>
          <w:color w:val="auto"/>
          <w:sz w:val="20"/>
          <w:szCs w:val="20"/>
        </w:rPr>
        <w:t>w</w:t>
      </w:r>
      <w:r w:rsidR="000704F3" w:rsidRPr="002A2289">
        <w:rPr>
          <w:rFonts w:asciiTheme="majorHAnsi" w:hAnsiTheme="majorHAnsi" w:cs="Times New Roman"/>
          <w:color w:val="auto"/>
          <w:sz w:val="20"/>
          <w:szCs w:val="20"/>
        </w:rPr>
        <w:t>ere</w:t>
      </w:r>
      <w:r w:rsidR="00DF2107" w:rsidRPr="002A2289">
        <w:rPr>
          <w:rFonts w:asciiTheme="majorHAnsi" w:hAnsiTheme="majorHAnsi" w:cs="Times New Roman"/>
          <w:color w:val="auto"/>
          <w:sz w:val="20"/>
          <w:szCs w:val="20"/>
        </w:rPr>
        <w:t xml:space="preserve"> excluded from the law’s scope of application.</w:t>
      </w:r>
      <w:r w:rsidR="00EC7AB1" w:rsidRPr="002A2289">
        <w:rPr>
          <w:rFonts w:asciiTheme="majorHAnsi" w:hAnsiTheme="majorHAnsi" w:cs="Times New Roman"/>
          <w:color w:val="auto"/>
          <w:sz w:val="20"/>
          <w:szCs w:val="20"/>
        </w:rPr>
        <w:t xml:space="preserve"> </w:t>
      </w:r>
    </w:p>
    <w:p w14:paraId="3D9F79FF" w14:textId="77777777" w:rsidR="00EC7AB1" w:rsidRPr="002A2289" w:rsidRDefault="00EC7AB1" w:rsidP="00EC7AB1">
      <w:pPr>
        <w:pStyle w:val="ListParagraph"/>
        <w:ind w:firstLine="720"/>
        <w:rPr>
          <w:rFonts w:asciiTheme="majorHAnsi" w:hAnsiTheme="majorHAnsi" w:cs="Times New Roman"/>
          <w:color w:val="auto"/>
          <w:sz w:val="20"/>
          <w:szCs w:val="20"/>
        </w:rPr>
      </w:pPr>
    </w:p>
    <w:p w14:paraId="2A181151" w14:textId="641A9F6A" w:rsidR="00EC7AB1" w:rsidRPr="002A2289" w:rsidRDefault="00DF2107"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lastRenderedPageBreak/>
        <w:t>Thus, the State’s reasoning before the IACHR to just</w:t>
      </w:r>
      <w:r w:rsidR="00BD25D4" w:rsidRPr="002A2289">
        <w:rPr>
          <w:rFonts w:asciiTheme="majorHAnsi" w:hAnsiTheme="majorHAnsi" w:cs="Times New Roman"/>
          <w:color w:val="auto"/>
          <w:sz w:val="20"/>
          <w:szCs w:val="20"/>
        </w:rPr>
        <w:t>i</w:t>
      </w:r>
      <w:r w:rsidRPr="002A2289">
        <w:rPr>
          <w:rFonts w:asciiTheme="majorHAnsi" w:hAnsiTheme="majorHAnsi" w:cs="Times New Roman"/>
          <w:color w:val="auto"/>
          <w:sz w:val="20"/>
          <w:szCs w:val="20"/>
        </w:rPr>
        <w:t xml:space="preserve">fy the exclusion is inconsistent with </w:t>
      </w:r>
      <w:r w:rsidR="000704F3" w:rsidRPr="002A2289">
        <w:rPr>
          <w:rFonts w:asciiTheme="majorHAnsi" w:hAnsiTheme="majorHAnsi" w:cs="Times New Roman"/>
          <w:color w:val="auto"/>
          <w:sz w:val="20"/>
          <w:szCs w:val="20"/>
        </w:rPr>
        <w:t>the reasoning that w</w:t>
      </w:r>
      <w:r w:rsidR="003B0C80" w:rsidRPr="002A2289">
        <w:rPr>
          <w:rFonts w:asciiTheme="majorHAnsi" w:hAnsiTheme="majorHAnsi" w:cs="Times New Roman"/>
          <w:color w:val="auto"/>
          <w:sz w:val="20"/>
          <w:szCs w:val="20"/>
        </w:rPr>
        <w:t>as</w:t>
      </w:r>
      <w:r w:rsidR="000704F3" w:rsidRPr="002A2289">
        <w:rPr>
          <w:rFonts w:asciiTheme="majorHAnsi" w:hAnsiTheme="majorHAnsi" w:cs="Times New Roman"/>
          <w:color w:val="auto"/>
          <w:sz w:val="20"/>
          <w:szCs w:val="20"/>
        </w:rPr>
        <w:t xml:space="preserve"> grounds</w:t>
      </w:r>
      <w:r w:rsidRPr="002A2289">
        <w:rPr>
          <w:rFonts w:asciiTheme="majorHAnsi" w:hAnsiTheme="majorHAnsi" w:cs="Times New Roman"/>
          <w:color w:val="auto"/>
          <w:sz w:val="20"/>
          <w:szCs w:val="20"/>
        </w:rPr>
        <w:t xml:space="preserve"> for </w:t>
      </w:r>
      <w:r w:rsidR="001E5AE7">
        <w:rPr>
          <w:rFonts w:asciiTheme="majorHAnsi" w:hAnsiTheme="majorHAnsi" w:cs="Times New Roman"/>
          <w:color w:val="auto"/>
          <w:sz w:val="20"/>
          <w:szCs w:val="20"/>
        </w:rPr>
        <w:t>the</w:t>
      </w:r>
      <w:r w:rsidRPr="002A2289">
        <w:rPr>
          <w:rFonts w:asciiTheme="majorHAnsi" w:hAnsiTheme="majorHAnsi" w:cs="Times New Roman"/>
          <w:color w:val="auto"/>
          <w:sz w:val="20"/>
          <w:szCs w:val="20"/>
        </w:rPr>
        <w:t xml:space="preserve"> exclusion in the domestic sphere and is </w:t>
      </w:r>
      <w:r w:rsidR="00A34BF4" w:rsidRPr="002A2289">
        <w:rPr>
          <w:rFonts w:asciiTheme="majorHAnsi" w:hAnsiTheme="majorHAnsi" w:cs="Times New Roman"/>
          <w:color w:val="auto"/>
          <w:sz w:val="20"/>
          <w:szCs w:val="20"/>
        </w:rPr>
        <w:t xml:space="preserve">therefore </w:t>
      </w:r>
      <w:r w:rsidR="000704F3" w:rsidRPr="002A2289">
        <w:rPr>
          <w:rFonts w:asciiTheme="majorHAnsi" w:hAnsiTheme="majorHAnsi" w:cs="Times New Roman"/>
          <w:color w:val="auto"/>
          <w:sz w:val="20"/>
          <w:szCs w:val="20"/>
        </w:rPr>
        <w:t xml:space="preserve">not helpful </w:t>
      </w:r>
      <w:r w:rsidR="001E5AE7">
        <w:rPr>
          <w:rFonts w:asciiTheme="majorHAnsi" w:hAnsiTheme="majorHAnsi" w:cs="Times New Roman"/>
          <w:color w:val="auto"/>
          <w:sz w:val="20"/>
          <w:szCs w:val="20"/>
        </w:rPr>
        <w:t>to</w:t>
      </w:r>
      <w:r w:rsidR="00A34BF4" w:rsidRPr="002A2289">
        <w:rPr>
          <w:rFonts w:asciiTheme="majorHAnsi" w:hAnsiTheme="majorHAnsi" w:cs="Times New Roman"/>
          <w:color w:val="auto"/>
          <w:sz w:val="20"/>
          <w:szCs w:val="20"/>
        </w:rPr>
        <w:t xml:space="preserve"> its</w:t>
      </w:r>
      <w:r w:rsidRPr="002A2289">
        <w:rPr>
          <w:rFonts w:asciiTheme="majorHAnsi" w:hAnsiTheme="majorHAnsi" w:cs="Times New Roman"/>
          <w:color w:val="auto"/>
          <w:sz w:val="20"/>
          <w:szCs w:val="20"/>
        </w:rPr>
        <w:t xml:space="preserve"> defense in international proceedings </w:t>
      </w:r>
      <w:r w:rsidR="00A34BF4" w:rsidRPr="002A2289">
        <w:rPr>
          <w:rFonts w:asciiTheme="majorHAnsi" w:hAnsiTheme="majorHAnsi" w:cs="Times New Roman"/>
          <w:color w:val="auto"/>
          <w:sz w:val="20"/>
          <w:szCs w:val="20"/>
        </w:rPr>
        <w:t>with respect to</w:t>
      </w:r>
      <w:r w:rsidRPr="002A2289">
        <w:rPr>
          <w:rFonts w:asciiTheme="majorHAnsi" w:hAnsiTheme="majorHAnsi" w:cs="Times New Roman"/>
          <w:color w:val="auto"/>
          <w:sz w:val="20"/>
          <w:szCs w:val="20"/>
        </w:rPr>
        <w:t xml:space="preserve"> the right to equal protection under the law. Inasmuch as the e</w:t>
      </w:r>
      <w:r w:rsidR="00BD25D4" w:rsidRPr="002A2289">
        <w:rPr>
          <w:rFonts w:asciiTheme="majorHAnsi" w:hAnsiTheme="majorHAnsi" w:cs="Times New Roman"/>
          <w:color w:val="auto"/>
          <w:sz w:val="20"/>
          <w:szCs w:val="20"/>
        </w:rPr>
        <w:t>x</w:t>
      </w:r>
      <w:r w:rsidRPr="002A2289">
        <w:rPr>
          <w:rFonts w:asciiTheme="majorHAnsi" w:hAnsiTheme="majorHAnsi" w:cs="Times New Roman"/>
          <w:color w:val="auto"/>
          <w:sz w:val="20"/>
          <w:szCs w:val="20"/>
        </w:rPr>
        <w:t xml:space="preserve">clusion occurred not </w:t>
      </w:r>
      <w:r w:rsidR="003B0C80" w:rsidRPr="002A2289">
        <w:rPr>
          <w:rFonts w:asciiTheme="majorHAnsi" w:hAnsiTheme="majorHAnsi" w:cs="Times New Roman"/>
          <w:color w:val="auto"/>
          <w:sz w:val="20"/>
          <w:szCs w:val="20"/>
        </w:rPr>
        <w:t xml:space="preserve">due to </w:t>
      </w:r>
      <w:r w:rsidRPr="002A2289">
        <w:rPr>
          <w:rFonts w:asciiTheme="majorHAnsi" w:hAnsiTheme="majorHAnsi" w:cs="Times New Roman"/>
          <w:color w:val="auto"/>
          <w:sz w:val="20"/>
          <w:szCs w:val="20"/>
        </w:rPr>
        <w:t xml:space="preserve">lack of evidence, </w:t>
      </w:r>
      <w:r w:rsidR="003B0C80" w:rsidRPr="002A2289">
        <w:rPr>
          <w:rFonts w:asciiTheme="majorHAnsi" w:hAnsiTheme="majorHAnsi" w:cs="Times New Roman"/>
          <w:color w:val="auto"/>
          <w:sz w:val="20"/>
          <w:szCs w:val="20"/>
        </w:rPr>
        <w:t>but</w:t>
      </w:r>
      <w:r w:rsidR="00A34BF4" w:rsidRPr="002A2289">
        <w:rPr>
          <w:rFonts w:asciiTheme="majorHAnsi" w:hAnsiTheme="majorHAnsi" w:cs="Times New Roman"/>
          <w:color w:val="auto"/>
          <w:sz w:val="20"/>
          <w:szCs w:val="20"/>
        </w:rPr>
        <w:t>,</w:t>
      </w:r>
      <w:r w:rsidR="003B0C80" w:rsidRPr="002A2289">
        <w:rPr>
          <w:rFonts w:asciiTheme="majorHAnsi" w:hAnsiTheme="majorHAnsi" w:cs="Times New Roman"/>
          <w:color w:val="auto"/>
          <w:sz w:val="20"/>
          <w:szCs w:val="20"/>
        </w:rPr>
        <w:t xml:space="preserve"> </w:t>
      </w:r>
      <w:r w:rsidRPr="002A2289">
        <w:rPr>
          <w:rFonts w:asciiTheme="majorHAnsi" w:hAnsiTheme="majorHAnsi" w:cs="Times New Roman"/>
          <w:color w:val="auto"/>
          <w:sz w:val="20"/>
          <w:szCs w:val="20"/>
        </w:rPr>
        <w:t>rather</w:t>
      </w:r>
      <w:r w:rsidR="00A34BF4" w:rsidRPr="002A2289">
        <w:rPr>
          <w:rFonts w:asciiTheme="majorHAnsi" w:hAnsiTheme="majorHAnsi" w:cs="Times New Roman"/>
          <w:color w:val="auto"/>
          <w:sz w:val="20"/>
          <w:szCs w:val="20"/>
        </w:rPr>
        <w:t>,</w:t>
      </w:r>
      <w:r w:rsidRPr="002A2289">
        <w:rPr>
          <w:rFonts w:asciiTheme="majorHAnsi" w:hAnsiTheme="majorHAnsi" w:cs="Times New Roman"/>
          <w:color w:val="auto"/>
          <w:sz w:val="20"/>
          <w:szCs w:val="20"/>
        </w:rPr>
        <w:t xml:space="preserve"> because the interpretation applied to the alleged victim determined that </w:t>
      </w:r>
      <w:r w:rsidRPr="002A2289">
        <w:rPr>
          <w:rFonts w:asciiTheme="majorHAnsi" w:hAnsiTheme="majorHAnsi" w:cs="Times New Roman"/>
          <w:i/>
          <w:color w:val="auto"/>
          <w:sz w:val="20"/>
          <w:szCs w:val="20"/>
        </w:rPr>
        <w:t>de facto</w:t>
      </w:r>
      <w:r w:rsidRPr="002A2289">
        <w:rPr>
          <w:rFonts w:asciiTheme="majorHAnsi" w:hAnsiTheme="majorHAnsi" w:cs="Times New Roman"/>
          <w:color w:val="auto"/>
          <w:sz w:val="20"/>
          <w:szCs w:val="20"/>
        </w:rPr>
        <w:t xml:space="preserve"> release under surveillance was</w:t>
      </w:r>
      <w:r w:rsidR="00BD25D4" w:rsidRPr="002A2289">
        <w:rPr>
          <w:rFonts w:asciiTheme="majorHAnsi" w:hAnsiTheme="majorHAnsi" w:cs="Times New Roman"/>
          <w:color w:val="auto"/>
          <w:sz w:val="20"/>
          <w:szCs w:val="20"/>
        </w:rPr>
        <w:t xml:space="preserve"> </w:t>
      </w:r>
      <w:r w:rsidRPr="002A2289">
        <w:rPr>
          <w:rFonts w:asciiTheme="majorHAnsi" w:hAnsiTheme="majorHAnsi" w:cs="Times New Roman"/>
          <w:color w:val="auto"/>
          <w:sz w:val="20"/>
          <w:szCs w:val="20"/>
        </w:rPr>
        <w:t xml:space="preserve">not provided for </w:t>
      </w:r>
      <w:r w:rsidR="00A34BF4" w:rsidRPr="002A2289">
        <w:rPr>
          <w:rFonts w:asciiTheme="majorHAnsi" w:hAnsiTheme="majorHAnsi" w:cs="Times New Roman"/>
          <w:color w:val="auto"/>
          <w:sz w:val="20"/>
          <w:szCs w:val="20"/>
        </w:rPr>
        <w:t>under</w:t>
      </w:r>
      <w:r w:rsidRPr="002A2289">
        <w:rPr>
          <w:rFonts w:asciiTheme="majorHAnsi" w:hAnsiTheme="majorHAnsi" w:cs="Times New Roman"/>
          <w:color w:val="auto"/>
          <w:sz w:val="20"/>
          <w:szCs w:val="20"/>
        </w:rPr>
        <w:t xml:space="preserve"> the law, the analysis the IACHR </w:t>
      </w:r>
      <w:r w:rsidR="00BD25D4" w:rsidRPr="002A2289">
        <w:rPr>
          <w:rFonts w:asciiTheme="majorHAnsi" w:hAnsiTheme="majorHAnsi" w:cs="Times New Roman"/>
          <w:color w:val="auto"/>
          <w:sz w:val="20"/>
          <w:szCs w:val="20"/>
        </w:rPr>
        <w:t>must conduct is whether said exclusion was objectively and reasonably justified. As stated previously, the State did not provide such justification</w:t>
      </w:r>
      <w:r w:rsidR="00A34BF4" w:rsidRPr="002A2289">
        <w:rPr>
          <w:rFonts w:asciiTheme="majorHAnsi" w:hAnsiTheme="majorHAnsi" w:cs="Times New Roman"/>
          <w:color w:val="auto"/>
          <w:sz w:val="20"/>
          <w:szCs w:val="20"/>
        </w:rPr>
        <w:t xml:space="preserve">. Furthermore, </w:t>
      </w:r>
      <w:r w:rsidR="00BD25D4" w:rsidRPr="002A2289">
        <w:rPr>
          <w:rFonts w:asciiTheme="majorHAnsi" w:hAnsiTheme="majorHAnsi" w:cs="Times New Roman"/>
          <w:color w:val="auto"/>
          <w:sz w:val="20"/>
          <w:szCs w:val="20"/>
        </w:rPr>
        <w:t xml:space="preserve">the IACHR considers that the exclusion’s </w:t>
      </w:r>
      <w:r w:rsidR="00A34BF4" w:rsidRPr="002A2289">
        <w:rPr>
          <w:rFonts w:asciiTheme="majorHAnsi" w:hAnsiTheme="majorHAnsi" w:cs="Times New Roman"/>
          <w:color w:val="auto"/>
          <w:sz w:val="20"/>
          <w:szCs w:val="20"/>
        </w:rPr>
        <w:t>un</w:t>
      </w:r>
      <w:r w:rsidR="00BD25D4" w:rsidRPr="002A2289">
        <w:rPr>
          <w:rFonts w:asciiTheme="majorHAnsi" w:hAnsiTheme="majorHAnsi" w:cs="Times New Roman"/>
          <w:color w:val="auto"/>
          <w:sz w:val="20"/>
          <w:szCs w:val="20"/>
        </w:rPr>
        <w:t>reasonab</w:t>
      </w:r>
      <w:r w:rsidR="003B0C80" w:rsidRPr="002A2289">
        <w:rPr>
          <w:rFonts w:asciiTheme="majorHAnsi" w:hAnsiTheme="majorHAnsi" w:cs="Times New Roman"/>
          <w:color w:val="auto"/>
          <w:sz w:val="20"/>
          <w:szCs w:val="20"/>
        </w:rPr>
        <w:t>leness,</w:t>
      </w:r>
      <w:r w:rsidR="00BD25D4" w:rsidRPr="002A2289">
        <w:rPr>
          <w:rFonts w:asciiTheme="majorHAnsi" w:hAnsiTheme="majorHAnsi" w:cs="Times New Roman"/>
          <w:color w:val="auto"/>
          <w:sz w:val="20"/>
          <w:szCs w:val="20"/>
        </w:rPr>
        <w:t xml:space="preserve"> </w:t>
      </w:r>
      <w:r w:rsidR="003B0C80" w:rsidRPr="002A2289">
        <w:rPr>
          <w:rFonts w:asciiTheme="majorHAnsi" w:hAnsiTheme="majorHAnsi" w:cs="Times New Roman"/>
          <w:color w:val="auto"/>
          <w:sz w:val="20"/>
          <w:szCs w:val="20"/>
        </w:rPr>
        <w:t>given</w:t>
      </w:r>
      <w:r w:rsidR="00BD25D4" w:rsidRPr="002A2289">
        <w:rPr>
          <w:rFonts w:asciiTheme="majorHAnsi" w:hAnsiTheme="majorHAnsi" w:cs="Times New Roman"/>
          <w:color w:val="auto"/>
          <w:sz w:val="20"/>
          <w:szCs w:val="20"/>
        </w:rPr>
        <w:t xml:space="preserve"> the </w:t>
      </w:r>
      <w:r w:rsidR="003B0C80" w:rsidRPr="002A2289">
        <w:rPr>
          <w:rFonts w:asciiTheme="majorHAnsi" w:hAnsiTheme="majorHAnsi" w:cs="Times New Roman"/>
          <w:color w:val="auto"/>
          <w:sz w:val="20"/>
          <w:szCs w:val="20"/>
        </w:rPr>
        <w:t>aims</w:t>
      </w:r>
      <w:r w:rsidR="00BD25D4" w:rsidRPr="002A2289">
        <w:rPr>
          <w:rFonts w:asciiTheme="majorHAnsi" w:hAnsiTheme="majorHAnsi" w:cs="Times New Roman"/>
          <w:color w:val="auto"/>
          <w:sz w:val="20"/>
          <w:szCs w:val="20"/>
        </w:rPr>
        <w:t xml:space="preserve"> the respective legislation </w:t>
      </w:r>
      <w:r w:rsidR="00A34BF4" w:rsidRPr="002A2289">
        <w:rPr>
          <w:rFonts w:asciiTheme="majorHAnsi" w:hAnsiTheme="majorHAnsi" w:cs="Times New Roman"/>
          <w:color w:val="auto"/>
          <w:sz w:val="20"/>
          <w:szCs w:val="20"/>
        </w:rPr>
        <w:t>was seeking</w:t>
      </w:r>
      <w:r w:rsidR="003B0C80" w:rsidRPr="002A2289">
        <w:rPr>
          <w:rFonts w:asciiTheme="majorHAnsi" w:hAnsiTheme="majorHAnsi" w:cs="Times New Roman"/>
          <w:color w:val="auto"/>
          <w:sz w:val="20"/>
          <w:szCs w:val="20"/>
        </w:rPr>
        <w:t>,</w:t>
      </w:r>
      <w:r w:rsidR="00BD25D4" w:rsidRPr="002A2289">
        <w:rPr>
          <w:rFonts w:asciiTheme="majorHAnsi" w:hAnsiTheme="majorHAnsi" w:cs="Times New Roman"/>
          <w:color w:val="auto"/>
          <w:sz w:val="20"/>
          <w:szCs w:val="20"/>
        </w:rPr>
        <w:t xml:space="preserve"> </w:t>
      </w:r>
      <w:r w:rsidR="00A34BF4" w:rsidRPr="002A2289">
        <w:rPr>
          <w:rFonts w:asciiTheme="majorHAnsi" w:hAnsiTheme="majorHAnsi" w:cs="Times New Roman"/>
          <w:color w:val="auto"/>
          <w:sz w:val="20"/>
          <w:szCs w:val="20"/>
        </w:rPr>
        <w:t>is</w:t>
      </w:r>
      <w:r w:rsidR="00BD25D4" w:rsidRPr="002A2289">
        <w:rPr>
          <w:rFonts w:asciiTheme="majorHAnsi" w:hAnsiTheme="majorHAnsi" w:cs="Times New Roman"/>
          <w:color w:val="auto"/>
          <w:sz w:val="20"/>
          <w:szCs w:val="20"/>
        </w:rPr>
        <w:t xml:space="preserve"> </w:t>
      </w:r>
      <w:r w:rsidR="00B0473D" w:rsidRPr="002A2289">
        <w:rPr>
          <w:rFonts w:asciiTheme="majorHAnsi" w:hAnsiTheme="majorHAnsi" w:cs="Times New Roman"/>
          <w:color w:val="auto"/>
          <w:sz w:val="20"/>
          <w:szCs w:val="20"/>
        </w:rPr>
        <w:t>evidenced</w:t>
      </w:r>
      <w:r w:rsidR="00BD25D4" w:rsidRPr="002A2289">
        <w:rPr>
          <w:rFonts w:asciiTheme="majorHAnsi" w:hAnsiTheme="majorHAnsi" w:cs="Times New Roman"/>
          <w:color w:val="auto"/>
          <w:sz w:val="20"/>
          <w:szCs w:val="20"/>
        </w:rPr>
        <w:t xml:space="preserve"> by the subsequent change of criteria that led, as will be seen below, to other individuals </w:t>
      </w:r>
      <w:r w:rsidR="00021DC7" w:rsidRPr="002A2289">
        <w:rPr>
          <w:rFonts w:asciiTheme="majorHAnsi" w:hAnsiTheme="majorHAnsi" w:cs="Times New Roman"/>
          <w:color w:val="auto"/>
          <w:sz w:val="20"/>
          <w:szCs w:val="20"/>
        </w:rPr>
        <w:t xml:space="preserve">who were </w:t>
      </w:r>
      <w:r w:rsidR="00BD25D4" w:rsidRPr="002A2289">
        <w:rPr>
          <w:rFonts w:asciiTheme="majorHAnsi" w:hAnsiTheme="majorHAnsi" w:cs="Times New Roman"/>
          <w:color w:val="auto"/>
          <w:sz w:val="20"/>
          <w:szCs w:val="20"/>
        </w:rPr>
        <w:t xml:space="preserve">in the same situation as that alleged by Mr. </w:t>
      </w:r>
      <w:r w:rsidR="00EC7AB1" w:rsidRPr="002A2289">
        <w:rPr>
          <w:rFonts w:asciiTheme="majorHAnsi" w:hAnsiTheme="majorHAnsi" w:cs="Times New Roman"/>
          <w:color w:val="auto"/>
          <w:sz w:val="20"/>
          <w:szCs w:val="20"/>
        </w:rPr>
        <w:t>Almeida —</w:t>
      </w:r>
      <w:r w:rsidR="00BD25D4" w:rsidRPr="002A2289">
        <w:rPr>
          <w:rFonts w:asciiTheme="majorHAnsi" w:hAnsiTheme="majorHAnsi" w:cs="Times New Roman"/>
          <w:color w:val="auto"/>
          <w:sz w:val="20"/>
          <w:szCs w:val="20"/>
        </w:rPr>
        <w:t xml:space="preserve">such as his </w:t>
      </w:r>
      <w:r w:rsidR="00021DC7" w:rsidRPr="002A2289">
        <w:rPr>
          <w:rFonts w:asciiTheme="majorHAnsi" w:hAnsiTheme="majorHAnsi" w:cs="Times New Roman"/>
          <w:color w:val="auto"/>
          <w:sz w:val="20"/>
          <w:szCs w:val="20"/>
        </w:rPr>
        <w:t>wife,</w:t>
      </w:r>
      <w:r w:rsidR="00BD25D4" w:rsidRPr="002A2289">
        <w:rPr>
          <w:rFonts w:asciiTheme="majorHAnsi" w:hAnsiTheme="majorHAnsi" w:cs="Times New Roman"/>
          <w:color w:val="auto"/>
          <w:sz w:val="20"/>
          <w:szCs w:val="20"/>
        </w:rPr>
        <w:t xml:space="preserve"> for example</w:t>
      </w:r>
      <w:r w:rsidR="00EC7AB1" w:rsidRPr="002A2289">
        <w:rPr>
          <w:rFonts w:asciiTheme="majorHAnsi" w:hAnsiTheme="majorHAnsi" w:cs="Times New Roman"/>
          <w:color w:val="auto"/>
          <w:sz w:val="20"/>
          <w:szCs w:val="20"/>
        </w:rPr>
        <w:t>—</w:t>
      </w:r>
      <w:r w:rsidR="001E5AE7">
        <w:rPr>
          <w:rFonts w:asciiTheme="majorHAnsi" w:hAnsiTheme="majorHAnsi" w:cs="Times New Roman"/>
          <w:color w:val="auto"/>
          <w:sz w:val="20"/>
          <w:szCs w:val="20"/>
        </w:rPr>
        <w:t xml:space="preserve"> </w:t>
      </w:r>
      <w:r w:rsidR="00BD25D4" w:rsidRPr="002A2289">
        <w:rPr>
          <w:rFonts w:asciiTheme="majorHAnsi" w:hAnsiTheme="majorHAnsi" w:cs="Times New Roman"/>
          <w:color w:val="auto"/>
          <w:sz w:val="20"/>
          <w:szCs w:val="20"/>
        </w:rPr>
        <w:t xml:space="preserve">receiving reparations. </w:t>
      </w:r>
      <w:r w:rsidR="00EC7AB1" w:rsidRPr="002A2289">
        <w:rPr>
          <w:rFonts w:asciiTheme="majorHAnsi" w:hAnsiTheme="majorHAnsi" w:cs="Times New Roman"/>
          <w:color w:val="auto"/>
          <w:sz w:val="20"/>
          <w:szCs w:val="20"/>
        </w:rPr>
        <w:t xml:space="preserve"> </w:t>
      </w:r>
    </w:p>
    <w:p w14:paraId="785D168E" w14:textId="77777777" w:rsidR="00EC7AB1" w:rsidRPr="002A2289" w:rsidRDefault="00EC7AB1" w:rsidP="00EC7AB1">
      <w:pPr>
        <w:pStyle w:val="ListParagraph"/>
        <w:ind w:firstLine="720"/>
        <w:rPr>
          <w:rFonts w:asciiTheme="majorHAnsi" w:hAnsiTheme="majorHAnsi" w:cs="Times New Roman"/>
          <w:color w:val="auto"/>
          <w:sz w:val="20"/>
          <w:szCs w:val="20"/>
        </w:rPr>
      </w:pPr>
    </w:p>
    <w:p w14:paraId="26374664" w14:textId="7474526D" w:rsidR="00EC7AB1" w:rsidRPr="002A2289" w:rsidRDefault="00021DC7"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In keeping with the considerations above, the IACHR </w:t>
      </w:r>
      <w:r w:rsidR="001E5AE7">
        <w:rPr>
          <w:rFonts w:asciiTheme="majorHAnsi" w:hAnsiTheme="majorHAnsi" w:cs="Times New Roman"/>
          <w:color w:val="auto"/>
          <w:sz w:val="20"/>
          <w:szCs w:val="20"/>
        </w:rPr>
        <w:t>finds</w:t>
      </w:r>
      <w:r w:rsidRPr="002A2289">
        <w:rPr>
          <w:rFonts w:asciiTheme="majorHAnsi" w:hAnsiTheme="majorHAnsi" w:cs="Times New Roman"/>
          <w:color w:val="auto"/>
          <w:sz w:val="20"/>
          <w:szCs w:val="20"/>
        </w:rPr>
        <w:t xml:space="preserve"> that the State did not provide an explanation that allows one to conclude that</w:t>
      </w:r>
      <w:r w:rsidR="003B0C80" w:rsidRPr="002A2289">
        <w:rPr>
          <w:rFonts w:asciiTheme="majorHAnsi" w:hAnsiTheme="majorHAnsi" w:cs="Times New Roman"/>
          <w:color w:val="auto"/>
          <w:sz w:val="20"/>
          <w:szCs w:val="20"/>
        </w:rPr>
        <w:t xml:space="preserve"> the exclusion imposed in the specific c</w:t>
      </w:r>
      <w:r w:rsidRPr="002A2289">
        <w:rPr>
          <w:rFonts w:asciiTheme="majorHAnsi" w:hAnsiTheme="majorHAnsi" w:cs="Times New Roman"/>
          <w:color w:val="auto"/>
          <w:sz w:val="20"/>
          <w:szCs w:val="20"/>
        </w:rPr>
        <w:t>ase of Mr. Almeida was obj</w:t>
      </w:r>
      <w:r w:rsidR="003B0C80" w:rsidRPr="002A2289">
        <w:rPr>
          <w:rFonts w:asciiTheme="majorHAnsi" w:hAnsiTheme="majorHAnsi" w:cs="Times New Roman"/>
          <w:color w:val="auto"/>
          <w:sz w:val="20"/>
          <w:szCs w:val="20"/>
        </w:rPr>
        <w:t>ective and reasonable. The IACHR</w:t>
      </w:r>
      <w:r w:rsidRPr="002A2289">
        <w:rPr>
          <w:rFonts w:asciiTheme="majorHAnsi" w:hAnsiTheme="majorHAnsi" w:cs="Times New Roman"/>
          <w:color w:val="auto"/>
          <w:sz w:val="20"/>
          <w:szCs w:val="20"/>
        </w:rPr>
        <w:t xml:space="preserve"> therefore considers that this exclusion violates the right to equal protection </w:t>
      </w:r>
      <w:r w:rsidR="003B0C80" w:rsidRPr="002A2289">
        <w:rPr>
          <w:rFonts w:asciiTheme="majorHAnsi" w:hAnsiTheme="majorHAnsi" w:cs="Times New Roman"/>
          <w:color w:val="auto"/>
          <w:sz w:val="20"/>
          <w:szCs w:val="20"/>
        </w:rPr>
        <w:t>under</w:t>
      </w:r>
      <w:r w:rsidRPr="002A2289">
        <w:rPr>
          <w:rFonts w:asciiTheme="majorHAnsi" w:hAnsiTheme="majorHAnsi" w:cs="Times New Roman"/>
          <w:color w:val="auto"/>
          <w:sz w:val="20"/>
          <w:szCs w:val="20"/>
        </w:rPr>
        <w:t xml:space="preserve"> the law set forth under Article 24 of the American Convention, in </w:t>
      </w:r>
      <w:r w:rsidR="009E19A0" w:rsidRPr="002A2289">
        <w:rPr>
          <w:rFonts w:asciiTheme="majorHAnsi" w:hAnsiTheme="majorHAnsi" w:cs="Times New Roman"/>
          <w:color w:val="auto"/>
          <w:sz w:val="20"/>
          <w:szCs w:val="20"/>
        </w:rPr>
        <w:t>connection with</w:t>
      </w:r>
      <w:r w:rsidRPr="002A2289">
        <w:rPr>
          <w:rFonts w:asciiTheme="majorHAnsi" w:hAnsiTheme="majorHAnsi" w:cs="Times New Roman"/>
          <w:color w:val="auto"/>
          <w:sz w:val="20"/>
          <w:szCs w:val="20"/>
        </w:rPr>
        <w:t xml:space="preserve"> Article 1</w:t>
      </w:r>
      <w:r w:rsidR="001E5AE7">
        <w:rPr>
          <w:rFonts w:asciiTheme="majorHAnsi" w:hAnsiTheme="majorHAnsi" w:cs="Times New Roman"/>
          <w:color w:val="auto"/>
          <w:sz w:val="20"/>
          <w:szCs w:val="20"/>
        </w:rPr>
        <w:t>.</w:t>
      </w:r>
      <w:r w:rsidRPr="002A2289">
        <w:rPr>
          <w:rFonts w:asciiTheme="majorHAnsi" w:hAnsiTheme="majorHAnsi" w:cs="Times New Roman"/>
          <w:color w:val="auto"/>
          <w:sz w:val="20"/>
          <w:szCs w:val="20"/>
        </w:rPr>
        <w:t>1 thereof.</w:t>
      </w:r>
      <w:r w:rsidR="00EC7AB1" w:rsidRPr="002A2289">
        <w:rPr>
          <w:rFonts w:asciiTheme="majorHAnsi" w:hAnsiTheme="majorHAnsi" w:cs="Times New Roman"/>
          <w:color w:val="auto"/>
          <w:sz w:val="20"/>
          <w:szCs w:val="20"/>
        </w:rPr>
        <w:t xml:space="preserve"> </w:t>
      </w:r>
    </w:p>
    <w:p w14:paraId="31942719" w14:textId="77777777" w:rsidR="00EC7AB1" w:rsidRPr="002A2289" w:rsidRDefault="00EC7AB1" w:rsidP="00EC7AB1">
      <w:pPr>
        <w:pStyle w:val="ListParagraph"/>
        <w:ind w:firstLine="720"/>
        <w:rPr>
          <w:rFonts w:asciiTheme="majorHAnsi" w:hAnsiTheme="majorHAnsi" w:cs="Times New Roman"/>
          <w:color w:val="auto"/>
          <w:sz w:val="20"/>
          <w:szCs w:val="20"/>
        </w:rPr>
      </w:pPr>
    </w:p>
    <w:p w14:paraId="1BACA979" w14:textId="3EA542E6" w:rsidR="00EC7AB1" w:rsidRPr="002A2289" w:rsidRDefault="00EC7AB1"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Final</w:t>
      </w:r>
      <w:r w:rsidR="00021DC7" w:rsidRPr="002A2289">
        <w:rPr>
          <w:rFonts w:asciiTheme="majorHAnsi" w:hAnsiTheme="majorHAnsi" w:cs="Times New Roman"/>
          <w:color w:val="auto"/>
          <w:sz w:val="20"/>
          <w:szCs w:val="20"/>
        </w:rPr>
        <w:t xml:space="preserve">ly, the IACHR highlights that this analysis is </w:t>
      </w:r>
      <w:r w:rsidR="00DB40B5" w:rsidRPr="002A2289">
        <w:rPr>
          <w:rFonts w:asciiTheme="majorHAnsi" w:hAnsiTheme="majorHAnsi" w:cs="Times New Roman"/>
          <w:color w:val="auto"/>
          <w:sz w:val="20"/>
          <w:szCs w:val="20"/>
        </w:rPr>
        <w:t xml:space="preserve">conducted </w:t>
      </w:r>
      <w:r w:rsidR="00021DC7" w:rsidRPr="002A2289">
        <w:rPr>
          <w:rFonts w:asciiTheme="majorHAnsi" w:hAnsiTheme="majorHAnsi" w:cs="Times New Roman"/>
          <w:color w:val="auto"/>
          <w:sz w:val="20"/>
          <w:szCs w:val="20"/>
        </w:rPr>
        <w:t>against a backdrop of</w:t>
      </w:r>
      <w:r w:rsidR="001E5AE7">
        <w:rPr>
          <w:rFonts w:asciiTheme="majorHAnsi" w:hAnsiTheme="majorHAnsi" w:cs="Times New Roman"/>
          <w:color w:val="auto"/>
          <w:sz w:val="20"/>
          <w:szCs w:val="20"/>
        </w:rPr>
        <w:t xml:space="preserve"> recognition by</w:t>
      </w:r>
      <w:r w:rsidR="00021DC7" w:rsidRPr="002A2289">
        <w:rPr>
          <w:rFonts w:asciiTheme="majorHAnsi" w:hAnsiTheme="majorHAnsi" w:cs="Times New Roman"/>
          <w:color w:val="auto"/>
          <w:sz w:val="20"/>
          <w:szCs w:val="20"/>
        </w:rPr>
        <w:t xml:space="preserve"> </w:t>
      </w:r>
      <w:r w:rsidR="00DB40B5" w:rsidRPr="002A2289">
        <w:rPr>
          <w:rFonts w:asciiTheme="majorHAnsi" w:hAnsiTheme="majorHAnsi" w:cs="Times New Roman"/>
          <w:color w:val="auto"/>
          <w:sz w:val="20"/>
          <w:szCs w:val="20"/>
        </w:rPr>
        <w:t xml:space="preserve">both executive and judicial authorities in Argentina </w:t>
      </w:r>
      <w:r w:rsidR="00B0473D" w:rsidRPr="002A2289">
        <w:rPr>
          <w:rFonts w:asciiTheme="majorHAnsi" w:hAnsiTheme="majorHAnsi" w:cs="Times New Roman"/>
          <w:color w:val="auto"/>
          <w:sz w:val="20"/>
          <w:szCs w:val="20"/>
        </w:rPr>
        <w:t>that</w:t>
      </w:r>
      <w:r w:rsidR="00666F09" w:rsidRPr="002A2289">
        <w:rPr>
          <w:rFonts w:asciiTheme="majorHAnsi" w:hAnsiTheme="majorHAnsi" w:cs="Times New Roman"/>
          <w:color w:val="auto"/>
          <w:sz w:val="20"/>
          <w:szCs w:val="20"/>
        </w:rPr>
        <w:t xml:space="preserve"> gaps in the language of </w:t>
      </w:r>
      <w:r w:rsidR="00786D79">
        <w:rPr>
          <w:rFonts w:asciiTheme="majorHAnsi" w:hAnsiTheme="majorHAnsi" w:cs="Times New Roman"/>
          <w:color w:val="auto"/>
          <w:sz w:val="20"/>
          <w:szCs w:val="20"/>
        </w:rPr>
        <w:t>Law 24.043</w:t>
      </w:r>
      <w:r w:rsidR="00B0473D" w:rsidRPr="002A2289">
        <w:rPr>
          <w:rFonts w:asciiTheme="majorHAnsi" w:hAnsiTheme="majorHAnsi" w:cs="Times New Roman"/>
          <w:color w:val="auto"/>
          <w:sz w:val="20"/>
          <w:szCs w:val="20"/>
        </w:rPr>
        <w:t xml:space="preserve"> have led to a failure to adequat</w:t>
      </w:r>
      <w:r w:rsidR="00021DC7" w:rsidRPr="002A2289">
        <w:rPr>
          <w:rFonts w:asciiTheme="majorHAnsi" w:hAnsiTheme="majorHAnsi" w:cs="Times New Roman"/>
          <w:color w:val="auto"/>
          <w:sz w:val="20"/>
          <w:szCs w:val="20"/>
        </w:rPr>
        <w:t>ely protect the right to com</w:t>
      </w:r>
      <w:r w:rsidR="00DB40B5" w:rsidRPr="002A2289">
        <w:rPr>
          <w:rFonts w:asciiTheme="majorHAnsi" w:hAnsiTheme="majorHAnsi" w:cs="Times New Roman"/>
          <w:color w:val="auto"/>
          <w:sz w:val="20"/>
          <w:szCs w:val="20"/>
        </w:rPr>
        <w:t>p</w:t>
      </w:r>
      <w:r w:rsidR="00021DC7" w:rsidRPr="002A2289">
        <w:rPr>
          <w:rFonts w:asciiTheme="majorHAnsi" w:hAnsiTheme="majorHAnsi" w:cs="Times New Roman"/>
          <w:color w:val="auto"/>
          <w:sz w:val="20"/>
          <w:szCs w:val="20"/>
        </w:rPr>
        <w:t xml:space="preserve">ensation of individuals </w:t>
      </w:r>
      <w:r w:rsidR="001E5AE7">
        <w:rPr>
          <w:rFonts w:asciiTheme="majorHAnsi" w:hAnsiTheme="majorHAnsi" w:cs="Times New Roman"/>
          <w:color w:val="auto"/>
          <w:sz w:val="20"/>
          <w:szCs w:val="20"/>
        </w:rPr>
        <w:t>who</w:t>
      </w:r>
      <w:r w:rsidR="00021DC7" w:rsidRPr="002A2289">
        <w:rPr>
          <w:rFonts w:asciiTheme="majorHAnsi" w:hAnsiTheme="majorHAnsi" w:cs="Times New Roman"/>
          <w:color w:val="auto"/>
          <w:sz w:val="20"/>
          <w:szCs w:val="20"/>
        </w:rPr>
        <w:t xml:space="preserve"> must be treated on equal terms </w:t>
      </w:r>
      <w:r w:rsidR="00B0473D" w:rsidRPr="002A2289">
        <w:rPr>
          <w:rFonts w:asciiTheme="majorHAnsi" w:hAnsiTheme="majorHAnsi" w:cs="Times New Roman"/>
          <w:color w:val="auto"/>
          <w:sz w:val="20"/>
          <w:szCs w:val="20"/>
        </w:rPr>
        <w:t>as</w:t>
      </w:r>
      <w:r w:rsidR="00DB40B5" w:rsidRPr="002A2289">
        <w:rPr>
          <w:rFonts w:asciiTheme="majorHAnsi" w:hAnsiTheme="majorHAnsi" w:cs="Times New Roman"/>
          <w:color w:val="auto"/>
          <w:sz w:val="20"/>
          <w:szCs w:val="20"/>
        </w:rPr>
        <w:t xml:space="preserve"> </w:t>
      </w:r>
      <w:r w:rsidR="001E5AE7">
        <w:rPr>
          <w:rFonts w:asciiTheme="majorHAnsi" w:hAnsiTheme="majorHAnsi" w:cs="Times New Roman"/>
          <w:color w:val="auto"/>
          <w:sz w:val="20"/>
          <w:szCs w:val="20"/>
        </w:rPr>
        <w:t>other</w:t>
      </w:r>
      <w:r w:rsidR="00021DC7" w:rsidRPr="002A2289">
        <w:rPr>
          <w:rFonts w:asciiTheme="majorHAnsi" w:hAnsiTheme="majorHAnsi" w:cs="Times New Roman"/>
          <w:color w:val="auto"/>
          <w:sz w:val="20"/>
          <w:szCs w:val="20"/>
        </w:rPr>
        <w:t xml:space="preserve"> indiv</w:t>
      </w:r>
      <w:r w:rsidR="00DB40B5" w:rsidRPr="002A2289">
        <w:rPr>
          <w:rFonts w:asciiTheme="majorHAnsi" w:hAnsiTheme="majorHAnsi" w:cs="Times New Roman"/>
          <w:color w:val="auto"/>
          <w:sz w:val="20"/>
          <w:szCs w:val="20"/>
        </w:rPr>
        <w:t>iduals</w:t>
      </w:r>
      <w:r w:rsidR="00021DC7" w:rsidRPr="002A2289">
        <w:rPr>
          <w:rFonts w:asciiTheme="majorHAnsi" w:hAnsiTheme="majorHAnsi" w:cs="Times New Roman"/>
          <w:color w:val="auto"/>
          <w:sz w:val="20"/>
          <w:szCs w:val="20"/>
        </w:rPr>
        <w:t xml:space="preserve"> who are clearly covered by the provisions of the law</w:t>
      </w:r>
      <w:r w:rsidR="00B0473D" w:rsidRPr="002A2289">
        <w:rPr>
          <w:rFonts w:asciiTheme="majorHAnsi" w:hAnsiTheme="majorHAnsi" w:cs="Times New Roman"/>
          <w:color w:val="auto"/>
          <w:sz w:val="20"/>
          <w:szCs w:val="20"/>
        </w:rPr>
        <w:t xml:space="preserve">. There is </w:t>
      </w:r>
      <w:r w:rsidR="001E5AE7">
        <w:rPr>
          <w:rFonts w:asciiTheme="majorHAnsi" w:hAnsiTheme="majorHAnsi" w:cs="Times New Roman"/>
          <w:color w:val="auto"/>
          <w:sz w:val="20"/>
          <w:szCs w:val="20"/>
        </w:rPr>
        <w:t>an expressed</w:t>
      </w:r>
      <w:r w:rsidR="00021DC7" w:rsidRPr="002A2289">
        <w:rPr>
          <w:rFonts w:asciiTheme="majorHAnsi" w:hAnsiTheme="majorHAnsi" w:cs="Times New Roman"/>
          <w:color w:val="auto"/>
          <w:sz w:val="20"/>
          <w:szCs w:val="20"/>
        </w:rPr>
        <w:t xml:space="preserve"> will in this sense to ensure “</w:t>
      </w:r>
      <w:r w:rsidR="00B0473D" w:rsidRPr="002A2289">
        <w:rPr>
          <w:rFonts w:asciiTheme="majorHAnsi" w:hAnsiTheme="majorHAnsi" w:cs="Times New Roman"/>
          <w:color w:val="auto"/>
          <w:sz w:val="20"/>
          <w:szCs w:val="20"/>
        </w:rPr>
        <w:t xml:space="preserve">an </w:t>
      </w:r>
      <w:r w:rsidR="00021DC7" w:rsidRPr="002A2289">
        <w:rPr>
          <w:rFonts w:asciiTheme="majorHAnsi" w:hAnsiTheme="majorHAnsi" w:cs="Times New Roman"/>
          <w:color w:val="auto"/>
          <w:sz w:val="20"/>
          <w:szCs w:val="20"/>
        </w:rPr>
        <w:t xml:space="preserve">equal </w:t>
      </w:r>
      <w:r w:rsidR="00C40AC4" w:rsidRPr="002A2289">
        <w:rPr>
          <w:rFonts w:asciiTheme="majorHAnsi" w:hAnsiTheme="majorHAnsi" w:cs="Times New Roman"/>
          <w:color w:val="auto"/>
          <w:sz w:val="20"/>
          <w:szCs w:val="20"/>
        </w:rPr>
        <w:t>treatment</w:t>
      </w:r>
      <w:r w:rsidR="00021DC7" w:rsidRPr="002A2289">
        <w:rPr>
          <w:rFonts w:asciiTheme="majorHAnsi" w:hAnsiTheme="majorHAnsi" w:cs="Times New Roman"/>
          <w:color w:val="auto"/>
          <w:sz w:val="20"/>
          <w:szCs w:val="20"/>
        </w:rPr>
        <w:t xml:space="preserve"> </w:t>
      </w:r>
      <w:r w:rsidR="001E5AE7">
        <w:rPr>
          <w:rFonts w:asciiTheme="majorHAnsi" w:hAnsiTheme="majorHAnsi" w:cs="Times New Roman"/>
          <w:color w:val="auto"/>
          <w:sz w:val="20"/>
          <w:szCs w:val="20"/>
        </w:rPr>
        <w:t>that</w:t>
      </w:r>
      <w:r w:rsidR="00021DC7" w:rsidRPr="002A2289">
        <w:rPr>
          <w:rFonts w:asciiTheme="majorHAnsi" w:hAnsiTheme="majorHAnsi" w:cs="Times New Roman"/>
          <w:color w:val="auto"/>
          <w:sz w:val="20"/>
          <w:szCs w:val="20"/>
        </w:rPr>
        <w:t xml:space="preserve"> </w:t>
      </w:r>
      <w:r w:rsidR="00344B8A" w:rsidRPr="002A2289">
        <w:rPr>
          <w:rFonts w:asciiTheme="majorHAnsi" w:hAnsiTheme="majorHAnsi" w:cs="Times New Roman"/>
          <w:color w:val="auto"/>
          <w:sz w:val="20"/>
          <w:szCs w:val="20"/>
        </w:rPr>
        <w:t>victims or their rights-</w:t>
      </w:r>
      <w:r w:rsidR="00021DC7" w:rsidRPr="002A2289">
        <w:rPr>
          <w:rFonts w:asciiTheme="majorHAnsi" w:hAnsiTheme="majorHAnsi" w:cs="Times New Roman"/>
          <w:color w:val="auto"/>
          <w:sz w:val="20"/>
          <w:szCs w:val="20"/>
        </w:rPr>
        <w:t>holders deserve given the similar circumstances.”</w:t>
      </w:r>
      <w:r w:rsidRPr="002A2289">
        <w:rPr>
          <w:rStyle w:val="FootnoteReference"/>
          <w:rFonts w:asciiTheme="majorHAnsi" w:hAnsiTheme="majorHAnsi" w:cs="Times New Roman"/>
          <w:color w:val="auto"/>
          <w:sz w:val="20"/>
          <w:szCs w:val="20"/>
        </w:rPr>
        <w:footnoteReference w:id="74"/>
      </w:r>
      <w:r w:rsidRPr="002A2289">
        <w:rPr>
          <w:rFonts w:asciiTheme="majorHAnsi" w:hAnsiTheme="majorHAnsi" w:cs="Times New Roman"/>
          <w:color w:val="auto"/>
          <w:sz w:val="20"/>
          <w:szCs w:val="20"/>
        </w:rPr>
        <w:t xml:space="preserve"> </w:t>
      </w:r>
      <w:r w:rsidR="00D726F9" w:rsidRPr="002A2289">
        <w:rPr>
          <w:rFonts w:asciiTheme="majorHAnsi" w:hAnsiTheme="majorHAnsi" w:cs="Times New Roman"/>
          <w:color w:val="auto"/>
          <w:sz w:val="20"/>
          <w:szCs w:val="20"/>
        </w:rPr>
        <w:t xml:space="preserve">This occurred in the </w:t>
      </w:r>
      <w:r w:rsidR="00D726F9" w:rsidRPr="002A2289">
        <w:rPr>
          <w:rFonts w:asciiTheme="majorHAnsi" w:hAnsiTheme="majorHAnsi" w:cs="Times New Roman"/>
          <w:i/>
          <w:color w:val="auto"/>
          <w:sz w:val="20"/>
          <w:szCs w:val="20"/>
        </w:rPr>
        <w:t>Bufano</w:t>
      </w:r>
      <w:r w:rsidR="00D726F9" w:rsidRPr="002A2289">
        <w:rPr>
          <w:rFonts w:asciiTheme="majorHAnsi" w:hAnsiTheme="majorHAnsi" w:cs="Times New Roman"/>
          <w:color w:val="auto"/>
          <w:sz w:val="20"/>
          <w:szCs w:val="20"/>
        </w:rPr>
        <w:t xml:space="preserve"> case with respect to situation</w:t>
      </w:r>
      <w:r w:rsidR="00DB40B5" w:rsidRPr="002A2289">
        <w:rPr>
          <w:rFonts w:asciiTheme="majorHAnsi" w:hAnsiTheme="majorHAnsi" w:cs="Times New Roman"/>
          <w:color w:val="auto"/>
          <w:sz w:val="20"/>
          <w:szCs w:val="20"/>
        </w:rPr>
        <w:t>s</w:t>
      </w:r>
      <w:r w:rsidR="00D726F9" w:rsidRPr="002A2289">
        <w:rPr>
          <w:rFonts w:asciiTheme="majorHAnsi" w:hAnsiTheme="majorHAnsi" w:cs="Times New Roman"/>
          <w:color w:val="auto"/>
          <w:sz w:val="20"/>
          <w:szCs w:val="20"/>
        </w:rPr>
        <w:t xml:space="preserve"> of political exile, in </w:t>
      </w:r>
      <w:r w:rsidR="00D726F9" w:rsidRPr="002A2289">
        <w:rPr>
          <w:rFonts w:asciiTheme="majorHAnsi" w:hAnsiTheme="majorHAnsi" w:cs="Times New Roman"/>
          <w:i/>
          <w:color w:val="auto"/>
          <w:sz w:val="20"/>
          <w:szCs w:val="20"/>
        </w:rPr>
        <w:t>Robasto</w:t>
      </w:r>
      <w:r w:rsidR="00D726F9" w:rsidRPr="002A2289">
        <w:rPr>
          <w:rFonts w:asciiTheme="majorHAnsi" w:hAnsiTheme="majorHAnsi" w:cs="Times New Roman"/>
          <w:color w:val="auto"/>
          <w:sz w:val="20"/>
          <w:szCs w:val="20"/>
        </w:rPr>
        <w:t xml:space="preserve">, with respect to </w:t>
      </w:r>
      <w:r w:rsidR="00DB40B5" w:rsidRPr="002A2289">
        <w:rPr>
          <w:rFonts w:asciiTheme="majorHAnsi" w:hAnsiTheme="majorHAnsi" w:cs="Times New Roman"/>
          <w:color w:val="auto"/>
          <w:sz w:val="20"/>
          <w:szCs w:val="20"/>
        </w:rPr>
        <w:t>“</w:t>
      </w:r>
      <w:r w:rsidR="00D726F9" w:rsidRPr="002A2289">
        <w:rPr>
          <w:rFonts w:asciiTheme="majorHAnsi" w:hAnsiTheme="majorHAnsi" w:cs="Times New Roman"/>
          <w:i/>
          <w:color w:val="auto"/>
          <w:sz w:val="20"/>
          <w:szCs w:val="20"/>
        </w:rPr>
        <w:t>de facto</w:t>
      </w:r>
      <w:r w:rsidR="00D726F9" w:rsidRPr="002A2289">
        <w:rPr>
          <w:rFonts w:asciiTheme="majorHAnsi" w:hAnsiTheme="majorHAnsi" w:cs="Times New Roman"/>
          <w:color w:val="auto"/>
          <w:sz w:val="20"/>
          <w:szCs w:val="20"/>
        </w:rPr>
        <w:t xml:space="preserve"> release under surveillance,” and in the very case of Mr. Almeida, in that </w:t>
      </w:r>
      <w:r w:rsidR="00DB40B5" w:rsidRPr="002A2289">
        <w:rPr>
          <w:rFonts w:asciiTheme="majorHAnsi" w:hAnsiTheme="majorHAnsi" w:cs="Times New Roman"/>
          <w:color w:val="auto"/>
          <w:sz w:val="20"/>
          <w:szCs w:val="20"/>
        </w:rPr>
        <w:t>he was awarded compensation due to his</w:t>
      </w:r>
      <w:r w:rsidR="00D726F9" w:rsidRPr="002A2289">
        <w:rPr>
          <w:rFonts w:asciiTheme="majorHAnsi" w:hAnsiTheme="majorHAnsi" w:cs="Times New Roman"/>
          <w:color w:val="auto"/>
          <w:sz w:val="20"/>
          <w:szCs w:val="20"/>
        </w:rPr>
        <w:t xml:space="preserve"> clandestine detention</w:t>
      </w:r>
      <w:r w:rsidR="00344B8A" w:rsidRPr="002A2289">
        <w:rPr>
          <w:rFonts w:asciiTheme="majorHAnsi" w:hAnsiTheme="majorHAnsi" w:cs="Times New Roman"/>
          <w:color w:val="auto"/>
          <w:sz w:val="20"/>
          <w:szCs w:val="20"/>
        </w:rPr>
        <w:t>,</w:t>
      </w:r>
      <w:r w:rsidR="00D726F9" w:rsidRPr="002A2289">
        <w:rPr>
          <w:rFonts w:asciiTheme="majorHAnsi" w:hAnsiTheme="majorHAnsi" w:cs="Times New Roman"/>
          <w:color w:val="auto"/>
          <w:sz w:val="20"/>
          <w:szCs w:val="20"/>
        </w:rPr>
        <w:t xml:space="preserve"> </w:t>
      </w:r>
      <w:r w:rsidR="00DB40B5" w:rsidRPr="002A2289">
        <w:rPr>
          <w:rFonts w:asciiTheme="majorHAnsi" w:hAnsiTheme="majorHAnsi" w:cs="Times New Roman"/>
          <w:color w:val="auto"/>
          <w:sz w:val="20"/>
          <w:szCs w:val="20"/>
        </w:rPr>
        <w:t>although</w:t>
      </w:r>
      <w:r w:rsidR="00D726F9" w:rsidRPr="002A2289">
        <w:rPr>
          <w:rFonts w:asciiTheme="majorHAnsi" w:hAnsiTheme="majorHAnsi" w:cs="Times New Roman"/>
          <w:color w:val="auto"/>
          <w:sz w:val="20"/>
          <w:szCs w:val="20"/>
        </w:rPr>
        <w:t xml:space="preserve"> the letter of the law requir</w:t>
      </w:r>
      <w:r w:rsidR="00DB40B5" w:rsidRPr="002A2289">
        <w:rPr>
          <w:rFonts w:asciiTheme="majorHAnsi" w:hAnsiTheme="majorHAnsi" w:cs="Times New Roman"/>
          <w:color w:val="auto"/>
          <w:sz w:val="20"/>
          <w:szCs w:val="20"/>
        </w:rPr>
        <w:t>ed</w:t>
      </w:r>
      <w:r w:rsidR="00D726F9" w:rsidRPr="002A2289">
        <w:rPr>
          <w:rFonts w:asciiTheme="majorHAnsi" w:hAnsiTheme="majorHAnsi" w:cs="Times New Roman"/>
          <w:color w:val="auto"/>
          <w:sz w:val="20"/>
          <w:szCs w:val="20"/>
        </w:rPr>
        <w:t xml:space="preserve"> an order from the executive branch or a military tribunal. T</w:t>
      </w:r>
      <w:r w:rsidR="00DB40B5" w:rsidRPr="002A2289">
        <w:rPr>
          <w:rFonts w:asciiTheme="majorHAnsi" w:hAnsiTheme="majorHAnsi" w:cs="Times New Roman"/>
          <w:color w:val="auto"/>
          <w:sz w:val="20"/>
          <w:szCs w:val="20"/>
        </w:rPr>
        <w:t xml:space="preserve">he IACHR </w:t>
      </w:r>
      <w:r w:rsidR="00D726F9" w:rsidRPr="002A2289">
        <w:rPr>
          <w:rFonts w:asciiTheme="majorHAnsi" w:hAnsiTheme="majorHAnsi" w:cs="Times New Roman"/>
          <w:color w:val="auto"/>
          <w:sz w:val="20"/>
          <w:szCs w:val="20"/>
        </w:rPr>
        <w:t xml:space="preserve">considers that in this </w:t>
      </w:r>
      <w:r w:rsidR="00DB40B5" w:rsidRPr="002A2289">
        <w:rPr>
          <w:rFonts w:asciiTheme="majorHAnsi" w:hAnsiTheme="majorHAnsi" w:cs="Times New Roman"/>
          <w:color w:val="auto"/>
          <w:sz w:val="20"/>
          <w:szCs w:val="20"/>
        </w:rPr>
        <w:t>regard</w:t>
      </w:r>
      <w:r w:rsidR="001E5AE7">
        <w:rPr>
          <w:rFonts w:asciiTheme="majorHAnsi" w:hAnsiTheme="majorHAnsi" w:cs="Times New Roman"/>
          <w:color w:val="auto"/>
          <w:sz w:val="20"/>
          <w:szCs w:val="20"/>
        </w:rPr>
        <w:t>,</w:t>
      </w:r>
      <w:r w:rsidR="00DB40B5" w:rsidRPr="002A2289">
        <w:rPr>
          <w:rFonts w:asciiTheme="majorHAnsi" w:hAnsiTheme="majorHAnsi" w:cs="Times New Roman"/>
          <w:color w:val="auto"/>
          <w:sz w:val="20"/>
          <w:szCs w:val="20"/>
        </w:rPr>
        <w:t xml:space="preserve"> </w:t>
      </w:r>
      <w:r w:rsidR="00D726F9" w:rsidRPr="002A2289">
        <w:rPr>
          <w:rFonts w:asciiTheme="majorHAnsi" w:hAnsiTheme="majorHAnsi" w:cs="Times New Roman"/>
          <w:color w:val="auto"/>
          <w:sz w:val="20"/>
          <w:szCs w:val="20"/>
        </w:rPr>
        <w:t xml:space="preserve">the State is also responsible for a violation of Article 2 of the American Convention </w:t>
      </w:r>
      <w:r w:rsidR="001E5AE7">
        <w:rPr>
          <w:rFonts w:asciiTheme="majorHAnsi" w:hAnsiTheme="majorHAnsi" w:cs="Times New Roman"/>
          <w:color w:val="auto"/>
          <w:sz w:val="20"/>
          <w:szCs w:val="20"/>
        </w:rPr>
        <w:t>for</w:t>
      </w:r>
      <w:r w:rsidR="00D726F9" w:rsidRPr="002A2289">
        <w:rPr>
          <w:rFonts w:asciiTheme="majorHAnsi" w:hAnsiTheme="majorHAnsi" w:cs="Times New Roman"/>
          <w:color w:val="auto"/>
          <w:sz w:val="20"/>
          <w:szCs w:val="20"/>
        </w:rPr>
        <w:t xml:space="preserve"> excluding </w:t>
      </w:r>
      <w:r w:rsidR="00D726F9" w:rsidRPr="002A2289">
        <w:rPr>
          <w:rFonts w:asciiTheme="majorHAnsi" w:hAnsiTheme="majorHAnsi" w:cs="Times New Roman"/>
          <w:i/>
          <w:color w:val="auto"/>
          <w:sz w:val="20"/>
          <w:szCs w:val="20"/>
        </w:rPr>
        <w:t>de facto</w:t>
      </w:r>
      <w:r w:rsidR="00D726F9" w:rsidRPr="002A2289">
        <w:rPr>
          <w:rFonts w:asciiTheme="majorHAnsi" w:hAnsiTheme="majorHAnsi" w:cs="Times New Roman"/>
          <w:color w:val="auto"/>
          <w:sz w:val="20"/>
          <w:szCs w:val="20"/>
        </w:rPr>
        <w:t xml:space="preserve"> release under surveillance from the scope of </w:t>
      </w:r>
      <w:r w:rsidR="00786D79">
        <w:rPr>
          <w:rFonts w:asciiTheme="majorHAnsi" w:hAnsiTheme="majorHAnsi" w:cs="Times New Roman"/>
          <w:color w:val="auto"/>
          <w:sz w:val="20"/>
          <w:szCs w:val="20"/>
        </w:rPr>
        <w:t>Law 24.043</w:t>
      </w:r>
      <w:r w:rsidR="00D726F9" w:rsidRPr="002A2289">
        <w:rPr>
          <w:rFonts w:asciiTheme="majorHAnsi" w:hAnsiTheme="majorHAnsi" w:cs="Times New Roman"/>
          <w:color w:val="auto"/>
          <w:sz w:val="20"/>
          <w:szCs w:val="20"/>
        </w:rPr>
        <w:t xml:space="preserve">, a situation that in general terms </w:t>
      </w:r>
      <w:r w:rsidR="00DB40B5" w:rsidRPr="002A2289">
        <w:rPr>
          <w:rFonts w:asciiTheme="majorHAnsi" w:hAnsiTheme="majorHAnsi" w:cs="Times New Roman"/>
          <w:color w:val="auto"/>
          <w:sz w:val="20"/>
          <w:szCs w:val="20"/>
        </w:rPr>
        <w:t>was</w:t>
      </w:r>
      <w:r w:rsidR="00D726F9" w:rsidRPr="002A2289">
        <w:rPr>
          <w:rFonts w:asciiTheme="majorHAnsi" w:hAnsiTheme="majorHAnsi" w:cs="Times New Roman"/>
          <w:color w:val="auto"/>
          <w:sz w:val="20"/>
          <w:szCs w:val="20"/>
        </w:rPr>
        <w:t xml:space="preserve"> subsequently </w:t>
      </w:r>
      <w:r w:rsidR="00344B8A" w:rsidRPr="002A2289">
        <w:rPr>
          <w:rFonts w:asciiTheme="majorHAnsi" w:hAnsiTheme="majorHAnsi" w:cs="Times New Roman"/>
          <w:color w:val="auto"/>
          <w:sz w:val="20"/>
          <w:szCs w:val="20"/>
        </w:rPr>
        <w:t xml:space="preserve">corrected </w:t>
      </w:r>
      <w:r w:rsidR="00D726F9" w:rsidRPr="002A2289">
        <w:rPr>
          <w:rFonts w:asciiTheme="majorHAnsi" w:hAnsiTheme="majorHAnsi" w:cs="Times New Roman"/>
          <w:color w:val="auto"/>
          <w:sz w:val="20"/>
          <w:szCs w:val="20"/>
        </w:rPr>
        <w:t>under the above-mentioned legal interpretation.</w:t>
      </w:r>
      <w:r w:rsidRPr="002A2289">
        <w:rPr>
          <w:rFonts w:asciiTheme="majorHAnsi" w:hAnsiTheme="majorHAnsi" w:cs="Times New Roman"/>
          <w:color w:val="auto"/>
          <w:sz w:val="20"/>
          <w:szCs w:val="20"/>
        </w:rPr>
        <w:t xml:space="preserve">  </w:t>
      </w:r>
    </w:p>
    <w:p w14:paraId="49EE540F" w14:textId="77777777" w:rsidR="00EC7AB1" w:rsidRPr="002A2289" w:rsidRDefault="00EC7AB1" w:rsidP="00EC7AB1">
      <w:pPr>
        <w:pStyle w:val="ListParagraph"/>
        <w:ind w:left="634" w:firstLine="720"/>
        <w:jc w:val="both"/>
        <w:rPr>
          <w:rFonts w:asciiTheme="majorHAnsi" w:hAnsiTheme="majorHAnsi" w:cs="Times New Roman"/>
          <w:color w:val="auto"/>
          <w:sz w:val="20"/>
          <w:szCs w:val="20"/>
        </w:rPr>
      </w:pPr>
    </w:p>
    <w:p w14:paraId="571B99C4" w14:textId="77777777" w:rsidR="00EC7AB1" w:rsidRPr="002A2289" w:rsidRDefault="00EC7AB1" w:rsidP="00EC7AB1">
      <w:pPr>
        <w:pStyle w:val="ListParagraph"/>
        <w:numPr>
          <w:ilvl w:val="0"/>
          <w:numId w:val="67"/>
        </w:numPr>
        <w:ind w:left="1440" w:hanging="720"/>
        <w:jc w:val="both"/>
        <w:rPr>
          <w:rFonts w:asciiTheme="majorHAnsi" w:hAnsiTheme="majorHAnsi" w:cs="Times New Roman"/>
          <w:b/>
          <w:sz w:val="20"/>
          <w:szCs w:val="20"/>
        </w:rPr>
      </w:pPr>
      <w:r w:rsidRPr="002A2289">
        <w:rPr>
          <w:rFonts w:asciiTheme="majorHAnsi" w:hAnsiTheme="majorHAnsi" w:cs="Times New Roman"/>
          <w:b/>
          <w:sz w:val="20"/>
          <w:szCs w:val="20"/>
        </w:rPr>
        <w:t>An</w:t>
      </w:r>
      <w:r w:rsidR="003236D1" w:rsidRPr="002A2289">
        <w:rPr>
          <w:rFonts w:asciiTheme="majorHAnsi" w:hAnsiTheme="majorHAnsi" w:cs="Times New Roman"/>
          <w:b/>
          <w:sz w:val="20"/>
          <w:szCs w:val="20"/>
        </w:rPr>
        <w:t xml:space="preserve">alysis of whether Mr. Almeida had an effective remedy with due guarantees </w:t>
      </w:r>
      <w:r w:rsidR="00344B8A" w:rsidRPr="002A2289">
        <w:rPr>
          <w:rFonts w:asciiTheme="majorHAnsi" w:hAnsiTheme="majorHAnsi" w:cs="Times New Roman"/>
          <w:b/>
          <w:sz w:val="20"/>
          <w:szCs w:val="20"/>
        </w:rPr>
        <w:t xml:space="preserve">vis-à-vis </w:t>
      </w:r>
      <w:r w:rsidR="003236D1" w:rsidRPr="002A2289">
        <w:rPr>
          <w:rFonts w:asciiTheme="majorHAnsi" w:hAnsiTheme="majorHAnsi" w:cs="Times New Roman"/>
          <w:b/>
          <w:sz w:val="20"/>
          <w:szCs w:val="20"/>
        </w:rPr>
        <w:t xml:space="preserve">the alleged violation of the right to equal protection </w:t>
      </w:r>
      <w:r w:rsidR="009A784F" w:rsidRPr="002A2289">
        <w:rPr>
          <w:rFonts w:asciiTheme="majorHAnsi" w:hAnsiTheme="majorHAnsi" w:cs="Times New Roman"/>
          <w:b/>
          <w:sz w:val="20"/>
          <w:szCs w:val="20"/>
        </w:rPr>
        <w:t>under</w:t>
      </w:r>
      <w:r w:rsidR="003236D1" w:rsidRPr="002A2289">
        <w:rPr>
          <w:rFonts w:asciiTheme="majorHAnsi" w:hAnsiTheme="majorHAnsi" w:cs="Times New Roman"/>
          <w:b/>
          <w:sz w:val="20"/>
          <w:szCs w:val="20"/>
        </w:rPr>
        <w:t xml:space="preserve"> the law </w:t>
      </w:r>
      <w:r w:rsidR="00344B8A" w:rsidRPr="002A2289">
        <w:rPr>
          <w:rFonts w:asciiTheme="majorHAnsi" w:hAnsiTheme="majorHAnsi" w:cs="Times New Roman"/>
          <w:b/>
          <w:sz w:val="20"/>
          <w:szCs w:val="20"/>
        </w:rPr>
        <w:t>during</w:t>
      </w:r>
      <w:r w:rsidR="003236D1" w:rsidRPr="002A2289">
        <w:rPr>
          <w:rFonts w:asciiTheme="majorHAnsi" w:hAnsiTheme="majorHAnsi" w:cs="Times New Roman"/>
          <w:b/>
          <w:sz w:val="20"/>
          <w:szCs w:val="20"/>
        </w:rPr>
        <w:t xml:space="preserve"> the first administrative proceedings and </w:t>
      </w:r>
      <w:r w:rsidR="00DB40B5" w:rsidRPr="002A2289">
        <w:rPr>
          <w:rFonts w:asciiTheme="majorHAnsi" w:hAnsiTheme="majorHAnsi" w:cs="Times New Roman"/>
          <w:b/>
          <w:sz w:val="20"/>
          <w:szCs w:val="20"/>
        </w:rPr>
        <w:t>judicial</w:t>
      </w:r>
      <w:r w:rsidR="003236D1" w:rsidRPr="002A2289">
        <w:rPr>
          <w:rFonts w:asciiTheme="majorHAnsi" w:hAnsiTheme="majorHAnsi" w:cs="Times New Roman"/>
          <w:b/>
          <w:sz w:val="20"/>
          <w:szCs w:val="20"/>
        </w:rPr>
        <w:t xml:space="preserve"> appeals. </w:t>
      </w:r>
    </w:p>
    <w:p w14:paraId="58E6D7A2" w14:textId="77777777" w:rsidR="00EC7AB1" w:rsidRPr="002A2289" w:rsidRDefault="00EC7AB1" w:rsidP="00EC7AB1">
      <w:pPr>
        <w:ind w:firstLine="720"/>
        <w:rPr>
          <w:rFonts w:asciiTheme="majorHAnsi" w:hAnsiTheme="majorHAnsi"/>
          <w:b/>
          <w:sz w:val="20"/>
          <w:szCs w:val="20"/>
        </w:rPr>
      </w:pPr>
    </w:p>
    <w:p w14:paraId="2AEB3D1E" w14:textId="1CF1E649" w:rsidR="00EC7AB1" w:rsidRPr="002A2289" w:rsidRDefault="009A784F"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The Commission notes that in his</w:t>
      </w:r>
      <w:r w:rsidR="003236D1" w:rsidRPr="002A2289">
        <w:rPr>
          <w:rFonts w:asciiTheme="majorHAnsi" w:hAnsiTheme="majorHAnsi" w:cs="Times New Roman"/>
          <w:color w:val="auto"/>
          <w:sz w:val="20"/>
          <w:szCs w:val="20"/>
        </w:rPr>
        <w:t xml:space="preserve"> appeal </w:t>
      </w:r>
      <w:r w:rsidR="001E5AE7">
        <w:rPr>
          <w:rFonts w:asciiTheme="majorHAnsi" w:hAnsiTheme="majorHAnsi" w:cs="Times New Roman"/>
          <w:color w:val="auto"/>
          <w:sz w:val="20"/>
          <w:szCs w:val="20"/>
        </w:rPr>
        <w:t>and</w:t>
      </w:r>
      <w:r w:rsidR="003236D1" w:rsidRPr="002A2289">
        <w:rPr>
          <w:rFonts w:asciiTheme="majorHAnsi" w:hAnsiTheme="majorHAnsi" w:cs="Times New Roman"/>
          <w:color w:val="auto"/>
          <w:sz w:val="20"/>
          <w:szCs w:val="20"/>
        </w:rPr>
        <w:t xml:space="preserve"> </w:t>
      </w:r>
      <w:r w:rsidRPr="002A2289">
        <w:rPr>
          <w:rFonts w:asciiTheme="majorHAnsi" w:hAnsiTheme="majorHAnsi" w:cs="Times New Roman"/>
          <w:color w:val="auto"/>
          <w:sz w:val="20"/>
          <w:szCs w:val="20"/>
        </w:rPr>
        <w:t>special appeal,</w:t>
      </w:r>
      <w:r w:rsidR="003236D1" w:rsidRPr="002A2289">
        <w:rPr>
          <w:rFonts w:asciiTheme="majorHAnsi" w:hAnsiTheme="majorHAnsi" w:cs="Times New Roman"/>
          <w:color w:val="auto"/>
          <w:sz w:val="20"/>
          <w:szCs w:val="20"/>
        </w:rPr>
        <w:t xml:space="preserve"> </w:t>
      </w:r>
      <w:proofErr w:type="spellStart"/>
      <w:r w:rsidR="003236D1" w:rsidRPr="002A2289">
        <w:rPr>
          <w:rFonts w:asciiTheme="majorHAnsi" w:hAnsiTheme="majorHAnsi" w:cs="Times New Roman"/>
          <w:color w:val="auto"/>
          <w:sz w:val="20"/>
          <w:szCs w:val="20"/>
        </w:rPr>
        <w:t>Rufino</w:t>
      </w:r>
      <w:proofErr w:type="spellEnd"/>
      <w:r w:rsidR="003236D1" w:rsidRPr="002A2289">
        <w:rPr>
          <w:rFonts w:asciiTheme="majorHAnsi" w:hAnsiTheme="majorHAnsi" w:cs="Times New Roman"/>
          <w:color w:val="auto"/>
          <w:sz w:val="20"/>
          <w:szCs w:val="20"/>
        </w:rPr>
        <w:t xml:space="preserve"> Jorge Almeida alleged a violation of the right to equal protection</w:t>
      </w:r>
      <w:r w:rsidRPr="002A2289">
        <w:rPr>
          <w:rFonts w:asciiTheme="majorHAnsi" w:hAnsiTheme="majorHAnsi" w:cs="Times New Roman"/>
          <w:color w:val="auto"/>
          <w:sz w:val="20"/>
          <w:szCs w:val="20"/>
        </w:rPr>
        <w:t xml:space="preserve"> under the law</w:t>
      </w:r>
      <w:r w:rsidR="003236D1" w:rsidRPr="002A2289">
        <w:rPr>
          <w:rFonts w:asciiTheme="majorHAnsi" w:hAnsiTheme="majorHAnsi" w:cs="Times New Roman"/>
          <w:color w:val="auto"/>
          <w:sz w:val="20"/>
          <w:szCs w:val="20"/>
        </w:rPr>
        <w:t xml:space="preserve">. The </w:t>
      </w:r>
      <w:r w:rsidR="00361761" w:rsidRPr="002A2289">
        <w:rPr>
          <w:rFonts w:asciiTheme="majorHAnsi" w:hAnsiTheme="majorHAnsi" w:cs="Times New Roman"/>
          <w:color w:val="auto"/>
          <w:sz w:val="20"/>
          <w:szCs w:val="20"/>
        </w:rPr>
        <w:t xml:space="preserve">established </w:t>
      </w:r>
      <w:r w:rsidR="003236D1" w:rsidRPr="002A2289">
        <w:rPr>
          <w:rFonts w:asciiTheme="majorHAnsi" w:hAnsiTheme="majorHAnsi" w:cs="Times New Roman"/>
          <w:color w:val="auto"/>
          <w:sz w:val="20"/>
          <w:szCs w:val="20"/>
        </w:rPr>
        <w:t>fact</w:t>
      </w:r>
      <w:r w:rsidR="00361761" w:rsidRPr="002A2289">
        <w:rPr>
          <w:rFonts w:asciiTheme="majorHAnsi" w:hAnsiTheme="majorHAnsi" w:cs="Times New Roman"/>
          <w:color w:val="auto"/>
          <w:sz w:val="20"/>
          <w:szCs w:val="20"/>
        </w:rPr>
        <w:t>s</w:t>
      </w:r>
      <w:r w:rsidR="003236D1" w:rsidRPr="002A2289">
        <w:rPr>
          <w:rFonts w:asciiTheme="majorHAnsi" w:hAnsiTheme="majorHAnsi" w:cs="Times New Roman"/>
          <w:color w:val="auto"/>
          <w:sz w:val="20"/>
          <w:szCs w:val="20"/>
        </w:rPr>
        <w:t xml:space="preserve"> </w:t>
      </w:r>
      <w:r w:rsidR="00361761" w:rsidRPr="002A2289">
        <w:rPr>
          <w:rFonts w:asciiTheme="majorHAnsi" w:hAnsiTheme="majorHAnsi" w:cs="Times New Roman"/>
          <w:color w:val="auto"/>
          <w:sz w:val="20"/>
          <w:szCs w:val="20"/>
        </w:rPr>
        <w:t>show</w:t>
      </w:r>
      <w:r w:rsidR="003236D1" w:rsidRPr="002A2289">
        <w:rPr>
          <w:rFonts w:asciiTheme="majorHAnsi" w:hAnsiTheme="majorHAnsi" w:cs="Times New Roman"/>
          <w:color w:val="auto"/>
          <w:sz w:val="20"/>
          <w:szCs w:val="20"/>
        </w:rPr>
        <w:t xml:space="preserve"> that </w:t>
      </w:r>
      <w:r w:rsidR="00361761" w:rsidRPr="002A2289">
        <w:rPr>
          <w:rFonts w:asciiTheme="majorHAnsi" w:hAnsiTheme="majorHAnsi" w:cs="Times New Roman"/>
          <w:color w:val="auto"/>
          <w:sz w:val="20"/>
          <w:szCs w:val="20"/>
        </w:rPr>
        <w:t xml:space="preserve">the </w:t>
      </w:r>
      <w:r w:rsidRPr="002A2289">
        <w:rPr>
          <w:rFonts w:asciiTheme="majorHAnsi" w:hAnsiTheme="majorHAnsi" w:cs="Times New Roman"/>
          <w:color w:val="auto"/>
          <w:sz w:val="20"/>
          <w:szCs w:val="20"/>
        </w:rPr>
        <w:t xml:space="preserve">special </w:t>
      </w:r>
      <w:r w:rsidR="00361761" w:rsidRPr="002A2289">
        <w:rPr>
          <w:rFonts w:asciiTheme="majorHAnsi" w:hAnsiTheme="majorHAnsi" w:cs="Times New Roman"/>
          <w:color w:val="auto"/>
          <w:sz w:val="20"/>
          <w:szCs w:val="20"/>
        </w:rPr>
        <w:t>appeal refer</w:t>
      </w:r>
      <w:r w:rsidRPr="002A2289">
        <w:rPr>
          <w:rFonts w:asciiTheme="majorHAnsi" w:hAnsiTheme="majorHAnsi" w:cs="Times New Roman"/>
          <w:color w:val="auto"/>
          <w:sz w:val="20"/>
          <w:szCs w:val="20"/>
        </w:rPr>
        <w:t>r</w:t>
      </w:r>
      <w:r w:rsidR="00361761" w:rsidRPr="002A2289">
        <w:rPr>
          <w:rFonts w:asciiTheme="majorHAnsi" w:hAnsiTheme="majorHAnsi" w:cs="Times New Roman"/>
          <w:color w:val="auto"/>
          <w:sz w:val="20"/>
          <w:szCs w:val="20"/>
        </w:rPr>
        <w:t xml:space="preserve">ed to situations that were, in </w:t>
      </w:r>
      <w:r w:rsidRPr="002A2289">
        <w:rPr>
          <w:rFonts w:asciiTheme="majorHAnsi" w:hAnsiTheme="majorHAnsi" w:cs="Times New Roman"/>
          <w:color w:val="auto"/>
          <w:sz w:val="20"/>
          <w:szCs w:val="20"/>
        </w:rPr>
        <w:t>his</w:t>
      </w:r>
      <w:r w:rsidR="00361761" w:rsidRPr="002A2289">
        <w:rPr>
          <w:rFonts w:asciiTheme="majorHAnsi" w:hAnsiTheme="majorHAnsi" w:cs="Times New Roman"/>
          <w:color w:val="auto"/>
          <w:sz w:val="20"/>
          <w:szCs w:val="20"/>
        </w:rPr>
        <w:t xml:space="preserve"> opinion, comparable to those </w:t>
      </w:r>
      <w:r w:rsidR="00344B8A" w:rsidRPr="002A2289">
        <w:rPr>
          <w:rFonts w:asciiTheme="majorHAnsi" w:hAnsiTheme="majorHAnsi" w:cs="Times New Roman"/>
          <w:color w:val="auto"/>
          <w:sz w:val="20"/>
          <w:szCs w:val="20"/>
        </w:rPr>
        <w:t xml:space="preserve">situations </w:t>
      </w:r>
      <w:r w:rsidR="00361761" w:rsidRPr="002A2289">
        <w:rPr>
          <w:rFonts w:asciiTheme="majorHAnsi" w:hAnsiTheme="majorHAnsi" w:cs="Times New Roman"/>
          <w:color w:val="auto"/>
          <w:sz w:val="20"/>
          <w:szCs w:val="20"/>
        </w:rPr>
        <w:t xml:space="preserve">in which the Supreme Court </w:t>
      </w:r>
      <w:r w:rsidR="00344B8A" w:rsidRPr="002A2289">
        <w:rPr>
          <w:rFonts w:asciiTheme="majorHAnsi" w:hAnsiTheme="majorHAnsi" w:cs="Times New Roman"/>
          <w:color w:val="auto"/>
          <w:sz w:val="20"/>
          <w:szCs w:val="20"/>
        </w:rPr>
        <w:t xml:space="preserve">had </w:t>
      </w:r>
      <w:r w:rsidR="00361761" w:rsidRPr="002A2289">
        <w:rPr>
          <w:rFonts w:asciiTheme="majorHAnsi" w:hAnsiTheme="majorHAnsi" w:cs="Times New Roman"/>
          <w:color w:val="auto"/>
          <w:sz w:val="20"/>
          <w:szCs w:val="20"/>
        </w:rPr>
        <w:t xml:space="preserve">interpreted the </w:t>
      </w:r>
      <w:r w:rsidRPr="002A2289">
        <w:rPr>
          <w:rFonts w:asciiTheme="majorHAnsi" w:hAnsiTheme="majorHAnsi" w:cs="Times New Roman"/>
          <w:color w:val="auto"/>
          <w:sz w:val="20"/>
          <w:szCs w:val="20"/>
        </w:rPr>
        <w:t>terms of</w:t>
      </w:r>
      <w:r w:rsidR="00361761" w:rsidRPr="002A2289">
        <w:rPr>
          <w:rFonts w:asciiTheme="majorHAnsi" w:hAnsiTheme="majorHAnsi" w:cs="Times New Roman"/>
          <w:color w:val="auto"/>
          <w:sz w:val="20"/>
          <w:szCs w:val="20"/>
        </w:rPr>
        <w:t xml:space="preserve"> </w:t>
      </w:r>
      <w:r w:rsidR="00786D79">
        <w:rPr>
          <w:rFonts w:asciiTheme="majorHAnsi" w:hAnsiTheme="majorHAnsi" w:cs="Times New Roman"/>
          <w:color w:val="auto"/>
          <w:sz w:val="20"/>
          <w:szCs w:val="20"/>
        </w:rPr>
        <w:t>Law 24.043</w:t>
      </w:r>
      <w:r w:rsidR="00361761" w:rsidRPr="002A2289">
        <w:rPr>
          <w:rFonts w:asciiTheme="majorHAnsi" w:hAnsiTheme="majorHAnsi" w:cs="Times New Roman"/>
          <w:color w:val="auto"/>
          <w:sz w:val="20"/>
          <w:szCs w:val="20"/>
        </w:rPr>
        <w:t xml:space="preserve"> in a broad manner, </w:t>
      </w:r>
      <w:r w:rsidRPr="002A2289">
        <w:rPr>
          <w:rFonts w:asciiTheme="majorHAnsi" w:hAnsiTheme="majorHAnsi" w:cs="Times New Roman"/>
          <w:color w:val="auto"/>
          <w:sz w:val="20"/>
          <w:szCs w:val="20"/>
        </w:rPr>
        <w:t xml:space="preserve">allowing greater flexibility in the </w:t>
      </w:r>
      <w:r w:rsidR="00361761" w:rsidRPr="002A2289">
        <w:rPr>
          <w:rFonts w:asciiTheme="majorHAnsi" w:hAnsiTheme="majorHAnsi" w:cs="Times New Roman"/>
          <w:color w:val="auto"/>
          <w:sz w:val="20"/>
          <w:szCs w:val="20"/>
        </w:rPr>
        <w:t xml:space="preserve">criteria for </w:t>
      </w:r>
      <w:r w:rsidRPr="002A2289">
        <w:rPr>
          <w:rFonts w:asciiTheme="majorHAnsi" w:hAnsiTheme="majorHAnsi" w:cs="Times New Roman"/>
          <w:color w:val="auto"/>
          <w:sz w:val="20"/>
          <w:szCs w:val="20"/>
        </w:rPr>
        <w:t>its</w:t>
      </w:r>
      <w:r w:rsidR="00361761" w:rsidRPr="002A2289">
        <w:rPr>
          <w:rFonts w:asciiTheme="majorHAnsi" w:hAnsiTheme="majorHAnsi" w:cs="Times New Roman"/>
          <w:color w:val="auto"/>
          <w:sz w:val="20"/>
          <w:szCs w:val="20"/>
        </w:rPr>
        <w:t xml:space="preserve"> </w:t>
      </w:r>
      <w:r w:rsidRPr="002A2289">
        <w:rPr>
          <w:rFonts w:asciiTheme="majorHAnsi" w:hAnsiTheme="majorHAnsi" w:cs="Times New Roman"/>
          <w:color w:val="auto"/>
          <w:sz w:val="20"/>
          <w:szCs w:val="20"/>
        </w:rPr>
        <w:t>application</w:t>
      </w:r>
      <w:r w:rsidR="00361761" w:rsidRPr="002A2289">
        <w:rPr>
          <w:rFonts w:asciiTheme="majorHAnsi" w:hAnsiTheme="majorHAnsi" w:cs="Times New Roman"/>
          <w:color w:val="auto"/>
          <w:sz w:val="20"/>
          <w:szCs w:val="20"/>
        </w:rPr>
        <w:t xml:space="preserve">. In particular, Mr. Almeida referred to the </w:t>
      </w:r>
      <w:r w:rsidR="00361761" w:rsidRPr="002A2289">
        <w:rPr>
          <w:rFonts w:asciiTheme="majorHAnsi" w:hAnsiTheme="majorHAnsi" w:cs="Times New Roman"/>
          <w:i/>
          <w:color w:val="auto"/>
          <w:sz w:val="20"/>
          <w:szCs w:val="20"/>
        </w:rPr>
        <w:t xml:space="preserve">Noro </w:t>
      </w:r>
      <w:r w:rsidR="00361761" w:rsidRPr="002A2289">
        <w:rPr>
          <w:rFonts w:asciiTheme="majorHAnsi" w:hAnsiTheme="majorHAnsi" w:cs="Times New Roman"/>
          <w:color w:val="auto"/>
          <w:sz w:val="20"/>
          <w:szCs w:val="20"/>
        </w:rPr>
        <w:t xml:space="preserve">case, in which the concept of release under surveillance </w:t>
      </w:r>
      <w:r w:rsidR="00344B8A" w:rsidRPr="002A2289">
        <w:rPr>
          <w:rFonts w:asciiTheme="majorHAnsi" w:hAnsiTheme="majorHAnsi" w:cs="Times New Roman"/>
          <w:color w:val="auto"/>
          <w:sz w:val="20"/>
          <w:szCs w:val="20"/>
        </w:rPr>
        <w:t xml:space="preserve">that was </w:t>
      </w:r>
      <w:r w:rsidR="00361761" w:rsidRPr="002A2289">
        <w:rPr>
          <w:rFonts w:asciiTheme="majorHAnsi" w:hAnsiTheme="majorHAnsi" w:cs="Times New Roman"/>
          <w:color w:val="auto"/>
          <w:sz w:val="20"/>
          <w:szCs w:val="20"/>
        </w:rPr>
        <w:t xml:space="preserve">eligible for compensation under that Law was broadened. Mr. </w:t>
      </w:r>
      <w:r w:rsidR="00C43E71" w:rsidRPr="002A2289">
        <w:rPr>
          <w:rFonts w:asciiTheme="majorHAnsi" w:hAnsiTheme="majorHAnsi" w:cs="Times New Roman"/>
          <w:color w:val="auto"/>
          <w:sz w:val="20"/>
          <w:szCs w:val="20"/>
        </w:rPr>
        <w:t>Almeida also refer</w:t>
      </w:r>
      <w:r w:rsidRPr="002A2289">
        <w:rPr>
          <w:rFonts w:asciiTheme="majorHAnsi" w:hAnsiTheme="majorHAnsi" w:cs="Times New Roman"/>
          <w:color w:val="auto"/>
          <w:sz w:val="20"/>
          <w:szCs w:val="20"/>
        </w:rPr>
        <w:t>r</w:t>
      </w:r>
      <w:r w:rsidR="00C43E71" w:rsidRPr="002A2289">
        <w:rPr>
          <w:rFonts w:asciiTheme="majorHAnsi" w:hAnsiTheme="majorHAnsi" w:cs="Times New Roman"/>
          <w:color w:val="auto"/>
          <w:sz w:val="20"/>
          <w:szCs w:val="20"/>
        </w:rPr>
        <w:t>ed to other case</w:t>
      </w:r>
      <w:r w:rsidR="00361761" w:rsidRPr="002A2289">
        <w:rPr>
          <w:rFonts w:asciiTheme="majorHAnsi" w:hAnsiTheme="majorHAnsi" w:cs="Times New Roman"/>
          <w:color w:val="auto"/>
          <w:sz w:val="20"/>
          <w:szCs w:val="20"/>
        </w:rPr>
        <w:t xml:space="preserve">s of exile in which </w:t>
      </w:r>
      <w:r w:rsidRPr="002A2289">
        <w:rPr>
          <w:rFonts w:asciiTheme="majorHAnsi" w:hAnsiTheme="majorHAnsi" w:cs="Times New Roman"/>
          <w:color w:val="auto"/>
          <w:sz w:val="20"/>
          <w:szCs w:val="20"/>
        </w:rPr>
        <w:t xml:space="preserve">greater flexibility was allowed in </w:t>
      </w:r>
      <w:r w:rsidR="00361761" w:rsidRPr="002A2289">
        <w:rPr>
          <w:rFonts w:asciiTheme="majorHAnsi" w:hAnsiTheme="majorHAnsi" w:cs="Times New Roman"/>
          <w:color w:val="auto"/>
          <w:sz w:val="20"/>
          <w:szCs w:val="20"/>
        </w:rPr>
        <w:t xml:space="preserve">the legal criteria. </w:t>
      </w:r>
      <w:r w:rsidR="003236D1" w:rsidRPr="002A2289">
        <w:rPr>
          <w:rFonts w:asciiTheme="majorHAnsi" w:hAnsiTheme="majorHAnsi" w:cs="Times New Roman"/>
          <w:color w:val="auto"/>
          <w:sz w:val="20"/>
          <w:szCs w:val="20"/>
        </w:rPr>
        <w:t xml:space="preserve"> </w:t>
      </w:r>
    </w:p>
    <w:p w14:paraId="1D946485" w14:textId="77777777" w:rsidR="00EC7AB1" w:rsidRPr="002A2289" w:rsidRDefault="00EC7AB1" w:rsidP="00EC7AB1">
      <w:pPr>
        <w:pStyle w:val="ListParagraph"/>
        <w:ind w:left="634" w:firstLine="720"/>
        <w:jc w:val="both"/>
        <w:rPr>
          <w:rFonts w:asciiTheme="majorHAnsi" w:hAnsiTheme="majorHAnsi" w:cs="Times New Roman"/>
          <w:color w:val="auto"/>
          <w:sz w:val="20"/>
          <w:szCs w:val="20"/>
        </w:rPr>
      </w:pPr>
    </w:p>
    <w:p w14:paraId="60E0F3C4" w14:textId="461DC9C9" w:rsidR="00EC7AB1" w:rsidRPr="002A2289" w:rsidRDefault="00C40AC4"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Although Mr. Alme</w:t>
      </w:r>
      <w:r w:rsidR="00A24118" w:rsidRPr="002A2289">
        <w:rPr>
          <w:rFonts w:asciiTheme="majorHAnsi" w:hAnsiTheme="majorHAnsi" w:cs="Times New Roman"/>
          <w:color w:val="auto"/>
          <w:sz w:val="20"/>
          <w:szCs w:val="20"/>
        </w:rPr>
        <w:t xml:space="preserve">ida presented an </w:t>
      </w:r>
      <w:r w:rsidR="00344B8A" w:rsidRPr="002A2289">
        <w:rPr>
          <w:rFonts w:asciiTheme="majorHAnsi" w:hAnsiTheme="majorHAnsi" w:cs="Times New Roman"/>
          <w:color w:val="auto"/>
          <w:sz w:val="20"/>
          <w:szCs w:val="20"/>
        </w:rPr>
        <w:t xml:space="preserve">argument </w:t>
      </w:r>
      <w:r w:rsidR="00AA5BC3">
        <w:rPr>
          <w:rFonts w:asciiTheme="majorHAnsi" w:hAnsiTheme="majorHAnsi" w:cs="Times New Roman"/>
          <w:color w:val="auto"/>
          <w:sz w:val="20"/>
          <w:szCs w:val="20"/>
        </w:rPr>
        <w:t xml:space="preserve">to the Commission </w:t>
      </w:r>
      <w:r w:rsidR="00344B8A" w:rsidRPr="002A2289">
        <w:rPr>
          <w:rFonts w:asciiTheme="majorHAnsi" w:hAnsiTheme="majorHAnsi" w:cs="Times New Roman"/>
          <w:color w:val="auto"/>
          <w:sz w:val="20"/>
          <w:szCs w:val="20"/>
        </w:rPr>
        <w:t xml:space="preserve">regarding the fundamental right of </w:t>
      </w:r>
      <w:r w:rsidR="00A24118" w:rsidRPr="002A2289">
        <w:rPr>
          <w:rFonts w:asciiTheme="majorHAnsi" w:hAnsiTheme="majorHAnsi" w:cs="Times New Roman"/>
          <w:color w:val="auto"/>
          <w:sz w:val="20"/>
          <w:szCs w:val="20"/>
        </w:rPr>
        <w:t>equal</w:t>
      </w:r>
      <w:r w:rsidR="00344B8A" w:rsidRPr="002A2289">
        <w:rPr>
          <w:rFonts w:asciiTheme="majorHAnsi" w:hAnsiTheme="majorHAnsi" w:cs="Times New Roman"/>
          <w:color w:val="auto"/>
          <w:sz w:val="20"/>
          <w:szCs w:val="20"/>
        </w:rPr>
        <w:t xml:space="preserve"> </w:t>
      </w:r>
      <w:r w:rsidR="00A24118" w:rsidRPr="002A2289">
        <w:rPr>
          <w:rFonts w:asciiTheme="majorHAnsi" w:hAnsiTheme="majorHAnsi" w:cs="Times New Roman"/>
          <w:color w:val="auto"/>
          <w:sz w:val="20"/>
          <w:szCs w:val="20"/>
        </w:rPr>
        <w:t>protection before the law</w:t>
      </w:r>
      <w:r w:rsidR="00344B8A" w:rsidRPr="002A2289">
        <w:rPr>
          <w:rFonts w:asciiTheme="majorHAnsi" w:hAnsiTheme="majorHAnsi" w:cs="Times New Roman"/>
          <w:color w:val="auto"/>
          <w:sz w:val="20"/>
          <w:szCs w:val="20"/>
        </w:rPr>
        <w:t xml:space="preserve">, </w:t>
      </w:r>
      <w:r w:rsidR="005C5085" w:rsidRPr="002A2289">
        <w:rPr>
          <w:rFonts w:asciiTheme="majorHAnsi" w:hAnsiTheme="majorHAnsi" w:cs="Times New Roman"/>
          <w:color w:val="auto"/>
          <w:sz w:val="20"/>
          <w:szCs w:val="20"/>
        </w:rPr>
        <w:t>the</w:t>
      </w:r>
      <w:r w:rsidR="00344B8A" w:rsidRPr="002A2289">
        <w:rPr>
          <w:rFonts w:asciiTheme="majorHAnsi" w:hAnsiTheme="majorHAnsi" w:cs="Times New Roman"/>
          <w:color w:val="auto"/>
          <w:sz w:val="20"/>
          <w:szCs w:val="20"/>
        </w:rPr>
        <w:t xml:space="preserve"> </w:t>
      </w:r>
      <w:r w:rsidR="005C5085" w:rsidRPr="002A2289">
        <w:rPr>
          <w:rFonts w:asciiTheme="majorHAnsi" w:hAnsiTheme="majorHAnsi" w:cs="Times New Roman"/>
          <w:color w:val="auto"/>
          <w:sz w:val="20"/>
          <w:szCs w:val="20"/>
        </w:rPr>
        <w:t>judicial authority’s obligation to take said argument seriously and to rule on the merits t</w:t>
      </w:r>
      <w:bookmarkStart w:id="19" w:name="_GoBack"/>
      <w:bookmarkEnd w:id="19"/>
      <w:r w:rsidR="005C5085" w:rsidRPr="002A2289">
        <w:rPr>
          <w:rFonts w:asciiTheme="majorHAnsi" w:hAnsiTheme="majorHAnsi" w:cs="Times New Roman"/>
          <w:color w:val="auto"/>
          <w:sz w:val="20"/>
          <w:szCs w:val="20"/>
        </w:rPr>
        <w:t xml:space="preserve">hereof </w:t>
      </w:r>
      <w:r w:rsidR="00344B8A" w:rsidRPr="002A2289">
        <w:rPr>
          <w:rFonts w:asciiTheme="majorHAnsi" w:hAnsiTheme="majorHAnsi" w:cs="Times New Roman"/>
          <w:color w:val="auto"/>
          <w:sz w:val="20"/>
          <w:szCs w:val="20"/>
        </w:rPr>
        <w:t xml:space="preserve">actually </w:t>
      </w:r>
      <w:r w:rsidR="005C5085" w:rsidRPr="002A2289">
        <w:rPr>
          <w:rFonts w:asciiTheme="majorHAnsi" w:hAnsiTheme="majorHAnsi" w:cs="Times New Roman"/>
          <w:color w:val="auto"/>
          <w:sz w:val="20"/>
          <w:szCs w:val="20"/>
        </w:rPr>
        <w:t xml:space="preserve">stemmed from </w:t>
      </w:r>
      <w:r w:rsidR="00A24118" w:rsidRPr="002A2289">
        <w:rPr>
          <w:rFonts w:asciiTheme="majorHAnsi" w:hAnsiTheme="majorHAnsi" w:cs="Times New Roman"/>
          <w:color w:val="auto"/>
          <w:sz w:val="20"/>
          <w:szCs w:val="20"/>
        </w:rPr>
        <w:t>the right</w:t>
      </w:r>
      <w:r w:rsidR="005C5085" w:rsidRPr="002A2289">
        <w:rPr>
          <w:rFonts w:asciiTheme="majorHAnsi" w:hAnsiTheme="majorHAnsi" w:cs="Times New Roman"/>
          <w:color w:val="auto"/>
          <w:sz w:val="20"/>
          <w:szCs w:val="20"/>
        </w:rPr>
        <w:t xml:space="preserve"> to judicial protection</w:t>
      </w:r>
      <w:r w:rsidR="00A24118" w:rsidRPr="002A2289">
        <w:rPr>
          <w:rFonts w:asciiTheme="majorHAnsi" w:hAnsiTheme="majorHAnsi" w:cs="Times New Roman"/>
          <w:color w:val="auto"/>
          <w:sz w:val="20"/>
          <w:szCs w:val="20"/>
        </w:rPr>
        <w:t>. That is, to the extent tha</w:t>
      </w:r>
      <w:r w:rsidR="00AA5BC3">
        <w:rPr>
          <w:rFonts w:asciiTheme="majorHAnsi" w:hAnsiTheme="majorHAnsi" w:cs="Times New Roman"/>
          <w:color w:val="auto"/>
          <w:sz w:val="20"/>
          <w:szCs w:val="20"/>
        </w:rPr>
        <w:t>t</w:t>
      </w:r>
      <w:r w:rsidR="00A24118" w:rsidRPr="002A2289">
        <w:rPr>
          <w:rFonts w:asciiTheme="majorHAnsi" w:hAnsiTheme="majorHAnsi" w:cs="Times New Roman"/>
          <w:color w:val="auto"/>
          <w:sz w:val="20"/>
          <w:szCs w:val="20"/>
        </w:rPr>
        <w:t xml:space="preserve"> </w:t>
      </w:r>
      <w:r w:rsidR="00AA5BC3">
        <w:rPr>
          <w:rFonts w:asciiTheme="majorHAnsi" w:hAnsiTheme="majorHAnsi" w:cs="Times New Roman"/>
          <w:color w:val="auto"/>
          <w:sz w:val="20"/>
          <w:szCs w:val="20"/>
        </w:rPr>
        <w:t>—</w:t>
      </w:r>
      <w:r w:rsidR="00A24118" w:rsidRPr="002A2289">
        <w:rPr>
          <w:rFonts w:asciiTheme="majorHAnsi" w:hAnsiTheme="majorHAnsi" w:cs="Times New Roman"/>
          <w:color w:val="auto"/>
          <w:sz w:val="20"/>
          <w:szCs w:val="20"/>
        </w:rPr>
        <w:t>as the European Court of Human Rights has recognized</w:t>
      </w:r>
      <w:r w:rsidR="00AA5BC3">
        <w:rPr>
          <w:rFonts w:asciiTheme="majorHAnsi" w:hAnsiTheme="majorHAnsi" w:cs="Times New Roman"/>
          <w:color w:val="auto"/>
          <w:sz w:val="20"/>
          <w:szCs w:val="20"/>
        </w:rPr>
        <w:t>—</w:t>
      </w:r>
      <w:r w:rsidR="00A24118" w:rsidRPr="002A2289">
        <w:rPr>
          <w:rFonts w:asciiTheme="majorHAnsi" w:hAnsiTheme="majorHAnsi" w:cs="Times New Roman"/>
          <w:color w:val="auto"/>
          <w:sz w:val="20"/>
          <w:szCs w:val="20"/>
        </w:rPr>
        <w:t xml:space="preserve"> it is reasonable to understand</w:t>
      </w:r>
      <w:r w:rsidR="00344B8A" w:rsidRPr="002A2289">
        <w:rPr>
          <w:rFonts w:asciiTheme="majorHAnsi" w:hAnsiTheme="majorHAnsi" w:cs="Times New Roman"/>
          <w:color w:val="auto"/>
          <w:sz w:val="20"/>
          <w:szCs w:val="20"/>
        </w:rPr>
        <w:t xml:space="preserve"> that</w:t>
      </w:r>
      <w:r w:rsidR="00A24118" w:rsidRPr="002A2289">
        <w:rPr>
          <w:rFonts w:asciiTheme="majorHAnsi" w:hAnsiTheme="majorHAnsi" w:cs="Times New Roman"/>
          <w:color w:val="auto"/>
          <w:sz w:val="20"/>
          <w:szCs w:val="20"/>
        </w:rPr>
        <w:t xml:space="preserve"> at least </w:t>
      </w:r>
      <w:r w:rsidR="00A24118" w:rsidRPr="002A2289">
        <w:rPr>
          <w:rFonts w:asciiTheme="majorHAnsi" w:hAnsiTheme="majorHAnsi" w:cs="Times New Roman"/>
          <w:i/>
          <w:color w:val="auto"/>
          <w:sz w:val="20"/>
          <w:szCs w:val="20"/>
        </w:rPr>
        <w:t>prima facie</w:t>
      </w:r>
      <w:r w:rsidR="00A24118" w:rsidRPr="002A2289">
        <w:rPr>
          <w:rFonts w:asciiTheme="majorHAnsi" w:hAnsiTheme="majorHAnsi" w:cs="Times New Roman"/>
          <w:color w:val="auto"/>
          <w:sz w:val="20"/>
          <w:szCs w:val="20"/>
        </w:rPr>
        <w:t>, the existence of di</w:t>
      </w:r>
      <w:r w:rsidR="005C5085" w:rsidRPr="002A2289">
        <w:rPr>
          <w:rFonts w:asciiTheme="majorHAnsi" w:hAnsiTheme="majorHAnsi" w:cs="Times New Roman"/>
          <w:color w:val="auto"/>
          <w:sz w:val="20"/>
          <w:szCs w:val="20"/>
        </w:rPr>
        <w:t>fferent</w:t>
      </w:r>
      <w:r w:rsidR="00A24118" w:rsidRPr="002A2289">
        <w:rPr>
          <w:rFonts w:asciiTheme="majorHAnsi" w:hAnsiTheme="majorHAnsi" w:cs="Times New Roman"/>
          <w:color w:val="auto"/>
          <w:sz w:val="20"/>
          <w:szCs w:val="20"/>
        </w:rPr>
        <w:t xml:space="preserve"> judicial responses to comparable situations potentially </w:t>
      </w:r>
      <w:r w:rsidR="005C5085" w:rsidRPr="002A2289">
        <w:rPr>
          <w:rFonts w:asciiTheme="majorHAnsi" w:hAnsiTheme="majorHAnsi" w:cs="Times New Roman"/>
          <w:color w:val="auto"/>
          <w:sz w:val="20"/>
          <w:szCs w:val="20"/>
        </w:rPr>
        <w:t>gives rise to</w:t>
      </w:r>
      <w:r w:rsidR="00A24118" w:rsidRPr="002A2289">
        <w:rPr>
          <w:rFonts w:asciiTheme="majorHAnsi" w:hAnsiTheme="majorHAnsi" w:cs="Times New Roman"/>
          <w:color w:val="auto"/>
          <w:sz w:val="20"/>
          <w:szCs w:val="20"/>
        </w:rPr>
        <w:t xml:space="preserve"> a case of violation of the right to equal protection</w:t>
      </w:r>
      <w:r w:rsidR="005C5085" w:rsidRPr="002A2289">
        <w:rPr>
          <w:rFonts w:asciiTheme="majorHAnsi" w:hAnsiTheme="majorHAnsi" w:cs="Times New Roman"/>
          <w:color w:val="auto"/>
          <w:sz w:val="20"/>
          <w:szCs w:val="20"/>
        </w:rPr>
        <w:t xml:space="preserve"> under the law</w:t>
      </w:r>
      <w:r w:rsidR="00AA5BC3">
        <w:rPr>
          <w:rFonts w:asciiTheme="majorHAnsi" w:hAnsiTheme="majorHAnsi" w:cs="Times New Roman"/>
          <w:color w:val="auto"/>
          <w:sz w:val="20"/>
          <w:szCs w:val="20"/>
        </w:rPr>
        <w:t>,</w:t>
      </w:r>
      <w:r w:rsidR="00A24118" w:rsidRPr="002A2289">
        <w:rPr>
          <w:rFonts w:asciiTheme="majorHAnsi" w:hAnsiTheme="majorHAnsi" w:cs="Times New Roman"/>
          <w:color w:val="auto"/>
          <w:sz w:val="20"/>
          <w:szCs w:val="20"/>
        </w:rPr>
        <w:t xml:space="preserve"> the case </w:t>
      </w:r>
      <w:r w:rsidR="00344B8A" w:rsidRPr="002A2289">
        <w:rPr>
          <w:rFonts w:asciiTheme="majorHAnsi" w:hAnsiTheme="majorHAnsi" w:cs="Times New Roman"/>
          <w:color w:val="auto"/>
          <w:sz w:val="20"/>
          <w:szCs w:val="20"/>
        </w:rPr>
        <w:t xml:space="preserve">then </w:t>
      </w:r>
      <w:r w:rsidR="00A24118" w:rsidRPr="002A2289">
        <w:rPr>
          <w:rFonts w:asciiTheme="majorHAnsi" w:hAnsiTheme="majorHAnsi" w:cs="Times New Roman"/>
          <w:color w:val="auto"/>
          <w:sz w:val="20"/>
          <w:szCs w:val="20"/>
        </w:rPr>
        <w:t xml:space="preserve">deserved a ruling on the merits with </w:t>
      </w:r>
      <w:r w:rsidR="00344B8A" w:rsidRPr="002A2289">
        <w:rPr>
          <w:rFonts w:asciiTheme="majorHAnsi" w:hAnsiTheme="majorHAnsi" w:cs="Times New Roman"/>
          <w:color w:val="auto"/>
          <w:sz w:val="20"/>
          <w:szCs w:val="20"/>
        </w:rPr>
        <w:t xml:space="preserve">a </w:t>
      </w:r>
      <w:r w:rsidR="005C5085" w:rsidRPr="002A2289">
        <w:rPr>
          <w:rFonts w:asciiTheme="majorHAnsi" w:hAnsiTheme="majorHAnsi" w:cs="Times New Roman"/>
          <w:color w:val="auto"/>
          <w:sz w:val="20"/>
          <w:szCs w:val="20"/>
        </w:rPr>
        <w:t>duly founded</w:t>
      </w:r>
      <w:r w:rsidR="00A24118" w:rsidRPr="002A2289">
        <w:rPr>
          <w:rFonts w:asciiTheme="majorHAnsi" w:hAnsiTheme="majorHAnsi" w:cs="Times New Roman"/>
          <w:color w:val="auto"/>
          <w:sz w:val="20"/>
          <w:szCs w:val="20"/>
        </w:rPr>
        <w:t xml:space="preserve"> </w:t>
      </w:r>
      <w:r w:rsidR="00344B8A" w:rsidRPr="002A2289">
        <w:rPr>
          <w:rFonts w:asciiTheme="majorHAnsi" w:hAnsiTheme="majorHAnsi" w:cs="Times New Roman"/>
          <w:color w:val="auto"/>
          <w:sz w:val="20"/>
          <w:szCs w:val="20"/>
        </w:rPr>
        <w:t>decision</w:t>
      </w:r>
      <w:r w:rsidR="00A24118" w:rsidRPr="002A2289">
        <w:rPr>
          <w:rFonts w:asciiTheme="majorHAnsi" w:hAnsiTheme="majorHAnsi" w:cs="Times New Roman"/>
          <w:color w:val="auto"/>
          <w:sz w:val="20"/>
          <w:szCs w:val="20"/>
        </w:rPr>
        <w:t xml:space="preserve"> about whether there </w:t>
      </w:r>
      <w:r w:rsidR="00344B8A" w:rsidRPr="002A2289">
        <w:rPr>
          <w:rFonts w:asciiTheme="majorHAnsi" w:hAnsiTheme="majorHAnsi" w:cs="Times New Roman"/>
          <w:color w:val="auto"/>
          <w:sz w:val="20"/>
          <w:szCs w:val="20"/>
        </w:rPr>
        <w:t>effectively had been</w:t>
      </w:r>
      <w:r w:rsidR="00A24118" w:rsidRPr="002A2289">
        <w:rPr>
          <w:rFonts w:asciiTheme="majorHAnsi" w:hAnsiTheme="majorHAnsi" w:cs="Times New Roman"/>
          <w:color w:val="auto"/>
          <w:sz w:val="20"/>
          <w:szCs w:val="20"/>
        </w:rPr>
        <w:t xml:space="preserve"> a difference in treatment, and if so, whether this was justified.</w:t>
      </w:r>
      <w:r w:rsidR="00EC7AB1" w:rsidRPr="002A2289">
        <w:rPr>
          <w:rStyle w:val="FootnoteReference"/>
          <w:rFonts w:asciiTheme="majorHAnsi" w:hAnsiTheme="majorHAnsi" w:cs="Times New Roman"/>
          <w:color w:val="auto"/>
          <w:sz w:val="20"/>
          <w:szCs w:val="20"/>
        </w:rPr>
        <w:footnoteReference w:id="75"/>
      </w:r>
      <w:r w:rsidR="00EC7AB1" w:rsidRPr="002A2289">
        <w:rPr>
          <w:rFonts w:asciiTheme="majorHAnsi" w:hAnsiTheme="majorHAnsi" w:cs="Times New Roman"/>
          <w:color w:val="auto"/>
          <w:sz w:val="20"/>
          <w:szCs w:val="20"/>
        </w:rPr>
        <w:t xml:space="preserve"> </w:t>
      </w:r>
      <w:r w:rsidR="00A24118" w:rsidRPr="002A2289">
        <w:rPr>
          <w:rFonts w:asciiTheme="majorHAnsi" w:hAnsiTheme="majorHAnsi" w:cs="Times New Roman"/>
          <w:color w:val="auto"/>
          <w:sz w:val="20"/>
          <w:szCs w:val="20"/>
        </w:rPr>
        <w:t xml:space="preserve">The Commission cannot but note that the </w:t>
      </w:r>
      <w:r w:rsidR="00A24118" w:rsidRPr="002A2289">
        <w:rPr>
          <w:rFonts w:asciiTheme="majorHAnsi" w:hAnsiTheme="majorHAnsi" w:cs="Times New Roman"/>
          <w:i/>
          <w:color w:val="auto"/>
          <w:sz w:val="20"/>
          <w:szCs w:val="20"/>
        </w:rPr>
        <w:t>Noro</w:t>
      </w:r>
      <w:r w:rsidR="00A24118" w:rsidRPr="002A2289">
        <w:rPr>
          <w:rFonts w:asciiTheme="majorHAnsi" w:hAnsiTheme="majorHAnsi" w:cs="Times New Roman"/>
          <w:color w:val="auto"/>
          <w:sz w:val="20"/>
          <w:szCs w:val="20"/>
        </w:rPr>
        <w:t xml:space="preserve"> case in particular presents similarities </w:t>
      </w:r>
      <w:r w:rsidR="00643DFE" w:rsidRPr="002A2289">
        <w:rPr>
          <w:rFonts w:asciiTheme="majorHAnsi" w:hAnsiTheme="majorHAnsi" w:cs="Times New Roman"/>
          <w:color w:val="auto"/>
          <w:sz w:val="20"/>
          <w:szCs w:val="20"/>
        </w:rPr>
        <w:t>to</w:t>
      </w:r>
      <w:r w:rsidR="00A24118" w:rsidRPr="002A2289">
        <w:rPr>
          <w:rFonts w:asciiTheme="majorHAnsi" w:hAnsiTheme="majorHAnsi" w:cs="Times New Roman"/>
          <w:color w:val="auto"/>
          <w:sz w:val="20"/>
          <w:szCs w:val="20"/>
        </w:rPr>
        <w:t xml:space="preserve"> the facts alleged by Mr. Almeida; th</w:t>
      </w:r>
      <w:r w:rsidR="00522CA6" w:rsidRPr="002A2289">
        <w:rPr>
          <w:rFonts w:asciiTheme="majorHAnsi" w:hAnsiTheme="majorHAnsi" w:cs="Times New Roman"/>
          <w:color w:val="auto"/>
          <w:sz w:val="20"/>
          <w:szCs w:val="20"/>
        </w:rPr>
        <w:t>erefore</w:t>
      </w:r>
      <w:r w:rsidR="005C5085" w:rsidRPr="002A2289">
        <w:rPr>
          <w:rFonts w:asciiTheme="majorHAnsi" w:hAnsiTheme="majorHAnsi" w:cs="Times New Roman"/>
          <w:color w:val="auto"/>
          <w:sz w:val="20"/>
          <w:szCs w:val="20"/>
        </w:rPr>
        <w:t>,</w:t>
      </w:r>
      <w:r w:rsidR="00A24118" w:rsidRPr="002A2289">
        <w:rPr>
          <w:rFonts w:asciiTheme="majorHAnsi" w:hAnsiTheme="majorHAnsi" w:cs="Times New Roman"/>
          <w:color w:val="auto"/>
          <w:sz w:val="20"/>
          <w:szCs w:val="20"/>
        </w:rPr>
        <w:t xml:space="preserve"> without </w:t>
      </w:r>
      <w:r w:rsidR="00AA5BC3">
        <w:rPr>
          <w:rFonts w:asciiTheme="majorHAnsi" w:hAnsiTheme="majorHAnsi" w:cs="Times New Roman"/>
          <w:color w:val="auto"/>
          <w:sz w:val="20"/>
          <w:szCs w:val="20"/>
        </w:rPr>
        <w:t>entering into issue of</w:t>
      </w:r>
      <w:r w:rsidR="00522CA6" w:rsidRPr="002A2289">
        <w:rPr>
          <w:rFonts w:asciiTheme="majorHAnsi" w:hAnsiTheme="majorHAnsi" w:cs="Times New Roman"/>
          <w:color w:val="auto"/>
          <w:sz w:val="20"/>
          <w:szCs w:val="20"/>
        </w:rPr>
        <w:t xml:space="preserve"> </w:t>
      </w:r>
      <w:r w:rsidR="00A24118" w:rsidRPr="002A2289">
        <w:rPr>
          <w:rFonts w:asciiTheme="majorHAnsi" w:hAnsiTheme="majorHAnsi" w:cs="Times New Roman"/>
          <w:color w:val="auto"/>
          <w:sz w:val="20"/>
          <w:szCs w:val="20"/>
        </w:rPr>
        <w:t xml:space="preserve">the evidentiary </w:t>
      </w:r>
      <w:r w:rsidR="00F50B40" w:rsidRPr="002A2289">
        <w:rPr>
          <w:rFonts w:asciiTheme="majorHAnsi" w:hAnsiTheme="majorHAnsi" w:cs="Times New Roman"/>
          <w:color w:val="auto"/>
          <w:sz w:val="20"/>
          <w:szCs w:val="20"/>
        </w:rPr>
        <w:t>matter of</w:t>
      </w:r>
      <w:r w:rsidR="00A24118" w:rsidRPr="002A2289">
        <w:rPr>
          <w:rFonts w:asciiTheme="majorHAnsi" w:hAnsiTheme="majorHAnsi" w:cs="Times New Roman"/>
          <w:color w:val="auto"/>
          <w:sz w:val="20"/>
          <w:szCs w:val="20"/>
        </w:rPr>
        <w:t xml:space="preserve"> whether a situation of </w:t>
      </w:r>
      <w:r w:rsidR="00A24118" w:rsidRPr="002A2289">
        <w:rPr>
          <w:rFonts w:asciiTheme="majorHAnsi" w:hAnsiTheme="majorHAnsi" w:cs="Times New Roman"/>
          <w:i/>
          <w:color w:val="auto"/>
          <w:sz w:val="20"/>
          <w:szCs w:val="20"/>
        </w:rPr>
        <w:t>de facto</w:t>
      </w:r>
      <w:r w:rsidR="00A24118" w:rsidRPr="002A2289">
        <w:rPr>
          <w:rFonts w:asciiTheme="majorHAnsi" w:hAnsiTheme="majorHAnsi" w:cs="Times New Roman"/>
          <w:color w:val="auto"/>
          <w:sz w:val="20"/>
          <w:szCs w:val="20"/>
        </w:rPr>
        <w:t xml:space="preserve"> release under surve</w:t>
      </w:r>
      <w:r w:rsidR="00643DFE" w:rsidRPr="002A2289">
        <w:rPr>
          <w:rFonts w:asciiTheme="majorHAnsi" w:hAnsiTheme="majorHAnsi" w:cs="Times New Roman"/>
          <w:color w:val="auto"/>
          <w:sz w:val="20"/>
          <w:szCs w:val="20"/>
        </w:rPr>
        <w:t>ill</w:t>
      </w:r>
      <w:r w:rsidR="00A24118" w:rsidRPr="002A2289">
        <w:rPr>
          <w:rFonts w:asciiTheme="majorHAnsi" w:hAnsiTheme="majorHAnsi" w:cs="Times New Roman"/>
          <w:color w:val="auto"/>
          <w:sz w:val="20"/>
          <w:szCs w:val="20"/>
        </w:rPr>
        <w:t xml:space="preserve">ance existed or not in the instant case, the IACHR does consider that </w:t>
      </w:r>
      <w:r w:rsidR="00A24118" w:rsidRPr="002A2289">
        <w:rPr>
          <w:rFonts w:asciiTheme="majorHAnsi" w:hAnsiTheme="majorHAnsi" w:cs="Times New Roman"/>
          <w:color w:val="auto"/>
          <w:sz w:val="20"/>
          <w:szCs w:val="20"/>
        </w:rPr>
        <w:lastRenderedPageBreak/>
        <w:t xml:space="preserve">the alleged victim was entitled to </w:t>
      </w:r>
      <w:r w:rsidR="00643DFE" w:rsidRPr="002A2289">
        <w:rPr>
          <w:rFonts w:asciiTheme="majorHAnsi" w:hAnsiTheme="majorHAnsi" w:cs="Times New Roman"/>
          <w:color w:val="auto"/>
          <w:sz w:val="20"/>
          <w:szCs w:val="20"/>
        </w:rPr>
        <w:t xml:space="preserve">have his </w:t>
      </w:r>
      <w:r w:rsidR="00F50B40" w:rsidRPr="002A2289">
        <w:rPr>
          <w:rFonts w:asciiTheme="majorHAnsi" w:hAnsiTheme="majorHAnsi" w:cs="Times New Roman"/>
          <w:color w:val="auto"/>
          <w:sz w:val="20"/>
          <w:szCs w:val="20"/>
        </w:rPr>
        <w:t>argument</w:t>
      </w:r>
      <w:r w:rsidR="00643DFE" w:rsidRPr="002A2289">
        <w:rPr>
          <w:rFonts w:asciiTheme="majorHAnsi" w:hAnsiTheme="majorHAnsi" w:cs="Times New Roman"/>
          <w:color w:val="auto"/>
          <w:sz w:val="20"/>
          <w:szCs w:val="20"/>
        </w:rPr>
        <w:t xml:space="preserve"> duly addressed </w:t>
      </w:r>
      <w:r w:rsidR="00522CA6" w:rsidRPr="002A2289">
        <w:rPr>
          <w:rFonts w:asciiTheme="majorHAnsi" w:hAnsiTheme="majorHAnsi" w:cs="Times New Roman"/>
          <w:color w:val="auto"/>
          <w:sz w:val="20"/>
          <w:szCs w:val="20"/>
        </w:rPr>
        <w:t>o</w:t>
      </w:r>
      <w:r w:rsidR="00643DFE" w:rsidRPr="002A2289">
        <w:rPr>
          <w:rFonts w:asciiTheme="majorHAnsi" w:hAnsiTheme="majorHAnsi" w:cs="Times New Roman"/>
          <w:color w:val="auto"/>
          <w:sz w:val="20"/>
          <w:szCs w:val="20"/>
        </w:rPr>
        <w:t>n equal terms by domestic judicial authorities</w:t>
      </w:r>
      <w:r w:rsidR="00EC7AB1" w:rsidRPr="002A2289">
        <w:rPr>
          <w:rFonts w:asciiTheme="majorHAnsi" w:hAnsiTheme="majorHAnsi" w:cs="Times New Roman"/>
          <w:color w:val="auto"/>
          <w:sz w:val="20"/>
          <w:szCs w:val="20"/>
        </w:rPr>
        <w:t xml:space="preserve">. </w:t>
      </w:r>
    </w:p>
    <w:p w14:paraId="30F4A1E9" w14:textId="77777777" w:rsidR="00EC7AB1" w:rsidRPr="002A2289" w:rsidRDefault="00EC7AB1" w:rsidP="00EC7AB1">
      <w:pPr>
        <w:pStyle w:val="ListParagraph"/>
        <w:ind w:firstLine="720"/>
        <w:rPr>
          <w:rFonts w:asciiTheme="majorHAnsi" w:hAnsiTheme="majorHAnsi" w:cs="Times New Roman"/>
          <w:color w:val="auto"/>
          <w:sz w:val="20"/>
          <w:szCs w:val="20"/>
        </w:rPr>
      </w:pPr>
    </w:p>
    <w:p w14:paraId="33F43D37" w14:textId="4BEEEA85" w:rsidR="00EC7AB1" w:rsidRPr="002A2289" w:rsidRDefault="00643DFE"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The IACHR recalls that the Argentine State bases its defense on the factual difference</w:t>
      </w:r>
      <w:r w:rsidR="00522CA6" w:rsidRPr="002A2289">
        <w:rPr>
          <w:rFonts w:asciiTheme="majorHAnsi" w:hAnsiTheme="majorHAnsi" w:cs="Times New Roman"/>
          <w:color w:val="auto"/>
          <w:sz w:val="20"/>
          <w:szCs w:val="20"/>
        </w:rPr>
        <w:t>s between</w:t>
      </w:r>
      <w:r w:rsidRPr="002A2289">
        <w:rPr>
          <w:rFonts w:asciiTheme="majorHAnsi" w:hAnsiTheme="majorHAnsi" w:cs="Times New Roman"/>
          <w:color w:val="auto"/>
          <w:sz w:val="20"/>
          <w:szCs w:val="20"/>
        </w:rPr>
        <w:t xml:space="preserve"> the cases </w:t>
      </w:r>
      <w:r w:rsidR="00F50B40" w:rsidRPr="002A2289">
        <w:rPr>
          <w:rFonts w:asciiTheme="majorHAnsi" w:hAnsiTheme="majorHAnsi" w:cs="Times New Roman"/>
          <w:color w:val="auto"/>
          <w:sz w:val="20"/>
          <w:szCs w:val="20"/>
        </w:rPr>
        <w:t>cited</w:t>
      </w:r>
      <w:r w:rsidRPr="002A2289">
        <w:rPr>
          <w:rFonts w:asciiTheme="majorHAnsi" w:hAnsiTheme="majorHAnsi" w:cs="Times New Roman"/>
          <w:color w:val="auto"/>
          <w:sz w:val="20"/>
          <w:szCs w:val="20"/>
        </w:rPr>
        <w:t xml:space="preserve"> by the alleged victim and his particular situation. However, the </w:t>
      </w:r>
      <w:r w:rsidR="00522CA6" w:rsidRPr="002A2289">
        <w:rPr>
          <w:rFonts w:asciiTheme="majorHAnsi" w:hAnsiTheme="majorHAnsi" w:cs="Times New Roman"/>
          <w:color w:val="auto"/>
          <w:sz w:val="20"/>
          <w:szCs w:val="20"/>
        </w:rPr>
        <w:t>IACHR</w:t>
      </w:r>
      <w:r w:rsidRPr="002A2289">
        <w:rPr>
          <w:rFonts w:asciiTheme="majorHAnsi" w:hAnsiTheme="majorHAnsi" w:cs="Times New Roman"/>
          <w:color w:val="auto"/>
          <w:sz w:val="20"/>
          <w:szCs w:val="20"/>
        </w:rPr>
        <w:t xml:space="preserve"> reiterates </w:t>
      </w:r>
      <w:r w:rsidR="00522CA6" w:rsidRPr="002A2289">
        <w:rPr>
          <w:rFonts w:asciiTheme="majorHAnsi" w:hAnsiTheme="majorHAnsi" w:cs="Times New Roman"/>
          <w:color w:val="auto"/>
          <w:sz w:val="20"/>
          <w:szCs w:val="20"/>
        </w:rPr>
        <w:t>along the same lines as its analysis</w:t>
      </w:r>
      <w:r w:rsidRPr="002A2289">
        <w:rPr>
          <w:rFonts w:asciiTheme="majorHAnsi" w:hAnsiTheme="majorHAnsi" w:cs="Times New Roman"/>
          <w:color w:val="auto"/>
          <w:sz w:val="20"/>
          <w:szCs w:val="20"/>
        </w:rPr>
        <w:t xml:space="preserve"> in the previous section, that these were the grounds presented by </w:t>
      </w:r>
      <w:r w:rsidR="00F50B40" w:rsidRPr="002A2289">
        <w:rPr>
          <w:rFonts w:asciiTheme="majorHAnsi" w:hAnsiTheme="majorHAnsi" w:cs="Times New Roman"/>
          <w:color w:val="auto"/>
          <w:sz w:val="20"/>
          <w:szCs w:val="20"/>
        </w:rPr>
        <w:t>the State before the Commission; however, they</w:t>
      </w:r>
      <w:r w:rsidRPr="002A2289">
        <w:rPr>
          <w:rFonts w:asciiTheme="majorHAnsi" w:hAnsiTheme="majorHAnsi" w:cs="Times New Roman"/>
          <w:color w:val="auto"/>
          <w:sz w:val="20"/>
          <w:szCs w:val="20"/>
        </w:rPr>
        <w:t xml:space="preserve"> were not the grounds </w:t>
      </w:r>
      <w:r w:rsidR="00AA5BC3">
        <w:rPr>
          <w:rFonts w:asciiTheme="majorHAnsi" w:hAnsiTheme="majorHAnsi" w:cs="Times New Roman"/>
          <w:color w:val="auto"/>
          <w:sz w:val="20"/>
          <w:szCs w:val="20"/>
        </w:rPr>
        <w:t>on</w:t>
      </w:r>
      <w:r w:rsidRPr="002A2289">
        <w:rPr>
          <w:rFonts w:asciiTheme="majorHAnsi" w:hAnsiTheme="majorHAnsi" w:cs="Times New Roman"/>
          <w:color w:val="auto"/>
          <w:sz w:val="20"/>
          <w:szCs w:val="20"/>
        </w:rPr>
        <w:t xml:space="preserve"> which the appeals filed by Mr. Almeida were denied. Again, the evidentiary matter of whether the release under surveillance of the alleged victim has been proven or not is </w:t>
      </w:r>
      <w:r w:rsidR="00522CA6" w:rsidRPr="002A2289">
        <w:rPr>
          <w:rFonts w:asciiTheme="majorHAnsi" w:hAnsiTheme="majorHAnsi" w:cs="Times New Roman"/>
          <w:color w:val="auto"/>
          <w:sz w:val="20"/>
          <w:szCs w:val="20"/>
        </w:rPr>
        <w:t>ir</w:t>
      </w:r>
      <w:r w:rsidRPr="002A2289">
        <w:rPr>
          <w:rFonts w:asciiTheme="majorHAnsi" w:hAnsiTheme="majorHAnsi" w:cs="Times New Roman"/>
          <w:color w:val="auto"/>
          <w:sz w:val="20"/>
          <w:szCs w:val="20"/>
        </w:rPr>
        <w:t xml:space="preserve">relevant for the case’s analysis. What is relevant is the evaluation of whether the judicial response provided was consistent with the right to judicial protection, read together with the right to equal protection under the law and the right </w:t>
      </w:r>
      <w:r w:rsidR="00DC6667" w:rsidRPr="002A2289">
        <w:rPr>
          <w:rFonts w:asciiTheme="majorHAnsi" w:hAnsiTheme="majorHAnsi" w:cs="Times New Roman"/>
          <w:color w:val="auto"/>
          <w:sz w:val="20"/>
          <w:szCs w:val="20"/>
        </w:rPr>
        <w:t xml:space="preserve">to </w:t>
      </w:r>
      <w:r w:rsidR="00AA5BC3">
        <w:rPr>
          <w:rFonts w:asciiTheme="majorHAnsi" w:hAnsiTheme="majorHAnsi" w:cs="Times New Roman"/>
          <w:color w:val="auto"/>
          <w:sz w:val="20"/>
          <w:szCs w:val="20"/>
        </w:rPr>
        <w:t>receive</w:t>
      </w:r>
      <w:r w:rsidR="00DC6667" w:rsidRPr="002A2289">
        <w:rPr>
          <w:rFonts w:asciiTheme="majorHAnsi" w:hAnsiTheme="majorHAnsi" w:cs="Times New Roman"/>
          <w:color w:val="auto"/>
          <w:sz w:val="20"/>
          <w:szCs w:val="20"/>
        </w:rPr>
        <w:t xml:space="preserve"> </w:t>
      </w:r>
      <w:r w:rsidR="00F50B40" w:rsidRPr="002A2289">
        <w:rPr>
          <w:rFonts w:asciiTheme="majorHAnsi" w:hAnsiTheme="majorHAnsi" w:cs="Times New Roman"/>
          <w:color w:val="auto"/>
          <w:sz w:val="20"/>
          <w:szCs w:val="20"/>
        </w:rPr>
        <w:t>a</w:t>
      </w:r>
      <w:r w:rsidR="00DC6667" w:rsidRPr="002A2289">
        <w:rPr>
          <w:rFonts w:asciiTheme="majorHAnsi" w:hAnsiTheme="majorHAnsi" w:cs="Times New Roman"/>
          <w:color w:val="auto"/>
          <w:sz w:val="20"/>
          <w:szCs w:val="20"/>
        </w:rPr>
        <w:t xml:space="preserve"> duly founded decision</w:t>
      </w:r>
      <w:r w:rsidRPr="002A2289">
        <w:rPr>
          <w:rFonts w:asciiTheme="majorHAnsi" w:hAnsiTheme="majorHAnsi" w:cs="Times New Roman"/>
          <w:color w:val="auto"/>
          <w:sz w:val="20"/>
          <w:szCs w:val="20"/>
        </w:rPr>
        <w:t>.</w:t>
      </w:r>
      <w:r w:rsidR="00EC7AB1" w:rsidRPr="002A2289">
        <w:rPr>
          <w:rFonts w:asciiTheme="majorHAnsi" w:hAnsiTheme="majorHAnsi" w:cs="Times New Roman"/>
          <w:color w:val="auto"/>
          <w:sz w:val="20"/>
          <w:szCs w:val="20"/>
        </w:rPr>
        <w:t xml:space="preserve"> </w:t>
      </w:r>
    </w:p>
    <w:p w14:paraId="3BDD2B17" w14:textId="77777777" w:rsidR="00EC7AB1" w:rsidRPr="002A2289" w:rsidRDefault="00EC7AB1" w:rsidP="00EC7AB1">
      <w:pPr>
        <w:pStyle w:val="ListParagraph"/>
        <w:ind w:firstLine="720"/>
        <w:rPr>
          <w:rFonts w:asciiTheme="majorHAnsi" w:hAnsiTheme="majorHAnsi" w:cs="Times New Roman"/>
          <w:color w:val="auto"/>
          <w:sz w:val="20"/>
          <w:szCs w:val="20"/>
        </w:rPr>
      </w:pPr>
    </w:p>
    <w:p w14:paraId="2ECAEF77" w14:textId="520F53E1" w:rsidR="00EC7AB1" w:rsidRPr="002A2289" w:rsidRDefault="00643DFE"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As revealed by the Supreme Court’s terse decision, this did not occur in the instant case. </w:t>
      </w:r>
      <w:r w:rsidR="00522CA6" w:rsidRPr="002A2289">
        <w:rPr>
          <w:rFonts w:asciiTheme="majorHAnsi" w:hAnsiTheme="majorHAnsi" w:cs="Times New Roman"/>
          <w:color w:val="auto"/>
          <w:sz w:val="20"/>
          <w:szCs w:val="20"/>
        </w:rPr>
        <w:t>Consequently</w:t>
      </w:r>
      <w:r w:rsidRPr="002A2289">
        <w:rPr>
          <w:rFonts w:asciiTheme="majorHAnsi" w:hAnsiTheme="majorHAnsi" w:cs="Times New Roman"/>
          <w:color w:val="auto"/>
          <w:sz w:val="20"/>
          <w:szCs w:val="20"/>
        </w:rPr>
        <w:t xml:space="preserve">, the Commission concludes that the Argentine State is </w:t>
      </w:r>
      <w:r w:rsidR="00C40AC4" w:rsidRPr="002A2289">
        <w:rPr>
          <w:rFonts w:asciiTheme="majorHAnsi" w:hAnsiTheme="majorHAnsi" w:cs="Times New Roman"/>
          <w:color w:val="auto"/>
          <w:sz w:val="20"/>
          <w:szCs w:val="20"/>
        </w:rPr>
        <w:t>responsible</w:t>
      </w:r>
      <w:r w:rsidRPr="002A2289">
        <w:rPr>
          <w:rFonts w:asciiTheme="majorHAnsi" w:hAnsiTheme="majorHAnsi" w:cs="Times New Roman"/>
          <w:color w:val="auto"/>
          <w:sz w:val="20"/>
          <w:szCs w:val="20"/>
        </w:rPr>
        <w:t xml:space="preserve"> for the violation of th</w:t>
      </w:r>
      <w:r w:rsidR="00522CA6" w:rsidRPr="002A2289">
        <w:rPr>
          <w:rFonts w:asciiTheme="majorHAnsi" w:hAnsiTheme="majorHAnsi" w:cs="Times New Roman"/>
          <w:color w:val="auto"/>
          <w:sz w:val="20"/>
          <w:szCs w:val="20"/>
        </w:rPr>
        <w:t xml:space="preserve">e right to judicial protection </w:t>
      </w:r>
      <w:r w:rsidRPr="002A2289">
        <w:rPr>
          <w:rFonts w:asciiTheme="majorHAnsi" w:hAnsiTheme="majorHAnsi" w:cs="Times New Roman"/>
          <w:color w:val="auto"/>
          <w:sz w:val="20"/>
          <w:szCs w:val="20"/>
        </w:rPr>
        <w:t>set forth under Article 25</w:t>
      </w:r>
      <w:r w:rsidR="00AA5BC3">
        <w:rPr>
          <w:rFonts w:asciiTheme="majorHAnsi" w:hAnsiTheme="majorHAnsi" w:cs="Times New Roman"/>
          <w:color w:val="auto"/>
          <w:sz w:val="20"/>
          <w:szCs w:val="20"/>
        </w:rPr>
        <w:t>.</w:t>
      </w:r>
      <w:r w:rsidRPr="002A2289">
        <w:rPr>
          <w:rFonts w:asciiTheme="majorHAnsi" w:hAnsiTheme="majorHAnsi" w:cs="Times New Roman"/>
          <w:color w:val="auto"/>
          <w:sz w:val="20"/>
          <w:szCs w:val="20"/>
        </w:rPr>
        <w:t xml:space="preserve">1 of the American Convention, read </w:t>
      </w:r>
      <w:r w:rsidR="00CD0C0C" w:rsidRPr="002A2289">
        <w:rPr>
          <w:rFonts w:asciiTheme="majorHAnsi" w:hAnsiTheme="majorHAnsi" w:cs="Times New Roman"/>
          <w:color w:val="auto"/>
          <w:sz w:val="20"/>
          <w:szCs w:val="20"/>
        </w:rPr>
        <w:t>together with the right to equal protection under the law provided for in Article 24</w:t>
      </w:r>
      <w:r w:rsidR="00662EF0" w:rsidRPr="002A2289">
        <w:rPr>
          <w:rFonts w:asciiTheme="majorHAnsi" w:hAnsiTheme="majorHAnsi" w:cs="Times New Roman"/>
          <w:color w:val="auto"/>
          <w:sz w:val="20"/>
          <w:szCs w:val="20"/>
        </w:rPr>
        <w:t>,</w:t>
      </w:r>
      <w:r w:rsidR="00CD0C0C" w:rsidRPr="002A2289">
        <w:rPr>
          <w:rFonts w:asciiTheme="majorHAnsi" w:hAnsiTheme="majorHAnsi" w:cs="Times New Roman"/>
          <w:color w:val="auto"/>
          <w:sz w:val="20"/>
          <w:szCs w:val="20"/>
        </w:rPr>
        <w:t xml:space="preserve"> and the right </w:t>
      </w:r>
      <w:r w:rsidR="00DC6667" w:rsidRPr="002A2289">
        <w:rPr>
          <w:rFonts w:asciiTheme="majorHAnsi" w:hAnsiTheme="majorHAnsi" w:cs="Times New Roman"/>
          <w:color w:val="auto"/>
          <w:sz w:val="20"/>
          <w:szCs w:val="20"/>
        </w:rPr>
        <w:t xml:space="preserve">to be assured </w:t>
      </w:r>
      <w:r w:rsidR="00662EF0" w:rsidRPr="002A2289">
        <w:rPr>
          <w:rFonts w:asciiTheme="majorHAnsi" w:hAnsiTheme="majorHAnsi" w:cs="Times New Roman"/>
          <w:color w:val="auto"/>
          <w:sz w:val="20"/>
          <w:szCs w:val="20"/>
        </w:rPr>
        <w:t xml:space="preserve">a </w:t>
      </w:r>
      <w:r w:rsidR="00DC6667" w:rsidRPr="002A2289">
        <w:rPr>
          <w:rFonts w:asciiTheme="majorHAnsi" w:hAnsiTheme="majorHAnsi" w:cs="Times New Roman"/>
          <w:color w:val="auto"/>
          <w:sz w:val="20"/>
          <w:szCs w:val="20"/>
        </w:rPr>
        <w:t>duly founded decision</w:t>
      </w:r>
      <w:r w:rsidR="00CD0C0C" w:rsidRPr="002A2289">
        <w:rPr>
          <w:rFonts w:asciiTheme="majorHAnsi" w:hAnsiTheme="majorHAnsi" w:cs="Times New Roman"/>
          <w:color w:val="auto"/>
          <w:sz w:val="20"/>
          <w:szCs w:val="20"/>
        </w:rPr>
        <w:t xml:space="preserve"> provided for under Article 8</w:t>
      </w:r>
      <w:r w:rsidR="00AA5BC3">
        <w:rPr>
          <w:rFonts w:asciiTheme="majorHAnsi" w:hAnsiTheme="majorHAnsi" w:cs="Times New Roman"/>
          <w:color w:val="auto"/>
          <w:sz w:val="20"/>
          <w:szCs w:val="20"/>
        </w:rPr>
        <w:t>.</w:t>
      </w:r>
      <w:r w:rsidR="00CD0C0C" w:rsidRPr="002A2289">
        <w:rPr>
          <w:rFonts w:asciiTheme="majorHAnsi" w:hAnsiTheme="majorHAnsi" w:cs="Times New Roman"/>
          <w:color w:val="auto"/>
          <w:sz w:val="20"/>
          <w:szCs w:val="20"/>
        </w:rPr>
        <w:t xml:space="preserve">1, in </w:t>
      </w:r>
      <w:r w:rsidR="00E033C5" w:rsidRPr="002A2289">
        <w:rPr>
          <w:rFonts w:asciiTheme="majorHAnsi" w:hAnsiTheme="majorHAnsi" w:cs="Times New Roman"/>
          <w:color w:val="auto"/>
          <w:sz w:val="20"/>
          <w:szCs w:val="20"/>
        </w:rPr>
        <w:t>connection</w:t>
      </w:r>
      <w:r w:rsidR="00AA5BC3">
        <w:rPr>
          <w:rFonts w:asciiTheme="majorHAnsi" w:hAnsiTheme="majorHAnsi" w:cs="Times New Roman"/>
          <w:color w:val="auto"/>
          <w:sz w:val="20"/>
          <w:szCs w:val="20"/>
        </w:rPr>
        <w:t xml:space="preserve"> with Article 1.</w:t>
      </w:r>
      <w:r w:rsidR="00CD0C0C" w:rsidRPr="002A2289">
        <w:rPr>
          <w:rFonts w:asciiTheme="majorHAnsi" w:hAnsiTheme="majorHAnsi" w:cs="Times New Roman"/>
          <w:color w:val="auto"/>
          <w:sz w:val="20"/>
          <w:szCs w:val="20"/>
        </w:rPr>
        <w:t>1 thereof.</w:t>
      </w:r>
      <w:r w:rsidR="00EC7AB1" w:rsidRPr="002A2289">
        <w:rPr>
          <w:rFonts w:asciiTheme="majorHAnsi" w:hAnsiTheme="majorHAnsi" w:cs="Times New Roman"/>
          <w:color w:val="auto"/>
          <w:sz w:val="20"/>
          <w:szCs w:val="20"/>
        </w:rPr>
        <w:t xml:space="preserve"> </w:t>
      </w:r>
    </w:p>
    <w:p w14:paraId="3A518777" w14:textId="77777777" w:rsidR="00EC7AB1" w:rsidRPr="002A2289" w:rsidRDefault="00EC7AB1" w:rsidP="00EC7AB1">
      <w:pPr>
        <w:ind w:firstLine="720"/>
        <w:rPr>
          <w:rFonts w:asciiTheme="majorHAnsi" w:hAnsiTheme="majorHAnsi"/>
          <w:b/>
          <w:sz w:val="20"/>
          <w:szCs w:val="20"/>
        </w:rPr>
      </w:pPr>
    </w:p>
    <w:p w14:paraId="64C6B4E6" w14:textId="77777777" w:rsidR="00EC7AB1" w:rsidRPr="002A2289" w:rsidRDefault="00EC7AB1" w:rsidP="00EC7AB1">
      <w:pPr>
        <w:pStyle w:val="ListParagraph"/>
        <w:numPr>
          <w:ilvl w:val="0"/>
          <w:numId w:val="67"/>
        </w:numPr>
        <w:ind w:left="1440" w:hanging="720"/>
        <w:jc w:val="both"/>
        <w:rPr>
          <w:rFonts w:asciiTheme="majorHAnsi" w:hAnsiTheme="majorHAnsi" w:cs="Times New Roman"/>
          <w:b/>
          <w:sz w:val="20"/>
          <w:szCs w:val="20"/>
        </w:rPr>
      </w:pPr>
      <w:r w:rsidRPr="002A2289">
        <w:rPr>
          <w:rFonts w:asciiTheme="majorHAnsi" w:hAnsiTheme="majorHAnsi" w:cs="Times New Roman"/>
          <w:b/>
          <w:sz w:val="20"/>
          <w:szCs w:val="20"/>
        </w:rPr>
        <w:t>A</w:t>
      </w:r>
      <w:r w:rsidR="00CD0C0C" w:rsidRPr="002A2289">
        <w:rPr>
          <w:rFonts w:asciiTheme="majorHAnsi" w:hAnsiTheme="majorHAnsi" w:cs="Times New Roman"/>
          <w:b/>
          <w:sz w:val="20"/>
          <w:szCs w:val="20"/>
        </w:rPr>
        <w:t xml:space="preserve">nalysis of whether Mr. </w:t>
      </w:r>
      <w:r w:rsidRPr="002A2289">
        <w:rPr>
          <w:rFonts w:asciiTheme="majorHAnsi" w:hAnsiTheme="majorHAnsi" w:cs="Times New Roman"/>
          <w:b/>
          <w:sz w:val="20"/>
          <w:szCs w:val="20"/>
        </w:rPr>
        <w:t xml:space="preserve">Almeida </w:t>
      </w:r>
      <w:r w:rsidR="00CD0C0C" w:rsidRPr="002A2289">
        <w:rPr>
          <w:rFonts w:asciiTheme="majorHAnsi" w:hAnsiTheme="majorHAnsi" w:cs="Times New Roman"/>
          <w:b/>
          <w:sz w:val="20"/>
          <w:szCs w:val="20"/>
        </w:rPr>
        <w:t xml:space="preserve">had an effective remedy with due guarantees </w:t>
      </w:r>
      <w:r w:rsidR="00662EF0" w:rsidRPr="002A2289">
        <w:rPr>
          <w:rFonts w:asciiTheme="majorHAnsi" w:hAnsiTheme="majorHAnsi" w:cs="Times New Roman"/>
          <w:b/>
          <w:sz w:val="20"/>
          <w:szCs w:val="20"/>
        </w:rPr>
        <w:t xml:space="preserve">vis-à-vis </w:t>
      </w:r>
      <w:r w:rsidR="00CD0C0C" w:rsidRPr="002A2289">
        <w:rPr>
          <w:rFonts w:asciiTheme="majorHAnsi" w:hAnsiTheme="majorHAnsi" w:cs="Times New Roman"/>
          <w:b/>
          <w:sz w:val="20"/>
          <w:szCs w:val="20"/>
        </w:rPr>
        <w:t>the alleged violation of the right to</w:t>
      </w:r>
      <w:r w:rsidR="00C40AC4" w:rsidRPr="002A2289">
        <w:rPr>
          <w:rFonts w:asciiTheme="majorHAnsi" w:hAnsiTheme="majorHAnsi" w:cs="Times New Roman"/>
          <w:b/>
          <w:sz w:val="20"/>
          <w:szCs w:val="20"/>
        </w:rPr>
        <w:t xml:space="preserve"> equal </w:t>
      </w:r>
      <w:r w:rsidR="00CD0C0C" w:rsidRPr="002A2289">
        <w:rPr>
          <w:rFonts w:asciiTheme="majorHAnsi" w:hAnsiTheme="majorHAnsi" w:cs="Times New Roman"/>
          <w:b/>
          <w:sz w:val="20"/>
          <w:szCs w:val="20"/>
        </w:rPr>
        <w:t xml:space="preserve">protection under the law in the framework of his claims subsequent to the </w:t>
      </w:r>
      <w:r w:rsidRPr="002A2289">
        <w:rPr>
          <w:rFonts w:asciiTheme="majorHAnsi" w:hAnsiTheme="majorHAnsi" w:cs="Times New Roman"/>
          <w:b/>
          <w:i/>
          <w:sz w:val="20"/>
          <w:szCs w:val="20"/>
        </w:rPr>
        <w:t>Robasto</w:t>
      </w:r>
      <w:r w:rsidR="00CD0C0C" w:rsidRPr="002A2289">
        <w:rPr>
          <w:rFonts w:asciiTheme="majorHAnsi" w:hAnsiTheme="majorHAnsi" w:cs="Times New Roman"/>
          <w:b/>
          <w:sz w:val="20"/>
          <w:szCs w:val="20"/>
        </w:rPr>
        <w:t xml:space="preserve"> case</w:t>
      </w:r>
    </w:p>
    <w:p w14:paraId="3616BF23" w14:textId="77777777" w:rsidR="00EC7AB1" w:rsidRPr="002A2289" w:rsidRDefault="00EC7AB1" w:rsidP="00EC7AB1">
      <w:pPr>
        <w:ind w:firstLine="720"/>
        <w:rPr>
          <w:rFonts w:asciiTheme="majorHAnsi" w:hAnsiTheme="majorHAnsi"/>
          <w:sz w:val="20"/>
          <w:szCs w:val="20"/>
        </w:rPr>
      </w:pPr>
    </w:p>
    <w:p w14:paraId="21AF648E" w14:textId="3BF56F1C" w:rsidR="00EC7AB1" w:rsidRPr="002A2289" w:rsidRDefault="00CD0C0C"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The </w:t>
      </w:r>
      <w:r w:rsidR="00C40AC4" w:rsidRPr="002A2289">
        <w:rPr>
          <w:rFonts w:asciiTheme="majorHAnsi" w:hAnsiTheme="majorHAnsi" w:cs="Times New Roman"/>
          <w:color w:val="auto"/>
          <w:sz w:val="20"/>
          <w:szCs w:val="20"/>
        </w:rPr>
        <w:t>Commission</w:t>
      </w:r>
      <w:r w:rsidRPr="002A2289">
        <w:rPr>
          <w:rFonts w:asciiTheme="majorHAnsi" w:hAnsiTheme="majorHAnsi" w:cs="Times New Roman"/>
          <w:color w:val="auto"/>
          <w:sz w:val="20"/>
          <w:szCs w:val="20"/>
        </w:rPr>
        <w:t xml:space="preserve"> recalls that the change of </w:t>
      </w:r>
      <w:r w:rsidR="00C40AC4" w:rsidRPr="002A2289">
        <w:rPr>
          <w:rFonts w:asciiTheme="majorHAnsi" w:hAnsiTheme="majorHAnsi" w:cs="Times New Roman"/>
          <w:color w:val="auto"/>
          <w:sz w:val="20"/>
          <w:szCs w:val="20"/>
        </w:rPr>
        <w:t>criteria</w:t>
      </w:r>
      <w:r w:rsidRPr="002A2289">
        <w:rPr>
          <w:rFonts w:asciiTheme="majorHAnsi" w:hAnsiTheme="majorHAnsi" w:cs="Times New Roman"/>
          <w:color w:val="auto"/>
          <w:sz w:val="20"/>
          <w:szCs w:val="20"/>
        </w:rPr>
        <w:t xml:space="preserve"> the </w:t>
      </w:r>
      <w:r w:rsidRPr="002A2289">
        <w:rPr>
          <w:rFonts w:asciiTheme="majorHAnsi" w:hAnsiTheme="majorHAnsi" w:cs="Times New Roman"/>
          <w:i/>
          <w:color w:val="auto"/>
          <w:sz w:val="20"/>
          <w:szCs w:val="20"/>
        </w:rPr>
        <w:t xml:space="preserve">Robasto </w:t>
      </w:r>
      <w:r w:rsidRPr="002A2289">
        <w:rPr>
          <w:rFonts w:asciiTheme="majorHAnsi" w:hAnsiTheme="majorHAnsi" w:cs="Times New Roman"/>
          <w:color w:val="auto"/>
          <w:sz w:val="20"/>
          <w:szCs w:val="20"/>
        </w:rPr>
        <w:t>case brought about consisted of the recognition that it was</w:t>
      </w:r>
      <w:r w:rsidR="00AA5BC3">
        <w:rPr>
          <w:rFonts w:asciiTheme="majorHAnsi" w:hAnsiTheme="majorHAnsi" w:cs="Times New Roman"/>
          <w:color w:val="auto"/>
          <w:sz w:val="20"/>
          <w:szCs w:val="20"/>
        </w:rPr>
        <w:t xml:space="preserve"> not</w:t>
      </w:r>
      <w:r w:rsidRPr="002A2289">
        <w:rPr>
          <w:rFonts w:asciiTheme="majorHAnsi" w:hAnsiTheme="majorHAnsi" w:cs="Times New Roman"/>
          <w:color w:val="auto"/>
          <w:sz w:val="20"/>
          <w:szCs w:val="20"/>
        </w:rPr>
        <w:t xml:space="preserve"> necessary to demonstrate compliance with the </w:t>
      </w:r>
      <w:r w:rsidR="00522CA6" w:rsidRPr="002A2289">
        <w:rPr>
          <w:rFonts w:asciiTheme="majorHAnsi" w:hAnsiTheme="majorHAnsi" w:cs="Times New Roman"/>
          <w:color w:val="auto"/>
          <w:sz w:val="20"/>
          <w:szCs w:val="20"/>
        </w:rPr>
        <w:t>terms</w:t>
      </w:r>
      <w:r w:rsidR="00EC3D7E" w:rsidRPr="002A2289">
        <w:rPr>
          <w:rFonts w:asciiTheme="majorHAnsi" w:hAnsiTheme="majorHAnsi" w:cs="Times New Roman"/>
          <w:color w:val="auto"/>
          <w:sz w:val="20"/>
          <w:szCs w:val="20"/>
        </w:rPr>
        <w:t xml:space="preserve"> of Law </w:t>
      </w:r>
      <w:r w:rsidR="00AA5BC3">
        <w:rPr>
          <w:rFonts w:asciiTheme="majorHAnsi" w:hAnsiTheme="majorHAnsi" w:cs="Times New Roman"/>
          <w:color w:val="auto"/>
          <w:sz w:val="20"/>
          <w:szCs w:val="20"/>
        </w:rPr>
        <w:t>21.</w:t>
      </w:r>
      <w:r w:rsidR="00EC7AB1" w:rsidRPr="002A2289">
        <w:rPr>
          <w:rFonts w:asciiTheme="majorHAnsi" w:hAnsiTheme="majorHAnsi" w:cs="Times New Roman"/>
          <w:color w:val="auto"/>
          <w:sz w:val="20"/>
          <w:szCs w:val="20"/>
        </w:rPr>
        <w:t xml:space="preserve">650 </w:t>
      </w:r>
      <w:r w:rsidR="00EC3D7E" w:rsidRPr="002A2289">
        <w:rPr>
          <w:rFonts w:asciiTheme="majorHAnsi" w:hAnsiTheme="majorHAnsi" w:cs="Times New Roman"/>
          <w:color w:val="auto"/>
          <w:sz w:val="20"/>
          <w:szCs w:val="20"/>
        </w:rPr>
        <w:t xml:space="preserve">to prove a situation of </w:t>
      </w:r>
      <w:r w:rsidR="003B536E" w:rsidRPr="002A2289">
        <w:rPr>
          <w:rFonts w:asciiTheme="majorHAnsi" w:hAnsiTheme="majorHAnsi" w:cs="Times New Roman"/>
          <w:i/>
          <w:color w:val="auto"/>
          <w:sz w:val="20"/>
          <w:szCs w:val="20"/>
        </w:rPr>
        <w:t>de </w:t>
      </w:r>
      <w:r w:rsidR="00EC3D7E" w:rsidRPr="002A2289">
        <w:rPr>
          <w:rFonts w:asciiTheme="majorHAnsi" w:hAnsiTheme="majorHAnsi" w:cs="Times New Roman"/>
          <w:i/>
          <w:color w:val="auto"/>
          <w:sz w:val="20"/>
          <w:szCs w:val="20"/>
        </w:rPr>
        <w:t>facto</w:t>
      </w:r>
      <w:r w:rsidR="00522CA6" w:rsidRPr="002A2289">
        <w:rPr>
          <w:rFonts w:asciiTheme="majorHAnsi" w:hAnsiTheme="majorHAnsi" w:cs="Times New Roman"/>
          <w:color w:val="auto"/>
          <w:sz w:val="20"/>
          <w:szCs w:val="20"/>
        </w:rPr>
        <w:t xml:space="preserve"> release under s</w:t>
      </w:r>
      <w:r w:rsidR="00EC3D7E" w:rsidRPr="002A2289">
        <w:rPr>
          <w:rFonts w:asciiTheme="majorHAnsi" w:hAnsiTheme="majorHAnsi" w:cs="Times New Roman"/>
          <w:color w:val="auto"/>
          <w:sz w:val="20"/>
          <w:szCs w:val="20"/>
        </w:rPr>
        <w:t xml:space="preserve">urveillance; </w:t>
      </w:r>
      <w:r w:rsidR="00AA5BC3">
        <w:rPr>
          <w:rFonts w:asciiTheme="majorHAnsi" w:hAnsiTheme="majorHAnsi" w:cs="Times New Roman"/>
          <w:color w:val="auto"/>
          <w:sz w:val="20"/>
          <w:szCs w:val="20"/>
        </w:rPr>
        <w:t>that</w:t>
      </w:r>
      <w:r w:rsidR="00EC3D7E" w:rsidRPr="002A2289">
        <w:rPr>
          <w:rFonts w:asciiTheme="majorHAnsi" w:hAnsiTheme="majorHAnsi" w:cs="Times New Roman"/>
          <w:color w:val="auto"/>
          <w:sz w:val="20"/>
          <w:szCs w:val="20"/>
        </w:rPr>
        <w:t xml:space="preserve">, in </w:t>
      </w:r>
      <w:r w:rsidR="00A63846" w:rsidRPr="002A2289">
        <w:rPr>
          <w:rFonts w:asciiTheme="majorHAnsi" w:hAnsiTheme="majorHAnsi" w:cs="Times New Roman"/>
          <w:color w:val="auto"/>
          <w:sz w:val="20"/>
          <w:szCs w:val="20"/>
        </w:rPr>
        <w:t>Mr. Robasto’s</w:t>
      </w:r>
      <w:r w:rsidR="00EC3D7E" w:rsidRPr="002A2289">
        <w:rPr>
          <w:rFonts w:asciiTheme="majorHAnsi" w:hAnsiTheme="majorHAnsi" w:cs="Times New Roman"/>
          <w:color w:val="auto"/>
          <w:sz w:val="20"/>
          <w:szCs w:val="20"/>
        </w:rPr>
        <w:t xml:space="preserve"> particular case</w:t>
      </w:r>
      <w:r w:rsidR="00A63846" w:rsidRPr="002A2289">
        <w:rPr>
          <w:rFonts w:asciiTheme="majorHAnsi" w:hAnsiTheme="majorHAnsi" w:cs="Times New Roman"/>
          <w:color w:val="auto"/>
          <w:sz w:val="20"/>
          <w:szCs w:val="20"/>
        </w:rPr>
        <w:t>,</w:t>
      </w:r>
      <w:r w:rsidR="00EC3D7E" w:rsidRPr="002A2289">
        <w:rPr>
          <w:rFonts w:asciiTheme="majorHAnsi" w:hAnsiTheme="majorHAnsi" w:cs="Times New Roman"/>
          <w:color w:val="auto"/>
          <w:sz w:val="20"/>
          <w:szCs w:val="20"/>
        </w:rPr>
        <w:t xml:space="preserve"> “the obligation </w:t>
      </w:r>
      <w:r w:rsidR="00A63846" w:rsidRPr="002A2289">
        <w:rPr>
          <w:rFonts w:asciiTheme="majorHAnsi" w:hAnsiTheme="majorHAnsi" w:cs="Times New Roman"/>
          <w:color w:val="auto"/>
          <w:sz w:val="20"/>
          <w:szCs w:val="20"/>
        </w:rPr>
        <w:t>imposed on him</w:t>
      </w:r>
      <w:r w:rsidR="00EC3D7E" w:rsidRPr="002A2289">
        <w:rPr>
          <w:rFonts w:asciiTheme="majorHAnsi" w:hAnsiTheme="majorHAnsi" w:cs="Times New Roman"/>
          <w:color w:val="auto"/>
          <w:sz w:val="20"/>
          <w:szCs w:val="20"/>
        </w:rPr>
        <w:t>—</w:t>
      </w:r>
      <w:r w:rsidR="00662EF0" w:rsidRPr="002A2289">
        <w:rPr>
          <w:rFonts w:asciiTheme="majorHAnsi" w:hAnsiTheme="majorHAnsi" w:cs="Times New Roman"/>
          <w:color w:val="auto"/>
          <w:sz w:val="20"/>
          <w:szCs w:val="20"/>
        </w:rPr>
        <w:t xml:space="preserve">to say </w:t>
      </w:r>
      <w:r w:rsidR="00EC3D7E" w:rsidRPr="002A2289">
        <w:rPr>
          <w:rFonts w:asciiTheme="majorHAnsi" w:hAnsiTheme="majorHAnsi" w:cs="Times New Roman"/>
          <w:color w:val="auto"/>
          <w:sz w:val="20"/>
          <w:szCs w:val="20"/>
        </w:rPr>
        <w:t xml:space="preserve">the least—to report his whereabouts by phone” constituted a restriction on his personal liberty </w:t>
      </w:r>
      <w:r w:rsidR="00662EF0" w:rsidRPr="002A2289">
        <w:rPr>
          <w:rFonts w:asciiTheme="majorHAnsi" w:hAnsiTheme="majorHAnsi" w:cs="Times New Roman"/>
          <w:color w:val="auto"/>
          <w:sz w:val="20"/>
          <w:szCs w:val="20"/>
        </w:rPr>
        <w:t xml:space="preserve">that was </w:t>
      </w:r>
      <w:r w:rsidR="00C40AC4" w:rsidRPr="002A2289">
        <w:rPr>
          <w:rFonts w:asciiTheme="majorHAnsi" w:hAnsiTheme="majorHAnsi" w:cs="Times New Roman"/>
          <w:color w:val="auto"/>
          <w:sz w:val="20"/>
          <w:szCs w:val="20"/>
        </w:rPr>
        <w:t>compensable</w:t>
      </w:r>
      <w:r w:rsidR="00EC3D7E" w:rsidRPr="002A2289">
        <w:rPr>
          <w:rFonts w:asciiTheme="majorHAnsi" w:hAnsiTheme="majorHAnsi" w:cs="Times New Roman"/>
          <w:color w:val="auto"/>
          <w:sz w:val="20"/>
          <w:szCs w:val="20"/>
        </w:rPr>
        <w:t xml:space="preserve"> under </w:t>
      </w:r>
      <w:r w:rsidR="00786D79">
        <w:rPr>
          <w:rFonts w:asciiTheme="majorHAnsi" w:hAnsiTheme="majorHAnsi" w:cs="Times New Roman"/>
          <w:color w:val="auto"/>
          <w:sz w:val="20"/>
          <w:szCs w:val="20"/>
        </w:rPr>
        <w:t>Law 24.043</w:t>
      </w:r>
      <w:r w:rsidR="00EC3D7E" w:rsidRPr="002A2289">
        <w:rPr>
          <w:rFonts w:asciiTheme="majorHAnsi" w:hAnsiTheme="majorHAnsi" w:cs="Times New Roman"/>
          <w:color w:val="auto"/>
          <w:sz w:val="20"/>
          <w:szCs w:val="20"/>
        </w:rPr>
        <w:t xml:space="preserve">; and that at the time of the dictatorship there was a practice or context of “undeclared release under surveillance as a specific method used by </w:t>
      </w:r>
      <w:r w:rsidR="00A63846" w:rsidRPr="002A2289">
        <w:rPr>
          <w:rFonts w:asciiTheme="majorHAnsi" w:hAnsiTheme="majorHAnsi" w:cs="Times New Roman"/>
          <w:color w:val="auto"/>
          <w:sz w:val="20"/>
          <w:szCs w:val="20"/>
        </w:rPr>
        <w:t>security forces</w:t>
      </w:r>
      <w:r w:rsidR="00EC3D7E" w:rsidRPr="002A2289">
        <w:rPr>
          <w:rFonts w:asciiTheme="majorHAnsi" w:hAnsiTheme="majorHAnsi" w:cs="Times New Roman"/>
          <w:color w:val="auto"/>
          <w:sz w:val="20"/>
          <w:szCs w:val="20"/>
        </w:rPr>
        <w:t>.”</w:t>
      </w:r>
    </w:p>
    <w:p w14:paraId="60B14FF6" w14:textId="77777777" w:rsidR="00EC7AB1" w:rsidRPr="002A2289" w:rsidRDefault="00EC7AB1" w:rsidP="00EC7AB1">
      <w:pPr>
        <w:ind w:firstLine="720"/>
        <w:jc w:val="both"/>
        <w:rPr>
          <w:rFonts w:asciiTheme="majorHAnsi" w:hAnsiTheme="majorHAnsi"/>
          <w:sz w:val="20"/>
          <w:szCs w:val="20"/>
        </w:rPr>
      </w:pPr>
    </w:p>
    <w:p w14:paraId="0D5568F0" w14:textId="77777777" w:rsidR="00EC7AB1" w:rsidRPr="002A2289" w:rsidRDefault="00B43F31"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In this sense, the petitioner allege</w:t>
      </w:r>
      <w:r w:rsidR="00A63846" w:rsidRPr="002A2289">
        <w:rPr>
          <w:rFonts w:asciiTheme="majorHAnsi" w:hAnsiTheme="majorHAnsi" w:cs="Times New Roman"/>
          <w:color w:val="auto"/>
          <w:sz w:val="20"/>
          <w:szCs w:val="20"/>
        </w:rPr>
        <w:t>d</w:t>
      </w:r>
      <w:r w:rsidRPr="002A2289">
        <w:rPr>
          <w:rFonts w:asciiTheme="majorHAnsi" w:hAnsiTheme="majorHAnsi" w:cs="Times New Roman"/>
          <w:color w:val="auto"/>
          <w:sz w:val="20"/>
          <w:szCs w:val="20"/>
        </w:rPr>
        <w:t xml:space="preserve"> that </w:t>
      </w:r>
      <w:r w:rsidR="00A63846" w:rsidRPr="002A2289">
        <w:rPr>
          <w:rFonts w:asciiTheme="majorHAnsi" w:hAnsiTheme="majorHAnsi" w:cs="Times New Roman"/>
          <w:color w:val="auto"/>
          <w:sz w:val="20"/>
          <w:szCs w:val="20"/>
        </w:rPr>
        <w:t>awarding</w:t>
      </w:r>
      <w:r w:rsidRPr="002A2289">
        <w:rPr>
          <w:rFonts w:asciiTheme="majorHAnsi" w:hAnsiTheme="majorHAnsi" w:cs="Times New Roman"/>
          <w:color w:val="auto"/>
          <w:sz w:val="20"/>
          <w:szCs w:val="20"/>
        </w:rPr>
        <w:t xml:space="preserve"> reparation</w:t>
      </w:r>
      <w:r w:rsidR="00A63846" w:rsidRPr="002A2289">
        <w:rPr>
          <w:rFonts w:asciiTheme="majorHAnsi" w:hAnsiTheme="majorHAnsi" w:cs="Times New Roman"/>
          <w:color w:val="auto"/>
          <w:sz w:val="20"/>
          <w:szCs w:val="20"/>
        </w:rPr>
        <w:t>s</w:t>
      </w:r>
      <w:r w:rsidRPr="002A2289">
        <w:rPr>
          <w:rFonts w:asciiTheme="majorHAnsi" w:hAnsiTheme="majorHAnsi" w:cs="Times New Roman"/>
          <w:color w:val="auto"/>
          <w:sz w:val="20"/>
          <w:szCs w:val="20"/>
        </w:rPr>
        <w:t xml:space="preserve"> in other cases of “</w:t>
      </w:r>
      <w:r w:rsidRPr="002A2289">
        <w:rPr>
          <w:rFonts w:asciiTheme="majorHAnsi" w:hAnsiTheme="majorHAnsi" w:cs="Times New Roman"/>
          <w:i/>
          <w:color w:val="auto"/>
          <w:sz w:val="20"/>
          <w:szCs w:val="20"/>
        </w:rPr>
        <w:t>de facto</w:t>
      </w:r>
      <w:r w:rsidR="00A63846" w:rsidRPr="002A2289">
        <w:rPr>
          <w:rFonts w:asciiTheme="majorHAnsi" w:hAnsiTheme="majorHAnsi" w:cs="Times New Roman"/>
          <w:color w:val="auto"/>
          <w:sz w:val="20"/>
          <w:szCs w:val="20"/>
        </w:rPr>
        <w:t xml:space="preserve"> release under s</w:t>
      </w:r>
      <w:r w:rsidRPr="002A2289">
        <w:rPr>
          <w:rFonts w:asciiTheme="majorHAnsi" w:hAnsiTheme="majorHAnsi" w:cs="Times New Roman"/>
          <w:color w:val="auto"/>
          <w:sz w:val="20"/>
          <w:szCs w:val="20"/>
        </w:rPr>
        <w:t>urveillance</w:t>
      </w:r>
      <w:r w:rsidR="00A63846" w:rsidRPr="002A2289">
        <w:rPr>
          <w:rFonts w:asciiTheme="majorHAnsi" w:hAnsiTheme="majorHAnsi" w:cs="Times New Roman"/>
          <w:color w:val="auto"/>
          <w:sz w:val="20"/>
          <w:szCs w:val="20"/>
        </w:rPr>
        <w:t>,</w:t>
      </w:r>
      <w:r w:rsidRPr="002A2289">
        <w:rPr>
          <w:rFonts w:asciiTheme="majorHAnsi" w:hAnsiTheme="majorHAnsi" w:cs="Times New Roman"/>
          <w:color w:val="auto"/>
          <w:sz w:val="20"/>
          <w:szCs w:val="20"/>
        </w:rPr>
        <w:t xml:space="preserve">” but not </w:t>
      </w:r>
      <w:r w:rsidR="00662EF0" w:rsidRPr="002A2289">
        <w:rPr>
          <w:rFonts w:asciiTheme="majorHAnsi" w:hAnsiTheme="majorHAnsi" w:cs="Times New Roman"/>
          <w:color w:val="auto"/>
          <w:sz w:val="20"/>
          <w:szCs w:val="20"/>
        </w:rPr>
        <w:t xml:space="preserve">doing so </w:t>
      </w:r>
      <w:r w:rsidRPr="002A2289">
        <w:rPr>
          <w:rFonts w:asciiTheme="majorHAnsi" w:hAnsiTheme="majorHAnsi" w:cs="Times New Roman"/>
          <w:color w:val="auto"/>
          <w:sz w:val="20"/>
          <w:szCs w:val="20"/>
        </w:rPr>
        <w:t>in Mr. Almeida’s case</w:t>
      </w:r>
      <w:r w:rsidR="00662EF0" w:rsidRPr="002A2289">
        <w:rPr>
          <w:rFonts w:asciiTheme="majorHAnsi" w:hAnsiTheme="majorHAnsi" w:cs="Times New Roman"/>
          <w:color w:val="auto"/>
          <w:sz w:val="20"/>
          <w:szCs w:val="20"/>
        </w:rPr>
        <w:t>,</w:t>
      </w:r>
      <w:r w:rsidRPr="002A2289">
        <w:rPr>
          <w:rFonts w:asciiTheme="majorHAnsi" w:hAnsiTheme="majorHAnsi" w:cs="Times New Roman"/>
          <w:color w:val="auto"/>
          <w:sz w:val="20"/>
          <w:szCs w:val="20"/>
        </w:rPr>
        <w:t xml:space="preserve"> show</w:t>
      </w:r>
      <w:r w:rsidR="00A63846" w:rsidRPr="002A2289">
        <w:rPr>
          <w:rFonts w:asciiTheme="majorHAnsi" w:hAnsiTheme="majorHAnsi" w:cs="Times New Roman"/>
          <w:color w:val="auto"/>
          <w:sz w:val="20"/>
          <w:szCs w:val="20"/>
        </w:rPr>
        <w:t>s</w:t>
      </w:r>
      <w:r w:rsidRPr="002A2289">
        <w:rPr>
          <w:rFonts w:asciiTheme="majorHAnsi" w:hAnsiTheme="majorHAnsi" w:cs="Times New Roman"/>
          <w:color w:val="auto"/>
          <w:sz w:val="20"/>
          <w:szCs w:val="20"/>
        </w:rPr>
        <w:t xml:space="preserve"> o</w:t>
      </w:r>
      <w:r w:rsidR="00A63846" w:rsidRPr="002A2289">
        <w:rPr>
          <w:rFonts w:asciiTheme="majorHAnsi" w:hAnsiTheme="majorHAnsi" w:cs="Times New Roman"/>
          <w:color w:val="auto"/>
          <w:sz w:val="20"/>
          <w:szCs w:val="20"/>
        </w:rPr>
        <w:t>vertly</w:t>
      </w:r>
      <w:r w:rsidRPr="002A2289">
        <w:rPr>
          <w:rFonts w:asciiTheme="majorHAnsi" w:hAnsiTheme="majorHAnsi" w:cs="Times New Roman"/>
          <w:color w:val="auto"/>
          <w:sz w:val="20"/>
          <w:szCs w:val="20"/>
        </w:rPr>
        <w:t xml:space="preserve"> unequal </w:t>
      </w:r>
      <w:r w:rsidR="00A63846" w:rsidRPr="002A2289">
        <w:rPr>
          <w:rFonts w:asciiTheme="majorHAnsi" w:hAnsiTheme="majorHAnsi" w:cs="Times New Roman"/>
          <w:color w:val="auto"/>
          <w:sz w:val="20"/>
          <w:szCs w:val="20"/>
        </w:rPr>
        <w:t>treatment</w:t>
      </w:r>
      <w:r w:rsidRPr="002A2289">
        <w:rPr>
          <w:rFonts w:asciiTheme="majorHAnsi" w:hAnsiTheme="majorHAnsi" w:cs="Times New Roman"/>
          <w:color w:val="auto"/>
          <w:sz w:val="20"/>
          <w:szCs w:val="20"/>
        </w:rPr>
        <w:t xml:space="preserve">. This </w:t>
      </w:r>
      <w:r w:rsidR="00A63846" w:rsidRPr="002A2289">
        <w:rPr>
          <w:rFonts w:asciiTheme="majorHAnsi" w:hAnsiTheme="majorHAnsi" w:cs="Times New Roman"/>
          <w:color w:val="auto"/>
          <w:sz w:val="20"/>
          <w:szCs w:val="20"/>
        </w:rPr>
        <w:t>argument</w:t>
      </w:r>
      <w:r w:rsidRPr="002A2289">
        <w:rPr>
          <w:rFonts w:asciiTheme="majorHAnsi" w:hAnsiTheme="majorHAnsi" w:cs="Times New Roman"/>
          <w:color w:val="auto"/>
          <w:sz w:val="20"/>
          <w:szCs w:val="20"/>
        </w:rPr>
        <w:t xml:space="preserve"> was presented to domestic authorities </w:t>
      </w:r>
      <w:r w:rsidR="00662EF0" w:rsidRPr="002A2289">
        <w:rPr>
          <w:rFonts w:asciiTheme="majorHAnsi" w:hAnsiTheme="majorHAnsi" w:cs="Times New Roman"/>
          <w:color w:val="auto"/>
          <w:sz w:val="20"/>
          <w:szCs w:val="20"/>
        </w:rPr>
        <w:t>in Mr. Almeida’s claims</w:t>
      </w:r>
      <w:r w:rsidRPr="002A2289">
        <w:rPr>
          <w:rFonts w:asciiTheme="majorHAnsi" w:hAnsiTheme="majorHAnsi" w:cs="Times New Roman"/>
          <w:color w:val="auto"/>
          <w:sz w:val="20"/>
          <w:szCs w:val="20"/>
        </w:rPr>
        <w:t xml:space="preserve"> following the change in criteria. In </w:t>
      </w:r>
      <w:r w:rsidR="00C40AC4" w:rsidRPr="002A2289">
        <w:rPr>
          <w:rFonts w:asciiTheme="majorHAnsi" w:hAnsiTheme="majorHAnsi" w:cs="Times New Roman"/>
          <w:color w:val="auto"/>
          <w:sz w:val="20"/>
          <w:szCs w:val="20"/>
        </w:rPr>
        <w:t>response</w:t>
      </w:r>
      <w:r w:rsidRPr="002A2289">
        <w:rPr>
          <w:rFonts w:asciiTheme="majorHAnsi" w:hAnsiTheme="majorHAnsi" w:cs="Times New Roman"/>
          <w:color w:val="auto"/>
          <w:sz w:val="20"/>
          <w:szCs w:val="20"/>
        </w:rPr>
        <w:t xml:space="preserve">, his claims were denied based on a procedural consideration </w:t>
      </w:r>
      <w:r w:rsidR="00662EF0" w:rsidRPr="002A2289">
        <w:rPr>
          <w:rFonts w:asciiTheme="majorHAnsi" w:hAnsiTheme="majorHAnsi" w:cs="Times New Roman"/>
          <w:color w:val="auto"/>
          <w:sz w:val="20"/>
          <w:szCs w:val="20"/>
        </w:rPr>
        <w:t>based upon</w:t>
      </w:r>
      <w:r w:rsidRPr="002A2289">
        <w:rPr>
          <w:rFonts w:asciiTheme="majorHAnsi" w:hAnsiTheme="majorHAnsi" w:cs="Times New Roman"/>
          <w:color w:val="auto"/>
          <w:sz w:val="20"/>
          <w:szCs w:val="20"/>
        </w:rPr>
        <w:t xml:space="preserve"> which in Mr. Almeida’s case, there is a situation of </w:t>
      </w:r>
      <w:r w:rsidRPr="002A2289">
        <w:rPr>
          <w:rFonts w:asciiTheme="majorHAnsi" w:hAnsiTheme="majorHAnsi" w:cs="Times New Roman"/>
          <w:i/>
          <w:color w:val="auto"/>
          <w:sz w:val="20"/>
          <w:szCs w:val="20"/>
        </w:rPr>
        <w:t>res judicata</w:t>
      </w:r>
      <w:r w:rsidRPr="002A2289">
        <w:rPr>
          <w:rFonts w:asciiTheme="majorHAnsi" w:hAnsiTheme="majorHAnsi" w:cs="Times New Roman"/>
          <w:color w:val="auto"/>
          <w:sz w:val="20"/>
          <w:szCs w:val="20"/>
        </w:rPr>
        <w:t xml:space="preserve"> that </w:t>
      </w:r>
      <w:r w:rsidR="004D4033" w:rsidRPr="002A2289">
        <w:rPr>
          <w:rFonts w:asciiTheme="majorHAnsi" w:hAnsiTheme="majorHAnsi" w:cs="Times New Roman"/>
          <w:color w:val="auto"/>
          <w:sz w:val="20"/>
          <w:szCs w:val="20"/>
        </w:rPr>
        <w:t>precludes</w:t>
      </w:r>
      <w:r w:rsidRPr="002A2289">
        <w:rPr>
          <w:rFonts w:asciiTheme="majorHAnsi" w:hAnsiTheme="majorHAnsi" w:cs="Times New Roman"/>
          <w:color w:val="auto"/>
          <w:sz w:val="20"/>
          <w:szCs w:val="20"/>
        </w:rPr>
        <w:t xml:space="preserve"> new review o</w:t>
      </w:r>
      <w:r w:rsidR="004D4033" w:rsidRPr="002A2289">
        <w:rPr>
          <w:rFonts w:asciiTheme="majorHAnsi" w:hAnsiTheme="majorHAnsi" w:cs="Times New Roman"/>
          <w:color w:val="auto"/>
          <w:sz w:val="20"/>
          <w:szCs w:val="20"/>
        </w:rPr>
        <w:t>f the merits of the case.</w:t>
      </w:r>
      <w:r w:rsidR="00EC7AB1" w:rsidRPr="002A2289">
        <w:rPr>
          <w:rFonts w:asciiTheme="majorHAnsi" w:hAnsiTheme="majorHAnsi" w:cs="Times New Roman"/>
          <w:color w:val="auto"/>
          <w:sz w:val="20"/>
          <w:szCs w:val="20"/>
        </w:rPr>
        <w:t xml:space="preserve"> </w:t>
      </w:r>
    </w:p>
    <w:p w14:paraId="20A76720" w14:textId="77777777" w:rsidR="00EC7AB1" w:rsidRPr="002A2289" w:rsidRDefault="00EC7AB1" w:rsidP="00EC7AB1">
      <w:pPr>
        <w:pStyle w:val="ListParagraph"/>
        <w:ind w:firstLine="720"/>
        <w:rPr>
          <w:rFonts w:asciiTheme="majorHAnsi" w:hAnsiTheme="majorHAnsi" w:cs="Times New Roman"/>
          <w:color w:val="auto"/>
          <w:sz w:val="20"/>
          <w:szCs w:val="20"/>
        </w:rPr>
      </w:pPr>
    </w:p>
    <w:p w14:paraId="512C0958" w14:textId="77777777" w:rsidR="00EC7AB1" w:rsidRPr="002A2289" w:rsidRDefault="00B43F31"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The Commission considers that the need for an effective remedy on this point was fundamental, not only because it is an argument about the right to equal protection under the law, but also because the difference in treatment due to the different </w:t>
      </w:r>
      <w:r w:rsidR="00C40AC4" w:rsidRPr="002A2289">
        <w:rPr>
          <w:rFonts w:asciiTheme="majorHAnsi" w:hAnsiTheme="majorHAnsi" w:cs="Times New Roman"/>
          <w:color w:val="auto"/>
          <w:sz w:val="20"/>
          <w:szCs w:val="20"/>
        </w:rPr>
        <w:t>criteria</w:t>
      </w:r>
      <w:r w:rsidRPr="002A2289">
        <w:rPr>
          <w:rFonts w:asciiTheme="majorHAnsi" w:hAnsiTheme="majorHAnsi" w:cs="Times New Roman"/>
          <w:color w:val="auto"/>
          <w:sz w:val="20"/>
          <w:szCs w:val="20"/>
        </w:rPr>
        <w:t xml:space="preserve"> over time regarding </w:t>
      </w:r>
      <w:r w:rsidRPr="002A2289">
        <w:rPr>
          <w:rFonts w:asciiTheme="majorHAnsi" w:hAnsiTheme="majorHAnsi" w:cs="Times New Roman"/>
          <w:i/>
          <w:color w:val="auto"/>
          <w:sz w:val="20"/>
          <w:szCs w:val="20"/>
        </w:rPr>
        <w:t>de facto</w:t>
      </w:r>
      <w:r w:rsidRPr="002A2289">
        <w:rPr>
          <w:rFonts w:asciiTheme="majorHAnsi" w:hAnsiTheme="majorHAnsi" w:cs="Times New Roman"/>
          <w:color w:val="auto"/>
          <w:sz w:val="20"/>
          <w:szCs w:val="20"/>
        </w:rPr>
        <w:t xml:space="preserve"> release under survei</w:t>
      </w:r>
      <w:r w:rsidR="004D4033" w:rsidRPr="002A2289">
        <w:rPr>
          <w:rFonts w:asciiTheme="majorHAnsi" w:hAnsiTheme="majorHAnsi" w:cs="Times New Roman"/>
          <w:color w:val="auto"/>
          <w:sz w:val="20"/>
          <w:szCs w:val="20"/>
        </w:rPr>
        <w:t>ll</w:t>
      </w:r>
      <w:r w:rsidRPr="002A2289">
        <w:rPr>
          <w:rFonts w:asciiTheme="majorHAnsi" w:hAnsiTheme="majorHAnsi" w:cs="Times New Roman"/>
          <w:color w:val="auto"/>
          <w:sz w:val="20"/>
          <w:szCs w:val="20"/>
        </w:rPr>
        <w:t>ance was related to a matter of the utmost importance—that of reparations for violation of huma</w:t>
      </w:r>
      <w:r w:rsidR="004D4033" w:rsidRPr="002A2289">
        <w:rPr>
          <w:rFonts w:asciiTheme="majorHAnsi" w:hAnsiTheme="majorHAnsi" w:cs="Times New Roman"/>
          <w:color w:val="auto"/>
          <w:sz w:val="20"/>
          <w:szCs w:val="20"/>
        </w:rPr>
        <w:t>n</w:t>
      </w:r>
      <w:r w:rsidRPr="002A2289">
        <w:rPr>
          <w:rFonts w:asciiTheme="majorHAnsi" w:hAnsiTheme="majorHAnsi" w:cs="Times New Roman"/>
          <w:color w:val="auto"/>
          <w:sz w:val="20"/>
          <w:szCs w:val="20"/>
        </w:rPr>
        <w:t xml:space="preserve"> rights committed duri</w:t>
      </w:r>
      <w:r w:rsidR="004D4033" w:rsidRPr="002A2289">
        <w:rPr>
          <w:rFonts w:asciiTheme="majorHAnsi" w:hAnsiTheme="majorHAnsi" w:cs="Times New Roman"/>
          <w:color w:val="auto"/>
          <w:sz w:val="20"/>
          <w:szCs w:val="20"/>
        </w:rPr>
        <w:t>n</w:t>
      </w:r>
      <w:r w:rsidRPr="002A2289">
        <w:rPr>
          <w:rFonts w:asciiTheme="majorHAnsi" w:hAnsiTheme="majorHAnsi" w:cs="Times New Roman"/>
          <w:color w:val="auto"/>
          <w:sz w:val="20"/>
          <w:szCs w:val="20"/>
        </w:rPr>
        <w:t>g the military dictatorship.</w:t>
      </w:r>
      <w:r w:rsidR="00EC7AB1" w:rsidRPr="002A2289">
        <w:rPr>
          <w:rFonts w:asciiTheme="majorHAnsi" w:hAnsiTheme="majorHAnsi" w:cs="Times New Roman"/>
          <w:color w:val="auto"/>
          <w:sz w:val="20"/>
          <w:szCs w:val="20"/>
        </w:rPr>
        <w:t xml:space="preserve"> </w:t>
      </w:r>
    </w:p>
    <w:p w14:paraId="216F6331" w14:textId="77777777" w:rsidR="00EC7AB1" w:rsidRPr="002A2289" w:rsidRDefault="00EC7AB1" w:rsidP="00EC7AB1">
      <w:pPr>
        <w:ind w:firstLine="720"/>
        <w:jc w:val="both"/>
        <w:rPr>
          <w:rFonts w:asciiTheme="majorHAnsi" w:hAnsiTheme="majorHAnsi"/>
          <w:sz w:val="20"/>
          <w:szCs w:val="20"/>
        </w:rPr>
      </w:pPr>
    </w:p>
    <w:p w14:paraId="493D09B2" w14:textId="0EFB8FC9" w:rsidR="00EC7AB1" w:rsidRPr="002A2289" w:rsidRDefault="00964995"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In this sense, the situation presented to the domestic courts was the following: Mr. Almeida alleged he had </w:t>
      </w:r>
      <w:r w:rsidR="00C10CB2" w:rsidRPr="002A2289">
        <w:rPr>
          <w:rFonts w:asciiTheme="majorHAnsi" w:hAnsiTheme="majorHAnsi" w:cs="Times New Roman"/>
          <w:color w:val="auto"/>
          <w:sz w:val="20"/>
          <w:szCs w:val="20"/>
        </w:rPr>
        <w:t>endured “</w:t>
      </w:r>
      <w:r w:rsidR="00C10CB2" w:rsidRPr="002A2289">
        <w:rPr>
          <w:rFonts w:asciiTheme="majorHAnsi" w:hAnsiTheme="majorHAnsi" w:cs="Times New Roman"/>
          <w:i/>
          <w:color w:val="auto"/>
          <w:sz w:val="20"/>
          <w:szCs w:val="20"/>
        </w:rPr>
        <w:t>de facto</w:t>
      </w:r>
      <w:r w:rsidR="00C10CB2" w:rsidRPr="002A2289">
        <w:rPr>
          <w:rFonts w:asciiTheme="majorHAnsi" w:hAnsiTheme="majorHAnsi" w:cs="Times New Roman"/>
          <w:color w:val="auto"/>
          <w:sz w:val="20"/>
          <w:szCs w:val="20"/>
        </w:rPr>
        <w:t xml:space="preserve"> release under surveillance” during the dictatorship; as from the </w:t>
      </w:r>
      <w:r w:rsidR="00C10CB2" w:rsidRPr="002A2289">
        <w:rPr>
          <w:rFonts w:asciiTheme="majorHAnsi" w:hAnsiTheme="majorHAnsi" w:cs="Times New Roman"/>
          <w:i/>
          <w:color w:val="auto"/>
          <w:sz w:val="20"/>
          <w:szCs w:val="20"/>
        </w:rPr>
        <w:t xml:space="preserve">Robasto </w:t>
      </w:r>
      <w:r w:rsidR="00C10CB2" w:rsidRPr="002A2289">
        <w:rPr>
          <w:rFonts w:asciiTheme="majorHAnsi" w:hAnsiTheme="majorHAnsi" w:cs="Times New Roman"/>
          <w:color w:val="auto"/>
          <w:sz w:val="20"/>
          <w:szCs w:val="20"/>
        </w:rPr>
        <w:t>case in 2004, competent authorities made it clear that situation</w:t>
      </w:r>
      <w:r w:rsidR="00DD3748" w:rsidRPr="002A2289">
        <w:rPr>
          <w:rFonts w:asciiTheme="majorHAnsi" w:hAnsiTheme="majorHAnsi" w:cs="Times New Roman"/>
          <w:color w:val="auto"/>
          <w:sz w:val="20"/>
          <w:szCs w:val="20"/>
        </w:rPr>
        <w:t>s which</w:t>
      </w:r>
      <w:r w:rsidR="00C10CB2" w:rsidRPr="002A2289">
        <w:rPr>
          <w:rFonts w:asciiTheme="majorHAnsi" w:hAnsiTheme="majorHAnsi" w:cs="Times New Roman"/>
          <w:color w:val="auto"/>
          <w:sz w:val="20"/>
          <w:szCs w:val="20"/>
        </w:rPr>
        <w:t xml:space="preserve"> </w:t>
      </w:r>
      <w:r w:rsidR="00C10CB2" w:rsidRPr="002A2289">
        <w:rPr>
          <w:rFonts w:asciiTheme="majorHAnsi" w:hAnsiTheme="majorHAnsi" w:cs="Times New Roman"/>
          <w:i/>
          <w:color w:val="auto"/>
          <w:sz w:val="20"/>
          <w:szCs w:val="20"/>
        </w:rPr>
        <w:t>prima facie</w:t>
      </w:r>
      <w:r w:rsidR="00C10CB2" w:rsidRPr="002A2289">
        <w:rPr>
          <w:rFonts w:asciiTheme="majorHAnsi" w:hAnsiTheme="majorHAnsi" w:cs="Times New Roman"/>
          <w:color w:val="auto"/>
          <w:sz w:val="20"/>
          <w:szCs w:val="20"/>
        </w:rPr>
        <w:t xml:space="preserve"> seem similar to the one alleged by Mr.</w:t>
      </w:r>
      <w:r w:rsidR="003B536E" w:rsidRPr="002A2289">
        <w:rPr>
          <w:rFonts w:asciiTheme="majorHAnsi" w:hAnsiTheme="majorHAnsi" w:cs="Times New Roman"/>
          <w:color w:val="auto"/>
          <w:sz w:val="20"/>
          <w:szCs w:val="20"/>
        </w:rPr>
        <w:t> </w:t>
      </w:r>
      <w:r w:rsidR="003B536E" w:rsidRPr="002A2289">
        <w:rPr>
          <w:rFonts w:asciiTheme="majorHAnsi" w:hAnsiTheme="majorHAnsi" w:cs="Times New Roman"/>
          <w:sz w:val="20"/>
          <w:szCs w:val="20"/>
        </w:rPr>
        <w:t>Almeida—e.g.</w:t>
      </w:r>
      <w:r w:rsidR="00EC7AB1" w:rsidRPr="002A2289">
        <w:rPr>
          <w:rFonts w:asciiTheme="majorHAnsi" w:hAnsiTheme="majorHAnsi" w:cs="Times New Roman"/>
          <w:sz w:val="20"/>
          <w:szCs w:val="20"/>
        </w:rPr>
        <w:t xml:space="preserve">, </w:t>
      </w:r>
      <w:r w:rsidR="00C10CB2" w:rsidRPr="002A2289">
        <w:rPr>
          <w:rFonts w:asciiTheme="majorHAnsi" w:hAnsiTheme="majorHAnsi" w:cs="Times New Roman"/>
          <w:sz w:val="20"/>
          <w:szCs w:val="20"/>
        </w:rPr>
        <w:t xml:space="preserve">that entailed surveillance through telephone calls or face-to-face visits from security forces without a judicial or executive order—are eligible for compensation under the procedure of </w:t>
      </w:r>
      <w:r w:rsidR="00786D79">
        <w:rPr>
          <w:rFonts w:asciiTheme="majorHAnsi" w:hAnsiTheme="majorHAnsi" w:cs="Times New Roman"/>
          <w:sz w:val="20"/>
          <w:szCs w:val="20"/>
        </w:rPr>
        <w:t>Law 24.043</w:t>
      </w:r>
      <w:r w:rsidR="00EC7AB1" w:rsidRPr="002A2289">
        <w:rPr>
          <w:rFonts w:asciiTheme="majorHAnsi" w:hAnsiTheme="majorHAnsi" w:cs="Times New Roman"/>
          <w:sz w:val="20"/>
          <w:szCs w:val="20"/>
        </w:rPr>
        <w:t xml:space="preserve">; </w:t>
      </w:r>
      <w:r w:rsidR="00C10CB2" w:rsidRPr="002A2289">
        <w:rPr>
          <w:rFonts w:asciiTheme="majorHAnsi" w:hAnsiTheme="majorHAnsi" w:cs="Times New Roman"/>
          <w:sz w:val="20"/>
          <w:szCs w:val="20"/>
        </w:rPr>
        <w:t xml:space="preserve">and according to the State itself, </w:t>
      </w:r>
      <w:r w:rsidR="004D4033" w:rsidRPr="002A2289">
        <w:rPr>
          <w:rFonts w:asciiTheme="majorHAnsi" w:hAnsiTheme="majorHAnsi" w:cs="Times New Roman"/>
          <w:sz w:val="20"/>
          <w:szCs w:val="20"/>
        </w:rPr>
        <w:t xml:space="preserve">“in </w:t>
      </w:r>
      <w:r w:rsidR="004D4033" w:rsidRPr="002A2289">
        <w:rPr>
          <w:rFonts w:asciiTheme="majorHAnsi" w:hAnsiTheme="majorHAnsi" w:cs="Times New Roman"/>
          <w:color w:val="auto"/>
          <w:sz w:val="20"/>
          <w:szCs w:val="20"/>
        </w:rPr>
        <w:t xml:space="preserve">successive judgments” </w:t>
      </w:r>
      <w:r w:rsidR="00C10CB2" w:rsidRPr="002A2289">
        <w:rPr>
          <w:rFonts w:asciiTheme="majorHAnsi" w:hAnsiTheme="majorHAnsi" w:cs="Times New Roman"/>
          <w:sz w:val="20"/>
          <w:szCs w:val="20"/>
        </w:rPr>
        <w:t xml:space="preserve">subsequent to the </w:t>
      </w:r>
      <w:r w:rsidR="00C10CB2" w:rsidRPr="002A2289">
        <w:rPr>
          <w:rFonts w:asciiTheme="majorHAnsi" w:hAnsiTheme="majorHAnsi" w:cs="Times New Roman"/>
          <w:i/>
          <w:sz w:val="20"/>
          <w:szCs w:val="20"/>
        </w:rPr>
        <w:t>Robast</w:t>
      </w:r>
      <w:r w:rsidR="004D4033" w:rsidRPr="002A2289">
        <w:rPr>
          <w:rFonts w:asciiTheme="majorHAnsi" w:hAnsiTheme="majorHAnsi" w:cs="Times New Roman"/>
          <w:i/>
          <w:sz w:val="20"/>
          <w:szCs w:val="20"/>
        </w:rPr>
        <w:t>o</w:t>
      </w:r>
      <w:r w:rsidR="00C10CB2" w:rsidRPr="002A2289">
        <w:rPr>
          <w:rFonts w:asciiTheme="majorHAnsi" w:hAnsiTheme="majorHAnsi" w:cs="Times New Roman"/>
          <w:sz w:val="20"/>
          <w:szCs w:val="20"/>
        </w:rPr>
        <w:t xml:space="preserve"> decision,</w:t>
      </w:r>
      <w:r w:rsidR="009B5C4F" w:rsidRPr="002A2289">
        <w:rPr>
          <w:rFonts w:asciiTheme="majorHAnsi" w:hAnsiTheme="majorHAnsi" w:cs="Times New Roman"/>
          <w:sz w:val="20"/>
          <w:szCs w:val="20"/>
        </w:rPr>
        <w:t xml:space="preserve"> </w:t>
      </w:r>
      <w:r w:rsidR="004D4033" w:rsidRPr="002A2289">
        <w:rPr>
          <w:rFonts w:asciiTheme="majorHAnsi" w:hAnsiTheme="majorHAnsi" w:cs="Times New Roman"/>
          <w:sz w:val="20"/>
          <w:szCs w:val="20"/>
        </w:rPr>
        <w:t>“</w:t>
      </w:r>
      <w:r w:rsidR="004D4033" w:rsidRPr="002A2289">
        <w:rPr>
          <w:rFonts w:asciiTheme="majorHAnsi" w:hAnsiTheme="majorHAnsi" w:cs="Times New Roman"/>
          <w:color w:val="auto"/>
          <w:sz w:val="20"/>
          <w:szCs w:val="20"/>
        </w:rPr>
        <w:t xml:space="preserve">formal requirements—above all evidentiary requirements—provided for under </w:t>
      </w:r>
      <w:r w:rsidR="00786D79">
        <w:rPr>
          <w:rFonts w:asciiTheme="majorHAnsi" w:hAnsiTheme="majorHAnsi" w:cs="Times New Roman"/>
          <w:color w:val="auto"/>
          <w:sz w:val="20"/>
          <w:szCs w:val="20"/>
        </w:rPr>
        <w:t>Law 24.043</w:t>
      </w:r>
      <w:r w:rsidR="004D4033" w:rsidRPr="002A2289">
        <w:rPr>
          <w:rFonts w:asciiTheme="majorHAnsi" w:hAnsiTheme="majorHAnsi" w:cs="Times New Roman"/>
          <w:color w:val="auto"/>
          <w:sz w:val="20"/>
          <w:szCs w:val="20"/>
        </w:rPr>
        <w:t xml:space="preserve"> </w:t>
      </w:r>
      <w:r w:rsidR="00DD3748" w:rsidRPr="002A2289">
        <w:rPr>
          <w:rFonts w:asciiTheme="majorHAnsi" w:hAnsiTheme="majorHAnsi" w:cs="Times New Roman"/>
          <w:color w:val="auto"/>
          <w:sz w:val="20"/>
          <w:szCs w:val="20"/>
        </w:rPr>
        <w:t>in order to obtain compensation</w:t>
      </w:r>
      <w:r w:rsidR="004D4033" w:rsidRPr="002A2289">
        <w:rPr>
          <w:rFonts w:asciiTheme="majorHAnsi" w:hAnsiTheme="majorHAnsi" w:cs="Times New Roman"/>
          <w:color w:val="auto"/>
          <w:sz w:val="20"/>
          <w:szCs w:val="20"/>
        </w:rPr>
        <w:t xml:space="preserve"> have taken a back seat to a duly substantiated impairment of the right to personal liberty at the hands of the State</w:t>
      </w:r>
      <w:r w:rsidR="009B5C4F" w:rsidRPr="002A2289">
        <w:rPr>
          <w:rFonts w:asciiTheme="majorHAnsi" w:hAnsiTheme="majorHAnsi" w:cs="Times New Roman"/>
          <w:color w:val="auto"/>
          <w:sz w:val="20"/>
          <w:szCs w:val="20"/>
        </w:rPr>
        <w:t>.</w:t>
      </w:r>
      <w:r w:rsidR="00EC7AB1" w:rsidRPr="002A2289">
        <w:rPr>
          <w:rFonts w:asciiTheme="majorHAnsi" w:hAnsiTheme="majorHAnsi" w:cs="Times New Roman"/>
          <w:color w:val="auto"/>
          <w:sz w:val="20"/>
          <w:szCs w:val="20"/>
        </w:rPr>
        <w:t xml:space="preserve">” </w:t>
      </w:r>
      <w:r w:rsidR="00C10CB2" w:rsidRPr="002A2289">
        <w:rPr>
          <w:rFonts w:asciiTheme="majorHAnsi" w:hAnsiTheme="majorHAnsi" w:cs="Times New Roman"/>
          <w:color w:val="auto"/>
          <w:sz w:val="20"/>
          <w:szCs w:val="20"/>
        </w:rPr>
        <w:t>According to the State’s argument</w:t>
      </w:r>
      <w:r w:rsidR="00956476" w:rsidRPr="002A2289">
        <w:rPr>
          <w:rFonts w:asciiTheme="majorHAnsi" w:hAnsiTheme="majorHAnsi" w:cs="Times New Roman"/>
          <w:color w:val="auto"/>
          <w:sz w:val="20"/>
          <w:szCs w:val="20"/>
        </w:rPr>
        <w:t>s</w:t>
      </w:r>
      <w:r w:rsidR="00C10CB2" w:rsidRPr="002A2289">
        <w:rPr>
          <w:rFonts w:asciiTheme="majorHAnsi" w:hAnsiTheme="majorHAnsi" w:cs="Times New Roman"/>
          <w:color w:val="auto"/>
          <w:sz w:val="20"/>
          <w:szCs w:val="20"/>
        </w:rPr>
        <w:t xml:space="preserve"> to the IACHR, the main </w:t>
      </w:r>
      <w:r w:rsidR="00004077" w:rsidRPr="002A2289">
        <w:rPr>
          <w:rFonts w:asciiTheme="majorHAnsi" w:hAnsiTheme="majorHAnsi" w:cs="Times New Roman"/>
          <w:color w:val="auto"/>
          <w:sz w:val="20"/>
          <w:szCs w:val="20"/>
        </w:rPr>
        <w:t xml:space="preserve">defect Mr. Almeida’s case </w:t>
      </w:r>
      <w:r w:rsidR="009B5C4F" w:rsidRPr="002A2289">
        <w:rPr>
          <w:rFonts w:asciiTheme="majorHAnsi" w:hAnsiTheme="majorHAnsi" w:cs="Times New Roman"/>
          <w:color w:val="auto"/>
          <w:sz w:val="20"/>
          <w:szCs w:val="20"/>
        </w:rPr>
        <w:t xml:space="preserve">presented is the lack of sufficient evidence to demonstrate the situation he alleges; however, the State itself recognized that it is understood that if </w:t>
      </w:r>
      <w:r w:rsidR="00956476" w:rsidRPr="002A2289">
        <w:rPr>
          <w:rFonts w:asciiTheme="majorHAnsi" w:hAnsiTheme="majorHAnsi" w:cs="Times New Roman"/>
          <w:color w:val="auto"/>
          <w:sz w:val="20"/>
          <w:szCs w:val="20"/>
        </w:rPr>
        <w:t>Mr. Almeida</w:t>
      </w:r>
      <w:r w:rsidR="009B5C4F" w:rsidRPr="002A2289">
        <w:rPr>
          <w:rFonts w:asciiTheme="majorHAnsi" w:hAnsiTheme="majorHAnsi" w:cs="Times New Roman"/>
          <w:color w:val="auto"/>
          <w:sz w:val="20"/>
          <w:szCs w:val="20"/>
        </w:rPr>
        <w:t xml:space="preserve"> had presented his claim after the </w:t>
      </w:r>
      <w:r w:rsidR="009B5C4F" w:rsidRPr="002A2289">
        <w:rPr>
          <w:rFonts w:asciiTheme="majorHAnsi" w:hAnsiTheme="majorHAnsi" w:cs="Times New Roman"/>
          <w:i/>
          <w:color w:val="auto"/>
          <w:sz w:val="20"/>
          <w:szCs w:val="20"/>
        </w:rPr>
        <w:t>Robast</w:t>
      </w:r>
      <w:r w:rsidR="007A058F" w:rsidRPr="002A2289">
        <w:rPr>
          <w:rFonts w:asciiTheme="majorHAnsi" w:hAnsiTheme="majorHAnsi" w:cs="Times New Roman"/>
          <w:i/>
          <w:color w:val="auto"/>
          <w:sz w:val="20"/>
          <w:szCs w:val="20"/>
        </w:rPr>
        <w:t>o</w:t>
      </w:r>
      <w:r w:rsidR="009B5C4F" w:rsidRPr="002A2289">
        <w:rPr>
          <w:rFonts w:asciiTheme="majorHAnsi" w:hAnsiTheme="majorHAnsi" w:cs="Times New Roman"/>
          <w:color w:val="auto"/>
          <w:sz w:val="20"/>
          <w:szCs w:val="20"/>
        </w:rPr>
        <w:t xml:space="preserve"> decision in 2004, he </w:t>
      </w:r>
      <w:r w:rsidR="00AA5BC3">
        <w:rPr>
          <w:rFonts w:asciiTheme="majorHAnsi" w:hAnsiTheme="majorHAnsi" w:cs="Times New Roman"/>
          <w:color w:val="auto"/>
          <w:sz w:val="20"/>
          <w:szCs w:val="20"/>
        </w:rPr>
        <w:t>might</w:t>
      </w:r>
      <w:r w:rsidR="009B5C4F" w:rsidRPr="002A2289">
        <w:rPr>
          <w:rFonts w:asciiTheme="majorHAnsi" w:hAnsiTheme="majorHAnsi" w:cs="Times New Roman"/>
          <w:color w:val="auto"/>
          <w:sz w:val="20"/>
          <w:szCs w:val="20"/>
        </w:rPr>
        <w:t xml:space="preserve"> have been the beneficiary of </w:t>
      </w:r>
      <w:r w:rsidR="00956476" w:rsidRPr="002A2289">
        <w:rPr>
          <w:rFonts w:asciiTheme="majorHAnsi" w:hAnsiTheme="majorHAnsi" w:cs="Times New Roman"/>
          <w:color w:val="auto"/>
          <w:sz w:val="20"/>
          <w:szCs w:val="20"/>
        </w:rPr>
        <w:t>compensation inasmuch as</w:t>
      </w:r>
      <w:r w:rsidR="009B5C4F" w:rsidRPr="002A2289">
        <w:rPr>
          <w:rFonts w:asciiTheme="majorHAnsi" w:hAnsiTheme="majorHAnsi" w:cs="Times New Roman"/>
          <w:color w:val="auto"/>
          <w:sz w:val="20"/>
          <w:szCs w:val="20"/>
        </w:rPr>
        <w:t xml:space="preserve"> the “forma</w:t>
      </w:r>
      <w:r w:rsidR="007A058F" w:rsidRPr="002A2289">
        <w:rPr>
          <w:rFonts w:asciiTheme="majorHAnsi" w:hAnsiTheme="majorHAnsi" w:cs="Times New Roman"/>
          <w:color w:val="auto"/>
          <w:sz w:val="20"/>
          <w:szCs w:val="20"/>
        </w:rPr>
        <w:t>l</w:t>
      </w:r>
      <w:r w:rsidR="009B5C4F" w:rsidRPr="002A2289">
        <w:rPr>
          <w:rFonts w:asciiTheme="majorHAnsi" w:hAnsiTheme="majorHAnsi" w:cs="Times New Roman"/>
          <w:color w:val="auto"/>
          <w:sz w:val="20"/>
          <w:szCs w:val="20"/>
        </w:rPr>
        <w:t xml:space="preserve"> requirements” regarding evidence “had taken a back seat” after that date.</w:t>
      </w:r>
      <w:r w:rsidR="00EC7AB1" w:rsidRPr="002A2289">
        <w:rPr>
          <w:rFonts w:asciiTheme="majorHAnsi" w:hAnsiTheme="majorHAnsi" w:cs="Times New Roman"/>
          <w:color w:val="auto"/>
          <w:sz w:val="20"/>
          <w:szCs w:val="20"/>
        </w:rPr>
        <w:t xml:space="preserve"> </w:t>
      </w:r>
    </w:p>
    <w:p w14:paraId="45A9C2A9" w14:textId="77777777" w:rsidR="00EC7AB1" w:rsidRPr="002A2289" w:rsidRDefault="00EC7AB1" w:rsidP="00EC7AB1">
      <w:pPr>
        <w:pStyle w:val="ListParagraph"/>
        <w:ind w:left="634" w:firstLine="720"/>
        <w:jc w:val="both"/>
        <w:rPr>
          <w:rFonts w:asciiTheme="majorHAnsi" w:hAnsiTheme="majorHAnsi" w:cs="Times New Roman"/>
          <w:color w:val="auto"/>
          <w:sz w:val="20"/>
          <w:szCs w:val="20"/>
        </w:rPr>
      </w:pPr>
    </w:p>
    <w:p w14:paraId="1C9DB4CC" w14:textId="77777777" w:rsidR="00EC7AB1" w:rsidRPr="002A2289" w:rsidRDefault="009B5C4F"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lastRenderedPageBreak/>
        <w:t xml:space="preserve">Without getting into ruling on these </w:t>
      </w:r>
      <w:r w:rsidR="007A058F" w:rsidRPr="002A2289">
        <w:rPr>
          <w:rFonts w:asciiTheme="majorHAnsi" w:hAnsiTheme="majorHAnsi" w:cs="Times New Roman"/>
          <w:color w:val="auto"/>
          <w:sz w:val="20"/>
          <w:szCs w:val="20"/>
        </w:rPr>
        <w:t xml:space="preserve">evidentiary </w:t>
      </w:r>
      <w:r w:rsidRPr="002A2289">
        <w:rPr>
          <w:rFonts w:asciiTheme="majorHAnsi" w:hAnsiTheme="majorHAnsi" w:cs="Times New Roman"/>
          <w:color w:val="auto"/>
          <w:sz w:val="20"/>
          <w:szCs w:val="20"/>
        </w:rPr>
        <w:t xml:space="preserve">matters and whether the </w:t>
      </w:r>
      <w:r w:rsidRPr="002A2289">
        <w:rPr>
          <w:rFonts w:asciiTheme="majorHAnsi" w:hAnsiTheme="majorHAnsi" w:cs="Times New Roman"/>
          <w:i/>
          <w:color w:val="auto"/>
          <w:sz w:val="20"/>
          <w:szCs w:val="20"/>
        </w:rPr>
        <w:t>de facto</w:t>
      </w:r>
      <w:r w:rsidRPr="002A2289">
        <w:rPr>
          <w:rFonts w:asciiTheme="majorHAnsi" w:hAnsiTheme="majorHAnsi" w:cs="Times New Roman"/>
          <w:color w:val="auto"/>
          <w:sz w:val="20"/>
          <w:szCs w:val="20"/>
        </w:rPr>
        <w:t xml:space="preserve"> situation alleged by </w:t>
      </w:r>
      <w:r w:rsidR="00EC7AB1" w:rsidRPr="002A2289">
        <w:rPr>
          <w:rFonts w:asciiTheme="majorHAnsi" w:hAnsiTheme="majorHAnsi" w:cs="Times New Roman"/>
          <w:color w:val="auto"/>
          <w:sz w:val="20"/>
          <w:szCs w:val="20"/>
        </w:rPr>
        <w:t>Rufino Jorge Almeida ef</w:t>
      </w:r>
      <w:r w:rsidR="007A058F" w:rsidRPr="002A2289">
        <w:rPr>
          <w:rFonts w:asciiTheme="majorHAnsi" w:hAnsiTheme="majorHAnsi" w:cs="Times New Roman"/>
          <w:color w:val="auto"/>
          <w:sz w:val="20"/>
          <w:szCs w:val="20"/>
        </w:rPr>
        <w:t>f</w:t>
      </w:r>
      <w:r w:rsidRPr="002A2289">
        <w:rPr>
          <w:rFonts w:asciiTheme="majorHAnsi" w:hAnsiTheme="majorHAnsi" w:cs="Times New Roman"/>
          <w:color w:val="auto"/>
          <w:sz w:val="20"/>
          <w:szCs w:val="20"/>
        </w:rPr>
        <w:t xml:space="preserve">ectively took place, the Commission notes that the conflict domestic courts </w:t>
      </w:r>
      <w:r w:rsidR="007A058F" w:rsidRPr="002A2289">
        <w:rPr>
          <w:rFonts w:asciiTheme="majorHAnsi" w:hAnsiTheme="majorHAnsi" w:cs="Times New Roman"/>
          <w:color w:val="auto"/>
          <w:sz w:val="20"/>
          <w:szCs w:val="20"/>
        </w:rPr>
        <w:t>faced</w:t>
      </w:r>
      <w:r w:rsidRPr="002A2289">
        <w:rPr>
          <w:rFonts w:asciiTheme="majorHAnsi" w:hAnsiTheme="majorHAnsi" w:cs="Times New Roman"/>
          <w:color w:val="auto"/>
          <w:sz w:val="20"/>
          <w:szCs w:val="20"/>
        </w:rPr>
        <w:t xml:space="preserve"> after the change in criteria and the new petitions from the alleged victim are related to the tension between the principle of legal certainty</w:t>
      </w:r>
      <w:r w:rsidR="00EC7AB1" w:rsidRPr="002A2289">
        <w:rPr>
          <w:rStyle w:val="FootnoteReference"/>
          <w:rFonts w:asciiTheme="majorHAnsi" w:hAnsiTheme="majorHAnsi" w:cs="Times New Roman"/>
          <w:color w:val="auto"/>
          <w:sz w:val="20"/>
          <w:szCs w:val="20"/>
        </w:rPr>
        <w:footnoteReference w:id="76"/>
      </w:r>
      <w:r w:rsidR="00956476" w:rsidRPr="002A2289">
        <w:rPr>
          <w:rFonts w:asciiTheme="majorHAnsi" w:hAnsiTheme="majorHAnsi" w:cs="Times New Roman"/>
          <w:color w:val="auto"/>
          <w:sz w:val="20"/>
          <w:szCs w:val="20"/>
        </w:rPr>
        <w:t>—</w:t>
      </w:r>
      <w:r w:rsidRPr="002A2289">
        <w:rPr>
          <w:rFonts w:asciiTheme="majorHAnsi" w:hAnsiTheme="majorHAnsi" w:cs="Times New Roman"/>
          <w:color w:val="auto"/>
          <w:sz w:val="20"/>
          <w:szCs w:val="20"/>
        </w:rPr>
        <w:t>specifically,</w:t>
      </w:r>
      <w:r w:rsidR="00956476" w:rsidRPr="002A2289">
        <w:rPr>
          <w:rFonts w:asciiTheme="majorHAnsi" w:hAnsiTheme="majorHAnsi" w:cs="Times New Roman"/>
          <w:color w:val="auto"/>
          <w:sz w:val="20"/>
          <w:szCs w:val="20"/>
        </w:rPr>
        <w:t xml:space="preserve"> </w:t>
      </w:r>
      <w:r w:rsidRPr="002A2289">
        <w:rPr>
          <w:rFonts w:asciiTheme="majorHAnsi" w:hAnsiTheme="majorHAnsi" w:cs="Times New Roman"/>
          <w:color w:val="auto"/>
          <w:sz w:val="20"/>
          <w:szCs w:val="20"/>
        </w:rPr>
        <w:t>with regard to final court decisions</w:t>
      </w:r>
      <w:r w:rsidR="00956476" w:rsidRPr="002A2289">
        <w:rPr>
          <w:rFonts w:asciiTheme="majorHAnsi" w:hAnsiTheme="majorHAnsi" w:cs="Times New Roman"/>
          <w:color w:val="auto"/>
          <w:sz w:val="20"/>
          <w:szCs w:val="20"/>
        </w:rPr>
        <w:t>—</w:t>
      </w:r>
      <w:r w:rsidR="007A058F" w:rsidRPr="002A2289">
        <w:rPr>
          <w:rFonts w:asciiTheme="majorHAnsi" w:hAnsiTheme="majorHAnsi" w:cs="Times New Roman"/>
          <w:color w:val="auto"/>
          <w:sz w:val="20"/>
          <w:szCs w:val="20"/>
        </w:rPr>
        <w:t>and</w:t>
      </w:r>
      <w:r w:rsidR="00956476" w:rsidRPr="002A2289">
        <w:rPr>
          <w:rFonts w:asciiTheme="majorHAnsi" w:hAnsiTheme="majorHAnsi" w:cs="Times New Roman"/>
          <w:color w:val="auto"/>
          <w:sz w:val="20"/>
          <w:szCs w:val="20"/>
        </w:rPr>
        <w:t xml:space="preserve"> </w:t>
      </w:r>
      <w:r w:rsidR="007A058F" w:rsidRPr="002A2289">
        <w:rPr>
          <w:rFonts w:asciiTheme="majorHAnsi" w:hAnsiTheme="majorHAnsi" w:cs="Times New Roman"/>
          <w:color w:val="auto"/>
          <w:sz w:val="20"/>
          <w:szCs w:val="20"/>
        </w:rPr>
        <w:t>the right to reparations f</w:t>
      </w:r>
      <w:r w:rsidRPr="002A2289">
        <w:rPr>
          <w:rFonts w:asciiTheme="majorHAnsi" w:hAnsiTheme="majorHAnsi" w:cs="Times New Roman"/>
          <w:color w:val="auto"/>
          <w:sz w:val="20"/>
          <w:szCs w:val="20"/>
        </w:rPr>
        <w:t>o</w:t>
      </w:r>
      <w:r w:rsidR="007A058F" w:rsidRPr="002A2289">
        <w:rPr>
          <w:rFonts w:asciiTheme="majorHAnsi" w:hAnsiTheme="majorHAnsi" w:cs="Times New Roman"/>
          <w:color w:val="auto"/>
          <w:sz w:val="20"/>
          <w:szCs w:val="20"/>
        </w:rPr>
        <w:t>r</w:t>
      </w:r>
      <w:r w:rsidRPr="002A2289">
        <w:rPr>
          <w:rFonts w:asciiTheme="majorHAnsi" w:hAnsiTheme="majorHAnsi" w:cs="Times New Roman"/>
          <w:color w:val="auto"/>
          <w:sz w:val="20"/>
          <w:szCs w:val="20"/>
        </w:rPr>
        <w:t xml:space="preserve"> violations of human rights. The IACHR considers that when these two enter into conflict, such as, for example, when </w:t>
      </w:r>
      <w:r w:rsidR="00956476" w:rsidRPr="002A2289">
        <w:rPr>
          <w:rFonts w:asciiTheme="majorHAnsi" w:hAnsiTheme="majorHAnsi" w:cs="Times New Roman"/>
          <w:color w:val="auto"/>
          <w:sz w:val="20"/>
          <w:szCs w:val="20"/>
        </w:rPr>
        <w:t>an</w:t>
      </w:r>
      <w:r w:rsidRPr="002A2289">
        <w:rPr>
          <w:rFonts w:asciiTheme="majorHAnsi" w:hAnsiTheme="majorHAnsi" w:cs="Times New Roman"/>
          <w:color w:val="auto"/>
          <w:sz w:val="20"/>
          <w:szCs w:val="20"/>
        </w:rPr>
        <w:t xml:space="preserve"> effective remedy is created or confirmed subsequent </w:t>
      </w:r>
      <w:r w:rsidR="00583CCD" w:rsidRPr="002A2289">
        <w:rPr>
          <w:rFonts w:asciiTheme="majorHAnsi" w:hAnsiTheme="majorHAnsi" w:cs="Times New Roman"/>
          <w:color w:val="auto"/>
          <w:sz w:val="20"/>
          <w:szCs w:val="20"/>
        </w:rPr>
        <w:t xml:space="preserve">to denial </w:t>
      </w:r>
      <w:r w:rsidR="007A058F" w:rsidRPr="002A2289">
        <w:rPr>
          <w:rFonts w:asciiTheme="majorHAnsi" w:hAnsiTheme="majorHAnsi" w:cs="Times New Roman"/>
          <w:color w:val="auto"/>
          <w:sz w:val="20"/>
          <w:szCs w:val="20"/>
        </w:rPr>
        <w:t xml:space="preserve">of </w:t>
      </w:r>
      <w:r w:rsidR="00583CCD" w:rsidRPr="002A2289">
        <w:rPr>
          <w:rFonts w:asciiTheme="majorHAnsi" w:hAnsiTheme="majorHAnsi" w:cs="Times New Roman"/>
          <w:color w:val="auto"/>
          <w:sz w:val="20"/>
          <w:szCs w:val="20"/>
        </w:rPr>
        <w:t xml:space="preserve">such an essential right </w:t>
      </w:r>
      <w:r w:rsidR="00956476" w:rsidRPr="002A2289">
        <w:rPr>
          <w:rFonts w:asciiTheme="majorHAnsi" w:hAnsiTheme="majorHAnsi" w:cs="Times New Roman"/>
          <w:color w:val="auto"/>
          <w:sz w:val="20"/>
          <w:szCs w:val="20"/>
        </w:rPr>
        <w:t>as</w:t>
      </w:r>
      <w:r w:rsidR="00583CCD" w:rsidRPr="002A2289">
        <w:rPr>
          <w:rFonts w:asciiTheme="majorHAnsi" w:hAnsiTheme="majorHAnsi" w:cs="Times New Roman"/>
          <w:color w:val="auto"/>
          <w:sz w:val="20"/>
          <w:szCs w:val="20"/>
        </w:rPr>
        <w:t xml:space="preserve"> the right to reparation</w:t>
      </w:r>
      <w:r w:rsidR="007A058F" w:rsidRPr="002A2289">
        <w:rPr>
          <w:rFonts w:asciiTheme="majorHAnsi" w:hAnsiTheme="majorHAnsi" w:cs="Times New Roman"/>
          <w:color w:val="auto"/>
          <w:sz w:val="20"/>
          <w:szCs w:val="20"/>
        </w:rPr>
        <w:t>s</w:t>
      </w:r>
      <w:r w:rsidR="00583CCD" w:rsidRPr="002A2289">
        <w:rPr>
          <w:rFonts w:asciiTheme="majorHAnsi" w:hAnsiTheme="majorHAnsi" w:cs="Times New Roman"/>
          <w:color w:val="auto"/>
          <w:sz w:val="20"/>
          <w:szCs w:val="20"/>
        </w:rPr>
        <w:t xml:space="preserve">, a suitable and effective mechanism that properly </w:t>
      </w:r>
      <w:r w:rsidR="00956476" w:rsidRPr="002A2289">
        <w:rPr>
          <w:rFonts w:asciiTheme="majorHAnsi" w:hAnsiTheme="majorHAnsi" w:cs="Times New Roman"/>
          <w:color w:val="auto"/>
          <w:sz w:val="20"/>
          <w:szCs w:val="20"/>
        </w:rPr>
        <w:t>weighs</w:t>
      </w:r>
      <w:r w:rsidR="00583CCD" w:rsidRPr="002A2289">
        <w:rPr>
          <w:rFonts w:asciiTheme="majorHAnsi" w:hAnsiTheme="majorHAnsi" w:cs="Times New Roman"/>
          <w:color w:val="auto"/>
          <w:sz w:val="20"/>
          <w:szCs w:val="20"/>
        </w:rPr>
        <w:t xml:space="preserve"> the important elements of that tension must be provided.</w:t>
      </w:r>
      <w:r w:rsidR="00EC7AB1" w:rsidRPr="002A2289">
        <w:rPr>
          <w:rFonts w:asciiTheme="majorHAnsi" w:hAnsiTheme="majorHAnsi" w:cs="Times New Roman"/>
          <w:color w:val="auto"/>
          <w:sz w:val="20"/>
          <w:szCs w:val="20"/>
        </w:rPr>
        <w:t xml:space="preserve"> </w:t>
      </w:r>
    </w:p>
    <w:p w14:paraId="692DC30F" w14:textId="77777777" w:rsidR="00EC7AB1" w:rsidRPr="002A2289" w:rsidRDefault="00EC7AB1" w:rsidP="00EC7AB1">
      <w:pPr>
        <w:pStyle w:val="ListParagraph"/>
        <w:ind w:firstLine="720"/>
        <w:rPr>
          <w:rFonts w:asciiTheme="majorHAnsi" w:hAnsiTheme="majorHAnsi" w:cs="Times New Roman"/>
          <w:color w:val="auto"/>
          <w:sz w:val="20"/>
          <w:szCs w:val="20"/>
        </w:rPr>
      </w:pPr>
    </w:p>
    <w:p w14:paraId="1BA10532" w14:textId="63C7B802" w:rsidR="00EC7AB1" w:rsidRPr="002A2289" w:rsidRDefault="007A058F"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As part of that </w:t>
      </w:r>
      <w:r w:rsidR="00956476" w:rsidRPr="002A2289">
        <w:rPr>
          <w:rFonts w:asciiTheme="majorHAnsi" w:hAnsiTheme="majorHAnsi" w:cs="Times New Roman"/>
          <w:color w:val="auto"/>
          <w:sz w:val="20"/>
          <w:szCs w:val="20"/>
        </w:rPr>
        <w:t>weighing</w:t>
      </w:r>
      <w:r w:rsidRPr="002A2289">
        <w:rPr>
          <w:rFonts w:asciiTheme="majorHAnsi" w:hAnsiTheme="majorHAnsi" w:cs="Times New Roman"/>
          <w:color w:val="auto"/>
          <w:sz w:val="20"/>
          <w:szCs w:val="20"/>
        </w:rPr>
        <w:t xml:space="preserve">, </w:t>
      </w:r>
      <w:r w:rsidR="00382AB6" w:rsidRPr="002A2289">
        <w:rPr>
          <w:rFonts w:asciiTheme="majorHAnsi" w:hAnsiTheme="majorHAnsi" w:cs="Times New Roman"/>
          <w:color w:val="auto"/>
          <w:sz w:val="20"/>
          <w:szCs w:val="20"/>
        </w:rPr>
        <w:t xml:space="preserve">the fundamental nature of the matter at hand must </w:t>
      </w:r>
      <w:r w:rsidR="002C6B98" w:rsidRPr="002A2289">
        <w:rPr>
          <w:rFonts w:asciiTheme="majorHAnsi" w:hAnsiTheme="majorHAnsi" w:cs="Times New Roman"/>
          <w:color w:val="auto"/>
          <w:sz w:val="20"/>
          <w:szCs w:val="20"/>
        </w:rPr>
        <w:t xml:space="preserve">especially </w:t>
      </w:r>
      <w:r w:rsidR="00382AB6" w:rsidRPr="002A2289">
        <w:rPr>
          <w:rFonts w:asciiTheme="majorHAnsi" w:hAnsiTheme="majorHAnsi" w:cs="Times New Roman"/>
          <w:color w:val="auto"/>
          <w:sz w:val="20"/>
          <w:szCs w:val="20"/>
        </w:rPr>
        <w:t xml:space="preserve">be taken into </w:t>
      </w:r>
      <w:r w:rsidR="002C6B98" w:rsidRPr="002A2289">
        <w:rPr>
          <w:rFonts w:asciiTheme="majorHAnsi" w:hAnsiTheme="majorHAnsi" w:cs="Times New Roman"/>
          <w:color w:val="auto"/>
          <w:sz w:val="20"/>
          <w:szCs w:val="20"/>
        </w:rPr>
        <w:t>account</w:t>
      </w:r>
      <w:r w:rsidR="00382AB6" w:rsidRPr="002A2289">
        <w:rPr>
          <w:rFonts w:asciiTheme="majorHAnsi" w:hAnsiTheme="majorHAnsi" w:cs="Times New Roman"/>
          <w:color w:val="auto"/>
          <w:sz w:val="20"/>
          <w:szCs w:val="20"/>
        </w:rPr>
        <w:t xml:space="preserve">. In this case, the Commission considers that </w:t>
      </w:r>
      <w:r w:rsidR="00AA5BC3">
        <w:rPr>
          <w:rFonts w:asciiTheme="majorHAnsi" w:hAnsiTheme="majorHAnsi" w:cs="Times New Roman"/>
          <w:color w:val="auto"/>
          <w:sz w:val="20"/>
          <w:szCs w:val="20"/>
        </w:rPr>
        <w:t xml:space="preserve">the grant of </w:t>
      </w:r>
      <w:r w:rsidR="00382AB6" w:rsidRPr="002A2289">
        <w:rPr>
          <w:rFonts w:asciiTheme="majorHAnsi" w:hAnsiTheme="majorHAnsi" w:cs="Times New Roman"/>
          <w:color w:val="auto"/>
          <w:sz w:val="20"/>
          <w:szCs w:val="20"/>
        </w:rPr>
        <w:t xml:space="preserve">reparations for violations of human rights committed in a context like that of the Argentine dictatorship, which may be similar or analogous to other cases </w:t>
      </w:r>
      <w:r w:rsidR="00956476" w:rsidRPr="002A2289">
        <w:rPr>
          <w:rFonts w:asciiTheme="majorHAnsi" w:hAnsiTheme="majorHAnsi" w:cs="Times New Roman"/>
          <w:color w:val="auto"/>
          <w:sz w:val="20"/>
          <w:szCs w:val="20"/>
        </w:rPr>
        <w:t xml:space="preserve">in which </w:t>
      </w:r>
      <w:r w:rsidR="00382AB6" w:rsidRPr="002A2289">
        <w:rPr>
          <w:rFonts w:asciiTheme="majorHAnsi" w:hAnsiTheme="majorHAnsi" w:cs="Times New Roman"/>
          <w:color w:val="auto"/>
          <w:sz w:val="20"/>
          <w:szCs w:val="20"/>
        </w:rPr>
        <w:t>reparations</w:t>
      </w:r>
      <w:r w:rsidR="00956476" w:rsidRPr="002A2289">
        <w:rPr>
          <w:rFonts w:asciiTheme="majorHAnsi" w:hAnsiTheme="majorHAnsi" w:cs="Times New Roman"/>
          <w:color w:val="auto"/>
          <w:sz w:val="20"/>
          <w:szCs w:val="20"/>
        </w:rPr>
        <w:t xml:space="preserve"> have been awarded</w:t>
      </w:r>
      <w:r w:rsidR="00382AB6" w:rsidRPr="002A2289">
        <w:rPr>
          <w:rFonts w:asciiTheme="majorHAnsi" w:hAnsiTheme="majorHAnsi" w:cs="Times New Roman"/>
          <w:color w:val="auto"/>
          <w:sz w:val="20"/>
          <w:szCs w:val="20"/>
        </w:rPr>
        <w:t xml:space="preserve">, cannot exclusively depend on the point in time in which the petition is presented. On the contrary, </w:t>
      </w:r>
      <w:r w:rsidR="00956476" w:rsidRPr="002A2289">
        <w:rPr>
          <w:rFonts w:asciiTheme="majorHAnsi" w:hAnsiTheme="majorHAnsi" w:cs="Times New Roman"/>
          <w:color w:val="auto"/>
          <w:sz w:val="20"/>
          <w:szCs w:val="20"/>
        </w:rPr>
        <w:t xml:space="preserve">this weighing </w:t>
      </w:r>
      <w:r w:rsidR="00382AB6" w:rsidRPr="002A2289">
        <w:rPr>
          <w:rFonts w:asciiTheme="majorHAnsi" w:hAnsiTheme="majorHAnsi" w:cs="Times New Roman"/>
          <w:color w:val="auto"/>
          <w:sz w:val="20"/>
          <w:szCs w:val="20"/>
        </w:rPr>
        <w:t>must consider possible modulations of the effect</w:t>
      </w:r>
      <w:r w:rsidR="00401262" w:rsidRPr="002A2289">
        <w:rPr>
          <w:rFonts w:asciiTheme="majorHAnsi" w:hAnsiTheme="majorHAnsi" w:cs="Times New Roman"/>
          <w:color w:val="auto"/>
          <w:sz w:val="20"/>
          <w:szCs w:val="20"/>
        </w:rPr>
        <w:t>s</w:t>
      </w:r>
      <w:r w:rsidR="00382AB6" w:rsidRPr="002A2289">
        <w:rPr>
          <w:rFonts w:asciiTheme="majorHAnsi" w:hAnsiTheme="majorHAnsi" w:cs="Times New Roman"/>
          <w:color w:val="auto"/>
          <w:sz w:val="20"/>
          <w:szCs w:val="20"/>
        </w:rPr>
        <w:t xml:space="preserve"> </w:t>
      </w:r>
      <w:r w:rsidR="00956476" w:rsidRPr="002A2289">
        <w:rPr>
          <w:rFonts w:asciiTheme="majorHAnsi" w:hAnsiTheme="majorHAnsi" w:cs="Times New Roman"/>
          <w:color w:val="auto"/>
          <w:sz w:val="20"/>
          <w:szCs w:val="20"/>
        </w:rPr>
        <w:t>related to</w:t>
      </w:r>
      <w:r w:rsidR="00382AB6" w:rsidRPr="002A2289">
        <w:rPr>
          <w:rFonts w:asciiTheme="majorHAnsi" w:hAnsiTheme="majorHAnsi" w:cs="Times New Roman"/>
          <w:color w:val="auto"/>
          <w:sz w:val="20"/>
          <w:szCs w:val="20"/>
        </w:rPr>
        <w:t xml:space="preserve"> </w:t>
      </w:r>
      <w:r w:rsidR="00956476" w:rsidRPr="002A2289">
        <w:rPr>
          <w:rFonts w:asciiTheme="majorHAnsi" w:hAnsiTheme="majorHAnsi" w:cs="Times New Roman"/>
          <w:color w:val="auto"/>
          <w:sz w:val="20"/>
          <w:szCs w:val="20"/>
        </w:rPr>
        <w:t xml:space="preserve">when </w:t>
      </w:r>
      <w:r w:rsidR="00401262" w:rsidRPr="002A2289">
        <w:rPr>
          <w:rFonts w:asciiTheme="majorHAnsi" w:hAnsiTheme="majorHAnsi" w:cs="Times New Roman"/>
          <w:color w:val="auto"/>
          <w:sz w:val="20"/>
          <w:szCs w:val="20"/>
        </w:rPr>
        <w:t>judgments</w:t>
      </w:r>
      <w:r w:rsidR="00956476" w:rsidRPr="002A2289">
        <w:rPr>
          <w:rFonts w:asciiTheme="majorHAnsi" w:hAnsiTheme="majorHAnsi" w:cs="Times New Roman"/>
          <w:color w:val="auto"/>
          <w:sz w:val="20"/>
          <w:szCs w:val="20"/>
        </w:rPr>
        <w:t xml:space="preserve"> were issued,</w:t>
      </w:r>
      <w:r w:rsidR="00382AB6" w:rsidRPr="002A2289">
        <w:rPr>
          <w:rFonts w:asciiTheme="majorHAnsi" w:hAnsiTheme="majorHAnsi" w:cs="Times New Roman"/>
          <w:color w:val="auto"/>
          <w:sz w:val="20"/>
          <w:szCs w:val="20"/>
        </w:rPr>
        <w:t xml:space="preserve"> s</w:t>
      </w:r>
      <w:r w:rsidR="00401262" w:rsidRPr="002A2289">
        <w:rPr>
          <w:rFonts w:asciiTheme="majorHAnsi" w:hAnsiTheme="majorHAnsi" w:cs="Times New Roman"/>
          <w:color w:val="auto"/>
          <w:sz w:val="20"/>
          <w:szCs w:val="20"/>
        </w:rPr>
        <w:t>o</w:t>
      </w:r>
      <w:r w:rsidR="00382AB6" w:rsidRPr="002A2289">
        <w:rPr>
          <w:rFonts w:asciiTheme="majorHAnsi" w:hAnsiTheme="majorHAnsi" w:cs="Times New Roman"/>
          <w:color w:val="auto"/>
          <w:sz w:val="20"/>
          <w:szCs w:val="20"/>
        </w:rPr>
        <w:t xml:space="preserve"> that changes in </w:t>
      </w:r>
      <w:r w:rsidR="00C40AC4" w:rsidRPr="002A2289">
        <w:rPr>
          <w:rFonts w:asciiTheme="majorHAnsi" w:hAnsiTheme="majorHAnsi" w:cs="Times New Roman"/>
          <w:color w:val="auto"/>
          <w:sz w:val="20"/>
          <w:szCs w:val="20"/>
        </w:rPr>
        <w:t>criteria</w:t>
      </w:r>
      <w:r w:rsidR="00956476" w:rsidRPr="002A2289">
        <w:rPr>
          <w:rFonts w:asciiTheme="majorHAnsi" w:hAnsiTheme="majorHAnsi" w:cs="Times New Roman"/>
          <w:color w:val="auto"/>
          <w:sz w:val="20"/>
          <w:szCs w:val="20"/>
        </w:rPr>
        <w:t>,</w:t>
      </w:r>
      <w:r w:rsidR="00382AB6" w:rsidRPr="002A2289">
        <w:rPr>
          <w:rFonts w:asciiTheme="majorHAnsi" w:hAnsiTheme="majorHAnsi" w:cs="Times New Roman"/>
          <w:color w:val="auto"/>
          <w:sz w:val="20"/>
          <w:szCs w:val="20"/>
        </w:rPr>
        <w:t xml:space="preserve"> such as th</w:t>
      </w:r>
      <w:r w:rsidR="002C6B98" w:rsidRPr="002A2289">
        <w:rPr>
          <w:rFonts w:asciiTheme="majorHAnsi" w:hAnsiTheme="majorHAnsi" w:cs="Times New Roman"/>
          <w:color w:val="auto"/>
          <w:sz w:val="20"/>
          <w:szCs w:val="20"/>
        </w:rPr>
        <w:t>ose</w:t>
      </w:r>
      <w:r w:rsidR="00382AB6" w:rsidRPr="002A2289">
        <w:rPr>
          <w:rFonts w:asciiTheme="majorHAnsi" w:hAnsiTheme="majorHAnsi" w:cs="Times New Roman"/>
          <w:color w:val="auto"/>
          <w:sz w:val="20"/>
          <w:szCs w:val="20"/>
        </w:rPr>
        <w:t xml:space="preserve"> </w:t>
      </w:r>
      <w:r w:rsidR="00C40AC4" w:rsidRPr="002A2289">
        <w:rPr>
          <w:rFonts w:asciiTheme="majorHAnsi" w:hAnsiTheme="majorHAnsi" w:cs="Times New Roman"/>
          <w:color w:val="auto"/>
          <w:sz w:val="20"/>
          <w:szCs w:val="20"/>
        </w:rPr>
        <w:t>stemming from</w:t>
      </w:r>
      <w:r w:rsidR="00382AB6" w:rsidRPr="002A2289">
        <w:rPr>
          <w:rFonts w:asciiTheme="majorHAnsi" w:hAnsiTheme="majorHAnsi" w:cs="Times New Roman"/>
          <w:color w:val="auto"/>
          <w:sz w:val="20"/>
          <w:szCs w:val="20"/>
        </w:rPr>
        <w:t xml:space="preserve"> </w:t>
      </w:r>
      <w:r w:rsidR="00382AB6" w:rsidRPr="002A2289">
        <w:rPr>
          <w:rFonts w:asciiTheme="majorHAnsi" w:hAnsiTheme="majorHAnsi" w:cs="Times New Roman"/>
          <w:i/>
          <w:color w:val="auto"/>
          <w:sz w:val="20"/>
          <w:szCs w:val="20"/>
        </w:rPr>
        <w:t>Robasto</w:t>
      </w:r>
      <w:r w:rsidR="00956476" w:rsidRPr="002A2289">
        <w:rPr>
          <w:rFonts w:asciiTheme="majorHAnsi" w:hAnsiTheme="majorHAnsi" w:cs="Times New Roman"/>
          <w:i/>
          <w:color w:val="auto"/>
          <w:sz w:val="20"/>
          <w:szCs w:val="20"/>
        </w:rPr>
        <w:t>,</w:t>
      </w:r>
      <w:r w:rsidR="00382AB6" w:rsidRPr="002A2289">
        <w:rPr>
          <w:rFonts w:asciiTheme="majorHAnsi" w:hAnsiTheme="majorHAnsi" w:cs="Times New Roman"/>
          <w:color w:val="auto"/>
          <w:sz w:val="20"/>
          <w:szCs w:val="20"/>
        </w:rPr>
        <w:t xml:space="preserve"> </w:t>
      </w:r>
      <w:r w:rsidR="00401262" w:rsidRPr="002A2289">
        <w:rPr>
          <w:rFonts w:asciiTheme="majorHAnsi" w:hAnsiTheme="majorHAnsi" w:cs="Times New Roman"/>
          <w:color w:val="auto"/>
          <w:sz w:val="20"/>
          <w:szCs w:val="20"/>
        </w:rPr>
        <w:t>may</w:t>
      </w:r>
      <w:r w:rsidR="00382AB6" w:rsidRPr="002A2289">
        <w:rPr>
          <w:rFonts w:asciiTheme="majorHAnsi" w:hAnsiTheme="majorHAnsi" w:cs="Times New Roman"/>
          <w:color w:val="auto"/>
          <w:sz w:val="20"/>
          <w:szCs w:val="20"/>
        </w:rPr>
        <w:t xml:space="preserve"> have </w:t>
      </w:r>
      <w:r w:rsidR="00C40AC4" w:rsidRPr="002A2289">
        <w:rPr>
          <w:rFonts w:asciiTheme="majorHAnsi" w:hAnsiTheme="majorHAnsi" w:cs="Times New Roman"/>
          <w:color w:val="auto"/>
          <w:sz w:val="20"/>
          <w:szCs w:val="20"/>
        </w:rPr>
        <w:t xml:space="preserve">retroactive effects </w:t>
      </w:r>
      <w:r w:rsidR="00382AB6" w:rsidRPr="002A2289">
        <w:rPr>
          <w:rFonts w:asciiTheme="majorHAnsi" w:hAnsiTheme="majorHAnsi" w:cs="Times New Roman"/>
          <w:color w:val="auto"/>
          <w:sz w:val="20"/>
          <w:szCs w:val="20"/>
        </w:rPr>
        <w:t xml:space="preserve">in order to </w:t>
      </w:r>
      <w:r w:rsidR="00C40AC4" w:rsidRPr="002A2289">
        <w:rPr>
          <w:rFonts w:asciiTheme="majorHAnsi" w:hAnsiTheme="majorHAnsi" w:cs="Times New Roman"/>
          <w:color w:val="auto"/>
          <w:sz w:val="20"/>
          <w:szCs w:val="20"/>
        </w:rPr>
        <w:t>prevent</w:t>
      </w:r>
      <w:r w:rsidR="00382AB6" w:rsidRPr="002A2289">
        <w:rPr>
          <w:rFonts w:asciiTheme="majorHAnsi" w:hAnsiTheme="majorHAnsi" w:cs="Times New Roman"/>
          <w:color w:val="auto"/>
          <w:sz w:val="20"/>
          <w:szCs w:val="20"/>
        </w:rPr>
        <w:t xml:space="preserve"> unequal application of the law on matters of great importance such as reparation</w:t>
      </w:r>
      <w:r w:rsidR="002C6B98" w:rsidRPr="002A2289">
        <w:rPr>
          <w:rFonts w:asciiTheme="majorHAnsi" w:hAnsiTheme="majorHAnsi" w:cs="Times New Roman"/>
          <w:color w:val="auto"/>
          <w:sz w:val="20"/>
          <w:szCs w:val="20"/>
        </w:rPr>
        <w:t>s</w:t>
      </w:r>
      <w:r w:rsidR="00382AB6" w:rsidRPr="002A2289">
        <w:rPr>
          <w:rFonts w:asciiTheme="majorHAnsi" w:hAnsiTheme="majorHAnsi" w:cs="Times New Roman"/>
          <w:color w:val="auto"/>
          <w:sz w:val="20"/>
          <w:szCs w:val="20"/>
        </w:rPr>
        <w:t xml:space="preserve"> for violatio</w:t>
      </w:r>
      <w:r w:rsidR="002C6B98" w:rsidRPr="002A2289">
        <w:rPr>
          <w:rFonts w:asciiTheme="majorHAnsi" w:hAnsiTheme="majorHAnsi" w:cs="Times New Roman"/>
          <w:color w:val="auto"/>
          <w:sz w:val="20"/>
          <w:szCs w:val="20"/>
        </w:rPr>
        <w:t>n</w:t>
      </w:r>
      <w:r w:rsidR="00382AB6" w:rsidRPr="002A2289">
        <w:rPr>
          <w:rFonts w:asciiTheme="majorHAnsi" w:hAnsiTheme="majorHAnsi" w:cs="Times New Roman"/>
          <w:color w:val="auto"/>
          <w:sz w:val="20"/>
          <w:szCs w:val="20"/>
        </w:rPr>
        <w:t>s of human rights</w:t>
      </w:r>
      <w:r w:rsidR="00EC7AB1" w:rsidRPr="002A2289">
        <w:rPr>
          <w:rFonts w:asciiTheme="majorHAnsi" w:hAnsiTheme="majorHAnsi" w:cs="Times New Roman"/>
          <w:color w:val="auto"/>
          <w:sz w:val="20"/>
          <w:szCs w:val="20"/>
        </w:rPr>
        <w:t xml:space="preserve">. </w:t>
      </w:r>
    </w:p>
    <w:p w14:paraId="0B51147A" w14:textId="77777777" w:rsidR="00EC7AB1" w:rsidRPr="002A2289" w:rsidRDefault="00EC7AB1" w:rsidP="00EC7AB1">
      <w:pPr>
        <w:pStyle w:val="ListParagraph"/>
        <w:ind w:firstLine="720"/>
        <w:rPr>
          <w:rFonts w:asciiTheme="majorHAnsi" w:hAnsiTheme="majorHAnsi" w:cs="Times New Roman"/>
          <w:color w:val="auto"/>
          <w:sz w:val="20"/>
          <w:szCs w:val="20"/>
        </w:rPr>
      </w:pPr>
    </w:p>
    <w:p w14:paraId="408B4078" w14:textId="70C31FF0" w:rsidR="00EC7AB1" w:rsidRPr="002A2289" w:rsidRDefault="00202F3A"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 xml:space="preserve">In sum, the Commission considers that, in light of the </w:t>
      </w:r>
      <w:r w:rsidR="00956476" w:rsidRPr="002A2289">
        <w:rPr>
          <w:rFonts w:asciiTheme="majorHAnsi" w:hAnsiTheme="majorHAnsi" w:cs="Times New Roman"/>
          <w:color w:val="auto"/>
          <w:sz w:val="20"/>
          <w:szCs w:val="20"/>
        </w:rPr>
        <w:t xml:space="preserve">State’s </w:t>
      </w:r>
      <w:r w:rsidRPr="002A2289">
        <w:rPr>
          <w:rFonts w:asciiTheme="majorHAnsi" w:hAnsiTheme="majorHAnsi" w:cs="Times New Roman"/>
          <w:color w:val="auto"/>
          <w:sz w:val="20"/>
          <w:szCs w:val="20"/>
        </w:rPr>
        <w:t xml:space="preserve">pre-existing obligation to adequately </w:t>
      </w:r>
      <w:r w:rsidR="00401262" w:rsidRPr="002A2289">
        <w:rPr>
          <w:rFonts w:asciiTheme="majorHAnsi" w:hAnsiTheme="majorHAnsi" w:cs="Times New Roman"/>
          <w:color w:val="auto"/>
          <w:sz w:val="20"/>
          <w:szCs w:val="20"/>
        </w:rPr>
        <w:t>compensate</w:t>
      </w:r>
      <w:r w:rsidRPr="002A2289">
        <w:rPr>
          <w:rFonts w:asciiTheme="majorHAnsi" w:hAnsiTheme="majorHAnsi" w:cs="Times New Roman"/>
          <w:color w:val="auto"/>
          <w:sz w:val="20"/>
          <w:szCs w:val="20"/>
        </w:rPr>
        <w:t xml:space="preserve"> international</w:t>
      </w:r>
      <w:r w:rsidR="00401262" w:rsidRPr="002A2289">
        <w:rPr>
          <w:rFonts w:asciiTheme="majorHAnsi" w:hAnsiTheme="majorHAnsi" w:cs="Times New Roman"/>
          <w:color w:val="auto"/>
          <w:sz w:val="20"/>
          <w:szCs w:val="20"/>
        </w:rPr>
        <w:t>ly</w:t>
      </w:r>
      <w:r w:rsidRPr="002A2289">
        <w:rPr>
          <w:rFonts w:asciiTheme="majorHAnsi" w:hAnsiTheme="majorHAnsi" w:cs="Times New Roman"/>
          <w:color w:val="auto"/>
          <w:sz w:val="20"/>
          <w:szCs w:val="20"/>
        </w:rPr>
        <w:t xml:space="preserve"> </w:t>
      </w:r>
      <w:r w:rsidR="00401262" w:rsidRPr="002A2289">
        <w:rPr>
          <w:rFonts w:asciiTheme="majorHAnsi" w:hAnsiTheme="majorHAnsi" w:cs="Times New Roman"/>
          <w:color w:val="auto"/>
          <w:sz w:val="20"/>
          <w:szCs w:val="20"/>
        </w:rPr>
        <w:t xml:space="preserve">wrongful </w:t>
      </w:r>
      <w:r w:rsidRPr="002A2289">
        <w:rPr>
          <w:rFonts w:asciiTheme="majorHAnsi" w:hAnsiTheme="majorHAnsi" w:cs="Times New Roman"/>
          <w:color w:val="auto"/>
          <w:sz w:val="20"/>
          <w:szCs w:val="20"/>
        </w:rPr>
        <w:t xml:space="preserve">acts </w:t>
      </w:r>
      <w:r w:rsidR="00C40AC4" w:rsidRPr="002A2289">
        <w:rPr>
          <w:rFonts w:asciiTheme="majorHAnsi" w:hAnsiTheme="majorHAnsi" w:cs="Times New Roman"/>
          <w:color w:val="auto"/>
          <w:sz w:val="20"/>
          <w:szCs w:val="20"/>
        </w:rPr>
        <w:t>committed</w:t>
      </w:r>
      <w:r w:rsidRPr="002A2289">
        <w:rPr>
          <w:rFonts w:asciiTheme="majorHAnsi" w:hAnsiTheme="majorHAnsi" w:cs="Times New Roman"/>
          <w:color w:val="auto"/>
          <w:sz w:val="20"/>
          <w:szCs w:val="20"/>
        </w:rPr>
        <w:t xml:space="preserve"> by or attributable to the State, and the clarity prov</w:t>
      </w:r>
      <w:r w:rsidR="006C2BA2" w:rsidRPr="002A2289">
        <w:rPr>
          <w:rFonts w:asciiTheme="majorHAnsi" w:hAnsiTheme="majorHAnsi" w:cs="Times New Roman"/>
          <w:color w:val="auto"/>
          <w:sz w:val="20"/>
          <w:szCs w:val="20"/>
        </w:rPr>
        <w:t xml:space="preserve">ided by the change </w:t>
      </w:r>
      <w:r w:rsidR="00401262" w:rsidRPr="002A2289">
        <w:rPr>
          <w:rFonts w:asciiTheme="majorHAnsi" w:hAnsiTheme="majorHAnsi" w:cs="Times New Roman"/>
          <w:color w:val="auto"/>
          <w:sz w:val="20"/>
          <w:szCs w:val="20"/>
        </w:rPr>
        <w:t>i</w:t>
      </w:r>
      <w:r w:rsidR="006C2BA2" w:rsidRPr="002A2289">
        <w:rPr>
          <w:rFonts w:asciiTheme="majorHAnsi" w:hAnsiTheme="majorHAnsi" w:cs="Times New Roman"/>
          <w:color w:val="auto"/>
          <w:sz w:val="20"/>
          <w:szCs w:val="20"/>
        </w:rPr>
        <w:t xml:space="preserve">n criteria </w:t>
      </w:r>
      <w:r w:rsidR="00C40AC4" w:rsidRPr="002A2289">
        <w:rPr>
          <w:rFonts w:asciiTheme="majorHAnsi" w:hAnsiTheme="majorHAnsi" w:cs="Times New Roman"/>
          <w:color w:val="auto"/>
          <w:sz w:val="20"/>
          <w:szCs w:val="20"/>
        </w:rPr>
        <w:t>stemming</w:t>
      </w:r>
      <w:r w:rsidRPr="002A2289">
        <w:rPr>
          <w:rFonts w:asciiTheme="majorHAnsi" w:hAnsiTheme="majorHAnsi" w:cs="Times New Roman"/>
          <w:color w:val="auto"/>
          <w:sz w:val="20"/>
          <w:szCs w:val="20"/>
        </w:rPr>
        <w:t xml:space="preserve"> from the </w:t>
      </w:r>
      <w:r w:rsidRPr="002A2289">
        <w:rPr>
          <w:rFonts w:asciiTheme="majorHAnsi" w:hAnsiTheme="majorHAnsi" w:cs="Times New Roman"/>
          <w:i/>
          <w:color w:val="auto"/>
          <w:sz w:val="20"/>
          <w:szCs w:val="20"/>
        </w:rPr>
        <w:t>Robasto</w:t>
      </w:r>
      <w:r w:rsidRPr="002A2289">
        <w:rPr>
          <w:rFonts w:asciiTheme="majorHAnsi" w:hAnsiTheme="majorHAnsi" w:cs="Times New Roman"/>
          <w:color w:val="auto"/>
          <w:sz w:val="20"/>
          <w:szCs w:val="20"/>
        </w:rPr>
        <w:t xml:space="preserve"> case </w:t>
      </w:r>
      <w:r w:rsidR="00956476" w:rsidRPr="002A2289">
        <w:rPr>
          <w:rFonts w:asciiTheme="majorHAnsi" w:hAnsiTheme="majorHAnsi" w:cs="Times New Roman"/>
          <w:color w:val="auto"/>
          <w:sz w:val="20"/>
          <w:szCs w:val="20"/>
        </w:rPr>
        <w:t xml:space="preserve">regarding </w:t>
      </w:r>
      <w:r w:rsidRPr="002A2289">
        <w:rPr>
          <w:rFonts w:asciiTheme="majorHAnsi" w:hAnsiTheme="majorHAnsi" w:cs="Times New Roman"/>
          <w:color w:val="auto"/>
          <w:sz w:val="20"/>
          <w:szCs w:val="20"/>
        </w:rPr>
        <w:t xml:space="preserve">suitability of the procedures under </w:t>
      </w:r>
      <w:r w:rsidR="00786D79">
        <w:rPr>
          <w:rFonts w:asciiTheme="majorHAnsi" w:hAnsiTheme="majorHAnsi" w:cs="Times New Roman"/>
          <w:color w:val="auto"/>
          <w:sz w:val="20"/>
          <w:szCs w:val="20"/>
        </w:rPr>
        <w:t>Law 24.043</w:t>
      </w:r>
      <w:r w:rsidR="00EC7AB1" w:rsidRPr="002A2289">
        <w:rPr>
          <w:rFonts w:asciiTheme="majorHAnsi" w:hAnsiTheme="majorHAnsi" w:cs="Times New Roman"/>
          <w:color w:val="auto"/>
          <w:sz w:val="20"/>
          <w:szCs w:val="20"/>
        </w:rPr>
        <w:t xml:space="preserve"> </w:t>
      </w:r>
      <w:r w:rsidRPr="002A2289">
        <w:rPr>
          <w:rFonts w:asciiTheme="majorHAnsi" w:hAnsiTheme="majorHAnsi" w:cs="Times New Roman"/>
          <w:color w:val="auto"/>
          <w:sz w:val="20"/>
          <w:szCs w:val="20"/>
        </w:rPr>
        <w:t xml:space="preserve">to recognize compensation for </w:t>
      </w:r>
      <w:r w:rsidR="006C2BA2" w:rsidRPr="002A2289">
        <w:rPr>
          <w:rFonts w:asciiTheme="majorHAnsi" w:hAnsiTheme="majorHAnsi" w:cs="Times New Roman"/>
          <w:color w:val="auto"/>
          <w:sz w:val="20"/>
          <w:szCs w:val="20"/>
        </w:rPr>
        <w:t xml:space="preserve">situations of </w:t>
      </w:r>
      <w:r w:rsidRPr="002A2289">
        <w:rPr>
          <w:rFonts w:asciiTheme="majorHAnsi" w:hAnsiTheme="majorHAnsi" w:cs="Times New Roman"/>
          <w:i/>
          <w:color w:val="auto"/>
          <w:sz w:val="20"/>
          <w:szCs w:val="20"/>
        </w:rPr>
        <w:t>de facto</w:t>
      </w:r>
      <w:r w:rsidRPr="002A2289">
        <w:rPr>
          <w:rFonts w:asciiTheme="majorHAnsi" w:hAnsiTheme="majorHAnsi" w:cs="Times New Roman"/>
          <w:color w:val="auto"/>
          <w:sz w:val="20"/>
          <w:szCs w:val="20"/>
        </w:rPr>
        <w:t xml:space="preserve"> release under surveillance, Mr. Almeida was entitled, in light of Article 25</w:t>
      </w:r>
      <w:r w:rsidR="00AA5BC3">
        <w:rPr>
          <w:rFonts w:asciiTheme="majorHAnsi" w:hAnsiTheme="majorHAnsi" w:cs="Times New Roman"/>
          <w:color w:val="auto"/>
          <w:sz w:val="20"/>
          <w:szCs w:val="20"/>
        </w:rPr>
        <w:t>.</w:t>
      </w:r>
      <w:r w:rsidRPr="002A2289">
        <w:rPr>
          <w:rFonts w:asciiTheme="majorHAnsi" w:hAnsiTheme="majorHAnsi" w:cs="Times New Roman"/>
          <w:color w:val="auto"/>
          <w:sz w:val="20"/>
          <w:szCs w:val="20"/>
        </w:rPr>
        <w:t xml:space="preserve">1 of the Convention, read together with the right to equal protection under the law and the right </w:t>
      </w:r>
      <w:r w:rsidR="00DC6667" w:rsidRPr="002A2289">
        <w:rPr>
          <w:rFonts w:asciiTheme="majorHAnsi" w:hAnsiTheme="majorHAnsi" w:cs="Times New Roman"/>
          <w:color w:val="auto"/>
          <w:sz w:val="20"/>
          <w:szCs w:val="20"/>
        </w:rPr>
        <w:t xml:space="preserve">to be assured </w:t>
      </w:r>
      <w:r w:rsidR="00956476" w:rsidRPr="002A2289">
        <w:rPr>
          <w:rFonts w:asciiTheme="majorHAnsi" w:hAnsiTheme="majorHAnsi" w:cs="Times New Roman"/>
          <w:color w:val="auto"/>
          <w:sz w:val="20"/>
          <w:szCs w:val="20"/>
        </w:rPr>
        <w:t>a</w:t>
      </w:r>
      <w:r w:rsidR="00DC6667" w:rsidRPr="002A2289">
        <w:rPr>
          <w:rFonts w:asciiTheme="majorHAnsi" w:hAnsiTheme="majorHAnsi" w:cs="Times New Roman"/>
          <w:color w:val="auto"/>
          <w:sz w:val="20"/>
          <w:szCs w:val="20"/>
        </w:rPr>
        <w:t xml:space="preserve"> duly founded decision</w:t>
      </w:r>
      <w:r w:rsidRPr="002A2289">
        <w:rPr>
          <w:rFonts w:asciiTheme="majorHAnsi" w:hAnsiTheme="majorHAnsi" w:cs="Times New Roman"/>
          <w:color w:val="auto"/>
          <w:sz w:val="20"/>
          <w:szCs w:val="20"/>
        </w:rPr>
        <w:t xml:space="preserve">, </w:t>
      </w:r>
      <w:r w:rsidR="00956476" w:rsidRPr="002A2289">
        <w:rPr>
          <w:rFonts w:asciiTheme="majorHAnsi" w:hAnsiTheme="majorHAnsi" w:cs="Times New Roman"/>
          <w:color w:val="auto"/>
          <w:sz w:val="20"/>
          <w:szCs w:val="20"/>
        </w:rPr>
        <w:t xml:space="preserve">set forth </w:t>
      </w:r>
      <w:r w:rsidRPr="002A2289">
        <w:rPr>
          <w:rFonts w:asciiTheme="majorHAnsi" w:hAnsiTheme="majorHAnsi" w:cs="Times New Roman"/>
          <w:color w:val="auto"/>
          <w:sz w:val="20"/>
          <w:szCs w:val="20"/>
        </w:rPr>
        <w:t>in Articles 24 and 8</w:t>
      </w:r>
      <w:r w:rsidR="00AA5BC3">
        <w:rPr>
          <w:rFonts w:asciiTheme="majorHAnsi" w:hAnsiTheme="majorHAnsi" w:cs="Times New Roman"/>
          <w:color w:val="auto"/>
          <w:sz w:val="20"/>
          <w:szCs w:val="20"/>
        </w:rPr>
        <w:t>.</w:t>
      </w:r>
      <w:r w:rsidRPr="002A2289">
        <w:rPr>
          <w:rFonts w:asciiTheme="majorHAnsi" w:hAnsiTheme="majorHAnsi" w:cs="Times New Roman"/>
          <w:color w:val="auto"/>
          <w:sz w:val="20"/>
          <w:szCs w:val="20"/>
        </w:rPr>
        <w:t>1 thereof, to file his claim for compensation again and have that claim be decided on the merits</w:t>
      </w:r>
      <w:r w:rsidR="00582BA0" w:rsidRPr="002A2289">
        <w:rPr>
          <w:rFonts w:asciiTheme="majorHAnsi" w:hAnsiTheme="majorHAnsi" w:cs="Times New Roman"/>
          <w:color w:val="auto"/>
          <w:sz w:val="20"/>
          <w:szCs w:val="20"/>
        </w:rPr>
        <w:t xml:space="preserve"> and weighed in the manner</w:t>
      </w:r>
      <w:r w:rsidR="00C2526B" w:rsidRPr="002A2289">
        <w:rPr>
          <w:rFonts w:asciiTheme="majorHAnsi" w:hAnsiTheme="majorHAnsi" w:cs="Times New Roman"/>
          <w:color w:val="auto"/>
          <w:sz w:val="20"/>
          <w:szCs w:val="20"/>
        </w:rPr>
        <w:t xml:space="preserve"> mentioned previously. </w:t>
      </w:r>
      <w:r w:rsidR="006C2BA2" w:rsidRPr="002A2289">
        <w:rPr>
          <w:rFonts w:asciiTheme="majorHAnsi" w:hAnsiTheme="majorHAnsi" w:cs="Times New Roman"/>
          <w:color w:val="auto"/>
          <w:sz w:val="20"/>
          <w:szCs w:val="20"/>
        </w:rPr>
        <w:t xml:space="preserve">As seen in the responses Mr. </w:t>
      </w:r>
      <w:r w:rsidR="00EC7AB1" w:rsidRPr="002A2289">
        <w:rPr>
          <w:rFonts w:asciiTheme="majorHAnsi" w:hAnsiTheme="majorHAnsi" w:cs="Times New Roman"/>
          <w:color w:val="auto"/>
          <w:sz w:val="20"/>
          <w:szCs w:val="20"/>
        </w:rPr>
        <w:t>Almeida</w:t>
      </w:r>
      <w:r w:rsidR="006C2BA2" w:rsidRPr="002A2289">
        <w:rPr>
          <w:rFonts w:asciiTheme="majorHAnsi" w:hAnsiTheme="majorHAnsi" w:cs="Times New Roman"/>
          <w:color w:val="auto"/>
          <w:sz w:val="20"/>
          <w:szCs w:val="20"/>
        </w:rPr>
        <w:t xml:space="preserve">’s claim subsequent to the </w:t>
      </w:r>
      <w:r w:rsidR="00EC7AB1" w:rsidRPr="002A2289">
        <w:rPr>
          <w:rFonts w:asciiTheme="majorHAnsi" w:hAnsiTheme="majorHAnsi" w:cs="Times New Roman"/>
          <w:i/>
          <w:color w:val="auto"/>
          <w:sz w:val="20"/>
          <w:szCs w:val="20"/>
        </w:rPr>
        <w:t>Robasto</w:t>
      </w:r>
      <w:r w:rsidR="006C2BA2" w:rsidRPr="002A2289">
        <w:rPr>
          <w:rFonts w:asciiTheme="majorHAnsi" w:hAnsiTheme="majorHAnsi" w:cs="Times New Roman"/>
          <w:color w:val="auto"/>
          <w:sz w:val="20"/>
          <w:szCs w:val="20"/>
        </w:rPr>
        <w:t xml:space="preserve"> case</w:t>
      </w:r>
      <w:r w:rsidR="00582BA0" w:rsidRPr="002A2289">
        <w:rPr>
          <w:rFonts w:asciiTheme="majorHAnsi" w:hAnsiTheme="majorHAnsi" w:cs="Times New Roman"/>
          <w:color w:val="auto"/>
          <w:sz w:val="20"/>
          <w:szCs w:val="20"/>
        </w:rPr>
        <w:t xml:space="preserve"> received</w:t>
      </w:r>
      <w:r w:rsidR="00EC7AB1" w:rsidRPr="002A2289">
        <w:rPr>
          <w:rFonts w:asciiTheme="majorHAnsi" w:hAnsiTheme="majorHAnsi" w:cs="Times New Roman"/>
          <w:i/>
          <w:color w:val="auto"/>
          <w:sz w:val="20"/>
          <w:szCs w:val="20"/>
        </w:rPr>
        <w:t xml:space="preserve">, </w:t>
      </w:r>
      <w:r w:rsidR="00DC6667" w:rsidRPr="002A2289">
        <w:rPr>
          <w:rFonts w:asciiTheme="majorHAnsi" w:hAnsiTheme="majorHAnsi" w:cs="Times New Roman"/>
          <w:color w:val="auto"/>
          <w:sz w:val="20"/>
          <w:szCs w:val="20"/>
        </w:rPr>
        <w:t>it is obvious that this</w:t>
      </w:r>
      <w:r w:rsidR="006C2BA2" w:rsidRPr="002A2289">
        <w:rPr>
          <w:rFonts w:asciiTheme="majorHAnsi" w:hAnsiTheme="majorHAnsi" w:cs="Times New Roman"/>
          <w:color w:val="auto"/>
          <w:sz w:val="20"/>
          <w:szCs w:val="20"/>
        </w:rPr>
        <w:t xml:space="preserve"> did not occur in the instant case. </w:t>
      </w:r>
    </w:p>
    <w:p w14:paraId="3935259E" w14:textId="77777777" w:rsidR="00EC7AB1" w:rsidRPr="002A2289" w:rsidRDefault="00EC7AB1" w:rsidP="00EC7AB1">
      <w:pPr>
        <w:pStyle w:val="ListParagraph"/>
        <w:ind w:firstLine="720"/>
        <w:rPr>
          <w:rFonts w:asciiTheme="majorHAnsi" w:hAnsiTheme="majorHAnsi" w:cs="Times New Roman"/>
          <w:sz w:val="20"/>
          <w:szCs w:val="20"/>
        </w:rPr>
      </w:pPr>
    </w:p>
    <w:p w14:paraId="46F0F910" w14:textId="11B6FA07" w:rsidR="00EC7AB1" w:rsidRPr="002A2289" w:rsidRDefault="00DC6667" w:rsidP="00EC7AB1">
      <w:pPr>
        <w:pStyle w:val="ListParagraph"/>
        <w:numPr>
          <w:ilvl w:val="0"/>
          <w:numId w:val="55"/>
        </w:numPr>
        <w:ind w:left="0" w:firstLine="720"/>
        <w:jc w:val="both"/>
        <w:rPr>
          <w:rFonts w:asciiTheme="majorHAnsi" w:hAnsiTheme="majorHAnsi" w:cs="Times New Roman"/>
          <w:color w:val="auto"/>
          <w:sz w:val="20"/>
          <w:szCs w:val="20"/>
        </w:rPr>
      </w:pPr>
      <w:r w:rsidRPr="002A2289">
        <w:rPr>
          <w:rFonts w:asciiTheme="majorHAnsi" w:hAnsiTheme="majorHAnsi" w:cs="Times New Roman"/>
          <w:color w:val="auto"/>
          <w:sz w:val="20"/>
          <w:szCs w:val="20"/>
        </w:rPr>
        <w:t>Consequently</w:t>
      </w:r>
      <w:r w:rsidR="00EC7AB1" w:rsidRPr="002A2289">
        <w:rPr>
          <w:rFonts w:asciiTheme="majorHAnsi" w:hAnsiTheme="majorHAnsi" w:cs="Times New Roman"/>
          <w:color w:val="auto"/>
          <w:sz w:val="20"/>
          <w:szCs w:val="20"/>
        </w:rPr>
        <w:t xml:space="preserve">, </w:t>
      </w:r>
      <w:r w:rsidR="006C2BA2" w:rsidRPr="002A2289">
        <w:rPr>
          <w:rFonts w:asciiTheme="majorHAnsi" w:hAnsiTheme="majorHAnsi" w:cs="Times New Roman"/>
          <w:color w:val="auto"/>
          <w:sz w:val="20"/>
          <w:szCs w:val="20"/>
        </w:rPr>
        <w:t xml:space="preserve">the Commission concludes that the Argentine State is responsible for the violation to the right to judicial </w:t>
      </w:r>
      <w:r w:rsidR="00C40AC4" w:rsidRPr="002A2289">
        <w:rPr>
          <w:rFonts w:asciiTheme="majorHAnsi" w:hAnsiTheme="majorHAnsi" w:cs="Times New Roman"/>
          <w:color w:val="auto"/>
          <w:sz w:val="20"/>
          <w:szCs w:val="20"/>
        </w:rPr>
        <w:t>protection</w:t>
      </w:r>
      <w:r w:rsidR="006C2BA2" w:rsidRPr="002A2289">
        <w:rPr>
          <w:rFonts w:asciiTheme="majorHAnsi" w:hAnsiTheme="majorHAnsi" w:cs="Times New Roman"/>
          <w:color w:val="auto"/>
          <w:sz w:val="20"/>
          <w:szCs w:val="20"/>
        </w:rPr>
        <w:t xml:space="preserve"> set forth under Article 25</w:t>
      </w:r>
      <w:r w:rsidR="00AA5BC3">
        <w:rPr>
          <w:rFonts w:asciiTheme="majorHAnsi" w:hAnsiTheme="majorHAnsi" w:cs="Times New Roman"/>
          <w:color w:val="auto"/>
          <w:sz w:val="20"/>
          <w:szCs w:val="20"/>
        </w:rPr>
        <w:t>.</w:t>
      </w:r>
      <w:r w:rsidR="00EC7AB1" w:rsidRPr="002A2289">
        <w:rPr>
          <w:rFonts w:asciiTheme="majorHAnsi" w:hAnsiTheme="majorHAnsi" w:cs="Times New Roman"/>
          <w:color w:val="auto"/>
          <w:sz w:val="20"/>
          <w:szCs w:val="20"/>
        </w:rPr>
        <w:t>1</w:t>
      </w:r>
      <w:r w:rsidR="006C2BA2" w:rsidRPr="002A2289">
        <w:rPr>
          <w:rFonts w:asciiTheme="majorHAnsi" w:hAnsiTheme="majorHAnsi" w:cs="Times New Roman"/>
          <w:color w:val="auto"/>
          <w:sz w:val="20"/>
          <w:szCs w:val="20"/>
        </w:rPr>
        <w:t xml:space="preserve"> of the American Convention, read jointly with the right to equal protection under the law provided for in Article 24 and the right to </w:t>
      </w:r>
      <w:r w:rsidR="00582BA0" w:rsidRPr="002A2289">
        <w:rPr>
          <w:rFonts w:asciiTheme="majorHAnsi" w:hAnsiTheme="majorHAnsi" w:cs="Times New Roman"/>
          <w:color w:val="auto"/>
          <w:sz w:val="20"/>
          <w:szCs w:val="20"/>
        </w:rPr>
        <w:t xml:space="preserve">be assured a </w:t>
      </w:r>
      <w:r w:rsidRPr="002A2289">
        <w:rPr>
          <w:rFonts w:asciiTheme="majorHAnsi" w:hAnsiTheme="majorHAnsi" w:cs="Times New Roman"/>
          <w:color w:val="auto"/>
          <w:sz w:val="20"/>
          <w:szCs w:val="20"/>
        </w:rPr>
        <w:t xml:space="preserve">duly founded </w:t>
      </w:r>
      <w:r w:rsidR="006C2BA2" w:rsidRPr="002A2289">
        <w:rPr>
          <w:rFonts w:asciiTheme="majorHAnsi" w:hAnsiTheme="majorHAnsi" w:cs="Times New Roman"/>
          <w:color w:val="auto"/>
          <w:sz w:val="20"/>
          <w:szCs w:val="20"/>
        </w:rPr>
        <w:t>decision provided for in Article 8</w:t>
      </w:r>
      <w:r w:rsidR="00AA5BC3">
        <w:rPr>
          <w:rFonts w:asciiTheme="majorHAnsi" w:hAnsiTheme="majorHAnsi" w:cs="Times New Roman"/>
          <w:color w:val="auto"/>
          <w:sz w:val="20"/>
          <w:szCs w:val="20"/>
        </w:rPr>
        <w:t>.</w:t>
      </w:r>
      <w:r w:rsidR="006C2BA2" w:rsidRPr="002A2289">
        <w:rPr>
          <w:rFonts w:asciiTheme="majorHAnsi" w:hAnsiTheme="majorHAnsi" w:cs="Times New Roman"/>
          <w:color w:val="auto"/>
          <w:sz w:val="20"/>
          <w:szCs w:val="20"/>
        </w:rPr>
        <w:t xml:space="preserve">1, in </w:t>
      </w:r>
      <w:r w:rsidRPr="002A2289">
        <w:rPr>
          <w:rFonts w:asciiTheme="majorHAnsi" w:hAnsiTheme="majorHAnsi" w:cs="Times New Roman"/>
          <w:color w:val="auto"/>
          <w:sz w:val="20"/>
          <w:szCs w:val="20"/>
        </w:rPr>
        <w:t>relation to</w:t>
      </w:r>
      <w:r w:rsidR="006C2BA2" w:rsidRPr="002A2289">
        <w:rPr>
          <w:rFonts w:asciiTheme="majorHAnsi" w:hAnsiTheme="majorHAnsi" w:cs="Times New Roman"/>
          <w:color w:val="auto"/>
          <w:sz w:val="20"/>
          <w:szCs w:val="20"/>
        </w:rPr>
        <w:t xml:space="preserve"> Article 1</w:t>
      </w:r>
      <w:r w:rsidR="00AA5BC3">
        <w:rPr>
          <w:rFonts w:asciiTheme="majorHAnsi" w:hAnsiTheme="majorHAnsi" w:cs="Times New Roman"/>
          <w:color w:val="auto"/>
          <w:sz w:val="20"/>
          <w:szCs w:val="20"/>
        </w:rPr>
        <w:t>.</w:t>
      </w:r>
      <w:r w:rsidR="006C2BA2" w:rsidRPr="002A2289">
        <w:rPr>
          <w:rFonts w:asciiTheme="majorHAnsi" w:hAnsiTheme="majorHAnsi" w:cs="Times New Roman"/>
          <w:color w:val="auto"/>
          <w:sz w:val="20"/>
          <w:szCs w:val="20"/>
        </w:rPr>
        <w:t xml:space="preserve">1 thereof. </w:t>
      </w:r>
    </w:p>
    <w:p w14:paraId="258FAC69" w14:textId="77777777" w:rsidR="00EC7AB1" w:rsidRPr="002A2289" w:rsidRDefault="00EC7AB1" w:rsidP="00EC7A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13D60A92" w14:textId="77777777" w:rsidR="00EC7AB1" w:rsidRPr="002A2289" w:rsidRDefault="00EC7AB1" w:rsidP="002A2289">
      <w:pPr>
        <w:pStyle w:val="Heading1"/>
      </w:pPr>
      <w:bookmarkStart w:id="20" w:name="_Toc529201744"/>
      <w:bookmarkStart w:id="21" w:name="_Toc529249987"/>
      <w:r w:rsidRPr="002A2289">
        <w:t xml:space="preserve">CONCLUSIONS </w:t>
      </w:r>
      <w:r w:rsidR="006C2BA2" w:rsidRPr="002A2289">
        <w:t>AND RECOMMENDATIONS</w:t>
      </w:r>
      <w:bookmarkEnd w:id="20"/>
      <w:bookmarkEnd w:id="21"/>
    </w:p>
    <w:p w14:paraId="15602F06" w14:textId="77777777" w:rsidR="00EC7AB1" w:rsidRPr="002A2289" w:rsidRDefault="00EC7AB1" w:rsidP="00EC7AB1">
      <w:pPr>
        <w:suppressAutoHyphens/>
        <w:rPr>
          <w:rFonts w:asciiTheme="majorHAnsi" w:hAnsiTheme="majorHAnsi"/>
          <w:b/>
          <w:sz w:val="20"/>
          <w:szCs w:val="20"/>
        </w:rPr>
      </w:pPr>
    </w:p>
    <w:p w14:paraId="25F8C48F" w14:textId="47BED0B6" w:rsidR="00EC7AB1" w:rsidRPr="002A2289" w:rsidRDefault="000F5B3D" w:rsidP="00EC7AB1">
      <w:pPr>
        <w:pStyle w:val="ListParagraph"/>
        <w:numPr>
          <w:ilvl w:val="0"/>
          <w:numId w:val="55"/>
        </w:numPr>
        <w:ind w:left="0" w:firstLine="720"/>
        <w:jc w:val="both"/>
        <w:rPr>
          <w:rFonts w:asciiTheme="majorHAnsi" w:hAnsiTheme="majorHAnsi" w:cs="Times New Roman"/>
          <w:color w:val="548DD4" w:themeColor="text2" w:themeTint="99"/>
          <w:sz w:val="20"/>
          <w:szCs w:val="20"/>
        </w:rPr>
      </w:pPr>
      <w:r w:rsidRPr="002A2289">
        <w:rPr>
          <w:rFonts w:asciiTheme="majorHAnsi" w:hAnsiTheme="majorHAnsi" w:cs="Times New Roman"/>
          <w:color w:val="000000" w:themeColor="text1"/>
          <w:sz w:val="20"/>
          <w:szCs w:val="20"/>
        </w:rPr>
        <w:t xml:space="preserve">Based on the </w:t>
      </w:r>
      <w:r w:rsidR="00DC6667" w:rsidRPr="002A2289">
        <w:rPr>
          <w:rFonts w:asciiTheme="majorHAnsi" w:hAnsiTheme="majorHAnsi" w:cs="Times New Roman"/>
          <w:color w:val="000000" w:themeColor="text1"/>
          <w:sz w:val="20"/>
          <w:szCs w:val="20"/>
        </w:rPr>
        <w:t>findings</w:t>
      </w:r>
      <w:r w:rsidRPr="002A2289">
        <w:rPr>
          <w:rFonts w:asciiTheme="majorHAnsi" w:hAnsiTheme="majorHAnsi" w:cs="Times New Roman"/>
          <w:color w:val="000000" w:themeColor="text1"/>
          <w:sz w:val="20"/>
          <w:szCs w:val="20"/>
        </w:rPr>
        <w:t xml:space="preserve"> of fact and law, the Inter-American Commission concluded that the State is responsible for the violation of the rights </w:t>
      </w:r>
      <w:r w:rsidR="00582BA0" w:rsidRPr="002A2289">
        <w:rPr>
          <w:rFonts w:asciiTheme="majorHAnsi" w:hAnsiTheme="majorHAnsi" w:cs="Times New Roman"/>
          <w:color w:val="000000" w:themeColor="text1"/>
          <w:sz w:val="20"/>
          <w:szCs w:val="20"/>
        </w:rPr>
        <w:t xml:space="preserve">to </w:t>
      </w:r>
      <w:r w:rsidR="00DC6667" w:rsidRPr="002A2289">
        <w:rPr>
          <w:rFonts w:asciiTheme="majorHAnsi" w:hAnsiTheme="majorHAnsi" w:cs="Times New Roman"/>
          <w:color w:val="000000" w:themeColor="text1"/>
          <w:sz w:val="20"/>
          <w:szCs w:val="20"/>
        </w:rPr>
        <w:t xml:space="preserve">be assured </w:t>
      </w:r>
      <w:r w:rsidRPr="002A2289">
        <w:rPr>
          <w:rFonts w:asciiTheme="majorHAnsi" w:hAnsiTheme="majorHAnsi" w:cs="Times New Roman"/>
          <w:color w:val="000000" w:themeColor="text1"/>
          <w:sz w:val="20"/>
          <w:szCs w:val="20"/>
        </w:rPr>
        <w:t xml:space="preserve">a </w:t>
      </w:r>
      <w:r w:rsidR="00DC6667" w:rsidRPr="002A2289">
        <w:rPr>
          <w:rFonts w:asciiTheme="majorHAnsi" w:hAnsiTheme="majorHAnsi" w:cs="Times New Roman"/>
          <w:color w:val="000000" w:themeColor="text1"/>
          <w:sz w:val="20"/>
          <w:szCs w:val="20"/>
        </w:rPr>
        <w:t xml:space="preserve">duly founded </w:t>
      </w:r>
      <w:r w:rsidRPr="002A2289">
        <w:rPr>
          <w:rFonts w:asciiTheme="majorHAnsi" w:hAnsiTheme="majorHAnsi" w:cs="Times New Roman"/>
          <w:color w:val="000000" w:themeColor="text1"/>
          <w:sz w:val="20"/>
          <w:szCs w:val="20"/>
        </w:rPr>
        <w:t>decision (Article 8</w:t>
      </w:r>
      <w:r w:rsidR="00AA5BC3">
        <w:rPr>
          <w:rFonts w:asciiTheme="majorHAnsi" w:hAnsiTheme="majorHAnsi" w:cs="Times New Roman"/>
          <w:color w:val="000000" w:themeColor="text1"/>
          <w:sz w:val="20"/>
          <w:szCs w:val="20"/>
        </w:rPr>
        <w:t>.</w:t>
      </w:r>
      <w:r w:rsidRPr="002A2289">
        <w:rPr>
          <w:rFonts w:asciiTheme="majorHAnsi" w:hAnsiTheme="majorHAnsi" w:cs="Times New Roman"/>
          <w:color w:val="000000" w:themeColor="text1"/>
          <w:sz w:val="20"/>
          <w:szCs w:val="20"/>
        </w:rPr>
        <w:t xml:space="preserve">1, equal protection under the law </w:t>
      </w:r>
      <w:r w:rsidR="00EC7AB1" w:rsidRPr="002A2289">
        <w:rPr>
          <w:rFonts w:asciiTheme="majorHAnsi" w:hAnsiTheme="majorHAnsi" w:cs="Times New Roman"/>
          <w:color w:val="000000" w:themeColor="text1"/>
          <w:sz w:val="20"/>
          <w:szCs w:val="20"/>
        </w:rPr>
        <w:t>(</w:t>
      </w:r>
      <w:r w:rsidRPr="002A2289">
        <w:rPr>
          <w:rFonts w:asciiTheme="majorHAnsi" w:hAnsiTheme="majorHAnsi" w:cs="Times New Roman"/>
          <w:color w:val="000000" w:themeColor="text1"/>
          <w:sz w:val="20"/>
          <w:szCs w:val="20"/>
        </w:rPr>
        <w:t>Article</w:t>
      </w:r>
      <w:r w:rsidR="00EC7AB1" w:rsidRPr="002A2289">
        <w:rPr>
          <w:rFonts w:asciiTheme="majorHAnsi" w:hAnsiTheme="majorHAnsi" w:cs="Times New Roman"/>
          <w:color w:val="000000" w:themeColor="text1"/>
          <w:sz w:val="20"/>
          <w:szCs w:val="20"/>
        </w:rPr>
        <w:t xml:space="preserve"> 24)</w:t>
      </w:r>
      <w:r w:rsidRPr="002A2289">
        <w:rPr>
          <w:rFonts w:asciiTheme="majorHAnsi" w:hAnsiTheme="majorHAnsi" w:cs="Times New Roman"/>
          <w:color w:val="000000" w:themeColor="text1"/>
          <w:sz w:val="20"/>
          <w:szCs w:val="20"/>
        </w:rPr>
        <w:t>, and judicial protection</w:t>
      </w:r>
      <w:r w:rsidR="00EC7AB1" w:rsidRPr="002A2289">
        <w:rPr>
          <w:rFonts w:asciiTheme="majorHAnsi" w:hAnsiTheme="majorHAnsi" w:cs="Times New Roman"/>
          <w:color w:val="000000" w:themeColor="text1"/>
          <w:sz w:val="20"/>
          <w:szCs w:val="20"/>
        </w:rPr>
        <w:t xml:space="preserve"> (</w:t>
      </w:r>
      <w:r w:rsidRPr="002A2289">
        <w:rPr>
          <w:rFonts w:asciiTheme="majorHAnsi" w:hAnsiTheme="majorHAnsi" w:cs="Times New Roman"/>
          <w:color w:val="000000" w:themeColor="text1"/>
          <w:sz w:val="20"/>
          <w:szCs w:val="20"/>
        </w:rPr>
        <w:t xml:space="preserve">Article </w:t>
      </w:r>
      <w:r w:rsidR="00EC7AB1" w:rsidRPr="002A2289">
        <w:rPr>
          <w:rFonts w:asciiTheme="majorHAnsi" w:hAnsiTheme="majorHAnsi" w:cs="Times New Roman"/>
          <w:color w:val="000000" w:themeColor="text1"/>
          <w:sz w:val="20"/>
          <w:szCs w:val="20"/>
        </w:rPr>
        <w:t>25</w:t>
      </w:r>
      <w:r w:rsidR="00AA5BC3">
        <w:rPr>
          <w:rFonts w:asciiTheme="majorHAnsi" w:hAnsiTheme="majorHAnsi" w:cs="Times New Roman"/>
          <w:color w:val="000000" w:themeColor="text1"/>
          <w:sz w:val="20"/>
          <w:szCs w:val="20"/>
        </w:rPr>
        <w:t>.</w:t>
      </w:r>
      <w:r w:rsidR="00EC7AB1" w:rsidRPr="002A2289">
        <w:rPr>
          <w:rFonts w:asciiTheme="majorHAnsi" w:hAnsiTheme="majorHAnsi" w:cs="Times New Roman"/>
          <w:color w:val="000000" w:themeColor="text1"/>
          <w:sz w:val="20"/>
          <w:szCs w:val="20"/>
        </w:rPr>
        <w:t xml:space="preserve">1) </w:t>
      </w:r>
      <w:r w:rsidRPr="002A2289">
        <w:rPr>
          <w:rFonts w:asciiTheme="majorHAnsi" w:hAnsiTheme="majorHAnsi" w:cs="Times New Roman"/>
          <w:color w:val="000000" w:themeColor="text1"/>
          <w:sz w:val="20"/>
          <w:szCs w:val="20"/>
        </w:rPr>
        <w:t>of the American Convention in relation to the obligations set forth under Articles 1</w:t>
      </w:r>
      <w:r w:rsidR="00AA5BC3">
        <w:rPr>
          <w:rFonts w:asciiTheme="majorHAnsi" w:hAnsiTheme="majorHAnsi" w:cs="Times New Roman"/>
          <w:color w:val="000000" w:themeColor="text1"/>
          <w:sz w:val="20"/>
          <w:szCs w:val="20"/>
        </w:rPr>
        <w:t>.</w:t>
      </w:r>
      <w:r w:rsidRPr="002A2289">
        <w:rPr>
          <w:rFonts w:asciiTheme="majorHAnsi" w:hAnsiTheme="majorHAnsi" w:cs="Times New Roman"/>
          <w:color w:val="000000" w:themeColor="text1"/>
          <w:sz w:val="20"/>
          <w:szCs w:val="20"/>
        </w:rPr>
        <w:t>1 and 2 thereof</w:t>
      </w:r>
      <w:r w:rsidR="00FE3CCA" w:rsidRPr="002A2289">
        <w:rPr>
          <w:rFonts w:asciiTheme="majorHAnsi" w:hAnsiTheme="majorHAnsi" w:cs="Times New Roman"/>
          <w:color w:val="000000" w:themeColor="text1"/>
          <w:sz w:val="20"/>
          <w:szCs w:val="20"/>
        </w:rPr>
        <w:t>,</w:t>
      </w:r>
      <w:r w:rsidR="00AA5BC3">
        <w:rPr>
          <w:rFonts w:asciiTheme="majorHAnsi" w:hAnsiTheme="majorHAnsi" w:cs="Times New Roman"/>
          <w:color w:val="000000" w:themeColor="text1"/>
          <w:sz w:val="20"/>
          <w:szCs w:val="20"/>
        </w:rPr>
        <w:t xml:space="preserve"> </w:t>
      </w:r>
      <w:r w:rsidRPr="002A2289">
        <w:rPr>
          <w:rFonts w:asciiTheme="majorHAnsi" w:hAnsiTheme="majorHAnsi" w:cs="Times New Roman"/>
          <w:color w:val="000000" w:themeColor="text1"/>
          <w:sz w:val="20"/>
          <w:szCs w:val="20"/>
        </w:rPr>
        <w:t xml:space="preserve">to the detriment of </w:t>
      </w:r>
      <w:r w:rsidR="00EC7AB1" w:rsidRPr="002A2289">
        <w:rPr>
          <w:rFonts w:asciiTheme="majorHAnsi" w:hAnsiTheme="majorHAnsi" w:cs="Times New Roman"/>
          <w:color w:val="000000" w:themeColor="text1"/>
          <w:sz w:val="20"/>
          <w:szCs w:val="20"/>
        </w:rPr>
        <w:t xml:space="preserve">Rufino Jorge Almeida. </w:t>
      </w:r>
    </w:p>
    <w:p w14:paraId="53997173" w14:textId="77777777" w:rsidR="00EC7AB1" w:rsidRPr="002A2289" w:rsidRDefault="00EC7AB1" w:rsidP="00EC7A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40A217E7" w14:textId="77777777" w:rsidR="00EC7AB1" w:rsidRPr="002A2289" w:rsidRDefault="00233E9C" w:rsidP="00EC7AB1">
      <w:pPr>
        <w:ind w:firstLine="720"/>
        <w:jc w:val="both"/>
        <w:rPr>
          <w:rFonts w:asciiTheme="majorHAnsi" w:hAnsiTheme="majorHAnsi"/>
          <w:b/>
          <w:sz w:val="20"/>
          <w:szCs w:val="20"/>
        </w:rPr>
      </w:pPr>
      <w:r w:rsidRPr="002A2289">
        <w:rPr>
          <w:rFonts w:asciiTheme="majorHAnsi" w:hAnsiTheme="majorHAnsi"/>
          <w:b/>
          <w:sz w:val="20"/>
          <w:szCs w:val="20"/>
        </w:rPr>
        <w:t>THE INTER-AMERICAN COMMISSION ON HUMAN RIGHTS RECOMMENDS THE ARGENTINE STATE:</w:t>
      </w:r>
    </w:p>
    <w:p w14:paraId="257BCB91" w14:textId="77777777" w:rsidR="00EC7AB1" w:rsidRPr="002A2289" w:rsidRDefault="00EC7AB1" w:rsidP="00EC7A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themeColor="text1"/>
          <w:sz w:val="20"/>
          <w:szCs w:val="20"/>
          <w:bdr w:val="none" w:sz="0" w:space="0" w:color="auto"/>
        </w:rPr>
      </w:pPr>
    </w:p>
    <w:p w14:paraId="193D3A91" w14:textId="00A4DA73" w:rsidR="00EC7AB1" w:rsidRPr="002A2289" w:rsidRDefault="00EC7AB1" w:rsidP="00EC7AB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imes New Roman"/>
          <w:color w:val="auto"/>
          <w:sz w:val="20"/>
          <w:szCs w:val="20"/>
          <w:bdr w:val="none" w:sz="0" w:space="0" w:color="auto"/>
        </w:rPr>
      </w:pPr>
      <w:r w:rsidRPr="002A2289">
        <w:rPr>
          <w:rFonts w:asciiTheme="majorHAnsi" w:eastAsia="Times New Roman" w:hAnsiTheme="majorHAnsi" w:cs="Times New Roman"/>
          <w:color w:val="000000" w:themeColor="text1"/>
          <w:sz w:val="20"/>
          <w:szCs w:val="20"/>
          <w:bdr w:val="none" w:sz="0" w:space="0" w:color="auto"/>
        </w:rPr>
        <w:t>Of</w:t>
      </w:r>
      <w:r w:rsidR="00233E9C" w:rsidRPr="002A2289">
        <w:rPr>
          <w:rFonts w:asciiTheme="majorHAnsi" w:eastAsia="Times New Roman" w:hAnsiTheme="majorHAnsi" w:cs="Times New Roman"/>
          <w:color w:val="000000" w:themeColor="text1"/>
          <w:sz w:val="20"/>
          <w:szCs w:val="20"/>
          <w:bdr w:val="none" w:sz="0" w:space="0" w:color="auto"/>
        </w:rPr>
        <w:t>fe</w:t>
      </w:r>
      <w:r w:rsidRPr="002A2289">
        <w:rPr>
          <w:rFonts w:asciiTheme="majorHAnsi" w:eastAsia="Times New Roman" w:hAnsiTheme="majorHAnsi" w:cs="Times New Roman"/>
          <w:color w:val="000000" w:themeColor="text1"/>
          <w:sz w:val="20"/>
          <w:szCs w:val="20"/>
          <w:bdr w:val="none" w:sz="0" w:space="0" w:color="auto"/>
        </w:rPr>
        <w:t>r</w:t>
      </w:r>
      <w:r w:rsidR="00233E9C" w:rsidRPr="002A2289">
        <w:rPr>
          <w:rFonts w:asciiTheme="majorHAnsi" w:eastAsia="Times New Roman" w:hAnsiTheme="majorHAnsi" w:cs="Times New Roman"/>
          <w:color w:val="000000" w:themeColor="text1"/>
          <w:sz w:val="20"/>
          <w:szCs w:val="20"/>
          <w:bdr w:val="none" w:sz="0" w:space="0" w:color="auto"/>
        </w:rPr>
        <w:t xml:space="preserve"> Mr. </w:t>
      </w:r>
      <w:r w:rsidRPr="002A2289">
        <w:rPr>
          <w:rFonts w:asciiTheme="majorHAnsi" w:eastAsia="Times New Roman" w:hAnsiTheme="majorHAnsi" w:cs="Times New Roman"/>
          <w:color w:val="000000" w:themeColor="text1"/>
          <w:sz w:val="20"/>
          <w:szCs w:val="20"/>
          <w:bdr w:val="none" w:sz="0" w:space="0" w:color="auto"/>
        </w:rPr>
        <w:t xml:space="preserve">Rufino Jorge Almeida </w:t>
      </w:r>
      <w:r w:rsidR="00233E9C" w:rsidRPr="002A2289">
        <w:rPr>
          <w:rFonts w:asciiTheme="majorHAnsi" w:eastAsia="Times New Roman" w:hAnsiTheme="majorHAnsi" w:cs="Times New Roman"/>
          <w:color w:val="000000" w:themeColor="text1"/>
          <w:sz w:val="20"/>
          <w:szCs w:val="20"/>
          <w:bdr w:val="none" w:sz="0" w:space="0" w:color="auto"/>
        </w:rPr>
        <w:t>a s</w:t>
      </w:r>
      <w:r w:rsidR="00DC6667" w:rsidRPr="002A2289">
        <w:rPr>
          <w:rFonts w:asciiTheme="majorHAnsi" w:eastAsia="Times New Roman" w:hAnsiTheme="majorHAnsi" w:cs="Times New Roman"/>
          <w:color w:val="000000" w:themeColor="text1"/>
          <w:sz w:val="20"/>
          <w:szCs w:val="20"/>
          <w:bdr w:val="none" w:sz="0" w:space="0" w:color="auto"/>
        </w:rPr>
        <w:t>u</w:t>
      </w:r>
      <w:r w:rsidR="00233E9C" w:rsidRPr="002A2289">
        <w:rPr>
          <w:rFonts w:asciiTheme="majorHAnsi" w:eastAsia="Times New Roman" w:hAnsiTheme="majorHAnsi" w:cs="Times New Roman"/>
          <w:color w:val="000000" w:themeColor="text1"/>
          <w:sz w:val="20"/>
          <w:szCs w:val="20"/>
          <w:bdr w:val="none" w:sz="0" w:space="0" w:color="auto"/>
        </w:rPr>
        <w:t xml:space="preserve">itable, effective, and expeditious mechanism for </w:t>
      </w:r>
      <w:r w:rsidR="00582BA0" w:rsidRPr="002A2289">
        <w:rPr>
          <w:rFonts w:asciiTheme="majorHAnsi" w:eastAsia="Times New Roman" w:hAnsiTheme="majorHAnsi" w:cs="Times New Roman"/>
          <w:color w:val="000000" w:themeColor="text1"/>
          <w:sz w:val="20"/>
          <w:szCs w:val="20"/>
          <w:bdr w:val="none" w:sz="0" w:space="0" w:color="auto"/>
        </w:rPr>
        <w:t xml:space="preserve">reconsideration of </w:t>
      </w:r>
      <w:r w:rsidR="00233E9C" w:rsidRPr="002A2289">
        <w:rPr>
          <w:rFonts w:asciiTheme="majorHAnsi" w:eastAsia="Times New Roman" w:hAnsiTheme="majorHAnsi" w:cs="Times New Roman"/>
          <w:color w:val="000000" w:themeColor="text1"/>
          <w:sz w:val="20"/>
          <w:szCs w:val="20"/>
          <w:bdr w:val="none" w:sz="0" w:space="0" w:color="auto"/>
        </w:rPr>
        <w:t xml:space="preserve">his request for compensation, taking into </w:t>
      </w:r>
      <w:r w:rsidR="00582BA0" w:rsidRPr="002A2289">
        <w:rPr>
          <w:rFonts w:asciiTheme="majorHAnsi" w:eastAsia="Times New Roman" w:hAnsiTheme="majorHAnsi" w:cs="Times New Roman"/>
          <w:color w:val="000000" w:themeColor="text1"/>
          <w:sz w:val="20"/>
          <w:szCs w:val="20"/>
          <w:bdr w:val="none" w:sz="0" w:space="0" w:color="auto"/>
        </w:rPr>
        <w:t>account</w:t>
      </w:r>
      <w:r w:rsidR="00233E9C" w:rsidRPr="002A2289">
        <w:rPr>
          <w:rFonts w:asciiTheme="majorHAnsi" w:eastAsia="Times New Roman" w:hAnsiTheme="majorHAnsi" w:cs="Times New Roman"/>
          <w:color w:val="000000" w:themeColor="text1"/>
          <w:sz w:val="20"/>
          <w:szCs w:val="20"/>
          <w:bdr w:val="none" w:sz="0" w:space="0" w:color="auto"/>
        </w:rPr>
        <w:t xml:space="preserve"> the arguments he raised regarding the violation to </w:t>
      </w:r>
      <w:r w:rsidR="00582BA0" w:rsidRPr="002A2289">
        <w:rPr>
          <w:rFonts w:asciiTheme="majorHAnsi" w:eastAsia="Times New Roman" w:hAnsiTheme="majorHAnsi" w:cs="Times New Roman"/>
          <w:color w:val="000000" w:themeColor="text1"/>
          <w:sz w:val="20"/>
          <w:szCs w:val="20"/>
          <w:bdr w:val="none" w:sz="0" w:space="0" w:color="auto"/>
        </w:rPr>
        <w:t xml:space="preserve">the </w:t>
      </w:r>
      <w:r w:rsidR="00233E9C" w:rsidRPr="002A2289">
        <w:rPr>
          <w:rFonts w:asciiTheme="majorHAnsi" w:eastAsia="Times New Roman" w:hAnsiTheme="majorHAnsi" w:cs="Times New Roman"/>
          <w:color w:val="000000" w:themeColor="text1"/>
          <w:sz w:val="20"/>
          <w:szCs w:val="20"/>
          <w:bdr w:val="none" w:sz="0" w:space="0" w:color="auto"/>
        </w:rPr>
        <w:t xml:space="preserve">right to equal protection under the law, in the framework of both the first administrative proceedings and the subsequent </w:t>
      </w:r>
      <w:r w:rsidR="00DC6667" w:rsidRPr="002A2289">
        <w:rPr>
          <w:rFonts w:asciiTheme="majorHAnsi" w:eastAsia="Times New Roman" w:hAnsiTheme="majorHAnsi" w:cs="Times New Roman"/>
          <w:color w:val="000000" w:themeColor="text1"/>
          <w:sz w:val="20"/>
          <w:szCs w:val="20"/>
          <w:bdr w:val="none" w:sz="0" w:space="0" w:color="auto"/>
        </w:rPr>
        <w:t>judicial appeals</w:t>
      </w:r>
      <w:r w:rsidR="00233E9C" w:rsidRPr="002A2289">
        <w:rPr>
          <w:rFonts w:asciiTheme="majorHAnsi" w:eastAsia="Times New Roman" w:hAnsiTheme="majorHAnsi" w:cs="Times New Roman"/>
          <w:color w:val="000000" w:themeColor="text1"/>
          <w:sz w:val="20"/>
          <w:szCs w:val="20"/>
          <w:bdr w:val="none" w:sz="0" w:space="0" w:color="auto"/>
        </w:rPr>
        <w:t xml:space="preserve">, as well as the subsequent petitions </w:t>
      </w:r>
      <w:r w:rsidR="00582BA0" w:rsidRPr="002A2289">
        <w:rPr>
          <w:rFonts w:asciiTheme="majorHAnsi" w:eastAsia="Times New Roman" w:hAnsiTheme="majorHAnsi" w:cs="Times New Roman"/>
          <w:color w:val="000000" w:themeColor="text1"/>
          <w:sz w:val="20"/>
          <w:szCs w:val="20"/>
          <w:bdr w:val="none" w:sz="0" w:space="0" w:color="auto"/>
        </w:rPr>
        <w:t xml:space="preserve">filed </w:t>
      </w:r>
      <w:r w:rsidR="00233E9C" w:rsidRPr="002A2289">
        <w:rPr>
          <w:rFonts w:asciiTheme="majorHAnsi" w:eastAsia="Times New Roman" w:hAnsiTheme="majorHAnsi" w:cs="Times New Roman"/>
          <w:color w:val="000000" w:themeColor="text1"/>
          <w:sz w:val="20"/>
          <w:szCs w:val="20"/>
          <w:bdr w:val="none" w:sz="0" w:space="0" w:color="auto"/>
        </w:rPr>
        <w:t xml:space="preserve">after the </w:t>
      </w:r>
      <w:r w:rsidR="00DC6667" w:rsidRPr="002A2289">
        <w:rPr>
          <w:rFonts w:asciiTheme="majorHAnsi" w:eastAsia="Times New Roman" w:hAnsiTheme="majorHAnsi" w:cs="Times New Roman"/>
          <w:color w:val="000000" w:themeColor="text1"/>
          <w:sz w:val="20"/>
          <w:szCs w:val="20"/>
          <w:bdr w:val="none" w:sz="0" w:space="0" w:color="auto"/>
        </w:rPr>
        <w:t>precedent</w:t>
      </w:r>
      <w:r w:rsidR="00DC6667" w:rsidRPr="002A2289">
        <w:rPr>
          <w:rFonts w:asciiTheme="majorHAnsi" w:eastAsia="Times New Roman" w:hAnsiTheme="majorHAnsi" w:cs="Times New Roman"/>
          <w:i/>
          <w:color w:val="000000" w:themeColor="text1"/>
          <w:sz w:val="20"/>
          <w:szCs w:val="20"/>
          <w:bdr w:val="none" w:sz="0" w:space="0" w:color="auto"/>
        </w:rPr>
        <w:t xml:space="preserve"> </w:t>
      </w:r>
      <w:r w:rsidR="00DC6667" w:rsidRPr="002A2289">
        <w:rPr>
          <w:rFonts w:asciiTheme="majorHAnsi" w:eastAsia="Times New Roman" w:hAnsiTheme="majorHAnsi" w:cs="Times New Roman"/>
          <w:color w:val="000000" w:themeColor="text1"/>
          <w:sz w:val="20"/>
          <w:szCs w:val="20"/>
          <w:bdr w:val="none" w:sz="0" w:space="0" w:color="auto"/>
        </w:rPr>
        <w:t xml:space="preserve">set by </w:t>
      </w:r>
      <w:r w:rsidR="00233E9C" w:rsidRPr="002A2289">
        <w:rPr>
          <w:rFonts w:asciiTheme="majorHAnsi" w:eastAsia="Times New Roman" w:hAnsiTheme="majorHAnsi" w:cs="Times New Roman"/>
          <w:i/>
          <w:color w:val="000000" w:themeColor="text1"/>
          <w:sz w:val="20"/>
          <w:szCs w:val="20"/>
          <w:bdr w:val="none" w:sz="0" w:space="0" w:color="auto"/>
        </w:rPr>
        <w:t>Robasto</w:t>
      </w:r>
      <w:r w:rsidR="00233E9C" w:rsidRPr="002A2289">
        <w:rPr>
          <w:rFonts w:asciiTheme="majorHAnsi" w:eastAsia="Times New Roman" w:hAnsiTheme="majorHAnsi" w:cs="Times New Roman"/>
          <w:color w:val="000000" w:themeColor="text1"/>
          <w:sz w:val="20"/>
          <w:szCs w:val="20"/>
          <w:bdr w:val="none" w:sz="0" w:space="0" w:color="auto"/>
        </w:rPr>
        <w:t xml:space="preserve"> case. In said reconsideration, the Argentine State is obliged to </w:t>
      </w:r>
      <w:r w:rsidR="00DC6667" w:rsidRPr="002A2289">
        <w:rPr>
          <w:rFonts w:asciiTheme="majorHAnsi" w:eastAsia="Times New Roman" w:hAnsiTheme="majorHAnsi" w:cs="Times New Roman"/>
          <w:color w:val="000000" w:themeColor="text1"/>
          <w:sz w:val="20"/>
          <w:szCs w:val="20"/>
          <w:bdr w:val="none" w:sz="0" w:space="0" w:color="auto"/>
        </w:rPr>
        <w:t>comply with</w:t>
      </w:r>
      <w:r w:rsidR="00233E9C" w:rsidRPr="002A2289">
        <w:rPr>
          <w:rFonts w:asciiTheme="majorHAnsi" w:eastAsia="Times New Roman" w:hAnsiTheme="majorHAnsi" w:cs="Times New Roman"/>
          <w:color w:val="000000" w:themeColor="text1"/>
          <w:sz w:val="20"/>
          <w:szCs w:val="20"/>
          <w:bdr w:val="none" w:sz="0" w:space="0" w:color="auto"/>
        </w:rPr>
        <w:t xml:space="preserve"> its international obligations regarding equal protection under the law</w:t>
      </w:r>
      <w:r w:rsidR="003E50A4" w:rsidRPr="002A2289">
        <w:rPr>
          <w:rFonts w:asciiTheme="majorHAnsi" w:eastAsia="Times New Roman" w:hAnsiTheme="majorHAnsi" w:cs="Times New Roman"/>
          <w:color w:val="000000" w:themeColor="text1"/>
          <w:sz w:val="20"/>
          <w:szCs w:val="20"/>
          <w:bdr w:val="none" w:sz="0" w:space="0" w:color="auto"/>
        </w:rPr>
        <w:t xml:space="preserve">; </w:t>
      </w:r>
      <w:r w:rsidR="00233E9C" w:rsidRPr="002A2289">
        <w:rPr>
          <w:rFonts w:asciiTheme="majorHAnsi" w:eastAsia="Times New Roman" w:hAnsiTheme="majorHAnsi" w:cs="Times New Roman"/>
          <w:color w:val="000000" w:themeColor="text1"/>
          <w:sz w:val="20"/>
          <w:szCs w:val="20"/>
          <w:bdr w:val="none" w:sz="0" w:space="0" w:color="auto"/>
        </w:rPr>
        <w:t xml:space="preserve">the situation of </w:t>
      </w:r>
      <w:r w:rsidR="00233E9C" w:rsidRPr="002A2289">
        <w:rPr>
          <w:rFonts w:asciiTheme="majorHAnsi" w:eastAsia="Times New Roman" w:hAnsiTheme="majorHAnsi" w:cs="Times New Roman"/>
          <w:i/>
          <w:color w:val="000000" w:themeColor="text1"/>
          <w:sz w:val="20"/>
          <w:szCs w:val="20"/>
          <w:bdr w:val="none" w:sz="0" w:space="0" w:color="auto"/>
        </w:rPr>
        <w:t>res judicata</w:t>
      </w:r>
      <w:r w:rsidR="00233E9C" w:rsidRPr="002A2289">
        <w:rPr>
          <w:rFonts w:asciiTheme="majorHAnsi" w:eastAsia="Times New Roman" w:hAnsiTheme="majorHAnsi" w:cs="Times New Roman"/>
          <w:color w:val="000000" w:themeColor="text1"/>
          <w:sz w:val="20"/>
          <w:szCs w:val="20"/>
          <w:bdr w:val="none" w:sz="0" w:space="0" w:color="auto"/>
        </w:rPr>
        <w:t xml:space="preserve"> in</w:t>
      </w:r>
      <w:r w:rsidR="008746F3">
        <w:rPr>
          <w:rFonts w:asciiTheme="majorHAnsi" w:eastAsia="Times New Roman" w:hAnsiTheme="majorHAnsi" w:cs="Times New Roman"/>
          <w:color w:val="000000" w:themeColor="text1"/>
          <w:sz w:val="20"/>
          <w:szCs w:val="20"/>
          <w:bdr w:val="none" w:sz="0" w:space="0" w:color="auto"/>
        </w:rPr>
        <w:t xml:space="preserve"> the</w:t>
      </w:r>
      <w:r w:rsidR="00233E9C" w:rsidRPr="002A2289">
        <w:rPr>
          <w:rFonts w:asciiTheme="majorHAnsi" w:eastAsia="Times New Roman" w:hAnsiTheme="majorHAnsi" w:cs="Times New Roman"/>
          <w:color w:val="000000" w:themeColor="text1"/>
          <w:sz w:val="20"/>
          <w:szCs w:val="20"/>
          <w:bdr w:val="none" w:sz="0" w:space="0" w:color="auto"/>
        </w:rPr>
        <w:t xml:space="preserve"> abstract </w:t>
      </w:r>
      <w:r w:rsidR="003E50A4" w:rsidRPr="002A2289">
        <w:rPr>
          <w:rFonts w:asciiTheme="majorHAnsi" w:eastAsia="Times New Roman" w:hAnsiTheme="majorHAnsi" w:cs="Times New Roman"/>
          <w:color w:val="000000" w:themeColor="text1"/>
          <w:sz w:val="20"/>
          <w:szCs w:val="20"/>
          <w:bdr w:val="none" w:sz="0" w:space="0" w:color="auto"/>
        </w:rPr>
        <w:t xml:space="preserve">may not be </w:t>
      </w:r>
      <w:r w:rsidR="003E50A4" w:rsidRPr="002A2289">
        <w:rPr>
          <w:rFonts w:asciiTheme="majorHAnsi" w:eastAsia="Times New Roman" w:hAnsiTheme="majorHAnsi" w:cs="Times New Roman"/>
          <w:color w:val="000000" w:themeColor="text1"/>
          <w:sz w:val="20"/>
          <w:szCs w:val="20"/>
          <w:bdr w:val="none" w:sz="0" w:space="0" w:color="auto"/>
        </w:rPr>
        <w:lastRenderedPageBreak/>
        <w:t>relied upon</w:t>
      </w:r>
      <w:r w:rsidR="00233E9C" w:rsidRPr="002A2289">
        <w:rPr>
          <w:rFonts w:asciiTheme="majorHAnsi" w:eastAsia="Times New Roman" w:hAnsiTheme="majorHAnsi" w:cs="Times New Roman"/>
          <w:color w:val="000000" w:themeColor="text1"/>
          <w:sz w:val="20"/>
          <w:szCs w:val="20"/>
          <w:bdr w:val="none" w:sz="0" w:space="0" w:color="auto"/>
        </w:rPr>
        <w:t xml:space="preserve"> </w:t>
      </w:r>
      <w:r w:rsidR="00140614" w:rsidRPr="002A2289">
        <w:rPr>
          <w:rFonts w:asciiTheme="majorHAnsi" w:eastAsia="Times New Roman" w:hAnsiTheme="majorHAnsi" w:cs="Times New Roman"/>
          <w:color w:val="000000" w:themeColor="text1"/>
          <w:sz w:val="20"/>
          <w:szCs w:val="20"/>
          <w:bdr w:val="none" w:sz="0" w:space="0" w:color="auto"/>
        </w:rPr>
        <w:t>as an objection and Mr. </w:t>
      </w:r>
      <w:r w:rsidR="00582BA0" w:rsidRPr="002A2289">
        <w:rPr>
          <w:rFonts w:asciiTheme="majorHAnsi" w:eastAsia="Times New Roman" w:hAnsiTheme="majorHAnsi" w:cs="Times New Roman"/>
          <w:color w:val="000000" w:themeColor="text1"/>
          <w:sz w:val="20"/>
          <w:szCs w:val="20"/>
          <w:bdr w:val="none" w:sz="0" w:space="0" w:color="auto"/>
        </w:rPr>
        <w:t>Almeida</w:t>
      </w:r>
      <w:r w:rsidR="003E50A4" w:rsidRPr="002A2289">
        <w:rPr>
          <w:rFonts w:asciiTheme="majorHAnsi" w:eastAsia="Times New Roman" w:hAnsiTheme="majorHAnsi" w:cs="Times New Roman"/>
          <w:color w:val="000000" w:themeColor="text1"/>
          <w:sz w:val="20"/>
          <w:szCs w:val="20"/>
          <w:bdr w:val="none" w:sz="0" w:space="0" w:color="auto"/>
        </w:rPr>
        <w:t xml:space="preserve"> should be allowed </w:t>
      </w:r>
      <w:r w:rsidR="00233E9C" w:rsidRPr="002A2289">
        <w:rPr>
          <w:rFonts w:asciiTheme="majorHAnsi" w:eastAsia="Times New Roman" w:hAnsiTheme="majorHAnsi" w:cs="Times New Roman"/>
          <w:color w:val="000000" w:themeColor="text1"/>
          <w:sz w:val="20"/>
          <w:szCs w:val="20"/>
          <w:bdr w:val="none" w:sz="0" w:space="0" w:color="auto"/>
        </w:rPr>
        <w:t xml:space="preserve">to present all the necessary information to prove his claim under </w:t>
      </w:r>
      <w:r w:rsidR="00786D79">
        <w:rPr>
          <w:rFonts w:asciiTheme="majorHAnsi" w:eastAsia="Times New Roman" w:hAnsiTheme="majorHAnsi" w:cs="Times New Roman"/>
          <w:color w:val="000000" w:themeColor="text1"/>
          <w:sz w:val="20"/>
          <w:szCs w:val="20"/>
          <w:bdr w:val="none" w:sz="0" w:space="0" w:color="auto"/>
        </w:rPr>
        <w:t>Law 24.043</w:t>
      </w:r>
      <w:r w:rsidRPr="002A2289">
        <w:rPr>
          <w:rFonts w:asciiTheme="majorHAnsi" w:eastAsia="Times New Roman" w:hAnsiTheme="majorHAnsi" w:cs="Times New Roman"/>
          <w:color w:val="auto"/>
          <w:sz w:val="20"/>
          <w:szCs w:val="20"/>
          <w:bdr w:val="none" w:sz="0" w:space="0" w:color="auto"/>
        </w:rPr>
        <w:t>.</w:t>
      </w:r>
    </w:p>
    <w:p w14:paraId="5CFC8BB0" w14:textId="77777777" w:rsidR="00EC7AB1" w:rsidRPr="002A2289" w:rsidRDefault="00EC7AB1" w:rsidP="00EC7AB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imes New Roman"/>
          <w:color w:val="auto"/>
          <w:sz w:val="20"/>
          <w:szCs w:val="20"/>
          <w:bdr w:val="none" w:sz="0" w:space="0" w:color="auto"/>
        </w:rPr>
      </w:pPr>
    </w:p>
    <w:p w14:paraId="5F87D5EC" w14:textId="5CE0F0C5" w:rsidR="00EC7AB1" w:rsidRPr="002A2289" w:rsidRDefault="00D46B80" w:rsidP="00EC7AB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imes New Roman"/>
          <w:color w:val="000000" w:themeColor="text1"/>
          <w:sz w:val="20"/>
          <w:szCs w:val="20"/>
          <w:bdr w:val="none" w:sz="0" w:space="0" w:color="auto"/>
        </w:rPr>
      </w:pPr>
      <w:r w:rsidRPr="002A2289">
        <w:rPr>
          <w:rFonts w:asciiTheme="majorHAnsi" w:eastAsia="Times New Roman" w:hAnsiTheme="majorHAnsi" w:cs="Times New Roman"/>
          <w:color w:val="000000" w:themeColor="text1"/>
          <w:sz w:val="20"/>
          <w:szCs w:val="20"/>
          <w:bdr w:val="none" w:sz="0" w:space="0" w:color="auto"/>
        </w:rPr>
        <w:t xml:space="preserve">Fully </w:t>
      </w:r>
      <w:r w:rsidR="00255DD4" w:rsidRPr="002A2289">
        <w:rPr>
          <w:rFonts w:asciiTheme="majorHAnsi" w:eastAsia="Times New Roman" w:hAnsiTheme="majorHAnsi" w:cs="Times New Roman"/>
          <w:color w:val="000000" w:themeColor="text1"/>
          <w:sz w:val="20"/>
          <w:szCs w:val="20"/>
          <w:bdr w:val="none" w:sz="0" w:space="0" w:color="auto"/>
        </w:rPr>
        <w:t>compensate</w:t>
      </w:r>
      <w:r w:rsidRPr="002A2289">
        <w:rPr>
          <w:rFonts w:asciiTheme="majorHAnsi" w:eastAsia="Times New Roman" w:hAnsiTheme="majorHAnsi" w:cs="Times New Roman"/>
          <w:color w:val="000000" w:themeColor="text1"/>
          <w:sz w:val="20"/>
          <w:szCs w:val="20"/>
          <w:bdr w:val="none" w:sz="0" w:space="0" w:color="auto"/>
        </w:rPr>
        <w:t xml:space="preserve"> the violations declared in this report, </w:t>
      </w:r>
      <w:r w:rsidR="00EC7AB1" w:rsidRPr="002A2289">
        <w:rPr>
          <w:rFonts w:asciiTheme="majorHAnsi" w:eastAsia="Times New Roman" w:hAnsiTheme="majorHAnsi" w:cs="Times New Roman"/>
          <w:color w:val="000000" w:themeColor="text1"/>
          <w:sz w:val="20"/>
          <w:szCs w:val="20"/>
          <w:bdr w:val="none" w:sz="0" w:space="0" w:color="auto"/>
        </w:rPr>
        <w:t>t</w:t>
      </w:r>
      <w:r w:rsidRPr="002A2289">
        <w:rPr>
          <w:rFonts w:asciiTheme="majorHAnsi" w:eastAsia="Times New Roman" w:hAnsiTheme="majorHAnsi" w:cs="Times New Roman"/>
          <w:color w:val="000000" w:themeColor="text1"/>
          <w:sz w:val="20"/>
          <w:szCs w:val="20"/>
          <w:bdr w:val="none" w:sz="0" w:space="0" w:color="auto"/>
        </w:rPr>
        <w:t xml:space="preserve">aking into account both material and immaterial damages </w:t>
      </w:r>
      <w:r w:rsidR="00582BA0" w:rsidRPr="002A2289">
        <w:rPr>
          <w:rFonts w:asciiTheme="majorHAnsi" w:eastAsia="Times New Roman" w:hAnsiTheme="majorHAnsi" w:cs="Times New Roman"/>
          <w:color w:val="000000" w:themeColor="text1"/>
          <w:sz w:val="20"/>
          <w:szCs w:val="20"/>
          <w:bdr w:val="none" w:sz="0" w:space="0" w:color="auto"/>
        </w:rPr>
        <w:t>that stem from</w:t>
      </w:r>
      <w:r w:rsidR="00950EB2" w:rsidRPr="002A2289">
        <w:rPr>
          <w:rFonts w:asciiTheme="majorHAnsi" w:eastAsia="Times New Roman" w:hAnsiTheme="majorHAnsi" w:cs="Times New Roman"/>
          <w:color w:val="000000" w:themeColor="text1"/>
          <w:sz w:val="20"/>
          <w:szCs w:val="20"/>
          <w:bdr w:val="none" w:sz="0" w:space="0" w:color="auto"/>
        </w:rPr>
        <w:t xml:space="preserve"> </w:t>
      </w:r>
      <w:r w:rsidR="00CF27C5" w:rsidRPr="002A2289">
        <w:rPr>
          <w:rFonts w:asciiTheme="majorHAnsi" w:eastAsia="Times New Roman" w:hAnsiTheme="majorHAnsi" w:cs="Times New Roman"/>
          <w:color w:val="000000" w:themeColor="text1"/>
          <w:sz w:val="20"/>
          <w:szCs w:val="20"/>
          <w:bdr w:val="none" w:sz="0" w:space="0" w:color="auto"/>
        </w:rPr>
        <w:t xml:space="preserve">the </w:t>
      </w:r>
      <w:r w:rsidR="00950EB2" w:rsidRPr="002A2289">
        <w:rPr>
          <w:rFonts w:asciiTheme="majorHAnsi" w:eastAsia="Times New Roman" w:hAnsiTheme="majorHAnsi" w:cs="Times New Roman"/>
          <w:color w:val="000000" w:themeColor="text1"/>
          <w:sz w:val="20"/>
          <w:szCs w:val="20"/>
          <w:bdr w:val="none" w:sz="0" w:space="0" w:color="auto"/>
        </w:rPr>
        <w:t xml:space="preserve">denial of justice to Mr. Rufino Jorge Almeida </w:t>
      </w:r>
      <w:r w:rsidRPr="002A2289">
        <w:rPr>
          <w:rFonts w:asciiTheme="majorHAnsi" w:eastAsia="Times New Roman" w:hAnsiTheme="majorHAnsi" w:cs="Times New Roman"/>
          <w:color w:val="000000" w:themeColor="text1"/>
          <w:sz w:val="20"/>
          <w:szCs w:val="20"/>
          <w:bdr w:val="none" w:sz="0" w:space="0" w:color="auto"/>
        </w:rPr>
        <w:t>in the context of his claims</w:t>
      </w:r>
      <w:r w:rsidR="00582BA0" w:rsidRPr="002A2289">
        <w:rPr>
          <w:rFonts w:asciiTheme="majorHAnsi" w:eastAsia="Times New Roman" w:hAnsiTheme="majorHAnsi" w:cs="Times New Roman"/>
          <w:color w:val="000000" w:themeColor="text1"/>
          <w:sz w:val="20"/>
          <w:szCs w:val="20"/>
          <w:bdr w:val="none" w:sz="0" w:space="0" w:color="auto"/>
        </w:rPr>
        <w:t xml:space="preserve">, in light of </w:t>
      </w:r>
      <w:r w:rsidRPr="002A2289">
        <w:rPr>
          <w:rFonts w:asciiTheme="majorHAnsi" w:eastAsia="Times New Roman" w:hAnsiTheme="majorHAnsi" w:cs="Times New Roman"/>
          <w:color w:val="000000" w:themeColor="text1"/>
          <w:sz w:val="20"/>
          <w:szCs w:val="20"/>
          <w:bdr w:val="none" w:sz="0" w:space="0" w:color="auto"/>
        </w:rPr>
        <w:t>the right to equal protection under the law.</w:t>
      </w:r>
      <w:r w:rsidR="00EC7AB1" w:rsidRPr="002A2289">
        <w:rPr>
          <w:rFonts w:asciiTheme="majorHAnsi" w:eastAsia="Times New Roman" w:hAnsiTheme="majorHAnsi" w:cs="Times New Roman"/>
          <w:color w:val="000000" w:themeColor="text1"/>
          <w:sz w:val="20"/>
          <w:szCs w:val="20"/>
          <w:bdr w:val="none" w:sz="0" w:space="0" w:color="auto"/>
        </w:rPr>
        <w:t xml:space="preserve"> </w:t>
      </w:r>
    </w:p>
    <w:p w14:paraId="7926A9A7" w14:textId="77777777" w:rsidR="00021D37" w:rsidRPr="002A2289" w:rsidRDefault="00021D37" w:rsidP="00EC7AB1">
      <w:pPr>
        <w:tabs>
          <w:tab w:val="center" w:pos="5400"/>
        </w:tabs>
        <w:suppressAutoHyphens/>
        <w:spacing w:line="276" w:lineRule="auto"/>
        <w:jc w:val="center"/>
        <w:rPr>
          <w:rFonts w:asciiTheme="majorHAnsi" w:hAnsiTheme="majorHAnsi"/>
          <w:spacing w:val="-2"/>
          <w:sz w:val="20"/>
          <w:szCs w:val="20"/>
        </w:rPr>
      </w:pPr>
    </w:p>
    <w:sectPr w:rsidR="00021D37" w:rsidRPr="002A2289"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56AAE" w14:textId="77777777" w:rsidR="00084F3A" w:rsidRDefault="00084F3A">
      <w:r>
        <w:separator/>
      </w:r>
    </w:p>
  </w:endnote>
  <w:endnote w:type="continuationSeparator" w:id="0">
    <w:p w14:paraId="267ACECE" w14:textId="77777777" w:rsidR="00084F3A" w:rsidRDefault="0008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2207" w14:textId="77777777" w:rsidR="00E730C9" w:rsidRDefault="00E730C9">
    <w:pPr>
      <w:pStyle w:val="Footer"/>
      <w:jc w:val="center"/>
    </w:pPr>
  </w:p>
  <w:p w14:paraId="4B735BA8" w14:textId="77777777" w:rsidR="00E730C9" w:rsidRDefault="00E73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70405" w14:textId="77777777" w:rsidR="00E730C9" w:rsidRPr="00934A2C" w:rsidRDefault="00E730C9">
    <w:pPr>
      <w:pStyle w:val="Footer"/>
      <w:jc w:val="center"/>
      <w:rPr>
        <w:sz w:val="16"/>
        <w:szCs w:val="22"/>
      </w:rPr>
    </w:pPr>
  </w:p>
  <w:p w14:paraId="33021753" w14:textId="77777777" w:rsidR="00E730C9" w:rsidRDefault="00E73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0442F" w14:textId="77777777" w:rsidR="00E730C9" w:rsidRDefault="00E730C9">
    <w:pPr>
      <w:pStyle w:val="Footer"/>
      <w:jc w:val="center"/>
    </w:pPr>
  </w:p>
  <w:p w14:paraId="5AC48C40" w14:textId="77777777" w:rsidR="00E730C9" w:rsidRDefault="00E730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7715" w14:textId="77777777" w:rsidR="00E730C9" w:rsidRPr="00934A2C" w:rsidRDefault="00E730C9">
    <w:pPr>
      <w:pStyle w:val="Footer"/>
      <w:jc w:val="center"/>
      <w:rPr>
        <w:sz w:val="16"/>
        <w:szCs w:val="22"/>
      </w:rPr>
    </w:pPr>
  </w:p>
  <w:p w14:paraId="06F815E8" w14:textId="77777777" w:rsidR="00E730C9" w:rsidRDefault="00E73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50B6B" w14:textId="77777777" w:rsidR="00084F3A" w:rsidRPr="000F35ED" w:rsidRDefault="00084F3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BB9BC6" w14:textId="77777777" w:rsidR="00084F3A" w:rsidRPr="000F35ED" w:rsidRDefault="00084F3A" w:rsidP="000F35ED">
      <w:pPr>
        <w:rPr>
          <w:rFonts w:asciiTheme="majorHAnsi" w:hAnsiTheme="majorHAnsi"/>
          <w:sz w:val="16"/>
          <w:szCs w:val="16"/>
        </w:rPr>
      </w:pPr>
      <w:r w:rsidRPr="000F35ED">
        <w:rPr>
          <w:rFonts w:asciiTheme="majorHAnsi" w:hAnsiTheme="majorHAnsi"/>
          <w:sz w:val="16"/>
          <w:szCs w:val="16"/>
        </w:rPr>
        <w:separator/>
      </w:r>
    </w:p>
    <w:p w14:paraId="1C53CCAE" w14:textId="77777777" w:rsidR="00084F3A" w:rsidRPr="000F35ED" w:rsidRDefault="00084F3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14:paraId="0A02605D" w14:textId="77777777" w:rsidR="00084F3A" w:rsidRPr="000F35ED" w:rsidRDefault="00084F3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D4BF95F" w14:textId="77777777" w:rsidR="00E730C9" w:rsidRPr="002A2289" w:rsidRDefault="00E730C9" w:rsidP="004A16CA">
      <w:pPr>
        <w:pStyle w:val="FootnoteText"/>
        <w:jc w:val="both"/>
        <w:rPr>
          <w:rFonts w:asciiTheme="majorHAnsi" w:hAnsiTheme="majorHAnsi" w:cs="Times New Roman"/>
          <w:color w:val="auto"/>
          <w:sz w:val="16"/>
          <w:szCs w:val="16"/>
        </w:rPr>
      </w:pPr>
      <w:r w:rsidRPr="002A2289">
        <w:rPr>
          <w:rStyle w:val="FootnoteReference"/>
          <w:rFonts w:asciiTheme="majorHAnsi" w:hAnsiTheme="majorHAnsi" w:cs="Times New Roman"/>
          <w:color w:val="auto"/>
          <w:sz w:val="16"/>
          <w:szCs w:val="16"/>
        </w:rPr>
        <w:footnoteRef/>
      </w:r>
      <w:r w:rsidRPr="002A2289">
        <w:rPr>
          <w:rFonts w:asciiTheme="majorHAnsi" w:hAnsiTheme="majorHAnsi" w:cs="Times New Roman"/>
          <w:color w:val="auto"/>
          <w:sz w:val="16"/>
          <w:szCs w:val="16"/>
        </w:rPr>
        <w:t xml:space="preserve"> IACHR. Report No. 45/14. Case 12.950. Admissibility. </w:t>
      </w:r>
      <w:r w:rsidRPr="002A2289">
        <w:rPr>
          <w:rFonts w:asciiTheme="majorHAnsi" w:hAnsiTheme="majorHAnsi" w:cs="Times New Roman"/>
          <w:color w:val="auto"/>
          <w:sz w:val="16"/>
          <w:szCs w:val="16"/>
          <w:lang w:val="pt-BR"/>
        </w:rPr>
        <w:t xml:space="preserve">Rufino Jorge Almeida (Argentina). July 18, 2014. </w:t>
      </w:r>
      <w:r w:rsidRPr="002A2289">
        <w:rPr>
          <w:rFonts w:asciiTheme="majorHAnsi" w:hAnsiTheme="majorHAnsi" w:cs="Times New Roman"/>
          <w:color w:val="auto"/>
          <w:sz w:val="16"/>
          <w:szCs w:val="16"/>
        </w:rPr>
        <w:t xml:space="preserve">Admissible articles: 2, 8, 24, and 25 of the American Convention. </w:t>
      </w:r>
    </w:p>
  </w:footnote>
  <w:footnote w:id="3">
    <w:p w14:paraId="56AA79D1" w14:textId="0B839606"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color w:val="auto"/>
          <w:sz w:val="16"/>
          <w:szCs w:val="16"/>
        </w:rPr>
        <w:footnoteRef/>
      </w:r>
      <w:r w:rsidRPr="002A2289">
        <w:rPr>
          <w:rFonts w:asciiTheme="majorHAnsi" w:hAnsiTheme="majorHAnsi" w:cs="Times New Roman"/>
          <w:color w:val="auto"/>
          <w:sz w:val="16"/>
          <w:szCs w:val="16"/>
        </w:rPr>
        <w:t xml:space="preserve"> The petitioners expressed their willingness to pursue a friendly settlement in this case since the admissibility stage</w:t>
      </w:r>
      <w:r>
        <w:rPr>
          <w:rFonts w:asciiTheme="majorHAnsi" w:hAnsiTheme="majorHAnsi" w:cs="Times New Roman"/>
          <w:color w:val="auto"/>
          <w:sz w:val="16"/>
          <w:szCs w:val="16"/>
        </w:rPr>
        <w:t>,</w:t>
      </w:r>
      <w:r w:rsidRPr="002A2289">
        <w:rPr>
          <w:rFonts w:asciiTheme="majorHAnsi" w:hAnsiTheme="majorHAnsi" w:cs="Times New Roman"/>
          <w:color w:val="auto"/>
          <w:sz w:val="16"/>
          <w:szCs w:val="16"/>
        </w:rPr>
        <w:t xml:space="preserve"> and reiterated </w:t>
      </w:r>
      <w:r>
        <w:rPr>
          <w:rFonts w:asciiTheme="majorHAnsi" w:hAnsiTheme="majorHAnsi" w:cs="Times New Roman"/>
          <w:color w:val="auto"/>
          <w:sz w:val="16"/>
          <w:szCs w:val="16"/>
        </w:rPr>
        <w:t>this</w:t>
      </w:r>
      <w:r w:rsidRPr="002A2289">
        <w:rPr>
          <w:rFonts w:asciiTheme="majorHAnsi" w:hAnsiTheme="majorHAnsi" w:cs="Times New Roman"/>
          <w:color w:val="auto"/>
          <w:sz w:val="16"/>
          <w:szCs w:val="16"/>
        </w:rPr>
        <w:t xml:space="preserve"> request </w:t>
      </w:r>
      <w:r>
        <w:rPr>
          <w:rFonts w:asciiTheme="majorHAnsi" w:hAnsiTheme="majorHAnsi" w:cs="Times New Roman"/>
          <w:color w:val="auto"/>
          <w:sz w:val="16"/>
          <w:szCs w:val="16"/>
        </w:rPr>
        <w:t>at</w:t>
      </w:r>
      <w:r w:rsidRPr="002A2289">
        <w:rPr>
          <w:rFonts w:asciiTheme="majorHAnsi" w:hAnsiTheme="majorHAnsi" w:cs="Times New Roman"/>
          <w:color w:val="auto"/>
          <w:sz w:val="16"/>
          <w:szCs w:val="16"/>
        </w:rPr>
        <w:t xml:space="preserve"> the merits stage via letters dated July 18 and December 18, 2014. Although the State has, throughout the process, repeatedly affirmed that it is evaluating </w:t>
      </w:r>
      <w:r>
        <w:rPr>
          <w:rFonts w:asciiTheme="majorHAnsi" w:hAnsiTheme="majorHAnsi" w:cs="Times New Roman"/>
          <w:color w:val="auto"/>
          <w:sz w:val="16"/>
          <w:szCs w:val="16"/>
        </w:rPr>
        <w:t>the</w:t>
      </w:r>
      <w:r w:rsidRPr="002A2289">
        <w:rPr>
          <w:rFonts w:asciiTheme="majorHAnsi" w:hAnsiTheme="majorHAnsi" w:cs="Times New Roman"/>
          <w:color w:val="auto"/>
          <w:sz w:val="16"/>
          <w:szCs w:val="16"/>
        </w:rPr>
        <w:t xml:space="preserve"> request, it never provided a definitive response and therefore no friendly settlement process was ever initiated. </w:t>
      </w:r>
    </w:p>
  </w:footnote>
  <w:footnote w:id="4">
    <w:p w14:paraId="65102BA1" w14:textId="1471E2B1"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The State maintained that the house arrests or release under surveillance mentioned in Law 24</w:t>
      </w:r>
      <w:r>
        <w:rPr>
          <w:rFonts w:asciiTheme="majorHAnsi" w:hAnsiTheme="majorHAnsi" w:cs="Times New Roman"/>
          <w:sz w:val="16"/>
          <w:szCs w:val="16"/>
        </w:rPr>
        <w:t>.</w:t>
      </w:r>
      <w:r w:rsidRPr="002A2289">
        <w:rPr>
          <w:rFonts w:asciiTheme="majorHAnsi" w:hAnsiTheme="majorHAnsi" w:cs="Times New Roman"/>
          <w:sz w:val="16"/>
          <w:szCs w:val="16"/>
        </w:rPr>
        <w:t>043 “refer to one of the possible scenarios citizens unlawfully deprived of their liberty could have faced. This scenario consisted of orders formally and specifically issued by the Executive Branch via decree to mitigate the terms of arrest and confine the individual in question to house arrest or release under surveillance.” Thus, “the law stipulated that the release-under-surveillance scenario was arranged by express order of [the Executive] calling for restriction of an individual’s liberty […]”</w:t>
      </w:r>
    </w:p>
  </w:footnote>
  <w:footnote w:id="5">
    <w:p w14:paraId="38669E20"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IACHR. Report No. 1/93. Report on the Friendly Settlement Procedure in Cases 10.288, 10.310, 10.436, 10.496, 10.631, and 10.771. Argentina. March 3, 1993.</w:t>
      </w:r>
    </w:p>
  </w:footnote>
  <w:footnote w:id="6">
    <w:p w14:paraId="53CCF4E9"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w:t>
      </w:r>
      <w:r w:rsidRPr="002A2289">
        <w:rPr>
          <w:rFonts w:asciiTheme="majorHAnsi" w:hAnsiTheme="majorHAnsi" w:cs="Times New Roman"/>
          <w:i/>
          <w:sz w:val="16"/>
          <w:szCs w:val="16"/>
        </w:rPr>
        <w:t xml:space="preserve">See </w:t>
      </w:r>
      <w:r w:rsidRPr="002A2289">
        <w:rPr>
          <w:rFonts w:asciiTheme="majorHAnsi" w:hAnsiTheme="majorHAnsi" w:cs="Times New Roman"/>
          <w:sz w:val="16"/>
          <w:szCs w:val="16"/>
        </w:rPr>
        <w:t>Annex XX. Decree 70/1991. Annex to the initial petition.</w:t>
      </w:r>
    </w:p>
  </w:footnote>
  <w:footnote w:id="7">
    <w:p w14:paraId="78DC6CD4" w14:textId="1CC8578C"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Observations of the State regarding the initial petition, p. 6; </w:t>
      </w:r>
      <w:r w:rsidRPr="002A2289">
        <w:rPr>
          <w:rFonts w:asciiTheme="majorHAnsi" w:hAnsiTheme="majorHAnsi" w:cs="Times New Roman"/>
          <w:i/>
          <w:sz w:val="16"/>
          <w:szCs w:val="16"/>
        </w:rPr>
        <w:t xml:space="preserve">see also </w:t>
      </w:r>
      <w:r w:rsidRPr="002A2289">
        <w:rPr>
          <w:rFonts w:asciiTheme="majorHAnsi" w:hAnsiTheme="majorHAnsi" w:cs="Times New Roman"/>
          <w:sz w:val="16"/>
          <w:szCs w:val="16"/>
        </w:rPr>
        <w:t xml:space="preserve">Annex XX. </w:t>
      </w:r>
      <w:r>
        <w:rPr>
          <w:rFonts w:asciiTheme="majorHAnsi" w:hAnsiTheme="majorHAnsi" w:cs="Times New Roman"/>
          <w:sz w:val="16"/>
          <w:szCs w:val="16"/>
        </w:rPr>
        <w:t>Law 24.043</w:t>
      </w:r>
      <w:r w:rsidRPr="002A2289">
        <w:rPr>
          <w:rFonts w:asciiTheme="majorHAnsi" w:hAnsiTheme="majorHAnsi" w:cs="Times New Roman"/>
          <w:sz w:val="16"/>
          <w:szCs w:val="16"/>
        </w:rPr>
        <w:t>. Annex to the initial petition.</w:t>
      </w:r>
    </w:p>
  </w:footnote>
  <w:footnote w:id="8">
    <w:p w14:paraId="3B47E738"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State’s brief on the merits.</w:t>
      </w:r>
    </w:p>
  </w:footnote>
  <w:footnote w:id="9">
    <w:p w14:paraId="507E1FE4" w14:textId="7E1C8CA5"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w:t>
      </w:r>
      <w:r w:rsidRPr="002A2289">
        <w:rPr>
          <w:rFonts w:asciiTheme="majorHAnsi" w:hAnsiTheme="majorHAnsi" w:cs="Times New Roman"/>
          <w:sz w:val="16"/>
          <w:szCs w:val="16"/>
        </w:rPr>
        <w:t>. Statement by Rufino Almeida, March 13</w:t>
      </w:r>
      <w:proofErr w:type="gramStart"/>
      <w:r w:rsidRPr="002A2289">
        <w:rPr>
          <w:rFonts w:asciiTheme="majorHAnsi" w:hAnsiTheme="majorHAnsi" w:cs="Times New Roman"/>
          <w:sz w:val="16"/>
          <w:szCs w:val="16"/>
        </w:rPr>
        <w:t>,1987</w:t>
      </w:r>
      <w:proofErr w:type="gramEnd"/>
      <w:r w:rsidRPr="002A2289">
        <w:rPr>
          <w:rFonts w:asciiTheme="majorHAnsi" w:hAnsiTheme="majorHAnsi" w:cs="Times New Roman"/>
          <w:sz w:val="16"/>
          <w:szCs w:val="16"/>
        </w:rPr>
        <w:t xml:space="preserve">. Annex to the initial petition. </w:t>
      </w:r>
    </w:p>
  </w:footnote>
  <w:footnote w:id="10">
    <w:p w14:paraId="119A51C9" w14:textId="1B710F0D"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w:t>
      </w:r>
      <w:r w:rsidRPr="002A2289">
        <w:rPr>
          <w:rFonts w:asciiTheme="majorHAnsi" w:hAnsiTheme="majorHAnsi" w:cs="Times New Roman"/>
          <w:sz w:val="16"/>
          <w:szCs w:val="16"/>
        </w:rPr>
        <w:t>. Statement by Rufino Almeida, March 13, 1987. Annex to the initial petition.</w:t>
      </w:r>
    </w:p>
  </w:footnote>
  <w:footnote w:id="11">
    <w:p w14:paraId="68404B55" w14:textId="5568F714"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w:t>
      </w:r>
      <w:r w:rsidRPr="002A2289">
        <w:rPr>
          <w:rFonts w:asciiTheme="majorHAnsi" w:hAnsiTheme="majorHAnsi" w:cs="Times New Roman"/>
          <w:sz w:val="16"/>
          <w:szCs w:val="16"/>
        </w:rPr>
        <w:t>. Statement by Rufino Almeida, March 13, 1987. Annex to the initial petition.</w:t>
      </w:r>
    </w:p>
  </w:footnote>
  <w:footnote w:id="12">
    <w:p w14:paraId="0596E861" w14:textId="24CFD350"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w:t>
      </w:r>
      <w:r w:rsidRPr="002A2289">
        <w:rPr>
          <w:rFonts w:asciiTheme="majorHAnsi" w:hAnsiTheme="majorHAnsi" w:cs="Times New Roman"/>
          <w:sz w:val="16"/>
          <w:szCs w:val="16"/>
        </w:rPr>
        <w:t>. Statement by Rufino Almeida, March 13, 1987. Annex to the initial petition.</w:t>
      </w:r>
    </w:p>
  </w:footnote>
  <w:footnote w:id="13">
    <w:p w14:paraId="095D8551"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Initial petition, p. 2.</w:t>
      </w:r>
    </w:p>
  </w:footnote>
  <w:footnote w:id="14">
    <w:p w14:paraId="63D0311E" w14:textId="63D91083"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w:t>
      </w:r>
      <w:r w:rsidRPr="002A2289">
        <w:rPr>
          <w:rFonts w:asciiTheme="majorHAnsi" w:hAnsiTheme="majorHAnsi" w:cs="Times New Roman"/>
          <w:sz w:val="16"/>
          <w:szCs w:val="16"/>
        </w:rPr>
        <w:t xml:space="preserve">. Statement by Rufino Almeida, March 13, 1987. Annex to the initial petition; </w:t>
      </w:r>
      <w:r w:rsidRPr="002A2289">
        <w:rPr>
          <w:rFonts w:asciiTheme="majorHAnsi" w:hAnsiTheme="majorHAnsi" w:cs="Times New Roman"/>
          <w:i/>
          <w:sz w:val="16"/>
          <w:szCs w:val="16"/>
        </w:rPr>
        <w:t>see also</w:t>
      </w:r>
      <w:r w:rsidRPr="002A2289">
        <w:rPr>
          <w:rFonts w:asciiTheme="majorHAnsi" w:hAnsiTheme="majorHAnsi" w:cs="Times New Roman"/>
          <w:sz w:val="16"/>
          <w:szCs w:val="16"/>
        </w:rPr>
        <w:t xml:space="preserve"> initial petition, p. 3. </w:t>
      </w:r>
    </w:p>
  </w:footnote>
  <w:footnote w:id="15">
    <w:p w14:paraId="44F92AAF"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Initial petition, p. 3; </w:t>
      </w:r>
      <w:r w:rsidRPr="002A2289">
        <w:rPr>
          <w:rFonts w:asciiTheme="majorHAnsi" w:hAnsiTheme="majorHAnsi" w:cs="Times New Roman"/>
          <w:i/>
          <w:sz w:val="16"/>
          <w:szCs w:val="16"/>
        </w:rPr>
        <w:t>see also</w:t>
      </w:r>
      <w:r w:rsidRPr="002A2289">
        <w:rPr>
          <w:rFonts w:asciiTheme="majorHAnsi" w:hAnsiTheme="majorHAnsi" w:cs="Times New Roman"/>
          <w:sz w:val="16"/>
          <w:szCs w:val="16"/>
        </w:rPr>
        <w:t xml:space="preserve"> Annex XX. Statement by Rufino Almeida, March 13, 1987. Annex to the initial petition.</w:t>
      </w:r>
    </w:p>
  </w:footnote>
  <w:footnote w:id="16">
    <w:p w14:paraId="25E74CCC" w14:textId="635D3399"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w:t>
      </w:r>
      <w:r w:rsidRPr="002A2289">
        <w:rPr>
          <w:rFonts w:asciiTheme="majorHAnsi" w:hAnsiTheme="majorHAnsi" w:cs="Times New Roman"/>
          <w:sz w:val="16"/>
          <w:szCs w:val="16"/>
        </w:rPr>
        <w:t>. Statement by Rufino Almeida, March 13, 1987. Annex to the initial petition.</w:t>
      </w:r>
    </w:p>
  </w:footnote>
  <w:footnote w:id="17">
    <w:p w14:paraId="357A040E"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Initial petition, p. 4.</w:t>
      </w:r>
    </w:p>
  </w:footnote>
  <w:footnote w:id="18">
    <w:p w14:paraId="24FA4DAD"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Initial petition, p. 3.</w:t>
      </w:r>
    </w:p>
  </w:footnote>
  <w:footnote w:id="19">
    <w:p w14:paraId="3182AF5B" w14:textId="2A03CE2C"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w:t>
      </w:r>
      <w:r w:rsidRPr="002A2289">
        <w:rPr>
          <w:rFonts w:asciiTheme="majorHAnsi" w:hAnsiTheme="majorHAnsi" w:cs="Times New Roman"/>
          <w:sz w:val="16"/>
          <w:szCs w:val="16"/>
        </w:rPr>
        <w:t xml:space="preserve">. Statement by Rufino Almeida, March 13, 1987. Annex to the initial petition; </w:t>
      </w:r>
      <w:r w:rsidRPr="002A2289">
        <w:rPr>
          <w:rFonts w:asciiTheme="majorHAnsi" w:hAnsiTheme="majorHAnsi" w:cs="Times New Roman"/>
          <w:i/>
          <w:sz w:val="16"/>
          <w:szCs w:val="16"/>
        </w:rPr>
        <w:t>see also</w:t>
      </w:r>
      <w:r w:rsidRPr="002A2289">
        <w:rPr>
          <w:rFonts w:asciiTheme="majorHAnsi" w:hAnsiTheme="majorHAnsi" w:cs="Times New Roman"/>
          <w:sz w:val="16"/>
          <w:szCs w:val="16"/>
        </w:rPr>
        <w:t>, Initial petition, p. 3.</w:t>
      </w:r>
    </w:p>
  </w:footnote>
  <w:footnote w:id="20">
    <w:p w14:paraId="7D8DF0CD"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Initial petition, p. 4.</w:t>
      </w:r>
    </w:p>
  </w:footnote>
  <w:footnote w:id="21">
    <w:p w14:paraId="495BD1E6" w14:textId="4D32D395"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w:t>
      </w:r>
      <w:r w:rsidRPr="002A2289">
        <w:rPr>
          <w:rFonts w:asciiTheme="majorHAnsi" w:hAnsiTheme="majorHAnsi" w:cs="Times New Roman"/>
          <w:sz w:val="16"/>
          <w:szCs w:val="16"/>
        </w:rPr>
        <w:t xml:space="preserve">. Statement by Rufino Almeida, March 13, 1987. Annex to the initial petition; </w:t>
      </w:r>
      <w:r w:rsidRPr="002A2289">
        <w:rPr>
          <w:rFonts w:asciiTheme="majorHAnsi" w:hAnsiTheme="majorHAnsi" w:cs="Times New Roman"/>
          <w:i/>
          <w:sz w:val="16"/>
          <w:szCs w:val="16"/>
        </w:rPr>
        <w:t>see also</w:t>
      </w:r>
      <w:r w:rsidRPr="002A2289">
        <w:rPr>
          <w:rFonts w:asciiTheme="majorHAnsi" w:hAnsiTheme="majorHAnsi" w:cs="Times New Roman"/>
          <w:sz w:val="16"/>
          <w:szCs w:val="16"/>
        </w:rPr>
        <w:t>, Initial petition, p. 3.</w:t>
      </w:r>
    </w:p>
  </w:footnote>
  <w:footnote w:id="22">
    <w:p w14:paraId="62902DE8" w14:textId="3DB81264"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w:t>
      </w:r>
      <w:r w:rsidRPr="002A2289">
        <w:rPr>
          <w:rFonts w:asciiTheme="majorHAnsi" w:hAnsiTheme="majorHAnsi" w:cs="Times New Roman"/>
          <w:sz w:val="16"/>
          <w:szCs w:val="16"/>
        </w:rPr>
        <w:t>. Statement by Rufino Almeida, March 13, 1987. Annex to the initial petition.</w:t>
      </w:r>
    </w:p>
  </w:footnote>
  <w:footnote w:id="23">
    <w:p w14:paraId="503E16D0" w14:textId="5BA5073F"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w:t>
      </w:r>
      <w:r w:rsidRPr="002A2289">
        <w:rPr>
          <w:rFonts w:asciiTheme="majorHAnsi" w:hAnsiTheme="majorHAnsi" w:cs="Times New Roman"/>
          <w:sz w:val="16"/>
          <w:szCs w:val="16"/>
        </w:rPr>
        <w:t>. Statement by Rufino Almeida, March 13, 1987. Annex to the initial petition.</w:t>
      </w:r>
    </w:p>
  </w:footnote>
  <w:footnote w:id="24">
    <w:p w14:paraId="78FE1B3A" w14:textId="44209C12"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w:t>
      </w:r>
      <w:r w:rsidRPr="002A2289">
        <w:rPr>
          <w:rFonts w:asciiTheme="majorHAnsi" w:hAnsiTheme="majorHAnsi" w:cs="Times New Roman"/>
          <w:sz w:val="16"/>
          <w:szCs w:val="16"/>
        </w:rPr>
        <w:t>. Statement by Rufino Almeida, March 13, 1987. Annex to the initial petition.</w:t>
      </w:r>
    </w:p>
  </w:footnote>
  <w:footnote w:id="25">
    <w:p w14:paraId="47676EF7" w14:textId="342FE8D3"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w:t>
      </w:r>
      <w:r w:rsidRPr="002A2289">
        <w:rPr>
          <w:rFonts w:asciiTheme="majorHAnsi" w:hAnsiTheme="majorHAnsi" w:cs="Times New Roman"/>
          <w:sz w:val="16"/>
          <w:szCs w:val="16"/>
        </w:rPr>
        <w:t>. Statement by Rufino Almeida, March 13, 1987. Annex to the initial petition.</w:t>
      </w:r>
    </w:p>
  </w:footnote>
  <w:footnote w:id="26">
    <w:p w14:paraId="6618CCF9"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Initial petition, p. 4.</w:t>
      </w:r>
    </w:p>
  </w:footnote>
  <w:footnote w:id="27">
    <w:p w14:paraId="607C6517" w14:textId="01BD8D51"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2</w:t>
      </w:r>
      <w:r w:rsidRPr="002A2289">
        <w:rPr>
          <w:rFonts w:asciiTheme="majorHAnsi" w:hAnsiTheme="majorHAnsi" w:cs="Times New Roman"/>
          <w:sz w:val="16"/>
          <w:szCs w:val="16"/>
        </w:rPr>
        <w:t>. Notification of compensation. October 8, 1996. Annex to the initial petition.</w:t>
      </w:r>
    </w:p>
  </w:footnote>
  <w:footnote w:id="28">
    <w:p w14:paraId="1F3F0E21" w14:textId="21DDC583"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3</w:t>
      </w:r>
      <w:r w:rsidRPr="002A2289">
        <w:rPr>
          <w:rFonts w:asciiTheme="majorHAnsi" w:hAnsiTheme="majorHAnsi" w:cs="Times New Roman"/>
          <w:sz w:val="16"/>
          <w:szCs w:val="16"/>
        </w:rPr>
        <w:t>. Written appeal to CNACAF. Annex to the initial petition.</w:t>
      </w:r>
    </w:p>
  </w:footnote>
  <w:footnote w:id="29">
    <w:p w14:paraId="510DDB9C" w14:textId="1263E4AA"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3</w:t>
      </w:r>
      <w:r w:rsidRPr="002A2289">
        <w:rPr>
          <w:rFonts w:asciiTheme="majorHAnsi" w:hAnsiTheme="majorHAnsi" w:cs="Times New Roman"/>
          <w:sz w:val="16"/>
          <w:szCs w:val="16"/>
        </w:rPr>
        <w:t xml:space="preserve">. Written appeal to CNACAF. Annex to the initial petition. Mr. Almeida indicated that “the Secretariat for Human and Social Rights of the Ministry of the Interior, in this case file and in other similar cases, has ruled that: ‘It is clear that the aim of </w:t>
      </w:r>
      <w:r>
        <w:rPr>
          <w:rFonts w:asciiTheme="majorHAnsi" w:hAnsiTheme="majorHAnsi" w:cs="Times New Roman"/>
          <w:sz w:val="16"/>
          <w:szCs w:val="16"/>
        </w:rPr>
        <w:t>Law 24.043</w:t>
      </w:r>
      <w:r w:rsidRPr="002A2289">
        <w:rPr>
          <w:rFonts w:asciiTheme="majorHAnsi" w:hAnsiTheme="majorHAnsi" w:cs="Times New Roman"/>
          <w:sz w:val="16"/>
          <w:szCs w:val="16"/>
        </w:rPr>
        <w:t xml:space="preserve"> – stemming from the parliamentary debate (sessions held on 10/30/91 and 11/21/91 in the Senate and in the Chamber of Deputies, respectively) – was historical reparation for those who were detained during the last military government (specifically during the state of siege imposed from November 6, 1974 to December 10, 1983). The Executive’s aim is ‘… </w:t>
      </w:r>
      <w:r w:rsidRPr="002A2289">
        <w:rPr>
          <w:rFonts w:asciiTheme="majorHAnsi" w:hAnsiTheme="majorHAnsi" w:cs="Times New Roman"/>
          <w:i/>
          <w:sz w:val="16"/>
          <w:szCs w:val="16"/>
        </w:rPr>
        <w:t>to offer an equitable solution to cases in which the strict and objective application of laws leads to non-equitable outcomes</w:t>
      </w:r>
      <w:r w:rsidRPr="002A2289">
        <w:rPr>
          <w:rFonts w:asciiTheme="majorHAnsi" w:hAnsiTheme="majorHAnsi" w:cs="Times New Roman"/>
          <w:sz w:val="16"/>
          <w:szCs w:val="16"/>
        </w:rPr>
        <w:t>’ (pursuant to the ‘whereas clauses’ of Decree 70/91 of [the Executive]), as stated by the State to the [IACHR].”</w:t>
      </w:r>
    </w:p>
  </w:footnote>
  <w:footnote w:id="30">
    <w:p w14:paraId="1BAEBE6D" w14:textId="70EAEF5E"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3</w:t>
      </w:r>
      <w:r w:rsidRPr="002A2289">
        <w:rPr>
          <w:rFonts w:asciiTheme="majorHAnsi" w:hAnsiTheme="majorHAnsi" w:cs="Times New Roman"/>
          <w:sz w:val="16"/>
          <w:szCs w:val="16"/>
        </w:rPr>
        <w:t>. Written appeal to CNACAF. Annex to the initial petition.</w:t>
      </w:r>
    </w:p>
  </w:footnote>
  <w:footnote w:id="31">
    <w:p w14:paraId="19CC0B68" w14:textId="64129F8B"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4</w:t>
      </w:r>
      <w:r w:rsidRPr="002A2289">
        <w:rPr>
          <w:rFonts w:asciiTheme="majorHAnsi" w:hAnsiTheme="majorHAnsi" w:cs="Times New Roman"/>
          <w:sz w:val="16"/>
          <w:szCs w:val="16"/>
        </w:rPr>
        <w:t>. CNACAF Decision (March 25, 1999). Annex to the initial petition.</w:t>
      </w:r>
    </w:p>
  </w:footnote>
  <w:footnote w:id="32">
    <w:p w14:paraId="43DE43E9"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Idem.</w:t>
      </w:r>
    </w:p>
  </w:footnote>
  <w:footnote w:id="33">
    <w:p w14:paraId="40E02526" w14:textId="6B25AB26"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4</w:t>
      </w:r>
      <w:r w:rsidRPr="002A2289">
        <w:rPr>
          <w:rFonts w:asciiTheme="majorHAnsi" w:hAnsiTheme="majorHAnsi" w:cs="Times New Roman"/>
          <w:sz w:val="16"/>
          <w:szCs w:val="16"/>
        </w:rPr>
        <w:t>. CNACAF Decision (March 25, 1999). Annex to the initial petition.</w:t>
      </w:r>
    </w:p>
  </w:footnote>
  <w:footnote w:id="34">
    <w:p w14:paraId="71FE0508" w14:textId="3C8EC60B"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4</w:t>
      </w:r>
      <w:r w:rsidRPr="002A2289">
        <w:rPr>
          <w:rFonts w:asciiTheme="majorHAnsi" w:hAnsiTheme="majorHAnsi" w:cs="Times New Roman"/>
          <w:sz w:val="16"/>
          <w:szCs w:val="16"/>
        </w:rPr>
        <w:t>. CNACAF Decision (March 25, 1999). Annex to the initial petition.</w:t>
      </w:r>
    </w:p>
  </w:footnote>
  <w:footnote w:id="35">
    <w:p w14:paraId="39140921" w14:textId="429B730C"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5</w:t>
      </w:r>
      <w:r w:rsidRPr="002A2289">
        <w:rPr>
          <w:rFonts w:asciiTheme="majorHAnsi" w:hAnsiTheme="majorHAnsi" w:cs="Times New Roman"/>
          <w:sz w:val="16"/>
          <w:szCs w:val="16"/>
        </w:rPr>
        <w:t>. Special notice of appeal (April 22, 1999). Annex to the initial petition.</w:t>
      </w:r>
    </w:p>
  </w:footnote>
  <w:footnote w:id="36">
    <w:p w14:paraId="50AF0F54" w14:textId="77C5BD4B"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5</w:t>
      </w:r>
      <w:r w:rsidRPr="002A2289">
        <w:rPr>
          <w:rFonts w:asciiTheme="majorHAnsi" w:hAnsiTheme="majorHAnsi" w:cs="Times New Roman"/>
          <w:sz w:val="16"/>
          <w:szCs w:val="16"/>
        </w:rPr>
        <w:t>. Special notice of appeal (April 22, 1999). Annex to the initial petition.</w:t>
      </w:r>
    </w:p>
  </w:footnote>
  <w:footnote w:id="37">
    <w:p w14:paraId="66EBE946" w14:textId="14070F7F"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lang w:val="es-US"/>
        </w:rPr>
        <w:t xml:space="preserve"> </w:t>
      </w:r>
      <w:proofErr w:type="spellStart"/>
      <w:r w:rsidRPr="002A2289">
        <w:rPr>
          <w:rFonts w:asciiTheme="majorHAnsi" w:hAnsiTheme="majorHAnsi" w:cs="Times New Roman"/>
          <w:sz w:val="16"/>
          <w:szCs w:val="16"/>
          <w:lang w:val="es-US"/>
        </w:rPr>
        <w:t>Annex</w:t>
      </w:r>
      <w:proofErr w:type="spellEnd"/>
      <w:r w:rsidRPr="002A2289">
        <w:rPr>
          <w:rFonts w:asciiTheme="majorHAnsi" w:hAnsiTheme="majorHAnsi" w:cs="Times New Roman"/>
          <w:sz w:val="16"/>
          <w:szCs w:val="16"/>
          <w:lang w:val="es-US"/>
        </w:rPr>
        <w:t xml:space="preserve"> </w:t>
      </w:r>
      <w:r w:rsidR="00D35F26">
        <w:rPr>
          <w:rFonts w:asciiTheme="majorHAnsi" w:hAnsiTheme="majorHAnsi" w:cs="Times New Roman"/>
          <w:sz w:val="16"/>
          <w:szCs w:val="16"/>
          <w:lang w:val="es-US"/>
        </w:rPr>
        <w:t>6</w:t>
      </w:r>
      <w:r w:rsidRPr="002A2289">
        <w:rPr>
          <w:rFonts w:asciiTheme="majorHAnsi" w:hAnsiTheme="majorHAnsi" w:cs="Times New Roman"/>
          <w:sz w:val="16"/>
          <w:szCs w:val="16"/>
          <w:lang w:val="es-US"/>
        </w:rPr>
        <w:t>. CSJN, “</w:t>
      </w:r>
      <w:r w:rsidRPr="002A2289">
        <w:rPr>
          <w:rFonts w:asciiTheme="majorHAnsi" w:hAnsiTheme="majorHAnsi" w:cs="Times New Roman"/>
          <w:i/>
          <w:sz w:val="16"/>
          <w:szCs w:val="16"/>
          <w:lang w:val="es-US"/>
        </w:rPr>
        <w:t xml:space="preserve">NORO, Horacio José </w:t>
      </w:r>
      <w:r w:rsidRPr="002A2289">
        <w:rPr>
          <w:rFonts w:asciiTheme="majorHAnsi" w:hAnsiTheme="majorHAnsi" w:cs="Times New Roman"/>
          <w:i/>
          <w:color w:val="auto"/>
          <w:sz w:val="16"/>
          <w:szCs w:val="16"/>
          <w:lang w:val="es-US"/>
        </w:rPr>
        <w:t>c/Ministerio del Interior art. 3 – Ley 24,043</w:t>
      </w:r>
      <w:r w:rsidRPr="002A2289">
        <w:rPr>
          <w:rFonts w:asciiTheme="majorHAnsi" w:hAnsiTheme="majorHAnsi" w:cs="Times New Roman"/>
          <w:color w:val="auto"/>
          <w:sz w:val="16"/>
          <w:szCs w:val="16"/>
          <w:lang w:val="es-US"/>
        </w:rPr>
        <w:t>” (</w:t>
      </w:r>
      <w:proofErr w:type="spellStart"/>
      <w:r w:rsidRPr="002A2289">
        <w:rPr>
          <w:rFonts w:asciiTheme="majorHAnsi" w:hAnsiTheme="majorHAnsi" w:cs="Times New Roman"/>
          <w:color w:val="auto"/>
          <w:sz w:val="16"/>
          <w:szCs w:val="16"/>
          <w:lang w:val="es-US"/>
        </w:rPr>
        <w:t>July</w:t>
      </w:r>
      <w:proofErr w:type="spellEnd"/>
      <w:r w:rsidRPr="002A2289">
        <w:rPr>
          <w:rFonts w:asciiTheme="majorHAnsi" w:hAnsiTheme="majorHAnsi" w:cs="Times New Roman"/>
          <w:color w:val="auto"/>
          <w:sz w:val="16"/>
          <w:szCs w:val="16"/>
          <w:lang w:val="es-US"/>
        </w:rPr>
        <w:t xml:space="preserve"> 15, 1997). </w:t>
      </w:r>
      <w:r w:rsidRPr="002A2289">
        <w:rPr>
          <w:rFonts w:asciiTheme="majorHAnsi" w:hAnsiTheme="majorHAnsi" w:cs="Times New Roman"/>
          <w:color w:val="auto"/>
          <w:sz w:val="16"/>
          <w:szCs w:val="16"/>
        </w:rPr>
        <w:t xml:space="preserve">Annex to the initial petition. </w:t>
      </w:r>
    </w:p>
  </w:footnote>
  <w:footnote w:id="38">
    <w:p w14:paraId="03610185" w14:textId="4FB9E44A"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6</w:t>
      </w:r>
      <w:r w:rsidRPr="002A2289">
        <w:rPr>
          <w:rFonts w:asciiTheme="majorHAnsi" w:hAnsiTheme="majorHAnsi" w:cs="Times New Roman"/>
          <w:sz w:val="16"/>
          <w:szCs w:val="16"/>
        </w:rPr>
        <w:t>. CSJN, “</w:t>
      </w:r>
      <w:r w:rsidRPr="002A2289">
        <w:rPr>
          <w:rFonts w:asciiTheme="majorHAnsi" w:hAnsiTheme="majorHAnsi" w:cs="Times New Roman"/>
          <w:i/>
          <w:sz w:val="16"/>
          <w:szCs w:val="16"/>
        </w:rPr>
        <w:t>NORO,</w:t>
      </w:r>
      <w:r w:rsidRPr="002A2289">
        <w:rPr>
          <w:rFonts w:asciiTheme="majorHAnsi" w:hAnsiTheme="majorHAnsi" w:cs="Times New Roman"/>
          <w:sz w:val="16"/>
          <w:szCs w:val="16"/>
        </w:rPr>
        <w:t xml:space="preserve"> </w:t>
      </w:r>
      <w:r w:rsidRPr="002A2289">
        <w:rPr>
          <w:rFonts w:asciiTheme="majorHAnsi" w:hAnsiTheme="majorHAnsi" w:cs="Times New Roman"/>
          <w:i/>
          <w:sz w:val="16"/>
          <w:szCs w:val="16"/>
        </w:rPr>
        <w:t xml:space="preserve">Horacio José </w:t>
      </w:r>
      <w:r w:rsidRPr="002A2289">
        <w:rPr>
          <w:rFonts w:asciiTheme="majorHAnsi" w:hAnsiTheme="majorHAnsi" w:cs="Times New Roman"/>
          <w:i/>
          <w:color w:val="auto"/>
          <w:sz w:val="16"/>
          <w:szCs w:val="16"/>
        </w:rPr>
        <w:t>c/Ministerio del Interior art. 3 – Ley 24,043</w:t>
      </w:r>
      <w:r w:rsidRPr="002A2289">
        <w:rPr>
          <w:rFonts w:asciiTheme="majorHAnsi" w:hAnsiTheme="majorHAnsi" w:cs="Times New Roman"/>
          <w:color w:val="auto"/>
          <w:sz w:val="16"/>
          <w:szCs w:val="16"/>
        </w:rPr>
        <w:t>” (July 15, 1997)</w:t>
      </w:r>
      <w:r w:rsidRPr="002A2289">
        <w:rPr>
          <w:rFonts w:asciiTheme="majorHAnsi" w:hAnsiTheme="majorHAnsi" w:cs="Times New Roman"/>
          <w:sz w:val="16"/>
          <w:szCs w:val="16"/>
        </w:rPr>
        <w:t xml:space="preserve">; cited in Annex XX. Special notice of appeal (April 22, 1999). Annex to the initial petition. </w:t>
      </w:r>
    </w:p>
  </w:footnote>
  <w:footnote w:id="39">
    <w:p w14:paraId="3B83EBB0"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State’s brief on the merits.</w:t>
      </w:r>
    </w:p>
  </w:footnote>
  <w:footnote w:id="40">
    <w:p w14:paraId="4EF58465"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State’s brief on the merits.</w:t>
      </w:r>
    </w:p>
  </w:footnote>
  <w:footnote w:id="41">
    <w:p w14:paraId="3BE4FF24"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State’s brief on the merits.</w:t>
      </w:r>
    </w:p>
  </w:footnote>
  <w:footnote w:id="42">
    <w:p w14:paraId="5B1CE9DC" w14:textId="7396DB62"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The cases are </w:t>
      </w:r>
      <w:r w:rsidRPr="002A2289">
        <w:rPr>
          <w:rFonts w:asciiTheme="majorHAnsi" w:hAnsiTheme="majorHAnsi" w:cs="Times New Roman"/>
          <w:i/>
          <w:sz w:val="16"/>
          <w:szCs w:val="16"/>
        </w:rPr>
        <w:t>Bufano</w:t>
      </w:r>
      <w:r w:rsidRPr="002A2289">
        <w:rPr>
          <w:rFonts w:asciiTheme="majorHAnsi" w:hAnsiTheme="majorHAnsi" w:cs="Times New Roman"/>
          <w:sz w:val="16"/>
          <w:szCs w:val="16"/>
        </w:rPr>
        <w:t xml:space="preserve">, </w:t>
      </w:r>
      <w:r w:rsidRPr="002A2289">
        <w:rPr>
          <w:rFonts w:asciiTheme="majorHAnsi" w:hAnsiTheme="majorHAnsi" w:cs="Times New Roman"/>
          <w:i/>
          <w:sz w:val="16"/>
          <w:szCs w:val="16"/>
        </w:rPr>
        <w:t>Arrastia</w:t>
      </w:r>
      <w:r w:rsidRPr="002A2289">
        <w:rPr>
          <w:rFonts w:asciiTheme="majorHAnsi" w:hAnsiTheme="majorHAnsi" w:cs="Times New Roman"/>
          <w:sz w:val="16"/>
          <w:szCs w:val="16"/>
        </w:rPr>
        <w:t xml:space="preserve">, </w:t>
      </w:r>
      <w:r w:rsidRPr="002A2289">
        <w:rPr>
          <w:rFonts w:asciiTheme="majorHAnsi" w:hAnsiTheme="majorHAnsi" w:cs="Times New Roman"/>
          <w:i/>
          <w:sz w:val="16"/>
          <w:szCs w:val="16"/>
        </w:rPr>
        <w:t>and</w:t>
      </w:r>
      <w:r w:rsidRPr="002A2289">
        <w:rPr>
          <w:rFonts w:asciiTheme="majorHAnsi" w:hAnsiTheme="majorHAnsi" w:cs="Times New Roman"/>
          <w:sz w:val="16"/>
          <w:szCs w:val="16"/>
        </w:rPr>
        <w:t xml:space="preserve"> </w:t>
      </w:r>
      <w:r w:rsidRPr="002A2289">
        <w:rPr>
          <w:rFonts w:asciiTheme="majorHAnsi" w:hAnsiTheme="majorHAnsi" w:cs="Times New Roman"/>
          <w:i/>
          <w:sz w:val="16"/>
          <w:szCs w:val="16"/>
        </w:rPr>
        <w:t>Quiroga</w:t>
      </w:r>
      <w:r w:rsidRPr="002A2289">
        <w:rPr>
          <w:rFonts w:asciiTheme="majorHAnsi" w:hAnsiTheme="majorHAnsi" w:cs="Times New Roman"/>
          <w:sz w:val="16"/>
          <w:szCs w:val="16"/>
        </w:rPr>
        <w:t>, cited in Annex XX. Special notice of appeal (April 22, 1999). Annex to the initial petition. In the “</w:t>
      </w:r>
      <w:r w:rsidRPr="002A2289">
        <w:rPr>
          <w:rFonts w:asciiTheme="majorHAnsi" w:hAnsiTheme="majorHAnsi" w:cs="Times New Roman"/>
          <w:i/>
          <w:sz w:val="16"/>
          <w:szCs w:val="16"/>
        </w:rPr>
        <w:t>BUFANO, Alfredo</w:t>
      </w:r>
      <w:r w:rsidRPr="002A2289">
        <w:rPr>
          <w:rFonts w:asciiTheme="majorHAnsi" w:hAnsiTheme="majorHAnsi" w:cs="Times New Roman"/>
          <w:sz w:val="16"/>
          <w:szCs w:val="16"/>
        </w:rPr>
        <w:t xml:space="preserve">” case (CNACAF, 1998), the court held that “the refusal to address situations similar to the appellant’s [who had escaped the day after being arrested, thereby avoiding being murdered—which is what happened to the friend with whom he was kidnapped—ending up in Mexico where he currently lives in exile] under the same terms as the situations of those who were only able to return to the country once the state of siege had ended with nothing more than a formal action issued by [the Executive], would mean a break with the equal treatment the victims or their rights-holders deserve given the similar circumstances.” </w:t>
      </w:r>
      <w:r w:rsidRPr="002A2289">
        <w:rPr>
          <w:rFonts w:asciiTheme="majorHAnsi" w:hAnsiTheme="majorHAnsi" w:cs="Times New Roman"/>
          <w:i/>
          <w:sz w:val="16"/>
          <w:szCs w:val="16"/>
        </w:rPr>
        <w:t xml:space="preserve">See </w:t>
      </w:r>
      <w:r w:rsidRPr="002A2289">
        <w:rPr>
          <w:rFonts w:asciiTheme="majorHAnsi" w:hAnsiTheme="majorHAnsi" w:cs="Times New Roman"/>
          <w:sz w:val="16"/>
          <w:szCs w:val="16"/>
        </w:rPr>
        <w:t xml:space="preserve">Annex XX. Decision in the </w:t>
      </w:r>
      <w:r w:rsidRPr="002A2289">
        <w:rPr>
          <w:rFonts w:asciiTheme="majorHAnsi" w:hAnsiTheme="majorHAnsi" w:cs="Times New Roman"/>
          <w:i/>
          <w:sz w:val="16"/>
          <w:szCs w:val="16"/>
        </w:rPr>
        <w:t>Bufano</w:t>
      </w:r>
      <w:r w:rsidRPr="002A2289">
        <w:rPr>
          <w:rFonts w:asciiTheme="majorHAnsi" w:hAnsiTheme="majorHAnsi" w:cs="Times New Roman"/>
          <w:sz w:val="16"/>
          <w:szCs w:val="16"/>
        </w:rPr>
        <w:t xml:space="preserve"> case. Annex to the initial petition.</w:t>
      </w:r>
    </w:p>
    <w:p w14:paraId="7F447855" w14:textId="0882D7A6" w:rsidR="00E730C9" w:rsidRPr="002A2289" w:rsidRDefault="00E730C9" w:rsidP="004A16CA">
      <w:pPr>
        <w:pStyle w:val="FootnoteText"/>
        <w:ind w:firstLine="360"/>
        <w:jc w:val="both"/>
        <w:rPr>
          <w:rFonts w:asciiTheme="majorHAnsi" w:hAnsiTheme="majorHAnsi" w:cs="Times New Roman"/>
          <w:sz w:val="16"/>
          <w:szCs w:val="16"/>
        </w:rPr>
      </w:pPr>
      <w:r w:rsidRPr="002A2289">
        <w:rPr>
          <w:rFonts w:asciiTheme="majorHAnsi" w:hAnsiTheme="majorHAnsi" w:cs="Times New Roman"/>
          <w:sz w:val="16"/>
          <w:szCs w:val="16"/>
        </w:rPr>
        <w:t>The “</w:t>
      </w:r>
      <w:r w:rsidRPr="002A2289">
        <w:rPr>
          <w:rFonts w:asciiTheme="majorHAnsi" w:hAnsiTheme="majorHAnsi" w:cs="Times New Roman"/>
          <w:i/>
          <w:sz w:val="16"/>
          <w:szCs w:val="16"/>
        </w:rPr>
        <w:t>ARRASTIA MENDOZA, Ana María</w:t>
      </w:r>
      <w:r w:rsidRPr="002A2289">
        <w:rPr>
          <w:rFonts w:asciiTheme="majorHAnsi" w:hAnsiTheme="majorHAnsi" w:cs="Times New Roman"/>
          <w:sz w:val="16"/>
          <w:szCs w:val="16"/>
        </w:rPr>
        <w:t xml:space="preserve">” case (CNACAF, 1997) has to do with a person forced to flee the country and who, when the case was resolved, was still in exile, though lacked an order from the Executive to this effect; this case, in turn, cites the evidence from </w:t>
      </w:r>
      <w:r w:rsidRPr="002A2289">
        <w:rPr>
          <w:rFonts w:asciiTheme="majorHAnsi" w:hAnsiTheme="majorHAnsi" w:cs="Times New Roman"/>
          <w:i/>
          <w:sz w:val="16"/>
          <w:szCs w:val="16"/>
        </w:rPr>
        <w:t xml:space="preserve">Bufano </w:t>
      </w:r>
      <w:r w:rsidRPr="002A2289">
        <w:rPr>
          <w:rFonts w:asciiTheme="majorHAnsi" w:hAnsiTheme="majorHAnsi" w:cs="Times New Roman"/>
          <w:sz w:val="16"/>
          <w:szCs w:val="16"/>
        </w:rPr>
        <w:t xml:space="preserve">and </w:t>
      </w:r>
      <w:r w:rsidRPr="002A2289">
        <w:rPr>
          <w:rFonts w:asciiTheme="majorHAnsi" w:hAnsiTheme="majorHAnsi" w:cs="Times New Roman"/>
          <w:i/>
          <w:sz w:val="16"/>
          <w:szCs w:val="16"/>
        </w:rPr>
        <w:t>Noro</w:t>
      </w:r>
      <w:r w:rsidRPr="002A2289">
        <w:rPr>
          <w:rFonts w:asciiTheme="majorHAnsi" w:hAnsiTheme="majorHAnsi" w:cs="Times New Roman"/>
          <w:sz w:val="16"/>
          <w:szCs w:val="16"/>
        </w:rPr>
        <w:t>.</w:t>
      </w:r>
      <w:r w:rsidRPr="002A2289">
        <w:rPr>
          <w:rFonts w:asciiTheme="majorHAnsi" w:hAnsiTheme="majorHAnsi" w:cs="Times New Roman"/>
          <w:i/>
          <w:sz w:val="16"/>
          <w:szCs w:val="16"/>
        </w:rPr>
        <w:t xml:space="preserve"> See </w:t>
      </w:r>
      <w:r w:rsidRPr="002A2289">
        <w:rPr>
          <w:rFonts w:asciiTheme="majorHAnsi" w:hAnsiTheme="majorHAnsi" w:cs="Times New Roman"/>
          <w:sz w:val="16"/>
          <w:szCs w:val="16"/>
        </w:rPr>
        <w:t>Annex XX. Decision on the Arrastía Mendoza case. Annex to the initial petition.</w:t>
      </w:r>
    </w:p>
    <w:p w14:paraId="00C945CD" w14:textId="376DC9A5" w:rsidR="00E730C9" w:rsidRPr="002A2289" w:rsidRDefault="00E730C9" w:rsidP="004A16CA">
      <w:pPr>
        <w:pStyle w:val="FootnoteText"/>
        <w:ind w:firstLine="360"/>
        <w:jc w:val="both"/>
        <w:rPr>
          <w:rFonts w:asciiTheme="majorHAnsi" w:hAnsiTheme="majorHAnsi" w:cs="Times New Roman"/>
          <w:sz w:val="16"/>
          <w:szCs w:val="16"/>
        </w:rPr>
      </w:pPr>
      <w:r w:rsidRPr="002A2289">
        <w:rPr>
          <w:rFonts w:asciiTheme="majorHAnsi" w:hAnsiTheme="majorHAnsi" w:cs="Times New Roman"/>
          <w:sz w:val="16"/>
          <w:szCs w:val="16"/>
        </w:rPr>
        <w:t>Lastly, the “</w:t>
      </w:r>
      <w:r w:rsidRPr="002A2289">
        <w:rPr>
          <w:rFonts w:asciiTheme="majorHAnsi" w:hAnsiTheme="majorHAnsi" w:cs="Times New Roman"/>
          <w:i/>
          <w:sz w:val="16"/>
          <w:szCs w:val="16"/>
        </w:rPr>
        <w:t>QUIROGA, Rosario Evangelina</w:t>
      </w:r>
      <w:r w:rsidRPr="002A2289">
        <w:rPr>
          <w:rFonts w:asciiTheme="majorHAnsi" w:hAnsiTheme="majorHAnsi" w:cs="Times New Roman"/>
          <w:sz w:val="16"/>
          <w:szCs w:val="16"/>
        </w:rPr>
        <w:t xml:space="preserve">” case (CSJN, 2000) has to do with an individual who was detained for 401 days in a clandestine naval detention center and was later “expelled from the country by the Navy—which provided her with plane tickets to Venezuela—,” as confirmed in both the Naval archives and the case file. </w:t>
      </w:r>
      <w:proofErr w:type="spellStart"/>
      <w:r w:rsidRPr="002A2289">
        <w:rPr>
          <w:rFonts w:asciiTheme="majorHAnsi" w:hAnsiTheme="majorHAnsi" w:cs="Times New Roman"/>
          <w:i/>
          <w:sz w:val="16"/>
          <w:szCs w:val="16"/>
          <w:lang w:val="es-US"/>
        </w:rPr>
        <w:t>See</w:t>
      </w:r>
      <w:proofErr w:type="spellEnd"/>
      <w:r w:rsidRPr="002A2289">
        <w:rPr>
          <w:rFonts w:asciiTheme="majorHAnsi" w:hAnsiTheme="majorHAnsi" w:cs="Times New Roman"/>
          <w:i/>
          <w:sz w:val="16"/>
          <w:szCs w:val="16"/>
          <w:lang w:val="es-US"/>
        </w:rPr>
        <w:t xml:space="preserve"> </w:t>
      </w:r>
      <w:proofErr w:type="spellStart"/>
      <w:r w:rsidRPr="002A2289">
        <w:rPr>
          <w:rFonts w:asciiTheme="majorHAnsi" w:hAnsiTheme="majorHAnsi" w:cs="Times New Roman"/>
          <w:sz w:val="16"/>
          <w:szCs w:val="16"/>
          <w:lang w:val="es-US"/>
        </w:rPr>
        <w:t>Annex</w:t>
      </w:r>
      <w:proofErr w:type="spellEnd"/>
      <w:r w:rsidRPr="002A2289">
        <w:rPr>
          <w:rFonts w:asciiTheme="majorHAnsi" w:hAnsiTheme="majorHAnsi" w:cs="Times New Roman"/>
          <w:sz w:val="16"/>
          <w:szCs w:val="16"/>
          <w:lang w:val="es-US"/>
        </w:rPr>
        <w:t xml:space="preserve"> XX. CSJN, “</w:t>
      </w:r>
      <w:r w:rsidRPr="002A2289">
        <w:rPr>
          <w:rFonts w:asciiTheme="majorHAnsi" w:hAnsiTheme="majorHAnsi" w:cs="Times New Roman"/>
          <w:i/>
          <w:sz w:val="16"/>
          <w:szCs w:val="16"/>
          <w:lang w:val="es-US"/>
        </w:rPr>
        <w:t>QUIROGA, Rosario Evangelina</w:t>
      </w:r>
      <w:r w:rsidRPr="002A2289">
        <w:rPr>
          <w:rFonts w:asciiTheme="majorHAnsi" w:hAnsiTheme="majorHAnsi" w:cs="Times New Roman"/>
          <w:i/>
          <w:color w:val="auto"/>
          <w:sz w:val="16"/>
          <w:szCs w:val="16"/>
          <w:lang w:val="es-US"/>
        </w:rPr>
        <w:t xml:space="preserve"> c/Ministerio del Interior art. 3 – Ley 24.043</w:t>
      </w:r>
      <w:r w:rsidRPr="002A2289">
        <w:rPr>
          <w:rFonts w:asciiTheme="majorHAnsi" w:hAnsiTheme="majorHAnsi" w:cs="Times New Roman"/>
          <w:color w:val="auto"/>
          <w:sz w:val="16"/>
          <w:szCs w:val="16"/>
          <w:lang w:val="es-US"/>
        </w:rPr>
        <w:t>”</w:t>
      </w:r>
      <w:r w:rsidRPr="002A2289">
        <w:rPr>
          <w:rFonts w:asciiTheme="majorHAnsi" w:hAnsiTheme="majorHAnsi" w:cs="Times New Roman"/>
          <w:sz w:val="16"/>
          <w:szCs w:val="16"/>
          <w:lang w:val="es-US"/>
        </w:rPr>
        <w:t xml:space="preserve"> (June 1, 2000). </w:t>
      </w:r>
      <w:r w:rsidRPr="002A2289">
        <w:rPr>
          <w:rFonts w:asciiTheme="majorHAnsi" w:hAnsiTheme="majorHAnsi" w:cs="Times New Roman"/>
          <w:sz w:val="16"/>
          <w:szCs w:val="16"/>
        </w:rPr>
        <w:t>Annex to the initial petition.</w:t>
      </w:r>
    </w:p>
  </w:footnote>
  <w:footnote w:id="43">
    <w:p w14:paraId="448772C2" w14:textId="715E4EEA"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7</w:t>
      </w:r>
      <w:r w:rsidRPr="002A2289">
        <w:rPr>
          <w:rFonts w:asciiTheme="majorHAnsi" w:hAnsiTheme="majorHAnsi" w:cs="Times New Roman"/>
          <w:sz w:val="16"/>
          <w:szCs w:val="16"/>
        </w:rPr>
        <w:t xml:space="preserve">. Decision in the Arrastía Mendoza case. Annex to the initial petition. </w:t>
      </w:r>
    </w:p>
  </w:footnote>
  <w:footnote w:id="44">
    <w:p w14:paraId="1B4A598B"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State’s brief on the merits.</w:t>
      </w:r>
    </w:p>
  </w:footnote>
  <w:footnote w:id="45">
    <w:p w14:paraId="0E59D901" w14:textId="6EB8C225"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8</w:t>
      </w:r>
      <w:r w:rsidRPr="002A2289">
        <w:rPr>
          <w:rFonts w:asciiTheme="majorHAnsi" w:hAnsiTheme="majorHAnsi" w:cs="Times New Roman"/>
          <w:sz w:val="16"/>
          <w:szCs w:val="16"/>
        </w:rPr>
        <w:t>. CNACAF Decision (June 8, 1999). Annex to the initial petition.</w:t>
      </w:r>
    </w:p>
  </w:footnote>
  <w:footnote w:id="46">
    <w:p w14:paraId="27E6B4FC" w14:textId="4130F1C4"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9</w:t>
      </w:r>
      <w:r w:rsidRPr="002A2289">
        <w:rPr>
          <w:rFonts w:asciiTheme="majorHAnsi" w:hAnsiTheme="majorHAnsi" w:cs="Times New Roman"/>
          <w:sz w:val="16"/>
          <w:szCs w:val="16"/>
        </w:rPr>
        <w:t>. Complaint appeal brief (July 7, 1999). Annex to the initial petition.</w:t>
      </w:r>
    </w:p>
  </w:footnote>
  <w:footnote w:id="47">
    <w:p w14:paraId="58B9F52C" w14:textId="571188BF"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10</w:t>
      </w:r>
      <w:r w:rsidRPr="002A2289">
        <w:rPr>
          <w:rFonts w:asciiTheme="majorHAnsi" w:hAnsiTheme="majorHAnsi" w:cs="Times New Roman"/>
          <w:sz w:val="16"/>
          <w:szCs w:val="16"/>
        </w:rPr>
        <w:t xml:space="preserve">. Decision of the CSJN (December 2, 1999). Annex to the initial petition. </w:t>
      </w:r>
    </w:p>
  </w:footnote>
  <w:footnote w:id="48">
    <w:p w14:paraId="70FF79B7" w14:textId="00C4EF8D" w:rsidR="00E730C9" w:rsidRPr="002A2289" w:rsidRDefault="00E730C9" w:rsidP="004A16CA">
      <w:pPr>
        <w:pStyle w:val="FootnoteText"/>
        <w:jc w:val="both"/>
        <w:rPr>
          <w:rFonts w:asciiTheme="majorHAnsi" w:hAnsiTheme="majorHAnsi" w:cs="Times New Roman"/>
          <w:i/>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11</w:t>
      </w:r>
      <w:r w:rsidRPr="002A2289">
        <w:rPr>
          <w:rFonts w:asciiTheme="majorHAnsi" w:hAnsiTheme="majorHAnsi" w:cs="Times New Roman"/>
          <w:sz w:val="16"/>
          <w:szCs w:val="16"/>
        </w:rPr>
        <w:t>. CNACAF, “</w:t>
      </w:r>
      <w:r w:rsidRPr="002A2289">
        <w:rPr>
          <w:rFonts w:asciiTheme="majorHAnsi" w:hAnsiTheme="majorHAnsi" w:cs="Times New Roman"/>
          <w:i/>
          <w:sz w:val="16"/>
          <w:szCs w:val="16"/>
        </w:rPr>
        <w:t xml:space="preserve">ROBASTO, Jorge Enrique c/ Ministerio </w:t>
      </w:r>
      <w:proofErr w:type="gramStart"/>
      <w:r w:rsidRPr="002A2289">
        <w:rPr>
          <w:rFonts w:asciiTheme="majorHAnsi" w:hAnsiTheme="majorHAnsi" w:cs="Times New Roman"/>
          <w:i/>
          <w:sz w:val="16"/>
          <w:szCs w:val="16"/>
        </w:rPr>
        <w:t>del</w:t>
      </w:r>
      <w:proofErr w:type="gramEnd"/>
      <w:r w:rsidRPr="002A2289">
        <w:rPr>
          <w:rFonts w:asciiTheme="majorHAnsi" w:hAnsiTheme="majorHAnsi" w:cs="Times New Roman"/>
          <w:i/>
          <w:sz w:val="16"/>
          <w:szCs w:val="16"/>
        </w:rPr>
        <w:t xml:space="preserve"> Interior art. </w:t>
      </w:r>
      <w:r w:rsidRPr="002A2289">
        <w:rPr>
          <w:rFonts w:asciiTheme="majorHAnsi" w:hAnsiTheme="majorHAnsi" w:cs="Times New Roman"/>
          <w:i/>
          <w:color w:val="auto"/>
          <w:sz w:val="16"/>
          <w:szCs w:val="16"/>
        </w:rPr>
        <w:t>3 – Ley 24.043</w:t>
      </w:r>
      <w:r w:rsidRPr="002A2289">
        <w:rPr>
          <w:rFonts w:asciiTheme="majorHAnsi" w:hAnsiTheme="majorHAnsi" w:cs="Times New Roman"/>
          <w:color w:val="auto"/>
          <w:sz w:val="16"/>
          <w:szCs w:val="16"/>
        </w:rPr>
        <w:t xml:space="preserve">” (November 28, 2003). Annex to the petitioner’s letter of March 1, 2004 (establishing, in keeping with </w:t>
      </w:r>
      <w:r w:rsidRPr="002A2289">
        <w:rPr>
          <w:rFonts w:asciiTheme="majorHAnsi" w:hAnsiTheme="majorHAnsi" w:cs="Times New Roman"/>
          <w:i/>
          <w:color w:val="auto"/>
          <w:sz w:val="16"/>
          <w:szCs w:val="16"/>
        </w:rPr>
        <w:t>Noro</w:t>
      </w:r>
      <w:r w:rsidRPr="002A2289">
        <w:rPr>
          <w:rFonts w:asciiTheme="majorHAnsi" w:hAnsiTheme="majorHAnsi" w:cs="Times New Roman"/>
          <w:color w:val="auto"/>
          <w:sz w:val="16"/>
          <w:szCs w:val="16"/>
        </w:rPr>
        <w:t>, that “for reasons of fairness and justice, it is fitting to include under the construct of “release under surveillance,” both the cases that were in line with the government regulations themselves, as well as those others in which the person was subject to a situation of control and powerlessness without guarantees—or without full enjoyment of guarantees-verifiable in the facts, that represented a comparable impairment of their liberty.”)</w:t>
      </w:r>
    </w:p>
  </w:footnote>
  <w:footnote w:id="49">
    <w:p w14:paraId="13ED4E6E" w14:textId="0E4E607E"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D35F26">
        <w:rPr>
          <w:rFonts w:asciiTheme="majorHAnsi" w:hAnsiTheme="majorHAnsi" w:cs="Times New Roman"/>
          <w:sz w:val="16"/>
          <w:szCs w:val="16"/>
        </w:rPr>
        <w:t>11</w:t>
      </w:r>
      <w:r w:rsidRPr="002A2289">
        <w:rPr>
          <w:rFonts w:asciiTheme="majorHAnsi" w:hAnsiTheme="majorHAnsi" w:cs="Times New Roman"/>
          <w:sz w:val="16"/>
          <w:szCs w:val="16"/>
        </w:rPr>
        <w:t>. CNACAF, “</w:t>
      </w:r>
      <w:r w:rsidRPr="002A2289">
        <w:rPr>
          <w:rFonts w:asciiTheme="majorHAnsi" w:hAnsiTheme="majorHAnsi" w:cs="Times New Roman"/>
          <w:i/>
          <w:sz w:val="16"/>
          <w:szCs w:val="16"/>
        </w:rPr>
        <w:t xml:space="preserve">ROBASTO, Jorge Enrique c/ Ministerio </w:t>
      </w:r>
      <w:proofErr w:type="gramStart"/>
      <w:r w:rsidRPr="002A2289">
        <w:rPr>
          <w:rFonts w:asciiTheme="majorHAnsi" w:hAnsiTheme="majorHAnsi" w:cs="Times New Roman"/>
          <w:i/>
          <w:sz w:val="16"/>
          <w:szCs w:val="16"/>
        </w:rPr>
        <w:t>del</w:t>
      </w:r>
      <w:proofErr w:type="gramEnd"/>
      <w:r w:rsidRPr="002A2289">
        <w:rPr>
          <w:rFonts w:asciiTheme="majorHAnsi" w:hAnsiTheme="majorHAnsi" w:cs="Times New Roman"/>
          <w:i/>
          <w:sz w:val="16"/>
          <w:szCs w:val="16"/>
        </w:rPr>
        <w:t xml:space="preserve"> Interior art. </w:t>
      </w:r>
      <w:r w:rsidRPr="002A2289">
        <w:rPr>
          <w:rFonts w:asciiTheme="majorHAnsi" w:hAnsiTheme="majorHAnsi" w:cs="Times New Roman"/>
          <w:i/>
          <w:color w:val="auto"/>
          <w:sz w:val="16"/>
          <w:szCs w:val="16"/>
        </w:rPr>
        <w:t>3 – Ley 24.043</w:t>
      </w:r>
      <w:r w:rsidRPr="002A2289">
        <w:rPr>
          <w:rFonts w:asciiTheme="majorHAnsi" w:hAnsiTheme="majorHAnsi" w:cs="Times New Roman"/>
          <w:color w:val="auto"/>
          <w:sz w:val="16"/>
          <w:szCs w:val="16"/>
        </w:rPr>
        <w:t>” (November 28, 2003). Annex to the petitioner’s letter of March 1, 2004.</w:t>
      </w:r>
    </w:p>
  </w:footnote>
  <w:footnote w:id="50">
    <w:p w14:paraId="11E689A3" w14:textId="7D04E9AD"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The State’s brief on the merits (citing, in the last part, CNACAF’s judgment in Robasto). </w:t>
      </w:r>
    </w:p>
  </w:footnote>
  <w:footnote w:id="51">
    <w:p w14:paraId="543AE41E"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The State’s brief on the merits.</w:t>
      </w:r>
    </w:p>
  </w:footnote>
  <w:footnote w:id="52">
    <w:p w14:paraId="56666BCC"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The State’s brief on the merits, June 19, 2017.</w:t>
      </w:r>
    </w:p>
  </w:footnote>
  <w:footnote w:id="53">
    <w:p w14:paraId="32426074"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The State’s brief on the merits, June 19, 2017.</w:t>
      </w:r>
    </w:p>
  </w:footnote>
  <w:footnote w:id="54">
    <w:p w14:paraId="377B18D5"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XX. Ministry of Justice, Decision regarding Claudia Graciela Esteves (May 22, 2015). Annex to the petitioner’s letter dated April 1, 2016.</w:t>
      </w:r>
    </w:p>
  </w:footnote>
  <w:footnote w:id="55">
    <w:p w14:paraId="0874834A"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Idem.</w:t>
      </w:r>
    </w:p>
  </w:footnote>
  <w:footnote w:id="56">
    <w:p w14:paraId="78DD7489" w14:textId="0459BB46"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Article 24 provides that: “All persons are equal before the law. Consequently, they are entitled, without discrimination, to equal protection of the law.”</w:t>
      </w:r>
    </w:p>
  </w:footnote>
  <w:footnote w:id="57">
    <w:p w14:paraId="62CCB6FC" w14:textId="11C42955"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Article 8</w:t>
      </w:r>
      <w:r w:rsidR="00010161">
        <w:rPr>
          <w:rFonts w:asciiTheme="majorHAnsi" w:hAnsiTheme="majorHAnsi" w:cs="Times New Roman"/>
          <w:sz w:val="16"/>
          <w:szCs w:val="16"/>
        </w:rPr>
        <w:t>.</w:t>
      </w:r>
      <w:r w:rsidRPr="002A2289">
        <w:rPr>
          <w:rFonts w:asciiTheme="majorHAnsi" w:hAnsiTheme="majorHAnsi" w:cs="Times New Roman"/>
          <w:sz w:val="16"/>
          <w:szCs w:val="16"/>
        </w:rPr>
        <w:t>1 provides that: “Every person has the right to a hearing, with due guarantees and within a reasonable time, by a competent, independent, and impartial tribunal, previously established by law, […] for the determination of his rights and obligations of a civil, labor, fiscal, or any other nature.”</w:t>
      </w:r>
    </w:p>
  </w:footnote>
  <w:footnote w:id="58">
    <w:p w14:paraId="6294CE44" w14:textId="4FC3290B"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Article 25</w:t>
      </w:r>
      <w:r w:rsidR="00010161">
        <w:rPr>
          <w:rFonts w:asciiTheme="majorHAnsi" w:hAnsiTheme="majorHAnsi" w:cs="Times New Roman"/>
          <w:sz w:val="16"/>
          <w:szCs w:val="16"/>
        </w:rPr>
        <w:t>.</w:t>
      </w:r>
      <w:r w:rsidRPr="002A2289">
        <w:rPr>
          <w:rFonts w:asciiTheme="majorHAnsi" w:hAnsiTheme="majorHAnsi" w:cs="Times New Roman"/>
          <w:sz w:val="16"/>
          <w:szCs w:val="16"/>
        </w:rPr>
        <w:t>1 provides that: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59">
    <w:p w14:paraId="01B9F60D" w14:textId="01B9A573"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Article 1</w:t>
      </w:r>
      <w:r w:rsidR="00010161">
        <w:rPr>
          <w:rFonts w:asciiTheme="majorHAnsi" w:hAnsiTheme="majorHAnsi" w:cs="Times New Roman"/>
          <w:sz w:val="16"/>
          <w:szCs w:val="16"/>
        </w:rPr>
        <w:t>.</w:t>
      </w:r>
      <w:r w:rsidRPr="002A2289">
        <w:rPr>
          <w:rFonts w:asciiTheme="majorHAnsi" w:hAnsiTheme="majorHAnsi" w:cs="Times New Roman"/>
          <w:sz w:val="16"/>
          <w:szCs w:val="16"/>
        </w:rPr>
        <w:t>1 provides that: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60">
    <w:p w14:paraId="5621010D"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Article 2 provides that: “Where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footnote>
  <w:footnote w:id="61">
    <w:p w14:paraId="4B322FA2" w14:textId="77777777" w:rsidR="00E730C9" w:rsidRPr="002A2289" w:rsidRDefault="00E730C9" w:rsidP="004A16CA">
      <w:pPr>
        <w:jc w:val="both"/>
        <w:rPr>
          <w:rFonts w:asciiTheme="majorHAnsi" w:hAnsiTheme="majorHAnsi"/>
          <w:bCs/>
          <w:sz w:val="16"/>
          <w:szCs w:val="16"/>
        </w:rPr>
      </w:pPr>
      <w:r w:rsidRPr="002A2289">
        <w:rPr>
          <w:rStyle w:val="FootnoteReference"/>
          <w:rFonts w:asciiTheme="majorHAnsi" w:hAnsiTheme="majorHAnsi"/>
          <w:sz w:val="16"/>
          <w:szCs w:val="16"/>
        </w:rPr>
        <w:footnoteRef/>
      </w:r>
      <w:r w:rsidRPr="002A2289">
        <w:rPr>
          <w:rFonts w:asciiTheme="majorHAnsi" w:hAnsiTheme="majorHAnsi"/>
          <w:sz w:val="16"/>
          <w:szCs w:val="16"/>
        </w:rPr>
        <w:t xml:space="preserve"> I/A Court H.R.</w:t>
      </w:r>
      <w:r w:rsidRPr="002A2289">
        <w:rPr>
          <w:rStyle w:val="Strong"/>
          <w:rFonts w:asciiTheme="majorHAnsi" w:hAnsiTheme="majorHAnsi"/>
          <w:b w:val="0"/>
          <w:sz w:val="16"/>
          <w:szCs w:val="16"/>
        </w:rPr>
        <w:t xml:space="preserve"> </w:t>
      </w:r>
      <w:r w:rsidRPr="002A2289">
        <w:rPr>
          <w:rStyle w:val="Strong"/>
          <w:rFonts w:asciiTheme="majorHAnsi" w:hAnsiTheme="majorHAnsi"/>
          <w:b w:val="0"/>
          <w:i/>
          <w:sz w:val="16"/>
          <w:szCs w:val="16"/>
        </w:rPr>
        <w:t>Case of Flor Freire v. Ecuador</w:t>
      </w:r>
      <w:r w:rsidRPr="002A2289">
        <w:rPr>
          <w:rStyle w:val="Strong"/>
          <w:rFonts w:asciiTheme="majorHAnsi" w:hAnsiTheme="majorHAnsi"/>
          <w:b w:val="0"/>
          <w:sz w:val="16"/>
          <w:szCs w:val="16"/>
        </w:rPr>
        <w:t xml:space="preserve">. Preliminary Objections, Merits, Reparations, and Costs. Judgment of August 31, 2016. Series C No. 315. Paragraph 109. </w:t>
      </w:r>
    </w:p>
  </w:footnote>
  <w:footnote w:id="62">
    <w:p w14:paraId="5F5A3783"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I/A Court H.R.</w:t>
      </w:r>
      <w:r w:rsidRPr="002A2289">
        <w:rPr>
          <w:rStyle w:val="Strong"/>
          <w:rFonts w:asciiTheme="majorHAnsi" w:hAnsiTheme="majorHAnsi" w:cs="Times New Roman"/>
          <w:b w:val="0"/>
          <w:sz w:val="16"/>
          <w:szCs w:val="16"/>
        </w:rPr>
        <w:t xml:space="preserve"> </w:t>
      </w:r>
      <w:r w:rsidRPr="002A2289">
        <w:rPr>
          <w:rStyle w:val="Strong"/>
          <w:rFonts w:asciiTheme="majorHAnsi" w:hAnsiTheme="majorHAnsi" w:cs="Times New Roman"/>
          <w:b w:val="0"/>
          <w:i/>
          <w:sz w:val="16"/>
          <w:szCs w:val="16"/>
        </w:rPr>
        <w:t xml:space="preserve">Case of </w:t>
      </w:r>
      <w:r w:rsidRPr="002A2289">
        <w:rPr>
          <w:rFonts w:asciiTheme="majorHAnsi" w:eastAsia="Times New Roman" w:hAnsiTheme="majorHAnsi" w:cs="Times New Roman"/>
          <w:bCs/>
          <w:i/>
          <w:sz w:val="16"/>
          <w:szCs w:val="16"/>
        </w:rPr>
        <w:t>Furlan and Family v. Argentina</w:t>
      </w:r>
      <w:r w:rsidRPr="002A2289">
        <w:rPr>
          <w:rStyle w:val="Strong"/>
          <w:rFonts w:asciiTheme="majorHAnsi" w:hAnsiTheme="majorHAnsi" w:cs="Times New Roman"/>
          <w:b w:val="0"/>
          <w:sz w:val="16"/>
          <w:szCs w:val="16"/>
        </w:rPr>
        <w:t xml:space="preserve">. Preliminary Objections, Merits, Reparations, and Costs. Judgment of August 31, </w:t>
      </w:r>
      <w:r w:rsidRPr="002A2289">
        <w:rPr>
          <w:rFonts w:asciiTheme="majorHAnsi" w:eastAsia="Times New Roman" w:hAnsiTheme="majorHAnsi" w:cs="Times New Roman"/>
          <w:bCs/>
          <w:sz w:val="16"/>
          <w:szCs w:val="16"/>
        </w:rPr>
        <w:t>2012. Series C No. 246. Paragraph 267.</w:t>
      </w:r>
    </w:p>
  </w:footnote>
  <w:footnote w:id="63">
    <w:p w14:paraId="23107861" w14:textId="77777777" w:rsidR="00E730C9" w:rsidRPr="002A2289" w:rsidRDefault="00E730C9" w:rsidP="004A16CA">
      <w:pPr>
        <w:jc w:val="both"/>
        <w:rPr>
          <w:rFonts w:asciiTheme="majorHAnsi" w:eastAsia="Times New Roman" w:hAnsiTheme="majorHAnsi"/>
          <w:sz w:val="16"/>
          <w:szCs w:val="16"/>
        </w:rPr>
      </w:pPr>
      <w:r w:rsidRPr="002A2289">
        <w:rPr>
          <w:rStyle w:val="FootnoteReference"/>
          <w:rFonts w:asciiTheme="majorHAnsi" w:hAnsiTheme="majorHAnsi"/>
          <w:sz w:val="16"/>
          <w:szCs w:val="16"/>
        </w:rPr>
        <w:footnoteRef/>
      </w:r>
      <w:r w:rsidRPr="002A2289">
        <w:rPr>
          <w:rFonts w:asciiTheme="majorHAnsi" w:hAnsiTheme="majorHAnsi"/>
          <w:sz w:val="16"/>
          <w:szCs w:val="16"/>
        </w:rPr>
        <w:t xml:space="preserve"> I/A Court H.R. Proposed Amendments to the Naturalization Provisions of the Constitution of Costa Rica. Advisory Opinion </w:t>
      </w:r>
      <w:r w:rsidRPr="002A2289">
        <w:rPr>
          <w:rFonts w:asciiTheme="majorHAnsi" w:eastAsia="Times New Roman" w:hAnsiTheme="majorHAnsi"/>
          <w:bCs/>
          <w:sz w:val="16"/>
          <w:szCs w:val="16"/>
        </w:rPr>
        <w:t xml:space="preserve">OC-4/84 of January 19, 1984. Series </w:t>
      </w:r>
      <w:proofErr w:type="gramStart"/>
      <w:r w:rsidRPr="002A2289">
        <w:rPr>
          <w:rFonts w:asciiTheme="majorHAnsi" w:eastAsia="Times New Roman" w:hAnsiTheme="majorHAnsi"/>
          <w:bCs/>
          <w:sz w:val="16"/>
          <w:szCs w:val="16"/>
        </w:rPr>
        <w:t>A</w:t>
      </w:r>
      <w:proofErr w:type="gramEnd"/>
      <w:r w:rsidRPr="002A2289">
        <w:rPr>
          <w:rFonts w:asciiTheme="majorHAnsi" w:eastAsia="Times New Roman" w:hAnsiTheme="majorHAnsi"/>
          <w:bCs/>
          <w:sz w:val="16"/>
          <w:szCs w:val="16"/>
        </w:rPr>
        <w:t xml:space="preserve"> No. 4. Paragraphs 55 and 56. Paragraph 56 makes reference to </w:t>
      </w:r>
      <w:r w:rsidRPr="002A2289">
        <w:rPr>
          <w:rFonts w:asciiTheme="majorHAnsi" w:hAnsiTheme="majorHAnsi"/>
          <w:sz w:val="16"/>
          <w:szCs w:val="16"/>
        </w:rPr>
        <w:t xml:space="preserve">Eur. Court H.R., Case "Relating to certain aspects of the laws on the use of languages in education in Belgium" (Merits), </w:t>
      </w:r>
      <w:proofErr w:type="gramStart"/>
      <w:r w:rsidRPr="002A2289">
        <w:rPr>
          <w:rFonts w:asciiTheme="majorHAnsi" w:hAnsiTheme="majorHAnsi"/>
          <w:sz w:val="16"/>
          <w:szCs w:val="16"/>
        </w:rPr>
        <w:t>Judgment</w:t>
      </w:r>
      <w:proofErr w:type="gramEnd"/>
      <w:r w:rsidRPr="002A2289">
        <w:rPr>
          <w:rFonts w:asciiTheme="majorHAnsi" w:hAnsiTheme="majorHAnsi"/>
          <w:sz w:val="16"/>
          <w:szCs w:val="16"/>
        </w:rPr>
        <w:t xml:space="preserve"> of 23rd July 1968, page 34</w:t>
      </w:r>
      <w:r w:rsidRPr="002A2289">
        <w:rPr>
          <w:rFonts w:asciiTheme="majorHAnsi" w:eastAsia="Times New Roman" w:hAnsiTheme="majorHAnsi"/>
          <w:bCs/>
          <w:sz w:val="16"/>
          <w:szCs w:val="16"/>
        </w:rPr>
        <w:t xml:space="preserve">.  </w:t>
      </w:r>
    </w:p>
  </w:footnote>
  <w:footnote w:id="64">
    <w:p w14:paraId="49E6E845" w14:textId="77777777" w:rsidR="00E730C9" w:rsidRPr="002A2289" w:rsidRDefault="00E730C9" w:rsidP="004A16CA">
      <w:pPr>
        <w:jc w:val="both"/>
        <w:rPr>
          <w:rFonts w:asciiTheme="majorHAnsi" w:hAnsiTheme="majorHAnsi"/>
          <w:bCs/>
          <w:sz w:val="16"/>
          <w:szCs w:val="16"/>
        </w:rPr>
      </w:pPr>
      <w:r w:rsidRPr="002A2289">
        <w:rPr>
          <w:rStyle w:val="FootnoteReference"/>
          <w:rFonts w:asciiTheme="majorHAnsi" w:hAnsiTheme="majorHAnsi"/>
          <w:sz w:val="16"/>
          <w:szCs w:val="16"/>
        </w:rPr>
        <w:footnoteRef/>
      </w:r>
      <w:r w:rsidRPr="002A2289">
        <w:rPr>
          <w:rFonts w:asciiTheme="majorHAnsi" w:hAnsiTheme="majorHAnsi"/>
          <w:sz w:val="16"/>
          <w:szCs w:val="16"/>
        </w:rPr>
        <w:t xml:space="preserve"> I/A Court H.R.</w:t>
      </w:r>
      <w:r w:rsidRPr="002A2289">
        <w:rPr>
          <w:rStyle w:val="Strong"/>
          <w:rFonts w:asciiTheme="majorHAnsi" w:hAnsiTheme="majorHAnsi"/>
          <w:b w:val="0"/>
          <w:sz w:val="16"/>
          <w:szCs w:val="16"/>
        </w:rPr>
        <w:t xml:space="preserve"> </w:t>
      </w:r>
      <w:r w:rsidRPr="002A2289">
        <w:rPr>
          <w:rStyle w:val="Strong"/>
          <w:rFonts w:asciiTheme="majorHAnsi" w:hAnsiTheme="majorHAnsi"/>
          <w:b w:val="0"/>
          <w:i/>
          <w:sz w:val="16"/>
          <w:szCs w:val="16"/>
        </w:rPr>
        <w:t xml:space="preserve">Case of </w:t>
      </w:r>
      <w:r w:rsidRPr="002A2289">
        <w:rPr>
          <w:rFonts w:asciiTheme="majorHAnsi" w:hAnsiTheme="majorHAnsi"/>
          <w:bCs/>
          <w:i/>
          <w:sz w:val="16"/>
          <w:szCs w:val="16"/>
        </w:rPr>
        <w:t>Maldonado Ordóñez v. Guatemala</w:t>
      </w:r>
      <w:r w:rsidRPr="002A2289">
        <w:rPr>
          <w:rFonts w:asciiTheme="majorHAnsi" w:hAnsiTheme="majorHAnsi"/>
          <w:bCs/>
          <w:sz w:val="16"/>
          <w:szCs w:val="16"/>
        </w:rPr>
        <w:t>.</w:t>
      </w:r>
      <w:r w:rsidRPr="002A2289">
        <w:rPr>
          <w:rStyle w:val="Strong"/>
          <w:rFonts w:asciiTheme="majorHAnsi" w:hAnsiTheme="majorHAnsi"/>
          <w:b w:val="0"/>
          <w:sz w:val="16"/>
          <w:szCs w:val="16"/>
        </w:rPr>
        <w:t xml:space="preserve"> Preliminary Objections, Merits, Reparations, and Costs. Judgment of May 3, 2016. Series C No.</w:t>
      </w:r>
      <w:r w:rsidRPr="002A2289">
        <w:rPr>
          <w:rFonts w:asciiTheme="majorHAnsi" w:hAnsiTheme="majorHAnsi"/>
          <w:bCs/>
          <w:sz w:val="16"/>
          <w:szCs w:val="16"/>
        </w:rPr>
        <w:t xml:space="preserve"> 311. Paragraph 108. </w:t>
      </w:r>
    </w:p>
  </w:footnote>
  <w:footnote w:id="65">
    <w:p w14:paraId="3A698066" w14:textId="77777777" w:rsidR="00E730C9" w:rsidRPr="002A2289" w:rsidRDefault="00E730C9" w:rsidP="004A16CA">
      <w:pPr>
        <w:jc w:val="both"/>
        <w:rPr>
          <w:rFonts w:asciiTheme="majorHAnsi" w:hAnsiTheme="majorHAnsi"/>
          <w:bCs/>
          <w:sz w:val="16"/>
          <w:szCs w:val="16"/>
        </w:rPr>
      </w:pPr>
      <w:r w:rsidRPr="002A2289">
        <w:rPr>
          <w:rStyle w:val="FootnoteReference"/>
          <w:rFonts w:asciiTheme="majorHAnsi" w:hAnsiTheme="majorHAnsi"/>
          <w:sz w:val="16"/>
          <w:szCs w:val="16"/>
        </w:rPr>
        <w:footnoteRef/>
      </w:r>
      <w:r w:rsidRPr="002A2289">
        <w:rPr>
          <w:rFonts w:asciiTheme="majorHAnsi" w:hAnsiTheme="majorHAnsi"/>
          <w:sz w:val="16"/>
          <w:szCs w:val="16"/>
        </w:rPr>
        <w:t xml:space="preserve"> I/A Court H.R.</w:t>
      </w:r>
      <w:r w:rsidRPr="002A2289">
        <w:rPr>
          <w:rStyle w:val="Strong"/>
          <w:rFonts w:asciiTheme="majorHAnsi" w:hAnsiTheme="majorHAnsi"/>
          <w:b w:val="0"/>
          <w:sz w:val="16"/>
          <w:szCs w:val="16"/>
        </w:rPr>
        <w:t xml:space="preserve"> </w:t>
      </w:r>
      <w:r w:rsidRPr="002A2289">
        <w:rPr>
          <w:rStyle w:val="Strong"/>
          <w:rFonts w:asciiTheme="majorHAnsi" w:hAnsiTheme="majorHAnsi"/>
          <w:b w:val="0"/>
          <w:i/>
          <w:sz w:val="16"/>
          <w:szCs w:val="16"/>
        </w:rPr>
        <w:t xml:space="preserve">Case of </w:t>
      </w:r>
      <w:r w:rsidRPr="002A2289">
        <w:rPr>
          <w:rFonts w:asciiTheme="majorHAnsi" w:hAnsiTheme="majorHAnsi"/>
          <w:bCs/>
          <w:i/>
          <w:sz w:val="16"/>
          <w:szCs w:val="16"/>
        </w:rPr>
        <w:t>Maldonado Ordóñez v. Guatemala</w:t>
      </w:r>
      <w:r w:rsidRPr="002A2289">
        <w:rPr>
          <w:rFonts w:asciiTheme="majorHAnsi" w:hAnsiTheme="majorHAnsi"/>
          <w:bCs/>
          <w:sz w:val="16"/>
          <w:szCs w:val="16"/>
        </w:rPr>
        <w:t>.</w:t>
      </w:r>
      <w:r w:rsidRPr="002A2289">
        <w:rPr>
          <w:rStyle w:val="Strong"/>
          <w:rFonts w:asciiTheme="majorHAnsi" w:hAnsiTheme="majorHAnsi"/>
          <w:b w:val="0"/>
          <w:sz w:val="16"/>
          <w:szCs w:val="16"/>
        </w:rPr>
        <w:t xml:space="preserve"> Preliminary Objections, Merits, Reparations, and Costs. Judgment of May 3, 2016. Series C No.</w:t>
      </w:r>
      <w:r w:rsidRPr="002A2289">
        <w:rPr>
          <w:rFonts w:asciiTheme="majorHAnsi" w:hAnsiTheme="majorHAnsi"/>
          <w:bCs/>
          <w:sz w:val="16"/>
          <w:szCs w:val="16"/>
        </w:rPr>
        <w:t xml:space="preserve"> 311. Paragraph 109. </w:t>
      </w:r>
    </w:p>
  </w:footnote>
  <w:footnote w:id="66">
    <w:p w14:paraId="7C6FA104" w14:textId="77777777" w:rsidR="00E730C9" w:rsidRPr="002A2289" w:rsidRDefault="00E730C9" w:rsidP="004A16CA">
      <w:pPr>
        <w:jc w:val="both"/>
        <w:rPr>
          <w:rFonts w:asciiTheme="majorHAnsi" w:hAnsiTheme="majorHAnsi"/>
          <w:bCs/>
          <w:sz w:val="16"/>
          <w:szCs w:val="16"/>
        </w:rPr>
      </w:pPr>
      <w:r w:rsidRPr="002A2289">
        <w:rPr>
          <w:rStyle w:val="FootnoteReference"/>
          <w:rFonts w:asciiTheme="majorHAnsi" w:hAnsiTheme="majorHAnsi"/>
          <w:sz w:val="16"/>
          <w:szCs w:val="16"/>
        </w:rPr>
        <w:footnoteRef/>
      </w:r>
      <w:r w:rsidRPr="002A2289">
        <w:rPr>
          <w:rFonts w:asciiTheme="majorHAnsi" w:hAnsiTheme="majorHAnsi"/>
          <w:sz w:val="16"/>
          <w:szCs w:val="16"/>
        </w:rPr>
        <w:t xml:space="preserve"> I/A Court H.R.</w:t>
      </w:r>
      <w:r w:rsidRPr="002A2289">
        <w:rPr>
          <w:rStyle w:val="Strong"/>
          <w:rFonts w:asciiTheme="majorHAnsi" w:hAnsiTheme="majorHAnsi"/>
          <w:b w:val="0"/>
          <w:sz w:val="16"/>
          <w:szCs w:val="16"/>
        </w:rPr>
        <w:t xml:space="preserve"> </w:t>
      </w:r>
      <w:r w:rsidRPr="002A2289">
        <w:rPr>
          <w:rStyle w:val="Strong"/>
          <w:rFonts w:asciiTheme="majorHAnsi" w:hAnsiTheme="majorHAnsi"/>
          <w:b w:val="0"/>
          <w:i/>
          <w:sz w:val="16"/>
          <w:szCs w:val="16"/>
        </w:rPr>
        <w:t xml:space="preserve">Case of </w:t>
      </w:r>
      <w:r w:rsidRPr="002A2289">
        <w:rPr>
          <w:rFonts w:asciiTheme="majorHAnsi" w:hAnsiTheme="majorHAnsi"/>
          <w:bCs/>
          <w:i/>
          <w:sz w:val="16"/>
          <w:szCs w:val="16"/>
        </w:rPr>
        <w:t>Maldonado Ordóñez v. Guatemala</w:t>
      </w:r>
      <w:r w:rsidRPr="002A2289">
        <w:rPr>
          <w:rFonts w:asciiTheme="majorHAnsi" w:hAnsiTheme="majorHAnsi"/>
          <w:bCs/>
          <w:sz w:val="16"/>
          <w:szCs w:val="16"/>
        </w:rPr>
        <w:t>.</w:t>
      </w:r>
      <w:r w:rsidRPr="002A2289">
        <w:rPr>
          <w:rStyle w:val="Strong"/>
          <w:rFonts w:asciiTheme="majorHAnsi" w:hAnsiTheme="majorHAnsi"/>
          <w:b w:val="0"/>
          <w:sz w:val="16"/>
          <w:szCs w:val="16"/>
        </w:rPr>
        <w:t xml:space="preserve"> Preliminary Objections, Merits, Reparations, and Costs. Judgment of May 3, 2016. Series C No.</w:t>
      </w:r>
      <w:r w:rsidRPr="002A2289">
        <w:rPr>
          <w:rFonts w:asciiTheme="majorHAnsi" w:hAnsiTheme="majorHAnsi"/>
          <w:bCs/>
          <w:sz w:val="16"/>
          <w:szCs w:val="16"/>
        </w:rPr>
        <w:t xml:space="preserve"> 311. Paragraph 110. </w:t>
      </w:r>
    </w:p>
  </w:footnote>
  <w:footnote w:id="67">
    <w:p w14:paraId="61812018" w14:textId="77777777" w:rsidR="00E730C9" w:rsidRPr="002A2289" w:rsidRDefault="00E730C9" w:rsidP="004A16CA">
      <w:pPr>
        <w:jc w:val="both"/>
        <w:rPr>
          <w:rFonts w:asciiTheme="majorHAnsi" w:hAnsiTheme="majorHAnsi"/>
          <w:bCs/>
          <w:sz w:val="16"/>
          <w:szCs w:val="16"/>
        </w:rPr>
      </w:pPr>
      <w:r w:rsidRPr="002A2289">
        <w:rPr>
          <w:rStyle w:val="FootnoteReference"/>
          <w:rFonts w:asciiTheme="majorHAnsi" w:hAnsiTheme="majorHAnsi"/>
          <w:sz w:val="16"/>
          <w:szCs w:val="16"/>
        </w:rPr>
        <w:footnoteRef/>
      </w:r>
      <w:r w:rsidRPr="002A2289">
        <w:rPr>
          <w:rFonts w:asciiTheme="majorHAnsi" w:hAnsiTheme="majorHAnsi"/>
          <w:sz w:val="16"/>
          <w:szCs w:val="16"/>
        </w:rPr>
        <w:t xml:space="preserve"> I/A Court H.R.</w:t>
      </w:r>
      <w:r w:rsidRPr="002A2289">
        <w:rPr>
          <w:rStyle w:val="Strong"/>
          <w:rFonts w:asciiTheme="majorHAnsi" w:hAnsiTheme="majorHAnsi"/>
          <w:b w:val="0"/>
          <w:sz w:val="16"/>
          <w:szCs w:val="16"/>
        </w:rPr>
        <w:t xml:space="preserve"> </w:t>
      </w:r>
      <w:r w:rsidRPr="002A2289">
        <w:rPr>
          <w:rStyle w:val="Strong"/>
          <w:rFonts w:asciiTheme="majorHAnsi" w:hAnsiTheme="majorHAnsi"/>
          <w:b w:val="0"/>
          <w:i/>
          <w:sz w:val="16"/>
          <w:szCs w:val="16"/>
        </w:rPr>
        <w:t>Case of Chocrón Chocrón v. Venezuela</w:t>
      </w:r>
      <w:r w:rsidRPr="002A2289">
        <w:rPr>
          <w:rFonts w:asciiTheme="majorHAnsi" w:hAnsiTheme="majorHAnsi"/>
          <w:bCs/>
          <w:sz w:val="16"/>
          <w:szCs w:val="16"/>
        </w:rPr>
        <w:t xml:space="preserve">. </w:t>
      </w:r>
      <w:r w:rsidRPr="002A2289">
        <w:rPr>
          <w:rStyle w:val="Strong"/>
          <w:rFonts w:asciiTheme="majorHAnsi" w:hAnsiTheme="majorHAnsi"/>
          <w:b w:val="0"/>
          <w:sz w:val="16"/>
          <w:szCs w:val="16"/>
        </w:rPr>
        <w:t>Preliminary Objections, Merits, Reparations, and Costs. Judgment of July 1, 2011. Series C No. 227. Paragraph 118.</w:t>
      </w:r>
    </w:p>
  </w:footnote>
  <w:footnote w:id="68">
    <w:p w14:paraId="31B92C7C" w14:textId="3D3551B5" w:rsidR="00E730C9" w:rsidRPr="002A2289" w:rsidRDefault="00E730C9" w:rsidP="004A16CA">
      <w:pPr>
        <w:pStyle w:val="FootnoteText"/>
        <w:jc w:val="both"/>
        <w:rPr>
          <w:rFonts w:asciiTheme="majorHAnsi" w:hAnsiTheme="majorHAnsi" w:cs="Times New Roman"/>
          <w:sz w:val="16"/>
          <w:szCs w:val="16"/>
          <w:lang w:val="es-US"/>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IACHR. Report No. 73/00. </w:t>
      </w:r>
      <w:r w:rsidRPr="002A2289">
        <w:rPr>
          <w:rFonts w:asciiTheme="majorHAnsi" w:hAnsiTheme="majorHAnsi" w:cs="Times New Roman"/>
          <w:sz w:val="16"/>
          <w:szCs w:val="16"/>
          <w:lang w:val="es-US"/>
        </w:rPr>
        <w:t xml:space="preserve">Case 11.784. Marcelino </w:t>
      </w:r>
      <w:proofErr w:type="spellStart"/>
      <w:r w:rsidRPr="002A2289">
        <w:rPr>
          <w:rFonts w:asciiTheme="majorHAnsi" w:hAnsiTheme="majorHAnsi" w:cs="Times New Roman"/>
          <w:sz w:val="16"/>
          <w:szCs w:val="16"/>
          <w:lang w:val="es-US"/>
        </w:rPr>
        <w:t>Hanríquez</w:t>
      </w:r>
      <w:proofErr w:type="spellEnd"/>
      <w:r w:rsidRPr="002A2289">
        <w:rPr>
          <w:rFonts w:asciiTheme="majorHAnsi" w:hAnsiTheme="majorHAnsi" w:cs="Times New Roman"/>
          <w:sz w:val="16"/>
          <w:szCs w:val="16"/>
          <w:lang w:val="es-US"/>
        </w:rPr>
        <w:t xml:space="preserve"> et al. Argentina. </w:t>
      </w:r>
      <w:proofErr w:type="spellStart"/>
      <w:r w:rsidRPr="002A2289">
        <w:rPr>
          <w:rFonts w:asciiTheme="majorHAnsi" w:hAnsiTheme="majorHAnsi" w:cs="Times New Roman"/>
          <w:sz w:val="16"/>
          <w:szCs w:val="16"/>
          <w:lang w:val="es-US"/>
        </w:rPr>
        <w:t>October</w:t>
      </w:r>
      <w:proofErr w:type="spellEnd"/>
      <w:r w:rsidRPr="002A2289">
        <w:rPr>
          <w:rFonts w:asciiTheme="majorHAnsi" w:hAnsiTheme="majorHAnsi" w:cs="Times New Roman"/>
          <w:sz w:val="16"/>
          <w:szCs w:val="16"/>
          <w:lang w:val="es-US"/>
        </w:rPr>
        <w:t xml:space="preserve"> 3, 2000, </w:t>
      </w:r>
      <w:proofErr w:type="spellStart"/>
      <w:r w:rsidRPr="002A2289">
        <w:rPr>
          <w:rFonts w:asciiTheme="majorHAnsi" w:hAnsiTheme="majorHAnsi" w:cs="Times New Roman"/>
          <w:sz w:val="16"/>
          <w:szCs w:val="16"/>
          <w:lang w:val="es-US"/>
        </w:rPr>
        <w:t>paragraphs</w:t>
      </w:r>
      <w:proofErr w:type="spellEnd"/>
      <w:r w:rsidRPr="002A2289">
        <w:rPr>
          <w:rFonts w:asciiTheme="majorHAnsi" w:hAnsiTheme="majorHAnsi" w:cs="Times New Roman"/>
          <w:sz w:val="16"/>
          <w:szCs w:val="16"/>
          <w:lang w:val="es-US"/>
        </w:rPr>
        <w:t xml:space="preserve"> 47-48.</w:t>
      </w:r>
    </w:p>
  </w:footnote>
  <w:footnote w:id="69">
    <w:p w14:paraId="27EC5CE0" w14:textId="418C5609" w:rsidR="00E730C9" w:rsidRPr="002A2289" w:rsidRDefault="00E730C9" w:rsidP="004A16CA">
      <w:pPr>
        <w:pStyle w:val="FootnoteText"/>
        <w:jc w:val="both"/>
        <w:rPr>
          <w:rFonts w:asciiTheme="majorHAnsi" w:hAnsiTheme="majorHAnsi" w:cs="Times New Roman"/>
          <w:sz w:val="16"/>
          <w:szCs w:val="16"/>
          <w:lang w:val="es-US"/>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lang w:val="es-US"/>
        </w:rPr>
        <w:t xml:space="preserve"> IACHR. </w:t>
      </w:r>
      <w:proofErr w:type="spellStart"/>
      <w:r w:rsidRPr="002A2289">
        <w:rPr>
          <w:rFonts w:asciiTheme="majorHAnsi" w:hAnsiTheme="majorHAnsi" w:cs="Times New Roman"/>
          <w:sz w:val="16"/>
          <w:szCs w:val="16"/>
          <w:lang w:val="es-US"/>
        </w:rPr>
        <w:t>Report</w:t>
      </w:r>
      <w:proofErr w:type="spellEnd"/>
      <w:r w:rsidRPr="002A2289">
        <w:rPr>
          <w:rFonts w:asciiTheme="majorHAnsi" w:hAnsiTheme="majorHAnsi" w:cs="Times New Roman"/>
          <w:sz w:val="16"/>
          <w:szCs w:val="16"/>
          <w:lang w:val="es-US"/>
        </w:rPr>
        <w:t xml:space="preserve"> No. 73/00. Case 11.784. Marcelino </w:t>
      </w:r>
      <w:proofErr w:type="spellStart"/>
      <w:r w:rsidRPr="002A2289">
        <w:rPr>
          <w:rFonts w:asciiTheme="majorHAnsi" w:hAnsiTheme="majorHAnsi" w:cs="Times New Roman"/>
          <w:sz w:val="16"/>
          <w:szCs w:val="16"/>
          <w:lang w:val="es-US"/>
        </w:rPr>
        <w:t>Hanríquez</w:t>
      </w:r>
      <w:proofErr w:type="spellEnd"/>
      <w:r w:rsidRPr="002A2289">
        <w:rPr>
          <w:rFonts w:asciiTheme="majorHAnsi" w:hAnsiTheme="majorHAnsi" w:cs="Times New Roman"/>
          <w:sz w:val="16"/>
          <w:szCs w:val="16"/>
          <w:lang w:val="es-US"/>
        </w:rPr>
        <w:t xml:space="preserve"> et al. Argentina. </w:t>
      </w:r>
      <w:proofErr w:type="spellStart"/>
      <w:r w:rsidRPr="002A2289">
        <w:rPr>
          <w:rFonts w:asciiTheme="majorHAnsi" w:hAnsiTheme="majorHAnsi" w:cs="Times New Roman"/>
          <w:sz w:val="16"/>
          <w:szCs w:val="16"/>
          <w:lang w:val="es-US"/>
        </w:rPr>
        <w:t>October</w:t>
      </w:r>
      <w:proofErr w:type="spellEnd"/>
      <w:r w:rsidRPr="002A2289">
        <w:rPr>
          <w:rFonts w:asciiTheme="majorHAnsi" w:hAnsiTheme="majorHAnsi" w:cs="Times New Roman"/>
          <w:sz w:val="16"/>
          <w:szCs w:val="16"/>
          <w:lang w:val="es-US"/>
        </w:rPr>
        <w:t xml:space="preserve"> 3, 2000, </w:t>
      </w:r>
      <w:proofErr w:type="spellStart"/>
      <w:r w:rsidRPr="002A2289">
        <w:rPr>
          <w:rFonts w:asciiTheme="majorHAnsi" w:hAnsiTheme="majorHAnsi" w:cs="Times New Roman"/>
          <w:sz w:val="16"/>
          <w:szCs w:val="16"/>
          <w:lang w:val="es-US"/>
        </w:rPr>
        <w:t>paragraph</w:t>
      </w:r>
      <w:proofErr w:type="spellEnd"/>
      <w:r w:rsidRPr="002A2289">
        <w:rPr>
          <w:rFonts w:asciiTheme="majorHAnsi" w:hAnsiTheme="majorHAnsi" w:cs="Times New Roman"/>
          <w:sz w:val="16"/>
          <w:szCs w:val="16"/>
          <w:lang w:val="es-US"/>
        </w:rPr>
        <w:t xml:space="preserve"> 48.</w:t>
      </w:r>
    </w:p>
  </w:footnote>
  <w:footnote w:id="70">
    <w:p w14:paraId="31B3D052" w14:textId="3FCD6379"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lang w:val="es-US"/>
        </w:rPr>
        <w:t xml:space="preserve"> IACHR. </w:t>
      </w:r>
      <w:proofErr w:type="spellStart"/>
      <w:r w:rsidRPr="002A2289">
        <w:rPr>
          <w:rFonts w:asciiTheme="majorHAnsi" w:hAnsiTheme="majorHAnsi" w:cs="Times New Roman"/>
          <w:sz w:val="16"/>
          <w:szCs w:val="16"/>
          <w:lang w:val="es-US"/>
        </w:rPr>
        <w:t>Report</w:t>
      </w:r>
      <w:proofErr w:type="spellEnd"/>
      <w:r w:rsidRPr="002A2289">
        <w:rPr>
          <w:rFonts w:asciiTheme="majorHAnsi" w:hAnsiTheme="majorHAnsi" w:cs="Times New Roman"/>
          <w:sz w:val="16"/>
          <w:szCs w:val="16"/>
          <w:lang w:val="es-US"/>
        </w:rPr>
        <w:t xml:space="preserve"> No. 73/00. Case 11.784. Marcelino </w:t>
      </w:r>
      <w:proofErr w:type="spellStart"/>
      <w:r w:rsidRPr="002A2289">
        <w:rPr>
          <w:rFonts w:asciiTheme="majorHAnsi" w:hAnsiTheme="majorHAnsi" w:cs="Times New Roman"/>
          <w:sz w:val="16"/>
          <w:szCs w:val="16"/>
          <w:lang w:val="es-US"/>
        </w:rPr>
        <w:t>Hanríquez</w:t>
      </w:r>
      <w:proofErr w:type="spellEnd"/>
      <w:r w:rsidRPr="002A2289">
        <w:rPr>
          <w:rFonts w:asciiTheme="majorHAnsi" w:hAnsiTheme="majorHAnsi" w:cs="Times New Roman"/>
          <w:sz w:val="16"/>
          <w:szCs w:val="16"/>
          <w:lang w:val="es-US"/>
        </w:rPr>
        <w:t xml:space="preserve"> et al. </w:t>
      </w:r>
      <w:r w:rsidRPr="002A2289">
        <w:rPr>
          <w:rFonts w:asciiTheme="majorHAnsi" w:hAnsiTheme="majorHAnsi" w:cs="Times New Roman"/>
          <w:sz w:val="16"/>
          <w:szCs w:val="16"/>
        </w:rPr>
        <w:t>Argentina. October 3, 2000, paragraph 49.</w:t>
      </w:r>
    </w:p>
  </w:footnote>
  <w:footnote w:id="71">
    <w:p w14:paraId="5A4BB68D" w14:textId="1265C547" w:rsidR="00E730C9" w:rsidRPr="002A2289" w:rsidRDefault="00E730C9" w:rsidP="004A16CA">
      <w:pPr>
        <w:pStyle w:val="FootnoteText"/>
        <w:jc w:val="both"/>
        <w:rPr>
          <w:rFonts w:asciiTheme="majorHAnsi" w:hAnsiTheme="majorHAnsi" w:cs="Times New Roman"/>
          <w:sz w:val="16"/>
          <w:szCs w:val="16"/>
          <w:lang w:val="es-US"/>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The specific case addressed the exclusion of the Hanríquez brothers from the scope of </w:t>
      </w:r>
      <w:r>
        <w:rPr>
          <w:rFonts w:asciiTheme="majorHAnsi" w:hAnsiTheme="majorHAnsi" w:cs="Times New Roman"/>
          <w:sz w:val="16"/>
          <w:szCs w:val="16"/>
        </w:rPr>
        <w:t>Law 24.043</w:t>
      </w:r>
      <w:r w:rsidRPr="002A2289">
        <w:rPr>
          <w:rFonts w:asciiTheme="majorHAnsi" w:hAnsiTheme="majorHAnsi" w:cs="Times New Roman"/>
          <w:sz w:val="16"/>
          <w:szCs w:val="16"/>
        </w:rPr>
        <w:t>. The brothers were detained during the dictatorship pursuant to a court order and were prosecuted for “possession of subversive material,</w:t>
      </w:r>
      <w:r w:rsidR="001E5AE7">
        <w:rPr>
          <w:rFonts w:asciiTheme="majorHAnsi" w:hAnsiTheme="majorHAnsi" w:cs="Times New Roman"/>
          <w:sz w:val="16"/>
          <w:szCs w:val="16"/>
        </w:rPr>
        <w:t>” in accordance with Law 20.</w:t>
      </w:r>
      <w:r w:rsidRPr="002A2289">
        <w:rPr>
          <w:rFonts w:asciiTheme="majorHAnsi" w:hAnsiTheme="majorHAnsi" w:cs="Times New Roman"/>
          <w:sz w:val="16"/>
          <w:szCs w:val="16"/>
        </w:rPr>
        <w:t xml:space="preserve">840, repealed in 1985 by the Defense of Democracy Act. </w:t>
      </w:r>
      <w:r w:rsidRPr="002A2289">
        <w:rPr>
          <w:rFonts w:asciiTheme="majorHAnsi" w:hAnsiTheme="majorHAnsi" w:cs="Times New Roman"/>
          <w:i/>
          <w:sz w:val="16"/>
          <w:szCs w:val="16"/>
        </w:rPr>
        <w:t>Hanríquez</w:t>
      </w:r>
      <w:r w:rsidRPr="002A2289">
        <w:rPr>
          <w:rFonts w:asciiTheme="majorHAnsi" w:hAnsiTheme="majorHAnsi" w:cs="Times New Roman"/>
          <w:sz w:val="16"/>
          <w:szCs w:val="16"/>
        </w:rPr>
        <w:t>, paragraph 15. In this specific case, the IACHR considered that “the justification offered by the State to make the distinction, i.e., that the executive-ordered detention is </w:t>
      </w:r>
      <w:r w:rsidRPr="002A2289">
        <w:rPr>
          <w:rFonts w:asciiTheme="majorHAnsi" w:hAnsiTheme="majorHAnsi" w:cs="Times New Roman"/>
          <w:i/>
          <w:iCs/>
          <w:sz w:val="16"/>
          <w:szCs w:val="16"/>
        </w:rPr>
        <w:t>prima facie</w:t>
      </w:r>
      <w:r w:rsidRPr="002A2289">
        <w:rPr>
          <w:rFonts w:asciiTheme="majorHAnsi" w:hAnsiTheme="majorHAnsi" w:cs="Times New Roman"/>
          <w:sz w:val="16"/>
          <w:szCs w:val="16"/>
        </w:rPr>
        <w:t xml:space="preserve"> vitiated whereas the detention ordered by federal judges is not, is objective and reasonable, given the fact that the effect of the law is to give persons who qualify under its provisions the right to pursue a special procedure to arrange compensation for human rights violations.  It also finds proportionality between the means used and the aim sought.” </w:t>
      </w:r>
      <w:proofErr w:type="spellStart"/>
      <w:r w:rsidRPr="002A2289">
        <w:rPr>
          <w:rFonts w:asciiTheme="majorHAnsi" w:hAnsiTheme="majorHAnsi" w:cs="Times New Roman"/>
          <w:i/>
          <w:sz w:val="16"/>
          <w:szCs w:val="16"/>
          <w:lang w:val="es-US"/>
        </w:rPr>
        <w:t>Hanríquez</w:t>
      </w:r>
      <w:proofErr w:type="spellEnd"/>
      <w:r w:rsidRPr="002A2289">
        <w:rPr>
          <w:rFonts w:asciiTheme="majorHAnsi" w:hAnsiTheme="majorHAnsi" w:cs="Times New Roman"/>
          <w:sz w:val="16"/>
          <w:szCs w:val="16"/>
          <w:lang w:val="es-US"/>
        </w:rPr>
        <w:t xml:space="preserve">, </w:t>
      </w:r>
      <w:proofErr w:type="spellStart"/>
      <w:r w:rsidRPr="002A2289">
        <w:rPr>
          <w:rFonts w:asciiTheme="majorHAnsi" w:hAnsiTheme="majorHAnsi" w:cs="Times New Roman"/>
          <w:sz w:val="16"/>
          <w:szCs w:val="16"/>
          <w:lang w:val="es-US"/>
        </w:rPr>
        <w:t>paragraph</w:t>
      </w:r>
      <w:proofErr w:type="spellEnd"/>
      <w:r w:rsidRPr="002A2289">
        <w:rPr>
          <w:rFonts w:asciiTheme="majorHAnsi" w:hAnsiTheme="majorHAnsi" w:cs="Times New Roman"/>
          <w:sz w:val="16"/>
          <w:szCs w:val="16"/>
          <w:lang w:val="es-US"/>
        </w:rPr>
        <w:t xml:space="preserve"> 53.</w:t>
      </w:r>
    </w:p>
  </w:footnote>
  <w:footnote w:id="72">
    <w:p w14:paraId="25A7141E"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lang w:val="es-US"/>
        </w:rPr>
        <w:t xml:space="preserve"> IACHR. </w:t>
      </w:r>
      <w:proofErr w:type="spellStart"/>
      <w:r w:rsidRPr="002A2289">
        <w:rPr>
          <w:rFonts w:asciiTheme="majorHAnsi" w:hAnsiTheme="majorHAnsi" w:cs="Times New Roman"/>
          <w:sz w:val="16"/>
          <w:szCs w:val="16"/>
          <w:lang w:val="es-US"/>
        </w:rPr>
        <w:t>Report</w:t>
      </w:r>
      <w:proofErr w:type="spellEnd"/>
      <w:r w:rsidRPr="002A2289">
        <w:rPr>
          <w:rFonts w:asciiTheme="majorHAnsi" w:hAnsiTheme="majorHAnsi" w:cs="Times New Roman"/>
          <w:sz w:val="16"/>
          <w:szCs w:val="16"/>
          <w:lang w:val="es-US"/>
        </w:rPr>
        <w:t xml:space="preserve"> No. 73/00. Case 11.784. Marcelino </w:t>
      </w:r>
      <w:proofErr w:type="spellStart"/>
      <w:r w:rsidRPr="002A2289">
        <w:rPr>
          <w:rFonts w:asciiTheme="majorHAnsi" w:hAnsiTheme="majorHAnsi" w:cs="Times New Roman"/>
          <w:sz w:val="16"/>
          <w:szCs w:val="16"/>
          <w:lang w:val="es-US"/>
        </w:rPr>
        <w:t>Hanríquez</w:t>
      </w:r>
      <w:proofErr w:type="spellEnd"/>
      <w:r w:rsidRPr="002A2289">
        <w:rPr>
          <w:rFonts w:asciiTheme="majorHAnsi" w:hAnsiTheme="majorHAnsi" w:cs="Times New Roman"/>
          <w:sz w:val="16"/>
          <w:szCs w:val="16"/>
          <w:lang w:val="es-US"/>
        </w:rPr>
        <w:t xml:space="preserve"> et al. </w:t>
      </w:r>
      <w:r w:rsidRPr="002A2289">
        <w:rPr>
          <w:rFonts w:asciiTheme="majorHAnsi" w:hAnsiTheme="majorHAnsi" w:cs="Times New Roman"/>
          <w:sz w:val="16"/>
          <w:szCs w:val="16"/>
        </w:rPr>
        <w:t>Argentina. October 3, 2000, paragraph 48.</w:t>
      </w:r>
    </w:p>
  </w:footnote>
  <w:footnote w:id="73">
    <w:p w14:paraId="15BB9506"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State’s brief on the merits.</w:t>
      </w:r>
    </w:p>
  </w:footnote>
  <w:footnote w:id="74">
    <w:p w14:paraId="5850BDA7" w14:textId="41455046"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Annex </w:t>
      </w:r>
      <w:r w:rsidR="00C47914">
        <w:rPr>
          <w:rFonts w:asciiTheme="majorHAnsi" w:hAnsiTheme="majorHAnsi" w:cs="Times New Roman"/>
          <w:sz w:val="16"/>
          <w:szCs w:val="16"/>
        </w:rPr>
        <w:t>5</w:t>
      </w:r>
      <w:r w:rsidRPr="002A2289">
        <w:rPr>
          <w:rFonts w:asciiTheme="majorHAnsi" w:hAnsiTheme="majorHAnsi" w:cs="Times New Roman"/>
          <w:sz w:val="16"/>
          <w:szCs w:val="16"/>
        </w:rPr>
        <w:t xml:space="preserve">. Decision in the </w:t>
      </w:r>
      <w:r w:rsidRPr="002A2289">
        <w:rPr>
          <w:rFonts w:asciiTheme="majorHAnsi" w:hAnsiTheme="majorHAnsi" w:cs="Times New Roman"/>
          <w:i/>
          <w:sz w:val="16"/>
          <w:szCs w:val="16"/>
        </w:rPr>
        <w:t>Bufano</w:t>
      </w:r>
      <w:r w:rsidRPr="002A2289">
        <w:rPr>
          <w:rFonts w:asciiTheme="majorHAnsi" w:hAnsiTheme="majorHAnsi" w:cs="Times New Roman"/>
          <w:sz w:val="16"/>
          <w:szCs w:val="16"/>
        </w:rPr>
        <w:t xml:space="preserve"> case. Annex to the initial petition.</w:t>
      </w:r>
    </w:p>
  </w:footnote>
  <w:footnote w:id="75">
    <w:p w14:paraId="2C888B88" w14:textId="77777777"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Eur. Court H.R. Case</w:t>
      </w:r>
      <w:r w:rsidRPr="002A2289">
        <w:rPr>
          <w:rFonts w:asciiTheme="majorHAnsi" w:hAnsiTheme="majorHAnsi" w:cs="Times New Roman"/>
          <w:i/>
          <w:sz w:val="16"/>
          <w:szCs w:val="16"/>
        </w:rPr>
        <w:t xml:space="preserve"> of Beian v. Romania</w:t>
      </w:r>
      <w:r w:rsidRPr="002A2289">
        <w:rPr>
          <w:rFonts w:asciiTheme="majorHAnsi" w:hAnsiTheme="majorHAnsi" w:cs="Times New Roman"/>
          <w:sz w:val="16"/>
          <w:szCs w:val="16"/>
        </w:rPr>
        <w:t xml:space="preserve"> (30658/05), Judgment of December 6, 2007, paragraphs 33, 34-40.</w:t>
      </w:r>
    </w:p>
  </w:footnote>
  <w:footnote w:id="76">
    <w:p w14:paraId="0D5DAE69" w14:textId="41D417E1" w:rsidR="00E730C9" w:rsidRPr="002A2289" w:rsidRDefault="00E730C9" w:rsidP="004A16CA">
      <w:pPr>
        <w:pStyle w:val="FootnoteText"/>
        <w:jc w:val="both"/>
        <w:rPr>
          <w:rFonts w:asciiTheme="majorHAnsi" w:hAnsiTheme="majorHAnsi" w:cs="Times New Roman"/>
          <w:sz w:val="16"/>
          <w:szCs w:val="16"/>
        </w:rPr>
      </w:pPr>
      <w:r w:rsidRPr="002A2289">
        <w:rPr>
          <w:rStyle w:val="FootnoteReference"/>
          <w:rFonts w:asciiTheme="majorHAnsi" w:hAnsiTheme="majorHAnsi" w:cs="Times New Roman"/>
          <w:sz w:val="16"/>
          <w:szCs w:val="16"/>
        </w:rPr>
        <w:footnoteRef/>
      </w:r>
      <w:r w:rsidRPr="002A2289">
        <w:rPr>
          <w:rFonts w:asciiTheme="majorHAnsi" w:hAnsiTheme="majorHAnsi" w:cs="Times New Roman"/>
          <w:sz w:val="16"/>
          <w:szCs w:val="16"/>
        </w:rPr>
        <w:t xml:space="preserve"> Eur. Court H.R. </w:t>
      </w:r>
      <w:r w:rsidRPr="002A2289">
        <w:rPr>
          <w:rFonts w:asciiTheme="majorHAnsi" w:hAnsiTheme="majorHAnsi" w:cs="Times New Roman"/>
          <w:i/>
          <w:sz w:val="16"/>
          <w:szCs w:val="16"/>
        </w:rPr>
        <w:t>Case of Pérez Arias v. Spain</w:t>
      </w:r>
      <w:r w:rsidRPr="002A2289">
        <w:rPr>
          <w:rFonts w:asciiTheme="majorHAnsi" w:hAnsiTheme="majorHAnsi" w:cs="Times New Roman"/>
          <w:sz w:val="16"/>
          <w:szCs w:val="16"/>
        </w:rPr>
        <w:t xml:space="preserve"> (32978/03). Judgment of June 28, 2007, paragraph 27 (recognizing that “the extension of the principle of equal protection under the law with regard to subsequent decisions that would imply reviewing all previous final decisions that were in contradiction to the most recent laws, would be contrary to the principle of legal certainty” (unofficial translation)</w:t>
      </w:r>
      <w:r w:rsidR="008746F3">
        <w:rPr>
          <w:rFonts w:asciiTheme="majorHAnsi" w:hAnsiTheme="majorHAnsi" w:cs="Times New Roman"/>
          <w:sz w:val="16"/>
          <w:szCs w:val="16"/>
        </w:rPr>
        <w:t>)</w:t>
      </w:r>
      <w:r w:rsidRPr="002A2289">
        <w:rPr>
          <w:rFonts w:asciiTheme="majorHAnsi" w:hAnsiTheme="majorHAnsi"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76E1D" w14:textId="77777777" w:rsidR="00E730C9" w:rsidRDefault="00E730C9" w:rsidP="00B1589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54E819D6" w14:textId="77777777" w:rsidR="00E730C9" w:rsidRDefault="00E73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E176" w14:textId="77777777" w:rsidR="00E730C9" w:rsidRDefault="00E730C9" w:rsidP="00A50FCF">
    <w:pPr>
      <w:pStyle w:val="Header"/>
      <w:tabs>
        <w:tab w:val="clear" w:pos="4320"/>
        <w:tab w:val="clear" w:pos="8640"/>
      </w:tabs>
      <w:jc w:val="center"/>
      <w:rPr>
        <w:sz w:val="22"/>
        <w:szCs w:val="22"/>
      </w:rPr>
    </w:pPr>
    <w:r>
      <w:rPr>
        <w:noProof/>
        <w:sz w:val="22"/>
        <w:szCs w:val="22"/>
      </w:rPr>
      <w:drawing>
        <wp:inline distT="0" distB="0" distL="0" distR="0" wp14:anchorId="6E233D11" wp14:editId="58EAA677">
          <wp:extent cx="2209800" cy="117396"/>
          <wp:effectExtent l="0" t="0" r="0" b="0"/>
          <wp:docPr id="3" name="Picture 3"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58C3E24" w14:textId="77777777" w:rsidR="00E730C9" w:rsidRPr="00EC7D62" w:rsidRDefault="00873022" w:rsidP="00A50FCF">
    <w:pPr>
      <w:pStyle w:val="Header"/>
      <w:tabs>
        <w:tab w:val="clear" w:pos="4320"/>
        <w:tab w:val="clear" w:pos="8640"/>
      </w:tabs>
      <w:jc w:val="center"/>
      <w:rPr>
        <w:sz w:val="22"/>
        <w:szCs w:val="22"/>
      </w:rPr>
    </w:pPr>
    <w:r>
      <w:rPr>
        <w:sz w:val="22"/>
        <w:szCs w:val="22"/>
      </w:rPr>
      <w:pict w14:anchorId="3D0115A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A9AC" w14:textId="77777777" w:rsidR="00E730C9" w:rsidRDefault="00E730C9" w:rsidP="00B1589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3ACF2A30" w14:textId="77777777" w:rsidR="00E730C9" w:rsidRDefault="00E730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641E" w14:textId="77777777" w:rsidR="00E730C9" w:rsidRDefault="00E730C9" w:rsidP="00A50FCF">
    <w:pPr>
      <w:pStyle w:val="Header"/>
      <w:tabs>
        <w:tab w:val="clear" w:pos="4320"/>
        <w:tab w:val="clear" w:pos="8640"/>
      </w:tabs>
      <w:jc w:val="center"/>
      <w:rPr>
        <w:sz w:val="22"/>
        <w:szCs w:val="22"/>
      </w:rPr>
    </w:pPr>
    <w:r>
      <w:rPr>
        <w:noProof/>
        <w:sz w:val="22"/>
        <w:szCs w:val="22"/>
      </w:rPr>
      <w:drawing>
        <wp:inline distT="0" distB="0" distL="0" distR="0" wp14:anchorId="6DA842CA" wp14:editId="6B17362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4BABBDF" w14:textId="77777777" w:rsidR="00E730C9" w:rsidRPr="00EC7D62" w:rsidRDefault="00873022" w:rsidP="00A50FCF">
    <w:pPr>
      <w:pStyle w:val="Header"/>
      <w:tabs>
        <w:tab w:val="clear" w:pos="4320"/>
        <w:tab w:val="clear" w:pos="8640"/>
      </w:tabs>
      <w:jc w:val="center"/>
      <w:rPr>
        <w:sz w:val="22"/>
        <w:szCs w:val="22"/>
      </w:rPr>
    </w:pPr>
    <w:r>
      <w:rPr>
        <w:sz w:val="22"/>
        <w:szCs w:val="22"/>
      </w:rPr>
      <w:pict w14:anchorId="7484FF88">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BB1"/>
    <w:multiLevelType w:val="multilevel"/>
    <w:tmpl w:val="3C5C251C"/>
    <w:lvl w:ilvl="0">
      <w:start w:val="1"/>
      <w:numFmt w:val="decimal"/>
      <w:lvlText w:val="%1."/>
      <w:lvlJc w:val="left"/>
      <w:pPr>
        <w:ind w:left="1080" w:hanging="360"/>
      </w:pPr>
      <w:rPr>
        <w:rFonts w:hint="default"/>
        <w:lang w:val="es-UY"/>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24295F"/>
    <w:multiLevelType w:val="hybridMultilevel"/>
    <w:tmpl w:val="009CA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B6C5B1D"/>
    <w:multiLevelType w:val="hybridMultilevel"/>
    <w:tmpl w:val="ABF2DEFC"/>
    <w:lvl w:ilvl="0" w:tplc="90CC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EE377E"/>
    <w:multiLevelType w:val="hybridMultilevel"/>
    <w:tmpl w:val="545E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1B68F9"/>
    <w:multiLevelType w:val="hybridMultilevel"/>
    <w:tmpl w:val="C9927A06"/>
    <w:lvl w:ilvl="0" w:tplc="C92ACBFC">
      <w:start w:val="1"/>
      <w:numFmt w:val="upperLetter"/>
      <w:pStyle w:val="Heading2"/>
      <w:lvlText w:val="%1."/>
      <w:lvlJc w:val="left"/>
      <w:pPr>
        <w:ind w:left="99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8B6462"/>
    <w:multiLevelType w:val="hybridMultilevel"/>
    <w:tmpl w:val="610EC480"/>
    <w:lvl w:ilvl="0" w:tplc="ED0447A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733341B"/>
    <w:multiLevelType w:val="hybridMultilevel"/>
    <w:tmpl w:val="48BA54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D722C1E"/>
    <w:multiLevelType w:val="hybridMultilevel"/>
    <w:tmpl w:val="5084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7D4B9D"/>
    <w:multiLevelType w:val="hybridMultilevel"/>
    <w:tmpl w:val="1F02DFE8"/>
    <w:lvl w:ilvl="0" w:tplc="76A04792">
      <w:start w:val="1"/>
      <w:numFmt w:val="decimal"/>
      <w:lvlText w:val="%1."/>
      <w:lvlJc w:val="left"/>
      <w:pPr>
        <w:ind w:left="72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7265D90"/>
    <w:multiLevelType w:val="hybridMultilevel"/>
    <w:tmpl w:val="B23C3B86"/>
    <w:lvl w:ilvl="0" w:tplc="94C49D28">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628269BA"/>
    <w:lvl w:ilvl="0" w:tplc="5DA03122">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A53E3D"/>
    <w:multiLevelType w:val="hybridMultilevel"/>
    <w:tmpl w:val="801296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D4B021B"/>
    <w:multiLevelType w:val="hybridMultilevel"/>
    <w:tmpl w:val="91C22A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59"/>
  </w:num>
  <w:num w:numId="4">
    <w:abstractNumId w:val="25"/>
  </w:num>
  <w:num w:numId="5">
    <w:abstractNumId w:val="51"/>
  </w:num>
  <w:num w:numId="6">
    <w:abstractNumId w:val="30"/>
  </w:num>
  <w:num w:numId="7">
    <w:abstractNumId w:val="8"/>
  </w:num>
  <w:num w:numId="8">
    <w:abstractNumId w:val="20"/>
  </w:num>
  <w:num w:numId="9">
    <w:abstractNumId w:val="45"/>
  </w:num>
  <w:num w:numId="10">
    <w:abstractNumId w:val="1"/>
  </w:num>
  <w:num w:numId="11">
    <w:abstractNumId w:val="40"/>
  </w:num>
  <w:num w:numId="12">
    <w:abstractNumId w:val="41"/>
  </w:num>
  <w:num w:numId="13">
    <w:abstractNumId w:val="46"/>
  </w:num>
  <w:num w:numId="14">
    <w:abstractNumId w:val="2"/>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8"/>
  </w:num>
  <w:num w:numId="38">
    <w:abstractNumId w:val="39"/>
  </w:num>
  <w:num w:numId="39">
    <w:abstractNumId w:val="42"/>
  </w:num>
  <w:num w:numId="40">
    <w:abstractNumId w:val="43"/>
  </w:num>
  <w:num w:numId="41">
    <w:abstractNumId w:val="50"/>
  </w:num>
  <w:num w:numId="42">
    <w:abstractNumId w:val="53"/>
  </w:num>
  <w:num w:numId="43">
    <w:abstractNumId w:val="54"/>
  </w:num>
  <w:num w:numId="44">
    <w:abstractNumId w:val="57"/>
  </w:num>
  <w:num w:numId="45">
    <w:abstractNumId w:val="58"/>
  </w:num>
  <w:num w:numId="46">
    <w:abstractNumId w:val="60"/>
  </w:num>
  <w:num w:numId="47">
    <w:abstractNumId w:val="61"/>
  </w:num>
  <w:num w:numId="48">
    <w:abstractNumId w:val="62"/>
  </w:num>
  <w:num w:numId="49">
    <w:abstractNumId w:val="64"/>
  </w:num>
  <w:num w:numId="50">
    <w:abstractNumId w:val="65"/>
  </w:num>
  <w:num w:numId="51">
    <w:abstractNumId w:val="24"/>
  </w:num>
  <w:num w:numId="52">
    <w:abstractNumId w:val="44"/>
  </w:num>
  <w:num w:numId="53">
    <w:abstractNumId w:val="55"/>
  </w:num>
  <w:num w:numId="54">
    <w:abstractNumId w:val="47"/>
  </w:num>
  <w:num w:numId="55">
    <w:abstractNumId w:val="49"/>
  </w:num>
  <w:num w:numId="56">
    <w:abstractNumId w:val="37"/>
  </w:num>
  <w:num w:numId="57">
    <w:abstractNumId w:val="56"/>
  </w:num>
  <w:num w:numId="58">
    <w:abstractNumId w:val="63"/>
  </w:num>
  <w:num w:numId="59">
    <w:abstractNumId w:val="5"/>
  </w:num>
  <w:num w:numId="60">
    <w:abstractNumId w:val="3"/>
  </w:num>
  <w:num w:numId="61">
    <w:abstractNumId w:val="0"/>
  </w:num>
  <w:num w:numId="62">
    <w:abstractNumId w:val="48"/>
  </w:num>
  <w:num w:numId="63">
    <w:abstractNumId w:val="19"/>
  </w:num>
  <w:num w:numId="64">
    <w:abstractNumId w:val="19"/>
    <w:lvlOverride w:ilvl="0">
      <w:startOverride w:val="1"/>
    </w:lvlOverride>
  </w:num>
  <w:num w:numId="65">
    <w:abstractNumId w:val="19"/>
    <w:lvlOverride w:ilvl="0">
      <w:startOverride w:val="1"/>
    </w:lvlOverride>
  </w:num>
  <w:num w:numId="66">
    <w:abstractNumId w:val="52"/>
  </w:num>
  <w:num w:numId="67">
    <w:abstractNumId w:val="14"/>
  </w:num>
  <w:num w:numId="68">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20"/>
  <w:hyphenationZone w:val="425"/>
  <w:characterSpacingControl w:val="doNotCompress"/>
  <w:hdrShapeDefaults>
    <o:shapedefaults v:ext="edit" spidmax="409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40"/>
    <w:rsid w:val="0000036F"/>
    <w:rsid w:val="00000CDA"/>
    <w:rsid w:val="00001DB4"/>
    <w:rsid w:val="00004077"/>
    <w:rsid w:val="00005536"/>
    <w:rsid w:val="00006896"/>
    <w:rsid w:val="00006B63"/>
    <w:rsid w:val="00006E1F"/>
    <w:rsid w:val="000070D7"/>
    <w:rsid w:val="00010161"/>
    <w:rsid w:val="0001145C"/>
    <w:rsid w:val="000118EE"/>
    <w:rsid w:val="00013867"/>
    <w:rsid w:val="0001423E"/>
    <w:rsid w:val="00015071"/>
    <w:rsid w:val="000158FD"/>
    <w:rsid w:val="00015A82"/>
    <w:rsid w:val="0001788C"/>
    <w:rsid w:val="0002045A"/>
    <w:rsid w:val="00020EC8"/>
    <w:rsid w:val="00021D37"/>
    <w:rsid w:val="00021DC7"/>
    <w:rsid w:val="00022AA7"/>
    <w:rsid w:val="000233DD"/>
    <w:rsid w:val="00023D0B"/>
    <w:rsid w:val="000306BF"/>
    <w:rsid w:val="00030D27"/>
    <w:rsid w:val="00031112"/>
    <w:rsid w:val="000340B4"/>
    <w:rsid w:val="000360AD"/>
    <w:rsid w:val="00036E9F"/>
    <w:rsid w:val="00040C3A"/>
    <w:rsid w:val="000415D6"/>
    <w:rsid w:val="00042E0A"/>
    <w:rsid w:val="000453BA"/>
    <w:rsid w:val="0004600C"/>
    <w:rsid w:val="000467CB"/>
    <w:rsid w:val="00050AF2"/>
    <w:rsid w:val="00051434"/>
    <w:rsid w:val="000515A0"/>
    <w:rsid w:val="00052E90"/>
    <w:rsid w:val="00055E09"/>
    <w:rsid w:val="00056FCB"/>
    <w:rsid w:val="00057F3D"/>
    <w:rsid w:val="00061211"/>
    <w:rsid w:val="00062CBF"/>
    <w:rsid w:val="00064450"/>
    <w:rsid w:val="00065CED"/>
    <w:rsid w:val="00066A41"/>
    <w:rsid w:val="00067A5D"/>
    <w:rsid w:val="000704F3"/>
    <w:rsid w:val="00070AAA"/>
    <w:rsid w:val="000716C5"/>
    <w:rsid w:val="00071D45"/>
    <w:rsid w:val="000759E6"/>
    <w:rsid w:val="00075CCC"/>
    <w:rsid w:val="00075E23"/>
    <w:rsid w:val="000817A0"/>
    <w:rsid w:val="00084342"/>
    <w:rsid w:val="00084F3A"/>
    <w:rsid w:val="00085433"/>
    <w:rsid w:val="00085F92"/>
    <w:rsid w:val="000868EB"/>
    <w:rsid w:val="0008710E"/>
    <w:rsid w:val="0008768F"/>
    <w:rsid w:val="0009108D"/>
    <w:rsid w:val="00093001"/>
    <w:rsid w:val="0009344A"/>
    <w:rsid w:val="000A250C"/>
    <w:rsid w:val="000A3009"/>
    <w:rsid w:val="000A392E"/>
    <w:rsid w:val="000A575F"/>
    <w:rsid w:val="000A576A"/>
    <w:rsid w:val="000A7A3E"/>
    <w:rsid w:val="000B1FA9"/>
    <w:rsid w:val="000B310F"/>
    <w:rsid w:val="000B7116"/>
    <w:rsid w:val="000B79D9"/>
    <w:rsid w:val="000C2C6C"/>
    <w:rsid w:val="000C5C7B"/>
    <w:rsid w:val="000D069D"/>
    <w:rsid w:val="000D10DB"/>
    <w:rsid w:val="000D360F"/>
    <w:rsid w:val="000D3DED"/>
    <w:rsid w:val="000D3F36"/>
    <w:rsid w:val="000D4F9F"/>
    <w:rsid w:val="000D6F62"/>
    <w:rsid w:val="000D7225"/>
    <w:rsid w:val="000E5EB5"/>
    <w:rsid w:val="000E6071"/>
    <w:rsid w:val="000E79D4"/>
    <w:rsid w:val="000F1101"/>
    <w:rsid w:val="000F2317"/>
    <w:rsid w:val="000F35ED"/>
    <w:rsid w:val="000F362F"/>
    <w:rsid w:val="000F3D43"/>
    <w:rsid w:val="000F5B3D"/>
    <w:rsid w:val="000F6123"/>
    <w:rsid w:val="000F63FE"/>
    <w:rsid w:val="000F6937"/>
    <w:rsid w:val="00104DB0"/>
    <w:rsid w:val="00107131"/>
    <w:rsid w:val="0010736F"/>
    <w:rsid w:val="00107CD4"/>
    <w:rsid w:val="001106BA"/>
    <w:rsid w:val="00113F73"/>
    <w:rsid w:val="001215EE"/>
    <w:rsid w:val="00121CC2"/>
    <w:rsid w:val="001225BC"/>
    <w:rsid w:val="00124864"/>
    <w:rsid w:val="00126A29"/>
    <w:rsid w:val="00131133"/>
    <w:rsid w:val="00133EE5"/>
    <w:rsid w:val="0013433B"/>
    <w:rsid w:val="00134CC8"/>
    <w:rsid w:val="00135276"/>
    <w:rsid w:val="00135505"/>
    <w:rsid w:val="00135CF3"/>
    <w:rsid w:val="00140614"/>
    <w:rsid w:val="00152794"/>
    <w:rsid w:val="00160164"/>
    <w:rsid w:val="00161DCA"/>
    <w:rsid w:val="00166189"/>
    <w:rsid w:val="00167A34"/>
    <w:rsid w:val="00167AFC"/>
    <w:rsid w:val="00167F7E"/>
    <w:rsid w:val="00170CC8"/>
    <w:rsid w:val="00171B0E"/>
    <w:rsid w:val="001736A0"/>
    <w:rsid w:val="001750B8"/>
    <w:rsid w:val="001756FD"/>
    <w:rsid w:val="00176BD0"/>
    <w:rsid w:val="00180CEB"/>
    <w:rsid w:val="00181F34"/>
    <w:rsid w:val="001838E3"/>
    <w:rsid w:val="0018536C"/>
    <w:rsid w:val="00187A7A"/>
    <w:rsid w:val="00190E24"/>
    <w:rsid w:val="001958EE"/>
    <w:rsid w:val="00195A40"/>
    <w:rsid w:val="001A41AE"/>
    <w:rsid w:val="001A5135"/>
    <w:rsid w:val="001A6DA1"/>
    <w:rsid w:val="001A7870"/>
    <w:rsid w:val="001A7A4A"/>
    <w:rsid w:val="001B3496"/>
    <w:rsid w:val="001B5E70"/>
    <w:rsid w:val="001B5FEC"/>
    <w:rsid w:val="001B62F3"/>
    <w:rsid w:val="001C0FEB"/>
    <w:rsid w:val="001C103F"/>
    <w:rsid w:val="001C1B41"/>
    <w:rsid w:val="001C2154"/>
    <w:rsid w:val="001C23FB"/>
    <w:rsid w:val="001C3F41"/>
    <w:rsid w:val="001C638D"/>
    <w:rsid w:val="001D013D"/>
    <w:rsid w:val="001D0711"/>
    <w:rsid w:val="001D18C7"/>
    <w:rsid w:val="001D336A"/>
    <w:rsid w:val="001D574B"/>
    <w:rsid w:val="001D65EF"/>
    <w:rsid w:val="001E03A6"/>
    <w:rsid w:val="001E15B6"/>
    <w:rsid w:val="001E1A8E"/>
    <w:rsid w:val="001E23F6"/>
    <w:rsid w:val="001E2705"/>
    <w:rsid w:val="001E2854"/>
    <w:rsid w:val="001E3038"/>
    <w:rsid w:val="001E5AE7"/>
    <w:rsid w:val="001E73A9"/>
    <w:rsid w:val="001F1118"/>
    <w:rsid w:val="001F11D6"/>
    <w:rsid w:val="001F26AD"/>
    <w:rsid w:val="001F3566"/>
    <w:rsid w:val="001F41C6"/>
    <w:rsid w:val="001F497A"/>
    <w:rsid w:val="00200216"/>
    <w:rsid w:val="00202F3A"/>
    <w:rsid w:val="00203754"/>
    <w:rsid w:val="00204625"/>
    <w:rsid w:val="00204906"/>
    <w:rsid w:val="00204B61"/>
    <w:rsid w:val="002102A0"/>
    <w:rsid w:val="00210883"/>
    <w:rsid w:val="002128F4"/>
    <w:rsid w:val="0021294E"/>
    <w:rsid w:val="00212AD9"/>
    <w:rsid w:val="00217ABC"/>
    <w:rsid w:val="002220DE"/>
    <w:rsid w:val="00222C27"/>
    <w:rsid w:val="002250A3"/>
    <w:rsid w:val="0022549D"/>
    <w:rsid w:val="0022677C"/>
    <w:rsid w:val="00226E1A"/>
    <w:rsid w:val="002310F2"/>
    <w:rsid w:val="00231909"/>
    <w:rsid w:val="00231A57"/>
    <w:rsid w:val="0023254C"/>
    <w:rsid w:val="00233E9C"/>
    <w:rsid w:val="00234572"/>
    <w:rsid w:val="00235217"/>
    <w:rsid w:val="002364F9"/>
    <w:rsid w:val="00236694"/>
    <w:rsid w:val="00240E5D"/>
    <w:rsid w:val="0024146A"/>
    <w:rsid w:val="00241EDC"/>
    <w:rsid w:val="00244CED"/>
    <w:rsid w:val="00245886"/>
    <w:rsid w:val="00246D1F"/>
    <w:rsid w:val="00247403"/>
    <w:rsid w:val="00247542"/>
    <w:rsid w:val="002552CA"/>
    <w:rsid w:val="00255DD4"/>
    <w:rsid w:val="0026202A"/>
    <w:rsid w:val="00262092"/>
    <w:rsid w:val="002662CF"/>
    <w:rsid w:val="00266B61"/>
    <w:rsid w:val="0026712A"/>
    <w:rsid w:val="002704DB"/>
    <w:rsid w:val="0027199F"/>
    <w:rsid w:val="00272FBC"/>
    <w:rsid w:val="00276DF8"/>
    <w:rsid w:val="00277EF9"/>
    <w:rsid w:val="0028121C"/>
    <w:rsid w:val="002827DD"/>
    <w:rsid w:val="00283DC7"/>
    <w:rsid w:val="0028419B"/>
    <w:rsid w:val="00286263"/>
    <w:rsid w:val="002922C0"/>
    <w:rsid w:val="00294E70"/>
    <w:rsid w:val="00294F12"/>
    <w:rsid w:val="00297A07"/>
    <w:rsid w:val="002A0AAE"/>
    <w:rsid w:val="002A1C13"/>
    <w:rsid w:val="002A2289"/>
    <w:rsid w:val="002A5820"/>
    <w:rsid w:val="002B2E91"/>
    <w:rsid w:val="002B40C3"/>
    <w:rsid w:val="002B47C0"/>
    <w:rsid w:val="002C1DE3"/>
    <w:rsid w:val="002C3E02"/>
    <w:rsid w:val="002C5659"/>
    <w:rsid w:val="002C6B98"/>
    <w:rsid w:val="002C79FA"/>
    <w:rsid w:val="002D2B26"/>
    <w:rsid w:val="002D3271"/>
    <w:rsid w:val="002D7EA2"/>
    <w:rsid w:val="002E0029"/>
    <w:rsid w:val="002E10BB"/>
    <w:rsid w:val="002E187C"/>
    <w:rsid w:val="002E25FD"/>
    <w:rsid w:val="002E3439"/>
    <w:rsid w:val="002E4AEA"/>
    <w:rsid w:val="002F2841"/>
    <w:rsid w:val="002F48A2"/>
    <w:rsid w:val="002F6FB1"/>
    <w:rsid w:val="00300BD8"/>
    <w:rsid w:val="00301374"/>
    <w:rsid w:val="00302733"/>
    <w:rsid w:val="003034B1"/>
    <w:rsid w:val="00303D52"/>
    <w:rsid w:val="00304CC9"/>
    <w:rsid w:val="00307ABC"/>
    <w:rsid w:val="00307AC1"/>
    <w:rsid w:val="003101CB"/>
    <w:rsid w:val="00314078"/>
    <w:rsid w:val="0031535D"/>
    <w:rsid w:val="00316876"/>
    <w:rsid w:val="003169E1"/>
    <w:rsid w:val="003205EC"/>
    <w:rsid w:val="003211C6"/>
    <w:rsid w:val="003236D1"/>
    <w:rsid w:val="00325630"/>
    <w:rsid w:val="00325DF2"/>
    <w:rsid w:val="00327DFE"/>
    <w:rsid w:val="0033028D"/>
    <w:rsid w:val="003305A4"/>
    <w:rsid w:val="0033169F"/>
    <w:rsid w:val="00335AB6"/>
    <w:rsid w:val="00336241"/>
    <w:rsid w:val="00340CFF"/>
    <w:rsid w:val="003414DC"/>
    <w:rsid w:val="00341BCB"/>
    <w:rsid w:val="00342E19"/>
    <w:rsid w:val="00343C1A"/>
    <w:rsid w:val="00344B8A"/>
    <w:rsid w:val="00346B29"/>
    <w:rsid w:val="00346C95"/>
    <w:rsid w:val="00350F27"/>
    <w:rsid w:val="00354508"/>
    <w:rsid w:val="00354851"/>
    <w:rsid w:val="0035491B"/>
    <w:rsid w:val="00355952"/>
    <w:rsid w:val="00356185"/>
    <w:rsid w:val="0035772D"/>
    <w:rsid w:val="00357F05"/>
    <w:rsid w:val="00360281"/>
    <w:rsid w:val="00360380"/>
    <w:rsid w:val="00361415"/>
    <w:rsid w:val="00361761"/>
    <w:rsid w:val="00365872"/>
    <w:rsid w:val="0037519E"/>
    <w:rsid w:val="0037652E"/>
    <w:rsid w:val="00376ECB"/>
    <w:rsid w:val="00381B69"/>
    <w:rsid w:val="00382AB6"/>
    <w:rsid w:val="00386CF0"/>
    <w:rsid w:val="00387F64"/>
    <w:rsid w:val="00390EEB"/>
    <w:rsid w:val="00392395"/>
    <w:rsid w:val="003950CF"/>
    <w:rsid w:val="003A0633"/>
    <w:rsid w:val="003A07F3"/>
    <w:rsid w:val="003A0FBC"/>
    <w:rsid w:val="003A329C"/>
    <w:rsid w:val="003A5E0F"/>
    <w:rsid w:val="003B048D"/>
    <w:rsid w:val="003B0C80"/>
    <w:rsid w:val="003B3688"/>
    <w:rsid w:val="003B3838"/>
    <w:rsid w:val="003B46B9"/>
    <w:rsid w:val="003B5294"/>
    <w:rsid w:val="003B536E"/>
    <w:rsid w:val="003C050B"/>
    <w:rsid w:val="003C1236"/>
    <w:rsid w:val="003C3D97"/>
    <w:rsid w:val="003C4FF9"/>
    <w:rsid w:val="003C6534"/>
    <w:rsid w:val="003C676B"/>
    <w:rsid w:val="003D1B25"/>
    <w:rsid w:val="003D2581"/>
    <w:rsid w:val="003D29CC"/>
    <w:rsid w:val="003D3BC2"/>
    <w:rsid w:val="003D67C7"/>
    <w:rsid w:val="003D7C03"/>
    <w:rsid w:val="003E17D7"/>
    <w:rsid w:val="003E25F9"/>
    <w:rsid w:val="003E2A1E"/>
    <w:rsid w:val="003E432F"/>
    <w:rsid w:val="003E4DE4"/>
    <w:rsid w:val="003E50A4"/>
    <w:rsid w:val="003E6CA1"/>
    <w:rsid w:val="003E7131"/>
    <w:rsid w:val="003F2799"/>
    <w:rsid w:val="003F2B27"/>
    <w:rsid w:val="003F31D5"/>
    <w:rsid w:val="003F3CE7"/>
    <w:rsid w:val="003F4628"/>
    <w:rsid w:val="003F5072"/>
    <w:rsid w:val="003F6035"/>
    <w:rsid w:val="0040085F"/>
    <w:rsid w:val="00401262"/>
    <w:rsid w:val="00404887"/>
    <w:rsid w:val="00405395"/>
    <w:rsid w:val="00405479"/>
    <w:rsid w:val="0040569F"/>
    <w:rsid w:val="0040623F"/>
    <w:rsid w:val="004069C7"/>
    <w:rsid w:val="00407CFD"/>
    <w:rsid w:val="00415EA0"/>
    <w:rsid w:val="00416101"/>
    <w:rsid w:val="004165C2"/>
    <w:rsid w:val="00416E06"/>
    <w:rsid w:val="00416F6B"/>
    <w:rsid w:val="00417EEF"/>
    <w:rsid w:val="00420418"/>
    <w:rsid w:val="004213F7"/>
    <w:rsid w:val="00423099"/>
    <w:rsid w:val="0042599F"/>
    <w:rsid w:val="00426114"/>
    <w:rsid w:val="004264E1"/>
    <w:rsid w:val="00426BBD"/>
    <w:rsid w:val="00427552"/>
    <w:rsid w:val="00427C38"/>
    <w:rsid w:val="0043055C"/>
    <w:rsid w:val="00430B7A"/>
    <w:rsid w:val="004312E6"/>
    <w:rsid w:val="00431A01"/>
    <w:rsid w:val="004321C9"/>
    <w:rsid w:val="004340E2"/>
    <w:rsid w:val="00434723"/>
    <w:rsid w:val="00434DA4"/>
    <w:rsid w:val="00437655"/>
    <w:rsid w:val="00441ECB"/>
    <w:rsid w:val="00442965"/>
    <w:rsid w:val="00450792"/>
    <w:rsid w:val="004525B3"/>
    <w:rsid w:val="00452D1C"/>
    <w:rsid w:val="0045460C"/>
    <w:rsid w:val="004551B8"/>
    <w:rsid w:val="004571ED"/>
    <w:rsid w:val="00457548"/>
    <w:rsid w:val="00460A4E"/>
    <w:rsid w:val="00462013"/>
    <w:rsid w:val="00467B7E"/>
    <w:rsid w:val="00467BC3"/>
    <w:rsid w:val="004718AD"/>
    <w:rsid w:val="00473FC2"/>
    <w:rsid w:val="00477592"/>
    <w:rsid w:val="00482EC8"/>
    <w:rsid w:val="00484F6F"/>
    <w:rsid w:val="00486F1C"/>
    <w:rsid w:val="0049419D"/>
    <w:rsid w:val="004948B8"/>
    <w:rsid w:val="00494FD9"/>
    <w:rsid w:val="004A16CA"/>
    <w:rsid w:val="004A1CF1"/>
    <w:rsid w:val="004A1FC2"/>
    <w:rsid w:val="004A219D"/>
    <w:rsid w:val="004A367A"/>
    <w:rsid w:val="004A401B"/>
    <w:rsid w:val="004A603C"/>
    <w:rsid w:val="004A6D2D"/>
    <w:rsid w:val="004A71BE"/>
    <w:rsid w:val="004A7BEF"/>
    <w:rsid w:val="004B1244"/>
    <w:rsid w:val="004B20B7"/>
    <w:rsid w:val="004B22B7"/>
    <w:rsid w:val="004B6978"/>
    <w:rsid w:val="004C00C5"/>
    <w:rsid w:val="004C1B63"/>
    <w:rsid w:val="004C20D2"/>
    <w:rsid w:val="004C25AF"/>
    <w:rsid w:val="004C425D"/>
    <w:rsid w:val="004C4B62"/>
    <w:rsid w:val="004C54C9"/>
    <w:rsid w:val="004C790D"/>
    <w:rsid w:val="004C7EC6"/>
    <w:rsid w:val="004D03A9"/>
    <w:rsid w:val="004D11BD"/>
    <w:rsid w:val="004D195F"/>
    <w:rsid w:val="004D2720"/>
    <w:rsid w:val="004D2971"/>
    <w:rsid w:val="004D2B84"/>
    <w:rsid w:val="004D2CFC"/>
    <w:rsid w:val="004D4033"/>
    <w:rsid w:val="004D5AF6"/>
    <w:rsid w:val="004D6025"/>
    <w:rsid w:val="004D6618"/>
    <w:rsid w:val="004D6750"/>
    <w:rsid w:val="004E0D00"/>
    <w:rsid w:val="004E2649"/>
    <w:rsid w:val="004E3116"/>
    <w:rsid w:val="004E3EA1"/>
    <w:rsid w:val="004E573F"/>
    <w:rsid w:val="004E6F56"/>
    <w:rsid w:val="004F0612"/>
    <w:rsid w:val="004F0D4A"/>
    <w:rsid w:val="004F47A6"/>
    <w:rsid w:val="004F47D1"/>
    <w:rsid w:val="004F47FE"/>
    <w:rsid w:val="004F5950"/>
    <w:rsid w:val="004F627D"/>
    <w:rsid w:val="00501399"/>
    <w:rsid w:val="00501E91"/>
    <w:rsid w:val="00503E0C"/>
    <w:rsid w:val="00504BF4"/>
    <w:rsid w:val="0050633D"/>
    <w:rsid w:val="00507BC4"/>
    <w:rsid w:val="00511E98"/>
    <w:rsid w:val="005128E4"/>
    <w:rsid w:val="005133DB"/>
    <w:rsid w:val="005144D1"/>
    <w:rsid w:val="00521254"/>
    <w:rsid w:val="00522CA6"/>
    <w:rsid w:val="0052313E"/>
    <w:rsid w:val="00525425"/>
    <w:rsid w:val="00525560"/>
    <w:rsid w:val="00525F27"/>
    <w:rsid w:val="00527E49"/>
    <w:rsid w:val="005318F9"/>
    <w:rsid w:val="005354F3"/>
    <w:rsid w:val="00536923"/>
    <w:rsid w:val="00542BDB"/>
    <w:rsid w:val="005430CE"/>
    <w:rsid w:val="005448E7"/>
    <w:rsid w:val="00544C49"/>
    <w:rsid w:val="00546754"/>
    <w:rsid w:val="00547F44"/>
    <w:rsid w:val="005516A1"/>
    <w:rsid w:val="0055311F"/>
    <w:rsid w:val="005532E4"/>
    <w:rsid w:val="0055394F"/>
    <w:rsid w:val="00553BA9"/>
    <w:rsid w:val="00556FC1"/>
    <w:rsid w:val="00563C24"/>
    <w:rsid w:val="005646A2"/>
    <w:rsid w:val="00565744"/>
    <w:rsid w:val="00565FB7"/>
    <w:rsid w:val="00567F49"/>
    <w:rsid w:val="0057128A"/>
    <w:rsid w:val="0057224B"/>
    <w:rsid w:val="0057402A"/>
    <w:rsid w:val="005771D0"/>
    <w:rsid w:val="00582012"/>
    <w:rsid w:val="00582BA0"/>
    <w:rsid w:val="0058379E"/>
    <w:rsid w:val="00583B4D"/>
    <w:rsid w:val="00583CCD"/>
    <w:rsid w:val="00585421"/>
    <w:rsid w:val="0058554F"/>
    <w:rsid w:val="0058612F"/>
    <w:rsid w:val="0058669D"/>
    <w:rsid w:val="0058748D"/>
    <w:rsid w:val="00590538"/>
    <w:rsid w:val="00590C32"/>
    <w:rsid w:val="0059191A"/>
    <w:rsid w:val="00591AFF"/>
    <w:rsid w:val="005921FF"/>
    <w:rsid w:val="005937F1"/>
    <w:rsid w:val="0059478E"/>
    <w:rsid w:val="005958BF"/>
    <w:rsid w:val="00595C1D"/>
    <w:rsid w:val="00595D54"/>
    <w:rsid w:val="005970BA"/>
    <w:rsid w:val="00597DAC"/>
    <w:rsid w:val="005A0555"/>
    <w:rsid w:val="005A4AB1"/>
    <w:rsid w:val="005A596C"/>
    <w:rsid w:val="005A6D0E"/>
    <w:rsid w:val="005A7247"/>
    <w:rsid w:val="005A7F75"/>
    <w:rsid w:val="005B0986"/>
    <w:rsid w:val="005B10B9"/>
    <w:rsid w:val="005B2295"/>
    <w:rsid w:val="005B4E9F"/>
    <w:rsid w:val="005B52B0"/>
    <w:rsid w:val="005B5EF3"/>
    <w:rsid w:val="005B6806"/>
    <w:rsid w:val="005C16DB"/>
    <w:rsid w:val="005C3530"/>
    <w:rsid w:val="005C3D03"/>
    <w:rsid w:val="005C4225"/>
    <w:rsid w:val="005C4CA5"/>
    <w:rsid w:val="005C5085"/>
    <w:rsid w:val="005C79F1"/>
    <w:rsid w:val="005C7D78"/>
    <w:rsid w:val="005D0DB1"/>
    <w:rsid w:val="005D10B1"/>
    <w:rsid w:val="005D131B"/>
    <w:rsid w:val="005D4D3C"/>
    <w:rsid w:val="005D54AD"/>
    <w:rsid w:val="005D6319"/>
    <w:rsid w:val="005D6812"/>
    <w:rsid w:val="005E182E"/>
    <w:rsid w:val="005E1908"/>
    <w:rsid w:val="005E27AD"/>
    <w:rsid w:val="005E6C79"/>
    <w:rsid w:val="005E6DD8"/>
    <w:rsid w:val="005E7043"/>
    <w:rsid w:val="005E7308"/>
    <w:rsid w:val="005E7390"/>
    <w:rsid w:val="005F0DAD"/>
    <w:rsid w:val="005F0F33"/>
    <w:rsid w:val="005F309E"/>
    <w:rsid w:val="005F312E"/>
    <w:rsid w:val="005F4914"/>
    <w:rsid w:val="005F6AA4"/>
    <w:rsid w:val="00600DEB"/>
    <w:rsid w:val="00602796"/>
    <w:rsid w:val="0061124F"/>
    <w:rsid w:val="00612043"/>
    <w:rsid w:val="006125C3"/>
    <w:rsid w:val="00623CA5"/>
    <w:rsid w:val="00624B62"/>
    <w:rsid w:val="00625C58"/>
    <w:rsid w:val="006263E9"/>
    <w:rsid w:val="00627C9F"/>
    <w:rsid w:val="006311E9"/>
    <w:rsid w:val="00631B7C"/>
    <w:rsid w:val="006320BF"/>
    <w:rsid w:val="00632354"/>
    <w:rsid w:val="00632D09"/>
    <w:rsid w:val="00636EBC"/>
    <w:rsid w:val="00640B58"/>
    <w:rsid w:val="00642810"/>
    <w:rsid w:val="00642A45"/>
    <w:rsid w:val="00643DFE"/>
    <w:rsid w:val="006450B4"/>
    <w:rsid w:val="006469D5"/>
    <w:rsid w:val="00647D9D"/>
    <w:rsid w:val="0065183D"/>
    <w:rsid w:val="00652333"/>
    <w:rsid w:val="0065391F"/>
    <w:rsid w:val="00653AB0"/>
    <w:rsid w:val="00653C92"/>
    <w:rsid w:val="006552F0"/>
    <w:rsid w:val="00656212"/>
    <w:rsid w:val="0065706A"/>
    <w:rsid w:val="00657B49"/>
    <w:rsid w:val="00661700"/>
    <w:rsid w:val="00662AC3"/>
    <w:rsid w:val="00662BC9"/>
    <w:rsid w:val="00662EF0"/>
    <w:rsid w:val="00666EDC"/>
    <w:rsid w:val="00666F09"/>
    <w:rsid w:val="00667439"/>
    <w:rsid w:val="00667CAA"/>
    <w:rsid w:val="00671107"/>
    <w:rsid w:val="00672209"/>
    <w:rsid w:val="00673A71"/>
    <w:rsid w:val="00674365"/>
    <w:rsid w:val="00676A1B"/>
    <w:rsid w:val="0068009E"/>
    <w:rsid w:val="00681076"/>
    <w:rsid w:val="006816D4"/>
    <w:rsid w:val="00681E9B"/>
    <w:rsid w:val="00682365"/>
    <w:rsid w:val="0068445C"/>
    <w:rsid w:val="006853C4"/>
    <w:rsid w:val="00686B78"/>
    <w:rsid w:val="00686CF4"/>
    <w:rsid w:val="006906A7"/>
    <w:rsid w:val="006907E8"/>
    <w:rsid w:val="00690833"/>
    <w:rsid w:val="0069095F"/>
    <w:rsid w:val="006909AE"/>
    <w:rsid w:val="00692219"/>
    <w:rsid w:val="00692FE6"/>
    <w:rsid w:val="006937C4"/>
    <w:rsid w:val="00696BB1"/>
    <w:rsid w:val="006A17D2"/>
    <w:rsid w:val="006A35B1"/>
    <w:rsid w:val="006A39C6"/>
    <w:rsid w:val="006A4B39"/>
    <w:rsid w:val="006A5527"/>
    <w:rsid w:val="006A73E6"/>
    <w:rsid w:val="006B0E02"/>
    <w:rsid w:val="006B2D5C"/>
    <w:rsid w:val="006B4D40"/>
    <w:rsid w:val="006B4E8A"/>
    <w:rsid w:val="006B78B3"/>
    <w:rsid w:val="006C158D"/>
    <w:rsid w:val="006C1A20"/>
    <w:rsid w:val="006C1B53"/>
    <w:rsid w:val="006C2BA2"/>
    <w:rsid w:val="006C36DF"/>
    <w:rsid w:val="006C4EB1"/>
    <w:rsid w:val="006C5ABB"/>
    <w:rsid w:val="006C5AF2"/>
    <w:rsid w:val="006C61AD"/>
    <w:rsid w:val="006C6BB0"/>
    <w:rsid w:val="006D405E"/>
    <w:rsid w:val="006E0166"/>
    <w:rsid w:val="006E3F97"/>
    <w:rsid w:val="006E5A5A"/>
    <w:rsid w:val="006E69B9"/>
    <w:rsid w:val="006E7B34"/>
    <w:rsid w:val="006F179A"/>
    <w:rsid w:val="006F2A97"/>
    <w:rsid w:val="006F386E"/>
    <w:rsid w:val="006F3F61"/>
    <w:rsid w:val="00701FF4"/>
    <w:rsid w:val="00702559"/>
    <w:rsid w:val="00702A12"/>
    <w:rsid w:val="00704BE8"/>
    <w:rsid w:val="0070697F"/>
    <w:rsid w:val="00707B80"/>
    <w:rsid w:val="0072199C"/>
    <w:rsid w:val="00722C9F"/>
    <w:rsid w:val="00723454"/>
    <w:rsid w:val="007249F6"/>
    <w:rsid w:val="007253B8"/>
    <w:rsid w:val="00725B49"/>
    <w:rsid w:val="007301BC"/>
    <w:rsid w:val="00730AE8"/>
    <w:rsid w:val="0073240B"/>
    <w:rsid w:val="007325B3"/>
    <w:rsid w:val="00733AF0"/>
    <w:rsid w:val="0073631B"/>
    <w:rsid w:val="0073741F"/>
    <w:rsid w:val="00740FD1"/>
    <w:rsid w:val="00741D30"/>
    <w:rsid w:val="00742F41"/>
    <w:rsid w:val="007433E1"/>
    <w:rsid w:val="00746AE9"/>
    <w:rsid w:val="0074719D"/>
    <w:rsid w:val="007504E3"/>
    <w:rsid w:val="007604A9"/>
    <w:rsid w:val="0076522D"/>
    <w:rsid w:val="0076643F"/>
    <w:rsid w:val="00766694"/>
    <w:rsid w:val="0076684E"/>
    <w:rsid w:val="00771931"/>
    <w:rsid w:val="00772BE1"/>
    <w:rsid w:val="00772F28"/>
    <w:rsid w:val="0077307B"/>
    <w:rsid w:val="00774333"/>
    <w:rsid w:val="00775155"/>
    <w:rsid w:val="00776B4C"/>
    <w:rsid w:val="00777A3C"/>
    <w:rsid w:val="00777F63"/>
    <w:rsid w:val="007806FE"/>
    <w:rsid w:val="00780D63"/>
    <w:rsid w:val="00781F0E"/>
    <w:rsid w:val="007846B2"/>
    <w:rsid w:val="00784791"/>
    <w:rsid w:val="00784995"/>
    <w:rsid w:val="00786D79"/>
    <w:rsid w:val="00787079"/>
    <w:rsid w:val="0078718C"/>
    <w:rsid w:val="00787C4F"/>
    <w:rsid w:val="0079257F"/>
    <w:rsid w:val="00794F52"/>
    <w:rsid w:val="00795D99"/>
    <w:rsid w:val="0079668B"/>
    <w:rsid w:val="007A058F"/>
    <w:rsid w:val="007A0AF3"/>
    <w:rsid w:val="007A117C"/>
    <w:rsid w:val="007A15B4"/>
    <w:rsid w:val="007A2E94"/>
    <w:rsid w:val="007A338C"/>
    <w:rsid w:val="007A469D"/>
    <w:rsid w:val="007A50C8"/>
    <w:rsid w:val="007A560B"/>
    <w:rsid w:val="007A5817"/>
    <w:rsid w:val="007A5EF8"/>
    <w:rsid w:val="007A702F"/>
    <w:rsid w:val="007A7502"/>
    <w:rsid w:val="007B1916"/>
    <w:rsid w:val="007B213C"/>
    <w:rsid w:val="007B31A0"/>
    <w:rsid w:val="007B32F6"/>
    <w:rsid w:val="007B3574"/>
    <w:rsid w:val="007B60E9"/>
    <w:rsid w:val="007B6CC3"/>
    <w:rsid w:val="007B73ED"/>
    <w:rsid w:val="007B7E7E"/>
    <w:rsid w:val="007B7F46"/>
    <w:rsid w:val="007C013B"/>
    <w:rsid w:val="007C1352"/>
    <w:rsid w:val="007C3334"/>
    <w:rsid w:val="007C677B"/>
    <w:rsid w:val="007C756A"/>
    <w:rsid w:val="007C78DE"/>
    <w:rsid w:val="007D23F6"/>
    <w:rsid w:val="007D2B98"/>
    <w:rsid w:val="007D2C44"/>
    <w:rsid w:val="007D587A"/>
    <w:rsid w:val="007D6927"/>
    <w:rsid w:val="007E21BC"/>
    <w:rsid w:val="007E23E1"/>
    <w:rsid w:val="007E3366"/>
    <w:rsid w:val="007E5618"/>
    <w:rsid w:val="007F3B82"/>
    <w:rsid w:val="007F3F4A"/>
    <w:rsid w:val="007F409B"/>
    <w:rsid w:val="007F7184"/>
    <w:rsid w:val="007F7E9A"/>
    <w:rsid w:val="00802589"/>
    <w:rsid w:val="00803F1C"/>
    <w:rsid w:val="0080600E"/>
    <w:rsid w:val="0080714F"/>
    <w:rsid w:val="008138B7"/>
    <w:rsid w:val="0081422F"/>
    <w:rsid w:val="00815021"/>
    <w:rsid w:val="00817612"/>
    <w:rsid w:val="00820B53"/>
    <w:rsid w:val="008217E6"/>
    <w:rsid w:val="00823FEB"/>
    <w:rsid w:val="008266A7"/>
    <w:rsid w:val="00832C4F"/>
    <w:rsid w:val="0083362F"/>
    <w:rsid w:val="008338A4"/>
    <w:rsid w:val="00837C45"/>
    <w:rsid w:val="008412A9"/>
    <w:rsid w:val="00841427"/>
    <w:rsid w:val="00842DA9"/>
    <w:rsid w:val="00844730"/>
    <w:rsid w:val="008457C2"/>
    <w:rsid w:val="00845A6B"/>
    <w:rsid w:val="00845D5D"/>
    <w:rsid w:val="00851570"/>
    <w:rsid w:val="00857A63"/>
    <w:rsid w:val="00857A82"/>
    <w:rsid w:val="00860D3A"/>
    <w:rsid w:val="00863E73"/>
    <w:rsid w:val="00864785"/>
    <w:rsid w:val="00865D7C"/>
    <w:rsid w:val="00867215"/>
    <w:rsid w:val="00870ACB"/>
    <w:rsid w:val="0087375D"/>
    <w:rsid w:val="008737B8"/>
    <w:rsid w:val="00873836"/>
    <w:rsid w:val="00873E7C"/>
    <w:rsid w:val="008746F3"/>
    <w:rsid w:val="0087508D"/>
    <w:rsid w:val="00875DC6"/>
    <w:rsid w:val="00877994"/>
    <w:rsid w:val="00885737"/>
    <w:rsid w:val="00887712"/>
    <w:rsid w:val="00890650"/>
    <w:rsid w:val="008906C1"/>
    <w:rsid w:val="00891516"/>
    <w:rsid w:val="00892B5F"/>
    <w:rsid w:val="00893D1D"/>
    <w:rsid w:val="00896D4D"/>
    <w:rsid w:val="00897E12"/>
    <w:rsid w:val="008A015D"/>
    <w:rsid w:val="008A23E1"/>
    <w:rsid w:val="008A4067"/>
    <w:rsid w:val="008A6075"/>
    <w:rsid w:val="008A7D6D"/>
    <w:rsid w:val="008A7E0F"/>
    <w:rsid w:val="008B12F5"/>
    <w:rsid w:val="008B254F"/>
    <w:rsid w:val="008B2816"/>
    <w:rsid w:val="008B367C"/>
    <w:rsid w:val="008B379B"/>
    <w:rsid w:val="008B5076"/>
    <w:rsid w:val="008B6F59"/>
    <w:rsid w:val="008C0CAB"/>
    <w:rsid w:val="008C2181"/>
    <w:rsid w:val="008C3098"/>
    <w:rsid w:val="008C3124"/>
    <w:rsid w:val="008C3A79"/>
    <w:rsid w:val="008C4B24"/>
    <w:rsid w:val="008C6679"/>
    <w:rsid w:val="008D6093"/>
    <w:rsid w:val="008D65C0"/>
    <w:rsid w:val="008D7109"/>
    <w:rsid w:val="008D768D"/>
    <w:rsid w:val="008E220A"/>
    <w:rsid w:val="008E3759"/>
    <w:rsid w:val="008F0B5B"/>
    <w:rsid w:val="008F16BF"/>
    <w:rsid w:val="008F1912"/>
    <w:rsid w:val="008F1B28"/>
    <w:rsid w:val="008F218A"/>
    <w:rsid w:val="008F604B"/>
    <w:rsid w:val="008F6856"/>
    <w:rsid w:val="008F7900"/>
    <w:rsid w:val="009014A4"/>
    <w:rsid w:val="0090270B"/>
    <w:rsid w:val="00903CEA"/>
    <w:rsid w:val="00903EEB"/>
    <w:rsid w:val="009041DC"/>
    <w:rsid w:val="00906775"/>
    <w:rsid w:val="00906CB0"/>
    <w:rsid w:val="00907C27"/>
    <w:rsid w:val="00907D27"/>
    <w:rsid w:val="0091083E"/>
    <w:rsid w:val="00915920"/>
    <w:rsid w:val="00917B5A"/>
    <w:rsid w:val="00917C59"/>
    <w:rsid w:val="00917F7D"/>
    <w:rsid w:val="00920A58"/>
    <w:rsid w:val="00920A8C"/>
    <w:rsid w:val="0092111F"/>
    <w:rsid w:val="00921478"/>
    <w:rsid w:val="0092224F"/>
    <w:rsid w:val="009222D0"/>
    <w:rsid w:val="00922644"/>
    <w:rsid w:val="00923B64"/>
    <w:rsid w:val="00924DA2"/>
    <w:rsid w:val="009254F1"/>
    <w:rsid w:val="009278B2"/>
    <w:rsid w:val="00933072"/>
    <w:rsid w:val="009332CB"/>
    <w:rsid w:val="00933509"/>
    <w:rsid w:val="00934A2C"/>
    <w:rsid w:val="00937A8F"/>
    <w:rsid w:val="00940170"/>
    <w:rsid w:val="009405CB"/>
    <w:rsid w:val="0094357D"/>
    <w:rsid w:val="009464BF"/>
    <w:rsid w:val="00946BC7"/>
    <w:rsid w:val="00946BF7"/>
    <w:rsid w:val="00950EB2"/>
    <w:rsid w:val="00951CBC"/>
    <w:rsid w:val="00953946"/>
    <w:rsid w:val="009560CF"/>
    <w:rsid w:val="00956476"/>
    <w:rsid w:val="00956EBC"/>
    <w:rsid w:val="009576F7"/>
    <w:rsid w:val="009642A3"/>
    <w:rsid w:val="00964995"/>
    <w:rsid w:val="0096706E"/>
    <w:rsid w:val="00970DFD"/>
    <w:rsid w:val="00971ECD"/>
    <w:rsid w:val="00972375"/>
    <w:rsid w:val="009754C7"/>
    <w:rsid w:val="00975C4E"/>
    <w:rsid w:val="00975FF7"/>
    <w:rsid w:val="00981FBA"/>
    <w:rsid w:val="0098417A"/>
    <w:rsid w:val="0098485D"/>
    <w:rsid w:val="009856E8"/>
    <w:rsid w:val="00990109"/>
    <w:rsid w:val="00990316"/>
    <w:rsid w:val="0099160B"/>
    <w:rsid w:val="00992554"/>
    <w:rsid w:val="00994D29"/>
    <w:rsid w:val="00997BC5"/>
    <w:rsid w:val="009A0BE3"/>
    <w:rsid w:val="009A4E67"/>
    <w:rsid w:val="009A4F41"/>
    <w:rsid w:val="009A58C6"/>
    <w:rsid w:val="009A784F"/>
    <w:rsid w:val="009B0603"/>
    <w:rsid w:val="009B381B"/>
    <w:rsid w:val="009B433E"/>
    <w:rsid w:val="009B5916"/>
    <w:rsid w:val="009B5C4F"/>
    <w:rsid w:val="009C4EAA"/>
    <w:rsid w:val="009C6EE3"/>
    <w:rsid w:val="009D01B4"/>
    <w:rsid w:val="009D1753"/>
    <w:rsid w:val="009D3BE7"/>
    <w:rsid w:val="009D3F38"/>
    <w:rsid w:val="009D71ED"/>
    <w:rsid w:val="009D75E9"/>
    <w:rsid w:val="009D7611"/>
    <w:rsid w:val="009E0B61"/>
    <w:rsid w:val="009E19A0"/>
    <w:rsid w:val="009E1A90"/>
    <w:rsid w:val="009E45B9"/>
    <w:rsid w:val="009E53DE"/>
    <w:rsid w:val="009F2846"/>
    <w:rsid w:val="009F7101"/>
    <w:rsid w:val="00A02843"/>
    <w:rsid w:val="00A03BE6"/>
    <w:rsid w:val="00A14051"/>
    <w:rsid w:val="00A1446A"/>
    <w:rsid w:val="00A14FD6"/>
    <w:rsid w:val="00A1530E"/>
    <w:rsid w:val="00A15BE3"/>
    <w:rsid w:val="00A205E2"/>
    <w:rsid w:val="00A212F4"/>
    <w:rsid w:val="00A222C2"/>
    <w:rsid w:val="00A24118"/>
    <w:rsid w:val="00A243FE"/>
    <w:rsid w:val="00A2598E"/>
    <w:rsid w:val="00A31EB3"/>
    <w:rsid w:val="00A328B3"/>
    <w:rsid w:val="00A33B1E"/>
    <w:rsid w:val="00A34BF4"/>
    <w:rsid w:val="00A35124"/>
    <w:rsid w:val="00A35528"/>
    <w:rsid w:val="00A36160"/>
    <w:rsid w:val="00A3646B"/>
    <w:rsid w:val="00A37F0E"/>
    <w:rsid w:val="00A4381F"/>
    <w:rsid w:val="00A478FC"/>
    <w:rsid w:val="00A50FCF"/>
    <w:rsid w:val="00A528D1"/>
    <w:rsid w:val="00A532BE"/>
    <w:rsid w:val="00A53780"/>
    <w:rsid w:val="00A53B2B"/>
    <w:rsid w:val="00A57CA9"/>
    <w:rsid w:val="00A57FC2"/>
    <w:rsid w:val="00A610CD"/>
    <w:rsid w:val="00A63846"/>
    <w:rsid w:val="00A715B5"/>
    <w:rsid w:val="00A726D2"/>
    <w:rsid w:val="00A75E63"/>
    <w:rsid w:val="00A814FA"/>
    <w:rsid w:val="00A86FD6"/>
    <w:rsid w:val="00AA09A2"/>
    <w:rsid w:val="00AA5BC3"/>
    <w:rsid w:val="00AA7049"/>
    <w:rsid w:val="00AA7996"/>
    <w:rsid w:val="00AB72FA"/>
    <w:rsid w:val="00AC05BC"/>
    <w:rsid w:val="00AC0C18"/>
    <w:rsid w:val="00AC1705"/>
    <w:rsid w:val="00AC173D"/>
    <w:rsid w:val="00AC19CB"/>
    <w:rsid w:val="00AC276E"/>
    <w:rsid w:val="00AC293E"/>
    <w:rsid w:val="00AC2E6D"/>
    <w:rsid w:val="00AC551B"/>
    <w:rsid w:val="00AC55D4"/>
    <w:rsid w:val="00AC6652"/>
    <w:rsid w:val="00AC6AC3"/>
    <w:rsid w:val="00AC78A6"/>
    <w:rsid w:val="00AC7C6A"/>
    <w:rsid w:val="00AD0D26"/>
    <w:rsid w:val="00AE1A6C"/>
    <w:rsid w:val="00AE24DE"/>
    <w:rsid w:val="00AE42C3"/>
    <w:rsid w:val="00AE4FB3"/>
    <w:rsid w:val="00AE5488"/>
    <w:rsid w:val="00AE6F91"/>
    <w:rsid w:val="00AF5571"/>
    <w:rsid w:val="00AF6428"/>
    <w:rsid w:val="00AF7988"/>
    <w:rsid w:val="00B00CAC"/>
    <w:rsid w:val="00B010FA"/>
    <w:rsid w:val="00B01F7F"/>
    <w:rsid w:val="00B0473D"/>
    <w:rsid w:val="00B06E9E"/>
    <w:rsid w:val="00B07184"/>
    <w:rsid w:val="00B07341"/>
    <w:rsid w:val="00B07950"/>
    <w:rsid w:val="00B102C9"/>
    <w:rsid w:val="00B10B28"/>
    <w:rsid w:val="00B10C0E"/>
    <w:rsid w:val="00B1589E"/>
    <w:rsid w:val="00B16001"/>
    <w:rsid w:val="00B21154"/>
    <w:rsid w:val="00B214F6"/>
    <w:rsid w:val="00B2261D"/>
    <w:rsid w:val="00B23B4C"/>
    <w:rsid w:val="00B2568D"/>
    <w:rsid w:val="00B257C2"/>
    <w:rsid w:val="00B30539"/>
    <w:rsid w:val="00B31122"/>
    <w:rsid w:val="00B314DB"/>
    <w:rsid w:val="00B316D8"/>
    <w:rsid w:val="00B31C0A"/>
    <w:rsid w:val="00B33F72"/>
    <w:rsid w:val="00B3413B"/>
    <w:rsid w:val="00B34CE7"/>
    <w:rsid w:val="00B35EDE"/>
    <w:rsid w:val="00B361F2"/>
    <w:rsid w:val="00B3718B"/>
    <w:rsid w:val="00B37D94"/>
    <w:rsid w:val="00B405AB"/>
    <w:rsid w:val="00B43F31"/>
    <w:rsid w:val="00B4632A"/>
    <w:rsid w:val="00B513B1"/>
    <w:rsid w:val="00B52C39"/>
    <w:rsid w:val="00B530F1"/>
    <w:rsid w:val="00B54697"/>
    <w:rsid w:val="00B54A0C"/>
    <w:rsid w:val="00B5607A"/>
    <w:rsid w:val="00B56497"/>
    <w:rsid w:val="00B578FF"/>
    <w:rsid w:val="00B61707"/>
    <w:rsid w:val="00B61F89"/>
    <w:rsid w:val="00B62988"/>
    <w:rsid w:val="00B632D6"/>
    <w:rsid w:val="00B64A81"/>
    <w:rsid w:val="00B65082"/>
    <w:rsid w:val="00B660CB"/>
    <w:rsid w:val="00B6761B"/>
    <w:rsid w:val="00B67E09"/>
    <w:rsid w:val="00B71BB3"/>
    <w:rsid w:val="00B74C0B"/>
    <w:rsid w:val="00B76617"/>
    <w:rsid w:val="00B812F9"/>
    <w:rsid w:val="00B8466D"/>
    <w:rsid w:val="00B8491C"/>
    <w:rsid w:val="00B86973"/>
    <w:rsid w:val="00B87411"/>
    <w:rsid w:val="00B91683"/>
    <w:rsid w:val="00B966F6"/>
    <w:rsid w:val="00BA0EFE"/>
    <w:rsid w:val="00BA1A89"/>
    <w:rsid w:val="00BA276C"/>
    <w:rsid w:val="00BA461E"/>
    <w:rsid w:val="00BA7355"/>
    <w:rsid w:val="00BB208D"/>
    <w:rsid w:val="00BB306F"/>
    <w:rsid w:val="00BB41FC"/>
    <w:rsid w:val="00BB5697"/>
    <w:rsid w:val="00BB6A23"/>
    <w:rsid w:val="00BB7BFC"/>
    <w:rsid w:val="00BC1180"/>
    <w:rsid w:val="00BD03F8"/>
    <w:rsid w:val="00BD04F3"/>
    <w:rsid w:val="00BD25D4"/>
    <w:rsid w:val="00BD4897"/>
    <w:rsid w:val="00BD4B89"/>
    <w:rsid w:val="00BD74CA"/>
    <w:rsid w:val="00BE176C"/>
    <w:rsid w:val="00BE1869"/>
    <w:rsid w:val="00BE1D87"/>
    <w:rsid w:val="00BE2A77"/>
    <w:rsid w:val="00BE36BC"/>
    <w:rsid w:val="00BE4FAD"/>
    <w:rsid w:val="00BE7E74"/>
    <w:rsid w:val="00BF02CB"/>
    <w:rsid w:val="00BF118F"/>
    <w:rsid w:val="00BF11D3"/>
    <w:rsid w:val="00BF477A"/>
    <w:rsid w:val="00BF6FD8"/>
    <w:rsid w:val="00BF7571"/>
    <w:rsid w:val="00C03680"/>
    <w:rsid w:val="00C054DF"/>
    <w:rsid w:val="00C05FCE"/>
    <w:rsid w:val="00C07099"/>
    <w:rsid w:val="00C07773"/>
    <w:rsid w:val="00C10C7A"/>
    <w:rsid w:val="00C10CB2"/>
    <w:rsid w:val="00C1316E"/>
    <w:rsid w:val="00C136AE"/>
    <w:rsid w:val="00C171EA"/>
    <w:rsid w:val="00C213C7"/>
    <w:rsid w:val="00C21762"/>
    <w:rsid w:val="00C22527"/>
    <w:rsid w:val="00C22CA0"/>
    <w:rsid w:val="00C23197"/>
    <w:rsid w:val="00C24543"/>
    <w:rsid w:val="00C2526B"/>
    <w:rsid w:val="00C256A2"/>
    <w:rsid w:val="00C27F07"/>
    <w:rsid w:val="00C31B35"/>
    <w:rsid w:val="00C34B6A"/>
    <w:rsid w:val="00C35903"/>
    <w:rsid w:val="00C40789"/>
    <w:rsid w:val="00C40AC4"/>
    <w:rsid w:val="00C43DF2"/>
    <w:rsid w:val="00C43E71"/>
    <w:rsid w:val="00C447C2"/>
    <w:rsid w:val="00C45998"/>
    <w:rsid w:val="00C46EE5"/>
    <w:rsid w:val="00C473FD"/>
    <w:rsid w:val="00C47914"/>
    <w:rsid w:val="00C47C20"/>
    <w:rsid w:val="00C50512"/>
    <w:rsid w:val="00C51515"/>
    <w:rsid w:val="00C554E3"/>
    <w:rsid w:val="00C563ED"/>
    <w:rsid w:val="00C5660B"/>
    <w:rsid w:val="00C566D8"/>
    <w:rsid w:val="00C610A7"/>
    <w:rsid w:val="00C62357"/>
    <w:rsid w:val="00C62656"/>
    <w:rsid w:val="00C62A75"/>
    <w:rsid w:val="00C62F00"/>
    <w:rsid w:val="00C66B72"/>
    <w:rsid w:val="00C7460A"/>
    <w:rsid w:val="00C747F7"/>
    <w:rsid w:val="00C74CDF"/>
    <w:rsid w:val="00C74E0E"/>
    <w:rsid w:val="00C80E97"/>
    <w:rsid w:val="00C810D8"/>
    <w:rsid w:val="00C82C26"/>
    <w:rsid w:val="00C868D0"/>
    <w:rsid w:val="00C94980"/>
    <w:rsid w:val="00C9567A"/>
    <w:rsid w:val="00C9703F"/>
    <w:rsid w:val="00C97129"/>
    <w:rsid w:val="00C97A99"/>
    <w:rsid w:val="00CA082C"/>
    <w:rsid w:val="00CA5C42"/>
    <w:rsid w:val="00CA6F08"/>
    <w:rsid w:val="00CA7D1F"/>
    <w:rsid w:val="00CA7F17"/>
    <w:rsid w:val="00CB0C28"/>
    <w:rsid w:val="00CB1927"/>
    <w:rsid w:val="00CB1F8C"/>
    <w:rsid w:val="00CB212D"/>
    <w:rsid w:val="00CB2583"/>
    <w:rsid w:val="00CB2660"/>
    <w:rsid w:val="00CB295F"/>
    <w:rsid w:val="00CB44BF"/>
    <w:rsid w:val="00CB5B37"/>
    <w:rsid w:val="00CC0DBC"/>
    <w:rsid w:val="00CC12D9"/>
    <w:rsid w:val="00CC3997"/>
    <w:rsid w:val="00CC4F76"/>
    <w:rsid w:val="00CC534C"/>
    <w:rsid w:val="00CC540D"/>
    <w:rsid w:val="00CC5E90"/>
    <w:rsid w:val="00CC63CF"/>
    <w:rsid w:val="00CC6D4F"/>
    <w:rsid w:val="00CD046C"/>
    <w:rsid w:val="00CD0AEB"/>
    <w:rsid w:val="00CD0C0C"/>
    <w:rsid w:val="00CD16BF"/>
    <w:rsid w:val="00CD250F"/>
    <w:rsid w:val="00CD2AAD"/>
    <w:rsid w:val="00CD2D86"/>
    <w:rsid w:val="00CD3235"/>
    <w:rsid w:val="00CD39FF"/>
    <w:rsid w:val="00CD486B"/>
    <w:rsid w:val="00CE0691"/>
    <w:rsid w:val="00CE076C"/>
    <w:rsid w:val="00CE5199"/>
    <w:rsid w:val="00CE66D5"/>
    <w:rsid w:val="00CE7325"/>
    <w:rsid w:val="00CF27C5"/>
    <w:rsid w:val="00CF3F2A"/>
    <w:rsid w:val="00CF42FA"/>
    <w:rsid w:val="00CF44E9"/>
    <w:rsid w:val="00CF637A"/>
    <w:rsid w:val="00D03840"/>
    <w:rsid w:val="00D04B21"/>
    <w:rsid w:val="00D04F8A"/>
    <w:rsid w:val="00D059DE"/>
    <w:rsid w:val="00D05A09"/>
    <w:rsid w:val="00D10112"/>
    <w:rsid w:val="00D12193"/>
    <w:rsid w:val="00D134EB"/>
    <w:rsid w:val="00D13597"/>
    <w:rsid w:val="00D13FCE"/>
    <w:rsid w:val="00D143EC"/>
    <w:rsid w:val="00D15A8C"/>
    <w:rsid w:val="00D17B0D"/>
    <w:rsid w:val="00D2280A"/>
    <w:rsid w:val="00D2389D"/>
    <w:rsid w:val="00D238CB"/>
    <w:rsid w:val="00D24EE1"/>
    <w:rsid w:val="00D25FCF"/>
    <w:rsid w:val="00D27093"/>
    <w:rsid w:val="00D30662"/>
    <w:rsid w:val="00D306D1"/>
    <w:rsid w:val="00D3118C"/>
    <w:rsid w:val="00D31D6F"/>
    <w:rsid w:val="00D34786"/>
    <w:rsid w:val="00D349D4"/>
    <w:rsid w:val="00D35F26"/>
    <w:rsid w:val="00D37320"/>
    <w:rsid w:val="00D37BFC"/>
    <w:rsid w:val="00D4073F"/>
    <w:rsid w:val="00D42A47"/>
    <w:rsid w:val="00D43119"/>
    <w:rsid w:val="00D43B8F"/>
    <w:rsid w:val="00D43ED2"/>
    <w:rsid w:val="00D44A9F"/>
    <w:rsid w:val="00D46B80"/>
    <w:rsid w:val="00D472BC"/>
    <w:rsid w:val="00D4756B"/>
    <w:rsid w:val="00D47A8E"/>
    <w:rsid w:val="00D47E32"/>
    <w:rsid w:val="00D52D14"/>
    <w:rsid w:val="00D52F15"/>
    <w:rsid w:val="00D54A1F"/>
    <w:rsid w:val="00D55C32"/>
    <w:rsid w:val="00D56B11"/>
    <w:rsid w:val="00D6134E"/>
    <w:rsid w:val="00D613E7"/>
    <w:rsid w:val="00D65469"/>
    <w:rsid w:val="00D6552A"/>
    <w:rsid w:val="00D67147"/>
    <w:rsid w:val="00D67568"/>
    <w:rsid w:val="00D675DF"/>
    <w:rsid w:val="00D676DC"/>
    <w:rsid w:val="00D70DA7"/>
    <w:rsid w:val="00D712D3"/>
    <w:rsid w:val="00D71422"/>
    <w:rsid w:val="00D72117"/>
    <w:rsid w:val="00D726F9"/>
    <w:rsid w:val="00D72DC6"/>
    <w:rsid w:val="00D73F01"/>
    <w:rsid w:val="00D74349"/>
    <w:rsid w:val="00D7558D"/>
    <w:rsid w:val="00D7705F"/>
    <w:rsid w:val="00D81D92"/>
    <w:rsid w:val="00D83D73"/>
    <w:rsid w:val="00D86F16"/>
    <w:rsid w:val="00D96CB5"/>
    <w:rsid w:val="00D96E66"/>
    <w:rsid w:val="00D97754"/>
    <w:rsid w:val="00DA01EF"/>
    <w:rsid w:val="00DA29FD"/>
    <w:rsid w:val="00DA3739"/>
    <w:rsid w:val="00DA5D8F"/>
    <w:rsid w:val="00DA7B5F"/>
    <w:rsid w:val="00DB0451"/>
    <w:rsid w:val="00DB3DD9"/>
    <w:rsid w:val="00DB40B5"/>
    <w:rsid w:val="00DB4E9E"/>
    <w:rsid w:val="00DB5390"/>
    <w:rsid w:val="00DB7A2D"/>
    <w:rsid w:val="00DC11E7"/>
    <w:rsid w:val="00DC460F"/>
    <w:rsid w:val="00DC592B"/>
    <w:rsid w:val="00DC6667"/>
    <w:rsid w:val="00DC7023"/>
    <w:rsid w:val="00DC769A"/>
    <w:rsid w:val="00DD3748"/>
    <w:rsid w:val="00DD3D86"/>
    <w:rsid w:val="00DD66B2"/>
    <w:rsid w:val="00DE2276"/>
    <w:rsid w:val="00DE250F"/>
    <w:rsid w:val="00DE2600"/>
    <w:rsid w:val="00DE2AC9"/>
    <w:rsid w:val="00DE65B7"/>
    <w:rsid w:val="00DE72AA"/>
    <w:rsid w:val="00DF0D2E"/>
    <w:rsid w:val="00DF1EC4"/>
    <w:rsid w:val="00DF2107"/>
    <w:rsid w:val="00DF2B76"/>
    <w:rsid w:val="00DF4CCF"/>
    <w:rsid w:val="00DF6298"/>
    <w:rsid w:val="00DF64FA"/>
    <w:rsid w:val="00DF6C34"/>
    <w:rsid w:val="00DF6FFF"/>
    <w:rsid w:val="00E00662"/>
    <w:rsid w:val="00E033C5"/>
    <w:rsid w:val="00E0340B"/>
    <w:rsid w:val="00E03E6B"/>
    <w:rsid w:val="00E04A90"/>
    <w:rsid w:val="00E06447"/>
    <w:rsid w:val="00E11607"/>
    <w:rsid w:val="00E128DA"/>
    <w:rsid w:val="00E135CE"/>
    <w:rsid w:val="00E166DE"/>
    <w:rsid w:val="00E2026F"/>
    <w:rsid w:val="00E20B66"/>
    <w:rsid w:val="00E216D1"/>
    <w:rsid w:val="00E219C7"/>
    <w:rsid w:val="00E27448"/>
    <w:rsid w:val="00E27580"/>
    <w:rsid w:val="00E30353"/>
    <w:rsid w:val="00E31740"/>
    <w:rsid w:val="00E35D96"/>
    <w:rsid w:val="00E3769A"/>
    <w:rsid w:val="00E37BB5"/>
    <w:rsid w:val="00E412DC"/>
    <w:rsid w:val="00E41D05"/>
    <w:rsid w:val="00E43157"/>
    <w:rsid w:val="00E43D5D"/>
    <w:rsid w:val="00E461CE"/>
    <w:rsid w:val="00E469C1"/>
    <w:rsid w:val="00E46E87"/>
    <w:rsid w:val="00E470C7"/>
    <w:rsid w:val="00E50C68"/>
    <w:rsid w:val="00E51BE4"/>
    <w:rsid w:val="00E539BC"/>
    <w:rsid w:val="00E5453D"/>
    <w:rsid w:val="00E606C8"/>
    <w:rsid w:val="00E6122B"/>
    <w:rsid w:val="00E65077"/>
    <w:rsid w:val="00E65523"/>
    <w:rsid w:val="00E65639"/>
    <w:rsid w:val="00E65813"/>
    <w:rsid w:val="00E7047A"/>
    <w:rsid w:val="00E70859"/>
    <w:rsid w:val="00E720CA"/>
    <w:rsid w:val="00E730C9"/>
    <w:rsid w:val="00E739B1"/>
    <w:rsid w:val="00E75660"/>
    <w:rsid w:val="00E80645"/>
    <w:rsid w:val="00E810C3"/>
    <w:rsid w:val="00E81E99"/>
    <w:rsid w:val="00E826A6"/>
    <w:rsid w:val="00E84EB5"/>
    <w:rsid w:val="00E85662"/>
    <w:rsid w:val="00E866CA"/>
    <w:rsid w:val="00E8789F"/>
    <w:rsid w:val="00E87CF6"/>
    <w:rsid w:val="00E909AA"/>
    <w:rsid w:val="00E9277F"/>
    <w:rsid w:val="00E95BCB"/>
    <w:rsid w:val="00E97797"/>
    <w:rsid w:val="00E97B71"/>
    <w:rsid w:val="00EA0499"/>
    <w:rsid w:val="00EA0C18"/>
    <w:rsid w:val="00EA0FA6"/>
    <w:rsid w:val="00EA2F2E"/>
    <w:rsid w:val="00EA3835"/>
    <w:rsid w:val="00EA3D34"/>
    <w:rsid w:val="00EA3E07"/>
    <w:rsid w:val="00EA41AB"/>
    <w:rsid w:val="00EA5283"/>
    <w:rsid w:val="00EA5C18"/>
    <w:rsid w:val="00EB06E2"/>
    <w:rsid w:val="00EB4515"/>
    <w:rsid w:val="00EB454D"/>
    <w:rsid w:val="00EB5A39"/>
    <w:rsid w:val="00EB6842"/>
    <w:rsid w:val="00EB6F50"/>
    <w:rsid w:val="00EC256B"/>
    <w:rsid w:val="00EC2703"/>
    <w:rsid w:val="00EC3D7E"/>
    <w:rsid w:val="00EC7AB1"/>
    <w:rsid w:val="00ED76BE"/>
    <w:rsid w:val="00ED7F9A"/>
    <w:rsid w:val="00EE212E"/>
    <w:rsid w:val="00EF034A"/>
    <w:rsid w:val="00EF12E7"/>
    <w:rsid w:val="00EF1C74"/>
    <w:rsid w:val="00EF23CA"/>
    <w:rsid w:val="00EF3C32"/>
    <w:rsid w:val="00EF4235"/>
    <w:rsid w:val="00EF57D6"/>
    <w:rsid w:val="00EF619B"/>
    <w:rsid w:val="00F00B55"/>
    <w:rsid w:val="00F0227F"/>
    <w:rsid w:val="00F025CE"/>
    <w:rsid w:val="00F02AD1"/>
    <w:rsid w:val="00F07892"/>
    <w:rsid w:val="00F12B1E"/>
    <w:rsid w:val="00F12F1C"/>
    <w:rsid w:val="00F14610"/>
    <w:rsid w:val="00F15880"/>
    <w:rsid w:val="00F1590A"/>
    <w:rsid w:val="00F17B39"/>
    <w:rsid w:val="00F2190F"/>
    <w:rsid w:val="00F21A7B"/>
    <w:rsid w:val="00F21B43"/>
    <w:rsid w:val="00F22E10"/>
    <w:rsid w:val="00F243B0"/>
    <w:rsid w:val="00F253CC"/>
    <w:rsid w:val="00F266BD"/>
    <w:rsid w:val="00F2732F"/>
    <w:rsid w:val="00F31D47"/>
    <w:rsid w:val="00F320A3"/>
    <w:rsid w:val="00F326BD"/>
    <w:rsid w:val="00F36A37"/>
    <w:rsid w:val="00F37106"/>
    <w:rsid w:val="00F43B96"/>
    <w:rsid w:val="00F43C31"/>
    <w:rsid w:val="00F443F9"/>
    <w:rsid w:val="00F45C8C"/>
    <w:rsid w:val="00F50B40"/>
    <w:rsid w:val="00F519CF"/>
    <w:rsid w:val="00F53025"/>
    <w:rsid w:val="00F56BA5"/>
    <w:rsid w:val="00F606EA"/>
    <w:rsid w:val="00F60E22"/>
    <w:rsid w:val="00F62311"/>
    <w:rsid w:val="00F62BF4"/>
    <w:rsid w:val="00F63136"/>
    <w:rsid w:val="00F673F3"/>
    <w:rsid w:val="00F707FE"/>
    <w:rsid w:val="00F70998"/>
    <w:rsid w:val="00F712A1"/>
    <w:rsid w:val="00F73104"/>
    <w:rsid w:val="00F75210"/>
    <w:rsid w:val="00F779A3"/>
    <w:rsid w:val="00F805FB"/>
    <w:rsid w:val="00F807EA"/>
    <w:rsid w:val="00F80F0F"/>
    <w:rsid w:val="00F81395"/>
    <w:rsid w:val="00F83B29"/>
    <w:rsid w:val="00F84130"/>
    <w:rsid w:val="00F85442"/>
    <w:rsid w:val="00F866F6"/>
    <w:rsid w:val="00F8718D"/>
    <w:rsid w:val="00F902EB"/>
    <w:rsid w:val="00F917D1"/>
    <w:rsid w:val="00F92F8B"/>
    <w:rsid w:val="00F9653B"/>
    <w:rsid w:val="00FA10BD"/>
    <w:rsid w:val="00FA239E"/>
    <w:rsid w:val="00FA3646"/>
    <w:rsid w:val="00FA3BBF"/>
    <w:rsid w:val="00FA55CE"/>
    <w:rsid w:val="00FA5CE3"/>
    <w:rsid w:val="00FA6402"/>
    <w:rsid w:val="00FA6BBD"/>
    <w:rsid w:val="00FA7A40"/>
    <w:rsid w:val="00FA7B5C"/>
    <w:rsid w:val="00FB3B6F"/>
    <w:rsid w:val="00FB3F7D"/>
    <w:rsid w:val="00FB5902"/>
    <w:rsid w:val="00FB5A91"/>
    <w:rsid w:val="00FB62CF"/>
    <w:rsid w:val="00FB71A6"/>
    <w:rsid w:val="00FC02A8"/>
    <w:rsid w:val="00FC09B5"/>
    <w:rsid w:val="00FC2C08"/>
    <w:rsid w:val="00FC3DD2"/>
    <w:rsid w:val="00FC4116"/>
    <w:rsid w:val="00FC6402"/>
    <w:rsid w:val="00FC78AB"/>
    <w:rsid w:val="00FD2E67"/>
    <w:rsid w:val="00FD3C3B"/>
    <w:rsid w:val="00FD49AA"/>
    <w:rsid w:val="00FD5A99"/>
    <w:rsid w:val="00FD6473"/>
    <w:rsid w:val="00FD6E0F"/>
    <w:rsid w:val="00FE0038"/>
    <w:rsid w:val="00FE07DD"/>
    <w:rsid w:val="00FE0A84"/>
    <w:rsid w:val="00FE3CCA"/>
    <w:rsid w:val="00FE5DFD"/>
    <w:rsid w:val="00FE6606"/>
    <w:rsid w:val="00FE6B45"/>
    <w:rsid w:val="00FF0432"/>
    <w:rsid w:val="00FF06C1"/>
    <w:rsid w:val="00FF3CA7"/>
    <w:rsid w:val="00FF55F3"/>
    <w:rsid w:val="00FF5851"/>
    <w:rsid w:val="00FF59BD"/>
    <w:rsid w:val="00FF645B"/>
    <w:rsid w:val="00FF716D"/>
    <w:rsid w:val="00FF7B79"/>
    <w:rsid w:val="00FF7CC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4F0B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2A2289"/>
    <w:pPr>
      <w:numPr>
        <w:numId w:val="53"/>
      </w:numPr>
      <w:suppressAutoHyphens/>
      <w:ind w:left="1440" w:hanging="720"/>
      <w:outlineLvl w:val="0"/>
    </w:pPr>
    <w:rPr>
      <w:rFonts w:asciiTheme="majorHAnsi" w:eastAsiaTheme="majorEastAsia" w:hAnsiTheme="majorHAnsi" w:cstheme="majorBidi"/>
      <w:b/>
      <w:bCs/>
      <w:color w:val="000000" w:themeColor="text1"/>
      <w:sz w:val="20"/>
      <w:szCs w:val="20"/>
    </w:rPr>
  </w:style>
  <w:style w:type="paragraph" w:styleId="Heading2">
    <w:name w:val="heading 2"/>
    <w:basedOn w:val="Normal"/>
    <w:next w:val="Normal"/>
    <w:link w:val="Heading2Char"/>
    <w:qFormat/>
    <w:rsid w:val="002A2289"/>
    <w:pPr>
      <w:numPr>
        <w:numId w:val="63"/>
      </w:numPr>
      <w:suppressAutoHyphens/>
      <w:ind w:left="1440" w:hanging="720"/>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semiHidden/>
    <w:unhideWhenUsed/>
    <w:qFormat/>
    <w:rsid w:val="008025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A2289"/>
    <w:rPr>
      <w:rFonts w:asciiTheme="majorHAnsi" w:eastAsiaTheme="majorEastAsia" w:hAnsiTheme="majorHAnsi" w:cstheme="majorBidi"/>
      <w:b/>
      <w:bCs/>
      <w:color w:val="000000" w:themeColor="text1"/>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E2026F"/>
    <w:pPr>
      <w:tabs>
        <w:tab w:val="left" w:pos="72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2A2289"/>
    <w:rPr>
      <w:rFonts w:asciiTheme="majorHAnsi" w:eastAsia="Times New Roman" w:hAnsiTheme="majorHAnsi" w:cs="Arial"/>
      <w:b/>
      <w:bCs/>
      <w:iCs/>
      <w:bdr w:val="none" w:sz="0" w:space="0" w:color="auto"/>
      <w:lang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9560CF"/>
    <w:rPr>
      <w:sz w:val="16"/>
      <w:szCs w:val="16"/>
    </w:rPr>
  </w:style>
  <w:style w:type="paragraph" w:styleId="CommentText">
    <w:name w:val="annotation text"/>
    <w:basedOn w:val="Normal"/>
    <w:link w:val="CommentTextChar"/>
    <w:uiPriority w:val="99"/>
    <w:semiHidden/>
    <w:unhideWhenUsed/>
    <w:rsid w:val="009560CF"/>
    <w:rPr>
      <w:sz w:val="20"/>
      <w:szCs w:val="20"/>
    </w:rPr>
  </w:style>
  <w:style w:type="character" w:customStyle="1" w:styleId="CommentTextChar">
    <w:name w:val="Comment Text Char"/>
    <w:basedOn w:val="DefaultParagraphFont"/>
    <w:link w:val="CommentText"/>
    <w:uiPriority w:val="99"/>
    <w:semiHidden/>
    <w:rsid w:val="009560CF"/>
    <w:rPr>
      <w:lang w:val="en-US" w:eastAsia="en-US"/>
    </w:rPr>
  </w:style>
  <w:style w:type="paragraph" w:styleId="CommentSubject">
    <w:name w:val="annotation subject"/>
    <w:basedOn w:val="CommentText"/>
    <w:next w:val="CommentText"/>
    <w:link w:val="CommentSubjectChar"/>
    <w:uiPriority w:val="99"/>
    <w:semiHidden/>
    <w:unhideWhenUsed/>
    <w:rsid w:val="009560CF"/>
    <w:rPr>
      <w:b/>
      <w:bCs/>
    </w:rPr>
  </w:style>
  <w:style w:type="character" w:customStyle="1" w:styleId="CommentSubjectChar">
    <w:name w:val="Comment Subject Char"/>
    <w:basedOn w:val="CommentTextChar"/>
    <w:link w:val="CommentSubject"/>
    <w:uiPriority w:val="99"/>
    <w:semiHidden/>
    <w:rsid w:val="009560CF"/>
    <w:rPr>
      <w:b/>
      <w:bCs/>
      <w:lang w:val="en-US" w:eastAsia="en-US"/>
    </w:rPr>
  </w:style>
  <w:style w:type="character" w:customStyle="1" w:styleId="Heading5Char">
    <w:name w:val="Heading 5 Char"/>
    <w:basedOn w:val="DefaultParagraphFont"/>
    <w:link w:val="Heading5"/>
    <w:uiPriority w:val="9"/>
    <w:semiHidden/>
    <w:rsid w:val="00802589"/>
    <w:rPr>
      <w:rFonts w:asciiTheme="majorHAnsi" w:eastAsiaTheme="majorEastAsia" w:hAnsiTheme="majorHAnsi" w:cstheme="majorBidi"/>
      <w:color w:val="243F60" w:themeColor="accent1" w:themeShade="7F"/>
      <w:sz w:val="24"/>
      <w:szCs w:val="24"/>
      <w:lang w:val="en-US" w:eastAsia="en-US"/>
    </w:rPr>
  </w:style>
  <w:style w:type="character" w:styleId="Strong">
    <w:name w:val="Strong"/>
    <w:uiPriority w:val="22"/>
    <w:qFormat/>
    <w:rsid w:val="00D04B21"/>
    <w:rPr>
      <w:b/>
      <w:bCs/>
    </w:rPr>
  </w:style>
  <w:style w:type="paragraph" w:styleId="TOCHeading">
    <w:name w:val="TOC Heading"/>
    <w:basedOn w:val="Heading1"/>
    <w:next w:val="Normal"/>
    <w:uiPriority w:val="39"/>
    <w:semiHidden/>
    <w:unhideWhenUsed/>
    <w:qFormat/>
    <w:rsid w:val="00E2026F"/>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1">
    <w:name w:val="1"/>
    <w:basedOn w:val="Normal"/>
    <w:rsid w:val="00E6552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BodyTextIndentChar">
    <w:name w:val="Body Text Indent Char"/>
    <w:basedOn w:val="DefaultParagraphFont"/>
    <w:link w:val="BodyTextIndent"/>
    <w:rsid w:val="00924DA2"/>
    <w:rPr>
      <w:rFonts w:eastAsia="Times New Roman"/>
      <w:color w:val="000000"/>
      <w:sz w:val="24"/>
      <w:szCs w:val="24"/>
      <w:u w:color="000000"/>
      <w:lang w:val="en-US"/>
    </w:rPr>
  </w:style>
  <w:style w:type="paragraph" w:styleId="DocumentMap">
    <w:name w:val="Document Map"/>
    <w:basedOn w:val="Normal"/>
    <w:link w:val="DocumentMapChar"/>
    <w:uiPriority w:val="99"/>
    <w:semiHidden/>
    <w:unhideWhenUsed/>
    <w:rsid w:val="004948B8"/>
    <w:rPr>
      <w:rFonts w:ascii="Lucida Grande" w:hAnsi="Lucida Grande" w:cs="Lucida Grande"/>
    </w:rPr>
  </w:style>
  <w:style w:type="character" w:customStyle="1" w:styleId="DocumentMapChar">
    <w:name w:val="Document Map Char"/>
    <w:basedOn w:val="DefaultParagraphFont"/>
    <w:link w:val="DocumentMap"/>
    <w:uiPriority w:val="99"/>
    <w:semiHidden/>
    <w:rsid w:val="004948B8"/>
    <w:rPr>
      <w:rFonts w:ascii="Lucida Grande" w:hAnsi="Lucida Grande" w:cs="Lucida Gran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2A2289"/>
    <w:pPr>
      <w:numPr>
        <w:numId w:val="53"/>
      </w:numPr>
      <w:suppressAutoHyphens/>
      <w:ind w:left="1440" w:hanging="720"/>
      <w:outlineLvl w:val="0"/>
    </w:pPr>
    <w:rPr>
      <w:rFonts w:asciiTheme="majorHAnsi" w:eastAsiaTheme="majorEastAsia" w:hAnsiTheme="majorHAnsi" w:cstheme="majorBidi"/>
      <w:b/>
      <w:bCs/>
      <w:color w:val="000000" w:themeColor="text1"/>
      <w:sz w:val="20"/>
      <w:szCs w:val="20"/>
    </w:rPr>
  </w:style>
  <w:style w:type="paragraph" w:styleId="Heading2">
    <w:name w:val="heading 2"/>
    <w:basedOn w:val="Normal"/>
    <w:next w:val="Normal"/>
    <w:link w:val="Heading2Char"/>
    <w:qFormat/>
    <w:rsid w:val="002A2289"/>
    <w:pPr>
      <w:numPr>
        <w:numId w:val="63"/>
      </w:numPr>
      <w:suppressAutoHyphens/>
      <w:ind w:left="1440" w:hanging="720"/>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semiHidden/>
    <w:unhideWhenUsed/>
    <w:qFormat/>
    <w:rsid w:val="008025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A2289"/>
    <w:rPr>
      <w:rFonts w:asciiTheme="majorHAnsi" w:eastAsiaTheme="majorEastAsia" w:hAnsiTheme="majorHAnsi" w:cstheme="majorBidi"/>
      <w:b/>
      <w:bCs/>
      <w:color w:val="000000" w:themeColor="text1"/>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E2026F"/>
    <w:pPr>
      <w:tabs>
        <w:tab w:val="left" w:pos="72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2A2289"/>
    <w:rPr>
      <w:rFonts w:asciiTheme="majorHAnsi" w:eastAsia="Times New Roman" w:hAnsiTheme="majorHAnsi" w:cs="Arial"/>
      <w:b/>
      <w:bCs/>
      <w:iCs/>
      <w:bdr w:val="none" w:sz="0" w:space="0" w:color="auto"/>
      <w:lang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9560CF"/>
    <w:rPr>
      <w:sz w:val="16"/>
      <w:szCs w:val="16"/>
    </w:rPr>
  </w:style>
  <w:style w:type="paragraph" w:styleId="CommentText">
    <w:name w:val="annotation text"/>
    <w:basedOn w:val="Normal"/>
    <w:link w:val="CommentTextChar"/>
    <w:uiPriority w:val="99"/>
    <w:semiHidden/>
    <w:unhideWhenUsed/>
    <w:rsid w:val="009560CF"/>
    <w:rPr>
      <w:sz w:val="20"/>
      <w:szCs w:val="20"/>
    </w:rPr>
  </w:style>
  <w:style w:type="character" w:customStyle="1" w:styleId="CommentTextChar">
    <w:name w:val="Comment Text Char"/>
    <w:basedOn w:val="DefaultParagraphFont"/>
    <w:link w:val="CommentText"/>
    <w:uiPriority w:val="99"/>
    <w:semiHidden/>
    <w:rsid w:val="009560CF"/>
    <w:rPr>
      <w:lang w:val="en-US" w:eastAsia="en-US"/>
    </w:rPr>
  </w:style>
  <w:style w:type="paragraph" w:styleId="CommentSubject">
    <w:name w:val="annotation subject"/>
    <w:basedOn w:val="CommentText"/>
    <w:next w:val="CommentText"/>
    <w:link w:val="CommentSubjectChar"/>
    <w:uiPriority w:val="99"/>
    <w:semiHidden/>
    <w:unhideWhenUsed/>
    <w:rsid w:val="009560CF"/>
    <w:rPr>
      <w:b/>
      <w:bCs/>
    </w:rPr>
  </w:style>
  <w:style w:type="character" w:customStyle="1" w:styleId="CommentSubjectChar">
    <w:name w:val="Comment Subject Char"/>
    <w:basedOn w:val="CommentTextChar"/>
    <w:link w:val="CommentSubject"/>
    <w:uiPriority w:val="99"/>
    <w:semiHidden/>
    <w:rsid w:val="009560CF"/>
    <w:rPr>
      <w:b/>
      <w:bCs/>
      <w:lang w:val="en-US" w:eastAsia="en-US"/>
    </w:rPr>
  </w:style>
  <w:style w:type="character" w:customStyle="1" w:styleId="Heading5Char">
    <w:name w:val="Heading 5 Char"/>
    <w:basedOn w:val="DefaultParagraphFont"/>
    <w:link w:val="Heading5"/>
    <w:uiPriority w:val="9"/>
    <w:semiHidden/>
    <w:rsid w:val="00802589"/>
    <w:rPr>
      <w:rFonts w:asciiTheme="majorHAnsi" w:eastAsiaTheme="majorEastAsia" w:hAnsiTheme="majorHAnsi" w:cstheme="majorBidi"/>
      <w:color w:val="243F60" w:themeColor="accent1" w:themeShade="7F"/>
      <w:sz w:val="24"/>
      <w:szCs w:val="24"/>
      <w:lang w:val="en-US" w:eastAsia="en-US"/>
    </w:rPr>
  </w:style>
  <w:style w:type="character" w:styleId="Strong">
    <w:name w:val="Strong"/>
    <w:uiPriority w:val="22"/>
    <w:qFormat/>
    <w:rsid w:val="00D04B21"/>
    <w:rPr>
      <w:b/>
      <w:bCs/>
    </w:rPr>
  </w:style>
  <w:style w:type="paragraph" w:styleId="TOCHeading">
    <w:name w:val="TOC Heading"/>
    <w:basedOn w:val="Heading1"/>
    <w:next w:val="Normal"/>
    <w:uiPriority w:val="39"/>
    <w:semiHidden/>
    <w:unhideWhenUsed/>
    <w:qFormat/>
    <w:rsid w:val="00E2026F"/>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1">
    <w:name w:val="1"/>
    <w:basedOn w:val="Normal"/>
    <w:rsid w:val="00E6552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BodyTextIndentChar">
    <w:name w:val="Body Text Indent Char"/>
    <w:basedOn w:val="DefaultParagraphFont"/>
    <w:link w:val="BodyTextIndent"/>
    <w:rsid w:val="00924DA2"/>
    <w:rPr>
      <w:rFonts w:eastAsia="Times New Roman"/>
      <w:color w:val="000000"/>
      <w:sz w:val="24"/>
      <w:szCs w:val="24"/>
      <w:u w:color="000000"/>
      <w:lang w:val="en-US"/>
    </w:rPr>
  </w:style>
  <w:style w:type="paragraph" w:styleId="DocumentMap">
    <w:name w:val="Document Map"/>
    <w:basedOn w:val="Normal"/>
    <w:link w:val="DocumentMapChar"/>
    <w:uiPriority w:val="99"/>
    <w:semiHidden/>
    <w:unhideWhenUsed/>
    <w:rsid w:val="004948B8"/>
    <w:rPr>
      <w:rFonts w:ascii="Lucida Grande" w:hAnsi="Lucida Grande" w:cs="Lucida Grande"/>
    </w:rPr>
  </w:style>
  <w:style w:type="character" w:customStyle="1" w:styleId="DocumentMapChar">
    <w:name w:val="Document Map Char"/>
    <w:basedOn w:val="DefaultParagraphFont"/>
    <w:link w:val="DocumentMap"/>
    <w:uiPriority w:val="99"/>
    <w:semiHidden/>
    <w:rsid w:val="004948B8"/>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00598">
      <w:bodyDiv w:val="1"/>
      <w:marLeft w:val="0"/>
      <w:marRight w:val="0"/>
      <w:marTop w:val="0"/>
      <w:marBottom w:val="0"/>
      <w:divBdr>
        <w:top w:val="none" w:sz="0" w:space="0" w:color="auto"/>
        <w:left w:val="none" w:sz="0" w:space="0" w:color="auto"/>
        <w:bottom w:val="none" w:sz="0" w:space="0" w:color="auto"/>
        <w:right w:val="none" w:sz="0" w:space="0" w:color="auto"/>
      </w:divBdr>
      <w:divsChild>
        <w:div w:id="675695201">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94F4-A220-4733-8489-106C42F2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8862</Words>
  <Characters>50519</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2</cp:revision>
  <cp:lastPrinted>2018-11-13T19:57:00Z</cp:lastPrinted>
  <dcterms:created xsi:type="dcterms:W3CDTF">2019-10-01T22:21:00Z</dcterms:created>
  <dcterms:modified xsi:type="dcterms:W3CDTF">2019-10-01T22:21:00Z</dcterms:modified>
</cp:coreProperties>
</file>