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EB29" w14:textId="77777777" w:rsidR="00040C3A" w:rsidRPr="00CE58F6" w:rsidRDefault="00B2560B" w:rsidP="00EC55EA">
      <w:pPr>
        <w:jc w:val="both"/>
        <w:rPr>
          <w:rFonts w:asciiTheme="majorHAnsi" w:hAnsiTheme="majorHAnsi" w:cs="Univers"/>
          <w:b/>
          <w:bCs/>
          <w:sz w:val="20"/>
          <w:szCs w:val="20"/>
          <w:lang w:val="es-ES_tradnl"/>
        </w:rPr>
      </w:pPr>
      <w:r w:rsidRPr="00CE58F6">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97423CB" wp14:editId="578E034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7D7F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" fillcolor="#67ae3c" stroked="f" strokeweight="2pt"/>
            </w:pict>
          </mc:Fallback>
        </mc:AlternateContent>
      </w:r>
      <w:r w:rsidRPr="00CE58F6">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E1FACA7" wp14:editId="202F6CE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64DF3" w14:textId="77777777" w:rsidR="0015306E" w:rsidRDefault="0015306E">
                            <w:r>
                              <w:rPr>
                                <w:noProof/>
                              </w:rPr>
                              <w:drawing>
                                <wp:inline distT="0" distB="0" distL="0" distR="0" wp14:anchorId="12DB7B66" wp14:editId="0919A52A">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FACA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" filled="f" stroked="f" strokeweight=".5pt">
                <v:textbox>
                  <w:txbxContent>
                    <w:p w14:paraId="0A264DF3" w14:textId="77777777" w:rsidR="0015306E" w:rsidRDefault="0015306E">
                      <w:r>
                        <w:rPr>
                          <w:noProof/>
                        </w:rPr>
                        <w:drawing>
                          <wp:inline distT="0" distB="0" distL="0" distR="0" wp14:anchorId="12DB7B66" wp14:editId="0919A52A">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589034F9" w14:textId="77777777" w:rsidR="00040C3A" w:rsidRPr="00CE58F6" w:rsidRDefault="00040C3A" w:rsidP="00EC55EA">
      <w:pPr>
        <w:tabs>
          <w:tab w:val="center" w:pos="5400"/>
        </w:tabs>
        <w:suppressAutoHyphens/>
        <w:jc w:val="both"/>
        <w:rPr>
          <w:rFonts w:asciiTheme="majorHAnsi" w:hAnsiTheme="majorHAnsi"/>
          <w:sz w:val="20"/>
          <w:szCs w:val="20"/>
          <w:lang w:val="es-ES"/>
        </w:rPr>
      </w:pPr>
    </w:p>
    <w:p w14:paraId="2F4D0D53" w14:textId="77777777" w:rsidR="00040C3A" w:rsidRPr="00CE58F6" w:rsidRDefault="00040C3A" w:rsidP="00EC55EA">
      <w:pPr>
        <w:tabs>
          <w:tab w:val="center" w:pos="5400"/>
        </w:tabs>
        <w:suppressAutoHyphens/>
        <w:jc w:val="both"/>
        <w:rPr>
          <w:rFonts w:asciiTheme="majorHAnsi" w:hAnsiTheme="majorHAnsi"/>
          <w:sz w:val="20"/>
          <w:szCs w:val="20"/>
          <w:lang w:val="es-ES"/>
        </w:rPr>
      </w:pPr>
    </w:p>
    <w:p w14:paraId="3A04ECF7" w14:textId="77777777" w:rsidR="005128E4" w:rsidRPr="00CE58F6" w:rsidRDefault="005128E4" w:rsidP="00EC55EA">
      <w:pPr>
        <w:tabs>
          <w:tab w:val="center" w:pos="5400"/>
        </w:tabs>
        <w:suppressAutoHyphens/>
        <w:rPr>
          <w:rFonts w:asciiTheme="majorHAnsi" w:hAnsiTheme="majorHAnsi"/>
          <w:sz w:val="20"/>
          <w:szCs w:val="20"/>
          <w:lang w:val="es-ES_tradnl"/>
        </w:rPr>
      </w:pPr>
    </w:p>
    <w:p w14:paraId="6A0381F7" w14:textId="77777777" w:rsidR="005128E4" w:rsidRPr="00CE58F6" w:rsidRDefault="005128E4" w:rsidP="00EC55EA">
      <w:pPr>
        <w:tabs>
          <w:tab w:val="center" w:pos="5400"/>
        </w:tabs>
        <w:suppressAutoHyphens/>
        <w:rPr>
          <w:rFonts w:asciiTheme="majorHAnsi" w:hAnsiTheme="majorHAnsi"/>
          <w:sz w:val="20"/>
          <w:szCs w:val="20"/>
          <w:lang w:val="es-ES_tradnl"/>
        </w:rPr>
      </w:pPr>
    </w:p>
    <w:p w14:paraId="239DD073" w14:textId="77777777" w:rsidR="005128E4" w:rsidRPr="00CE58F6" w:rsidRDefault="005128E4" w:rsidP="00EC55EA">
      <w:pPr>
        <w:tabs>
          <w:tab w:val="center" w:pos="5400"/>
        </w:tabs>
        <w:suppressAutoHyphens/>
        <w:rPr>
          <w:rFonts w:asciiTheme="majorHAnsi" w:hAnsiTheme="majorHAnsi"/>
          <w:sz w:val="20"/>
          <w:szCs w:val="20"/>
          <w:lang w:val="es-ES_tradnl"/>
        </w:rPr>
      </w:pPr>
    </w:p>
    <w:p w14:paraId="78529EF2"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14A89B95" w14:textId="77777777" w:rsidR="00040C3A" w:rsidRPr="00CE58F6" w:rsidRDefault="00B2560B" w:rsidP="00EC55EA">
      <w:pPr>
        <w:tabs>
          <w:tab w:val="center" w:pos="5400"/>
        </w:tabs>
        <w:suppressAutoHyphens/>
        <w:jc w:val="center"/>
        <w:rPr>
          <w:rFonts w:asciiTheme="majorHAnsi" w:hAnsiTheme="majorHAnsi"/>
          <w:sz w:val="20"/>
          <w:szCs w:val="20"/>
          <w:lang w:val="es-ES_tradnl"/>
        </w:rPr>
      </w:pPr>
      <w:r w:rsidRPr="00CE58F6">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56723CBA" wp14:editId="77907EBD">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18F3D" w14:textId="77777777" w:rsidR="0015306E" w:rsidRDefault="0015306E" w:rsidP="004B7EB6">
                            <w:pPr>
                              <w:spacing w:line="276" w:lineRule="auto"/>
                              <w:rPr>
                                <w:rFonts w:asciiTheme="majorHAnsi" w:hAnsiTheme="majorHAnsi" w:cs="Arial"/>
                                <w:b/>
                                <w:bCs/>
                                <w:color w:val="0D0D0D" w:themeColor="text1" w:themeTint="F2"/>
                                <w:sz w:val="36"/>
                                <w:szCs w:val="40"/>
                              </w:rPr>
                            </w:pPr>
                          </w:p>
                          <w:p w14:paraId="48F106E1" w14:textId="77777777" w:rsidR="0015306E" w:rsidRDefault="0015306E" w:rsidP="004B7EB6">
                            <w:pPr>
                              <w:spacing w:line="276" w:lineRule="auto"/>
                              <w:rPr>
                                <w:rFonts w:asciiTheme="majorHAnsi" w:hAnsiTheme="majorHAnsi" w:cs="Arial"/>
                                <w:b/>
                                <w:bCs/>
                                <w:color w:val="0D0D0D" w:themeColor="text1" w:themeTint="F2"/>
                                <w:sz w:val="36"/>
                                <w:szCs w:val="40"/>
                              </w:rPr>
                            </w:pPr>
                          </w:p>
                          <w:p w14:paraId="61A1B8FB" w14:textId="77777777" w:rsidR="0015306E" w:rsidRDefault="0015306E" w:rsidP="004B7EB6">
                            <w:pPr>
                              <w:spacing w:line="276" w:lineRule="auto"/>
                              <w:rPr>
                                <w:rFonts w:asciiTheme="majorHAnsi" w:hAnsiTheme="majorHAnsi" w:cs="Arial"/>
                                <w:b/>
                                <w:bCs/>
                                <w:color w:val="0D0D0D" w:themeColor="text1" w:themeTint="F2"/>
                                <w:sz w:val="36"/>
                                <w:szCs w:val="40"/>
                              </w:rPr>
                            </w:pPr>
                          </w:p>
                          <w:p w14:paraId="14426DD2" w14:textId="77777777" w:rsidR="0015306E" w:rsidRDefault="0015306E" w:rsidP="004B7EB6">
                            <w:pPr>
                              <w:spacing w:line="276" w:lineRule="auto"/>
                              <w:rPr>
                                <w:rFonts w:asciiTheme="majorHAnsi" w:hAnsiTheme="majorHAnsi" w:cs="Arial"/>
                                <w:b/>
                                <w:bCs/>
                                <w:color w:val="0D0D0D" w:themeColor="text1" w:themeTint="F2"/>
                                <w:sz w:val="36"/>
                                <w:szCs w:val="40"/>
                              </w:rPr>
                            </w:pPr>
                          </w:p>
                          <w:p w14:paraId="537BD5B3" w14:textId="0F05A4F8" w:rsidR="0015306E" w:rsidRPr="004B7EB6" w:rsidRDefault="0015306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21B37">
                              <w:rPr>
                                <w:rFonts w:asciiTheme="majorHAnsi" w:hAnsiTheme="majorHAnsi" w:cs="Arial"/>
                                <w:b/>
                                <w:bCs/>
                                <w:color w:val="0D0D0D" w:themeColor="text1" w:themeTint="F2"/>
                                <w:sz w:val="36"/>
                                <w:szCs w:val="40"/>
                              </w:rPr>
                              <w:t>453</w:t>
                            </w:r>
                            <w:r>
                              <w:rPr>
                                <w:rFonts w:asciiTheme="majorHAnsi" w:hAnsiTheme="majorHAnsi" w:cs="Arial"/>
                                <w:b/>
                                <w:bCs/>
                                <w:color w:val="0D0D0D" w:themeColor="text1" w:themeTint="F2"/>
                                <w:sz w:val="36"/>
                                <w:szCs w:val="40"/>
                              </w:rPr>
                              <w:t>/21</w:t>
                            </w:r>
                          </w:p>
                          <w:p w14:paraId="50C207A6" w14:textId="77777777" w:rsidR="0015306E" w:rsidRPr="004B7EB6" w:rsidRDefault="0015306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13.339</w:t>
                            </w:r>
                          </w:p>
                          <w:p w14:paraId="3EAC3A0E" w14:textId="5236F788" w:rsidR="0015306E" w:rsidRPr="004B7EB6" w:rsidRDefault="0015306E" w:rsidP="00F45EBF">
                            <w:pPr>
                              <w:spacing w:line="276" w:lineRule="auto"/>
                              <w:rPr>
                                <w:rFonts w:asciiTheme="majorHAnsi" w:hAnsiTheme="majorHAnsi" w:cs="Arial"/>
                                <w:color w:val="0D0D0D" w:themeColor="text1" w:themeTint="F2"/>
                                <w:szCs w:val="22"/>
                              </w:rPr>
                            </w:pPr>
                            <w:r w:rsidRPr="00E05E02">
                              <w:rPr>
                                <w:rFonts w:asciiTheme="majorHAnsi" w:hAnsiTheme="majorHAnsi" w:cs="Arial"/>
                                <w:color w:val="0D0D0D" w:themeColor="text1" w:themeTint="F2"/>
                                <w:szCs w:val="22"/>
                              </w:rPr>
                              <w:t>REPORT ON ADMISSIBILITY AND MERITS</w:t>
                            </w:r>
                            <w:r>
                              <w:rPr>
                                <w:rFonts w:asciiTheme="majorHAnsi" w:hAnsiTheme="majorHAnsi" w:cs="Arial"/>
                                <w:color w:val="0D0D0D" w:themeColor="text1" w:themeTint="F2"/>
                                <w:szCs w:val="22"/>
                              </w:rPr>
                              <w:t xml:space="preserve"> </w:t>
                            </w:r>
                            <w:r w:rsidRPr="00521B37">
                              <w:rPr>
                                <w:rFonts w:asciiTheme="majorHAnsi" w:hAnsiTheme="majorHAnsi" w:cs="Arial"/>
                                <w:color w:val="0D0D0D" w:themeColor="text1" w:themeTint="F2"/>
                                <w:szCs w:val="22"/>
                              </w:rPr>
                              <w:t>(PUBLICATION)</w:t>
                            </w:r>
                            <w:r w:rsidRPr="004B7EB6">
                              <w:rPr>
                                <w:rFonts w:asciiTheme="majorHAnsi" w:hAnsiTheme="majorHAnsi" w:cs="Arial"/>
                                <w:color w:val="0D0D0D" w:themeColor="text1" w:themeTint="F2"/>
                                <w:szCs w:val="22"/>
                              </w:rPr>
                              <w:t xml:space="preserve"> </w:t>
                            </w:r>
                          </w:p>
                          <w:p w14:paraId="703C0140" w14:textId="77777777" w:rsidR="0015306E" w:rsidRPr="004B7EB6" w:rsidRDefault="0015306E" w:rsidP="004B7EB6">
                            <w:pPr>
                              <w:spacing w:line="276" w:lineRule="auto"/>
                              <w:rPr>
                                <w:rFonts w:asciiTheme="majorHAnsi" w:hAnsiTheme="majorHAnsi" w:cs="Arial"/>
                                <w:color w:val="0D0D0D" w:themeColor="text1" w:themeTint="F2"/>
                                <w:szCs w:val="22"/>
                              </w:rPr>
                            </w:pPr>
                          </w:p>
                          <w:p w14:paraId="4908F01B" w14:textId="77777777" w:rsidR="0015306E" w:rsidRPr="00444596" w:rsidRDefault="0015306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MANUEL VALLE</w:t>
                            </w:r>
                          </w:p>
                          <w:p w14:paraId="76F01F63" w14:textId="77777777" w:rsidR="0015306E" w:rsidRDefault="0015306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74F10229" w14:textId="77777777" w:rsidR="0015306E" w:rsidRPr="00E57833" w:rsidRDefault="0015306E" w:rsidP="008D2EA5">
                            <w:pPr>
                              <w:spacing w:line="276" w:lineRule="auto"/>
                              <w:jc w:val="both"/>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23CBA" id="_x0000_t202" coordsize="21600,21600" o:spt="202" path="m,l,21600r21600,l21600,xe">
                <v:stroke joinstyle="miter"/>
                <v:path gradientshapeok="t" o:connecttype="rect"/>
              </v:shapetype>
              <v:shape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" filled="f" stroked="f" strokeweight=".5pt">
                <v:textbox>
                  <w:txbxContent>
                    <w:p w14:paraId="79518F3D" w14:textId="77777777" w:rsidR="0015306E" w:rsidRDefault="0015306E" w:rsidP="004B7EB6">
                      <w:pPr>
                        <w:spacing w:line="276" w:lineRule="auto"/>
                        <w:rPr>
                          <w:rFonts w:asciiTheme="majorHAnsi" w:hAnsiTheme="majorHAnsi" w:cs="Arial"/>
                          <w:b/>
                          <w:bCs/>
                          <w:color w:val="0D0D0D" w:themeColor="text1" w:themeTint="F2"/>
                          <w:sz w:val="36"/>
                          <w:szCs w:val="40"/>
                        </w:rPr>
                      </w:pPr>
                    </w:p>
                    <w:p w14:paraId="48F106E1" w14:textId="77777777" w:rsidR="0015306E" w:rsidRDefault="0015306E" w:rsidP="004B7EB6">
                      <w:pPr>
                        <w:spacing w:line="276" w:lineRule="auto"/>
                        <w:rPr>
                          <w:rFonts w:asciiTheme="majorHAnsi" w:hAnsiTheme="majorHAnsi" w:cs="Arial"/>
                          <w:b/>
                          <w:bCs/>
                          <w:color w:val="0D0D0D" w:themeColor="text1" w:themeTint="F2"/>
                          <w:sz w:val="36"/>
                          <w:szCs w:val="40"/>
                        </w:rPr>
                      </w:pPr>
                    </w:p>
                    <w:p w14:paraId="61A1B8FB" w14:textId="77777777" w:rsidR="0015306E" w:rsidRDefault="0015306E" w:rsidP="004B7EB6">
                      <w:pPr>
                        <w:spacing w:line="276" w:lineRule="auto"/>
                        <w:rPr>
                          <w:rFonts w:asciiTheme="majorHAnsi" w:hAnsiTheme="majorHAnsi" w:cs="Arial"/>
                          <w:b/>
                          <w:bCs/>
                          <w:color w:val="0D0D0D" w:themeColor="text1" w:themeTint="F2"/>
                          <w:sz w:val="36"/>
                          <w:szCs w:val="40"/>
                        </w:rPr>
                      </w:pPr>
                    </w:p>
                    <w:p w14:paraId="14426DD2" w14:textId="77777777" w:rsidR="0015306E" w:rsidRDefault="0015306E" w:rsidP="004B7EB6">
                      <w:pPr>
                        <w:spacing w:line="276" w:lineRule="auto"/>
                        <w:rPr>
                          <w:rFonts w:asciiTheme="majorHAnsi" w:hAnsiTheme="majorHAnsi" w:cs="Arial"/>
                          <w:b/>
                          <w:bCs/>
                          <w:color w:val="0D0D0D" w:themeColor="text1" w:themeTint="F2"/>
                          <w:sz w:val="36"/>
                          <w:szCs w:val="40"/>
                        </w:rPr>
                      </w:pPr>
                    </w:p>
                    <w:p w14:paraId="537BD5B3" w14:textId="0F05A4F8" w:rsidR="0015306E" w:rsidRPr="004B7EB6" w:rsidRDefault="0015306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21B37">
                        <w:rPr>
                          <w:rFonts w:asciiTheme="majorHAnsi" w:hAnsiTheme="majorHAnsi" w:cs="Arial"/>
                          <w:b/>
                          <w:bCs/>
                          <w:color w:val="0D0D0D" w:themeColor="text1" w:themeTint="F2"/>
                          <w:sz w:val="36"/>
                          <w:szCs w:val="40"/>
                        </w:rPr>
                        <w:t>453</w:t>
                      </w:r>
                      <w:r>
                        <w:rPr>
                          <w:rFonts w:asciiTheme="majorHAnsi" w:hAnsiTheme="majorHAnsi" w:cs="Arial"/>
                          <w:b/>
                          <w:bCs/>
                          <w:color w:val="0D0D0D" w:themeColor="text1" w:themeTint="F2"/>
                          <w:sz w:val="36"/>
                          <w:szCs w:val="40"/>
                        </w:rPr>
                        <w:t>/21</w:t>
                      </w:r>
                    </w:p>
                    <w:p w14:paraId="50C207A6" w14:textId="77777777" w:rsidR="0015306E" w:rsidRPr="004B7EB6" w:rsidRDefault="0015306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13.339</w:t>
                      </w:r>
                    </w:p>
                    <w:p w14:paraId="3EAC3A0E" w14:textId="5236F788" w:rsidR="0015306E" w:rsidRPr="004B7EB6" w:rsidRDefault="0015306E" w:rsidP="00F45EBF">
                      <w:pPr>
                        <w:spacing w:line="276" w:lineRule="auto"/>
                        <w:rPr>
                          <w:rFonts w:asciiTheme="majorHAnsi" w:hAnsiTheme="majorHAnsi" w:cs="Arial"/>
                          <w:color w:val="0D0D0D" w:themeColor="text1" w:themeTint="F2"/>
                          <w:szCs w:val="22"/>
                        </w:rPr>
                      </w:pPr>
                      <w:r w:rsidRPr="00E05E02">
                        <w:rPr>
                          <w:rFonts w:asciiTheme="majorHAnsi" w:hAnsiTheme="majorHAnsi" w:cs="Arial"/>
                          <w:color w:val="0D0D0D" w:themeColor="text1" w:themeTint="F2"/>
                          <w:szCs w:val="22"/>
                        </w:rPr>
                        <w:t>REPORT ON ADMISSIBILITY AND MERITS</w:t>
                      </w:r>
                      <w:r>
                        <w:rPr>
                          <w:rFonts w:asciiTheme="majorHAnsi" w:hAnsiTheme="majorHAnsi" w:cs="Arial"/>
                          <w:color w:val="0D0D0D" w:themeColor="text1" w:themeTint="F2"/>
                          <w:szCs w:val="22"/>
                        </w:rPr>
                        <w:t xml:space="preserve"> </w:t>
                      </w:r>
                      <w:r w:rsidRPr="00521B37">
                        <w:rPr>
                          <w:rFonts w:asciiTheme="majorHAnsi" w:hAnsiTheme="majorHAnsi" w:cs="Arial"/>
                          <w:color w:val="0D0D0D" w:themeColor="text1" w:themeTint="F2"/>
                          <w:szCs w:val="22"/>
                        </w:rPr>
                        <w:t>(PUBLICATION)</w:t>
                      </w:r>
                      <w:r w:rsidRPr="004B7EB6">
                        <w:rPr>
                          <w:rFonts w:asciiTheme="majorHAnsi" w:hAnsiTheme="majorHAnsi" w:cs="Arial"/>
                          <w:color w:val="0D0D0D" w:themeColor="text1" w:themeTint="F2"/>
                          <w:szCs w:val="22"/>
                        </w:rPr>
                        <w:t xml:space="preserve"> </w:t>
                      </w:r>
                    </w:p>
                    <w:p w14:paraId="703C0140" w14:textId="77777777" w:rsidR="0015306E" w:rsidRPr="004B7EB6" w:rsidRDefault="0015306E" w:rsidP="004B7EB6">
                      <w:pPr>
                        <w:spacing w:line="276" w:lineRule="auto"/>
                        <w:rPr>
                          <w:rFonts w:asciiTheme="majorHAnsi" w:hAnsiTheme="majorHAnsi" w:cs="Arial"/>
                          <w:color w:val="0D0D0D" w:themeColor="text1" w:themeTint="F2"/>
                          <w:szCs w:val="22"/>
                        </w:rPr>
                      </w:pPr>
                    </w:p>
                    <w:p w14:paraId="4908F01B" w14:textId="77777777" w:rsidR="0015306E" w:rsidRPr="00444596" w:rsidRDefault="0015306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MANUEL VALLE</w:t>
                      </w:r>
                    </w:p>
                    <w:p w14:paraId="76F01F63" w14:textId="77777777" w:rsidR="0015306E" w:rsidRDefault="0015306E"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74F10229" w14:textId="77777777" w:rsidR="0015306E" w:rsidRPr="00E57833" w:rsidRDefault="0015306E" w:rsidP="008D2EA5">
                      <w:pPr>
                        <w:spacing w:line="276" w:lineRule="auto"/>
                        <w:jc w:val="both"/>
                        <w:rPr>
                          <w:rFonts w:asciiTheme="majorHAnsi" w:hAnsiTheme="majorHAnsi"/>
                          <w:color w:val="0D0D0D" w:themeColor="text1" w:themeTint="F2"/>
                        </w:rPr>
                      </w:pPr>
                    </w:p>
                  </w:txbxContent>
                </v:textbox>
              </v:shape>
            </w:pict>
          </mc:Fallback>
        </mc:AlternateContent>
      </w:r>
    </w:p>
    <w:p w14:paraId="23656BBD" w14:textId="77777777" w:rsidR="005B52B0" w:rsidRPr="00CE58F6" w:rsidRDefault="005B52B0" w:rsidP="00EC55EA">
      <w:pPr>
        <w:tabs>
          <w:tab w:val="center" w:pos="5400"/>
        </w:tabs>
        <w:suppressAutoHyphens/>
        <w:jc w:val="center"/>
        <w:rPr>
          <w:rFonts w:asciiTheme="majorHAnsi" w:hAnsiTheme="majorHAnsi"/>
          <w:sz w:val="20"/>
          <w:szCs w:val="20"/>
          <w:lang w:val="es-ES_tradnl"/>
        </w:rPr>
      </w:pPr>
    </w:p>
    <w:p w14:paraId="04E2E584" w14:textId="77777777" w:rsidR="005B52B0" w:rsidRPr="00CE58F6" w:rsidRDefault="005B52B0" w:rsidP="00EC55EA">
      <w:pPr>
        <w:tabs>
          <w:tab w:val="center" w:pos="5400"/>
        </w:tabs>
        <w:suppressAutoHyphens/>
        <w:jc w:val="center"/>
        <w:rPr>
          <w:rFonts w:asciiTheme="majorHAnsi" w:hAnsiTheme="majorHAnsi"/>
          <w:sz w:val="20"/>
          <w:szCs w:val="20"/>
          <w:lang w:val="es-ES_tradnl"/>
        </w:rPr>
      </w:pPr>
    </w:p>
    <w:p w14:paraId="0F8BA0BE" w14:textId="77777777" w:rsidR="005B52B0" w:rsidRPr="00CE58F6" w:rsidRDefault="005B52B0" w:rsidP="00EC55EA">
      <w:pPr>
        <w:tabs>
          <w:tab w:val="center" w:pos="5400"/>
        </w:tabs>
        <w:suppressAutoHyphens/>
        <w:jc w:val="center"/>
        <w:rPr>
          <w:rFonts w:asciiTheme="majorHAnsi" w:hAnsiTheme="majorHAnsi"/>
          <w:sz w:val="20"/>
          <w:szCs w:val="20"/>
          <w:lang w:val="es-ES_tradnl"/>
        </w:rPr>
      </w:pPr>
    </w:p>
    <w:p w14:paraId="7AA25DCE"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41F59E4C"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06C6AA32"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0E7BF8D0"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45050354" w14:textId="77777777" w:rsidR="00040C3A" w:rsidRPr="00CE58F6" w:rsidRDefault="00B2560B" w:rsidP="00EC55EA">
      <w:pPr>
        <w:tabs>
          <w:tab w:val="center" w:pos="5400"/>
        </w:tabs>
        <w:suppressAutoHyphens/>
        <w:jc w:val="center"/>
        <w:rPr>
          <w:rFonts w:asciiTheme="majorHAnsi" w:hAnsiTheme="majorHAnsi"/>
          <w:sz w:val="20"/>
          <w:szCs w:val="20"/>
          <w:lang w:val="es-ES_tradnl"/>
        </w:rPr>
      </w:pPr>
      <w:r w:rsidRPr="00CE58F6">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D5B0A53" wp14:editId="28A8011F">
                <wp:simplePos x="0" y="0"/>
                <wp:positionH relativeFrom="column">
                  <wp:posOffset>-370205</wp:posOffset>
                </wp:positionH>
                <wp:positionV relativeFrom="paragraph">
                  <wp:posOffset>43180</wp:posOffset>
                </wp:positionV>
                <wp:extent cx="1334135" cy="835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A1248" w14:textId="77777777" w:rsidR="0015306E" w:rsidRPr="00C10587" w:rsidRDefault="0015306E" w:rsidP="002C1641">
                            <w:pPr>
                              <w:jc w:val="right"/>
                              <w:rPr>
                                <w:rFonts w:asciiTheme="minorHAnsi" w:hAnsiTheme="minorHAnsi"/>
                                <w:color w:val="FFFFFF" w:themeColor="background1"/>
                                <w:sz w:val="22"/>
                                <w:lang w:val="es-US"/>
                              </w:rPr>
                            </w:pPr>
                            <w:r w:rsidRPr="00C10587">
                              <w:rPr>
                                <w:rFonts w:asciiTheme="minorHAnsi" w:hAnsiTheme="minorHAnsi"/>
                                <w:color w:val="FFFFFF" w:themeColor="background1"/>
                                <w:sz w:val="22"/>
                                <w:lang w:val="es-US"/>
                              </w:rPr>
                              <w:t>OEA/</w:t>
                            </w:r>
                            <w:proofErr w:type="spellStart"/>
                            <w:r w:rsidRPr="00C10587">
                              <w:rPr>
                                <w:rFonts w:asciiTheme="minorHAnsi" w:hAnsiTheme="minorHAnsi"/>
                                <w:color w:val="FFFFFF" w:themeColor="background1"/>
                                <w:sz w:val="22"/>
                                <w:lang w:val="es-US"/>
                              </w:rPr>
                              <w:t>Ser.L</w:t>
                            </w:r>
                            <w:proofErr w:type="spellEnd"/>
                            <w:r w:rsidRPr="00C10587">
                              <w:rPr>
                                <w:rFonts w:asciiTheme="minorHAnsi" w:hAnsiTheme="minorHAnsi"/>
                                <w:color w:val="FFFFFF" w:themeColor="background1"/>
                                <w:sz w:val="22"/>
                                <w:lang w:val="es-US"/>
                              </w:rPr>
                              <w:t>/V/II</w:t>
                            </w:r>
                          </w:p>
                          <w:p w14:paraId="487C0310" w14:textId="27FB4B00" w:rsidR="0015306E" w:rsidRPr="00C10587" w:rsidRDefault="0015306E" w:rsidP="002C1641">
                            <w:pPr>
                              <w:jc w:val="right"/>
                              <w:rPr>
                                <w:rFonts w:asciiTheme="minorHAnsi" w:hAnsiTheme="minorHAnsi"/>
                                <w:color w:val="FFFFFF" w:themeColor="background1"/>
                                <w:sz w:val="22"/>
                                <w:lang w:val="es-US"/>
                              </w:rPr>
                            </w:pPr>
                            <w:r w:rsidRPr="00C10587">
                              <w:rPr>
                                <w:rFonts w:asciiTheme="minorHAnsi" w:hAnsiTheme="minorHAnsi"/>
                                <w:color w:val="FFFFFF" w:themeColor="background1"/>
                                <w:sz w:val="22"/>
                                <w:lang w:val="es-US"/>
                              </w:rPr>
                              <w:t xml:space="preserve">Doc. </w:t>
                            </w:r>
                            <w:r w:rsidR="00521B37">
                              <w:rPr>
                                <w:rFonts w:asciiTheme="minorHAnsi" w:hAnsiTheme="minorHAnsi"/>
                                <w:color w:val="FFFFFF" w:themeColor="background1"/>
                                <w:sz w:val="22"/>
                                <w:lang w:val="es-US"/>
                              </w:rPr>
                              <w:t>467</w:t>
                            </w:r>
                          </w:p>
                          <w:p w14:paraId="588E4B69" w14:textId="555412A3" w:rsidR="0015306E" w:rsidRPr="004B7EB6" w:rsidRDefault="00521B37"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15306E">
                              <w:rPr>
                                <w:rFonts w:asciiTheme="minorHAnsi" w:hAnsiTheme="minorHAnsi"/>
                                <w:color w:val="FFFFFF" w:themeColor="background1"/>
                                <w:sz w:val="22"/>
                              </w:rPr>
                              <w:t xml:space="preserve"> December 2021</w:t>
                            </w:r>
                          </w:p>
                          <w:p w14:paraId="65EFE9BD" w14:textId="77777777" w:rsidR="0015306E" w:rsidRPr="004B7EB6" w:rsidRDefault="0015306E"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B0A53"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" filled="f" stroked="f" strokeweight=".5pt">
                <v:textbox>
                  <w:txbxContent>
                    <w:p w14:paraId="065A1248" w14:textId="77777777" w:rsidR="0015306E" w:rsidRPr="00C10587" w:rsidRDefault="0015306E" w:rsidP="002C1641">
                      <w:pPr>
                        <w:jc w:val="right"/>
                        <w:rPr>
                          <w:rFonts w:asciiTheme="minorHAnsi" w:hAnsiTheme="minorHAnsi"/>
                          <w:color w:val="FFFFFF" w:themeColor="background1"/>
                          <w:sz w:val="22"/>
                          <w:lang w:val="es-US"/>
                        </w:rPr>
                      </w:pPr>
                      <w:r w:rsidRPr="00C10587">
                        <w:rPr>
                          <w:rFonts w:asciiTheme="minorHAnsi" w:hAnsiTheme="minorHAnsi"/>
                          <w:color w:val="FFFFFF" w:themeColor="background1"/>
                          <w:sz w:val="22"/>
                          <w:lang w:val="es-US"/>
                        </w:rPr>
                        <w:t>OEA/Ser.L/V/II</w:t>
                      </w:r>
                    </w:p>
                    <w:p w14:paraId="487C0310" w14:textId="27FB4B00" w:rsidR="0015306E" w:rsidRPr="00C10587" w:rsidRDefault="0015306E" w:rsidP="002C1641">
                      <w:pPr>
                        <w:jc w:val="right"/>
                        <w:rPr>
                          <w:rFonts w:asciiTheme="minorHAnsi" w:hAnsiTheme="minorHAnsi"/>
                          <w:color w:val="FFFFFF" w:themeColor="background1"/>
                          <w:sz w:val="22"/>
                          <w:lang w:val="es-US"/>
                        </w:rPr>
                      </w:pPr>
                      <w:r w:rsidRPr="00C10587">
                        <w:rPr>
                          <w:rFonts w:asciiTheme="minorHAnsi" w:hAnsiTheme="minorHAnsi"/>
                          <w:color w:val="FFFFFF" w:themeColor="background1"/>
                          <w:sz w:val="22"/>
                          <w:lang w:val="es-US"/>
                        </w:rPr>
                        <w:t xml:space="preserve">Doc. </w:t>
                      </w:r>
                      <w:r w:rsidR="00521B37">
                        <w:rPr>
                          <w:rFonts w:asciiTheme="minorHAnsi" w:hAnsiTheme="minorHAnsi"/>
                          <w:color w:val="FFFFFF" w:themeColor="background1"/>
                          <w:sz w:val="22"/>
                          <w:lang w:val="es-US"/>
                        </w:rPr>
                        <w:t>467</w:t>
                      </w:r>
                    </w:p>
                    <w:p w14:paraId="588E4B69" w14:textId="555412A3" w:rsidR="0015306E" w:rsidRPr="004B7EB6" w:rsidRDefault="00521B37"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15306E">
                        <w:rPr>
                          <w:rFonts w:asciiTheme="minorHAnsi" w:hAnsiTheme="minorHAnsi"/>
                          <w:color w:val="FFFFFF" w:themeColor="background1"/>
                          <w:sz w:val="22"/>
                        </w:rPr>
                        <w:t xml:space="preserve"> December 2021</w:t>
                      </w:r>
                    </w:p>
                    <w:p w14:paraId="65EFE9BD" w14:textId="77777777" w:rsidR="0015306E" w:rsidRPr="004B7EB6" w:rsidRDefault="0015306E"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6C5D7718" w14:textId="77777777" w:rsidR="00040C3A" w:rsidRPr="00CE58F6" w:rsidRDefault="00040C3A" w:rsidP="00EC55EA">
      <w:pPr>
        <w:tabs>
          <w:tab w:val="center" w:pos="5400"/>
        </w:tabs>
        <w:suppressAutoHyphens/>
        <w:jc w:val="center"/>
        <w:rPr>
          <w:rFonts w:asciiTheme="majorHAnsi" w:hAnsiTheme="majorHAnsi" w:cs="Arial"/>
          <w:sz w:val="20"/>
          <w:szCs w:val="20"/>
          <w:lang w:val="es-ES_tradnl"/>
        </w:rPr>
      </w:pPr>
    </w:p>
    <w:p w14:paraId="58AEBBCB"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42674020"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0E13DC40"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2AF547D0"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1ED0B1C2" w14:textId="77777777" w:rsidR="005128E4" w:rsidRPr="00CE58F6" w:rsidRDefault="005128E4" w:rsidP="00EC55EA">
      <w:pPr>
        <w:tabs>
          <w:tab w:val="center" w:pos="5400"/>
        </w:tabs>
        <w:suppressAutoHyphens/>
        <w:jc w:val="center"/>
        <w:rPr>
          <w:rFonts w:asciiTheme="majorHAnsi" w:hAnsiTheme="majorHAnsi"/>
          <w:sz w:val="20"/>
          <w:szCs w:val="20"/>
          <w:lang w:val="es-ES_tradnl"/>
        </w:rPr>
      </w:pPr>
    </w:p>
    <w:p w14:paraId="474025FC"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02FE0B78" w14:textId="77777777" w:rsidR="005128E4" w:rsidRPr="00CE58F6" w:rsidRDefault="005128E4" w:rsidP="00EC55EA">
      <w:pPr>
        <w:tabs>
          <w:tab w:val="center" w:pos="5400"/>
        </w:tabs>
        <w:suppressAutoHyphens/>
        <w:jc w:val="center"/>
        <w:rPr>
          <w:rFonts w:asciiTheme="majorHAnsi" w:hAnsiTheme="majorHAnsi"/>
          <w:sz w:val="20"/>
          <w:szCs w:val="20"/>
          <w:lang w:val="es-ES_tradnl"/>
        </w:rPr>
      </w:pPr>
    </w:p>
    <w:p w14:paraId="670AA2AE" w14:textId="77777777" w:rsidR="005128E4" w:rsidRPr="00CE58F6" w:rsidRDefault="005128E4" w:rsidP="00EC55EA">
      <w:pPr>
        <w:tabs>
          <w:tab w:val="center" w:pos="5400"/>
        </w:tabs>
        <w:suppressAutoHyphens/>
        <w:jc w:val="center"/>
        <w:rPr>
          <w:rFonts w:asciiTheme="majorHAnsi" w:hAnsiTheme="majorHAnsi"/>
          <w:sz w:val="20"/>
          <w:szCs w:val="20"/>
          <w:lang w:val="es-ES_tradnl"/>
        </w:rPr>
      </w:pPr>
    </w:p>
    <w:p w14:paraId="1E0FCDE0" w14:textId="77777777" w:rsidR="005128E4" w:rsidRPr="00CE58F6" w:rsidRDefault="005128E4" w:rsidP="00EC55EA">
      <w:pPr>
        <w:tabs>
          <w:tab w:val="center" w:pos="5400"/>
        </w:tabs>
        <w:suppressAutoHyphens/>
        <w:jc w:val="center"/>
        <w:rPr>
          <w:rFonts w:asciiTheme="majorHAnsi" w:hAnsiTheme="majorHAnsi"/>
          <w:sz w:val="20"/>
          <w:szCs w:val="20"/>
          <w:lang w:val="es-ES_tradnl"/>
        </w:rPr>
      </w:pPr>
    </w:p>
    <w:p w14:paraId="5F59BAA1"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10598B6E" w14:textId="77777777" w:rsidR="00040C3A" w:rsidRPr="00CE58F6" w:rsidRDefault="00040C3A" w:rsidP="00EC55EA">
      <w:pPr>
        <w:tabs>
          <w:tab w:val="center" w:pos="5400"/>
        </w:tabs>
        <w:suppressAutoHyphens/>
        <w:jc w:val="center"/>
        <w:rPr>
          <w:rFonts w:asciiTheme="majorHAnsi" w:hAnsiTheme="majorHAnsi"/>
          <w:sz w:val="20"/>
          <w:szCs w:val="20"/>
          <w:lang w:val="es-ES_tradnl"/>
        </w:rPr>
      </w:pPr>
    </w:p>
    <w:p w14:paraId="5646C5BD"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741CC823"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0F36D6D0"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45DB92D9"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139D6BE5"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1940FA99"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6CDA8138"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159C1FAE"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21782410"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190C4917"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075CB194"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0A15336A"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6A622945" w14:textId="77777777" w:rsidR="002C1641" w:rsidRPr="00CE58F6" w:rsidRDefault="00B2560B" w:rsidP="00EC55EA">
      <w:pPr>
        <w:tabs>
          <w:tab w:val="center" w:pos="5400"/>
        </w:tabs>
        <w:suppressAutoHyphens/>
        <w:jc w:val="center"/>
        <w:rPr>
          <w:rFonts w:asciiTheme="majorHAnsi" w:hAnsiTheme="majorHAnsi"/>
          <w:sz w:val="20"/>
          <w:szCs w:val="20"/>
          <w:lang w:val="es-ES_tradnl"/>
        </w:rPr>
      </w:pPr>
      <w:r w:rsidRPr="00CE58F6">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03FDC8D" wp14:editId="3CFCE257">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56673" w14:textId="1CBDE2C3" w:rsidR="0015306E" w:rsidRPr="003C32BC" w:rsidRDefault="0015306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Pr>
                                <w:rFonts w:asciiTheme="majorHAnsi" w:hAnsiTheme="majorHAnsi"/>
                                <w:color w:val="0D0D0D" w:themeColor="text1" w:themeTint="F2"/>
                                <w:sz w:val="18"/>
                                <w:szCs w:val="20"/>
                              </w:rPr>
                              <w:t xml:space="preserve">December </w:t>
                            </w:r>
                            <w:r w:rsidR="00521B37">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r w:rsidR="00724244">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FDC8D"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15956673" w14:textId="1CBDE2C3" w:rsidR="0015306E" w:rsidRPr="003C32BC" w:rsidRDefault="0015306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Pr>
                          <w:rFonts w:asciiTheme="majorHAnsi" w:hAnsiTheme="majorHAnsi"/>
                          <w:color w:val="0D0D0D" w:themeColor="text1" w:themeTint="F2"/>
                          <w:sz w:val="18"/>
                          <w:szCs w:val="20"/>
                        </w:rPr>
                        <w:t xml:space="preserve">December </w:t>
                      </w:r>
                      <w:r w:rsidR="00521B37">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r w:rsidR="00724244">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52D62C02"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7D6330CC"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61540DC6"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70A154F2"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7844B6F4" w14:textId="77777777" w:rsidR="002C1641" w:rsidRPr="00CE58F6" w:rsidRDefault="00B2560B" w:rsidP="00EC55EA">
      <w:pPr>
        <w:tabs>
          <w:tab w:val="center" w:pos="5400"/>
        </w:tabs>
        <w:suppressAutoHyphens/>
        <w:jc w:val="center"/>
        <w:rPr>
          <w:rFonts w:asciiTheme="majorHAnsi" w:hAnsiTheme="majorHAnsi"/>
          <w:sz w:val="20"/>
          <w:szCs w:val="20"/>
          <w:lang w:val="es-ES_tradnl"/>
        </w:rPr>
      </w:pPr>
      <w:r w:rsidRPr="00CE58F6">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4C840AA2" wp14:editId="0098B95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B9DA5" w14:textId="08CCF5FF" w:rsidR="0015306E" w:rsidRPr="003C32BC" w:rsidRDefault="0015306E"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21B37">
                              <w:rPr>
                                <w:rFonts w:asciiTheme="majorHAnsi" w:hAnsiTheme="majorHAnsi"/>
                                <w:color w:val="595959" w:themeColor="text1" w:themeTint="A6"/>
                                <w:sz w:val="18"/>
                              </w:rPr>
                              <w:t>453</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w:t>
                            </w:r>
                            <w:r w:rsidR="00976149">
                              <w:rPr>
                                <w:rFonts w:asciiTheme="majorHAnsi" w:hAnsiTheme="majorHAnsi"/>
                                <w:color w:val="595959" w:themeColor="text1" w:themeTint="A6"/>
                                <w:sz w:val="18"/>
                              </w:rPr>
                              <w:t>1</w:t>
                            </w:r>
                            <w:r>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13.339</w:t>
                            </w:r>
                            <w:r w:rsidRPr="00E05E02">
                              <w:rPr>
                                <w:rFonts w:asciiTheme="majorHAnsi" w:hAnsiTheme="majorHAnsi"/>
                                <w:color w:val="595959" w:themeColor="text1" w:themeTint="A6"/>
                                <w:sz w:val="18"/>
                              </w:rPr>
                              <w:t>. Admissibility and Merits</w:t>
                            </w:r>
                            <w:r>
                              <w:rPr>
                                <w:rFonts w:asciiTheme="majorHAnsi" w:hAnsiTheme="majorHAnsi"/>
                                <w:color w:val="595959" w:themeColor="text1" w:themeTint="A6"/>
                                <w:sz w:val="18"/>
                              </w:rPr>
                              <w:t xml:space="preserve"> (</w:t>
                            </w:r>
                            <w:r w:rsidRPr="00521B37">
                              <w:rPr>
                                <w:rFonts w:asciiTheme="majorHAnsi" w:hAnsiTheme="majorHAnsi"/>
                                <w:color w:val="595959" w:themeColor="text1" w:themeTint="A6"/>
                                <w:sz w:val="18"/>
                              </w:rPr>
                              <w:t>Publication</w:t>
                            </w:r>
                            <w:r>
                              <w:rPr>
                                <w:rFonts w:asciiTheme="majorHAnsi" w:hAnsiTheme="majorHAnsi"/>
                                <w:color w:val="595959" w:themeColor="text1" w:themeTint="A6"/>
                                <w:sz w:val="18"/>
                              </w:rPr>
                              <w:t>)</w:t>
                            </w:r>
                            <w:r w:rsidRPr="00E05E02">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Manuel Valle. </w:t>
                            </w:r>
                            <w:r w:rsidRPr="00E05E02">
                              <w:rPr>
                                <w:rFonts w:asciiTheme="majorHAnsi" w:hAnsiTheme="majorHAnsi"/>
                                <w:color w:val="595959" w:themeColor="text1" w:themeTint="A6"/>
                                <w:sz w:val="18"/>
                              </w:rPr>
                              <w:t>Un</w:t>
                            </w:r>
                            <w:r>
                              <w:rPr>
                                <w:rFonts w:asciiTheme="majorHAnsi" w:hAnsiTheme="majorHAnsi"/>
                                <w:color w:val="595959" w:themeColor="text1" w:themeTint="A6"/>
                                <w:sz w:val="18"/>
                              </w:rPr>
                              <w:t xml:space="preserve">ited States of America. December </w:t>
                            </w:r>
                            <w:r w:rsidR="00521B37">
                              <w:rPr>
                                <w:rFonts w:asciiTheme="majorHAnsi" w:hAnsiTheme="majorHAnsi"/>
                                <w:color w:val="595959" w:themeColor="text1" w:themeTint="A6"/>
                                <w:sz w:val="18"/>
                              </w:rPr>
                              <w:t>31</w:t>
                            </w:r>
                            <w:r>
                              <w:rPr>
                                <w:rFonts w:asciiTheme="majorHAnsi" w:hAnsiTheme="majorHAnsi"/>
                                <w:color w:val="595959" w:themeColor="text1" w:themeTint="A6"/>
                                <w:sz w:val="18"/>
                              </w:rPr>
                              <w:t>, 2021</w:t>
                            </w:r>
                            <w:r w:rsidRPr="00E05E02">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40AA2"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" filled="f" stroked="f" strokeweight=".5pt">
                <v:textbox>
                  <w:txbxContent>
                    <w:p w14:paraId="415B9DA5" w14:textId="08CCF5FF" w:rsidR="0015306E" w:rsidRPr="003C32BC" w:rsidRDefault="0015306E"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21B37">
                        <w:rPr>
                          <w:rFonts w:asciiTheme="majorHAnsi" w:hAnsiTheme="majorHAnsi"/>
                          <w:color w:val="595959" w:themeColor="text1" w:themeTint="A6"/>
                          <w:sz w:val="18"/>
                        </w:rPr>
                        <w:t>453</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w:t>
                      </w:r>
                      <w:r w:rsidR="00976149">
                        <w:rPr>
                          <w:rFonts w:asciiTheme="majorHAnsi" w:hAnsiTheme="majorHAnsi"/>
                          <w:color w:val="595959" w:themeColor="text1" w:themeTint="A6"/>
                          <w:sz w:val="18"/>
                        </w:rPr>
                        <w:t>1</w:t>
                      </w:r>
                      <w:r>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13.339</w:t>
                      </w:r>
                      <w:r w:rsidRPr="00E05E02">
                        <w:rPr>
                          <w:rFonts w:asciiTheme="majorHAnsi" w:hAnsiTheme="majorHAnsi"/>
                          <w:color w:val="595959" w:themeColor="text1" w:themeTint="A6"/>
                          <w:sz w:val="18"/>
                        </w:rPr>
                        <w:t>. Admissibility and Merits</w:t>
                      </w:r>
                      <w:r>
                        <w:rPr>
                          <w:rFonts w:asciiTheme="majorHAnsi" w:hAnsiTheme="majorHAnsi"/>
                          <w:color w:val="595959" w:themeColor="text1" w:themeTint="A6"/>
                          <w:sz w:val="18"/>
                        </w:rPr>
                        <w:t xml:space="preserve"> (</w:t>
                      </w:r>
                      <w:r w:rsidRPr="00521B37">
                        <w:rPr>
                          <w:rFonts w:asciiTheme="majorHAnsi" w:hAnsiTheme="majorHAnsi"/>
                          <w:color w:val="595959" w:themeColor="text1" w:themeTint="A6"/>
                          <w:sz w:val="18"/>
                        </w:rPr>
                        <w:t>Publication</w:t>
                      </w:r>
                      <w:r>
                        <w:rPr>
                          <w:rFonts w:asciiTheme="majorHAnsi" w:hAnsiTheme="majorHAnsi"/>
                          <w:color w:val="595959" w:themeColor="text1" w:themeTint="A6"/>
                          <w:sz w:val="18"/>
                        </w:rPr>
                        <w:t>)</w:t>
                      </w:r>
                      <w:r w:rsidRPr="00E05E02">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Manuel Valle. </w:t>
                      </w:r>
                      <w:r w:rsidRPr="00E05E02">
                        <w:rPr>
                          <w:rFonts w:asciiTheme="majorHAnsi" w:hAnsiTheme="majorHAnsi"/>
                          <w:color w:val="595959" w:themeColor="text1" w:themeTint="A6"/>
                          <w:sz w:val="18"/>
                        </w:rPr>
                        <w:t>Un</w:t>
                      </w:r>
                      <w:r>
                        <w:rPr>
                          <w:rFonts w:asciiTheme="majorHAnsi" w:hAnsiTheme="majorHAnsi"/>
                          <w:color w:val="595959" w:themeColor="text1" w:themeTint="A6"/>
                          <w:sz w:val="18"/>
                        </w:rPr>
                        <w:t xml:space="preserve">ited States of America. December </w:t>
                      </w:r>
                      <w:r w:rsidR="00521B37">
                        <w:rPr>
                          <w:rFonts w:asciiTheme="majorHAnsi" w:hAnsiTheme="majorHAnsi"/>
                          <w:color w:val="595959" w:themeColor="text1" w:themeTint="A6"/>
                          <w:sz w:val="18"/>
                        </w:rPr>
                        <w:t>31</w:t>
                      </w:r>
                      <w:r>
                        <w:rPr>
                          <w:rFonts w:asciiTheme="majorHAnsi" w:hAnsiTheme="majorHAnsi"/>
                          <w:color w:val="595959" w:themeColor="text1" w:themeTint="A6"/>
                          <w:sz w:val="18"/>
                        </w:rPr>
                        <w:t>, 2021</w:t>
                      </w:r>
                      <w:r w:rsidRPr="00E05E02">
                        <w:rPr>
                          <w:rFonts w:asciiTheme="majorHAnsi" w:hAnsiTheme="majorHAnsi"/>
                          <w:color w:val="595959" w:themeColor="text1" w:themeTint="A6"/>
                          <w:sz w:val="18"/>
                        </w:rPr>
                        <w:t>.</w:t>
                      </w:r>
                    </w:p>
                  </w:txbxContent>
                </v:textbox>
              </v:shape>
            </w:pict>
          </mc:Fallback>
        </mc:AlternateContent>
      </w:r>
    </w:p>
    <w:p w14:paraId="7F2BB655"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4AFED948" w14:textId="77777777" w:rsidR="002C1641" w:rsidRPr="00CE58F6" w:rsidRDefault="002C1641" w:rsidP="00EC55EA">
      <w:pPr>
        <w:tabs>
          <w:tab w:val="center" w:pos="5400"/>
        </w:tabs>
        <w:suppressAutoHyphens/>
        <w:jc w:val="center"/>
        <w:rPr>
          <w:rFonts w:asciiTheme="majorHAnsi" w:hAnsiTheme="majorHAnsi"/>
          <w:sz w:val="20"/>
          <w:szCs w:val="20"/>
          <w:lang w:val="es-ES_tradnl"/>
        </w:rPr>
      </w:pPr>
    </w:p>
    <w:p w14:paraId="2DE2897B" w14:textId="77777777" w:rsidR="003C32BC" w:rsidRPr="00CE58F6" w:rsidRDefault="003C32BC" w:rsidP="00EC55EA">
      <w:pPr>
        <w:tabs>
          <w:tab w:val="center" w:pos="5400"/>
        </w:tabs>
        <w:suppressAutoHyphens/>
        <w:jc w:val="center"/>
        <w:rPr>
          <w:rFonts w:asciiTheme="majorHAnsi" w:hAnsiTheme="majorHAnsi"/>
          <w:sz w:val="20"/>
          <w:szCs w:val="20"/>
        </w:rPr>
      </w:pPr>
    </w:p>
    <w:p w14:paraId="66C103DB" w14:textId="77777777" w:rsidR="003C32BC" w:rsidRPr="00CE58F6" w:rsidRDefault="00B2560B" w:rsidP="00EC55EA">
      <w:pPr>
        <w:tabs>
          <w:tab w:val="center" w:pos="5400"/>
        </w:tabs>
        <w:suppressAutoHyphens/>
        <w:jc w:val="center"/>
        <w:rPr>
          <w:rFonts w:asciiTheme="majorHAnsi" w:hAnsiTheme="majorHAnsi"/>
          <w:sz w:val="20"/>
          <w:szCs w:val="20"/>
        </w:rPr>
      </w:pPr>
      <w:r w:rsidRPr="00CE58F6">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7E0A8223" wp14:editId="742F6283">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B7FA4" w14:textId="77777777" w:rsidR="0015306E" w:rsidRPr="004B7EB6" w:rsidRDefault="0015306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A822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" filled="f" stroked="f" strokeweight=".5pt">
                <v:textbox>
                  <w:txbxContent>
                    <w:p w14:paraId="21AB7FA4" w14:textId="77777777" w:rsidR="0015306E" w:rsidRPr="004B7EB6" w:rsidRDefault="0015306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E58F6">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58E33340" wp14:editId="01B64252">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ABCA6" w14:textId="2A7DFC21" w:rsidR="0015306E" w:rsidRDefault="00724244">
                            <w:r>
                              <w:rPr>
                                <w:noProof/>
                              </w:rPr>
                              <w:drawing>
                                <wp:inline distT="0" distB="0" distL="0" distR="0" wp14:anchorId="3E3E52A8" wp14:editId="54776900">
                                  <wp:extent cx="1519555" cy="387985"/>
                                  <wp:effectExtent l="0" t="0" r="444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33340"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51BABCA6" w14:textId="2A7DFC21" w:rsidR="0015306E" w:rsidRDefault="00724244">
                      <w:r>
                        <w:rPr>
                          <w:noProof/>
                        </w:rPr>
                        <w:drawing>
                          <wp:inline distT="0" distB="0" distL="0" distR="0" wp14:anchorId="3E3E52A8" wp14:editId="54776900">
                            <wp:extent cx="1519555" cy="387985"/>
                            <wp:effectExtent l="0" t="0" r="444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15BDD00A" w14:textId="77777777" w:rsidR="007607C4" w:rsidRPr="00CE58F6" w:rsidRDefault="007607C4" w:rsidP="00EC55EA">
      <w:pPr>
        <w:tabs>
          <w:tab w:val="center" w:pos="5400"/>
        </w:tabs>
        <w:suppressAutoHyphens/>
        <w:jc w:val="center"/>
        <w:rPr>
          <w:rFonts w:asciiTheme="majorHAnsi" w:hAnsiTheme="majorHAnsi"/>
          <w:sz w:val="20"/>
          <w:szCs w:val="20"/>
        </w:rPr>
        <w:sectPr w:rsidR="007607C4" w:rsidRPr="00CE58F6">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2DE2BD31" w14:textId="77777777" w:rsidR="00FC3EB4" w:rsidRPr="00CE58F6" w:rsidRDefault="00FC3EB4" w:rsidP="00EC55EA">
      <w:pPr>
        <w:tabs>
          <w:tab w:val="center" w:pos="5400"/>
        </w:tabs>
        <w:suppressAutoHyphens/>
        <w:spacing w:line="276" w:lineRule="auto"/>
        <w:jc w:val="center"/>
        <w:rPr>
          <w:rFonts w:asciiTheme="majorHAnsi" w:hAnsiTheme="majorHAnsi"/>
          <w:b/>
          <w:sz w:val="20"/>
          <w:szCs w:val="20"/>
        </w:rPr>
      </w:pPr>
      <w:r w:rsidRPr="00CE58F6">
        <w:rPr>
          <w:rFonts w:asciiTheme="majorHAnsi" w:hAnsiTheme="majorHAnsi"/>
          <w:b/>
          <w:sz w:val="20"/>
          <w:szCs w:val="20"/>
        </w:rPr>
        <w:lastRenderedPageBreak/>
        <w:t>INDEX</w:t>
      </w:r>
    </w:p>
    <w:p w14:paraId="6E80C50F" w14:textId="77777777" w:rsidR="007607C4" w:rsidRPr="006F5AB5" w:rsidRDefault="007607C4" w:rsidP="00EC55EA">
      <w:pPr>
        <w:tabs>
          <w:tab w:val="center" w:pos="5400"/>
        </w:tabs>
        <w:suppressAutoHyphens/>
        <w:spacing w:line="276" w:lineRule="auto"/>
        <w:rPr>
          <w:rFonts w:asciiTheme="majorHAnsi" w:hAnsiTheme="majorHAnsi"/>
          <w:sz w:val="20"/>
          <w:szCs w:val="20"/>
        </w:rPr>
      </w:pPr>
    </w:p>
    <w:p w14:paraId="15D53C38" w14:textId="096E0675" w:rsidR="006F5AB5" w:rsidRPr="00521B37" w:rsidRDefault="00051F6B">
      <w:pPr>
        <w:pStyle w:val="TOC1"/>
        <w:rPr>
          <w:rFonts w:eastAsiaTheme="minorEastAsia" w:cstheme="minorBidi"/>
          <w:b w:val="0"/>
          <w:bdr w:val="none" w:sz="0" w:space="0" w:color="auto"/>
          <w:lang w:val="es-US" w:eastAsia="zh-CN"/>
        </w:rPr>
      </w:pPr>
      <w:r w:rsidRPr="00521B37">
        <w:rPr>
          <w:b w:val="0"/>
        </w:rPr>
        <w:fldChar w:fldCharType="begin"/>
      </w:r>
      <w:r w:rsidR="00864785" w:rsidRPr="00521B37">
        <w:rPr>
          <w:b w:val="0"/>
          <w:lang w:val="en-US"/>
        </w:rPr>
        <w:instrText xml:space="preserve"> TOC \o "1-3" \h \z \u </w:instrText>
      </w:r>
      <w:r w:rsidRPr="00521B37">
        <w:rPr>
          <w:b w:val="0"/>
        </w:rPr>
        <w:fldChar w:fldCharType="separate"/>
      </w:r>
      <w:hyperlink w:anchor="_Toc90291498" w:history="1">
        <w:r w:rsidR="006F5AB5" w:rsidRPr="00521B37">
          <w:rPr>
            <w:rStyle w:val="Hyperlink"/>
          </w:rPr>
          <w:t>I.</w:t>
        </w:r>
        <w:r w:rsidR="006F5AB5" w:rsidRPr="00521B37">
          <w:rPr>
            <w:rFonts w:eastAsiaTheme="minorEastAsia" w:cstheme="minorBidi"/>
            <w:b w:val="0"/>
            <w:bdr w:val="none" w:sz="0" w:space="0" w:color="auto"/>
            <w:lang w:val="es-US" w:eastAsia="zh-CN"/>
          </w:rPr>
          <w:tab/>
        </w:r>
        <w:r w:rsidR="006F5AB5" w:rsidRPr="00521B37">
          <w:rPr>
            <w:rStyle w:val="Hyperlink"/>
          </w:rPr>
          <w:t>INTRODUCTION</w:t>
        </w:r>
        <w:r w:rsidR="006F5AB5" w:rsidRPr="00521B37">
          <w:rPr>
            <w:webHidden/>
          </w:rPr>
          <w:tab/>
        </w:r>
        <w:r w:rsidR="006F5AB5" w:rsidRPr="00521B37">
          <w:rPr>
            <w:webHidden/>
          </w:rPr>
          <w:fldChar w:fldCharType="begin"/>
        </w:r>
        <w:r w:rsidR="006F5AB5" w:rsidRPr="00521B37">
          <w:rPr>
            <w:webHidden/>
          </w:rPr>
          <w:instrText xml:space="preserve"> PAGEREF _Toc90291498 \h </w:instrText>
        </w:r>
        <w:r w:rsidR="006F5AB5" w:rsidRPr="00521B37">
          <w:rPr>
            <w:webHidden/>
          </w:rPr>
        </w:r>
        <w:r w:rsidR="006F5AB5" w:rsidRPr="00521B37">
          <w:rPr>
            <w:webHidden/>
          </w:rPr>
          <w:fldChar w:fldCharType="separate"/>
        </w:r>
        <w:r w:rsidR="006F5AB5" w:rsidRPr="00521B37">
          <w:rPr>
            <w:webHidden/>
          </w:rPr>
          <w:t>3</w:t>
        </w:r>
        <w:r w:rsidR="006F5AB5" w:rsidRPr="00521B37">
          <w:rPr>
            <w:webHidden/>
          </w:rPr>
          <w:fldChar w:fldCharType="end"/>
        </w:r>
      </w:hyperlink>
    </w:p>
    <w:p w14:paraId="3073DF1A" w14:textId="4C0067ED" w:rsidR="006F5AB5" w:rsidRPr="00521B37" w:rsidRDefault="00905B37">
      <w:pPr>
        <w:pStyle w:val="TOC1"/>
        <w:rPr>
          <w:rFonts w:eastAsiaTheme="minorEastAsia" w:cstheme="minorBidi"/>
          <w:b w:val="0"/>
          <w:bdr w:val="none" w:sz="0" w:space="0" w:color="auto"/>
          <w:lang w:val="es-US" w:eastAsia="zh-CN"/>
        </w:rPr>
      </w:pPr>
      <w:hyperlink w:anchor="_Toc90291499" w:history="1">
        <w:r w:rsidR="006F5AB5" w:rsidRPr="00521B37">
          <w:rPr>
            <w:rStyle w:val="Hyperlink"/>
          </w:rPr>
          <w:t>II.</w:t>
        </w:r>
        <w:r w:rsidR="006F5AB5" w:rsidRPr="00521B37">
          <w:rPr>
            <w:rFonts w:eastAsiaTheme="minorEastAsia" w:cstheme="minorBidi"/>
            <w:b w:val="0"/>
            <w:bdr w:val="none" w:sz="0" w:space="0" w:color="auto"/>
            <w:lang w:val="es-US" w:eastAsia="zh-CN"/>
          </w:rPr>
          <w:tab/>
        </w:r>
        <w:r w:rsidR="006F5AB5" w:rsidRPr="00521B37">
          <w:rPr>
            <w:rStyle w:val="Hyperlink"/>
          </w:rPr>
          <w:t>POSITIONS OF THE PARTIES</w:t>
        </w:r>
        <w:r w:rsidR="006F5AB5" w:rsidRPr="00521B37">
          <w:rPr>
            <w:webHidden/>
          </w:rPr>
          <w:tab/>
        </w:r>
        <w:r w:rsidR="006F5AB5" w:rsidRPr="00521B37">
          <w:rPr>
            <w:webHidden/>
          </w:rPr>
          <w:fldChar w:fldCharType="begin"/>
        </w:r>
        <w:r w:rsidR="006F5AB5" w:rsidRPr="00521B37">
          <w:rPr>
            <w:webHidden/>
          </w:rPr>
          <w:instrText xml:space="preserve"> PAGEREF _Toc90291499 \h </w:instrText>
        </w:r>
        <w:r w:rsidR="006F5AB5" w:rsidRPr="00521B37">
          <w:rPr>
            <w:webHidden/>
          </w:rPr>
        </w:r>
        <w:r w:rsidR="006F5AB5" w:rsidRPr="00521B37">
          <w:rPr>
            <w:webHidden/>
          </w:rPr>
          <w:fldChar w:fldCharType="separate"/>
        </w:r>
        <w:r w:rsidR="006F5AB5" w:rsidRPr="00521B37">
          <w:rPr>
            <w:webHidden/>
          </w:rPr>
          <w:t>3</w:t>
        </w:r>
        <w:r w:rsidR="006F5AB5" w:rsidRPr="00521B37">
          <w:rPr>
            <w:webHidden/>
          </w:rPr>
          <w:fldChar w:fldCharType="end"/>
        </w:r>
      </w:hyperlink>
    </w:p>
    <w:p w14:paraId="6842A91B" w14:textId="49C9DF39"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00" w:history="1">
        <w:r w:rsidR="006F5AB5" w:rsidRPr="00521B37">
          <w:rPr>
            <w:rStyle w:val="Hyperlink"/>
            <w:rFonts w:asciiTheme="majorHAnsi" w:hAnsiTheme="majorHAnsi"/>
            <w:sz w:val="20"/>
            <w:szCs w:val="20"/>
          </w:rPr>
          <w:t>A.</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Petitioners</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_Toc90291500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3</w:t>
        </w:r>
        <w:r w:rsidR="006F5AB5" w:rsidRPr="00521B37">
          <w:rPr>
            <w:rFonts w:asciiTheme="majorHAnsi" w:hAnsiTheme="majorHAnsi"/>
            <w:webHidden/>
            <w:sz w:val="20"/>
            <w:szCs w:val="20"/>
          </w:rPr>
          <w:fldChar w:fldCharType="end"/>
        </w:r>
      </w:hyperlink>
    </w:p>
    <w:p w14:paraId="605E67A5" w14:textId="72BC6E11"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01" w:history="1">
        <w:r w:rsidR="006F5AB5" w:rsidRPr="00521B37">
          <w:rPr>
            <w:rStyle w:val="Hyperlink"/>
            <w:rFonts w:asciiTheme="majorHAnsi" w:hAnsiTheme="majorHAnsi"/>
            <w:sz w:val="20"/>
            <w:szCs w:val="20"/>
          </w:rPr>
          <w:t>B.</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State</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_Toc90291501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3</w:t>
        </w:r>
        <w:r w:rsidR="006F5AB5" w:rsidRPr="00521B37">
          <w:rPr>
            <w:rFonts w:asciiTheme="majorHAnsi" w:hAnsiTheme="majorHAnsi"/>
            <w:webHidden/>
            <w:sz w:val="20"/>
            <w:szCs w:val="20"/>
          </w:rPr>
          <w:fldChar w:fldCharType="end"/>
        </w:r>
      </w:hyperlink>
    </w:p>
    <w:p w14:paraId="20BB01EE" w14:textId="2A870F1E" w:rsidR="006F5AB5" w:rsidRPr="00521B37" w:rsidRDefault="00905B37">
      <w:pPr>
        <w:pStyle w:val="TOC1"/>
        <w:rPr>
          <w:rFonts w:eastAsiaTheme="minorEastAsia" w:cstheme="minorBidi"/>
          <w:b w:val="0"/>
          <w:bdr w:val="none" w:sz="0" w:space="0" w:color="auto"/>
          <w:lang w:val="es-US" w:eastAsia="zh-CN"/>
        </w:rPr>
      </w:pPr>
      <w:hyperlink w:anchor="_Toc90291502" w:history="1">
        <w:r w:rsidR="006F5AB5" w:rsidRPr="00521B37">
          <w:rPr>
            <w:rStyle w:val="Hyperlink"/>
          </w:rPr>
          <w:t>III.</w:t>
        </w:r>
        <w:r w:rsidR="006F5AB5" w:rsidRPr="00521B37">
          <w:rPr>
            <w:rFonts w:eastAsiaTheme="minorEastAsia" w:cstheme="minorBidi"/>
            <w:b w:val="0"/>
            <w:bdr w:val="none" w:sz="0" w:space="0" w:color="auto"/>
            <w:lang w:val="es-US" w:eastAsia="zh-CN"/>
          </w:rPr>
          <w:tab/>
        </w:r>
        <w:r w:rsidR="006F5AB5" w:rsidRPr="00521B37">
          <w:rPr>
            <w:rStyle w:val="Hyperlink"/>
          </w:rPr>
          <w:t>ADMISSIBILITY</w:t>
        </w:r>
        <w:r w:rsidR="006F5AB5" w:rsidRPr="00521B37">
          <w:rPr>
            <w:webHidden/>
          </w:rPr>
          <w:tab/>
        </w:r>
        <w:r w:rsidR="006F5AB5" w:rsidRPr="00521B37">
          <w:rPr>
            <w:webHidden/>
          </w:rPr>
          <w:fldChar w:fldCharType="begin"/>
        </w:r>
        <w:r w:rsidR="006F5AB5" w:rsidRPr="00521B37">
          <w:rPr>
            <w:webHidden/>
          </w:rPr>
          <w:instrText xml:space="preserve"> PAGEREF _Toc90291502 \h </w:instrText>
        </w:r>
        <w:r w:rsidR="006F5AB5" w:rsidRPr="00521B37">
          <w:rPr>
            <w:webHidden/>
          </w:rPr>
        </w:r>
        <w:r w:rsidR="006F5AB5" w:rsidRPr="00521B37">
          <w:rPr>
            <w:webHidden/>
          </w:rPr>
          <w:fldChar w:fldCharType="separate"/>
        </w:r>
        <w:r w:rsidR="006F5AB5" w:rsidRPr="00521B37">
          <w:rPr>
            <w:webHidden/>
          </w:rPr>
          <w:t>4</w:t>
        </w:r>
        <w:r w:rsidR="006F5AB5" w:rsidRPr="00521B37">
          <w:rPr>
            <w:webHidden/>
          </w:rPr>
          <w:fldChar w:fldCharType="end"/>
        </w:r>
      </w:hyperlink>
    </w:p>
    <w:p w14:paraId="4145CAE6" w14:textId="3DEC84A4"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03" w:history="1">
        <w:r w:rsidR="006F5AB5" w:rsidRPr="00521B37">
          <w:rPr>
            <w:rStyle w:val="Hyperlink"/>
            <w:rFonts w:asciiTheme="majorHAnsi" w:hAnsiTheme="majorHAnsi"/>
            <w:sz w:val="20"/>
            <w:szCs w:val="20"/>
          </w:rPr>
          <w:t>A.</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 xml:space="preserve">Competence, duplication of procedures and international </w:t>
        </w:r>
        <w:r w:rsidR="006F5AB5" w:rsidRPr="00521B37">
          <w:rPr>
            <w:rStyle w:val="Hyperlink"/>
            <w:rFonts w:asciiTheme="majorHAnsi" w:hAnsiTheme="majorHAnsi"/>
            <w:i/>
            <w:sz w:val="20"/>
            <w:szCs w:val="20"/>
          </w:rPr>
          <w:t>res judicata</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_Toc90291503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4</w:t>
        </w:r>
        <w:r w:rsidR="006F5AB5" w:rsidRPr="00521B37">
          <w:rPr>
            <w:rFonts w:asciiTheme="majorHAnsi" w:hAnsiTheme="majorHAnsi"/>
            <w:webHidden/>
            <w:sz w:val="20"/>
            <w:szCs w:val="20"/>
          </w:rPr>
          <w:fldChar w:fldCharType="end"/>
        </w:r>
      </w:hyperlink>
    </w:p>
    <w:p w14:paraId="2D859F50" w14:textId="100096DC"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04" w:history="1">
        <w:r w:rsidR="006F5AB5" w:rsidRPr="00521B37">
          <w:rPr>
            <w:rStyle w:val="Hyperlink"/>
            <w:rFonts w:asciiTheme="majorHAnsi" w:hAnsiTheme="majorHAnsi" w:cs="Tahoma"/>
            <w:sz w:val="20"/>
            <w:szCs w:val="20"/>
          </w:rPr>
          <w:t>B.</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cs="Tahoma"/>
            <w:sz w:val="20"/>
            <w:szCs w:val="20"/>
            <w:shd w:val="clear" w:color="auto" w:fill="FFFFFF"/>
          </w:rPr>
          <w:t>Exhaustion of domestic remedies and timeliness of the petition</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_Toc90291504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4</w:t>
        </w:r>
        <w:r w:rsidR="006F5AB5" w:rsidRPr="00521B37">
          <w:rPr>
            <w:rFonts w:asciiTheme="majorHAnsi" w:hAnsiTheme="majorHAnsi"/>
            <w:webHidden/>
            <w:sz w:val="20"/>
            <w:szCs w:val="20"/>
          </w:rPr>
          <w:fldChar w:fldCharType="end"/>
        </w:r>
      </w:hyperlink>
    </w:p>
    <w:p w14:paraId="7A3D9E05" w14:textId="6F0A58EE"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05" w:history="1">
        <w:r w:rsidR="006F5AB5" w:rsidRPr="00521B37">
          <w:rPr>
            <w:rStyle w:val="Hyperlink"/>
            <w:rFonts w:asciiTheme="majorHAnsi" w:hAnsiTheme="majorHAnsi"/>
            <w:sz w:val="20"/>
            <w:szCs w:val="20"/>
          </w:rPr>
          <w:t>C.</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Colorable claim</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_Toc90291505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5</w:t>
        </w:r>
        <w:r w:rsidR="006F5AB5" w:rsidRPr="00521B37">
          <w:rPr>
            <w:rFonts w:asciiTheme="majorHAnsi" w:hAnsiTheme="majorHAnsi"/>
            <w:webHidden/>
            <w:sz w:val="20"/>
            <w:szCs w:val="20"/>
          </w:rPr>
          <w:fldChar w:fldCharType="end"/>
        </w:r>
      </w:hyperlink>
    </w:p>
    <w:p w14:paraId="28E41D7B" w14:textId="41F136DA" w:rsidR="006F5AB5" w:rsidRPr="00521B37" w:rsidRDefault="00905B37">
      <w:pPr>
        <w:pStyle w:val="TOC1"/>
        <w:rPr>
          <w:rFonts w:eastAsiaTheme="minorEastAsia" w:cstheme="minorBidi"/>
          <w:b w:val="0"/>
          <w:bdr w:val="none" w:sz="0" w:space="0" w:color="auto"/>
          <w:lang w:val="es-US" w:eastAsia="zh-CN"/>
        </w:rPr>
      </w:pPr>
      <w:hyperlink w:anchor="_Toc90291506" w:history="1">
        <w:r w:rsidR="006F5AB5" w:rsidRPr="00521B37">
          <w:rPr>
            <w:rStyle w:val="Hyperlink"/>
          </w:rPr>
          <w:t>IV.</w:t>
        </w:r>
        <w:r w:rsidR="006F5AB5" w:rsidRPr="00521B37">
          <w:rPr>
            <w:rFonts w:eastAsiaTheme="minorEastAsia" w:cstheme="minorBidi"/>
            <w:b w:val="0"/>
            <w:bdr w:val="none" w:sz="0" w:space="0" w:color="auto"/>
            <w:lang w:val="es-US" w:eastAsia="zh-CN"/>
          </w:rPr>
          <w:tab/>
        </w:r>
        <w:r w:rsidR="006F5AB5" w:rsidRPr="00521B37">
          <w:rPr>
            <w:rStyle w:val="Hyperlink"/>
          </w:rPr>
          <w:t>FINDINGS OF FACT</w:t>
        </w:r>
        <w:r w:rsidR="006F5AB5" w:rsidRPr="00521B37">
          <w:rPr>
            <w:webHidden/>
          </w:rPr>
          <w:tab/>
        </w:r>
        <w:r w:rsidR="006F5AB5" w:rsidRPr="00521B37">
          <w:rPr>
            <w:webHidden/>
          </w:rPr>
          <w:fldChar w:fldCharType="begin"/>
        </w:r>
        <w:r w:rsidR="006F5AB5" w:rsidRPr="00521B37">
          <w:rPr>
            <w:webHidden/>
          </w:rPr>
          <w:instrText xml:space="preserve"> PAGEREF _Toc90291506 \h </w:instrText>
        </w:r>
        <w:r w:rsidR="006F5AB5" w:rsidRPr="00521B37">
          <w:rPr>
            <w:webHidden/>
          </w:rPr>
        </w:r>
        <w:r w:rsidR="006F5AB5" w:rsidRPr="00521B37">
          <w:rPr>
            <w:webHidden/>
          </w:rPr>
          <w:fldChar w:fldCharType="separate"/>
        </w:r>
        <w:r w:rsidR="006F5AB5" w:rsidRPr="00521B37">
          <w:rPr>
            <w:webHidden/>
          </w:rPr>
          <w:t>5</w:t>
        </w:r>
        <w:r w:rsidR="006F5AB5" w:rsidRPr="00521B37">
          <w:rPr>
            <w:webHidden/>
          </w:rPr>
          <w:fldChar w:fldCharType="end"/>
        </w:r>
      </w:hyperlink>
    </w:p>
    <w:p w14:paraId="524BAE4E" w14:textId="39417B96"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07" w:history="1">
        <w:r w:rsidR="006F5AB5" w:rsidRPr="00521B37">
          <w:rPr>
            <w:rStyle w:val="Hyperlink"/>
            <w:rFonts w:asciiTheme="majorHAnsi" w:hAnsiTheme="majorHAnsi"/>
            <w:sz w:val="20"/>
            <w:szCs w:val="20"/>
          </w:rPr>
          <w:t>A.</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Facts of the case</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_Toc90291507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5</w:t>
        </w:r>
        <w:r w:rsidR="006F5AB5" w:rsidRPr="00521B37">
          <w:rPr>
            <w:rFonts w:asciiTheme="majorHAnsi" w:hAnsiTheme="majorHAnsi"/>
            <w:webHidden/>
            <w:sz w:val="20"/>
            <w:szCs w:val="20"/>
          </w:rPr>
          <w:fldChar w:fldCharType="end"/>
        </w:r>
      </w:hyperlink>
    </w:p>
    <w:p w14:paraId="3C6AD023" w14:textId="616BAB44"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08" w:history="1">
        <w:r w:rsidR="006F5AB5" w:rsidRPr="00521B37">
          <w:rPr>
            <w:rStyle w:val="Hyperlink"/>
            <w:rFonts w:asciiTheme="majorHAnsi" w:hAnsiTheme="majorHAnsi"/>
            <w:sz w:val="20"/>
            <w:szCs w:val="20"/>
          </w:rPr>
          <w:t>B.</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Trial and death sentence</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_Toc90291508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5</w:t>
        </w:r>
        <w:r w:rsidR="006F5AB5" w:rsidRPr="00521B37">
          <w:rPr>
            <w:rFonts w:asciiTheme="majorHAnsi" w:hAnsiTheme="majorHAnsi"/>
            <w:webHidden/>
            <w:sz w:val="20"/>
            <w:szCs w:val="20"/>
          </w:rPr>
          <w:fldChar w:fldCharType="end"/>
        </w:r>
      </w:hyperlink>
    </w:p>
    <w:p w14:paraId="68BF9479" w14:textId="54DF2335"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09" w:history="1">
        <w:r w:rsidR="006F5AB5" w:rsidRPr="00521B37">
          <w:rPr>
            <w:rStyle w:val="Hyperlink"/>
            <w:rFonts w:asciiTheme="majorHAnsi" w:hAnsiTheme="majorHAnsi"/>
            <w:sz w:val="20"/>
            <w:szCs w:val="20"/>
          </w:rPr>
          <w:t>C.</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Post-conviction proceedings and other remedies</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_Toc90291509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6</w:t>
        </w:r>
        <w:r w:rsidR="006F5AB5" w:rsidRPr="00521B37">
          <w:rPr>
            <w:rFonts w:asciiTheme="majorHAnsi" w:hAnsiTheme="majorHAnsi"/>
            <w:webHidden/>
            <w:sz w:val="20"/>
            <w:szCs w:val="20"/>
          </w:rPr>
          <w:fldChar w:fldCharType="end"/>
        </w:r>
      </w:hyperlink>
    </w:p>
    <w:p w14:paraId="18AFC3EB" w14:textId="0FAC443B" w:rsidR="006F5AB5" w:rsidRPr="00521B37" w:rsidRDefault="00905B37">
      <w:pPr>
        <w:pStyle w:val="TOC1"/>
        <w:rPr>
          <w:rFonts w:eastAsiaTheme="minorEastAsia" w:cstheme="minorBidi"/>
          <w:b w:val="0"/>
          <w:bdr w:val="none" w:sz="0" w:space="0" w:color="auto"/>
          <w:lang w:val="es-US" w:eastAsia="zh-CN"/>
        </w:rPr>
      </w:pPr>
      <w:hyperlink w:anchor="_Toc90291510" w:history="1">
        <w:r w:rsidR="006F5AB5" w:rsidRPr="00521B37">
          <w:rPr>
            <w:rStyle w:val="Hyperlink"/>
          </w:rPr>
          <w:t>V.</w:t>
        </w:r>
        <w:r w:rsidR="006F5AB5" w:rsidRPr="00521B37">
          <w:rPr>
            <w:rFonts w:eastAsiaTheme="minorEastAsia" w:cstheme="minorBidi"/>
            <w:b w:val="0"/>
            <w:bdr w:val="none" w:sz="0" w:space="0" w:color="auto"/>
            <w:lang w:val="es-US" w:eastAsia="zh-CN"/>
          </w:rPr>
          <w:tab/>
        </w:r>
        <w:r w:rsidR="006F5AB5" w:rsidRPr="00521B37">
          <w:rPr>
            <w:rStyle w:val="Hyperlink"/>
          </w:rPr>
          <w:t>ANALYSIS OF LAW</w:t>
        </w:r>
        <w:r w:rsidR="006F5AB5" w:rsidRPr="00521B37">
          <w:rPr>
            <w:webHidden/>
          </w:rPr>
          <w:tab/>
        </w:r>
        <w:r w:rsidR="006F5AB5" w:rsidRPr="00521B37">
          <w:rPr>
            <w:webHidden/>
          </w:rPr>
          <w:fldChar w:fldCharType="begin"/>
        </w:r>
        <w:r w:rsidR="006F5AB5" w:rsidRPr="00521B37">
          <w:rPr>
            <w:webHidden/>
          </w:rPr>
          <w:instrText xml:space="preserve"> PAGEREF _Toc90291510 \h </w:instrText>
        </w:r>
        <w:r w:rsidR="006F5AB5" w:rsidRPr="00521B37">
          <w:rPr>
            <w:webHidden/>
          </w:rPr>
        </w:r>
        <w:r w:rsidR="006F5AB5" w:rsidRPr="00521B37">
          <w:rPr>
            <w:webHidden/>
          </w:rPr>
          <w:fldChar w:fldCharType="separate"/>
        </w:r>
        <w:r w:rsidR="006F5AB5" w:rsidRPr="00521B37">
          <w:rPr>
            <w:webHidden/>
          </w:rPr>
          <w:t>8</w:t>
        </w:r>
        <w:r w:rsidR="006F5AB5" w:rsidRPr="00521B37">
          <w:rPr>
            <w:webHidden/>
          </w:rPr>
          <w:fldChar w:fldCharType="end"/>
        </w:r>
      </w:hyperlink>
    </w:p>
    <w:p w14:paraId="29FBDFAC" w14:textId="11C10C33"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11" w:history="1">
        <w:r w:rsidR="006F5AB5" w:rsidRPr="00521B37">
          <w:rPr>
            <w:rStyle w:val="Hyperlink"/>
            <w:rFonts w:asciiTheme="majorHAnsi" w:hAnsiTheme="majorHAnsi"/>
            <w:sz w:val="20"/>
            <w:szCs w:val="20"/>
          </w:rPr>
          <w:t>A.</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Law</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_Toc90291511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8</w:t>
        </w:r>
        <w:r w:rsidR="006F5AB5" w:rsidRPr="00521B37">
          <w:rPr>
            <w:rFonts w:asciiTheme="majorHAnsi" w:hAnsiTheme="majorHAnsi"/>
            <w:webHidden/>
            <w:sz w:val="20"/>
            <w:szCs w:val="20"/>
          </w:rPr>
          <w:fldChar w:fldCharType="end"/>
        </w:r>
      </w:hyperlink>
    </w:p>
    <w:p w14:paraId="3EC08008" w14:textId="298DE098"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12" w:history="1">
        <w:r w:rsidR="006F5AB5" w:rsidRPr="00521B37">
          <w:rPr>
            <w:rStyle w:val="Hyperlink"/>
            <w:rFonts w:asciiTheme="majorHAnsi" w:hAnsiTheme="majorHAnsi"/>
            <w:sz w:val="20"/>
            <w:szCs w:val="20"/>
          </w:rPr>
          <w:t>B.</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Preliminary considerations</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_Toc90291512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8</w:t>
        </w:r>
        <w:r w:rsidR="006F5AB5" w:rsidRPr="00521B37">
          <w:rPr>
            <w:rFonts w:asciiTheme="majorHAnsi" w:hAnsiTheme="majorHAnsi"/>
            <w:webHidden/>
            <w:sz w:val="20"/>
            <w:szCs w:val="20"/>
          </w:rPr>
          <w:fldChar w:fldCharType="end"/>
        </w:r>
      </w:hyperlink>
    </w:p>
    <w:p w14:paraId="79FC95BC" w14:textId="766A694B"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13" w:history="1">
        <w:r w:rsidR="006F5AB5" w:rsidRPr="00521B37">
          <w:rPr>
            <w:rStyle w:val="Hyperlink"/>
            <w:rFonts w:asciiTheme="majorHAnsi" w:hAnsiTheme="majorHAnsi"/>
            <w:sz w:val="20"/>
            <w:szCs w:val="20"/>
          </w:rPr>
          <w:t>C.</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Right to a fair trial, right of petition, and right to due process of law</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_Toc90291513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9</w:t>
        </w:r>
        <w:r w:rsidR="006F5AB5" w:rsidRPr="00521B37">
          <w:rPr>
            <w:rFonts w:asciiTheme="majorHAnsi" w:hAnsiTheme="majorHAnsi"/>
            <w:webHidden/>
            <w:sz w:val="20"/>
            <w:szCs w:val="20"/>
          </w:rPr>
          <w:fldChar w:fldCharType="end"/>
        </w:r>
      </w:hyperlink>
    </w:p>
    <w:p w14:paraId="6A093D8A" w14:textId="5989D591" w:rsidR="006F5AB5" w:rsidRPr="00521B37" w:rsidRDefault="00905B37">
      <w:pPr>
        <w:pStyle w:val="TOC3"/>
        <w:rPr>
          <w:rFonts w:asciiTheme="majorHAnsi" w:eastAsiaTheme="minorEastAsia" w:hAnsiTheme="majorHAnsi" w:cstheme="minorBidi"/>
          <w:noProof/>
          <w:sz w:val="20"/>
          <w:szCs w:val="20"/>
          <w:bdr w:val="none" w:sz="0" w:space="0" w:color="auto"/>
          <w:lang w:val="es-US" w:eastAsia="zh-CN"/>
        </w:rPr>
      </w:pPr>
      <w:hyperlink w:anchor="_Toc90291514" w:history="1">
        <w:r w:rsidR="006F5AB5" w:rsidRPr="00521B37">
          <w:rPr>
            <w:rStyle w:val="Hyperlink"/>
            <w:rFonts w:asciiTheme="majorHAnsi" w:hAnsiTheme="majorHAnsi"/>
            <w:noProof/>
            <w:sz w:val="20"/>
            <w:szCs w:val="20"/>
          </w:rPr>
          <w:t>1.</w:t>
        </w:r>
        <w:r w:rsidR="006F5AB5" w:rsidRPr="00521B37">
          <w:rPr>
            <w:rFonts w:asciiTheme="majorHAnsi" w:eastAsiaTheme="minorEastAsia" w:hAnsiTheme="majorHAnsi" w:cstheme="minorBidi"/>
            <w:noProof/>
            <w:sz w:val="20"/>
            <w:szCs w:val="20"/>
            <w:bdr w:val="none" w:sz="0" w:space="0" w:color="auto"/>
            <w:lang w:val="es-US" w:eastAsia="zh-CN"/>
          </w:rPr>
          <w:tab/>
        </w:r>
        <w:r w:rsidR="006F5AB5" w:rsidRPr="00521B37">
          <w:rPr>
            <w:rStyle w:val="Hyperlink"/>
            <w:rFonts w:asciiTheme="majorHAnsi" w:hAnsiTheme="majorHAnsi"/>
            <w:noProof/>
            <w:sz w:val="20"/>
            <w:szCs w:val="20"/>
          </w:rPr>
          <w:t>Right to information on consular assistance</w:t>
        </w:r>
        <w:r w:rsidR="006F5AB5" w:rsidRPr="00521B37">
          <w:rPr>
            <w:rFonts w:asciiTheme="majorHAnsi" w:hAnsiTheme="majorHAnsi"/>
            <w:noProof/>
            <w:webHidden/>
            <w:sz w:val="20"/>
            <w:szCs w:val="20"/>
          </w:rPr>
          <w:tab/>
        </w:r>
        <w:r w:rsidR="006F5AB5" w:rsidRPr="00521B37">
          <w:rPr>
            <w:rFonts w:asciiTheme="majorHAnsi" w:hAnsiTheme="majorHAnsi"/>
            <w:noProof/>
            <w:webHidden/>
            <w:sz w:val="20"/>
            <w:szCs w:val="20"/>
          </w:rPr>
          <w:fldChar w:fldCharType="begin"/>
        </w:r>
        <w:r w:rsidR="006F5AB5" w:rsidRPr="00521B37">
          <w:rPr>
            <w:rFonts w:asciiTheme="majorHAnsi" w:hAnsiTheme="majorHAnsi"/>
            <w:noProof/>
            <w:webHidden/>
            <w:sz w:val="20"/>
            <w:szCs w:val="20"/>
          </w:rPr>
          <w:instrText xml:space="preserve"> PAGEREF _Toc90291514 \h </w:instrText>
        </w:r>
        <w:r w:rsidR="006F5AB5" w:rsidRPr="00521B37">
          <w:rPr>
            <w:rFonts w:asciiTheme="majorHAnsi" w:hAnsiTheme="majorHAnsi"/>
            <w:noProof/>
            <w:webHidden/>
            <w:sz w:val="20"/>
            <w:szCs w:val="20"/>
          </w:rPr>
        </w:r>
        <w:r w:rsidR="006F5AB5" w:rsidRPr="00521B37">
          <w:rPr>
            <w:rFonts w:asciiTheme="majorHAnsi" w:hAnsiTheme="majorHAnsi"/>
            <w:noProof/>
            <w:webHidden/>
            <w:sz w:val="20"/>
            <w:szCs w:val="20"/>
          </w:rPr>
          <w:fldChar w:fldCharType="separate"/>
        </w:r>
        <w:r w:rsidR="006F5AB5" w:rsidRPr="00521B37">
          <w:rPr>
            <w:rFonts w:asciiTheme="majorHAnsi" w:hAnsiTheme="majorHAnsi"/>
            <w:noProof/>
            <w:webHidden/>
            <w:sz w:val="20"/>
            <w:szCs w:val="20"/>
          </w:rPr>
          <w:t>9</w:t>
        </w:r>
        <w:r w:rsidR="006F5AB5" w:rsidRPr="00521B37">
          <w:rPr>
            <w:rFonts w:asciiTheme="majorHAnsi" w:hAnsiTheme="majorHAnsi"/>
            <w:noProof/>
            <w:webHidden/>
            <w:sz w:val="20"/>
            <w:szCs w:val="20"/>
          </w:rPr>
          <w:fldChar w:fldCharType="end"/>
        </w:r>
      </w:hyperlink>
    </w:p>
    <w:p w14:paraId="7F8AB4DD" w14:textId="5ADD5697" w:rsidR="006F5AB5" w:rsidRPr="00521B37" w:rsidRDefault="00905B37">
      <w:pPr>
        <w:pStyle w:val="TOC3"/>
        <w:rPr>
          <w:rFonts w:asciiTheme="majorHAnsi" w:eastAsiaTheme="minorEastAsia" w:hAnsiTheme="majorHAnsi" w:cstheme="minorBidi"/>
          <w:noProof/>
          <w:sz w:val="20"/>
          <w:szCs w:val="20"/>
          <w:bdr w:val="none" w:sz="0" w:space="0" w:color="auto"/>
          <w:lang w:val="es-US" w:eastAsia="zh-CN"/>
        </w:rPr>
      </w:pPr>
      <w:hyperlink w:anchor="_Toc90291515" w:history="1">
        <w:r w:rsidR="006F5AB5" w:rsidRPr="00521B37">
          <w:rPr>
            <w:rStyle w:val="Hyperlink"/>
            <w:rFonts w:asciiTheme="majorHAnsi" w:hAnsiTheme="majorHAnsi"/>
            <w:noProof/>
            <w:sz w:val="20"/>
            <w:szCs w:val="20"/>
          </w:rPr>
          <w:t>2.</w:t>
        </w:r>
        <w:r w:rsidR="006F5AB5" w:rsidRPr="00521B37">
          <w:rPr>
            <w:rFonts w:asciiTheme="majorHAnsi" w:eastAsiaTheme="minorEastAsia" w:hAnsiTheme="majorHAnsi" w:cstheme="minorBidi"/>
            <w:noProof/>
            <w:sz w:val="20"/>
            <w:szCs w:val="20"/>
            <w:bdr w:val="none" w:sz="0" w:space="0" w:color="auto"/>
            <w:lang w:val="es-US" w:eastAsia="zh-CN"/>
          </w:rPr>
          <w:tab/>
        </w:r>
        <w:r w:rsidR="006F5AB5" w:rsidRPr="00521B37">
          <w:rPr>
            <w:rStyle w:val="Hyperlink"/>
            <w:rFonts w:asciiTheme="majorHAnsi" w:hAnsiTheme="majorHAnsi"/>
            <w:noProof/>
            <w:sz w:val="20"/>
            <w:szCs w:val="20"/>
          </w:rPr>
          <w:t>Right to clemency proceedings</w:t>
        </w:r>
        <w:r w:rsidR="006F5AB5" w:rsidRPr="00521B37">
          <w:rPr>
            <w:rFonts w:asciiTheme="majorHAnsi" w:hAnsiTheme="majorHAnsi"/>
            <w:noProof/>
            <w:webHidden/>
            <w:sz w:val="20"/>
            <w:szCs w:val="20"/>
          </w:rPr>
          <w:tab/>
        </w:r>
        <w:r w:rsidR="006F5AB5" w:rsidRPr="00521B37">
          <w:rPr>
            <w:rFonts w:asciiTheme="majorHAnsi" w:hAnsiTheme="majorHAnsi"/>
            <w:noProof/>
            <w:webHidden/>
            <w:sz w:val="20"/>
            <w:szCs w:val="20"/>
          </w:rPr>
          <w:fldChar w:fldCharType="begin"/>
        </w:r>
        <w:r w:rsidR="006F5AB5" w:rsidRPr="00521B37">
          <w:rPr>
            <w:rFonts w:asciiTheme="majorHAnsi" w:hAnsiTheme="majorHAnsi"/>
            <w:noProof/>
            <w:webHidden/>
            <w:sz w:val="20"/>
            <w:szCs w:val="20"/>
          </w:rPr>
          <w:instrText xml:space="preserve"> PAGEREF _Toc90291515 \h </w:instrText>
        </w:r>
        <w:r w:rsidR="006F5AB5" w:rsidRPr="00521B37">
          <w:rPr>
            <w:rFonts w:asciiTheme="majorHAnsi" w:hAnsiTheme="majorHAnsi"/>
            <w:noProof/>
            <w:webHidden/>
            <w:sz w:val="20"/>
            <w:szCs w:val="20"/>
          </w:rPr>
        </w:r>
        <w:r w:rsidR="006F5AB5" w:rsidRPr="00521B37">
          <w:rPr>
            <w:rFonts w:asciiTheme="majorHAnsi" w:hAnsiTheme="majorHAnsi"/>
            <w:noProof/>
            <w:webHidden/>
            <w:sz w:val="20"/>
            <w:szCs w:val="20"/>
          </w:rPr>
          <w:fldChar w:fldCharType="separate"/>
        </w:r>
        <w:r w:rsidR="006F5AB5" w:rsidRPr="00521B37">
          <w:rPr>
            <w:rFonts w:asciiTheme="majorHAnsi" w:hAnsiTheme="majorHAnsi"/>
            <w:noProof/>
            <w:webHidden/>
            <w:sz w:val="20"/>
            <w:szCs w:val="20"/>
          </w:rPr>
          <w:t>10</w:t>
        </w:r>
        <w:r w:rsidR="006F5AB5" w:rsidRPr="00521B37">
          <w:rPr>
            <w:rFonts w:asciiTheme="majorHAnsi" w:hAnsiTheme="majorHAnsi"/>
            <w:noProof/>
            <w:webHidden/>
            <w:sz w:val="20"/>
            <w:szCs w:val="20"/>
          </w:rPr>
          <w:fldChar w:fldCharType="end"/>
        </w:r>
      </w:hyperlink>
    </w:p>
    <w:p w14:paraId="07498B68" w14:textId="47BA3459"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16" w:history="1">
        <w:r w:rsidR="006F5AB5" w:rsidRPr="00521B37">
          <w:rPr>
            <w:rStyle w:val="Hyperlink"/>
            <w:rFonts w:asciiTheme="majorHAnsi" w:hAnsiTheme="majorHAnsi"/>
            <w:sz w:val="20"/>
            <w:szCs w:val="20"/>
          </w:rPr>
          <w:t>D.</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The deprivation of liberty on death row and the right of protection against cruel, infamous or unusual punishment</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_Toc90291516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12</w:t>
        </w:r>
        <w:r w:rsidR="006F5AB5" w:rsidRPr="00521B37">
          <w:rPr>
            <w:rFonts w:asciiTheme="majorHAnsi" w:hAnsiTheme="majorHAnsi"/>
            <w:webHidden/>
            <w:sz w:val="20"/>
            <w:szCs w:val="20"/>
          </w:rPr>
          <w:fldChar w:fldCharType="end"/>
        </w:r>
      </w:hyperlink>
    </w:p>
    <w:p w14:paraId="2B75D7D8" w14:textId="032C5A92"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17" w:history="1">
        <w:r w:rsidR="006F5AB5" w:rsidRPr="00521B37">
          <w:rPr>
            <w:rStyle w:val="Hyperlink"/>
            <w:rFonts w:asciiTheme="majorHAnsi" w:hAnsiTheme="majorHAnsi"/>
            <w:sz w:val="20"/>
            <w:szCs w:val="20"/>
          </w:rPr>
          <w:t>4.</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Death row phenomenon</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_Toc90291517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12</w:t>
        </w:r>
        <w:r w:rsidR="006F5AB5" w:rsidRPr="00521B37">
          <w:rPr>
            <w:rFonts w:asciiTheme="majorHAnsi" w:hAnsiTheme="majorHAnsi"/>
            <w:webHidden/>
            <w:sz w:val="20"/>
            <w:szCs w:val="20"/>
          </w:rPr>
          <w:fldChar w:fldCharType="end"/>
        </w:r>
      </w:hyperlink>
    </w:p>
    <w:p w14:paraId="62E642BF" w14:textId="02102D88"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18" w:history="1">
        <w:r w:rsidR="006F5AB5" w:rsidRPr="00521B37">
          <w:rPr>
            <w:rStyle w:val="Hyperlink"/>
            <w:rFonts w:asciiTheme="majorHAnsi" w:hAnsiTheme="majorHAnsi"/>
            <w:sz w:val="20"/>
            <w:szCs w:val="20"/>
          </w:rPr>
          <w:t>5.</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Method of Execution</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_Toc90291518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13</w:t>
        </w:r>
        <w:r w:rsidR="006F5AB5" w:rsidRPr="00521B37">
          <w:rPr>
            <w:rFonts w:asciiTheme="majorHAnsi" w:hAnsiTheme="majorHAnsi"/>
            <w:webHidden/>
            <w:sz w:val="20"/>
            <w:szCs w:val="20"/>
          </w:rPr>
          <w:fldChar w:fldCharType="end"/>
        </w:r>
      </w:hyperlink>
    </w:p>
    <w:p w14:paraId="369B8BF4" w14:textId="1B95D53A"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19" w:history="1">
        <w:r w:rsidR="006F5AB5" w:rsidRPr="00521B37">
          <w:rPr>
            <w:rStyle w:val="Hyperlink"/>
            <w:rFonts w:asciiTheme="majorHAnsi" w:hAnsiTheme="majorHAnsi"/>
            <w:sz w:val="20"/>
            <w:szCs w:val="20"/>
          </w:rPr>
          <w:t>E.</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Right to petition</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_Toc90291519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15</w:t>
        </w:r>
        <w:r w:rsidR="006F5AB5" w:rsidRPr="00521B37">
          <w:rPr>
            <w:rFonts w:asciiTheme="majorHAnsi" w:hAnsiTheme="majorHAnsi"/>
            <w:webHidden/>
            <w:sz w:val="20"/>
            <w:szCs w:val="20"/>
          </w:rPr>
          <w:fldChar w:fldCharType="end"/>
        </w:r>
      </w:hyperlink>
    </w:p>
    <w:p w14:paraId="0854DF11" w14:textId="749E5CA6" w:rsidR="006F5AB5" w:rsidRPr="00521B37" w:rsidRDefault="00905B37">
      <w:pPr>
        <w:pStyle w:val="TOC2"/>
        <w:rPr>
          <w:rFonts w:asciiTheme="majorHAnsi" w:eastAsiaTheme="minorEastAsia" w:hAnsiTheme="majorHAnsi" w:cstheme="minorBidi"/>
          <w:sz w:val="20"/>
          <w:szCs w:val="20"/>
          <w:bdr w:val="none" w:sz="0" w:space="0" w:color="auto"/>
          <w:lang w:val="es-US" w:eastAsia="zh-CN"/>
        </w:rPr>
      </w:pPr>
      <w:hyperlink w:anchor="_Toc90291520" w:history="1">
        <w:r w:rsidR="006F5AB5" w:rsidRPr="00521B37">
          <w:rPr>
            <w:rStyle w:val="Hyperlink"/>
            <w:rFonts w:asciiTheme="majorHAnsi" w:hAnsiTheme="majorHAnsi"/>
            <w:sz w:val="20"/>
            <w:szCs w:val="20"/>
          </w:rPr>
          <w:t>F.</w:t>
        </w:r>
        <w:r w:rsidR="006F5AB5" w:rsidRPr="00521B37">
          <w:rPr>
            <w:rFonts w:asciiTheme="majorHAnsi" w:eastAsiaTheme="minorEastAsia" w:hAnsiTheme="majorHAnsi" w:cstheme="minorBidi"/>
            <w:sz w:val="20"/>
            <w:szCs w:val="20"/>
            <w:bdr w:val="none" w:sz="0" w:space="0" w:color="auto"/>
            <w:lang w:val="es-US" w:eastAsia="zh-CN"/>
          </w:rPr>
          <w:tab/>
        </w:r>
        <w:r w:rsidR="006F5AB5" w:rsidRPr="00521B37">
          <w:rPr>
            <w:rStyle w:val="Hyperlink"/>
            <w:rFonts w:asciiTheme="majorHAnsi" w:hAnsiTheme="majorHAnsi"/>
            <w:sz w:val="20"/>
            <w:szCs w:val="20"/>
          </w:rPr>
          <w:t>Right to life and to protection against cruel, infamous or unusual punishment with respect to the execution of Manuel Valle</w:t>
        </w:r>
        <w:r w:rsidR="006F5AB5" w:rsidRPr="00521B37">
          <w:rPr>
            <w:rFonts w:asciiTheme="majorHAnsi" w:hAnsiTheme="majorHAnsi"/>
            <w:webHidden/>
            <w:sz w:val="20"/>
            <w:szCs w:val="20"/>
          </w:rPr>
          <w:tab/>
        </w:r>
        <w:r w:rsidR="006F5AB5" w:rsidRPr="00521B37">
          <w:rPr>
            <w:rFonts w:asciiTheme="majorHAnsi" w:hAnsiTheme="majorHAnsi"/>
            <w:webHidden/>
            <w:sz w:val="20"/>
            <w:szCs w:val="20"/>
          </w:rPr>
          <w:fldChar w:fldCharType="begin"/>
        </w:r>
        <w:r w:rsidR="006F5AB5" w:rsidRPr="00521B37">
          <w:rPr>
            <w:rFonts w:asciiTheme="majorHAnsi" w:hAnsiTheme="majorHAnsi"/>
            <w:webHidden/>
            <w:sz w:val="20"/>
            <w:szCs w:val="20"/>
          </w:rPr>
          <w:instrText xml:space="preserve"> PAGEREF _Toc90291520 \h </w:instrText>
        </w:r>
        <w:r w:rsidR="006F5AB5" w:rsidRPr="00521B37">
          <w:rPr>
            <w:rFonts w:asciiTheme="majorHAnsi" w:hAnsiTheme="majorHAnsi"/>
            <w:webHidden/>
            <w:sz w:val="20"/>
            <w:szCs w:val="20"/>
          </w:rPr>
        </w:r>
        <w:r w:rsidR="006F5AB5" w:rsidRPr="00521B37">
          <w:rPr>
            <w:rFonts w:asciiTheme="majorHAnsi" w:hAnsiTheme="majorHAnsi"/>
            <w:webHidden/>
            <w:sz w:val="20"/>
            <w:szCs w:val="20"/>
          </w:rPr>
          <w:fldChar w:fldCharType="separate"/>
        </w:r>
        <w:r w:rsidR="006F5AB5" w:rsidRPr="00521B37">
          <w:rPr>
            <w:rFonts w:asciiTheme="majorHAnsi" w:hAnsiTheme="majorHAnsi"/>
            <w:webHidden/>
            <w:sz w:val="20"/>
            <w:szCs w:val="20"/>
          </w:rPr>
          <w:t>16</w:t>
        </w:r>
        <w:r w:rsidR="006F5AB5" w:rsidRPr="00521B37">
          <w:rPr>
            <w:rFonts w:asciiTheme="majorHAnsi" w:hAnsiTheme="majorHAnsi"/>
            <w:webHidden/>
            <w:sz w:val="20"/>
            <w:szCs w:val="20"/>
          </w:rPr>
          <w:fldChar w:fldCharType="end"/>
        </w:r>
      </w:hyperlink>
    </w:p>
    <w:p w14:paraId="3AFE5755" w14:textId="591CDED2" w:rsidR="006F5AB5" w:rsidRPr="00521B37" w:rsidRDefault="00905B37">
      <w:pPr>
        <w:pStyle w:val="TOC1"/>
        <w:rPr>
          <w:rFonts w:eastAsiaTheme="minorEastAsia" w:cstheme="minorBidi"/>
          <w:b w:val="0"/>
          <w:bdr w:val="none" w:sz="0" w:space="0" w:color="auto"/>
          <w:lang w:val="es-US" w:eastAsia="zh-CN"/>
        </w:rPr>
      </w:pPr>
      <w:hyperlink w:anchor="_Toc90291521" w:history="1">
        <w:r w:rsidR="006F5AB5" w:rsidRPr="00521B37">
          <w:rPr>
            <w:rStyle w:val="Hyperlink"/>
          </w:rPr>
          <w:t>VI.</w:t>
        </w:r>
        <w:r w:rsidR="006F5AB5" w:rsidRPr="00521B37">
          <w:rPr>
            <w:rFonts w:eastAsiaTheme="minorEastAsia" w:cstheme="minorBidi"/>
            <w:b w:val="0"/>
            <w:bdr w:val="none" w:sz="0" w:space="0" w:color="auto"/>
            <w:lang w:val="es-US" w:eastAsia="zh-CN"/>
          </w:rPr>
          <w:tab/>
        </w:r>
        <w:r w:rsidR="006F5AB5" w:rsidRPr="00521B37">
          <w:rPr>
            <w:rStyle w:val="Hyperlink"/>
          </w:rPr>
          <w:t>REPORT No. 305/20 AND INFORMATION ABOUT COMPLIANCE</w:t>
        </w:r>
        <w:r w:rsidR="006F5AB5" w:rsidRPr="00521B37">
          <w:rPr>
            <w:webHidden/>
          </w:rPr>
          <w:tab/>
        </w:r>
        <w:r w:rsidR="006F5AB5" w:rsidRPr="00521B37">
          <w:rPr>
            <w:webHidden/>
          </w:rPr>
          <w:fldChar w:fldCharType="begin"/>
        </w:r>
        <w:r w:rsidR="006F5AB5" w:rsidRPr="00521B37">
          <w:rPr>
            <w:webHidden/>
          </w:rPr>
          <w:instrText xml:space="preserve"> PAGEREF _Toc90291521 \h </w:instrText>
        </w:r>
        <w:r w:rsidR="006F5AB5" w:rsidRPr="00521B37">
          <w:rPr>
            <w:webHidden/>
          </w:rPr>
        </w:r>
        <w:r w:rsidR="006F5AB5" w:rsidRPr="00521B37">
          <w:rPr>
            <w:webHidden/>
          </w:rPr>
          <w:fldChar w:fldCharType="separate"/>
        </w:r>
        <w:r w:rsidR="006F5AB5" w:rsidRPr="00521B37">
          <w:rPr>
            <w:webHidden/>
          </w:rPr>
          <w:t>16</w:t>
        </w:r>
        <w:r w:rsidR="006F5AB5" w:rsidRPr="00521B37">
          <w:rPr>
            <w:webHidden/>
          </w:rPr>
          <w:fldChar w:fldCharType="end"/>
        </w:r>
      </w:hyperlink>
    </w:p>
    <w:p w14:paraId="4A692EA5" w14:textId="5B7E7FE5" w:rsidR="006F5AB5" w:rsidRPr="00521B37" w:rsidRDefault="00905B37">
      <w:pPr>
        <w:pStyle w:val="TOC1"/>
        <w:rPr>
          <w:rFonts w:eastAsiaTheme="minorEastAsia" w:cstheme="minorBidi"/>
          <w:b w:val="0"/>
          <w:bdr w:val="none" w:sz="0" w:space="0" w:color="auto"/>
          <w:lang w:val="es-US" w:eastAsia="zh-CN"/>
        </w:rPr>
      </w:pPr>
      <w:hyperlink w:anchor="_Toc90291522" w:history="1">
        <w:r w:rsidR="006F5AB5" w:rsidRPr="00521B37">
          <w:rPr>
            <w:rStyle w:val="Hyperlink"/>
          </w:rPr>
          <w:t>VII.</w:t>
        </w:r>
        <w:r w:rsidR="006F5AB5" w:rsidRPr="00521B37">
          <w:rPr>
            <w:rFonts w:eastAsiaTheme="minorEastAsia" w:cstheme="minorBidi"/>
            <w:b w:val="0"/>
            <w:bdr w:val="none" w:sz="0" w:space="0" w:color="auto"/>
            <w:lang w:val="es-US" w:eastAsia="zh-CN"/>
          </w:rPr>
          <w:tab/>
        </w:r>
        <w:r w:rsidR="006F5AB5" w:rsidRPr="00521B37">
          <w:rPr>
            <w:rStyle w:val="Hyperlink"/>
          </w:rPr>
          <w:t>ACTIONS SUBSEQUENT TO REPORT No. 331/21</w:t>
        </w:r>
        <w:r w:rsidR="006F5AB5" w:rsidRPr="00521B37">
          <w:rPr>
            <w:webHidden/>
          </w:rPr>
          <w:tab/>
        </w:r>
        <w:r w:rsidR="006F5AB5" w:rsidRPr="00521B37">
          <w:rPr>
            <w:webHidden/>
          </w:rPr>
          <w:fldChar w:fldCharType="begin"/>
        </w:r>
        <w:r w:rsidR="006F5AB5" w:rsidRPr="00521B37">
          <w:rPr>
            <w:webHidden/>
          </w:rPr>
          <w:instrText xml:space="preserve"> PAGEREF _Toc90291522 \h </w:instrText>
        </w:r>
        <w:r w:rsidR="006F5AB5" w:rsidRPr="00521B37">
          <w:rPr>
            <w:webHidden/>
          </w:rPr>
        </w:r>
        <w:r w:rsidR="006F5AB5" w:rsidRPr="00521B37">
          <w:rPr>
            <w:webHidden/>
          </w:rPr>
          <w:fldChar w:fldCharType="separate"/>
        </w:r>
        <w:r w:rsidR="006F5AB5" w:rsidRPr="00521B37">
          <w:rPr>
            <w:webHidden/>
          </w:rPr>
          <w:t>17</w:t>
        </w:r>
        <w:r w:rsidR="006F5AB5" w:rsidRPr="00521B37">
          <w:rPr>
            <w:webHidden/>
          </w:rPr>
          <w:fldChar w:fldCharType="end"/>
        </w:r>
      </w:hyperlink>
    </w:p>
    <w:p w14:paraId="402F56D1" w14:textId="38E416DD" w:rsidR="006F5AB5" w:rsidRPr="00521B37" w:rsidRDefault="00905B37">
      <w:pPr>
        <w:pStyle w:val="TOC1"/>
        <w:rPr>
          <w:rFonts w:eastAsiaTheme="minorEastAsia" w:cstheme="minorBidi"/>
          <w:b w:val="0"/>
          <w:bdr w:val="none" w:sz="0" w:space="0" w:color="auto"/>
          <w:lang w:val="es-US" w:eastAsia="zh-CN"/>
        </w:rPr>
      </w:pPr>
      <w:hyperlink w:anchor="_Toc90291523" w:history="1">
        <w:r w:rsidR="006F5AB5" w:rsidRPr="00521B37">
          <w:rPr>
            <w:rStyle w:val="Hyperlink"/>
          </w:rPr>
          <w:t>VIII.</w:t>
        </w:r>
        <w:r w:rsidR="006F5AB5" w:rsidRPr="00521B37">
          <w:rPr>
            <w:rFonts w:eastAsiaTheme="minorEastAsia" w:cstheme="minorBidi"/>
            <w:b w:val="0"/>
            <w:bdr w:val="none" w:sz="0" w:space="0" w:color="auto"/>
            <w:lang w:val="es-US" w:eastAsia="zh-CN"/>
          </w:rPr>
          <w:tab/>
        </w:r>
        <w:r w:rsidR="006F5AB5" w:rsidRPr="00521B37">
          <w:rPr>
            <w:rStyle w:val="Hyperlink"/>
          </w:rPr>
          <w:t>FINAL CONCLUSIONS AND RECOMMENDATIONS</w:t>
        </w:r>
        <w:r w:rsidR="006F5AB5" w:rsidRPr="00521B37">
          <w:rPr>
            <w:webHidden/>
          </w:rPr>
          <w:tab/>
        </w:r>
        <w:r w:rsidR="006F5AB5" w:rsidRPr="00521B37">
          <w:rPr>
            <w:webHidden/>
          </w:rPr>
          <w:fldChar w:fldCharType="begin"/>
        </w:r>
        <w:r w:rsidR="006F5AB5" w:rsidRPr="00521B37">
          <w:rPr>
            <w:webHidden/>
          </w:rPr>
          <w:instrText xml:space="preserve"> PAGEREF _Toc90291523 \h </w:instrText>
        </w:r>
        <w:r w:rsidR="006F5AB5" w:rsidRPr="00521B37">
          <w:rPr>
            <w:webHidden/>
          </w:rPr>
        </w:r>
        <w:r w:rsidR="006F5AB5" w:rsidRPr="00521B37">
          <w:rPr>
            <w:webHidden/>
          </w:rPr>
          <w:fldChar w:fldCharType="separate"/>
        </w:r>
        <w:r w:rsidR="006F5AB5" w:rsidRPr="00521B37">
          <w:rPr>
            <w:webHidden/>
          </w:rPr>
          <w:t>17</w:t>
        </w:r>
        <w:r w:rsidR="006F5AB5" w:rsidRPr="00521B37">
          <w:rPr>
            <w:webHidden/>
          </w:rPr>
          <w:fldChar w:fldCharType="end"/>
        </w:r>
      </w:hyperlink>
    </w:p>
    <w:p w14:paraId="732278D3" w14:textId="2FC7C9D2" w:rsidR="006F5AB5" w:rsidRPr="00521B37" w:rsidRDefault="00905B37">
      <w:pPr>
        <w:pStyle w:val="TOC1"/>
        <w:rPr>
          <w:rFonts w:eastAsiaTheme="minorEastAsia" w:cstheme="minorBidi"/>
          <w:b w:val="0"/>
          <w:bdr w:val="none" w:sz="0" w:space="0" w:color="auto"/>
          <w:lang w:val="es-US" w:eastAsia="zh-CN"/>
        </w:rPr>
      </w:pPr>
      <w:hyperlink w:anchor="_Toc90291524" w:history="1">
        <w:r w:rsidR="006F5AB5" w:rsidRPr="00521B37">
          <w:rPr>
            <w:rStyle w:val="Hyperlink"/>
          </w:rPr>
          <w:t>IX.</w:t>
        </w:r>
        <w:r w:rsidR="006F5AB5" w:rsidRPr="00521B37">
          <w:rPr>
            <w:rFonts w:eastAsiaTheme="minorEastAsia" w:cstheme="minorBidi"/>
            <w:b w:val="0"/>
            <w:bdr w:val="none" w:sz="0" w:space="0" w:color="auto"/>
            <w:lang w:val="es-US" w:eastAsia="zh-CN"/>
          </w:rPr>
          <w:tab/>
        </w:r>
        <w:r w:rsidR="006F5AB5" w:rsidRPr="00521B37">
          <w:rPr>
            <w:rStyle w:val="Hyperlink"/>
          </w:rPr>
          <w:t>PUBLICATION</w:t>
        </w:r>
        <w:r w:rsidR="006F5AB5" w:rsidRPr="00521B37">
          <w:rPr>
            <w:webHidden/>
          </w:rPr>
          <w:tab/>
        </w:r>
        <w:r w:rsidR="006F5AB5" w:rsidRPr="00521B37">
          <w:rPr>
            <w:webHidden/>
          </w:rPr>
          <w:fldChar w:fldCharType="begin"/>
        </w:r>
        <w:r w:rsidR="006F5AB5" w:rsidRPr="00521B37">
          <w:rPr>
            <w:webHidden/>
          </w:rPr>
          <w:instrText xml:space="preserve"> PAGEREF _Toc90291524 \h </w:instrText>
        </w:r>
        <w:r w:rsidR="006F5AB5" w:rsidRPr="00521B37">
          <w:rPr>
            <w:webHidden/>
          </w:rPr>
        </w:r>
        <w:r w:rsidR="006F5AB5" w:rsidRPr="00521B37">
          <w:rPr>
            <w:webHidden/>
          </w:rPr>
          <w:fldChar w:fldCharType="separate"/>
        </w:r>
        <w:r w:rsidR="006F5AB5" w:rsidRPr="00521B37">
          <w:rPr>
            <w:webHidden/>
          </w:rPr>
          <w:t>18</w:t>
        </w:r>
        <w:r w:rsidR="006F5AB5" w:rsidRPr="00521B37">
          <w:rPr>
            <w:webHidden/>
          </w:rPr>
          <w:fldChar w:fldCharType="end"/>
        </w:r>
      </w:hyperlink>
    </w:p>
    <w:p w14:paraId="25DEB93F" w14:textId="0C821BE2" w:rsidR="007607C4" w:rsidRPr="00CE58F6" w:rsidRDefault="00051F6B" w:rsidP="00EC55EA">
      <w:pPr>
        <w:tabs>
          <w:tab w:val="center" w:pos="5400"/>
        </w:tabs>
        <w:suppressAutoHyphens/>
        <w:spacing w:line="276" w:lineRule="auto"/>
        <w:rPr>
          <w:rFonts w:asciiTheme="majorHAnsi" w:hAnsiTheme="majorHAnsi"/>
          <w:sz w:val="20"/>
          <w:szCs w:val="20"/>
        </w:rPr>
      </w:pPr>
      <w:r w:rsidRPr="00521B37">
        <w:rPr>
          <w:rFonts w:asciiTheme="majorHAnsi" w:hAnsiTheme="majorHAnsi"/>
          <w:sz w:val="20"/>
          <w:szCs w:val="20"/>
        </w:rPr>
        <w:fldChar w:fldCharType="end"/>
      </w:r>
    </w:p>
    <w:p w14:paraId="6C756486" w14:textId="77777777" w:rsidR="007607C4" w:rsidRPr="00CE58F6" w:rsidRDefault="007607C4" w:rsidP="00EC55EA">
      <w:pPr>
        <w:tabs>
          <w:tab w:val="center" w:pos="5400"/>
        </w:tabs>
        <w:suppressAutoHyphens/>
        <w:spacing w:line="276" w:lineRule="auto"/>
        <w:rPr>
          <w:rFonts w:asciiTheme="majorHAnsi" w:hAnsiTheme="majorHAnsi"/>
          <w:sz w:val="20"/>
          <w:szCs w:val="20"/>
        </w:rPr>
      </w:pPr>
    </w:p>
    <w:p w14:paraId="6E9E632F" w14:textId="77777777" w:rsidR="00DE01CB" w:rsidRPr="00CE58F6" w:rsidRDefault="00DE01CB" w:rsidP="00EC55EA">
      <w:pPr>
        <w:tabs>
          <w:tab w:val="center" w:pos="5400"/>
        </w:tabs>
        <w:suppressAutoHyphens/>
        <w:spacing w:line="276" w:lineRule="auto"/>
        <w:rPr>
          <w:rFonts w:asciiTheme="majorHAnsi" w:hAnsiTheme="majorHAnsi"/>
          <w:sz w:val="20"/>
          <w:szCs w:val="20"/>
        </w:rPr>
      </w:pPr>
    </w:p>
    <w:p w14:paraId="4D5001AD" w14:textId="77777777" w:rsidR="00DE01CB" w:rsidRPr="00CE58F6" w:rsidRDefault="00DE01CB" w:rsidP="00EC55EA">
      <w:pPr>
        <w:tabs>
          <w:tab w:val="center" w:pos="5400"/>
        </w:tabs>
        <w:suppressAutoHyphens/>
        <w:spacing w:line="276" w:lineRule="auto"/>
        <w:rPr>
          <w:rFonts w:asciiTheme="majorHAnsi" w:hAnsiTheme="majorHAnsi"/>
          <w:sz w:val="20"/>
          <w:szCs w:val="20"/>
        </w:rPr>
      </w:pPr>
    </w:p>
    <w:p w14:paraId="115D3094" w14:textId="77777777" w:rsidR="00DE01CB" w:rsidRPr="00CE58F6" w:rsidRDefault="00DE01CB" w:rsidP="00EC55EA">
      <w:pPr>
        <w:tabs>
          <w:tab w:val="center" w:pos="5400"/>
        </w:tabs>
        <w:suppressAutoHyphens/>
        <w:spacing w:line="276" w:lineRule="auto"/>
        <w:rPr>
          <w:rFonts w:asciiTheme="majorHAnsi" w:hAnsiTheme="majorHAnsi"/>
          <w:sz w:val="20"/>
          <w:szCs w:val="20"/>
        </w:rPr>
      </w:pPr>
    </w:p>
    <w:p w14:paraId="3F1D525E" w14:textId="77777777" w:rsidR="00DE01CB" w:rsidRPr="00CE58F6" w:rsidRDefault="00DE01CB" w:rsidP="00EC55EA">
      <w:pPr>
        <w:tabs>
          <w:tab w:val="center" w:pos="5400"/>
        </w:tabs>
        <w:suppressAutoHyphens/>
        <w:spacing w:line="276" w:lineRule="auto"/>
        <w:rPr>
          <w:rFonts w:asciiTheme="majorHAnsi" w:hAnsiTheme="majorHAnsi"/>
          <w:sz w:val="20"/>
          <w:szCs w:val="20"/>
        </w:rPr>
      </w:pPr>
    </w:p>
    <w:p w14:paraId="62EDA741" w14:textId="77777777" w:rsidR="00264998" w:rsidRPr="00CE58F6" w:rsidRDefault="00264998" w:rsidP="00EC55EA">
      <w:pPr>
        <w:tabs>
          <w:tab w:val="center" w:pos="5400"/>
        </w:tabs>
        <w:suppressAutoHyphens/>
        <w:spacing w:line="276" w:lineRule="auto"/>
        <w:rPr>
          <w:rFonts w:asciiTheme="majorHAnsi" w:hAnsiTheme="majorHAnsi"/>
          <w:sz w:val="20"/>
          <w:szCs w:val="20"/>
        </w:rPr>
      </w:pPr>
    </w:p>
    <w:p w14:paraId="523650EA" w14:textId="77777777" w:rsidR="00264998" w:rsidRPr="00CE58F6" w:rsidRDefault="00264998" w:rsidP="00EC55EA">
      <w:pPr>
        <w:tabs>
          <w:tab w:val="center" w:pos="5400"/>
        </w:tabs>
        <w:suppressAutoHyphens/>
        <w:spacing w:line="276" w:lineRule="auto"/>
        <w:rPr>
          <w:rFonts w:asciiTheme="majorHAnsi" w:hAnsiTheme="majorHAnsi"/>
          <w:sz w:val="20"/>
          <w:szCs w:val="20"/>
        </w:rPr>
      </w:pPr>
    </w:p>
    <w:p w14:paraId="074B9F01" w14:textId="77777777" w:rsidR="005A0B5A" w:rsidRPr="00CE58F6" w:rsidRDefault="005A0B5A" w:rsidP="00EC55EA">
      <w:pPr>
        <w:tabs>
          <w:tab w:val="center" w:pos="5400"/>
        </w:tabs>
        <w:suppressAutoHyphens/>
        <w:spacing w:line="276" w:lineRule="auto"/>
        <w:rPr>
          <w:rFonts w:asciiTheme="majorHAnsi" w:hAnsiTheme="majorHAnsi"/>
          <w:sz w:val="20"/>
          <w:szCs w:val="20"/>
        </w:rPr>
      </w:pPr>
    </w:p>
    <w:p w14:paraId="7B1F99B0" w14:textId="77777777" w:rsidR="007D5671" w:rsidRPr="00CE58F6" w:rsidRDefault="007D5671">
      <w:pPr>
        <w:rPr>
          <w:rFonts w:asciiTheme="majorHAnsi" w:eastAsiaTheme="majorEastAsia" w:hAnsiTheme="majorHAnsi" w:cstheme="majorBidi"/>
          <w:b/>
          <w:bCs/>
          <w:sz w:val="20"/>
          <w:szCs w:val="20"/>
        </w:rPr>
      </w:pPr>
      <w:r w:rsidRPr="00CE58F6">
        <w:rPr>
          <w:sz w:val="20"/>
          <w:szCs w:val="20"/>
        </w:rPr>
        <w:br w:type="page"/>
      </w:r>
    </w:p>
    <w:p w14:paraId="0657FB36" w14:textId="77777777" w:rsidR="001C4006" w:rsidRPr="00CE58F6" w:rsidRDefault="00830E88" w:rsidP="00EC55EA">
      <w:pPr>
        <w:pStyle w:val="Heading1"/>
        <w:tabs>
          <w:tab w:val="left" w:pos="360"/>
        </w:tabs>
        <w:spacing w:before="0"/>
        <w:ind w:hanging="720"/>
        <w:rPr>
          <w:color w:val="auto"/>
          <w:sz w:val="20"/>
          <w:szCs w:val="20"/>
        </w:rPr>
      </w:pPr>
      <w:bookmarkStart w:id="0" w:name="_Toc90291498"/>
      <w:r w:rsidRPr="00CE58F6">
        <w:rPr>
          <w:color w:val="auto"/>
          <w:sz w:val="20"/>
          <w:szCs w:val="20"/>
        </w:rPr>
        <w:lastRenderedPageBreak/>
        <w:t>INTRODUCTION</w:t>
      </w:r>
      <w:bookmarkEnd w:id="0"/>
      <w:r w:rsidR="001C4006" w:rsidRPr="00CE58F6">
        <w:rPr>
          <w:color w:val="auto"/>
          <w:sz w:val="20"/>
          <w:szCs w:val="20"/>
        </w:rPr>
        <w:t xml:space="preserve"> </w:t>
      </w:r>
    </w:p>
    <w:p w14:paraId="784D0D45" w14:textId="77777777" w:rsidR="001C4006" w:rsidRPr="00CE58F6" w:rsidRDefault="001C4006" w:rsidP="00EC55EA">
      <w:pPr>
        <w:suppressAutoHyphens/>
        <w:ind w:left="1440" w:hanging="720"/>
        <w:rPr>
          <w:rFonts w:asciiTheme="majorHAnsi" w:hAnsiTheme="majorHAnsi"/>
          <w:b/>
          <w:sz w:val="20"/>
          <w:szCs w:val="20"/>
        </w:rPr>
      </w:pPr>
    </w:p>
    <w:p w14:paraId="3F031B49" w14:textId="77777777" w:rsidR="001C4006" w:rsidRPr="00CE58F6" w:rsidRDefault="001C4006"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E58F6">
        <w:rPr>
          <w:rFonts w:asciiTheme="majorHAnsi" w:hAnsiTheme="majorHAnsi"/>
          <w:sz w:val="20"/>
          <w:szCs w:val="20"/>
        </w:rPr>
        <w:t xml:space="preserve">On </w:t>
      </w:r>
      <w:r w:rsidR="00D53DF6" w:rsidRPr="00CE58F6">
        <w:rPr>
          <w:rFonts w:asciiTheme="majorHAnsi" w:hAnsiTheme="majorHAnsi"/>
          <w:sz w:val="20"/>
          <w:szCs w:val="20"/>
        </w:rPr>
        <w:t>August 10</w:t>
      </w:r>
      <w:r w:rsidR="00EA1D9B" w:rsidRPr="00CE58F6">
        <w:rPr>
          <w:rFonts w:asciiTheme="majorHAnsi" w:hAnsiTheme="majorHAnsi"/>
          <w:sz w:val="20"/>
          <w:szCs w:val="20"/>
        </w:rPr>
        <w:t>, 2011</w:t>
      </w:r>
      <w:r w:rsidR="007E271D" w:rsidRPr="00CE58F6">
        <w:rPr>
          <w:rFonts w:asciiTheme="majorHAnsi" w:hAnsiTheme="majorHAnsi"/>
          <w:sz w:val="20"/>
          <w:szCs w:val="20"/>
        </w:rPr>
        <w:t xml:space="preserve">, </w:t>
      </w:r>
      <w:r w:rsidRPr="00CE58F6">
        <w:rPr>
          <w:rFonts w:asciiTheme="majorHAnsi" w:hAnsiTheme="majorHAnsi"/>
          <w:sz w:val="20"/>
          <w:szCs w:val="20"/>
        </w:rPr>
        <w:t>the Inter-American Commission on Human Rights (the “Inter-American Commission”</w:t>
      </w:r>
      <w:r w:rsidR="004D4E01" w:rsidRPr="00CE58F6">
        <w:rPr>
          <w:rFonts w:asciiTheme="majorHAnsi" w:hAnsiTheme="majorHAnsi"/>
          <w:sz w:val="20"/>
          <w:szCs w:val="20"/>
        </w:rPr>
        <w:t>, “Commission”</w:t>
      </w:r>
      <w:r w:rsidRPr="00CE58F6">
        <w:rPr>
          <w:rFonts w:asciiTheme="majorHAnsi" w:hAnsiTheme="majorHAnsi"/>
          <w:sz w:val="20"/>
          <w:szCs w:val="20"/>
        </w:rPr>
        <w:t xml:space="preserve"> or “IACHR”) received a </w:t>
      </w:r>
      <w:r w:rsidR="00D53DF6" w:rsidRPr="00CE58F6">
        <w:rPr>
          <w:rFonts w:asciiTheme="majorHAnsi" w:hAnsiTheme="majorHAnsi"/>
          <w:sz w:val="20"/>
          <w:szCs w:val="20"/>
        </w:rPr>
        <w:t xml:space="preserve">request for precautionary measures and a </w:t>
      </w:r>
      <w:r w:rsidRPr="00CE58F6">
        <w:rPr>
          <w:rFonts w:asciiTheme="majorHAnsi" w:hAnsiTheme="majorHAnsi"/>
          <w:sz w:val="20"/>
          <w:szCs w:val="20"/>
        </w:rPr>
        <w:t>petition</w:t>
      </w:r>
      <w:r w:rsidR="00B24A00" w:rsidRPr="00CE58F6">
        <w:rPr>
          <w:rFonts w:asciiTheme="majorHAnsi" w:hAnsiTheme="majorHAnsi"/>
          <w:sz w:val="20"/>
          <w:szCs w:val="20"/>
        </w:rPr>
        <w:t xml:space="preserve"> </w:t>
      </w:r>
      <w:r w:rsidR="00444596" w:rsidRPr="00CE58F6">
        <w:rPr>
          <w:rFonts w:asciiTheme="majorHAnsi" w:hAnsiTheme="majorHAnsi"/>
          <w:sz w:val="20"/>
          <w:szCs w:val="20"/>
        </w:rPr>
        <w:t xml:space="preserve">submitted by </w:t>
      </w:r>
      <w:r w:rsidR="002C527E" w:rsidRPr="00CE58F6">
        <w:rPr>
          <w:rFonts w:asciiTheme="majorHAnsi" w:hAnsiTheme="majorHAnsi"/>
          <w:sz w:val="20"/>
          <w:szCs w:val="20"/>
        </w:rPr>
        <w:t xml:space="preserve">Suzanne Keffer </w:t>
      </w:r>
      <w:r w:rsidR="00590239" w:rsidRPr="00CE58F6">
        <w:rPr>
          <w:rFonts w:asciiTheme="majorHAnsi" w:hAnsiTheme="majorHAnsi"/>
          <w:sz w:val="20"/>
          <w:szCs w:val="20"/>
        </w:rPr>
        <w:t>(“the petitioners”)</w:t>
      </w:r>
      <w:r w:rsidR="00FF49B4" w:rsidRPr="00CE58F6">
        <w:rPr>
          <w:rStyle w:val="FootnoteReference"/>
          <w:rFonts w:asciiTheme="majorHAnsi" w:hAnsiTheme="majorHAnsi"/>
          <w:sz w:val="20"/>
          <w:szCs w:val="20"/>
        </w:rPr>
        <w:footnoteReference w:id="2"/>
      </w:r>
      <w:r w:rsidR="00590239" w:rsidRPr="00CE58F6">
        <w:rPr>
          <w:rFonts w:asciiTheme="majorHAnsi" w:hAnsiTheme="majorHAnsi"/>
          <w:sz w:val="20"/>
          <w:szCs w:val="20"/>
        </w:rPr>
        <w:t xml:space="preserve"> </w:t>
      </w:r>
      <w:r w:rsidR="003C240D" w:rsidRPr="00CE58F6">
        <w:rPr>
          <w:rFonts w:asciiTheme="majorHAnsi" w:hAnsiTheme="majorHAnsi"/>
          <w:sz w:val="20"/>
          <w:szCs w:val="20"/>
        </w:rPr>
        <w:t xml:space="preserve">on </w:t>
      </w:r>
      <w:r w:rsidR="00B37047" w:rsidRPr="00CE58F6">
        <w:rPr>
          <w:rFonts w:asciiTheme="majorHAnsi" w:hAnsiTheme="majorHAnsi"/>
          <w:sz w:val="20"/>
          <w:szCs w:val="20"/>
        </w:rPr>
        <w:t xml:space="preserve">behalf of </w:t>
      </w:r>
      <w:r w:rsidR="002C527E" w:rsidRPr="00CE58F6">
        <w:rPr>
          <w:rFonts w:asciiTheme="majorHAnsi" w:hAnsiTheme="majorHAnsi"/>
          <w:sz w:val="20"/>
          <w:szCs w:val="20"/>
        </w:rPr>
        <w:t>Manuel Valle</w:t>
      </w:r>
      <w:r w:rsidR="00F012D6" w:rsidRPr="00CE58F6">
        <w:rPr>
          <w:rFonts w:asciiTheme="majorHAnsi" w:hAnsiTheme="majorHAnsi"/>
          <w:sz w:val="20"/>
          <w:szCs w:val="20"/>
        </w:rPr>
        <w:t xml:space="preserve"> (“Mr. Valle” or the “alleged victim”),</w:t>
      </w:r>
      <w:r w:rsidR="00852C75" w:rsidRPr="00CE58F6">
        <w:rPr>
          <w:rFonts w:asciiTheme="majorHAnsi" w:hAnsiTheme="majorHAnsi"/>
          <w:sz w:val="20"/>
          <w:szCs w:val="20"/>
        </w:rPr>
        <w:t xml:space="preserve"> </w:t>
      </w:r>
      <w:r w:rsidR="00F012D6" w:rsidRPr="00CE58F6">
        <w:rPr>
          <w:rFonts w:asciiTheme="majorHAnsi" w:hAnsiTheme="majorHAnsi"/>
          <w:sz w:val="20"/>
          <w:szCs w:val="20"/>
        </w:rPr>
        <w:t xml:space="preserve">a </w:t>
      </w:r>
      <w:r w:rsidR="00852C75" w:rsidRPr="00CE58F6">
        <w:rPr>
          <w:rFonts w:asciiTheme="majorHAnsi" w:hAnsiTheme="majorHAnsi"/>
          <w:sz w:val="20"/>
          <w:szCs w:val="20"/>
        </w:rPr>
        <w:t>Cuban national</w:t>
      </w:r>
      <w:r w:rsidR="007C52EB" w:rsidRPr="00CE58F6">
        <w:rPr>
          <w:rFonts w:asciiTheme="majorHAnsi" w:hAnsiTheme="majorHAnsi"/>
          <w:sz w:val="20"/>
          <w:szCs w:val="20"/>
        </w:rPr>
        <w:t xml:space="preserve">, </w:t>
      </w:r>
      <w:r w:rsidRPr="00CE58F6">
        <w:rPr>
          <w:rFonts w:asciiTheme="majorHAnsi" w:hAnsiTheme="majorHAnsi"/>
          <w:sz w:val="20"/>
          <w:szCs w:val="20"/>
        </w:rPr>
        <w:t>alleg</w:t>
      </w:r>
      <w:r w:rsidR="00E86EAF" w:rsidRPr="00CE58F6">
        <w:rPr>
          <w:rFonts w:asciiTheme="majorHAnsi" w:hAnsiTheme="majorHAnsi"/>
          <w:sz w:val="20"/>
          <w:szCs w:val="20"/>
        </w:rPr>
        <w:t xml:space="preserve">ing </w:t>
      </w:r>
      <w:r w:rsidRPr="00CE58F6">
        <w:rPr>
          <w:rFonts w:asciiTheme="majorHAnsi" w:hAnsiTheme="majorHAnsi"/>
          <w:sz w:val="20"/>
          <w:szCs w:val="20"/>
        </w:rPr>
        <w:t xml:space="preserve">the international responsibility of </w:t>
      </w:r>
      <w:r w:rsidR="0046072C" w:rsidRPr="00CE58F6">
        <w:rPr>
          <w:rFonts w:asciiTheme="majorHAnsi" w:hAnsiTheme="majorHAnsi"/>
          <w:sz w:val="20"/>
          <w:szCs w:val="20"/>
        </w:rPr>
        <w:t>the United States of America</w:t>
      </w:r>
      <w:r w:rsidRPr="00CE58F6">
        <w:rPr>
          <w:rFonts w:asciiTheme="majorHAnsi" w:hAnsiTheme="majorHAnsi"/>
          <w:sz w:val="20"/>
          <w:szCs w:val="20"/>
        </w:rPr>
        <w:t xml:space="preserve"> (the “State” or “</w:t>
      </w:r>
      <w:r w:rsidR="0046072C" w:rsidRPr="00CE58F6">
        <w:rPr>
          <w:rFonts w:asciiTheme="majorHAnsi" w:hAnsiTheme="majorHAnsi"/>
          <w:sz w:val="20"/>
          <w:szCs w:val="20"/>
        </w:rPr>
        <w:t>the United States</w:t>
      </w:r>
      <w:r w:rsidRPr="00CE58F6">
        <w:rPr>
          <w:rFonts w:asciiTheme="majorHAnsi" w:hAnsiTheme="majorHAnsi"/>
          <w:sz w:val="20"/>
          <w:szCs w:val="20"/>
        </w:rPr>
        <w:t xml:space="preserve">”) for </w:t>
      </w:r>
      <w:r w:rsidR="00F769C7" w:rsidRPr="00CE58F6">
        <w:rPr>
          <w:rFonts w:asciiTheme="majorHAnsi" w:hAnsiTheme="majorHAnsi"/>
          <w:sz w:val="20"/>
          <w:szCs w:val="20"/>
        </w:rPr>
        <w:t xml:space="preserve">the </w:t>
      </w:r>
      <w:r w:rsidR="000F10C4" w:rsidRPr="00CE58F6">
        <w:rPr>
          <w:rFonts w:asciiTheme="majorHAnsi" w:hAnsiTheme="majorHAnsi"/>
          <w:sz w:val="20"/>
          <w:szCs w:val="20"/>
        </w:rPr>
        <w:t>violation of Mr. Valle’s</w:t>
      </w:r>
      <w:r w:rsidR="00A60A32" w:rsidRPr="00CE58F6">
        <w:rPr>
          <w:rFonts w:asciiTheme="majorHAnsi" w:hAnsiTheme="majorHAnsi"/>
          <w:sz w:val="20"/>
          <w:szCs w:val="20"/>
        </w:rPr>
        <w:t xml:space="preserve"> </w:t>
      </w:r>
      <w:r w:rsidRPr="00CE58F6">
        <w:rPr>
          <w:rFonts w:asciiTheme="majorHAnsi" w:hAnsiTheme="majorHAnsi"/>
          <w:sz w:val="20"/>
          <w:szCs w:val="20"/>
        </w:rPr>
        <w:t>right</w:t>
      </w:r>
      <w:r w:rsidR="00706D7E" w:rsidRPr="00CE58F6">
        <w:rPr>
          <w:rFonts w:asciiTheme="majorHAnsi" w:hAnsiTheme="majorHAnsi"/>
          <w:sz w:val="20"/>
          <w:szCs w:val="20"/>
        </w:rPr>
        <w:t>s</w:t>
      </w:r>
      <w:r w:rsidRPr="00CE58F6">
        <w:rPr>
          <w:rFonts w:asciiTheme="majorHAnsi" w:hAnsiTheme="majorHAnsi"/>
          <w:sz w:val="20"/>
          <w:szCs w:val="20"/>
        </w:rPr>
        <w:t xml:space="preserve"> </w:t>
      </w:r>
      <w:r w:rsidR="000C6B04" w:rsidRPr="00CE58F6">
        <w:rPr>
          <w:rFonts w:asciiTheme="majorHAnsi" w:hAnsiTheme="majorHAnsi"/>
          <w:sz w:val="20"/>
          <w:szCs w:val="20"/>
        </w:rPr>
        <w:t>under the American Declaration</w:t>
      </w:r>
      <w:r w:rsidR="003B0978" w:rsidRPr="00CE58F6">
        <w:rPr>
          <w:rFonts w:asciiTheme="majorHAnsi" w:hAnsiTheme="majorHAnsi"/>
          <w:sz w:val="20"/>
          <w:szCs w:val="20"/>
        </w:rPr>
        <w:t>.</w:t>
      </w:r>
      <w:r w:rsidR="003B0978" w:rsidRPr="00CE58F6">
        <w:rPr>
          <w:rStyle w:val="FootnoteReference"/>
          <w:rFonts w:asciiTheme="majorHAnsi" w:hAnsiTheme="majorHAnsi"/>
          <w:sz w:val="20"/>
          <w:szCs w:val="20"/>
        </w:rPr>
        <w:footnoteReference w:id="3"/>
      </w:r>
      <w:r w:rsidRPr="00CE58F6">
        <w:rPr>
          <w:rFonts w:asciiTheme="majorHAnsi" w:hAnsiTheme="majorHAnsi"/>
          <w:sz w:val="20"/>
          <w:szCs w:val="20"/>
        </w:rPr>
        <w:t xml:space="preserve"> </w:t>
      </w:r>
      <w:r w:rsidR="00C7513A" w:rsidRPr="00CE58F6">
        <w:rPr>
          <w:rFonts w:asciiTheme="majorHAnsi" w:hAnsiTheme="majorHAnsi"/>
          <w:sz w:val="20"/>
          <w:szCs w:val="20"/>
        </w:rPr>
        <w:t>Mr. Valle, who at the time was incarcerated on death row, was executed on September 28, 2011, in the state of Florida.</w:t>
      </w:r>
    </w:p>
    <w:p w14:paraId="753A85E0" w14:textId="77777777" w:rsidR="001C4006" w:rsidRPr="00CE58F6" w:rsidRDefault="001C4006"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rPr>
      </w:pPr>
    </w:p>
    <w:p w14:paraId="612ED1B7" w14:textId="77777777" w:rsidR="001C4006" w:rsidRPr="00CE58F6" w:rsidRDefault="00BE1B74"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E58F6">
        <w:rPr>
          <w:rFonts w:asciiTheme="majorHAnsi" w:hAnsiTheme="majorHAnsi"/>
          <w:sz w:val="20"/>
          <w:szCs w:val="20"/>
        </w:rPr>
        <w:t xml:space="preserve">On </w:t>
      </w:r>
      <w:r w:rsidR="001D02D5" w:rsidRPr="00CE58F6">
        <w:rPr>
          <w:rFonts w:asciiTheme="majorHAnsi" w:hAnsiTheme="majorHAnsi"/>
          <w:sz w:val="20"/>
          <w:szCs w:val="20"/>
        </w:rPr>
        <w:t xml:space="preserve">October </w:t>
      </w:r>
      <w:r w:rsidR="00AD73A3" w:rsidRPr="00CE58F6">
        <w:rPr>
          <w:rFonts w:asciiTheme="majorHAnsi" w:hAnsiTheme="majorHAnsi"/>
          <w:sz w:val="20"/>
          <w:szCs w:val="20"/>
        </w:rPr>
        <w:t>1</w:t>
      </w:r>
      <w:r w:rsidR="001D02D5" w:rsidRPr="00CE58F6">
        <w:rPr>
          <w:rFonts w:asciiTheme="majorHAnsi" w:hAnsiTheme="majorHAnsi"/>
          <w:sz w:val="20"/>
          <w:szCs w:val="20"/>
        </w:rPr>
        <w:t>8</w:t>
      </w:r>
      <w:r w:rsidR="004810B3" w:rsidRPr="00CE58F6">
        <w:rPr>
          <w:rFonts w:asciiTheme="majorHAnsi" w:hAnsiTheme="majorHAnsi"/>
          <w:sz w:val="20"/>
          <w:szCs w:val="20"/>
        </w:rPr>
        <w:t>,</w:t>
      </w:r>
      <w:r w:rsidR="001D02D5" w:rsidRPr="00CE58F6">
        <w:rPr>
          <w:rFonts w:asciiTheme="majorHAnsi" w:hAnsiTheme="majorHAnsi"/>
          <w:sz w:val="20"/>
          <w:szCs w:val="20"/>
        </w:rPr>
        <w:t xml:space="preserve"> 2016</w:t>
      </w:r>
      <w:r w:rsidR="00A05601" w:rsidRPr="00CE58F6">
        <w:rPr>
          <w:rFonts w:asciiTheme="majorHAnsi" w:hAnsiTheme="majorHAnsi"/>
          <w:sz w:val="20"/>
          <w:szCs w:val="20"/>
        </w:rPr>
        <w:t>, the Com</w:t>
      </w:r>
      <w:r w:rsidR="0027671E" w:rsidRPr="00CE58F6">
        <w:rPr>
          <w:rFonts w:asciiTheme="majorHAnsi" w:hAnsiTheme="majorHAnsi"/>
          <w:sz w:val="20"/>
          <w:szCs w:val="20"/>
        </w:rPr>
        <w:t>m</w:t>
      </w:r>
      <w:r w:rsidR="00A05601" w:rsidRPr="00CE58F6">
        <w:rPr>
          <w:rFonts w:asciiTheme="majorHAnsi" w:hAnsiTheme="majorHAnsi"/>
          <w:sz w:val="20"/>
          <w:szCs w:val="20"/>
        </w:rPr>
        <w:t>ission notified the parties of the application of Article 36 (3) of its Rules of Procedure, since the petition falls within the criteria established in its Resolution 1/16, and placed itself at the disposition of the parties to reach a friendly settlement. The parties enjoyed the time periods provided for in the IACHR’s Rules to present additional observations on the merits. All the information received by the Commission was duly transmitted to the parties</w:t>
      </w:r>
      <w:r w:rsidR="0027671E" w:rsidRPr="00CE58F6">
        <w:rPr>
          <w:rFonts w:asciiTheme="majorHAnsi" w:hAnsiTheme="majorHAnsi"/>
          <w:sz w:val="20"/>
          <w:szCs w:val="20"/>
        </w:rPr>
        <w:t>.</w:t>
      </w:r>
    </w:p>
    <w:p w14:paraId="5C3056AF" w14:textId="77777777" w:rsidR="001C4006" w:rsidRPr="00CE58F6" w:rsidRDefault="001C4006"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rPr>
      </w:pPr>
    </w:p>
    <w:p w14:paraId="457A656B" w14:textId="77777777" w:rsidR="001C4006" w:rsidRPr="00CE58F6" w:rsidRDefault="001C4006" w:rsidP="00EC55EA">
      <w:pPr>
        <w:pStyle w:val="Heading1"/>
        <w:tabs>
          <w:tab w:val="left" w:pos="360"/>
        </w:tabs>
        <w:spacing w:before="0"/>
        <w:ind w:hanging="720"/>
        <w:rPr>
          <w:color w:val="auto"/>
          <w:sz w:val="20"/>
          <w:szCs w:val="20"/>
        </w:rPr>
      </w:pPr>
      <w:bookmarkStart w:id="1" w:name="_Toc90291499"/>
      <w:r w:rsidRPr="00CE58F6">
        <w:rPr>
          <w:color w:val="auto"/>
          <w:sz w:val="20"/>
          <w:szCs w:val="20"/>
        </w:rPr>
        <w:t>POSITIONS OF THE PARTIES</w:t>
      </w:r>
      <w:bookmarkEnd w:id="1"/>
    </w:p>
    <w:p w14:paraId="03919EA7" w14:textId="77777777" w:rsidR="001C4006" w:rsidRPr="00CE58F6" w:rsidRDefault="001C4006" w:rsidP="00EC55EA">
      <w:pPr>
        <w:suppressAutoHyphens/>
        <w:ind w:left="1440" w:hanging="720"/>
        <w:rPr>
          <w:rFonts w:asciiTheme="majorHAnsi" w:hAnsiTheme="majorHAnsi"/>
          <w:sz w:val="20"/>
          <w:szCs w:val="20"/>
        </w:rPr>
      </w:pPr>
    </w:p>
    <w:p w14:paraId="04802BE9" w14:textId="77777777" w:rsidR="005C164F" w:rsidRPr="00CE58F6" w:rsidRDefault="005C164F" w:rsidP="00EC55EA">
      <w:pPr>
        <w:pStyle w:val="Heading2"/>
        <w:numPr>
          <w:ilvl w:val="0"/>
          <w:numId w:val="57"/>
        </w:numPr>
        <w:tabs>
          <w:tab w:val="left" w:pos="360"/>
        </w:tabs>
        <w:spacing w:before="0"/>
        <w:ind w:hanging="720"/>
        <w:rPr>
          <w:color w:val="auto"/>
          <w:sz w:val="20"/>
          <w:szCs w:val="20"/>
        </w:rPr>
      </w:pPr>
      <w:bookmarkStart w:id="2" w:name="_Toc90291500"/>
      <w:r w:rsidRPr="00CE58F6">
        <w:rPr>
          <w:color w:val="auto"/>
          <w:sz w:val="20"/>
          <w:szCs w:val="20"/>
        </w:rPr>
        <w:t>P</w:t>
      </w:r>
      <w:r w:rsidR="00262ECA" w:rsidRPr="00CE58F6">
        <w:rPr>
          <w:color w:val="auto"/>
          <w:sz w:val="20"/>
          <w:szCs w:val="20"/>
        </w:rPr>
        <w:t>etitioner</w:t>
      </w:r>
      <w:r w:rsidR="00590239" w:rsidRPr="00CE58F6">
        <w:rPr>
          <w:color w:val="auto"/>
          <w:sz w:val="20"/>
          <w:szCs w:val="20"/>
        </w:rPr>
        <w:t>s</w:t>
      </w:r>
      <w:bookmarkEnd w:id="2"/>
    </w:p>
    <w:p w14:paraId="442148CF" w14:textId="77777777" w:rsidR="00DA0F27" w:rsidRPr="00CE58F6" w:rsidRDefault="00DA0F27" w:rsidP="00EC55EA"/>
    <w:p w14:paraId="4BF30BC2" w14:textId="77777777" w:rsidR="009B5E0C" w:rsidRPr="00CE58F6" w:rsidRDefault="00FD24A9" w:rsidP="009B5E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E58F6">
        <w:rPr>
          <w:rFonts w:asciiTheme="majorHAnsi" w:hAnsiTheme="majorHAnsi"/>
          <w:sz w:val="20"/>
          <w:szCs w:val="20"/>
        </w:rPr>
        <w:t>The petitioner</w:t>
      </w:r>
      <w:r w:rsidR="00253E5E" w:rsidRPr="00CE58F6">
        <w:rPr>
          <w:rFonts w:asciiTheme="majorHAnsi" w:hAnsiTheme="majorHAnsi"/>
          <w:sz w:val="20"/>
          <w:szCs w:val="20"/>
        </w:rPr>
        <w:t>s</w:t>
      </w:r>
      <w:r w:rsidR="009B5E0C" w:rsidRPr="00CE58F6">
        <w:rPr>
          <w:rFonts w:asciiTheme="majorHAnsi" w:hAnsiTheme="majorHAnsi"/>
          <w:sz w:val="20"/>
          <w:szCs w:val="20"/>
        </w:rPr>
        <w:t xml:space="preserve"> </w:t>
      </w:r>
      <w:r w:rsidR="000319B1" w:rsidRPr="00CE58F6">
        <w:rPr>
          <w:rFonts w:asciiTheme="majorHAnsi" w:hAnsiTheme="majorHAnsi"/>
          <w:sz w:val="20"/>
          <w:szCs w:val="20"/>
        </w:rPr>
        <w:t>assert</w:t>
      </w:r>
      <w:r w:rsidR="006E0404" w:rsidRPr="00CE58F6">
        <w:rPr>
          <w:rFonts w:asciiTheme="majorHAnsi" w:hAnsiTheme="majorHAnsi"/>
          <w:sz w:val="20"/>
          <w:szCs w:val="20"/>
        </w:rPr>
        <w:t>s</w:t>
      </w:r>
      <w:r w:rsidR="000319B1" w:rsidRPr="00CE58F6">
        <w:rPr>
          <w:rFonts w:asciiTheme="majorHAnsi" w:hAnsiTheme="majorHAnsi"/>
          <w:sz w:val="20"/>
          <w:szCs w:val="20"/>
        </w:rPr>
        <w:t xml:space="preserve"> that Mr. Valle, as a </w:t>
      </w:r>
      <w:r w:rsidR="009B5E0C" w:rsidRPr="00CE58F6">
        <w:rPr>
          <w:rFonts w:asciiTheme="majorHAnsi" w:hAnsiTheme="majorHAnsi"/>
          <w:sz w:val="20"/>
          <w:szCs w:val="20"/>
        </w:rPr>
        <w:t>Cuban national</w:t>
      </w:r>
      <w:r w:rsidR="000319B1" w:rsidRPr="00CE58F6">
        <w:rPr>
          <w:rFonts w:asciiTheme="majorHAnsi" w:hAnsiTheme="majorHAnsi"/>
          <w:sz w:val="20"/>
          <w:szCs w:val="20"/>
        </w:rPr>
        <w:t>,</w:t>
      </w:r>
      <w:r w:rsidR="009B5E0C" w:rsidRPr="00CE58F6">
        <w:rPr>
          <w:rFonts w:asciiTheme="majorHAnsi" w:hAnsiTheme="majorHAnsi"/>
          <w:sz w:val="20"/>
          <w:szCs w:val="20"/>
        </w:rPr>
        <w:t xml:space="preserve"> was not informed of his rights under Article 36 of the Vienna Convention on Consular </w:t>
      </w:r>
      <w:r w:rsidR="001263B8" w:rsidRPr="00CE58F6">
        <w:rPr>
          <w:rFonts w:asciiTheme="majorHAnsi" w:hAnsiTheme="majorHAnsi"/>
          <w:sz w:val="20"/>
          <w:szCs w:val="20"/>
        </w:rPr>
        <w:t xml:space="preserve">Relations (Vienna </w:t>
      </w:r>
      <w:r w:rsidR="009740BE" w:rsidRPr="00CE58F6">
        <w:rPr>
          <w:rFonts w:asciiTheme="majorHAnsi" w:hAnsiTheme="majorHAnsi"/>
          <w:sz w:val="20"/>
          <w:szCs w:val="20"/>
        </w:rPr>
        <w:t>Convention</w:t>
      </w:r>
      <w:r w:rsidR="001263B8" w:rsidRPr="00CE58F6">
        <w:rPr>
          <w:rFonts w:asciiTheme="majorHAnsi" w:hAnsiTheme="majorHAnsi"/>
          <w:sz w:val="20"/>
          <w:szCs w:val="20"/>
        </w:rPr>
        <w:t>)</w:t>
      </w:r>
      <w:r w:rsidR="009B5E0C" w:rsidRPr="00CE58F6">
        <w:rPr>
          <w:rFonts w:asciiTheme="majorHAnsi" w:hAnsiTheme="majorHAnsi"/>
          <w:sz w:val="20"/>
          <w:szCs w:val="20"/>
        </w:rPr>
        <w:t xml:space="preserve"> with respect to consular notification and access, and claim that Mr. Valle was denied a chance at assistance from the Cuban Interests Section of the Swiss Embassy in Washington DC. Additionally, it is stated that the State has failed to remedy the violation by way of a full review and reconsideration of Mr. Valle’s death sentence, and in </w:t>
      </w:r>
      <w:r w:rsidR="00253E5E" w:rsidRPr="00CE58F6">
        <w:rPr>
          <w:rFonts w:asciiTheme="majorHAnsi" w:hAnsiTheme="majorHAnsi"/>
          <w:sz w:val="20"/>
          <w:szCs w:val="20"/>
        </w:rPr>
        <w:t>light of these</w:t>
      </w:r>
      <w:r w:rsidR="009B5E0C" w:rsidRPr="00CE58F6">
        <w:rPr>
          <w:rFonts w:asciiTheme="majorHAnsi" w:hAnsiTheme="majorHAnsi"/>
          <w:sz w:val="20"/>
          <w:szCs w:val="20"/>
        </w:rPr>
        <w:t xml:space="preserve"> circumstance</w:t>
      </w:r>
      <w:r w:rsidR="00253E5E" w:rsidRPr="00CE58F6">
        <w:rPr>
          <w:rFonts w:asciiTheme="majorHAnsi" w:hAnsiTheme="majorHAnsi"/>
          <w:sz w:val="20"/>
          <w:szCs w:val="20"/>
        </w:rPr>
        <w:t>s</w:t>
      </w:r>
      <w:r w:rsidR="009B5E0C" w:rsidRPr="00CE58F6">
        <w:rPr>
          <w:rFonts w:asciiTheme="majorHAnsi" w:hAnsiTheme="majorHAnsi"/>
          <w:sz w:val="20"/>
          <w:szCs w:val="20"/>
        </w:rPr>
        <w:t xml:space="preserve">, claim that the State has violated Mr. Valle’s rights under Article I, II, and XXVI of the American Declaration. </w:t>
      </w:r>
    </w:p>
    <w:p w14:paraId="4616F428" w14:textId="77777777" w:rsidR="009B5E0C" w:rsidRPr="00CE58F6" w:rsidRDefault="009B5E0C" w:rsidP="009B5E0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79A184D5" w14:textId="77777777" w:rsidR="00E947D7" w:rsidRPr="00CE58F6" w:rsidRDefault="00E947D7" w:rsidP="00E947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E58F6">
        <w:rPr>
          <w:rFonts w:asciiTheme="majorHAnsi" w:hAnsiTheme="majorHAnsi"/>
          <w:sz w:val="20"/>
          <w:szCs w:val="20"/>
        </w:rPr>
        <w:t xml:space="preserve">It is </w:t>
      </w:r>
      <w:r w:rsidR="00FD24A9" w:rsidRPr="00CE58F6">
        <w:rPr>
          <w:rFonts w:asciiTheme="majorHAnsi" w:hAnsiTheme="majorHAnsi"/>
          <w:sz w:val="20"/>
          <w:szCs w:val="20"/>
        </w:rPr>
        <w:t xml:space="preserve">further </w:t>
      </w:r>
      <w:r w:rsidRPr="00CE58F6">
        <w:rPr>
          <w:rFonts w:asciiTheme="majorHAnsi" w:hAnsiTheme="majorHAnsi"/>
          <w:sz w:val="20"/>
          <w:szCs w:val="20"/>
        </w:rPr>
        <w:t xml:space="preserve">claimed </w:t>
      </w:r>
      <w:r w:rsidR="00FD24A9" w:rsidRPr="00CE58F6">
        <w:rPr>
          <w:rFonts w:asciiTheme="majorHAnsi" w:hAnsiTheme="majorHAnsi"/>
          <w:sz w:val="20"/>
          <w:szCs w:val="20"/>
        </w:rPr>
        <w:t>by the petitioner</w:t>
      </w:r>
      <w:r w:rsidR="00590239" w:rsidRPr="00CE58F6">
        <w:rPr>
          <w:rFonts w:asciiTheme="majorHAnsi" w:hAnsiTheme="majorHAnsi"/>
          <w:sz w:val="20"/>
          <w:szCs w:val="20"/>
        </w:rPr>
        <w:t>s</w:t>
      </w:r>
      <w:r w:rsidR="00FD24A9" w:rsidRPr="00CE58F6">
        <w:rPr>
          <w:rFonts w:asciiTheme="majorHAnsi" w:hAnsiTheme="majorHAnsi"/>
          <w:sz w:val="20"/>
          <w:szCs w:val="20"/>
        </w:rPr>
        <w:t xml:space="preserve"> </w:t>
      </w:r>
      <w:r w:rsidRPr="00CE58F6">
        <w:rPr>
          <w:rFonts w:asciiTheme="majorHAnsi" w:hAnsiTheme="majorHAnsi"/>
          <w:sz w:val="20"/>
          <w:szCs w:val="20"/>
        </w:rPr>
        <w:t xml:space="preserve">that there is no indication that any clemency investigation, as required by </w:t>
      </w:r>
      <w:r w:rsidR="00FD24A9" w:rsidRPr="00CE58F6">
        <w:rPr>
          <w:rFonts w:asciiTheme="majorHAnsi" w:hAnsiTheme="majorHAnsi"/>
          <w:sz w:val="20"/>
          <w:szCs w:val="20"/>
        </w:rPr>
        <w:t xml:space="preserve">the </w:t>
      </w:r>
      <w:r w:rsidRPr="00CE58F6">
        <w:rPr>
          <w:rFonts w:asciiTheme="majorHAnsi" w:hAnsiTheme="majorHAnsi"/>
          <w:sz w:val="20"/>
          <w:szCs w:val="20"/>
        </w:rPr>
        <w:t>Florida Constitution</w:t>
      </w:r>
      <w:r w:rsidR="008D3D62" w:rsidRPr="00CE58F6">
        <w:rPr>
          <w:rFonts w:asciiTheme="majorHAnsi" w:hAnsiTheme="majorHAnsi"/>
          <w:sz w:val="20"/>
          <w:szCs w:val="20"/>
        </w:rPr>
        <w:t>,</w:t>
      </w:r>
      <w:r w:rsidRPr="00CE58F6">
        <w:rPr>
          <w:rStyle w:val="FootnoteReference"/>
          <w:rFonts w:asciiTheme="majorHAnsi" w:hAnsiTheme="majorHAnsi"/>
          <w:sz w:val="20"/>
          <w:szCs w:val="20"/>
        </w:rPr>
        <w:footnoteReference w:id="4"/>
      </w:r>
      <w:r w:rsidRPr="00CE58F6">
        <w:rPr>
          <w:rFonts w:asciiTheme="majorHAnsi" w:hAnsiTheme="majorHAnsi"/>
          <w:sz w:val="20"/>
          <w:szCs w:val="20"/>
        </w:rPr>
        <w:t xml:space="preserve"> was carried out subsequent to Mr. Valle’s appeal. Such lack of process is claimed as a breach of Mr. Valle’s right to seek clemency and </w:t>
      </w:r>
      <w:r w:rsidR="008D3D62" w:rsidRPr="00CE58F6">
        <w:rPr>
          <w:rFonts w:asciiTheme="majorHAnsi" w:hAnsiTheme="majorHAnsi"/>
          <w:sz w:val="20"/>
          <w:szCs w:val="20"/>
        </w:rPr>
        <w:t xml:space="preserve">a violation of </w:t>
      </w:r>
      <w:r w:rsidRPr="00CE58F6">
        <w:rPr>
          <w:rFonts w:asciiTheme="majorHAnsi" w:hAnsiTheme="majorHAnsi"/>
          <w:sz w:val="20"/>
          <w:szCs w:val="20"/>
        </w:rPr>
        <w:t xml:space="preserve">his rights within Articles I and XXVI of the Declaration.  </w:t>
      </w:r>
    </w:p>
    <w:p w14:paraId="4471EB92" w14:textId="77777777" w:rsidR="00E947D7" w:rsidRPr="00CE58F6" w:rsidRDefault="00E947D7" w:rsidP="00E947D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167142F" w14:textId="77777777" w:rsidR="00E947D7" w:rsidRPr="00CE58F6" w:rsidRDefault="006E0404" w:rsidP="00D443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E58F6">
        <w:rPr>
          <w:rFonts w:asciiTheme="majorHAnsi" w:hAnsiTheme="majorHAnsi"/>
          <w:sz w:val="20"/>
          <w:szCs w:val="20"/>
        </w:rPr>
        <w:t>The petitioner</w:t>
      </w:r>
      <w:r w:rsidR="00F34430" w:rsidRPr="00CE58F6">
        <w:rPr>
          <w:rFonts w:asciiTheme="majorHAnsi" w:hAnsiTheme="majorHAnsi"/>
          <w:sz w:val="20"/>
          <w:szCs w:val="20"/>
        </w:rPr>
        <w:t>s</w:t>
      </w:r>
      <w:r w:rsidR="00BF3BF0" w:rsidRPr="00CE58F6">
        <w:rPr>
          <w:rFonts w:asciiTheme="majorHAnsi" w:hAnsiTheme="majorHAnsi"/>
          <w:sz w:val="20"/>
          <w:szCs w:val="20"/>
        </w:rPr>
        <w:t xml:space="preserve"> </w:t>
      </w:r>
      <w:r w:rsidRPr="00CE58F6">
        <w:rPr>
          <w:rFonts w:asciiTheme="majorHAnsi" w:hAnsiTheme="majorHAnsi"/>
          <w:sz w:val="20"/>
          <w:szCs w:val="20"/>
        </w:rPr>
        <w:t>claim</w:t>
      </w:r>
      <w:r w:rsidR="00BF3BF0" w:rsidRPr="00CE58F6">
        <w:rPr>
          <w:rFonts w:asciiTheme="majorHAnsi" w:hAnsiTheme="majorHAnsi"/>
          <w:sz w:val="20"/>
          <w:szCs w:val="20"/>
        </w:rPr>
        <w:t xml:space="preserve"> </w:t>
      </w:r>
      <w:r w:rsidRPr="00CE58F6">
        <w:rPr>
          <w:rFonts w:asciiTheme="majorHAnsi" w:hAnsiTheme="majorHAnsi"/>
          <w:sz w:val="20"/>
          <w:szCs w:val="20"/>
        </w:rPr>
        <w:t xml:space="preserve">that </w:t>
      </w:r>
      <w:r w:rsidR="00BF3BF0" w:rsidRPr="00CE58F6">
        <w:rPr>
          <w:rFonts w:asciiTheme="majorHAnsi" w:hAnsiTheme="majorHAnsi"/>
          <w:sz w:val="20"/>
          <w:szCs w:val="20"/>
        </w:rPr>
        <w:t>the prolonged confinement on de</w:t>
      </w:r>
      <w:r w:rsidRPr="00CE58F6">
        <w:rPr>
          <w:rFonts w:asciiTheme="majorHAnsi" w:hAnsiTheme="majorHAnsi"/>
          <w:sz w:val="20"/>
          <w:szCs w:val="20"/>
        </w:rPr>
        <w:t xml:space="preserve">ath row, of approximately 33 years, is </w:t>
      </w:r>
      <w:r w:rsidR="00BF3BF0" w:rsidRPr="00CE58F6">
        <w:rPr>
          <w:rFonts w:asciiTheme="majorHAnsi" w:hAnsiTheme="majorHAnsi"/>
          <w:sz w:val="20"/>
          <w:szCs w:val="20"/>
        </w:rPr>
        <w:t xml:space="preserve">cruel, inhuman and degrading treatment, as well as tortuous. </w:t>
      </w:r>
      <w:r w:rsidR="00EE7188" w:rsidRPr="00CE58F6">
        <w:rPr>
          <w:rFonts w:asciiTheme="majorHAnsi" w:hAnsiTheme="majorHAnsi"/>
          <w:sz w:val="20"/>
          <w:szCs w:val="20"/>
        </w:rPr>
        <w:t xml:space="preserve">The petitioners claim that such a stint is in violation of Mr. Valle’s rights under articles I, XVII, XXIV and XXVI of the American Declaration. </w:t>
      </w:r>
    </w:p>
    <w:p w14:paraId="4A7E283D" w14:textId="77777777" w:rsidR="00D44328" w:rsidRPr="00CE58F6" w:rsidRDefault="00D44328" w:rsidP="00E947D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4DA8BD7" w14:textId="77777777" w:rsidR="00E947D7" w:rsidRPr="00CE58F6" w:rsidRDefault="00D44328" w:rsidP="00D4432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CE58F6">
        <w:rPr>
          <w:rFonts w:asciiTheme="majorHAnsi" w:hAnsiTheme="majorHAnsi"/>
          <w:sz w:val="20"/>
          <w:szCs w:val="20"/>
        </w:rPr>
        <w:t>It is explained that Florida planned to use pentobarbital in the lethal injection</w:t>
      </w:r>
      <w:r w:rsidR="00D2617B" w:rsidRPr="00CE58F6">
        <w:rPr>
          <w:rFonts w:asciiTheme="majorHAnsi" w:hAnsiTheme="majorHAnsi"/>
          <w:sz w:val="20"/>
          <w:szCs w:val="20"/>
        </w:rPr>
        <w:t xml:space="preserve"> for Mr. Valle’s execution. The petitioner</w:t>
      </w:r>
      <w:r w:rsidR="00F34430" w:rsidRPr="00CE58F6">
        <w:rPr>
          <w:rFonts w:asciiTheme="majorHAnsi" w:hAnsiTheme="majorHAnsi"/>
          <w:sz w:val="20"/>
          <w:szCs w:val="20"/>
        </w:rPr>
        <w:t>s</w:t>
      </w:r>
      <w:r w:rsidRPr="00CE58F6">
        <w:rPr>
          <w:rFonts w:asciiTheme="majorHAnsi" w:hAnsiTheme="majorHAnsi"/>
          <w:sz w:val="20"/>
          <w:szCs w:val="20"/>
        </w:rPr>
        <w:t xml:space="preserve"> highlighted that the manufacturer of the drug stated that they could not “assure the associated safety and efficacy profiles in such instances</w:t>
      </w:r>
      <w:r w:rsidR="00F34430" w:rsidRPr="00CE58F6">
        <w:rPr>
          <w:rFonts w:asciiTheme="majorHAnsi" w:hAnsiTheme="majorHAnsi"/>
          <w:sz w:val="20"/>
          <w:szCs w:val="20"/>
        </w:rPr>
        <w:t>,</w:t>
      </w:r>
      <w:r w:rsidRPr="00CE58F6">
        <w:rPr>
          <w:rFonts w:asciiTheme="majorHAnsi" w:hAnsiTheme="majorHAnsi"/>
          <w:sz w:val="20"/>
          <w:szCs w:val="20"/>
        </w:rPr>
        <w:t>”</w:t>
      </w:r>
      <w:r w:rsidRPr="00CE58F6">
        <w:rPr>
          <w:rStyle w:val="FootnoteReference"/>
          <w:rFonts w:asciiTheme="majorHAnsi" w:hAnsiTheme="majorHAnsi"/>
          <w:sz w:val="20"/>
          <w:szCs w:val="20"/>
        </w:rPr>
        <w:footnoteReference w:id="5"/>
      </w:r>
      <w:r w:rsidRPr="00CE58F6">
        <w:rPr>
          <w:rFonts w:asciiTheme="majorHAnsi" w:hAnsiTheme="majorHAnsi"/>
          <w:sz w:val="20"/>
          <w:szCs w:val="20"/>
        </w:rPr>
        <w:t xml:space="preserve"> the instances referred to being that of e</w:t>
      </w:r>
      <w:r w:rsidR="009F4877" w:rsidRPr="00CE58F6">
        <w:rPr>
          <w:rFonts w:asciiTheme="majorHAnsi" w:hAnsiTheme="majorHAnsi"/>
          <w:sz w:val="20"/>
          <w:szCs w:val="20"/>
        </w:rPr>
        <w:t xml:space="preserve">xecution by lethal injection. It is claimed that as the drug was never tested on humans for the purpose of inducing an </w:t>
      </w:r>
      <w:r w:rsidR="00652F1B" w:rsidRPr="00CE58F6">
        <w:rPr>
          <w:rFonts w:asciiTheme="majorHAnsi" w:hAnsiTheme="majorHAnsi"/>
          <w:sz w:val="20"/>
          <w:szCs w:val="20"/>
        </w:rPr>
        <w:t>anesthetic</w:t>
      </w:r>
      <w:r w:rsidR="009F4877" w:rsidRPr="00CE58F6">
        <w:rPr>
          <w:rFonts w:asciiTheme="majorHAnsi" w:hAnsiTheme="majorHAnsi"/>
          <w:sz w:val="20"/>
          <w:szCs w:val="20"/>
        </w:rPr>
        <w:t xml:space="preserve"> coma, save for the execution of Roy Blankenship by the State of Georgia on June 23, 2011, the State of Florida would be experimenting on Mr. Valle, violating his ri</w:t>
      </w:r>
      <w:r w:rsidR="004761C6" w:rsidRPr="00CE58F6">
        <w:rPr>
          <w:rFonts w:asciiTheme="majorHAnsi" w:hAnsiTheme="majorHAnsi"/>
          <w:sz w:val="20"/>
          <w:szCs w:val="20"/>
        </w:rPr>
        <w:t xml:space="preserve">ghts under Articles I and XXVI of the Declaration. </w:t>
      </w:r>
    </w:p>
    <w:p w14:paraId="2F33B596" w14:textId="77777777" w:rsidR="00D10FF4" w:rsidRPr="00CE58F6" w:rsidRDefault="00D10FF4"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6DCA0658" w14:textId="77777777" w:rsidR="00F516D3" w:rsidRPr="00CE58F6" w:rsidRDefault="00F516D3" w:rsidP="00EC55EA">
      <w:pPr>
        <w:pStyle w:val="Heading2"/>
        <w:numPr>
          <w:ilvl w:val="0"/>
          <w:numId w:val="57"/>
        </w:numPr>
        <w:tabs>
          <w:tab w:val="left" w:pos="360"/>
        </w:tabs>
        <w:spacing w:before="0"/>
        <w:ind w:hanging="720"/>
        <w:rPr>
          <w:color w:val="auto"/>
          <w:sz w:val="20"/>
          <w:szCs w:val="20"/>
        </w:rPr>
      </w:pPr>
      <w:bookmarkStart w:id="3" w:name="_Toc90291501"/>
      <w:r w:rsidRPr="00CE58F6">
        <w:rPr>
          <w:color w:val="auto"/>
          <w:sz w:val="20"/>
          <w:szCs w:val="20"/>
        </w:rPr>
        <w:t>State</w:t>
      </w:r>
      <w:bookmarkEnd w:id="3"/>
    </w:p>
    <w:p w14:paraId="7A62496A" w14:textId="77777777" w:rsidR="00A238D4" w:rsidRPr="00CE58F6" w:rsidRDefault="00A238D4" w:rsidP="00EC55EA">
      <w:pPr>
        <w:rPr>
          <w:rFonts w:asciiTheme="majorHAnsi" w:hAnsiTheme="majorHAnsi"/>
          <w:sz w:val="20"/>
          <w:szCs w:val="20"/>
        </w:rPr>
      </w:pPr>
    </w:p>
    <w:p w14:paraId="27A753A2" w14:textId="77777777" w:rsidR="00D62108" w:rsidRPr="00CE58F6" w:rsidRDefault="00281829"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E58F6">
        <w:rPr>
          <w:rFonts w:asciiTheme="majorHAnsi" w:hAnsiTheme="majorHAnsi"/>
          <w:sz w:val="20"/>
          <w:szCs w:val="20"/>
        </w:rPr>
        <w:t xml:space="preserve">The State </w:t>
      </w:r>
      <w:r w:rsidR="00A6472C" w:rsidRPr="00CE58F6">
        <w:rPr>
          <w:rFonts w:asciiTheme="majorHAnsi" w:hAnsiTheme="majorHAnsi"/>
          <w:sz w:val="20"/>
          <w:szCs w:val="20"/>
        </w:rPr>
        <w:t xml:space="preserve">communicated its intention to not file further submissions with respect to the petition given that by the date of its response to the matter, Mr. Valle was already executed. </w:t>
      </w:r>
      <w:r w:rsidR="00430AB4" w:rsidRPr="00CE58F6">
        <w:rPr>
          <w:rFonts w:asciiTheme="majorHAnsi" w:hAnsiTheme="majorHAnsi"/>
          <w:sz w:val="20"/>
          <w:szCs w:val="20"/>
        </w:rPr>
        <w:t>The State reiterated its position that the imposition of the death penalty, for the most serious crimes, and in accordance with the law, does not violate any international obligations of the United States.</w:t>
      </w:r>
    </w:p>
    <w:p w14:paraId="59402586" w14:textId="77777777" w:rsidR="00D10FF4" w:rsidRPr="00CE58F6" w:rsidRDefault="00D10FF4"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14:paraId="0CEC5DF3" w14:textId="77777777" w:rsidR="00A473E3" w:rsidRPr="00CE58F6" w:rsidRDefault="00F516D3" w:rsidP="00EC55EA">
      <w:pPr>
        <w:pStyle w:val="Heading1"/>
        <w:tabs>
          <w:tab w:val="left" w:pos="360"/>
        </w:tabs>
        <w:spacing w:before="0"/>
        <w:ind w:hanging="720"/>
        <w:rPr>
          <w:color w:val="auto"/>
          <w:sz w:val="20"/>
          <w:szCs w:val="20"/>
        </w:rPr>
      </w:pPr>
      <w:bookmarkStart w:id="4" w:name="_Toc90291502"/>
      <w:r w:rsidRPr="00CE58F6">
        <w:rPr>
          <w:color w:val="auto"/>
          <w:sz w:val="20"/>
          <w:szCs w:val="20"/>
        </w:rPr>
        <w:t>ADMISSIBILITY</w:t>
      </w:r>
      <w:bookmarkEnd w:id="4"/>
      <w:r w:rsidR="0081365E" w:rsidRPr="00CE58F6">
        <w:rPr>
          <w:sz w:val="20"/>
          <w:szCs w:val="20"/>
        </w:rPr>
        <w:tab/>
      </w:r>
    </w:p>
    <w:p w14:paraId="62DCE5B4" w14:textId="77777777" w:rsidR="00F516D3" w:rsidRPr="00CE58F6" w:rsidRDefault="00F516D3" w:rsidP="00EC55EA">
      <w:pPr>
        <w:rPr>
          <w:rFonts w:asciiTheme="majorHAnsi" w:hAnsiTheme="majorHAnsi"/>
          <w:sz w:val="20"/>
          <w:szCs w:val="20"/>
        </w:rPr>
      </w:pPr>
    </w:p>
    <w:p w14:paraId="4F650D98" w14:textId="77777777" w:rsidR="00F516D3" w:rsidRPr="00CE58F6" w:rsidRDefault="00F516D3" w:rsidP="00EC55EA">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5" w:name="_Toc7602623"/>
      <w:bookmarkStart w:id="6" w:name="_Toc90291503"/>
      <w:bookmarkStart w:id="7" w:name="_Toc6349142"/>
      <w:r w:rsidRPr="00CE58F6">
        <w:rPr>
          <w:rFonts w:cs="Times New Roman"/>
          <w:color w:val="auto"/>
          <w:sz w:val="20"/>
          <w:szCs w:val="20"/>
        </w:rPr>
        <w:t xml:space="preserve">Competence, duplication of procedures and international </w:t>
      </w:r>
      <w:r w:rsidRPr="00CE58F6">
        <w:rPr>
          <w:rFonts w:cs="Times New Roman"/>
          <w:i/>
          <w:color w:val="auto"/>
          <w:sz w:val="20"/>
          <w:szCs w:val="20"/>
        </w:rPr>
        <w:t>res judicata</w:t>
      </w:r>
      <w:bookmarkEnd w:id="5"/>
      <w:bookmarkEnd w:id="6"/>
      <w:r w:rsidRPr="00CE58F6">
        <w:rPr>
          <w:rFonts w:cs="Times New Roman"/>
          <w:color w:val="auto"/>
          <w:sz w:val="20"/>
          <w:szCs w:val="20"/>
        </w:rPr>
        <w:t xml:space="preserve"> </w:t>
      </w:r>
      <w:bookmarkEnd w:id="7"/>
    </w:p>
    <w:p w14:paraId="72C76CF0" w14:textId="77777777" w:rsidR="00947B86" w:rsidRPr="00CE58F6" w:rsidRDefault="00947B86" w:rsidP="00EC55EA">
      <w:pPr>
        <w:rPr>
          <w:rFonts w:asciiTheme="majorHAnsi" w:hAnsiTheme="majorHAnsi"/>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947B86" w:rsidRPr="00CE58F6" w14:paraId="7FEF68BA" w14:textId="77777777" w:rsidTr="006D5B6B">
        <w:trPr>
          <w:cantSplit/>
        </w:trPr>
        <w:tc>
          <w:tcPr>
            <w:tcW w:w="3600" w:type="dxa"/>
            <w:tcBorders>
              <w:top w:val="single" w:sz="4" w:space="0" w:color="auto"/>
              <w:bottom w:val="single" w:sz="6" w:space="0" w:color="auto"/>
            </w:tcBorders>
            <w:shd w:val="clear" w:color="auto" w:fill="67AE3C"/>
            <w:vAlign w:val="center"/>
          </w:tcPr>
          <w:p w14:paraId="67AB2287" w14:textId="77777777" w:rsidR="00947B86" w:rsidRPr="00CE58F6" w:rsidRDefault="00947B86" w:rsidP="00EC55EA">
            <w:pPr>
              <w:jc w:val="center"/>
              <w:rPr>
                <w:rFonts w:asciiTheme="majorHAnsi" w:hAnsiTheme="majorHAnsi"/>
                <w:b/>
                <w:bCs/>
                <w:i/>
                <w:color w:val="FFFFFF" w:themeColor="background1"/>
                <w:sz w:val="20"/>
                <w:szCs w:val="20"/>
              </w:rPr>
            </w:pPr>
            <w:r w:rsidRPr="00CE58F6">
              <w:rPr>
                <w:rFonts w:asciiTheme="majorHAnsi" w:hAnsiTheme="majorHAnsi"/>
                <w:b/>
                <w:bCs/>
                <w:color w:val="FFFFFF" w:themeColor="background1"/>
                <w:sz w:val="20"/>
                <w:szCs w:val="20"/>
              </w:rPr>
              <w:t>Competence</w:t>
            </w:r>
            <w:r w:rsidRPr="00CE58F6">
              <w:rPr>
                <w:rFonts w:asciiTheme="majorHAnsi" w:hAnsiTheme="majorHAnsi"/>
                <w:b/>
                <w:bCs/>
                <w:i/>
                <w:color w:val="FFFFFF" w:themeColor="background1"/>
                <w:sz w:val="20"/>
                <w:szCs w:val="20"/>
              </w:rPr>
              <w:t xml:space="preserve"> Ratione personae:</w:t>
            </w:r>
          </w:p>
        </w:tc>
        <w:tc>
          <w:tcPr>
            <w:tcW w:w="5760" w:type="dxa"/>
            <w:vAlign w:val="center"/>
          </w:tcPr>
          <w:p w14:paraId="2B589240" w14:textId="77777777" w:rsidR="00947B86" w:rsidRPr="00CE58F6" w:rsidRDefault="00947B86" w:rsidP="00EC55EA">
            <w:pPr>
              <w:rPr>
                <w:rFonts w:asciiTheme="majorHAnsi" w:hAnsiTheme="majorHAnsi"/>
                <w:bCs/>
                <w:sz w:val="20"/>
                <w:szCs w:val="20"/>
              </w:rPr>
            </w:pPr>
            <w:r w:rsidRPr="00CE58F6">
              <w:rPr>
                <w:rFonts w:asciiTheme="majorHAnsi" w:hAnsiTheme="majorHAnsi"/>
                <w:bCs/>
                <w:sz w:val="20"/>
                <w:szCs w:val="20"/>
              </w:rPr>
              <w:t>Yes</w:t>
            </w:r>
          </w:p>
        </w:tc>
      </w:tr>
      <w:tr w:rsidR="00947B86" w:rsidRPr="00CE58F6" w14:paraId="4DF3B93E" w14:textId="77777777" w:rsidTr="006D5B6B">
        <w:trPr>
          <w:cantSplit/>
        </w:trPr>
        <w:tc>
          <w:tcPr>
            <w:tcW w:w="3600" w:type="dxa"/>
            <w:tcBorders>
              <w:top w:val="single" w:sz="6" w:space="0" w:color="auto"/>
              <w:bottom w:val="single" w:sz="6" w:space="0" w:color="auto"/>
            </w:tcBorders>
            <w:shd w:val="clear" w:color="auto" w:fill="67AE3C"/>
            <w:vAlign w:val="center"/>
          </w:tcPr>
          <w:p w14:paraId="1E91B2B7" w14:textId="77777777" w:rsidR="00947B86" w:rsidRPr="00CE58F6" w:rsidRDefault="00947B86" w:rsidP="00EC55EA">
            <w:pPr>
              <w:jc w:val="center"/>
              <w:rPr>
                <w:rFonts w:asciiTheme="majorHAnsi" w:hAnsiTheme="majorHAnsi"/>
                <w:b/>
                <w:bCs/>
                <w:color w:val="FFFFFF" w:themeColor="background1"/>
                <w:sz w:val="20"/>
                <w:szCs w:val="20"/>
              </w:rPr>
            </w:pPr>
            <w:r w:rsidRPr="00CE58F6">
              <w:rPr>
                <w:rFonts w:asciiTheme="majorHAnsi" w:hAnsiTheme="majorHAnsi"/>
                <w:b/>
                <w:bCs/>
                <w:color w:val="FFFFFF" w:themeColor="background1"/>
                <w:sz w:val="20"/>
                <w:szCs w:val="20"/>
              </w:rPr>
              <w:t>Competence</w:t>
            </w:r>
            <w:r w:rsidRPr="00CE58F6">
              <w:rPr>
                <w:rFonts w:asciiTheme="majorHAnsi" w:hAnsiTheme="majorHAnsi"/>
                <w:b/>
                <w:bCs/>
                <w:i/>
                <w:color w:val="FFFFFF" w:themeColor="background1"/>
                <w:sz w:val="20"/>
                <w:szCs w:val="20"/>
              </w:rPr>
              <w:t xml:space="preserve"> Ratione loci</w:t>
            </w:r>
            <w:r w:rsidRPr="00CE58F6">
              <w:rPr>
                <w:rFonts w:asciiTheme="majorHAnsi" w:hAnsiTheme="majorHAnsi"/>
                <w:b/>
                <w:bCs/>
                <w:color w:val="FFFFFF" w:themeColor="background1"/>
                <w:sz w:val="20"/>
                <w:szCs w:val="20"/>
              </w:rPr>
              <w:t>:</w:t>
            </w:r>
          </w:p>
        </w:tc>
        <w:tc>
          <w:tcPr>
            <w:tcW w:w="5760" w:type="dxa"/>
            <w:vAlign w:val="center"/>
          </w:tcPr>
          <w:p w14:paraId="5681D5CB" w14:textId="77777777" w:rsidR="00947B86" w:rsidRPr="00CE58F6" w:rsidRDefault="00947B86" w:rsidP="00EC55EA">
            <w:pPr>
              <w:rPr>
                <w:rFonts w:asciiTheme="majorHAnsi" w:hAnsiTheme="majorHAnsi"/>
                <w:bCs/>
                <w:sz w:val="20"/>
                <w:szCs w:val="20"/>
              </w:rPr>
            </w:pPr>
            <w:r w:rsidRPr="00CE58F6">
              <w:rPr>
                <w:rFonts w:asciiTheme="majorHAnsi" w:hAnsiTheme="majorHAnsi"/>
                <w:bCs/>
                <w:sz w:val="20"/>
                <w:szCs w:val="20"/>
              </w:rPr>
              <w:t>Yes</w:t>
            </w:r>
          </w:p>
        </w:tc>
      </w:tr>
      <w:tr w:rsidR="00947B86" w:rsidRPr="00CE58F6" w14:paraId="40F0AF05" w14:textId="77777777" w:rsidTr="006D5B6B">
        <w:trPr>
          <w:cantSplit/>
        </w:trPr>
        <w:tc>
          <w:tcPr>
            <w:tcW w:w="3600" w:type="dxa"/>
            <w:tcBorders>
              <w:top w:val="single" w:sz="6" w:space="0" w:color="auto"/>
              <w:bottom w:val="single" w:sz="6" w:space="0" w:color="auto"/>
            </w:tcBorders>
            <w:shd w:val="clear" w:color="auto" w:fill="67AE3C"/>
            <w:vAlign w:val="center"/>
          </w:tcPr>
          <w:p w14:paraId="1A1659F7" w14:textId="77777777" w:rsidR="00947B86" w:rsidRPr="00CE58F6" w:rsidRDefault="00947B86" w:rsidP="00EC55EA">
            <w:pPr>
              <w:jc w:val="center"/>
              <w:rPr>
                <w:rFonts w:asciiTheme="majorHAnsi" w:hAnsiTheme="majorHAnsi"/>
                <w:b/>
                <w:bCs/>
                <w:color w:val="FFFFFF" w:themeColor="background1"/>
                <w:sz w:val="20"/>
                <w:szCs w:val="20"/>
              </w:rPr>
            </w:pPr>
            <w:r w:rsidRPr="00CE58F6">
              <w:rPr>
                <w:rFonts w:asciiTheme="majorHAnsi" w:hAnsiTheme="majorHAnsi"/>
                <w:b/>
                <w:bCs/>
                <w:color w:val="FFFFFF" w:themeColor="background1"/>
                <w:sz w:val="20"/>
                <w:szCs w:val="20"/>
              </w:rPr>
              <w:t>Competence</w:t>
            </w:r>
            <w:r w:rsidRPr="00CE58F6">
              <w:rPr>
                <w:rFonts w:asciiTheme="majorHAnsi" w:hAnsiTheme="majorHAnsi"/>
                <w:b/>
                <w:bCs/>
                <w:i/>
                <w:color w:val="FFFFFF" w:themeColor="background1"/>
                <w:sz w:val="20"/>
                <w:szCs w:val="20"/>
              </w:rPr>
              <w:t xml:space="preserve"> Ratione temporis</w:t>
            </w:r>
            <w:r w:rsidRPr="00CE58F6">
              <w:rPr>
                <w:rFonts w:asciiTheme="majorHAnsi" w:hAnsiTheme="majorHAnsi"/>
                <w:b/>
                <w:bCs/>
                <w:color w:val="FFFFFF" w:themeColor="background1"/>
                <w:sz w:val="20"/>
                <w:szCs w:val="20"/>
              </w:rPr>
              <w:t>:</w:t>
            </w:r>
          </w:p>
        </w:tc>
        <w:tc>
          <w:tcPr>
            <w:tcW w:w="5760" w:type="dxa"/>
            <w:vAlign w:val="center"/>
          </w:tcPr>
          <w:p w14:paraId="6686156C" w14:textId="77777777" w:rsidR="00947B86" w:rsidRPr="00CE58F6" w:rsidRDefault="00947B86" w:rsidP="00EC55EA">
            <w:pPr>
              <w:rPr>
                <w:rFonts w:asciiTheme="majorHAnsi" w:hAnsiTheme="majorHAnsi"/>
                <w:bCs/>
                <w:sz w:val="20"/>
                <w:szCs w:val="20"/>
              </w:rPr>
            </w:pPr>
            <w:r w:rsidRPr="00CE58F6">
              <w:rPr>
                <w:rFonts w:asciiTheme="majorHAnsi" w:hAnsiTheme="majorHAnsi"/>
                <w:bCs/>
                <w:sz w:val="20"/>
                <w:szCs w:val="20"/>
              </w:rPr>
              <w:t>Yes</w:t>
            </w:r>
          </w:p>
        </w:tc>
      </w:tr>
      <w:tr w:rsidR="00947B86" w:rsidRPr="00CE58F6" w14:paraId="0B15136F" w14:textId="77777777" w:rsidTr="006D5B6B">
        <w:trPr>
          <w:cantSplit/>
        </w:trPr>
        <w:tc>
          <w:tcPr>
            <w:tcW w:w="3600" w:type="dxa"/>
            <w:tcBorders>
              <w:top w:val="single" w:sz="6" w:space="0" w:color="auto"/>
              <w:bottom w:val="single" w:sz="6" w:space="0" w:color="auto"/>
            </w:tcBorders>
            <w:shd w:val="clear" w:color="auto" w:fill="67AE3C"/>
            <w:vAlign w:val="center"/>
          </w:tcPr>
          <w:p w14:paraId="6C772409" w14:textId="77777777" w:rsidR="00947B86" w:rsidRPr="00CE58F6" w:rsidRDefault="00947B86" w:rsidP="006D5B6B">
            <w:pPr>
              <w:shd w:val="clear" w:color="auto" w:fill="67AE3C"/>
              <w:jc w:val="center"/>
              <w:rPr>
                <w:rFonts w:asciiTheme="majorHAnsi" w:hAnsiTheme="majorHAnsi"/>
                <w:b/>
                <w:bCs/>
                <w:color w:val="FFFFFF" w:themeColor="background1"/>
                <w:sz w:val="20"/>
                <w:szCs w:val="20"/>
              </w:rPr>
            </w:pPr>
            <w:r w:rsidRPr="00CE58F6">
              <w:rPr>
                <w:rFonts w:asciiTheme="majorHAnsi" w:hAnsiTheme="majorHAnsi"/>
                <w:b/>
                <w:bCs/>
                <w:color w:val="FFFFFF" w:themeColor="background1"/>
                <w:sz w:val="20"/>
                <w:szCs w:val="20"/>
              </w:rPr>
              <w:t>Competence</w:t>
            </w:r>
            <w:r w:rsidRPr="00CE58F6">
              <w:rPr>
                <w:rFonts w:asciiTheme="majorHAnsi" w:hAnsiTheme="majorHAnsi"/>
                <w:b/>
                <w:bCs/>
                <w:i/>
                <w:color w:val="FFFFFF" w:themeColor="background1"/>
                <w:sz w:val="20"/>
                <w:szCs w:val="20"/>
              </w:rPr>
              <w:t xml:space="preserve"> Ratione materiae</w:t>
            </w:r>
            <w:r w:rsidRPr="00CE58F6">
              <w:rPr>
                <w:rFonts w:asciiTheme="majorHAnsi" w:hAnsiTheme="majorHAnsi"/>
                <w:b/>
                <w:bCs/>
                <w:color w:val="FFFFFF" w:themeColor="background1"/>
                <w:sz w:val="20"/>
                <w:szCs w:val="20"/>
              </w:rPr>
              <w:t>:</w:t>
            </w:r>
          </w:p>
        </w:tc>
        <w:tc>
          <w:tcPr>
            <w:tcW w:w="5760" w:type="dxa"/>
            <w:vAlign w:val="center"/>
          </w:tcPr>
          <w:p w14:paraId="31AE6994" w14:textId="77777777" w:rsidR="00947B86" w:rsidRPr="00CE58F6" w:rsidRDefault="00947B86" w:rsidP="00EC55EA">
            <w:pPr>
              <w:jc w:val="both"/>
              <w:rPr>
                <w:rFonts w:asciiTheme="majorHAnsi" w:hAnsiTheme="majorHAnsi"/>
                <w:bCs/>
                <w:sz w:val="20"/>
                <w:szCs w:val="20"/>
              </w:rPr>
            </w:pPr>
            <w:r w:rsidRPr="00CE58F6">
              <w:rPr>
                <w:rFonts w:asciiTheme="majorHAnsi" w:hAnsiTheme="majorHAnsi"/>
                <w:bCs/>
                <w:sz w:val="20"/>
                <w:szCs w:val="20"/>
              </w:rPr>
              <w:t>Yes, American Declaration of the Rights and Duties of Man (ratification of the OAS Charter on June 19, 1951)</w:t>
            </w:r>
          </w:p>
        </w:tc>
      </w:tr>
      <w:tr w:rsidR="00947B86" w:rsidRPr="00CE58F6" w14:paraId="4C07EE7F" w14:textId="77777777" w:rsidTr="006D5B6B">
        <w:trPr>
          <w:cantSplit/>
        </w:trPr>
        <w:tc>
          <w:tcPr>
            <w:tcW w:w="3600" w:type="dxa"/>
            <w:tcBorders>
              <w:top w:val="single" w:sz="6" w:space="0" w:color="auto"/>
              <w:bottom w:val="single" w:sz="6" w:space="0" w:color="auto"/>
            </w:tcBorders>
            <w:shd w:val="clear" w:color="auto" w:fill="67AE3C"/>
            <w:vAlign w:val="center"/>
          </w:tcPr>
          <w:p w14:paraId="4297336F" w14:textId="77777777" w:rsidR="00947B86" w:rsidRPr="00CE58F6" w:rsidRDefault="00947B86" w:rsidP="00EC55EA">
            <w:pPr>
              <w:jc w:val="center"/>
              <w:rPr>
                <w:rFonts w:asciiTheme="majorHAnsi" w:hAnsiTheme="majorHAnsi"/>
                <w:b/>
                <w:bCs/>
                <w:color w:val="FFFFFF" w:themeColor="background1"/>
                <w:sz w:val="20"/>
                <w:szCs w:val="20"/>
              </w:rPr>
            </w:pPr>
            <w:r w:rsidRPr="00CE58F6">
              <w:rPr>
                <w:rFonts w:asciiTheme="majorHAnsi" w:hAnsiTheme="majorHAnsi"/>
                <w:b/>
                <w:bCs/>
                <w:color w:val="FFFFFF" w:themeColor="background1"/>
                <w:sz w:val="20"/>
                <w:szCs w:val="20"/>
              </w:rPr>
              <w:t xml:space="preserve">Duplication of procedures and international </w:t>
            </w:r>
            <w:r w:rsidRPr="00CE58F6">
              <w:rPr>
                <w:rFonts w:asciiTheme="majorHAnsi" w:hAnsiTheme="majorHAnsi"/>
                <w:b/>
                <w:bCs/>
                <w:i/>
                <w:iCs/>
                <w:color w:val="FFFFFF" w:themeColor="background1"/>
                <w:sz w:val="20"/>
                <w:szCs w:val="20"/>
              </w:rPr>
              <w:t>res judicata</w:t>
            </w:r>
            <w:r w:rsidRPr="00CE58F6">
              <w:rPr>
                <w:rFonts w:asciiTheme="majorHAnsi" w:hAnsiTheme="majorHAnsi"/>
                <w:b/>
                <w:bCs/>
                <w:color w:val="FFFFFF" w:themeColor="background1"/>
                <w:sz w:val="20"/>
                <w:szCs w:val="20"/>
              </w:rPr>
              <w:t>:</w:t>
            </w:r>
          </w:p>
        </w:tc>
        <w:tc>
          <w:tcPr>
            <w:tcW w:w="5760" w:type="dxa"/>
            <w:vAlign w:val="center"/>
          </w:tcPr>
          <w:p w14:paraId="3D9D0650" w14:textId="77777777" w:rsidR="00947B86" w:rsidRPr="00CE58F6" w:rsidRDefault="00947B86" w:rsidP="00EC55EA">
            <w:pPr>
              <w:jc w:val="both"/>
              <w:rPr>
                <w:rFonts w:asciiTheme="majorHAnsi" w:hAnsiTheme="majorHAnsi"/>
                <w:bCs/>
                <w:sz w:val="20"/>
                <w:szCs w:val="20"/>
              </w:rPr>
            </w:pPr>
            <w:r w:rsidRPr="00CE58F6">
              <w:rPr>
                <w:rFonts w:asciiTheme="majorHAnsi" w:hAnsiTheme="majorHAnsi"/>
                <w:bCs/>
                <w:sz w:val="20"/>
                <w:szCs w:val="20"/>
              </w:rPr>
              <w:t>No</w:t>
            </w:r>
          </w:p>
        </w:tc>
      </w:tr>
    </w:tbl>
    <w:p w14:paraId="67556A42" w14:textId="77777777" w:rsidR="0081365E" w:rsidRPr="00CE58F6" w:rsidRDefault="0081365E" w:rsidP="00EC55EA">
      <w:pPr>
        <w:rPr>
          <w:rFonts w:asciiTheme="majorHAnsi" w:hAnsiTheme="majorHAnsi"/>
          <w:sz w:val="20"/>
          <w:szCs w:val="20"/>
        </w:rPr>
      </w:pPr>
    </w:p>
    <w:p w14:paraId="52DA43F0" w14:textId="77777777" w:rsidR="00CB5E44" w:rsidRPr="00CE58F6" w:rsidRDefault="00CB5E44"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0" w:firstLine="0"/>
        <w:jc w:val="both"/>
        <w:rPr>
          <w:rFonts w:asciiTheme="majorHAnsi" w:hAnsiTheme="majorHAnsi"/>
          <w:sz w:val="20"/>
          <w:szCs w:val="20"/>
        </w:rPr>
      </w:pPr>
      <w:r w:rsidRPr="00CE58F6">
        <w:rPr>
          <w:rFonts w:asciiTheme="majorHAnsi" w:hAnsiTheme="majorHAnsi"/>
          <w:sz w:val="20"/>
          <w:szCs w:val="20"/>
        </w:rPr>
        <w:t xml:space="preserve">As it will be addressed below, while the Commission has no jurisdiction to find a violation of </w:t>
      </w:r>
      <w:r w:rsidR="00F50E6B" w:rsidRPr="00CE58F6">
        <w:rPr>
          <w:rFonts w:asciiTheme="majorHAnsi" w:hAnsiTheme="majorHAnsi"/>
          <w:sz w:val="20"/>
          <w:szCs w:val="20"/>
        </w:rPr>
        <w:t>the</w:t>
      </w:r>
      <w:r w:rsidRPr="00CE58F6">
        <w:rPr>
          <w:rFonts w:asciiTheme="majorHAnsi" w:hAnsiTheme="majorHAnsi"/>
          <w:sz w:val="20"/>
          <w:szCs w:val="20"/>
        </w:rPr>
        <w:t xml:space="preserve"> provisions</w:t>
      </w:r>
      <w:r w:rsidR="00F50E6B" w:rsidRPr="00CE58F6">
        <w:rPr>
          <w:rFonts w:asciiTheme="majorHAnsi" w:hAnsiTheme="majorHAnsi"/>
          <w:sz w:val="20"/>
          <w:szCs w:val="20"/>
        </w:rPr>
        <w:t xml:space="preserve"> of the Vienna Convention</w:t>
      </w:r>
      <w:r w:rsidRPr="00CE58F6">
        <w:rPr>
          <w:rFonts w:asciiTheme="majorHAnsi" w:hAnsiTheme="majorHAnsi"/>
          <w:sz w:val="20"/>
          <w:szCs w:val="20"/>
        </w:rPr>
        <w:t>, it may consider them for the purpose of evaluating the State’s compliance with a foreign national’s due process rights under the American Declaration.</w:t>
      </w:r>
      <w:r w:rsidR="00303D2D" w:rsidRPr="00CE58F6">
        <w:rPr>
          <w:rFonts w:asciiTheme="majorHAnsi" w:hAnsiTheme="majorHAnsi"/>
          <w:sz w:val="20"/>
          <w:szCs w:val="20"/>
        </w:rPr>
        <w:t xml:space="preserve">  </w:t>
      </w:r>
    </w:p>
    <w:p w14:paraId="1A6D1F7D" w14:textId="77777777" w:rsidR="00626FB3" w:rsidRPr="00CE58F6" w:rsidRDefault="00626FB3" w:rsidP="00EC55EA">
      <w:pPr>
        <w:rPr>
          <w:rFonts w:asciiTheme="majorHAnsi" w:hAnsiTheme="majorHAnsi"/>
          <w:sz w:val="20"/>
          <w:szCs w:val="20"/>
        </w:rPr>
      </w:pPr>
    </w:p>
    <w:p w14:paraId="675DB4F5" w14:textId="77777777" w:rsidR="00F516D3" w:rsidRPr="00CE58F6" w:rsidRDefault="00317FC6" w:rsidP="00EC55EA">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ahoma"/>
          <w:color w:val="auto"/>
          <w:sz w:val="20"/>
          <w:szCs w:val="20"/>
          <w:shd w:val="clear" w:color="auto" w:fill="FFFFFF"/>
        </w:rPr>
      </w:pPr>
      <w:bookmarkStart w:id="8" w:name="_Toc90291504"/>
      <w:r w:rsidRPr="00CE58F6">
        <w:rPr>
          <w:rFonts w:cs="Tahoma"/>
          <w:color w:val="auto"/>
          <w:sz w:val="20"/>
          <w:szCs w:val="20"/>
          <w:shd w:val="clear" w:color="auto" w:fill="FFFFFF"/>
        </w:rPr>
        <w:t>Exhaustion of domestic remedies and timeliness of the petition</w:t>
      </w:r>
      <w:bookmarkEnd w:id="8"/>
    </w:p>
    <w:p w14:paraId="10F3FDD6" w14:textId="77777777" w:rsidR="00D94F44" w:rsidRPr="00CE58F6" w:rsidRDefault="00D94F44" w:rsidP="00EC55EA">
      <w:pPr>
        <w:rPr>
          <w:rFonts w:asciiTheme="majorHAnsi" w:hAnsiTheme="majorHAnsi"/>
          <w:color w:val="FF0000"/>
          <w:sz w:val="20"/>
          <w:szCs w:val="20"/>
        </w:rPr>
      </w:pPr>
    </w:p>
    <w:p w14:paraId="7B5DC49E" w14:textId="77777777" w:rsidR="00600384" w:rsidRPr="00CE58F6" w:rsidRDefault="00DA36AE" w:rsidP="004607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Accord</w:t>
      </w:r>
      <w:r w:rsidR="00F91A4B" w:rsidRPr="00CE58F6">
        <w:rPr>
          <w:rFonts w:asciiTheme="majorHAnsi" w:hAnsiTheme="majorHAnsi"/>
          <w:sz w:val="20"/>
          <w:szCs w:val="20"/>
        </w:rPr>
        <w:t>ing to the information</w:t>
      </w:r>
      <w:r w:rsidR="00DB7CA0" w:rsidRPr="00CE58F6">
        <w:rPr>
          <w:rFonts w:asciiTheme="majorHAnsi" w:hAnsiTheme="majorHAnsi"/>
          <w:sz w:val="20"/>
          <w:szCs w:val="20"/>
        </w:rPr>
        <w:t xml:space="preserve"> by the petitioner</w:t>
      </w:r>
      <w:r w:rsidR="00F34430" w:rsidRPr="00CE58F6">
        <w:rPr>
          <w:rFonts w:asciiTheme="majorHAnsi" w:hAnsiTheme="majorHAnsi"/>
          <w:sz w:val="20"/>
          <w:szCs w:val="20"/>
        </w:rPr>
        <w:t>s,</w:t>
      </w:r>
      <w:r w:rsidR="00F90D42" w:rsidRPr="00CE58F6">
        <w:rPr>
          <w:rStyle w:val="FootnoteReference"/>
          <w:rFonts w:asciiTheme="majorHAnsi" w:hAnsiTheme="majorHAnsi"/>
          <w:sz w:val="20"/>
          <w:szCs w:val="20"/>
        </w:rPr>
        <w:footnoteReference w:id="6"/>
      </w:r>
      <w:r w:rsidR="00F91A4B" w:rsidRPr="00CE58F6">
        <w:rPr>
          <w:rFonts w:asciiTheme="majorHAnsi" w:hAnsiTheme="majorHAnsi"/>
          <w:sz w:val="20"/>
          <w:szCs w:val="20"/>
        </w:rPr>
        <w:t xml:space="preserve"> </w:t>
      </w:r>
      <w:r w:rsidR="00E91CFF" w:rsidRPr="00CE58F6">
        <w:rPr>
          <w:rFonts w:asciiTheme="majorHAnsi" w:hAnsiTheme="majorHAnsi"/>
          <w:sz w:val="20"/>
          <w:szCs w:val="20"/>
        </w:rPr>
        <w:t xml:space="preserve">Mr. Valle was charged by indictment with first degree murder and possession of a firearm by a convicted felon in Dade County, Florida on April 13, 1978. </w:t>
      </w:r>
      <w:r w:rsidR="00DF2C26" w:rsidRPr="00CE58F6">
        <w:rPr>
          <w:rFonts w:asciiTheme="majorHAnsi" w:hAnsiTheme="majorHAnsi"/>
          <w:sz w:val="20"/>
          <w:szCs w:val="20"/>
        </w:rPr>
        <w:t xml:space="preserve">The trial occurred 24 days after, and he was convicted and sentenced to death. This conviction and sentence was overturned by the Florida Supreme Court </w:t>
      </w:r>
      <w:r w:rsidR="00B8475C" w:rsidRPr="00CE58F6">
        <w:rPr>
          <w:rFonts w:asciiTheme="majorHAnsi" w:hAnsiTheme="majorHAnsi"/>
          <w:sz w:val="20"/>
          <w:szCs w:val="20"/>
        </w:rPr>
        <w:t xml:space="preserve">(FSC) </w:t>
      </w:r>
      <w:r w:rsidR="00DF2C26" w:rsidRPr="00CE58F6">
        <w:rPr>
          <w:rFonts w:asciiTheme="majorHAnsi" w:hAnsiTheme="majorHAnsi"/>
          <w:sz w:val="20"/>
          <w:szCs w:val="20"/>
        </w:rPr>
        <w:t>as the 24 day period to prepare for trial was considered an abuse of the trial court’s discretion.</w:t>
      </w:r>
      <w:r w:rsidR="00DF2C26" w:rsidRPr="00CE58F6">
        <w:rPr>
          <w:rStyle w:val="FootnoteReference"/>
          <w:rFonts w:asciiTheme="majorHAnsi" w:hAnsiTheme="majorHAnsi"/>
          <w:sz w:val="20"/>
          <w:szCs w:val="20"/>
        </w:rPr>
        <w:footnoteReference w:id="7"/>
      </w:r>
      <w:r w:rsidR="008E168D" w:rsidRPr="00CE58F6">
        <w:rPr>
          <w:rFonts w:asciiTheme="majorHAnsi" w:hAnsiTheme="majorHAnsi"/>
          <w:sz w:val="20"/>
          <w:szCs w:val="20"/>
        </w:rPr>
        <w:t xml:space="preserve"> </w:t>
      </w:r>
      <w:r w:rsidR="00F626BF" w:rsidRPr="00CE58F6">
        <w:rPr>
          <w:rFonts w:asciiTheme="majorHAnsi" w:hAnsiTheme="majorHAnsi"/>
          <w:sz w:val="20"/>
          <w:szCs w:val="20"/>
        </w:rPr>
        <w:t xml:space="preserve"> The second trial resulted in conviction and sentence of death, which was affirmed on appeal by the Florida Supreme Court</w:t>
      </w:r>
      <w:r w:rsidR="00300F96" w:rsidRPr="00CE58F6">
        <w:rPr>
          <w:rFonts w:asciiTheme="majorHAnsi" w:hAnsiTheme="majorHAnsi"/>
          <w:sz w:val="20"/>
          <w:szCs w:val="20"/>
        </w:rPr>
        <w:t>.</w:t>
      </w:r>
      <w:r w:rsidR="00F626BF" w:rsidRPr="00CE58F6">
        <w:rPr>
          <w:rStyle w:val="FootnoteReference"/>
          <w:rFonts w:asciiTheme="majorHAnsi" w:hAnsiTheme="majorHAnsi"/>
          <w:sz w:val="20"/>
          <w:szCs w:val="20"/>
        </w:rPr>
        <w:footnoteReference w:id="8"/>
      </w:r>
      <w:r w:rsidR="002B6002" w:rsidRPr="00CE58F6">
        <w:rPr>
          <w:rFonts w:asciiTheme="majorHAnsi" w:hAnsiTheme="majorHAnsi"/>
          <w:sz w:val="20"/>
          <w:szCs w:val="20"/>
        </w:rPr>
        <w:t xml:space="preserve"> This</w:t>
      </w:r>
      <w:r w:rsidR="00300F96" w:rsidRPr="00CE58F6">
        <w:rPr>
          <w:rFonts w:asciiTheme="majorHAnsi" w:hAnsiTheme="majorHAnsi"/>
          <w:sz w:val="20"/>
          <w:szCs w:val="20"/>
        </w:rPr>
        <w:t xml:space="preserve"> sentence was vacated by the United States Supreme Court</w:t>
      </w:r>
      <w:r w:rsidR="002B6002" w:rsidRPr="00CE58F6">
        <w:rPr>
          <w:rFonts w:asciiTheme="majorHAnsi" w:hAnsiTheme="majorHAnsi"/>
          <w:sz w:val="20"/>
          <w:szCs w:val="20"/>
        </w:rPr>
        <w:t>,</w:t>
      </w:r>
      <w:r w:rsidR="002B6002" w:rsidRPr="00CE58F6">
        <w:rPr>
          <w:rStyle w:val="FootnoteReference"/>
          <w:rFonts w:asciiTheme="majorHAnsi" w:hAnsiTheme="majorHAnsi"/>
          <w:sz w:val="20"/>
          <w:szCs w:val="20"/>
        </w:rPr>
        <w:footnoteReference w:id="9"/>
      </w:r>
      <w:r w:rsidR="002B6002" w:rsidRPr="00CE58F6">
        <w:rPr>
          <w:rFonts w:asciiTheme="majorHAnsi" w:hAnsiTheme="majorHAnsi"/>
          <w:sz w:val="20"/>
          <w:szCs w:val="20"/>
        </w:rPr>
        <w:t xml:space="preserve"> however</w:t>
      </w:r>
      <w:r w:rsidR="00F34430" w:rsidRPr="00CE58F6">
        <w:rPr>
          <w:rFonts w:asciiTheme="majorHAnsi" w:hAnsiTheme="majorHAnsi"/>
          <w:sz w:val="20"/>
          <w:szCs w:val="20"/>
        </w:rPr>
        <w:t>,</w:t>
      </w:r>
      <w:r w:rsidR="002B6002" w:rsidRPr="00CE58F6">
        <w:rPr>
          <w:rFonts w:asciiTheme="majorHAnsi" w:hAnsiTheme="majorHAnsi"/>
          <w:sz w:val="20"/>
          <w:szCs w:val="20"/>
        </w:rPr>
        <w:t xml:space="preserve"> he was resentenced by a jury to death.</w:t>
      </w:r>
      <w:r w:rsidR="00D80FAB" w:rsidRPr="00CE58F6">
        <w:rPr>
          <w:rFonts w:asciiTheme="majorHAnsi" w:hAnsiTheme="majorHAnsi"/>
          <w:sz w:val="20"/>
          <w:szCs w:val="20"/>
        </w:rPr>
        <w:t xml:space="preserve"> </w:t>
      </w:r>
      <w:r w:rsidR="005C6674" w:rsidRPr="00CE58F6">
        <w:rPr>
          <w:rFonts w:asciiTheme="majorHAnsi" w:hAnsiTheme="majorHAnsi"/>
          <w:sz w:val="20"/>
          <w:szCs w:val="20"/>
        </w:rPr>
        <w:t>The</w:t>
      </w:r>
      <w:r w:rsidR="00D80FAB" w:rsidRPr="00CE58F6">
        <w:rPr>
          <w:rFonts w:asciiTheme="majorHAnsi" w:hAnsiTheme="majorHAnsi"/>
          <w:sz w:val="20"/>
          <w:szCs w:val="20"/>
        </w:rPr>
        <w:t xml:space="preserve"> </w:t>
      </w:r>
      <w:r w:rsidR="005C6674" w:rsidRPr="00CE58F6">
        <w:rPr>
          <w:rFonts w:asciiTheme="majorHAnsi" w:hAnsiTheme="majorHAnsi"/>
          <w:sz w:val="20"/>
          <w:szCs w:val="20"/>
        </w:rPr>
        <w:t>FSC</w:t>
      </w:r>
      <w:r w:rsidR="00D80FAB" w:rsidRPr="00CE58F6">
        <w:rPr>
          <w:rFonts w:asciiTheme="majorHAnsi" w:hAnsiTheme="majorHAnsi"/>
          <w:sz w:val="20"/>
          <w:szCs w:val="20"/>
        </w:rPr>
        <w:t xml:space="preserve"> vacated Mr. Valle’s death sentence and ordered a jury resentencing</w:t>
      </w:r>
      <w:r w:rsidR="00D80FAB" w:rsidRPr="00CE58F6">
        <w:rPr>
          <w:rStyle w:val="FootnoteReference"/>
          <w:rFonts w:asciiTheme="majorHAnsi" w:hAnsiTheme="majorHAnsi"/>
          <w:sz w:val="20"/>
          <w:szCs w:val="20"/>
        </w:rPr>
        <w:footnoteReference w:id="10"/>
      </w:r>
      <w:r w:rsidR="00D80FAB" w:rsidRPr="00CE58F6">
        <w:rPr>
          <w:rFonts w:asciiTheme="majorHAnsi" w:hAnsiTheme="majorHAnsi"/>
          <w:sz w:val="20"/>
          <w:szCs w:val="20"/>
        </w:rPr>
        <w:t xml:space="preserve"> </w:t>
      </w:r>
      <w:r w:rsidR="00535F3F" w:rsidRPr="00CE58F6">
        <w:rPr>
          <w:rFonts w:asciiTheme="majorHAnsi" w:hAnsiTheme="majorHAnsi"/>
          <w:sz w:val="20"/>
          <w:szCs w:val="20"/>
        </w:rPr>
        <w:t xml:space="preserve">and </w:t>
      </w:r>
      <w:r w:rsidR="00A43EF8" w:rsidRPr="00CE58F6">
        <w:rPr>
          <w:rFonts w:asciiTheme="majorHAnsi" w:hAnsiTheme="majorHAnsi"/>
          <w:sz w:val="20"/>
          <w:szCs w:val="20"/>
        </w:rPr>
        <w:t>Mr. Valle was again sentenced to death</w:t>
      </w:r>
      <w:r w:rsidR="00535F3F" w:rsidRPr="00CE58F6">
        <w:rPr>
          <w:rFonts w:asciiTheme="majorHAnsi" w:hAnsiTheme="majorHAnsi"/>
          <w:sz w:val="20"/>
          <w:szCs w:val="20"/>
        </w:rPr>
        <w:t>,</w:t>
      </w:r>
      <w:r w:rsidR="00A43EF8" w:rsidRPr="00CE58F6">
        <w:rPr>
          <w:rFonts w:asciiTheme="majorHAnsi" w:hAnsiTheme="majorHAnsi"/>
          <w:sz w:val="20"/>
          <w:szCs w:val="20"/>
        </w:rPr>
        <w:t xml:space="preserve"> and this was affirmed by the Florida Supreme Court.</w:t>
      </w:r>
      <w:r w:rsidR="00A43EF8" w:rsidRPr="00CE58F6">
        <w:rPr>
          <w:rStyle w:val="FootnoteReference"/>
          <w:rFonts w:asciiTheme="majorHAnsi" w:hAnsiTheme="majorHAnsi"/>
          <w:sz w:val="20"/>
          <w:szCs w:val="20"/>
        </w:rPr>
        <w:footnoteReference w:id="11"/>
      </w:r>
      <w:r w:rsidR="00B8475C" w:rsidRPr="00CE58F6">
        <w:rPr>
          <w:rFonts w:asciiTheme="majorHAnsi" w:hAnsiTheme="majorHAnsi"/>
          <w:sz w:val="20"/>
          <w:szCs w:val="20"/>
        </w:rPr>
        <w:t xml:space="preserve"> </w:t>
      </w:r>
    </w:p>
    <w:p w14:paraId="574CE559" w14:textId="77777777" w:rsidR="00600384" w:rsidRPr="00CE58F6" w:rsidRDefault="00600384" w:rsidP="0060038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3C075C3A" w14:textId="77777777" w:rsidR="00600384" w:rsidRPr="00CE58F6" w:rsidRDefault="00B8475C" w:rsidP="004607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 xml:space="preserve">The trial court thereafter summarily denied the motion for </w:t>
      </w:r>
      <w:r w:rsidR="008D287A" w:rsidRPr="00CE58F6">
        <w:rPr>
          <w:rFonts w:asciiTheme="majorHAnsi" w:hAnsiTheme="majorHAnsi"/>
          <w:sz w:val="20"/>
          <w:szCs w:val="20"/>
        </w:rPr>
        <w:t>post-conviction</w:t>
      </w:r>
      <w:r w:rsidRPr="00CE58F6">
        <w:rPr>
          <w:rFonts w:asciiTheme="majorHAnsi" w:hAnsiTheme="majorHAnsi"/>
          <w:sz w:val="20"/>
          <w:szCs w:val="20"/>
        </w:rPr>
        <w:t xml:space="preserve"> relief and the FSC</w:t>
      </w:r>
      <w:r w:rsidR="00D57BA3" w:rsidRPr="00CE58F6">
        <w:rPr>
          <w:rFonts w:asciiTheme="majorHAnsi" w:hAnsiTheme="majorHAnsi"/>
          <w:sz w:val="20"/>
          <w:szCs w:val="20"/>
        </w:rPr>
        <w:t xml:space="preserve"> affirmed in part and reversed in part this order, remanding the matter for evidentiary hearing.</w:t>
      </w:r>
      <w:r w:rsidR="00D57BA3" w:rsidRPr="00CE58F6">
        <w:rPr>
          <w:rStyle w:val="FootnoteReference"/>
          <w:rFonts w:asciiTheme="majorHAnsi" w:hAnsiTheme="majorHAnsi"/>
          <w:sz w:val="20"/>
          <w:szCs w:val="20"/>
        </w:rPr>
        <w:footnoteReference w:id="12"/>
      </w:r>
      <w:r w:rsidR="00D57BA3" w:rsidRPr="00CE58F6">
        <w:rPr>
          <w:rFonts w:asciiTheme="majorHAnsi" w:hAnsiTheme="majorHAnsi"/>
          <w:sz w:val="20"/>
          <w:szCs w:val="20"/>
        </w:rPr>
        <w:t xml:space="preserve"> </w:t>
      </w:r>
      <w:r w:rsidR="00535F3F" w:rsidRPr="00CE58F6">
        <w:rPr>
          <w:rFonts w:asciiTheme="majorHAnsi" w:hAnsiTheme="majorHAnsi"/>
          <w:sz w:val="20"/>
          <w:szCs w:val="20"/>
        </w:rPr>
        <w:t>Relief</w:t>
      </w:r>
      <w:r w:rsidR="00F34430" w:rsidRPr="00CE58F6">
        <w:rPr>
          <w:rFonts w:asciiTheme="majorHAnsi" w:hAnsiTheme="majorHAnsi"/>
          <w:sz w:val="20"/>
          <w:szCs w:val="20"/>
        </w:rPr>
        <w:t>,</w:t>
      </w:r>
      <w:r w:rsidR="00535F3F" w:rsidRPr="00CE58F6">
        <w:rPr>
          <w:rFonts w:asciiTheme="majorHAnsi" w:hAnsiTheme="majorHAnsi"/>
          <w:sz w:val="20"/>
          <w:szCs w:val="20"/>
        </w:rPr>
        <w:t xml:space="preserve"> however</w:t>
      </w:r>
      <w:r w:rsidR="00F34430" w:rsidRPr="00CE58F6">
        <w:rPr>
          <w:rFonts w:asciiTheme="majorHAnsi" w:hAnsiTheme="majorHAnsi"/>
          <w:sz w:val="20"/>
          <w:szCs w:val="20"/>
        </w:rPr>
        <w:t>,</w:t>
      </w:r>
      <w:r w:rsidR="00535F3F" w:rsidRPr="00CE58F6">
        <w:rPr>
          <w:rFonts w:asciiTheme="majorHAnsi" w:hAnsiTheme="majorHAnsi"/>
          <w:sz w:val="20"/>
          <w:szCs w:val="20"/>
        </w:rPr>
        <w:t xml:space="preserve"> was denied</w:t>
      </w:r>
      <w:r w:rsidR="00E90F4C" w:rsidRPr="00CE58F6">
        <w:rPr>
          <w:rFonts w:asciiTheme="majorHAnsi" w:hAnsiTheme="majorHAnsi"/>
          <w:sz w:val="20"/>
          <w:szCs w:val="20"/>
        </w:rPr>
        <w:t xml:space="preserve"> and the FSC affirmed</w:t>
      </w:r>
      <w:r w:rsidR="00535F3F" w:rsidRPr="00CE58F6">
        <w:rPr>
          <w:rFonts w:asciiTheme="majorHAnsi" w:hAnsiTheme="majorHAnsi"/>
          <w:sz w:val="20"/>
          <w:szCs w:val="20"/>
        </w:rPr>
        <w:t xml:space="preserve"> the decision.</w:t>
      </w:r>
      <w:r w:rsidR="00E90F4C" w:rsidRPr="00CE58F6">
        <w:rPr>
          <w:rStyle w:val="FootnoteReference"/>
          <w:rFonts w:asciiTheme="majorHAnsi" w:hAnsiTheme="majorHAnsi"/>
          <w:sz w:val="20"/>
          <w:szCs w:val="20"/>
        </w:rPr>
        <w:footnoteReference w:id="13"/>
      </w:r>
      <w:r w:rsidR="00E90F4C" w:rsidRPr="00CE58F6">
        <w:rPr>
          <w:rFonts w:asciiTheme="majorHAnsi" w:hAnsiTheme="majorHAnsi"/>
          <w:sz w:val="20"/>
          <w:szCs w:val="20"/>
        </w:rPr>
        <w:t xml:space="preserve"> </w:t>
      </w:r>
      <w:r w:rsidR="0005170B" w:rsidRPr="00CE58F6">
        <w:rPr>
          <w:rFonts w:asciiTheme="majorHAnsi" w:hAnsiTheme="majorHAnsi"/>
          <w:sz w:val="20"/>
          <w:szCs w:val="20"/>
        </w:rPr>
        <w:t xml:space="preserve">On February 21, 2003, Mr. Valle filed a petition for habeas corpus relief, which was denied by the District Court. </w:t>
      </w:r>
      <w:r w:rsidR="00737421" w:rsidRPr="00CE58F6">
        <w:rPr>
          <w:rFonts w:asciiTheme="majorHAnsi" w:hAnsiTheme="majorHAnsi"/>
          <w:sz w:val="20"/>
          <w:szCs w:val="20"/>
        </w:rPr>
        <w:t xml:space="preserve">Mr. Valle </w:t>
      </w:r>
      <w:r w:rsidR="00535F3F" w:rsidRPr="00CE58F6">
        <w:rPr>
          <w:rFonts w:asciiTheme="majorHAnsi" w:hAnsiTheme="majorHAnsi"/>
          <w:sz w:val="20"/>
          <w:szCs w:val="20"/>
        </w:rPr>
        <w:t xml:space="preserve">then </w:t>
      </w:r>
      <w:r w:rsidR="00737421" w:rsidRPr="00CE58F6">
        <w:rPr>
          <w:rFonts w:asciiTheme="majorHAnsi" w:hAnsiTheme="majorHAnsi"/>
          <w:sz w:val="20"/>
          <w:szCs w:val="20"/>
        </w:rPr>
        <w:t xml:space="preserve">appealed </w:t>
      </w:r>
      <w:r w:rsidR="00535F3F" w:rsidRPr="00CE58F6">
        <w:rPr>
          <w:rFonts w:asciiTheme="majorHAnsi" w:hAnsiTheme="majorHAnsi"/>
          <w:sz w:val="20"/>
          <w:szCs w:val="20"/>
        </w:rPr>
        <w:t xml:space="preserve">this decision </w:t>
      </w:r>
      <w:r w:rsidR="00737421" w:rsidRPr="00CE58F6">
        <w:rPr>
          <w:rFonts w:asciiTheme="majorHAnsi" w:hAnsiTheme="majorHAnsi"/>
          <w:sz w:val="20"/>
          <w:szCs w:val="20"/>
        </w:rPr>
        <w:t>and the Eleventh Circuit Court of Appeals affirmed the denial of habeas corpus relief.</w:t>
      </w:r>
      <w:r w:rsidR="00737421" w:rsidRPr="00CE58F6">
        <w:rPr>
          <w:rStyle w:val="FootnoteReference"/>
          <w:rFonts w:asciiTheme="majorHAnsi" w:hAnsiTheme="majorHAnsi"/>
          <w:sz w:val="20"/>
          <w:szCs w:val="20"/>
        </w:rPr>
        <w:footnoteReference w:id="14"/>
      </w:r>
      <w:r w:rsidR="00737421" w:rsidRPr="00CE58F6">
        <w:rPr>
          <w:rFonts w:asciiTheme="majorHAnsi" w:hAnsiTheme="majorHAnsi"/>
          <w:sz w:val="20"/>
          <w:szCs w:val="20"/>
        </w:rPr>
        <w:t xml:space="preserve"> </w:t>
      </w:r>
      <w:r w:rsidR="00AE61D8" w:rsidRPr="00CE58F6">
        <w:rPr>
          <w:rFonts w:asciiTheme="majorHAnsi" w:hAnsiTheme="majorHAnsi"/>
          <w:sz w:val="20"/>
          <w:szCs w:val="20"/>
        </w:rPr>
        <w:t>A motion for rehearing and rehearing en banc was also denied on August 11, 2007</w:t>
      </w:r>
      <w:r w:rsidR="007059E7" w:rsidRPr="00CE58F6">
        <w:rPr>
          <w:rFonts w:asciiTheme="majorHAnsi" w:hAnsiTheme="majorHAnsi"/>
          <w:sz w:val="20"/>
          <w:szCs w:val="20"/>
        </w:rPr>
        <w:t>,</w:t>
      </w:r>
      <w:r w:rsidR="007059E7" w:rsidRPr="00CE58F6">
        <w:rPr>
          <w:rStyle w:val="FootnoteReference"/>
          <w:rFonts w:asciiTheme="majorHAnsi" w:hAnsiTheme="majorHAnsi"/>
          <w:sz w:val="20"/>
          <w:szCs w:val="20"/>
        </w:rPr>
        <w:footnoteReference w:id="15"/>
      </w:r>
      <w:r w:rsidR="00AE61D8" w:rsidRPr="00CE58F6">
        <w:rPr>
          <w:rFonts w:asciiTheme="majorHAnsi" w:hAnsiTheme="majorHAnsi"/>
          <w:sz w:val="20"/>
          <w:szCs w:val="20"/>
        </w:rPr>
        <w:t xml:space="preserve"> and on October 1, 2007</w:t>
      </w:r>
      <w:r w:rsidR="00F34430" w:rsidRPr="00CE58F6">
        <w:rPr>
          <w:rFonts w:asciiTheme="majorHAnsi" w:hAnsiTheme="majorHAnsi"/>
          <w:sz w:val="20"/>
          <w:szCs w:val="20"/>
        </w:rPr>
        <w:t>,</w:t>
      </w:r>
      <w:r w:rsidR="00AE61D8" w:rsidRPr="00CE58F6">
        <w:rPr>
          <w:rFonts w:asciiTheme="majorHAnsi" w:hAnsiTheme="majorHAnsi"/>
          <w:sz w:val="20"/>
          <w:szCs w:val="20"/>
        </w:rPr>
        <w:t xml:space="preserve"> the US Supreme Court denied certiorari review</w:t>
      </w:r>
      <w:r w:rsidR="007059E7" w:rsidRPr="00CE58F6">
        <w:rPr>
          <w:rFonts w:asciiTheme="majorHAnsi" w:hAnsiTheme="majorHAnsi"/>
          <w:sz w:val="20"/>
          <w:szCs w:val="20"/>
        </w:rPr>
        <w:t>.</w:t>
      </w:r>
      <w:r w:rsidR="00E25486" w:rsidRPr="00CE58F6">
        <w:rPr>
          <w:rStyle w:val="FootnoteReference"/>
          <w:rFonts w:asciiTheme="majorHAnsi" w:hAnsiTheme="majorHAnsi"/>
          <w:sz w:val="20"/>
          <w:szCs w:val="20"/>
        </w:rPr>
        <w:footnoteReference w:id="16"/>
      </w:r>
      <w:r w:rsidR="00460794" w:rsidRPr="00CE58F6">
        <w:rPr>
          <w:rFonts w:asciiTheme="majorHAnsi" w:hAnsiTheme="majorHAnsi"/>
          <w:sz w:val="20"/>
          <w:szCs w:val="20"/>
        </w:rPr>
        <w:t xml:space="preserve"> </w:t>
      </w:r>
    </w:p>
    <w:p w14:paraId="0169EF32" w14:textId="77777777" w:rsidR="00600384" w:rsidRPr="00CE58F6" w:rsidRDefault="00600384" w:rsidP="0060038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580A07A3" w14:textId="77777777" w:rsidR="00460794" w:rsidRPr="00CE58F6" w:rsidRDefault="00600384" w:rsidP="004607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 xml:space="preserve">After a death warrant was signed by the Governor of Florida in 2011, </w:t>
      </w:r>
      <w:r w:rsidR="00460794" w:rsidRPr="00CE58F6">
        <w:rPr>
          <w:rFonts w:asciiTheme="majorHAnsi" w:hAnsiTheme="majorHAnsi"/>
          <w:sz w:val="20"/>
          <w:szCs w:val="20"/>
        </w:rPr>
        <w:t xml:space="preserve">Mr. Valle filed an amended motion for post conviction relief, </w:t>
      </w:r>
      <w:r w:rsidR="00942138" w:rsidRPr="00CE58F6">
        <w:rPr>
          <w:rFonts w:asciiTheme="majorHAnsi" w:hAnsiTheme="majorHAnsi"/>
          <w:sz w:val="20"/>
          <w:szCs w:val="20"/>
        </w:rPr>
        <w:t>primarily</w:t>
      </w:r>
      <w:r w:rsidR="00460794" w:rsidRPr="00CE58F6">
        <w:rPr>
          <w:rFonts w:asciiTheme="majorHAnsi" w:hAnsiTheme="majorHAnsi"/>
          <w:sz w:val="20"/>
          <w:szCs w:val="20"/>
        </w:rPr>
        <w:t xml:space="preserve"> regarding the efficacy of pentobarbital </w:t>
      </w:r>
      <w:r w:rsidR="00024818" w:rsidRPr="00CE58F6">
        <w:rPr>
          <w:rFonts w:asciiTheme="majorHAnsi" w:hAnsiTheme="majorHAnsi"/>
          <w:sz w:val="20"/>
          <w:szCs w:val="20"/>
        </w:rPr>
        <w:t>drug used within the lethal injection, to render an inmate unconscious</w:t>
      </w:r>
      <w:r w:rsidR="00460794" w:rsidRPr="00CE58F6">
        <w:rPr>
          <w:rStyle w:val="FootnoteReference"/>
          <w:rFonts w:asciiTheme="majorHAnsi" w:hAnsiTheme="majorHAnsi"/>
          <w:sz w:val="20"/>
          <w:szCs w:val="20"/>
        </w:rPr>
        <w:footnoteReference w:id="17"/>
      </w:r>
      <w:r w:rsidR="00460794" w:rsidRPr="00CE58F6">
        <w:rPr>
          <w:rFonts w:asciiTheme="majorHAnsi" w:hAnsiTheme="majorHAnsi"/>
          <w:sz w:val="20"/>
          <w:szCs w:val="20"/>
        </w:rPr>
        <w:t xml:space="preserve">.  The summary denial was appealed to the FSC, which </w:t>
      </w:r>
      <w:r w:rsidR="00520FB9" w:rsidRPr="00CE58F6">
        <w:rPr>
          <w:rFonts w:asciiTheme="majorHAnsi" w:hAnsiTheme="majorHAnsi"/>
          <w:sz w:val="20"/>
          <w:szCs w:val="20"/>
        </w:rPr>
        <w:t xml:space="preserve">granted </w:t>
      </w:r>
      <w:r w:rsidR="00460794" w:rsidRPr="00CE58F6">
        <w:rPr>
          <w:rFonts w:asciiTheme="majorHAnsi" w:hAnsiTheme="majorHAnsi"/>
          <w:sz w:val="20"/>
          <w:szCs w:val="20"/>
        </w:rPr>
        <w:t xml:space="preserve">stay of execution </w:t>
      </w:r>
      <w:r w:rsidR="00520FB9" w:rsidRPr="00CE58F6">
        <w:rPr>
          <w:rFonts w:asciiTheme="majorHAnsi" w:hAnsiTheme="majorHAnsi"/>
          <w:sz w:val="20"/>
          <w:szCs w:val="20"/>
        </w:rPr>
        <w:t>until September 1, 2011, to remand t</w:t>
      </w:r>
      <w:r w:rsidR="00460794" w:rsidRPr="00CE58F6">
        <w:rPr>
          <w:rFonts w:asciiTheme="majorHAnsi" w:hAnsiTheme="majorHAnsi"/>
          <w:sz w:val="20"/>
          <w:szCs w:val="20"/>
        </w:rPr>
        <w:t>he matter to the Circuit court</w:t>
      </w:r>
      <w:r w:rsidR="00520FB9" w:rsidRPr="00CE58F6">
        <w:rPr>
          <w:rFonts w:asciiTheme="majorHAnsi" w:hAnsiTheme="majorHAnsi"/>
          <w:sz w:val="20"/>
          <w:szCs w:val="20"/>
        </w:rPr>
        <w:t xml:space="preserve"> for an evidentiary hearing</w:t>
      </w:r>
      <w:r w:rsidR="00460794" w:rsidRPr="00CE58F6">
        <w:rPr>
          <w:rFonts w:asciiTheme="majorHAnsi" w:hAnsiTheme="majorHAnsi"/>
          <w:sz w:val="20"/>
          <w:szCs w:val="20"/>
        </w:rPr>
        <w:t xml:space="preserve">. </w:t>
      </w:r>
    </w:p>
    <w:p w14:paraId="13D3D415" w14:textId="77777777" w:rsidR="00460794" w:rsidRPr="00CE58F6" w:rsidRDefault="00460794" w:rsidP="0046079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407BDCBB" w14:textId="77777777" w:rsidR="002F30A3" w:rsidRPr="00CE58F6" w:rsidRDefault="00460794" w:rsidP="004607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lastRenderedPageBreak/>
        <w:t xml:space="preserve">The Circuit Court conducted the evidentiary hearing on July 28 and August 2, 2011 </w:t>
      </w:r>
      <w:r w:rsidR="008950C5" w:rsidRPr="00CE58F6">
        <w:rPr>
          <w:rFonts w:asciiTheme="majorHAnsi" w:hAnsiTheme="majorHAnsi"/>
          <w:sz w:val="20"/>
          <w:szCs w:val="20"/>
        </w:rPr>
        <w:t>and denied the claim</w:t>
      </w:r>
      <w:r w:rsidRPr="00CE58F6">
        <w:rPr>
          <w:rFonts w:asciiTheme="majorHAnsi" w:hAnsiTheme="majorHAnsi"/>
          <w:sz w:val="20"/>
          <w:szCs w:val="20"/>
        </w:rPr>
        <w:t>. The matter was returned to the FSC to consider all issues raised on appeal</w:t>
      </w:r>
      <w:r w:rsidR="00F34430" w:rsidRPr="00CE58F6">
        <w:rPr>
          <w:rFonts w:asciiTheme="majorHAnsi" w:hAnsiTheme="majorHAnsi"/>
          <w:sz w:val="20"/>
          <w:szCs w:val="20"/>
        </w:rPr>
        <w:t>.</w:t>
      </w:r>
      <w:r w:rsidRPr="00CE58F6">
        <w:rPr>
          <w:rStyle w:val="FootnoteReference"/>
          <w:rFonts w:asciiTheme="majorHAnsi" w:hAnsiTheme="majorHAnsi"/>
          <w:sz w:val="20"/>
          <w:szCs w:val="20"/>
        </w:rPr>
        <w:footnoteReference w:id="18"/>
      </w:r>
      <w:r w:rsidRPr="00CE58F6">
        <w:rPr>
          <w:rFonts w:asciiTheme="majorHAnsi" w:hAnsiTheme="majorHAnsi"/>
          <w:sz w:val="20"/>
          <w:szCs w:val="20"/>
        </w:rPr>
        <w:t xml:space="preserve"> Having considered the claims and various assertions, the FSC affirmed the Circuit Court’s denial.</w:t>
      </w:r>
    </w:p>
    <w:p w14:paraId="6ACFC720" w14:textId="77777777" w:rsidR="002F30A3" w:rsidRPr="00CE58F6" w:rsidRDefault="002F30A3" w:rsidP="002F30A3">
      <w:pPr>
        <w:pStyle w:val="ListParagraph"/>
        <w:rPr>
          <w:rFonts w:asciiTheme="majorHAnsi" w:hAnsiTheme="majorHAnsi"/>
          <w:color w:val="FF0000"/>
          <w:sz w:val="20"/>
          <w:szCs w:val="20"/>
        </w:rPr>
      </w:pPr>
    </w:p>
    <w:p w14:paraId="4017049F" w14:textId="77777777" w:rsidR="002F30A3" w:rsidRPr="00CE58F6" w:rsidRDefault="002F30A3" w:rsidP="002F30A3">
      <w:pPr>
        <w:pStyle w:val="parrafos"/>
        <w:numPr>
          <w:ilvl w:val="0"/>
          <w:numId w:val="55"/>
        </w:numPr>
        <w:ind w:left="0" w:firstLine="0"/>
      </w:pPr>
      <w:r w:rsidRPr="00CE58F6">
        <w:t xml:space="preserve">Based on the above factors, the Inter-American Commission concludes that the alleged victim properly exhausted domestic remedies available within the domestic legal system and, therefore, that </w:t>
      </w:r>
      <w:r w:rsidR="00F34430" w:rsidRPr="00CE58F6">
        <w:t xml:space="preserve">the </w:t>
      </w:r>
      <w:r w:rsidRPr="00CE58F6">
        <w:t xml:space="preserve">claims before the Commission are not barred from consideration by the requirement of exhaustion of domestic remedies under Article 31(1) of its Rules of Procedure. </w:t>
      </w:r>
    </w:p>
    <w:p w14:paraId="4E19141D" w14:textId="77777777" w:rsidR="002F30A3" w:rsidRPr="00CE58F6" w:rsidRDefault="002F30A3" w:rsidP="002F30A3">
      <w:pPr>
        <w:pStyle w:val="ListParagraph"/>
      </w:pPr>
    </w:p>
    <w:p w14:paraId="332579E6" w14:textId="77777777" w:rsidR="002F30A3" w:rsidRPr="00CE58F6" w:rsidRDefault="002F30A3" w:rsidP="002F30A3">
      <w:pPr>
        <w:pStyle w:val="parrafos"/>
        <w:numPr>
          <w:ilvl w:val="0"/>
          <w:numId w:val="55"/>
        </w:numPr>
        <w:ind w:left="0" w:firstLine="0"/>
      </w:pPr>
      <w:r w:rsidRPr="00CE58F6">
        <w:t xml:space="preserve">The petition before the IACHR was presented on </w:t>
      </w:r>
      <w:r w:rsidR="009740BE" w:rsidRPr="00CE58F6">
        <w:t>August 10</w:t>
      </w:r>
      <w:r w:rsidRPr="00CE58F6">
        <w:t xml:space="preserve">, 2011. The </w:t>
      </w:r>
      <w:r w:rsidR="00262FF2" w:rsidRPr="00CE58F6">
        <w:t xml:space="preserve">Circuit Court denied </w:t>
      </w:r>
      <w:r w:rsidRPr="00CE58F6">
        <w:t xml:space="preserve">the </w:t>
      </w:r>
      <w:r w:rsidR="00262FF2" w:rsidRPr="00CE58F6">
        <w:t xml:space="preserve">final </w:t>
      </w:r>
      <w:r w:rsidR="008D287A" w:rsidRPr="00CE58F6">
        <w:t>post-conviction</w:t>
      </w:r>
      <w:r w:rsidR="00262FF2" w:rsidRPr="00CE58F6">
        <w:t xml:space="preserve"> relief in August 2011</w:t>
      </w:r>
      <w:r w:rsidRPr="00CE58F6">
        <w:t xml:space="preserve">. The Commission therefore concludes that the requirement specified in Article 32(1) of its Rules of Procedure has been met. </w:t>
      </w:r>
    </w:p>
    <w:p w14:paraId="3FC22C78" w14:textId="77777777" w:rsidR="00D20BFA" w:rsidRPr="00CE58F6" w:rsidRDefault="00D20BFA" w:rsidP="00EC55EA">
      <w:pPr>
        <w:pStyle w:val="parrafos"/>
        <w:ind w:left="0" w:firstLine="0"/>
      </w:pPr>
    </w:p>
    <w:p w14:paraId="1730CF1D" w14:textId="77777777" w:rsidR="00F516D3" w:rsidRPr="00CE58F6" w:rsidRDefault="00F516D3" w:rsidP="00EC55EA">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9" w:name="_Toc7602625"/>
      <w:bookmarkStart w:id="10" w:name="_Toc90291505"/>
      <w:bookmarkStart w:id="11" w:name="_Toc6349144"/>
      <w:r w:rsidRPr="00CE58F6">
        <w:rPr>
          <w:rFonts w:cs="Times New Roman"/>
          <w:color w:val="auto"/>
          <w:sz w:val="20"/>
          <w:szCs w:val="20"/>
        </w:rPr>
        <w:t>Colorable claim</w:t>
      </w:r>
      <w:bookmarkEnd w:id="9"/>
      <w:bookmarkEnd w:id="10"/>
      <w:r w:rsidRPr="00CE58F6">
        <w:rPr>
          <w:rFonts w:cs="Times New Roman"/>
          <w:color w:val="auto"/>
          <w:sz w:val="20"/>
          <w:szCs w:val="20"/>
        </w:rPr>
        <w:t xml:space="preserve"> </w:t>
      </w:r>
      <w:bookmarkEnd w:id="11"/>
    </w:p>
    <w:p w14:paraId="46864501" w14:textId="77777777" w:rsidR="00764470" w:rsidRPr="00CE58F6" w:rsidRDefault="00764470" w:rsidP="00EC55EA">
      <w:pPr>
        <w:rPr>
          <w:rFonts w:asciiTheme="majorHAnsi" w:hAnsiTheme="majorHAnsi"/>
          <w:sz w:val="20"/>
          <w:szCs w:val="20"/>
        </w:rPr>
      </w:pPr>
    </w:p>
    <w:p w14:paraId="28121D6B" w14:textId="77777777" w:rsidR="008277A8" w:rsidRPr="00CE58F6" w:rsidRDefault="00764470"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CE58F6">
        <w:rPr>
          <w:rFonts w:asciiTheme="majorHAnsi" w:hAnsiTheme="majorHAnsi"/>
          <w:sz w:val="20"/>
          <w:szCs w:val="20"/>
        </w:rPr>
        <w:t xml:space="preserve">The Commission considers that, if proven, the facts alleged would tend to establish violations of the rights set forth in </w:t>
      </w:r>
      <w:r w:rsidR="00CF0A29" w:rsidRPr="00CE58F6">
        <w:rPr>
          <w:rFonts w:asciiTheme="majorHAnsi" w:hAnsiTheme="majorHAnsi"/>
          <w:sz w:val="20"/>
          <w:szCs w:val="20"/>
        </w:rPr>
        <w:t>Articles</w:t>
      </w:r>
      <w:r w:rsidR="00550FAA" w:rsidRPr="00CE58F6">
        <w:rPr>
          <w:rFonts w:asciiTheme="majorHAnsi" w:hAnsiTheme="majorHAnsi"/>
          <w:sz w:val="20"/>
          <w:szCs w:val="20"/>
        </w:rPr>
        <w:t xml:space="preserve"> </w:t>
      </w:r>
      <w:r w:rsidR="00343330" w:rsidRPr="00CE58F6">
        <w:rPr>
          <w:rFonts w:asciiTheme="majorHAnsi" w:hAnsiTheme="majorHAnsi"/>
          <w:sz w:val="20"/>
          <w:szCs w:val="20"/>
        </w:rPr>
        <w:t xml:space="preserve">I, XVII, </w:t>
      </w:r>
      <w:r w:rsidR="00C14F39" w:rsidRPr="00CE58F6">
        <w:rPr>
          <w:rFonts w:asciiTheme="majorHAnsi" w:hAnsiTheme="majorHAnsi"/>
          <w:sz w:val="20"/>
          <w:szCs w:val="20"/>
        </w:rPr>
        <w:t>XXIV,</w:t>
      </w:r>
      <w:r w:rsidR="00343330" w:rsidRPr="00CE58F6">
        <w:rPr>
          <w:rFonts w:asciiTheme="majorHAnsi" w:hAnsiTheme="majorHAnsi"/>
          <w:sz w:val="20"/>
          <w:szCs w:val="20"/>
        </w:rPr>
        <w:t xml:space="preserve"> XXVI </w:t>
      </w:r>
      <w:r w:rsidR="00C14F39" w:rsidRPr="00CE58F6">
        <w:rPr>
          <w:rFonts w:asciiTheme="majorHAnsi" w:hAnsiTheme="majorHAnsi"/>
          <w:sz w:val="20"/>
          <w:szCs w:val="20"/>
        </w:rPr>
        <w:t xml:space="preserve">and </w:t>
      </w:r>
      <w:r w:rsidR="00C14F39" w:rsidRPr="00CE58F6">
        <w:rPr>
          <w:rFonts w:ascii="Cambria" w:hAnsi="Cambria"/>
          <w:sz w:val="20"/>
          <w:szCs w:val="20"/>
        </w:rPr>
        <w:t xml:space="preserve">XVIII </w:t>
      </w:r>
      <w:r w:rsidRPr="00CE58F6">
        <w:rPr>
          <w:rFonts w:asciiTheme="majorHAnsi" w:hAnsiTheme="majorHAnsi"/>
          <w:sz w:val="20"/>
          <w:szCs w:val="20"/>
        </w:rPr>
        <w:t>of the American Declaration,</w:t>
      </w:r>
      <w:r w:rsidR="005B1DBA" w:rsidRPr="00CE58F6">
        <w:rPr>
          <w:rFonts w:asciiTheme="majorHAnsi" w:hAnsiTheme="majorHAnsi"/>
          <w:sz w:val="20"/>
          <w:szCs w:val="20"/>
        </w:rPr>
        <w:t xml:space="preserve"> to the detriment of </w:t>
      </w:r>
      <w:r w:rsidR="00AF40A7" w:rsidRPr="00CE58F6">
        <w:rPr>
          <w:rFonts w:asciiTheme="majorHAnsi" w:hAnsiTheme="majorHAnsi"/>
          <w:sz w:val="20"/>
          <w:szCs w:val="20"/>
        </w:rPr>
        <w:t xml:space="preserve">Mr. </w:t>
      </w:r>
      <w:r w:rsidR="00343330" w:rsidRPr="00CE58F6">
        <w:rPr>
          <w:rFonts w:asciiTheme="majorHAnsi" w:hAnsiTheme="majorHAnsi"/>
          <w:sz w:val="20"/>
          <w:szCs w:val="20"/>
        </w:rPr>
        <w:t>Valle</w:t>
      </w:r>
      <w:r w:rsidRPr="00CE58F6">
        <w:rPr>
          <w:rFonts w:asciiTheme="majorHAnsi" w:hAnsiTheme="majorHAnsi"/>
          <w:sz w:val="20"/>
          <w:szCs w:val="20"/>
        </w:rPr>
        <w:t xml:space="preserve">. </w:t>
      </w:r>
    </w:p>
    <w:p w14:paraId="59FF547B" w14:textId="77777777" w:rsidR="00B41B62" w:rsidRPr="00CE58F6" w:rsidRDefault="00B41B62" w:rsidP="00EC55EA">
      <w:pPr>
        <w:pStyle w:val="ListParagraph"/>
        <w:rPr>
          <w:rFonts w:asciiTheme="majorHAnsi" w:hAnsiTheme="majorHAnsi"/>
          <w:sz w:val="20"/>
          <w:szCs w:val="20"/>
        </w:rPr>
      </w:pPr>
    </w:p>
    <w:p w14:paraId="3358DEE2" w14:textId="77777777" w:rsidR="00F40F3F" w:rsidRPr="00CE58F6" w:rsidRDefault="00F516D3" w:rsidP="00EC55EA">
      <w:pPr>
        <w:pStyle w:val="Heading1"/>
        <w:tabs>
          <w:tab w:val="left" w:pos="360"/>
        </w:tabs>
        <w:spacing w:before="0"/>
        <w:ind w:hanging="720"/>
        <w:rPr>
          <w:color w:val="auto"/>
          <w:sz w:val="20"/>
          <w:szCs w:val="20"/>
        </w:rPr>
      </w:pPr>
      <w:bookmarkStart w:id="12" w:name="_Toc90291506"/>
      <w:r w:rsidRPr="00CE58F6">
        <w:rPr>
          <w:color w:val="auto"/>
          <w:sz w:val="20"/>
          <w:szCs w:val="20"/>
        </w:rPr>
        <w:t>FINDINGS OF FACT</w:t>
      </w:r>
      <w:bookmarkEnd w:id="12"/>
    </w:p>
    <w:p w14:paraId="736B42AA" w14:textId="77777777" w:rsidR="003963B7" w:rsidRPr="00CE58F6" w:rsidRDefault="003963B7" w:rsidP="00EC55EA">
      <w:pPr>
        <w:rPr>
          <w:rFonts w:asciiTheme="majorHAnsi" w:hAnsiTheme="majorHAnsi"/>
          <w:sz w:val="20"/>
          <w:szCs w:val="20"/>
        </w:rPr>
      </w:pPr>
    </w:p>
    <w:p w14:paraId="74E9674B" w14:textId="77777777" w:rsidR="00DA249D" w:rsidRPr="00CE58F6" w:rsidRDefault="00DA249D" w:rsidP="00EC55EA">
      <w:pPr>
        <w:pStyle w:val="Heading2"/>
        <w:numPr>
          <w:ilvl w:val="0"/>
          <w:numId w:val="58"/>
        </w:numPr>
        <w:tabs>
          <w:tab w:val="left" w:pos="360"/>
        </w:tabs>
        <w:spacing w:before="0"/>
        <w:ind w:hanging="720"/>
        <w:rPr>
          <w:color w:val="auto"/>
          <w:sz w:val="20"/>
          <w:szCs w:val="20"/>
        </w:rPr>
      </w:pPr>
      <w:bookmarkStart w:id="13" w:name="_Toc26881333"/>
      <w:bookmarkStart w:id="14" w:name="_Toc90291507"/>
      <w:r w:rsidRPr="00CE58F6">
        <w:rPr>
          <w:color w:val="auto"/>
          <w:sz w:val="20"/>
          <w:szCs w:val="20"/>
        </w:rPr>
        <w:t>Facts of the case</w:t>
      </w:r>
      <w:bookmarkEnd w:id="13"/>
      <w:bookmarkEnd w:id="14"/>
    </w:p>
    <w:p w14:paraId="392CAC0C" w14:textId="77777777" w:rsidR="00D9253C" w:rsidRPr="00CE58F6" w:rsidRDefault="00D9253C" w:rsidP="00D9253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01D10F52" w14:textId="77777777" w:rsidR="00034456" w:rsidRPr="00CE58F6" w:rsidRDefault="00D9253C" w:rsidP="007015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According to the procedural history as recorded by the Supreme Court of Florida (FSC)</w:t>
      </w:r>
      <w:r w:rsidR="00AE078A" w:rsidRPr="00CE58F6">
        <w:rPr>
          <w:rFonts w:asciiTheme="majorHAnsi" w:hAnsiTheme="majorHAnsi"/>
          <w:sz w:val="20"/>
          <w:szCs w:val="20"/>
        </w:rPr>
        <w:t>,</w:t>
      </w:r>
      <w:r w:rsidRPr="00CE58F6">
        <w:rPr>
          <w:rStyle w:val="FootnoteReference"/>
          <w:rFonts w:asciiTheme="majorHAnsi" w:hAnsiTheme="majorHAnsi"/>
          <w:sz w:val="20"/>
          <w:szCs w:val="20"/>
        </w:rPr>
        <w:footnoteReference w:id="19"/>
      </w:r>
      <w:r w:rsidRPr="00CE58F6">
        <w:rPr>
          <w:rFonts w:asciiTheme="majorHAnsi" w:hAnsiTheme="majorHAnsi"/>
          <w:sz w:val="20"/>
          <w:szCs w:val="20"/>
        </w:rPr>
        <w:t xml:space="preserve"> on April 2, 1978, Mr.</w:t>
      </w:r>
      <w:r w:rsidR="007E160F" w:rsidRPr="00CE58F6">
        <w:rPr>
          <w:rFonts w:asciiTheme="majorHAnsi" w:hAnsiTheme="majorHAnsi"/>
          <w:sz w:val="20"/>
          <w:szCs w:val="20"/>
        </w:rPr>
        <w:t xml:space="preserve"> Valle</w:t>
      </w:r>
      <w:r w:rsidR="00757D5A" w:rsidRPr="00CE58F6">
        <w:rPr>
          <w:rFonts w:asciiTheme="majorHAnsi" w:hAnsiTheme="majorHAnsi"/>
          <w:sz w:val="20"/>
          <w:szCs w:val="20"/>
        </w:rPr>
        <w:t xml:space="preserve"> shot two police officers. One </w:t>
      </w:r>
      <w:r w:rsidR="00AE078A" w:rsidRPr="00CE58F6">
        <w:rPr>
          <w:rFonts w:asciiTheme="majorHAnsi" w:hAnsiTheme="majorHAnsi"/>
          <w:sz w:val="20"/>
          <w:szCs w:val="20"/>
        </w:rPr>
        <w:t>o</w:t>
      </w:r>
      <w:r w:rsidR="007E160F" w:rsidRPr="00CE58F6">
        <w:rPr>
          <w:rFonts w:asciiTheme="majorHAnsi" w:hAnsiTheme="majorHAnsi"/>
          <w:sz w:val="20"/>
          <w:szCs w:val="20"/>
        </w:rPr>
        <w:t>fficer, Louis Pena stopped Mr. Valle</w:t>
      </w:r>
      <w:r w:rsidR="00757D5A" w:rsidRPr="00CE58F6">
        <w:rPr>
          <w:rFonts w:asciiTheme="majorHAnsi" w:hAnsiTheme="majorHAnsi"/>
          <w:sz w:val="20"/>
          <w:szCs w:val="20"/>
        </w:rPr>
        <w:t xml:space="preserve"> for a traffic violation and when he initiated a vehicle registration check on the stolen car Mr. Valle was driving, Mr. Valle retrieved a gun and shot the </w:t>
      </w:r>
      <w:r w:rsidR="00AE078A" w:rsidRPr="00CE58F6">
        <w:rPr>
          <w:rFonts w:asciiTheme="majorHAnsi" w:hAnsiTheme="majorHAnsi"/>
          <w:sz w:val="20"/>
          <w:szCs w:val="20"/>
        </w:rPr>
        <w:t>o</w:t>
      </w:r>
      <w:r w:rsidR="00757D5A" w:rsidRPr="00CE58F6">
        <w:rPr>
          <w:rFonts w:asciiTheme="majorHAnsi" w:hAnsiTheme="majorHAnsi"/>
          <w:sz w:val="20"/>
          <w:szCs w:val="20"/>
        </w:rPr>
        <w:t>fficer</w:t>
      </w:r>
      <w:r w:rsidR="007015C1" w:rsidRPr="00CE58F6">
        <w:rPr>
          <w:rFonts w:asciiTheme="majorHAnsi" w:hAnsiTheme="majorHAnsi"/>
          <w:sz w:val="20"/>
          <w:szCs w:val="20"/>
        </w:rPr>
        <w:t xml:space="preserve">. </w:t>
      </w:r>
      <w:r w:rsidR="00757D5A" w:rsidRPr="00CE58F6">
        <w:rPr>
          <w:rFonts w:asciiTheme="majorHAnsi" w:hAnsiTheme="majorHAnsi"/>
          <w:sz w:val="20"/>
          <w:szCs w:val="20"/>
        </w:rPr>
        <w:t xml:space="preserve">Officer Louis Pena died. </w:t>
      </w:r>
      <w:r w:rsidR="007015C1" w:rsidRPr="00CE58F6">
        <w:rPr>
          <w:rFonts w:asciiTheme="majorHAnsi" w:hAnsiTheme="majorHAnsi"/>
          <w:sz w:val="20"/>
          <w:szCs w:val="20"/>
        </w:rPr>
        <w:t xml:space="preserve">Mr. Valle </w:t>
      </w:r>
      <w:r w:rsidR="00757D5A" w:rsidRPr="00CE58F6">
        <w:rPr>
          <w:rFonts w:asciiTheme="majorHAnsi" w:hAnsiTheme="majorHAnsi"/>
          <w:sz w:val="20"/>
          <w:szCs w:val="20"/>
        </w:rPr>
        <w:t xml:space="preserve">then shot the accompanying </w:t>
      </w:r>
      <w:r w:rsidR="00AE078A" w:rsidRPr="00CE58F6">
        <w:rPr>
          <w:rFonts w:asciiTheme="majorHAnsi" w:hAnsiTheme="majorHAnsi"/>
          <w:sz w:val="20"/>
          <w:szCs w:val="20"/>
        </w:rPr>
        <w:t>o</w:t>
      </w:r>
      <w:r w:rsidR="00757D5A" w:rsidRPr="00CE58F6">
        <w:rPr>
          <w:rFonts w:asciiTheme="majorHAnsi" w:hAnsiTheme="majorHAnsi"/>
          <w:sz w:val="20"/>
          <w:szCs w:val="20"/>
        </w:rPr>
        <w:t xml:space="preserve">fficer, Gary Spell. </w:t>
      </w:r>
    </w:p>
    <w:p w14:paraId="4C4570CA" w14:textId="77777777" w:rsidR="00034456" w:rsidRPr="00CE58F6" w:rsidRDefault="00034456" w:rsidP="0003445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1F04D179" w14:textId="77777777" w:rsidR="00A7718F" w:rsidRPr="00CE58F6" w:rsidRDefault="007015C1" w:rsidP="007015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 xml:space="preserve">Mr. Valle </w:t>
      </w:r>
      <w:r w:rsidR="00D9253C" w:rsidRPr="00CE58F6">
        <w:rPr>
          <w:rFonts w:asciiTheme="majorHAnsi" w:hAnsiTheme="majorHAnsi"/>
          <w:sz w:val="20"/>
          <w:szCs w:val="20"/>
        </w:rPr>
        <w:t xml:space="preserve">was later charged with the first-degree murder of one police officer, Louis Pena, and the attempted first-degree murder of another, Gary Spell. He was also charged with possession of a firearm by a convicted felon. </w:t>
      </w:r>
    </w:p>
    <w:p w14:paraId="16E4E281" w14:textId="77777777" w:rsidR="004600B6" w:rsidRPr="00CE58F6" w:rsidRDefault="004600B6" w:rsidP="00902C3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65D236A5" w14:textId="77777777" w:rsidR="00DC7C8C" w:rsidRPr="00CE58F6" w:rsidRDefault="009D44D1" w:rsidP="00EC55EA">
      <w:pPr>
        <w:pStyle w:val="Heading2"/>
        <w:numPr>
          <w:ilvl w:val="0"/>
          <w:numId w:val="58"/>
        </w:numPr>
        <w:tabs>
          <w:tab w:val="left" w:pos="360"/>
        </w:tabs>
        <w:spacing w:before="0"/>
        <w:ind w:hanging="720"/>
        <w:rPr>
          <w:color w:val="auto"/>
          <w:sz w:val="20"/>
          <w:szCs w:val="20"/>
        </w:rPr>
      </w:pPr>
      <w:bookmarkStart w:id="15" w:name="_Toc90291508"/>
      <w:r w:rsidRPr="00CE58F6">
        <w:rPr>
          <w:color w:val="auto"/>
          <w:sz w:val="20"/>
          <w:szCs w:val="20"/>
        </w:rPr>
        <w:t>Trial and death sentence</w:t>
      </w:r>
      <w:bookmarkEnd w:id="15"/>
    </w:p>
    <w:p w14:paraId="4C87323B" w14:textId="77777777" w:rsidR="00021557" w:rsidRPr="00CE58F6" w:rsidRDefault="00021557" w:rsidP="00EC55EA"/>
    <w:p w14:paraId="799ED68D" w14:textId="77777777" w:rsidR="00167E2C" w:rsidRPr="00CE58F6" w:rsidRDefault="001F5C23" w:rsidP="00976A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Mr. Valle was</w:t>
      </w:r>
      <w:r w:rsidR="0081256B" w:rsidRPr="00CE58F6">
        <w:rPr>
          <w:rFonts w:asciiTheme="majorHAnsi" w:hAnsiTheme="majorHAnsi"/>
          <w:sz w:val="20"/>
          <w:szCs w:val="20"/>
        </w:rPr>
        <w:t xml:space="preserve"> </w:t>
      </w:r>
      <w:r w:rsidR="000942E8" w:rsidRPr="00CE58F6">
        <w:rPr>
          <w:rFonts w:asciiTheme="majorHAnsi" w:hAnsiTheme="majorHAnsi"/>
          <w:sz w:val="20"/>
          <w:szCs w:val="20"/>
        </w:rPr>
        <w:t xml:space="preserve">convicted of </w:t>
      </w:r>
      <w:r w:rsidR="00F572A5" w:rsidRPr="00CE58F6">
        <w:rPr>
          <w:rFonts w:asciiTheme="majorHAnsi" w:hAnsiTheme="majorHAnsi"/>
          <w:sz w:val="20"/>
          <w:szCs w:val="20"/>
        </w:rPr>
        <w:t>first-degree</w:t>
      </w:r>
      <w:r w:rsidRPr="00CE58F6">
        <w:rPr>
          <w:rFonts w:asciiTheme="majorHAnsi" w:hAnsiTheme="majorHAnsi"/>
          <w:sz w:val="20"/>
          <w:szCs w:val="20"/>
        </w:rPr>
        <w:t xml:space="preserve"> murder and </w:t>
      </w:r>
      <w:r w:rsidR="00EF0CB9" w:rsidRPr="00CE58F6">
        <w:rPr>
          <w:rFonts w:asciiTheme="majorHAnsi" w:hAnsiTheme="majorHAnsi"/>
          <w:sz w:val="20"/>
          <w:szCs w:val="20"/>
        </w:rPr>
        <w:t xml:space="preserve">sentenced to death by a jury </w:t>
      </w:r>
      <w:r w:rsidR="0046583A" w:rsidRPr="00CE58F6">
        <w:rPr>
          <w:rFonts w:asciiTheme="majorHAnsi" w:hAnsiTheme="majorHAnsi"/>
          <w:sz w:val="20"/>
          <w:szCs w:val="20"/>
        </w:rPr>
        <w:t>May 4, 1978</w:t>
      </w:r>
      <w:r w:rsidR="00167E2C" w:rsidRPr="00CE58F6">
        <w:rPr>
          <w:rFonts w:asciiTheme="majorHAnsi" w:hAnsiTheme="majorHAnsi"/>
          <w:sz w:val="20"/>
          <w:szCs w:val="20"/>
        </w:rPr>
        <w:t>. Mr. Valle then</w:t>
      </w:r>
      <w:r w:rsidR="00976A35" w:rsidRPr="00CE58F6">
        <w:rPr>
          <w:rFonts w:asciiTheme="majorHAnsi" w:hAnsiTheme="majorHAnsi"/>
          <w:sz w:val="20"/>
          <w:szCs w:val="20"/>
        </w:rPr>
        <w:t xml:space="preserve"> filed a direct appeal to the FSC</w:t>
      </w:r>
      <w:r w:rsidR="00545886" w:rsidRPr="00CE58F6">
        <w:rPr>
          <w:rFonts w:asciiTheme="majorHAnsi" w:hAnsiTheme="majorHAnsi"/>
          <w:sz w:val="20"/>
          <w:szCs w:val="20"/>
        </w:rPr>
        <w:t xml:space="preserve"> on July 7, 1978</w:t>
      </w:r>
      <w:r w:rsidR="00976A35" w:rsidRPr="00CE58F6">
        <w:rPr>
          <w:rFonts w:asciiTheme="majorHAnsi" w:hAnsiTheme="majorHAnsi"/>
          <w:sz w:val="20"/>
          <w:szCs w:val="20"/>
        </w:rPr>
        <w:t xml:space="preserve">, on the claim that his </w:t>
      </w:r>
      <w:r w:rsidR="00946C8B" w:rsidRPr="00CE58F6">
        <w:rPr>
          <w:rFonts w:asciiTheme="majorHAnsi" w:hAnsiTheme="majorHAnsi"/>
          <w:sz w:val="20"/>
          <w:szCs w:val="20"/>
        </w:rPr>
        <w:t>S</w:t>
      </w:r>
      <w:r w:rsidR="00976A35" w:rsidRPr="00CE58F6">
        <w:rPr>
          <w:rFonts w:asciiTheme="majorHAnsi" w:hAnsiTheme="majorHAnsi"/>
          <w:sz w:val="20"/>
          <w:szCs w:val="20"/>
        </w:rPr>
        <w:t xml:space="preserve">ixth and </w:t>
      </w:r>
      <w:r w:rsidR="00946C8B" w:rsidRPr="00CE58F6">
        <w:rPr>
          <w:rFonts w:asciiTheme="majorHAnsi" w:hAnsiTheme="majorHAnsi"/>
          <w:sz w:val="20"/>
          <w:szCs w:val="20"/>
        </w:rPr>
        <w:t>F</w:t>
      </w:r>
      <w:r w:rsidR="00976A35" w:rsidRPr="00CE58F6">
        <w:rPr>
          <w:rFonts w:asciiTheme="majorHAnsi" w:hAnsiTheme="majorHAnsi"/>
          <w:sz w:val="20"/>
          <w:szCs w:val="20"/>
        </w:rPr>
        <w:t xml:space="preserve">ourteenth </w:t>
      </w:r>
      <w:r w:rsidR="00946C8B" w:rsidRPr="00CE58F6">
        <w:rPr>
          <w:rFonts w:asciiTheme="majorHAnsi" w:hAnsiTheme="majorHAnsi"/>
          <w:sz w:val="20"/>
          <w:szCs w:val="20"/>
        </w:rPr>
        <w:t>A</w:t>
      </w:r>
      <w:r w:rsidR="00976A35" w:rsidRPr="00CE58F6">
        <w:rPr>
          <w:rFonts w:asciiTheme="majorHAnsi" w:hAnsiTheme="majorHAnsi"/>
          <w:sz w:val="20"/>
          <w:szCs w:val="20"/>
        </w:rPr>
        <w:t xml:space="preserve">mendment rights were violated by the expedited nature of his </w:t>
      </w:r>
      <w:r w:rsidR="00047621" w:rsidRPr="00CE58F6">
        <w:rPr>
          <w:rFonts w:asciiTheme="majorHAnsi" w:hAnsiTheme="majorHAnsi"/>
          <w:sz w:val="20"/>
          <w:szCs w:val="20"/>
        </w:rPr>
        <w:t xml:space="preserve">trial. Specifically, his </w:t>
      </w:r>
      <w:r w:rsidR="00964E5C" w:rsidRPr="00CE58F6">
        <w:rPr>
          <w:rFonts w:asciiTheme="majorHAnsi" w:hAnsiTheme="majorHAnsi"/>
          <w:sz w:val="20"/>
          <w:szCs w:val="20"/>
        </w:rPr>
        <w:t>rights to adequate preparation time and to effective assistance by counsel were</w:t>
      </w:r>
      <w:r w:rsidR="00047621" w:rsidRPr="00CE58F6">
        <w:rPr>
          <w:rFonts w:asciiTheme="majorHAnsi" w:hAnsiTheme="majorHAnsi"/>
          <w:sz w:val="20"/>
          <w:szCs w:val="20"/>
        </w:rPr>
        <w:t xml:space="preserve"> violated when his case went to trial within 24 days of arraignment. </w:t>
      </w:r>
      <w:r w:rsidR="00D73946" w:rsidRPr="00CE58F6">
        <w:rPr>
          <w:rFonts w:asciiTheme="majorHAnsi" w:hAnsiTheme="majorHAnsi"/>
          <w:sz w:val="20"/>
          <w:szCs w:val="20"/>
        </w:rPr>
        <w:t>The FSC agreed, and further found that the trial court’s decision to have the case proceed within the time frame was an abuse of discretion</w:t>
      </w:r>
      <w:r w:rsidR="00992B3E" w:rsidRPr="00CE58F6">
        <w:rPr>
          <w:rFonts w:asciiTheme="majorHAnsi" w:hAnsiTheme="majorHAnsi"/>
          <w:sz w:val="20"/>
          <w:szCs w:val="20"/>
        </w:rPr>
        <w:t xml:space="preserve">. </w:t>
      </w:r>
    </w:p>
    <w:p w14:paraId="5D99C63F" w14:textId="77777777" w:rsidR="00167E2C" w:rsidRPr="00CE58F6" w:rsidRDefault="00167E2C" w:rsidP="00167E2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6F5755CC" w14:textId="77777777" w:rsidR="00167E2C" w:rsidRPr="00CE58F6" w:rsidRDefault="00992B3E" w:rsidP="00976A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Mr. Valle was again convicted and sentenced to death on April 8, 1981 and he filed a</w:t>
      </w:r>
      <w:r w:rsidR="00716A38" w:rsidRPr="00CE58F6">
        <w:rPr>
          <w:rFonts w:asciiTheme="majorHAnsi" w:hAnsiTheme="majorHAnsi"/>
          <w:sz w:val="20"/>
          <w:szCs w:val="20"/>
        </w:rPr>
        <w:t xml:space="preserve"> direct appeal to the FSC on several</w:t>
      </w:r>
      <w:r w:rsidRPr="00CE58F6">
        <w:rPr>
          <w:rFonts w:asciiTheme="majorHAnsi" w:hAnsiTheme="majorHAnsi"/>
          <w:sz w:val="20"/>
          <w:szCs w:val="20"/>
        </w:rPr>
        <w:t xml:space="preserve"> grounds </w:t>
      </w:r>
      <w:r w:rsidR="00716A38" w:rsidRPr="00CE58F6">
        <w:rPr>
          <w:rFonts w:asciiTheme="majorHAnsi" w:hAnsiTheme="majorHAnsi"/>
          <w:sz w:val="20"/>
          <w:szCs w:val="20"/>
        </w:rPr>
        <w:t xml:space="preserve">among which was </w:t>
      </w:r>
      <w:r w:rsidRPr="00CE58F6">
        <w:rPr>
          <w:rFonts w:asciiTheme="majorHAnsi" w:hAnsiTheme="majorHAnsi"/>
          <w:sz w:val="20"/>
          <w:szCs w:val="20"/>
        </w:rPr>
        <w:t>that his confession should have been suppressed as it was in violation of his Miranda rights</w:t>
      </w:r>
      <w:r w:rsidR="00716A38" w:rsidRPr="00CE58F6">
        <w:rPr>
          <w:rFonts w:asciiTheme="majorHAnsi" w:hAnsiTheme="majorHAnsi"/>
          <w:sz w:val="20"/>
          <w:szCs w:val="20"/>
        </w:rPr>
        <w:t xml:space="preserve">, the court erred in allowing </w:t>
      </w:r>
      <w:r w:rsidR="008D287A" w:rsidRPr="00CE58F6">
        <w:rPr>
          <w:rFonts w:asciiTheme="majorHAnsi" w:hAnsiTheme="majorHAnsi"/>
          <w:sz w:val="20"/>
          <w:szCs w:val="20"/>
        </w:rPr>
        <w:t>underrepresented</w:t>
      </w:r>
      <w:r w:rsidR="00716A38" w:rsidRPr="00CE58F6">
        <w:rPr>
          <w:rFonts w:asciiTheme="majorHAnsi" w:hAnsiTheme="majorHAnsi"/>
          <w:sz w:val="20"/>
          <w:szCs w:val="20"/>
        </w:rPr>
        <w:t xml:space="preserve"> minorities within the jury selection and erred in omitting mitigating evidence that Mr. Valle would be a model prisoner if spared the death penalty</w:t>
      </w:r>
      <w:r w:rsidR="00CC0F64" w:rsidRPr="00CE58F6">
        <w:rPr>
          <w:rFonts w:asciiTheme="majorHAnsi" w:hAnsiTheme="majorHAnsi"/>
          <w:sz w:val="20"/>
          <w:szCs w:val="20"/>
        </w:rPr>
        <w:t xml:space="preserve">. The conviction and sentence </w:t>
      </w:r>
      <w:r w:rsidR="00F86CC8" w:rsidRPr="00CE58F6">
        <w:rPr>
          <w:rFonts w:asciiTheme="majorHAnsi" w:hAnsiTheme="majorHAnsi"/>
          <w:sz w:val="20"/>
          <w:szCs w:val="20"/>
        </w:rPr>
        <w:t>were</w:t>
      </w:r>
      <w:r w:rsidR="00CC0F64" w:rsidRPr="00CE58F6">
        <w:rPr>
          <w:rFonts w:asciiTheme="majorHAnsi" w:hAnsiTheme="majorHAnsi"/>
          <w:sz w:val="20"/>
          <w:szCs w:val="20"/>
        </w:rPr>
        <w:t xml:space="preserve"> affirmed by the FSC on November 7, 1985</w:t>
      </w:r>
      <w:r w:rsidR="004A3E0F" w:rsidRPr="00CE58F6">
        <w:rPr>
          <w:rFonts w:asciiTheme="majorHAnsi" w:hAnsiTheme="majorHAnsi"/>
          <w:sz w:val="20"/>
          <w:szCs w:val="20"/>
        </w:rPr>
        <w:t xml:space="preserve">, and </w:t>
      </w:r>
      <w:r w:rsidR="00942AF8" w:rsidRPr="00CE58F6">
        <w:rPr>
          <w:rFonts w:asciiTheme="majorHAnsi" w:hAnsiTheme="majorHAnsi"/>
          <w:sz w:val="20"/>
          <w:szCs w:val="20"/>
        </w:rPr>
        <w:t>the United States Supreme Court granted Mr. Valle’s petition for writ of certiorari</w:t>
      </w:r>
      <w:r w:rsidR="00577336" w:rsidRPr="00CE58F6">
        <w:rPr>
          <w:rFonts w:asciiTheme="majorHAnsi" w:hAnsiTheme="majorHAnsi"/>
          <w:sz w:val="20"/>
          <w:szCs w:val="20"/>
        </w:rPr>
        <w:t xml:space="preserve"> </w:t>
      </w:r>
      <w:r w:rsidR="00953A8F" w:rsidRPr="00CE58F6">
        <w:rPr>
          <w:rFonts w:asciiTheme="majorHAnsi" w:hAnsiTheme="majorHAnsi"/>
          <w:sz w:val="20"/>
          <w:szCs w:val="20"/>
        </w:rPr>
        <w:t>on May 5, 1986</w:t>
      </w:r>
      <w:r w:rsidR="00942AF8" w:rsidRPr="00CE58F6">
        <w:rPr>
          <w:rFonts w:asciiTheme="majorHAnsi" w:hAnsiTheme="majorHAnsi"/>
          <w:sz w:val="20"/>
          <w:szCs w:val="20"/>
        </w:rPr>
        <w:t xml:space="preserve">. </w:t>
      </w:r>
    </w:p>
    <w:p w14:paraId="04835711" w14:textId="77777777" w:rsidR="00167E2C" w:rsidRPr="00CE58F6" w:rsidRDefault="00167E2C" w:rsidP="00167E2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3DAFE6A4" w14:textId="77777777" w:rsidR="001B02A6" w:rsidRPr="00CE58F6" w:rsidRDefault="00942AF8" w:rsidP="00976A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The Supreme Court</w:t>
      </w:r>
      <w:r w:rsidR="00FE1B1C" w:rsidRPr="00CE58F6">
        <w:rPr>
          <w:rFonts w:asciiTheme="majorHAnsi" w:hAnsiTheme="majorHAnsi"/>
          <w:sz w:val="20"/>
          <w:szCs w:val="20"/>
        </w:rPr>
        <w:t xml:space="preserve"> vacated the death sentence and remanded the matter to the FSC for reconsideration. The FSC found that the </w:t>
      </w:r>
      <w:r w:rsidR="00EF4866" w:rsidRPr="00CE58F6">
        <w:rPr>
          <w:rFonts w:asciiTheme="majorHAnsi" w:hAnsiTheme="majorHAnsi"/>
          <w:sz w:val="20"/>
          <w:szCs w:val="20"/>
        </w:rPr>
        <w:t>jury should have considered the testimony on Mr. Valle’s potential future behavior as a model prisoner</w:t>
      </w:r>
      <w:r w:rsidR="000F0C58" w:rsidRPr="00CE58F6">
        <w:rPr>
          <w:rFonts w:asciiTheme="majorHAnsi" w:hAnsiTheme="majorHAnsi"/>
          <w:sz w:val="20"/>
          <w:szCs w:val="20"/>
        </w:rPr>
        <w:t xml:space="preserve"> du</w:t>
      </w:r>
      <w:r w:rsidR="0010643D" w:rsidRPr="00CE58F6">
        <w:rPr>
          <w:rFonts w:asciiTheme="majorHAnsi" w:hAnsiTheme="majorHAnsi"/>
          <w:sz w:val="20"/>
          <w:szCs w:val="20"/>
        </w:rPr>
        <w:t>ring the penalty phase of trial, and therefore the FSC remanded the matter to the trial court for resentencing</w:t>
      </w:r>
      <w:r w:rsidR="0058751B" w:rsidRPr="00CE58F6">
        <w:rPr>
          <w:rFonts w:asciiTheme="majorHAnsi" w:hAnsiTheme="majorHAnsi"/>
          <w:sz w:val="20"/>
          <w:szCs w:val="20"/>
        </w:rPr>
        <w:t xml:space="preserve"> before a new jury on M</w:t>
      </w:r>
      <w:r w:rsidR="001D7D96" w:rsidRPr="00CE58F6">
        <w:rPr>
          <w:rFonts w:asciiTheme="majorHAnsi" w:hAnsiTheme="majorHAnsi"/>
          <w:sz w:val="20"/>
          <w:szCs w:val="20"/>
        </w:rPr>
        <w:t>ay 1, 1987</w:t>
      </w:r>
      <w:r w:rsidR="001A306B" w:rsidRPr="00CE58F6">
        <w:rPr>
          <w:rFonts w:asciiTheme="majorHAnsi" w:hAnsiTheme="majorHAnsi"/>
          <w:sz w:val="20"/>
          <w:szCs w:val="20"/>
        </w:rPr>
        <w:t>. Mr. Valle was resentenced to death on March 16, 1988</w:t>
      </w:r>
      <w:r w:rsidR="00CC3970" w:rsidRPr="00CE58F6">
        <w:rPr>
          <w:rFonts w:asciiTheme="majorHAnsi" w:hAnsiTheme="majorHAnsi"/>
          <w:sz w:val="20"/>
          <w:szCs w:val="20"/>
        </w:rPr>
        <w:t xml:space="preserve">. A </w:t>
      </w:r>
      <w:r w:rsidR="00CC3970" w:rsidRPr="00CE58F6">
        <w:rPr>
          <w:rFonts w:asciiTheme="majorHAnsi" w:hAnsiTheme="majorHAnsi"/>
          <w:sz w:val="20"/>
          <w:szCs w:val="20"/>
        </w:rPr>
        <w:lastRenderedPageBreak/>
        <w:t xml:space="preserve">direct appeal was filed to the FSC, arguing improper cross-examination, improper application of aggravating factors and improper victim impact evidence. The FSC affirmed the sentence </w:t>
      </w:r>
      <w:r w:rsidR="00FD706D" w:rsidRPr="00CE58F6">
        <w:rPr>
          <w:rFonts w:asciiTheme="majorHAnsi" w:hAnsiTheme="majorHAnsi"/>
          <w:sz w:val="20"/>
          <w:szCs w:val="20"/>
        </w:rPr>
        <w:t>on May 2, 1991.</w:t>
      </w:r>
    </w:p>
    <w:p w14:paraId="202FF5A6" w14:textId="77777777" w:rsidR="00D876B2" w:rsidRPr="00CE58F6" w:rsidRDefault="00D876B2"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6AEFB380" w14:textId="77777777" w:rsidR="000A2229" w:rsidRPr="00CE58F6" w:rsidRDefault="00AE078A" w:rsidP="00EC55EA">
      <w:pPr>
        <w:pStyle w:val="Heading2"/>
        <w:numPr>
          <w:ilvl w:val="0"/>
          <w:numId w:val="58"/>
        </w:numPr>
        <w:tabs>
          <w:tab w:val="left" w:pos="360"/>
        </w:tabs>
        <w:spacing w:before="0"/>
        <w:ind w:hanging="720"/>
        <w:rPr>
          <w:color w:val="auto"/>
          <w:sz w:val="20"/>
          <w:szCs w:val="20"/>
        </w:rPr>
      </w:pPr>
      <w:bookmarkStart w:id="16" w:name="_Toc90291509"/>
      <w:r w:rsidRPr="00CE58F6">
        <w:rPr>
          <w:color w:val="auto"/>
          <w:sz w:val="20"/>
          <w:szCs w:val="20"/>
        </w:rPr>
        <w:t xml:space="preserve">Post-conviction proceedings </w:t>
      </w:r>
      <w:r w:rsidR="00700BCA" w:rsidRPr="00CE58F6">
        <w:rPr>
          <w:color w:val="auto"/>
          <w:sz w:val="20"/>
          <w:szCs w:val="20"/>
        </w:rPr>
        <w:t>and other remedies</w:t>
      </w:r>
      <w:bookmarkEnd w:id="16"/>
    </w:p>
    <w:p w14:paraId="08C6194F" w14:textId="77777777" w:rsidR="00C14F39" w:rsidRPr="00CE58F6" w:rsidRDefault="00C14F39"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Arial" w:eastAsiaTheme="minorHAnsi" w:hAnsi="Arial"/>
          <w:bdr w:val="none" w:sz="0" w:space="0" w:color="auto"/>
        </w:rPr>
      </w:pPr>
    </w:p>
    <w:p w14:paraId="32C59D14" w14:textId="77777777" w:rsidR="00D12B8D" w:rsidRPr="00CE58F6" w:rsidRDefault="00867B70" w:rsidP="00D12B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According to the procedural history as recorded by the Supreme Court of Florida (FSC)</w:t>
      </w:r>
      <w:r w:rsidR="00501D2A" w:rsidRPr="00CE58F6">
        <w:rPr>
          <w:rFonts w:asciiTheme="majorHAnsi" w:hAnsiTheme="majorHAnsi"/>
          <w:sz w:val="20"/>
          <w:szCs w:val="20"/>
        </w:rPr>
        <w:t>,</w:t>
      </w:r>
      <w:r w:rsidRPr="00CE58F6">
        <w:rPr>
          <w:rStyle w:val="FootnoteReference"/>
          <w:rFonts w:asciiTheme="majorHAnsi" w:hAnsiTheme="majorHAnsi"/>
          <w:sz w:val="20"/>
          <w:szCs w:val="20"/>
        </w:rPr>
        <w:footnoteReference w:id="20"/>
      </w:r>
      <w:r w:rsidRPr="00CE58F6">
        <w:rPr>
          <w:rFonts w:asciiTheme="majorHAnsi" w:hAnsiTheme="majorHAnsi"/>
          <w:sz w:val="20"/>
          <w:szCs w:val="20"/>
        </w:rPr>
        <w:t xml:space="preserve"> on </w:t>
      </w:r>
      <w:r w:rsidR="007C664F" w:rsidRPr="00CE58F6">
        <w:rPr>
          <w:rFonts w:asciiTheme="majorHAnsi" w:hAnsiTheme="majorHAnsi"/>
          <w:sz w:val="20"/>
          <w:szCs w:val="20"/>
        </w:rPr>
        <w:t xml:space="preserve">December 1993, Mr. Valle filed a motion for </w:t>
      </w:r>
      <w:r w:rsidR="003D5263" w:rsidRPr="00CE58F6">
        <w:rPr>
          <w:rFonts w:asciiTheme="majorHAnsi" w:hAnsiTheme="majorHAnsi"/>
          <w:sz w:val="20"/>
          <w:szCs w:val="20"/>
        </w:rPr>
        <w:t>post-conviction</w:t>
      </w:r>
      <w:r w:rsidR="007C664F" w:rsidRPr="00CE58F6">
        <w:rPr>
          <w:rFonts w:asciiTheme="majorHAnsi" w:hAnsiTheme="majorHAnsi"/>
          <w:sz w:val="20"/>
          <w:szCs w:val="20"/>
        </w:rPr>
        <w:t xml:space="preserve"> relief and the Circuit Court summarily denied the motion without holding an evidentiary hearing. This denial was appealed and the FSC affirmed in part but reversed the decision and remanded the matter to the Circuit Court for an evidentiary hearing with respect to the claims of ineffective assistance of counsel</w:t>
      </w:r>
      <w:r w:rsidR="00501D2A" w:rsidRPr="00CE58F6">
        <w:rPr>
          <w:rFonts w:asciiTheme="majorHAnsi" w:hAnsiTheme="majorHAnsi"/>
          <w:sz w:val="20"/>
          <w:szCs w:val="20"/>
        </w:rPr>
        <w:t>. H</w:t>
      </w:r>
      <w:r w:rsidR="007C664F" w:rsidRPr="00CE58F6">
        <w:rPr>
          <w:rFonts w:asciiTheme="majorHAnsi" w:hAnsiTheme="majorHAnsi"/>
          <w:sz w:val="20"/>
          <w:szCs w:val="20"/>
        </w:rPr>
        <w:t>owever</w:t>
      </w:r>
      <w:r w:rsidR="00501D2A" w:rsidRPr="00CE58F6">
        <w:rPr>
          <w:rFonts w:asciiTheme="majorHAnsi" w:hAnsiTheme="majorHAnsi"/>
          <w:sz w:val="20"/>
          <w:szCs w:val="20"/>
        </w:rPr>
        <w:t>,</w:t>
      </w:r>
      <w:r w:rsidR="007C664F" w:rsidRPr="00CE58F6">
        <w:rPr>
          <w:rFonts w:asciiTheme="majorHAnsi" w:hAnsiTheme="majorHAnsi"/>
          <w:sz w:val="20"/>
          <w:szCs w:val="20"/>
        </w:rPr>
        <w:t xml:space="preserve"> after the hearing</w:t>
      </w:r>
      <w:r w:rsidR="00501D2A" w:rsidRPr="00CE58F6">
        <w:rPr>
          <w:rFonts w:asciiTheme="majorHAnsi" w:hAnsiTheme="majorHAnsi"/>
          <w:sz w:val="20"/>
          <w:szCs w:val="20"/>
        </w:rPr>
        <w:t>,</w:t>
      </w:r>
      <w:r w:rsidR="007C664F" w:rsidRPr="00CE58F6">
        <w:rPr>
          <w:rFonts w:asciiTheme="majorHAnsi" w:hAnsiTheme="majorHAnsi"/>
          <w:sz w:val="20"/>
          <w:szCs w:val="20"/>
        </w:rPr>
        <w:t xml:space="preserve"> the Circuit Court denied the claims and the FSC affirmed the decision. </w:t>
      </w:r>
    </w:p>
    <w:p w14:paraId="6227D6A4" w14:textId="77777777" w:rsidR="00D12B8D" w:rsidRPr="00CE58F6" w:rsidRDefault="00D12B8D" w:rsidP="00D12B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2D622B45" w14:textId="77777777" w:rsidR="00650AA9" w:rsidRPr="00CE58F6" w:rsidRDefault="007C664F" w:rsidP="00104C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pPr>
      <w:r w:rsidRPr="00CE58F6">
        <w:rPr>
          <w:rFonts w:asciiTheme="majorHAnsi" w:hAnsiTheme="majorHAnsi"/>
          <w:sz w:val="20"/>
          <w:szCs w:val="20"/>
        </w:rPr>
        <w:t>In December of 2001, Mr. Valle petitioned the FSC for a writ of habeas corpus based on alleged ineffective assistance of counsel, and the FSC denied the petition. In February of 2003, Mr. Valle again filed a habeas corpus petition before the FSC, but this was summarily denied. A writ of certiorari to the United States Supreme Court was also denied in 2004. An amended federal habeas corpus petition was filed, and the Federal District Court denied the petition, which was affirmed by the United States Court of Appeals for the Eleventh Circuit. A review of the decision, through a petition for a writ of certiorari to the Supreme Court</w:t>
      </w:r>
      <w:r w:rsidR="00501D2A" w:rsidRPr="00CE58F6">
        <w:rPr>
          <w:rFonts w:asciiTheme="majorHAnsi" w:hAnsiTheme="majorHAnsi"/>
          <w:sz w:val="20"/>
          <w:szCs w:val="20"/>
        </w:rPr>
        <w:t>,</w:t>
      </w:r>
      <w:r w:rsidRPr="00CE58F6">
        <w:rPr>
          <w:rFonts w:asciiTheme="majorHAnsi" w:hAnsiTheme="majorHAnsi"/>
          <w:sz w:val="20"/>
          <w:szCs w:val="20"/>
        </w:rPr>
        <w:t xml:space="preserve"> was denied on October 1, 2007.</w:t>
      </w:r>
      <w:r w:rsidR="00D12B8D" w:rsidRPr="00CE58F6">
        <w:rPr>
          <w:rFonts w:asciiTheme="majorHAnsi" w:hAnsiTheme="majorHAnsi"/>
          <w:sz w:val="20"/>
          <w:szCs w:val="20"/>
        </w:rPr>
        <w:t xml:space="preserve"> </w:t>
      </w:r>
    </w:p>
    <w:p w14:paraId="2A22B9CE" w14:textId="77777777" w:rsidR="00F9453D" w:rsidRPr="00CE58F6" w:rsidRDefault="00F9453D" w:rsidP="00650AA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pPr>
    </w:p>
    <w:p w14:paraId="113ECF1B" w14:textId="77777777" w:rsidR="00F9453D" w:rsidRPr="00CE58F6" w:rsidRDefault="00F9453D" w:rsidP="00F945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 xml:space="preserve">On June 8, 2011 </w:t>
      </w:r>
      <w:r w:rsidR="001C6C1E" w:rsidRPr="00CE58F6">
        <w:rPr>
          <w:rFonts w:asciiTheme="majorHAnsi" w:hAnsiTheme="majorHAnsi"/>
          <w:sz w:val="20"/>
          <w:szCs w:val="20"/>
        </w:rPr>
        <w:t>the Florida Department of Corrections (DOC) had promulgated a revised lethal injection procedure, deciding</w:t>
      </w:r>
      <w:r w:rsidRPr="00CE58F6">
        <w:rPr>
          <w:rFonts w:asciiTheme="majorHAnsi" w:hAnsiTheme="majorHAnsi"/>
          <w:sz w:val="20"/>
          <w:szCs w:val="20"/>
        </w:rPr>
        <w:t xml:space="preserve"> to substitute five grams of pentobarbital with five grams of sodium thiopental as the first of three drugs used in the lethal injection protocol. In Florida, the first drug is used to anesthetize the condemned inmate prior to the administration of the final two drugs in the three-drug sequence, pancuronium bromide (a paralytic agent that can stop respiration) and potassium chloride (a substance that will cause the heart to stop)</w:t>
      </w:r>
      <w:r w:rsidR="00501D2A" w:rsidRPr="00CE58F6">
        <w:rPr>
          <w:rFonts w:asciiTheme="majorHAnsi" w:hAnsiTheme="majorHAnsi"/>
          <w:sz w:val="20"/>
          <w:szCs w:val="20"/>
        </w:rPr>
        <w:t>.</w:t>
      </w:r>
      <w:r w:rsidRPr="00CE58F6">
        <w:rPr>
          <w:rStyle w:val="FootnoteReference"/>
          <w:rFonts w:asciiTheme="majorHAnsi" w:hAnsiTheme="majorHAnsi"/>
          <w:sz w:val="20"/>
          <w:szCs w:val="20"/>
        </w:rPr>
        <w:footnoteReference w:id="21"/>
      </w:r>
      <w:r w:rsidRPr="00CE58F6">
        <w:rPr>
          <w:rFonts w:asciiTheme="majorHAnsi" w:hAnsiTheme="majorHAnsi"/>
          <w:sz w:val="20"/>
          <w:szCs w:val="20"/>
        </w:rPr>
        <w:t xml:space="preserve">  </w:t>
      </w:r>
    </w:p>
    <w:p w14:paraId="319C0C49" w14:textId="77777777" w:rsidR="00104CA5" w:rsidRPr="00CE58F6" w:rsidRDefault="00104CA5" w:rsidP="00104CA5"/>
    <w:p w14:paraId="4A901F51" w14:textId="77777777" w:rsidR="00A50581" w:rsidRPr="00CE58F6" w:rsidRDefault="00D12B8D" w:rsidP="00104C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 xml:space="preserve">On </w:t>
      </w:r>
      <w:r w:rsidR="00C2077E" w:rsidRPr="00CE58F6">
        <w:rPr>
          <w:rFonts w:asciiTheme="majorHAnsi" w:hAnsiTheme="majorHAnsi"/>
          <w:sz w:val="20"/>
          <w:szCs w:val="20"/>
        </w:rPr>
        <w:t>June 30, 2011,</w:t>
      </w:r>
      <w:r w:rsidR="00354D5D" w:rsidRPr="00CE58F6">
        <w:rPr>
          <w:rFonts w:asciiTheme="majorHAnsi" w:hAnsiTheme="majorHAnsi"/>
          <w:sz w:val="20"/>
          <w:szCs w:val="20"/>
        </w:rPr>
        <w:t xml:space="preserve"> Governor Rick Scott signed a death warrant and Mr. Valle’s execution was scheduled for August 2, 2011. </w:t>
      </w:r>
      <w:r w:rsidR="0029275D" w:rsidRPr="00CE58F6">
        <w:rPr>
          <w:rFonts w:asciiTheme="majorHAnsi" w:hAnsiTheme="majorHAnsi"/>
          <w:sz w:val="20"/>
          <w:szCs w:val="20"/>
        </w:rPr>
        <w:t>The death warrant stated that “it has been determined that Executive Clemency, as authorized by Article IV, Section 8(a), Florida Constitution is not appropriate</w:t>
      </w:r>
      <w:r w:rsidR="00501D2A" w:rsidRPr="00CE58F6">
        <w:rPr>
          <w:rFonts w:asciiTheme="majorHAnsi" w:hAnsiTheme="majorHAnsi"/>
          <w:sz w:val="20"/>
          <w:szCs w:val="20"/>
        </w:rPr>
        <w:t>.</w:t>
      </w:r>
      <w:r w:rsidR="00A77818" w:rsidRPr="00CE58F6">
        <w:rPr>
          <w:rFonts w:asciiTheme="majorHAnsi" w:hAnsiTheme="majorHAnsi"/>
          <w:sz w:val="20"/>
          <w:szCs w:val="20"/>
        </w:rPr>
        <w:t>”</w:t>
      </w:r>
      <w:r w:rsidRPr="00CE58F6">
        <w:rPr>
          <w:rStyle w:val="FootnoteReference"/>
          <w:rFonts w:asciiTheme="majorHAnsi" w:hAnsiTheme="majorHAnsi"/>
          <w:sz w:val="20"/>
          <w:szCs w:val="20"/>
        </w:rPr>
        <w:footnoteReference w:id="22"/>
      </w:r>
      <w:r w:rsidR="0029275D" w:rsidRPr="00CE58F6">
        <w:rPr>
          <w:rFonts w:asciiTheme="majorHAnsi" w:hAnsiTheme="majorHAnsi"/>
          <w:sz w:val="20"/>
          <w:szCs w:val="20"/>
        </w:rPr>
        <w:t xml:space="preserve"> </w:t>
      </w:r>
    </w:p>
    <w:p w14:paraId="160E3541" w14:textId="77777777" w:rsidR="007C664F" w:rsidRPr="00CE58F6" w:rsidRDefault="007C664F" w:rsidP="007C664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3A1DB563" w14:textId="77777777" w:rsidR="00FE24E6" w:rsidRPr="00CE58F6" w:rsidRDefault="007C664F" w:rsidP="007C66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 xml:space="preserve">Mr. Valle filed an amended motion for </w:t>
      </w:r>
      <w:r w:rsidR="003D5263" w:rsidRPr="00CE58F6">
        <w:rPr>
          <w:rFonts w:asciiTheme="majorHAnsi" w:hAnsiTheme="majorHAnsi"/>
          <w:sz w:val="20"/>
          <w:szCs w:val="20"/>
        </w:rPr>
        <w:t>post-conviction</w:t>
      </w:r>
      <w:r w:rsidRPr="00CE58F6">
        <w:rPr>
          <w:rFonts w:asciiTheme="majorHAnsi" w:hAnsiTheme="majorHAnsi"/>
          <w:sz w:val="20"/>
          <w:szCs w:val="20"/>
        </w:rPr>
        <w:t xml:space="preserve"> relief, raising six claims, among which he argued that due to “serious concerns” regarding the efficacy of pentobarbital to render an inmate unconscious, the DOC’s use of the drug in the protocol constitutes cruel and unusual punishment in contravention of the Eighth Amendment of the constitution</w:t>
      </w:r>
      <w:r w:rsidR="00501D2A" w:rsidRPr="00CE58F6">
        <w:rPr>
          <w:rFonts w:asciiTheme="majorHAnsi" w:hAnsiTheme="majorHAnsi"/>
          <w:sz w:val="20"/>
          <w:szCs w:val="20"/>
        </w:rPr>
        <w:t>.</w:t>
      </w:r>
      <w:r w:rsidR="00D12B8D" w:rsidRPr="00CE58F6">
        <w:rPr>
          <w:rStyle w:val="FootnoteReference"/>
          <w:rFonts w:asciiTheme="majorHAnsi" w:hAnsiTheme="majorHAnsi"/>
          <w:sz w:val="20"/>
          <w:szCs w:val="20"/>
        </w:rPr>
        <w:footnoteReference w:id="23"/>
      </w:r>
      <w:r w:rsidRPr="00CE58F6">
        <w:rPr>
          <w:rFonts w:asciiTheme="majorHAnsi" w:hAnsiTheme="majorHAnsi"/>
          <w:sz w:val="20"/>
          <w:szCs w:val="20"/>
        </w:rPr>
        <w:t xml:space="preserve"> </w:t>
      </w:r>
      <w:r w:rsidR="00273DE2" w:rsidRPr="00CE58F6">
        <w:rPr>
          <w:rFonts w:asciiTheme="majorHAnsi" w:hAnsiTheme="majorHAnsi"/>
          <w:sz w:val="20"/>
          <w:szCs w:val="20"/>
        </w:rPr>
        <w:t>Specifically</w:t>
      </w:r>
      <w:r w:rsidR="00501D2A" w:rsidRPr="00CE58F6">
        <w:rPr>
          <w:rFonts w:asciiTheme="majorHAnsi" w:hAnsiTheme="majorHAnsi"/>
          <w:sz w:val="20"/>
          <w:szCs w:val="20"/>
        </w:rPr>
        <w:t>,</w:t>
      </w:r>
      <w:r w:rsidR="00273DE2" w:rsidRPr="00CE58F6">
        <w:rPr>
          <w:rFonts w:asciiTheme="majorHAnsi" w:hAnsiTheme="majorHAnsi"/>
          <w:sz w:val="20"/>
          <w:szCs w:val="20"/>
        </w:rPr>
        <w:t xml:space="preserve"> it was argued that the DOC’s plan to use the substituted drug constitutes cruel and unusual punishment, because Mr. Valle may remain conscious after being injected with the pentobarbital, thereby subjec</w:t>
      </w:r>
      <w:r w:rsidR="00FC41AB" w:rsidRPr="00CE58F6">
        <w:rPr>
          <w:rFonts w:asciiTheme="majorHAnsi" w:hAnsiTheme="majorHAnsi"/>
          <w:sz w:val="20"/>
          <w:szCs w:val="20"/>
        </w:rPr>
        <w:t>ting him to significant pai</w:t>
      </w:r>
      <w:r w:rsidR="00273DE2" w:rsidRPr="00CE58F6">
        <w:rPr>
          <w:rFonts w:asciiTheme="majorHAnsi" w:hAnsiTheme="majorHAnsi"/>
          <w:sz w:val="20"/>
          <w:szCs w:val="20"/>
        </w:rPr>
        <w:t>n during the administration of the final two drugs.</w:t>
      </w:r>
      <w:r w:rsidR="009D4CF8" w:rsidRPr="00CE58F6">
        <w:rPr>
          <w:rFonts w:asciiTheme="majorHAnsi" w:hAnsiTheme="majorHAnsi"/>
          <w:sz w:val="20"/>
          <w:szCs w:val="20"/>
        </w:rPr>
        <w:t xml:space="preserve"> Further, he argued that the substitution coupled with inadequate procedural safeguards and a cavalier attitude toward lethal injection, put him at risk of serious harm.</w:t>
      </w:r>
      <w:r w:rsidR="00273DE2" w:rsidRPr="00CE58F6">
        <w:rPr>
          <w:rFonts w:asciiTheme="majorHAnsi" w:hAnsiTheme="majorHAnsi"/>
          <w:sz w:val="20"/>
          <w:szCs w:val="20"/>
        </w:rPr>
        <w:t xml:space="preserve"> </w:t>
      </w:r>
      <w:r w:rsidRPr="00CE58F6">
        <w:rPr>
          <w:rFonts w:asciiTheme="majorHAnsi" w:hAnsiTheme="majorHAnsi"/>
          <w:sz w:val="20"/>
          <w:szCs w:val="20"/>
        </w:rPr>
        <w:t>The Circuit Court held an initial hearing and summarily denied all the claims. The summary denial was appealed to the FSC, which determined the claims with respect to the drug warranted an evidentiary hearing. A stay of execution was granted until September 1, 2011</w:t>
      </w:r>
      <w:r w:rsidR="00501D2A" w:rsidRPr="00CE58F6">
        <w:rPr>
          <w:rFonts w:asciiTheme="majorHAnsi" w:hAnsiTheme="majorHAnsi"/>
          <w:sz w:val="20"/>
          <w:szCs w:val="20"/>
        </w:rPr>
        <w:t>,</w:t>
      </w:r>
      <w:r w:rsidRPr="00CE58F6">
        <w:rPr>
          <w:rFonts w:asciiTheme="majorHAnsi" w:hAnsiTheme="majorHAnsi"/>
          <w:sz w:val="20"/>
          <w:szCs w:val="20"/>
        </w:rPr>
        <w:t xml:space="preserve"> and the matter was remanded to the Circuit court. </w:t>
      </w:r>
    </w:p>
    <w:p w14:paraId="20C46857" w14:textId="77777777" w:rsidR="00867B70" w:rsidRPr="00CE58F6" w:rsidRDefault="00867B70" w:rsidP="00867B7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29E38F20" w14:textId="77777777" w:rsidR="00CC06F6" w:rsidRPr="00CE58F6" w:rsidRDefault="00F572A5" w:rsidP="002E70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The</w:t>
      </w:r>
      <w:r w:rsidR="00867B70" w:rsidRPr="00CE58F6">
        <w:rPr>
          <w:rFonts w:asciiTheme="majorHAnsi" w:hAnsiTheme="majorHAnsi"/>
          <w:sz w:val="20"/>
          <w:szCs w:val="20"/>
        </w:rPr>
        <w:t xml:space="preserve"> </w:t>
      </w:r>
      <w:r w:rsidR="007C664F" w:rsidRPr="00CE58F6">
        <w:rPr>
          <w:rFonts w:asciiTheme="majorHAnsi" w:hAnsiTheme="majorHAnsi"/>
          <w:sz w:val="20"/>
          <w:szCs w:val="20"/>
        </w:rPr>
        <w:t>Circuit Court conducted the evidentiary hearing on July 28 and August 2, 2011</w:t>
      </w:r>
      <w:r w:rsidR="00501D2A" w:rsidRPr="00CE58F6">
        <w:rPr>
          <w:rFonts w:asciiTheme="majorHAnsi" w:hAnsiTheme="majorHAnsi"/>
          <w:sz w:val="20"/>
          <w:szCs w:val="20"/>
        </w:rPr>
        <w:t>,</w:t>
      </w:r>
      <w:r w:rsidR="007C664F" w:rsidRPr="00CE58F6">
        <w:rPr>
          <w:rFonts w:asciiTheme="majorHAnsi" w:hAnsiTheme="majorHAnsi"/>
          <w:sz w:val="20"/>
          <w:szCs w:val="20"/>
        </w:rPr>
        <w:t xml:space="preserve"> during which expert evidence was presented by Mr. Valle and the State. The Circuit Court denied the claim on the drug substitution being a vi</w:t>
      </w:r>
      <w:r w:rsidR="003C1A36" w:rsidRPr="00CE58F6">
        <w:rPr>
          <w:rFonts w:asciiTheme="majorHAnsi" w:hAnsiTheme="majorHAnsi"/>
          <w:sz w:val="20"/>
          <w:szCs w:val="20"/>
        </w:rPr>
        <w:t>olation of the Eighth Amendment, because the evidence failed to establish tha</w:t>
      </w:r>
      <w:r w:rsidR="00C51166" w:rsidRPr="00CE58F6">
        <w:rPr>
          <w:rFonts w:asciiTheme="majorHAnsi" w:hAnsiTheme="majorHAnsi"/>
          <w:sz w:val="20"/>
          <w:szCs w:val="20"/>
        </w:rPr>
        <w:t>t</w:t>
      </w:r>
      <w:r w:rsidR="003C1A36" w:rsidRPr="00CE58F6">
        <w:rPr>
          <w:rFonts w:asciiTheme="majorHAnsi" w:hAnsiTheme="majorHAnsi"/>
          <w:sz w:val="20"/>
          <w:szCs w:val="20"/>
        </w:rPr>
        <w:t xml:space="preserve"> the intravenous administration of pentobarbital creates a </w:t>
      </w:r>
      <w:r w:rsidR="00C51166" w:rsidRPr="00CE58F6">
        <w:rPr>
          <w:rFonts w:asciiTheme="majorHAnsi" w:hAnsiTheme="majorHAnsi"/>
          <w:sz w:val="20"/>
          <w:szCs w:val="20"/>
        </w:rPr>
        <w:t xml:space="preserve">substantial risk of serious harm. </w:t>
      </w:r>
      <w:r w:rsidR="006869EF" w:rsidRPr="00CE58F6">
        <w:rPr>
          <w:rFonts w:asciiTheme="majorHAnsi" w:hAnsiTheme="majorHAnsi"/>
          <w:sz w:val="20"/>
          <w:szCs w:val="20"/>
        </w:rPr>
        <w:t>T</w:t>
      </w:r>
      <w:r w:rsidR="007C664F" w:rsidRPr="00CE58F6">
        <w:rPr>
          <w:rFonts w:asciiTheme="majorHAnsi" w:hAnsiTheme="majorHAnsi"/>
          <w:sz w:val="20"/>
          <w:szCs w:val="20"/>
        </w:rPr>
        <w:t>he matter was returned to the FSC to consider all issues raised on appeal</w:t>
      </w:r>
      <w:r w:rsidR="00501D2A" w:rsidRPr="00CE58F6">
        <w:rPr>
          <w:rFonts w:asciiTheme="majorHAnsi" w:hAnsiTheme="majorHAnsi"/>
          <w:sz w:val="20"/>
          <w:szCs w:val="20"/>
        </w:rPr>
        <w:t>.</w:t>
      </w:r>
      <w:r w:rsidRPr="00CE58F6">
        <w:rPr>
          <w:rStyle w:val="FootnoteReference"/>
          <w:rFonts w:asciiTheme="majorHAnsi" w:hAnsiTheme="majorHAnsi"/>
          <w:sz w:val="20"/>
          <w:szCs w:val="20"/>
        </w:rPr>
        <w:footnoteReference w:id="24"/>
      </w:r>
      <w:r w:rsidR="007C664F" w:rsidRPr="00CE58F6">
        <w:rPr>
          <w:rFonts w:asciiTheme="majorHAnsi" w:hAnsiTheme="majorHAnsi"/>
          <w:sz w:val="20"/>
          <w:szCs w:val="20"/>
        </w:rPr>
        <w:t xml:space="preserve"> </w:t>
      </w:r>
    </w:p>
    <w:p w14:paraId="19F676F9" w14:textId="77777777" w:rsidR="002E70EC" w:rsidRPr="00CE58F6" w:rsidRDefault="002E70EC" w:rsidP="00CC06F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1F3EF8B7" w14:textId="77777777" w:rsidR="00CC06F6" w:rsidRPr="00CE58F6" w:rsidRDefault="002E70EC"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lastRenderedPageBreak/>
        <w:t xml:space="preserve">Recognizing its duty to ensure the method of execution does not constitute cruel and unusual punishment, the FSC was guided by United States Supreme Court decisions to evaluate whether the lethal injection was unconstitutional. </w:t>
      </w:r>
      <w:r w:rsidR="0043193E" w:rsidRPr="00CE58F6">
        <w:rPr>
          <w:rFonts w:asciiTheme="majorHAnsi" w:hAnsiTheme="majorHAnsi"/>
          <w:sz w:val="20"/>
          <w:szCs w:val="20"/>
        </w:rPr>
        <w:t>For such a claim to succeed, the inmate must demonstrate that the conditions presenting the risk must be sure or very likely to cause serious illness and need</w:t>
      </w:r>
      <w:r w:rsidR="003D7CCF" w:rsidRPr="00CE58F6">
        <w:rPr>
          <w:rFonts w:asciiTheme="majorHAnsi" w:hAnsiTheme="majorHAnsi"/>
          <w:sz w:val="20"/>
          <w:szCs w:val="20"/>
        </w:rPr>
        <w:t>less suf</w:t>
      </w:r>
      <w:r w:rsidR="0043193E" w:rsidRPr="00CE58F6">
        <w:rPr>
          <w:rFonts w:asciiTheme="majorHAnsi" w:hAnsiTheme="majorHAnsi"/>
          <w:sz w:val="20"/>
          <w:szCs w:val="20"/>
        </w:rPr>
        <w:t>fering</w:t>
      </w:r>
      <w:r w:rsidR="002111AE" w:rsidRPr="00CE58F6">
        <w:rPr>
          <w:rFonts w:asciiTheme="majorHAnsi" w:hAnsiTheme="majorHAnsi"/>
          <w:sz w:val="20"/>
          <w:szCs w:val="20"/>
        </w:rPr>
        <w:t xml:space="preserve"> and give rise to sufficiently imminent dangers</w:t>
      </w:r>
      <w:r w:rsidR="007603A3" w:rsidRPr="00CE58F6">
        <w:rPr>
          <w:rFonts w:asciiTheme="majorHAnsi" w:hAnsiTheme="majorHAnsi"/>
          <w:sz w:val="20"/>
          <w:szCs w:val="20"/>
        </w:rPr>
        <w:t>.</w:t>
      </w:r>
      <w:r w:rsidR="00C87B2C" w:rsidRPr="00CE58F6">
        <w:rPr>
          <w:rFonts w:asciiTheme="majorHAnsi" w:hAnsiTheme="majorHAnsi"/>
          <w:sz w:val="20"/>
          <w:szCs w:val="20"/>
        </w:rPr>
        <w:t xml:space="preserve"> The Court further expounded that </w:t>
      </w:r>
      <w:r w:rsidR="003B268A" w:rsidRPr="00CE58F6">
        <w:rPr>
          <w:rFonts w:asciiTheme="majorHAnsi" w:hAnsiTheme="majorHAnsi"/>
          <w:sz w:val="20"/>
          <w:szCs w:val="20"/>
        </w:rPr>
        <w:t xml:space="preserve">there must be a substantial risk of serious harm, an objectively intolerable risk of harm that prevents prison officials from pleading that they were subjectively blameless for purposes of the </w:t>
      </w:r>
      <w:r w:rsidR="00501D2A" w:rsidRPr="00CE58F6">
        <w:rPr>
          <w:rFonts w:asciiTheme="majorHAnsi" w:hAnsiTheme="majorHAnsi"/>
          <w:sz w:val="20"/>
          <w:szCs w:val="20"/>
        </w:rPr>
        <w:t>E</w:t>
      </w:r>
      <w:r w:rsidR="003B268A" w:rsidRPr="00CE58F6">
        <w:rPr>
          <w:rFonts w:asciiTheme="majorHAnsi" w:hAnsiTheme="majorHAnsi"/>
          <w:sz w:val="20"/>
          <w:szCs w:val="20"/>
        </w:rPr>
        <w:t xml:space="preserve">ighth </w:t>
      </w:r>
      <w:r w:rsidR="00501D2A" w:rsidRPr="00CE58F6">
        <w:rPr>
          <w:rFonts w:asciiTheme="majorHAnsi" w:hAnsiTheme="majorHAnsi"/>
          <w:sz w:val="20"/>
          <w:szCs w:val="20"/>
        </w:rPr>
        <w:t>A</w:t>
      </w:r>
      <w:r w:rsidR="003B268A" w:rsidRPr="00CE58F6">
        <w:rPr>
          <w:rFonts w:asciiTheme="majorHAnsi" w:hAnsiTheme="majorHAnsi"/>
          <w:sz w:val="20"/>
          <w:szCs w:val="20"/>
        </w:rPr>
        <w:t xml:space="preserve">mendment. The court also states that the standard imposes a heavy burden upon the inmate to show that the lethal injection procedures violated the </w:t>
      </w:r>
      <w:r w:rsidR="00501D2A" w:rsidRPr="00CE58F6">
        <w:rPr>
          <w:rFonts w:asciiTheme="majorHAnsi" w:hAnsiTheme="majorHAnsi"/>
          <w:sz w:val="20"/>
          <w:szCs w:val="20"/>
        </w:rPr>
        <w:t>E</w:t>
      </w:r>
      <w:r w:rsidR="003B268A" w:rsidRPr="00CE58F6">
        <w:rPr>
          <w:rFonts w:asciiTheme="majorHAnsi" w:hAnsiTheme="majorHAnsi"/>
          <w:sz w:val="20"/>
          <w:szCs w:val="20"/>
        </w:rPr>
        <w:t xml:space="preserve">ighth </w:t>
      </w:r>
      <w:r w:rsidR="00501D2A" w:rsidRPr="00CE58F6">
        <w:rPr>
          <w:rFonts w:asciiTheme="majorHAnsi" w:hAnsiTheme="majorHAnsi"/>
          <w:sz w:val="20"/>
          <w:szCs w:val="20"/>
        </w:rPr>
        <w:t>A</w:t>
      </w:r>
      <w:r w:rsidR="003B268A" w:rsidRPr="00CE58F6">
        <w:rPr>
          <w:rFonts w:asciiTheme="majorHAnsi" w:hAnsiTheme="majorHAnsi"/>
          <w:sz w:val="20"/>
          <w:szCs w:val="20"/>
        </w:rPr>
        <w:t xml:space="preserve">mendment. </w:t>
      </w:r>
    </w:p>
    <w:p w14:paraId="4DD8382E" w14:textId="77777777" w:rsidR="00CC06F6" w:rsidRPr="00CE58F6" w:rsidRDefault="00CC06F6" w:rsidP="00CC06F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7AF02349" w14:textId="77777777" w:rsidR="00180C0F" w:rsidRPr="00CE58F6" w:rsidRDefault="00651D04"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Various experts made assertions about the effect of the drug. The State’s</w:t>
      </w:r>
      <w:r w:rsidR="006B0F2E" w:rsidRPr="00CE58F6">
        <w:rPr>
          <w:rFonts w:asciiTheme="majorHAnsi" w:hAnsiTheme="majorHAnsi"/>
          <w:sz w:val="20"/>
          <w:szCs w:val="20"/>
        </w:rPr>
        <w:t xml:space="preserve"> expert witness, Dr. Dershwitz, acknowledged that the FDA had not approved pentobarbital </w:t>
      </w:r>
      <w:r w:rsidRPr="00CE58F6">
        <w:rPr>
          <w:rFonts w:asciiTheme="majorHAnsi" w:hAnsiTheme="majorHAnsi"/>
          <w:sz w:val="20"/>
          <w:szCs w:val="20"/>
        </w:rPr>
        <w:t>for use in lethal injections, however, he did explain that the dosage to be used is lethal standing alone, and when administered, would induce a total flat line on the electroencephalogram (EEG) in brain activity, meaning that the recipient would have no perception or sensation. An expert for Mr. Valle, Dr. Waisel, opined that he would be unable to determine the intended effects of the drug as there was insufficient data regarding the drug’s use</w:t>
      </w:r>
      <w:r w:rsidR="00900729" w:rsidRPr="00CE58F6">
        <w:rPr>
          <w:rFonts w:asciiTheme="majorHAnsi" w:hAnsiTheme="majorHAnsi"/>
          <w:sz w:val="20"/>
          <w:szCs w:val="20"/>
        </w:rPr>
        <w:t xml:space="preserve">. The circuit court recognized that the assertion of lack of knowledge </w:t>
      </w:r>
      <w:r w:rsidR="004B4611" w:rsidRPr="00CE58F6">
        <w:rPr>
          <w:rFonts w:asciiTheme="majorHAnsi" w:hAnsiTheme="majorHAnsi"/>
          <w:sz w:val="20"/>
          <w:szCs w:val="20"/>
        </w:rPr>
        <w:t xml:space="preserve">of whether the drug would render someone unconscious </w:t>
      </w:r>
      <w:r w:rsidR="00900729" w:rsidRPr="00CE58F6">
        <w:rPr>
          <w:rFonts w:asciiTheme="majorHAnsi" w:hAnsiTheme="majorHAnsi"/>
          <w:sz w:val="20"/>
          <w:szCs w:val="20"/>
        </w:rPr>
        <w:t xml:space="preserve">fell short of the standard </w:t>
      </w:r>
      <w:r w:rsidR="008F60C5" w:rsidRPr="00CE58F6">
        <w:rPr>
          <w:rFonts w:asciiTheme="majorHAnsi" w:hAnsiTheme="majorHAnsi"/>
          <w:sz w:val="20"/>
          <w:szCs w:val="20"/>
        </w:rPr>
        <w:t>for the burden</w:t>
      </w:r>
      <w:r w:rsidR="004B4611" w:rsidRPr="00CE58F6">
        <w:rPr>
          <w:rFonts w:asciiTheme="majorHAnsi" w:hAnsiTheme="majorHAnsi"/>
          <w:sz w:val="20"/>
          <w:szCs w:val="20"/>
        </w:rPr>
        <w:t xml:space="preserve"> of proof. </w:t>
      </w:r>
      <w:r w:rsidR="00946C8B" w:rsidRPr="00CE58F6">
        <w:rPr>
          <w:rFonts w:asciiTheme="majorHAnsi" w:hAnsiTheme="majorHAnsi"/>
          <w:sz w:val="20"/>
          <w:szCs w:val="20"/>
        </w:rPr>
        <w:t>Likewise</w:t>
      </w:r>
      <w:r w:rsidR="00EB3B99" w:rsidRPr="00CE58F6">
        <w:rPr>
          <w:rFonts w:asciiTheme="majorHAnsi" w:hAnsiTheme="majorHAnsi"/>
          <w:sz w:val="20"/>
          <w:szCs w:val="20"/>
        </w:rPr>
        <w:t>, the FSC adopted a similar observation, recognizing for the other submissions of evidence that they failed to satisfy the standard that the replacement drug is sure or very likely to cause serious illness and needless suffering</w:t>
      </w:r>
      <w:r w:rsidR="00323860" w:rsidRPr="00CE58F6">
        <w:rPr>
          <w:rFonts w:asciiTheme="majorHAnsi" w:hAnsiTheme="majorHAnsi"/>
          <w:sz w:val="20"/>
          <w:szCs w:val="20"/>
        </w:rPr>
        <w:t xml:space="preserve">. Additionally, the court recognized previous case law which dealt with </w:t>
      </w:r>
      <w:r w:rsidR="00E50E66" w:rsidRPr="00CE58F6">
        <w:rPr>
          <w:rFonts w:asciiTheme="majorHAnsi" w:hAnsiTheme="majorHAnsi"/>
          <w:sz w:val="20"/>
          <w:szCs w:val="20"/>
        </w:rPr>
        <w:t xml:space="preserve">claims of problems within Florida’s lethal injection process, which proved that various administrative measures were in place. </w:t>
      </w:r>
    </w:p>
    <w:p w14:paraId="69869AE8" w14:textId="77777777" w:rsidR="00180C0F" w:rsidRPr="00CE58F6" w:rsidRDefault="00180C0F" w:rsidP="00180C0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6BF1ABFE" w14:textId="77777777" w:rsidR="009E13FA" w:rsidRPr="00CE58F6" w:rsidRDefault="00180C0F"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 xml:space="preserve">On Mr. Valle’s additional claim that he was denied public records </w:t>
      </w:r>
      <w:r w:rsidR="00852C3A" w:rsidRPr="00CE58F6">
        <w:rPr>
          <w:rFonts w:asciiTheme="majorHAnsi" w:hAnsiTheme="majorHAnsi"/>
          <w:sz w:val="20"/>
          <w:szCs w:val="20"/>
        </w:rPr>
        <w:t>request</w:t>
      </w:r>
      <w:r w:rsidR="00C270EB" w:rsidRPr="00CE58F6">
        <w:rPr>
          <w:rFonts w:asciiTheme="majorHAnsi" w:hAnsiTheme="majorHAnsi"/>
          <w:sz w:val="20"/>
          <w:szCs w:val="20"/>
        </w:rPr>
        <w:t>, it was noted that the Circuit Court granted the request in part; giving access to information on the substituted drug,</w:t>
      </w:r>
      <w:r w:rsidR="005A3704" w:rsidRPr="00CE58F6">
        <w:rPr>
          <w:rFonts w:asciiTheme="majorHAnsi" w:hAnsiTheme="majorHAnsi"/>
          <w:sz w:val="20"/>
          <w:szCs w:val="20"/>
        </w:rPr>
        <w:t xml:space="preserve"> the lethal injection protocol, related information from the Attorney General on approvals, expert evidence and previous procedures. The</w:t>
      </w:r>
      <w:r w:rsidR="00C270EB" w:rsidRPr="00CE58F6">
        <w:rPr>
          <w:rFonts w:asciiTheme="majorHAnsi" w:hAnsiTheme="majorHAnsi"/>
          <w:sz w:val="20"/>
          <w:szCs w:val="20"/>
        </w:rPr>
        <w:t xml:space="preserve"> FSC concluded that the additional documents did not relate to a colorable </w:t>
      </w:r>
      <w:r w:rsidR="00946C8B" w:rsidRPr="00CE58F6">
        <w:rPr>
          <w:rFonts w:asciiTheme="majorHAnsi" w:hAnsiTheme="majorHAnsi"/>
          <w:sz w:val="20"/>
          <w:szCs w:val="20"/>
        </w:rPr>
        <w:t>E</w:t>
      </w:r>
      <w:r w:rsidR="00C270EB" w:rsidRPr="00CE58F6">
        <w:rPr>
          <w:rFonts w:asciiTheme="majorHAnsi" w:hAnsiTheme="majorHAnsi"/>
          <w:sz w:val="20"/>
          <w:szCs w:val="20"/>
        </w:rPr>
        <w:t xml:space="preserve">ighth </w:t>
      </w:r>
      <w:r w:rsidR="00946C8B" w:rsidRPr="00CE58F6">
        <w:rPr>
          <w:rFonts w:asciiTheme="majorHAnsi" w:hAnsiTheme="majorHAnsi"/>
          <w:sz w:val="20"/>
          <w:szCs w:val="20"/>
        </w:rPr>
        <w:t>A</w:t>
      </w:r>
      <w:r w:rsidR="00C270EB" w:rsidRPr="00CE58F6">
        <w:rPr>
          <w:rFonts w:asciiTheme="majorHAnsi" w:hAnsiTheme="majorHAnsi"/>
          <w:sz w:val="20"/>
          <w:szCs w:val="20"/>
        </w:rPr>
        <w:t xml:space="preserve">mendment claim and that Mr. Valle failed to explain why and how the information would lead to evidence related to his claims. </w:t>
      </w:r>
    </w:p>
    <w:p w14:paraId="316016D3" w14:textId="77777777" w:rsidR="009E13FA" w:rsidRPr="00CE58F6" w:rsidRDefault="009E13FA" w:rsidP="009E13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4E5877B1" w14:textId="77777777" w:rsidR="00C77B21" w:rsidRPr="00CE58F6" w:rsidRDefault="009E13FA"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With respect to another claim on a denial of clemency proceedings</w:t>
      </w:r>
      <w:r w:rsidR="00AB19E9" w:rsidRPr="00CE58F6">
        <w:rPr>
          <w:rFonts w:asciiTheme="majorHAnsi" w:hAnsiTheme="majorHAnsi"/>
          <w:sz w:val="20"/>
          <w:szCs w:val="20"/>
        </w:rPr>
        <w:t xml:space="preserve">, the FSC affirmed the circuit court’s ruling, deeming the claim speculative and insufficiently pled. </w:t>
      </w:r>
      <w:r w:rsidR="00A32B22" w:rsidRPr="00CE58F6">
        <w:rPr>
          <w:rFonts w:asciiTheme="majorHAnsi" w:hAnsiTheme="majorHAnsi"/>
          <w:sz w:val="20"/>
          <w:szCs w:val="20"/>
        </w:rPr>
        <w:t xml:space="preserve">It is noted that Mr. Valle acknowledged that a clemency hearing was requested by Governor Chiles on February 6, 1992, and that it appeared to the Court that attorney Mark Evans was appointed to represent Mr. Valle during the proceedings. </w:t>
      </w:r>
      <w:r w:rsidR="0051113F" w:rsidRPr="00CE58F6">
        <w:rPr>
          <w:rFonts w:asciiTheme="majorHAnsi" w:hAnsiTheme="majorHAnsi"/>
          <w:sz w:val="20"/>
          <w:szCs w:val="20"/>
        </w:rPr>
        <w:t>Mr. Valle’s argument was</w:t>
      </w:r>
      <w:r w:rsidR="004D715B" w:rsidRPr="00CE58F6">
        <w:rPr>
          <w:rFonts w:asciiTheme="majorHAnsi" w:hAnsiTheme="majorHAnsi"/>
          <w:sz w:val="20"/>
          <w:szCs w:val="20"/>
        </w:rPr>
        <w:t>,</w:t>
      </w:r>
      <w:r w:rsidR="0051113F" w:rsidRPr="00CE58F6">
        <w:rPr>
          <w:rFonts w:asciiTheme="majorHAnsi" w:hAnsiTheme="majorHAnsi"/>
          <w:sz w:val="20"/>
          <w:szCs w:val="20"/>
        </w:rPr>
        <w:t xml:space="preserve"> however, that there is no indication that any clemency investigation or proceeding </w:t>
      </w:r>
      <w:r w:rsidR="007B1D1B" w:rsidRPr="00CE58F6">
        <w:rPr>
          <w:rFonts w:asciiTheme="majorHAnsi" w:hAnsiTheme="majorHAnsi"/>
          <w:sz w:val="20"/>
          <w:szCs w:val="20"/>
        </w:rPr>
        <w:t xml:space="preserve">was actually conducted, based on the fact that he did not have any files </w:t>
      </w:r>
      <w:r w:rsidR="00956D1D" w:rsidRPr="00CE58F6">
        <w:rPr>
          <w:rFonts w:asciiTheme="majorHAnsi" w:hAnsiTheme="majorHAnsi"/>
          <w:sz w:val="20"/>
          <w:szCs w:val="20"/>
        </w:rPr>
        <w:t>showing</w:t>
      </w:r>
      <w:r w:rsidR="007B1D1B" w:rsidRPr="00CE58F6">
        <w:rPr>
          <w:rFonts w:asciiTheme="majorHAnsi" w:hAnsiTheme="majorHAnsi"/>
          <w:sz w:val="20"/>
          <w:szCs w:val="20"/>
        </w:rPr>
        <w:t xml:space="preserve"> that it was held. </w:t>
      </w:r>
      <w:r w:rsidR="00AB19E9" w:rsidRPr="00CE58F6">
        <w:rPr>
          <w:rFonts w:asciiTheme="majorHAnsi" w:hAnsiTheme="majorHAnsi"/>
          <w:sz w:val="20"/>
          <w:szCs w:val="20"/>
        </w:rPr>
        <w:t xml:space="preserve">The FSC </w:t>
      </w:r>
      <w:r w:rsidR="00956D1D" w:rsidRPr="00CE58F6">
        <w:rPr>
          <w:rFonts w:asciiTheme="majorHAnsi" w:hAnsiTheme="majorHAnsi"/>
          <w:sz w:val="20"/>
          <w:szCs w:val="20"/>
        </w:rPr>
        <w:t>reasoned that Mr. Valle’s inability to determine this reflected his failure to adequately investigate and present the factual basis of the claim. Mr. Valle complained that he was denied access to the records re</w:t>
      </w:r>
      <w:r w:rsidR="00DE343D" w:rsidRPr="00CE58F6">
        <w:rPr>
          <w:rFonts w:asciiTheme="majorHAnsi" w:hAnsiTheme="majorHAnsi"/>
          <w:sz w:val="20"/>
          <w:szCs w:val="20"/>
        </w:rPr>
        <w:t>quested regarding</w:t>
      </w:r>
      <w:r w:rsidR="00956D1D" w:rsidRPr="00CE58F6">
        <w:rPr>
          <w:rFonts w:asciiTheme="majorHAnsi" w:hAnsiTheme="majorHAnsi"/>
          <w:sz w:val="20"/>
          <w:szCs w:val="20"/>
        </w:rPr>
        <w:t xml:space="preserve"> the clemency </w:t>
      </w:r>
      <w:r w:rsidR="00DE343D" w:rsidRPr="00CE58F6">
        <w:rPr>
          <w:rFonts w:asciiTheme="majorHAnsi" w:hAnsiTheme="majorHAnsi"/>
          <w:sz w:val="20"/>
          <w:szCs w:val="20"/>
        </w:rPr>
        <w:t>investigations</w:t>
      </w:r>
      <w:r w:rsidR="004D715B" w:rsidRPr="00CE58F6">
        <w:rPr>
          <w:rFonts w:asciiTheme="majorHAnsi" w:hAnsiTheme="majorHAnsi"/>
          <w:sz w:val="20"/>
          <w:szCs w:val="20"/>
        </w:rPr>
        <w:t>. H</w:t>
      </w:r>
      <w:r w:rsidR="00DE343D" w:rsidRPr="00CE58F6">
        <w:rPr>
          <w:rFonts w:asciiTheme="majorHAnsi" w:hAnsiTheme="majorHAnsi"/>
          <w:sz w:val="20"/>
          <w:szCs w:val="20"/>
        </w:rPr>
        <w:t>owever</w:t>
      </w:r>
      <w:r w:rsidR="004D715B" w:rsidRPr="00CE58F6">
        <w:rPr>
          <w:rFonts w:asciiTheme="majorHAnsi" w:hAnsiTheme="majorHAnsi"/>
          <w:sz w:val="20"/>
          <w:szCs w:val="20"/>
        </w:rPr>
        <w:t>,</w:t>
      </w:r>
      <w:r w:rsidR="00DE343D" w:rsidRPr="00CE58F6">
        <w:rPr>
          <w:rFonts w:asciiTheme="majorHAnsi" w:hAnsiTheme="majorHAnsi"/>
          <w:sz w:val="20"/>
          <w:szCs w:val="20"/>
        </w:rPr>
        <w:t xml:space="preserve"> he did not assert to the FSC that the Circuit court erred in sustaining agency objections or that he was improperly denied records to which he was entitled</w:t>
      </w:r>
      <w:r w:rsidR="00EB64EF" w:rsidRPr="00CE58F6">
        <w:rPr>
          <w:rFonts w:asciiTheme="majorHAnsi" w:hAnsiTheme="majorHAnsi"/>
          <w:sz w:val="20"/>
          <w:szCs w:val="20"/>
        </w:rPr>
        <w:t>. With respect to the statement on the death warrant on determining that clemency is not appropriate</w:t>
      </w:r>
      <w:r w:rsidR="00C01A81" w:rsidRPr="00CE58F6">
        <w:rPr>
          <w:rFonts w:asciiTheme="majorHAnsi" w:hAnsiTheme="majorHAnsi"/>
          <w:sz w:val="20"/>
          <w:szCs w:val="20"/>
        </w:rPr>
        <w:t xml:space="preserve">; the Court accounted of a previous case where the inmate was given a full clemency hearing and the death warrant which was signed sometime thereafter contained the same statement. </w:t>
      </w:r>
    </w:p>
    <w:p w14:paraId="32F48F61" w14:textId="77777777" w:rsidR="00C77B21" w:rsidRPr="00CE58F6" w:rsidRDefault="00C77B21" w:rsidP="00C77B2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6B2D3A0D" w14:textId="77777777" w:rsidR="001C52AF" w:rsidRPr="00CE58F6" w:rsidRDefault="00C77B21"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 xml:space="preserve">It was claimed that the thirty-three years spent on death row constituted cruel and unusual punishment. The FSC referenced case law asserting that no federal or state court has accepted such an argument especially when both parties bear responsibility for the delay. The court noted Mr. Valle’s submission that the State affected the delay in his trials for the first </w:t>
      </w:r>
      <w:r w:rsidR="000C2751" w:rsidRPr="00CE58F6">
        <w:rPr>
          <w:rFonts w:asciiTheme="majorHAnsi" w:hAnsiTheme="majorHAnsi"/>
          <w:sz w:val="20"/>
          <w:szCs w:val="20"/>
        </w:rPr>
        <w:t xml:space="preserve">ten </w:t>
      </w:r>
      <w:r w:rsidRPr="00CE58F6">
        <w:rPr>
          <w:rFonts w:asciiTheme="majorHAnsi" w:hAnsiTheme="majorHAnsi"/>
          <w:sz w:val="20"/>
          <w:szCs w:val="20"/>
        </w:rPr>
        <w:t xml:space="preserve">years </w:t>
      </w:r>
      <w:r w:rsidR="00737D1C" w:rsidRPr="00CE58F6">
        <w:rPr>
          <w:rFonts w:asciiTheme="majorHAnsi" w:hAnsiTheme="majorHAnsi"/>
          <w:sz w:val="20"/>
          <w:szCs w:val="20"/>
        </w:rPr>
        <w:t>on death row, thereby extending his incarceration</w:t>
      </w:r>
      <w:r w:rsidR="000C2751" w:rsidRPr="00CE58F6">
        <w:rPr>
          <w:rFonts w:asciiTheme="majorHAnsi" w:hAnsiTheme="majorHAnsi"/>
          <w:sz w:val="20"/>
          <w:szCs w:val="20"/>
        </w:rPr>
        <w:t>. H</w:t>
      </w:r>
      <w:r w:rsidR="00737D1C" w:rsidRPr="00CE58F6">
        <w:rPr>
          <w:rFonts w:asciiTheme="majorHAnsi" w:hAnsiTheme="majorHAnsi"/>
          <w:sz w:val="20"/>
          <w:szCs w:val="20"/>
        </w:rPr>
        <w:t>owever</w:t>
      </w:r>
      <w:r w:rsidR="000C2751" w:rsidRPr="00CE58F6">
        <w:rPr>
          <w:rFonts w:asciiTheme="majorHAnsi" w:hAnsiTheme="majorHAnsi"/>
          <w:sz w:val="20"/>
          <w:szCs w:val="20"/>
        </w:rPr>
        <w:t>,</w:t>
      </w:r>
      <w:r w:rsidR="00737D1C" w:rsidRPr="00CE58F6">
        <w:rPr>
          <w:rFonts w:asciiTheme="majorHAnsi" w:hAnsiTheme="majorHAnsi"/>
          <w:sz w:val="20"/>
          <w:szCs w:val="20"/>
        </w:rPr>
        <w:t xml:space="preserve"> the court found that Mr. Valle contributed to the remaining twenty-three </w:t>
      </w:r>
      <w:r w:rsidR="000C2751" w:rsidRPr="00CE58F6">
        <w:rPr>
          <w:rFonts w:asciiTheme="majorHAnsi" w:hAnsiTheme="majorHAnsi"/>
          <w:sz w:val="20"/>
          <w:szCs w:val="20"/>
        </w:rPr>
        <w:t xml:space="preserve">years </w:t>
      </w:r>
      <w:r w:rsidR="00737D1C" w:rsidRPr="00CE58F6">
        <w:rPr>
          <w:rFonts w:asciiTheme="majorHAnsi" w:hAnsiTheme="majorHAnsi"/>
          <w:sz w:val="20"/>
          <w:szCs w:val="20"/>
        </w:rPr>
        <w:t xml:space="preserve">through his continued exercise of constitutional challenges to his conviction and sentence. </w:t>
      </w:r>
    </w:p>
    <w:p w14:paraId="4118FF4E" w14:textId="77777777" w:rsidR="001C52AF" w:rsidRPr="00CE58F6" w:rsidRDefault="001C52AF" w:rsidP="001C52A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sz w:val="20"/>
          <w:szCs w:val="20"/>
        </w:rPr>
      </w:pPr>
    </w:p>
    <w:p w14:paraId="77073377" w14:textId="77777777" w:rsidR="00CC06F6" w:rsidRPr="00CE58F6" w:rsidRDefault="001C52AF" w:rsidP="007D7C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Mr. Valle also claimed that he is entitled to relief as the State failed to advise him of the right to notify the consulate of his arrest, and to consult with the consulate or a diplomatic officer without delay</w:t>
      </w:r>
      <w:r w:rsidR="000C2751" w:rsidRPr="00CE58F6">
        <w:rPr>
          <w:rFonts w:asciiTheme="majorHAnsi" w:hAnsiTheme="majorHAnsi"/>
          <w:sz w:val="20"/>
          <w:szCs w:val="20"/>
        </w:rPr>
        <w:t>, as established in</w:t>
      </w:r>
      <w:r w:rsidRPr="00CE58F6">
        <w:rPr>
          <w:rFonts w:asciiTheme="majorHAnsi" w:hAnsiTheme="majorHAnsi"/>
          <w:sz w:val="20"/>
          <w:szCs w:val="20"/>
        </w:rPr>
        <w:t xml:space="preserve"> the Vienna Convention. The Court reasoned that the Circuit Court did not err in denying this relief as Mr. Valle based his claim upon a federal bill that was proposed, but not yet signed into law, that would provide death row inmates with a process to assert such a violation; however</w:t>
      </w:r>
      <w:r w:rsidR="00BF6BE9" w:rsidRPr="00CE58F6">
        <w:rPr>
          <w:rFonts w:asciiTheme="majorHAnsi" w:hAnsiTheme="majorHAnsi"/>
          <w:sz w:val="20"/>
          <w:szCs w:val="20"/>
        </w:rPr>
        <w:t>,</w:t>
      </w:r>
      <w:r w:rsidRPr="00CE58F6">
        <w:rPr>
          <w:rFonts w:asciiTheme="majorHAnsi" w:hAnsiTheme="majorHAnsi"/>
          <w:sz w:val="20"/>
          <w:szCs w:val="20"/>
        </w:rPr>
        <w:t xml:space="preserve"> it was concluded that a state is not </w:t>
      </w:r>
      <w:r w:rsidRPr="00CE58F6">
        <w:rPr>
          <w:rFonts w:asciiTheme="majorHAnsi" w:hAnsiTheme="majorHAnsi"/>
          <w:sz w:val="20"/>
          <w:szCs w:val="20"/>
        </w:rPr>
        <w:lastRenderedPageBreak/>
        <w:t xml:space="preserve">prohibited from carrying out a lawful judgment in light of un-enacted legislation that might </w:t>
      </w:r>
      <w:r w:rsidR="00DE7624" w:rsidRPr="00CE58F6">
        <w:rPr>
          <w:rFonts w:asciiTheme="majorHAnsi" w:hAnsiTheme="majorHAnsi"/>
          <w:sz w:val="20"/>
          <w:szCs w:val="20"/>
        </w:rPr>
        <w:t xml:space="preserve">someday </w:t>
      </w:r>
      <w:r w:rsidR="007D7E06" w:rsidRPr="00CE58F6">
        <w:rPr>
          <w:rFonts w:asciiTheme="majorHAnsi" w:hAnsiTheme="majorHAnsi"/>
          <w:sz w:val="20"/>
          <w:szCs w:val="20"/>
        </w:rPr>
        <w:t>authorize</w:t>
      </w:r>
      <w:r w:rsidR="00DE7624" w:rsidRPr="00CE58F6">
        <w:rPr>
          <w:rFonts w:asciiTheme="majorHAnsi" w:hAnsiTheme="majorHAnsi"/>
          <w:sz w:val="20"/>
          <w:szCs w:val="20"/>
        </w:rPr>
        <w:t xml:space="preserve"> a collateral attack on that</w:t>
      </w:r>
      <w:r w:rsidRPr="00CE58F6">
        <w:rPr>
          <w:rFonts w:asciiTheme="majorHAnsi" w:hAnsiTheme="majorHAnsi"/>
          <w:sz w:val="20"/>
          <w:szCs w:val="20"/>
        </w:rPr>
        <w:t xml:space="preserve"> judgment. </w:t>
      </w:r>
    </w:p>
    <w:p w14:paraId="6A4E5E27" w14:textId="77777777" w:rsidR="00CC06F6" w:rsidRPr="00CE58F6" w:rsidRDefault="00CC06F6" w:rsidP="00CC06F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textAlignment w:val="baseline"/>
        <w:rPr>
          <w:rFonts w:asciiTheme="majorHAnsi" w:hAnsiTheme="majorHAnsi"/>
          <w:b/>
          <w:sz w:val="20"/>
          <w:szCs w:val="20"/>
        </w:rPr>
      </w:pPr>
    </w:p>
    <w:p w14:paraId="5B7EFD2C" w14:textId="77777777" w:rsidR="00CC06F6" w:rsidRPr="00CE58F6" w:rsidRDefault="00572315" w:rsidP="00CC06F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Having considered the claims and various assertions, the</w:t>
      </w:r>
      <w:r w:rsidR="00CC06F6" w:rsidRPr="00CE58F6">
        <w:rPr>
          <w:rFonts w:asciiTheme="majorHAnsi" w:hAnsiTheme="majorHAnsi"/>
          <w:sz w:val="20"/>
          <w:szCs w:val="20"/>
        </w:rPr>
        <w:t xml:space="preserve"> FSC affirmed the Circuit Court’s denial and Mr. Valle was executed on September 28, 2011.</w:t>
      </w:r>
    </w:p>
    <w:p w14:paraId="31C35641" w14:textId="77777777" w:rsidR="00847431" w:rsidRPr="00CE58F6" w:rsidRDefault="00847431" w:rsidP="00EC55E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right="360"/>
        <w:jc w:val="both"/>
        <w:rPr>
          <w:rFonts w:asciiTheme="majorHAnsi" w:hAnsiTheme="majorHAnsi"/>
          <w:sz w:val="20"/>
          <w:szCs w:val="20"/>
        </w:rPr>
      </w:pPr>
    </w:p>
    <w:p w14:paraId="2DD0CA37" w14:textId="77777777" w:rsidR="00677DA7" w:rsidRPr="00CE58F6" w:rsidRDefault="00677DA7" w:rsidP="00EC55EA">
      <w:pPr>
        <w:pStyle w:val="Heading1"/>
        <w:tabs>
          <w:tab w:val="left" w:pos="360"/>
        </w:tabs>
        <w:spacing w:before="0"/>
        <w:ind w:hanging="720"/>
        <w:rPr>
          <w:color w:val="auto"/>
          <w:sz w:val="20"/>
          <w:szCs w:val="20"/>
        </w:rPr>
      </w:pPr>
      <w:bookmarkStart w:id="17" w:name="_Toc90291510"/>
      <w:r w:rsidRPr="00CE58F6">
        <w:rPr>
          <w:color w:val="auto"/>
          <w:sz w:val="20"/>
          <w:szCs w:val="20"/>
        </w:rPr>
        <w:t>ANALYSIS OF LAW</w:t>
      </w:r>
      <w:bookmarkEnd w:id="17"/>
    </w:p>
    <w:p w14:paraId="3DEA6836" w14:textId="77777777" w:rsidR="00E57AC6" w:rsidRPr="00CE58F6" w:rsidRDefault="00E57AC6" w:rsidP="00EC55EA">
      <w:pPr>
        <w:rPr>
          <w:rFonts w:asciiTheme="majorHAnsi" w:hAnsiTheme="majorHAnsi"/>
          <w:sz w:val="20"/>
          <w:szCs w:val="20"/>
        </w:rPr>
      </w:pPr>
    </w:p>
    <w:p w14:paraId="64ACBD5A" w14:textId="77777777" w:rsidR="00677DA7" w:rsidRPr="00CE58F6" w:rsidRDefault="00F24AB2" w:rsidP="00EC55EA">
      <w:pPr>
        <w:pStyle w:val="Heading2"/>
        <w:numPr>
          <w:ilvl w:val="0"/>
          <w:numId w:val="61"/>
        </w:numPr>
        <w:tabs>
          <w:tab w:val="left" w:pos="360"/>
        </w:tabs>
        <w:spacing w:before="0"/>
        <w:ind w:left="0" w:firstLine="0"/>
        <w:rPr>
          <w:color w:val="auto"/>
          <w:sz w:val="20"/>
          <w:szCs w:val="20"/>
        </w:rPr>
      </w:pPr>
      <w:bookmarkStart w:id="18" w:name="_Toc90291511"/>
      <w:r w:rsidRPr="00CE58F6">
        <w:rPr>
          <w:color w:val="auto"/>
          <w:sz w:val="20"/>
          <w:szCs w:val="20"/>
        </w:rPr>
        <w:t>Law</w:t>
      </w:r>
      <w:bookmarkEnd w:id="18"/>
    </w:p>
    <w:p w14:paraId="51E90873" w14:textId="77777777" w:rsidR="00E57AC6" w:rsidRPr="00CE58F6" w:rsidRDefault="00E57AC6" w:rsidP="00EC55EA">
      <w:pPr>
        <w:pStyle w:val="ListParagraph"/>
        <w:rPr>
          <w:sz w:val="20"/>
          <w:szCs w:val="20"/>
        </w:rPr>
      </w:pPr>
    </w:p>
    <w:p w14:paraId="73F60D0C" w14:textId="77777777" w:rsidR="003F42A8" w:rsidRPr="00CE58F6" w:rsidRDefault="00596AB5" w:rsidP="00AF18F9">
      <w:pPr>
        <w:pStyle w:val="parrafos"/>
        <w:numPr>
          <w:ilvl w:val="0"/>
          <w:numId w:val="55"/>
        </w:numPr>
        <w:ind w:left="0" w:firstLine="0"/>
        <w:rPr>
          <w:rFonts w:ascii="Cambria" w:hAnsi="Cambria"/>
        </w:rPr>
      </w:pPr>
      <w:r w:rsidRPr="00CE58F6">
        <w:t xml:space="preserve">Florida </w:t>
      </w:r>
      <w:r w:rsidR="00BF6BE9" w:rsidRPr="00CE58F6">
        <w:t>C</w:t>
      </w:r>
      <w:r w:rsidRPr="00CE58F6">
        <w:t>onstitution provisions regarding clemency</w:t>
      </w:r>
      <w:r w:rsidR="003F42A8" w:rsidRPr="00CE58F6">
        <w:t xml:space="preserve"> are found within Article IV, section 8, and provide as follows:</w:t>
      </w:r>
    </w:p>
    <w:p w14:paraId="415F8D6E" w14:textId="77777777" w:rsidR="00B46600" w:rsidRPr="00CE58F6" w:rsidRDefault="00B46600" w:rsidP="00AF18F9">
      <w:pPr>
        <w:pStyle w:val="parrafos"/>
        <w:ind w:left="426" w:right="288" w:firstLine="0"/>
        <w:rPr>
          <w:rFonts w:ascii="Cambria" w:hAnsi="Cambria"/>
        </w:rPr>
      </w:pPr>
    </w:p>
    <w:p w14:paraId="09C18969" w14:textId="77777777" w:rsidR="00F24AB2" w:rsidRPr="00CE58F6" w:rsidRDefault="00B46600" w:rsidP="00AF18F9">
      <w:pPr>
        <w:ind w:left="426" w:right="288"/>
        <w:jc w:val="both"/>
        <w:rPr>
          <w:rFonts w:asciiTheme="majorHAnsi" w:hAnsiTheme="majorHAnsi"/>
          <w:sz w:val="20"/>
          <w:szCs w:val="20"/>
          <w:bdr w:val="none" w:sz="0" w:space="0" w:color="auto"/>
        </w:rPr>
      </w:pPr>
      <w:r w:rsidRPr="00CE58F6">
        <w:rPr>
          <w:rFonts w:asciiTheme="majorHAnsi" w:hAnsiTheme="majorHAnsi"/>
          <w:sz w:val="20"/>
          <w:szCs w:val="20"/>
          <w:bdr w:val="none" w:sz="0" w:space="0" w:color="auto"/>
        </w:rPr>
        <w:t>(a)</w:t>
      </w:r>
      <w:r w:rsidRPr="00CE58F6">
        <w:rPr>
          <w:rFonts w:asciiTheme="majorHAnsi"/>
          <w:sz w:val="20"/>
          <w:szCs w:val="20"/>
          <w:bdr w:val="none" w:sz="0" w:space="0" w:color="auto"/>
        </w:rPr>
        <w:t> </w:t>
      </w:r>
      <w:r w:rsidRPr="00CE58F6">
        <w:rPr>
          <w:rFonts w:asciiTheme="majorHAnsi" w:hAnsiTheme="majorHAnsi"/>
          <w:sz w:val="20"/>
          <w:szCs w:val="20"/>
          <w:bdr w:val="none" w:sz="0" w:space="0" w:color="auto"/>
        </w:rPr>
        <w:t>Except in cases of treason and in cases where impeachment results in conviction, the governor may, by executive order filed with the custodian of state records, suspend collection of fines and forfeitures, grant reprieves not exceeding sixty days and, with the approval of two members of the cabinet, grant full or conditional pardons, restore civil rights, commute punishment, and remit fines and forfeitures for offenses.</w:t>
      </w:r>
    </w:p>
    <w:p w14:paraId="60C12974" w14:textId="77777777" w:rsidR="00F24AB2" w:rsidRPr="00CE58F6" w:rsidRDefault="00F24AB2" w:rsidP="00F24AB2">
      <w:pPr>
        <w:rPr>
          <w:rFonts w:asciiTheme="majorHAnsi" w:hAnsiTheme="majorHAnsi"/>
          <w:sz w:val="20"/>
          <w:szCs w:val="20"/>
        </w:rPr>
      </w:pPr>
    </w:p>
    <w:p w14:paraId="6D603CB3" w14:textId="77777777" w:rsidR="00F24AB2" w:rsidRPr="00CE58F6" w:rsidRDefault="00F24AB2" w:rsidP="00F24AB2">
      <w:pPr>
        <w:pStyle w:val="Heading2"/>
        <w:numPr>
          <w:ilvl w:val="0"/>
          <w:numId w:val="61"/>
        </w:numPr>
        <w:tabs>
          <w:tab w:val="left" w:pos="360"/>
        </w:tabs>
        <w:spacing w:before="0"/>
        <w:ind w:left="0" w:firstLine="0"/>
        <w:rPr>
          <w:color w:val="auto"/>
          <w:sz w:val="20"/>
          <w:szCs w:val="20"/>
        </w:rPr>
      </w:pPr>
      <w:bookmarkStart w:id="19" w:name="_Toc90291512"/>
      <w:r w:rsidRPr="00CE58F6">
        <w:rPr>
          <w:color w:val="auto"/>
          <w:sz w:val="20"/>
          <w:szCs w:val="20"/>
        </w:rPr>
        <w:t>Preliminary considerations</w:t>
      </w:r>
      <w:bookmarkEnd w:id="19"/>
    </w:p>
    <w:p w14:paraId="20059F02" w14:textId="77777777" w:rsidR="00F24AB2" w:rsidRPr="00CE58F6" w:rsidRDefault="00F24AB2" w:rsidP="00F24AB2">
      <w:pPr>
        <w:pStyle w:val="ListParagraph"/>
        <w:rPr>
          <w:sz w:val="20"/>
          <w:szCs w:val="20"/>
        </w:rPr>
      </w:pPr>
    </w:p>
    <w:p w14:paraId="12B1CC7F" w14:textId="77777777" w:rsidR="00F24AB2" w:rsidRPr="00CE58F6" w:rsidRDefault="00F24AB2" w:rsidP="00EC55EA">
      <w:pPr>
        <w:pStyle w:val="parrafos"/>
        <w:numPr>
          <w:ilvl w:val="0"/>
          <w:numId w:val="55"/>
        </w:numPr>
        <w:ind w:left="0" w:firstLine="0"/>
      </w:pPr>
      <w:r w:rsidRPr="00CE58F6">
        <w:t xml:space="preserve">Before embarking on its analysis of the merits in the case of Manuel Valle, the Inter-American Commission reiterates its previous rulings regarding the heightened scrutiny to be used in cases involving the death penalty. The right to life has received broad recognition as the supreme human right and as a sine qua non for the enjoyment of all other rights. </w:t>
      </w:r>
    </w:p>
    <w:p w14:paraId="49FEE387" w14:textId="77777777" w:rsidR="00E57AC6" w:rsidRPr="00CE58F6" w:rsidRDefault="00E57AC6" w:rsidP="00EC55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526B7F25" w14:textId="77777777" w:rsidR="00E57AC6" w:rsidRPr="00CE58F6" w:rsidRDefault="00E57AC6" w:rsidP="00EC55EA">
      <w:pPr>
        <w:pStyle w:val="parrafos"/>
        <w:numPr>
          <w:ilvl w:val="0"/>
          <w:numId w:val="55"/>
        </w:numPr>
        <w:ind w:left="0" w:firstLine="0"/>
      </w:pPr>
      <w:r w:rsidRPr="00CE58F6">
        <w:t>That gives rise to the particular importance of the IACHR’s obligation to ensure that any denial of life that may arise from the enforcement of the death penalty strictly abides by the requirements set forth in the applicable instruments of the Inter-American human rights system, including the American Declaration. That heightened scrutiny is consistent with the restrictive approach adopted by other international human rights bodies in cases involving the imposition of the death penalty,</w:t>
      </w:r>
      <w:r w:rsidRPr="00CE58F6">
        <w:rPr>
          <w:rStyle w:val="FootnoteReference"/>
        </w:rPr>
        <w:footnoteReference w:id="25"/>
      </w:r>
      <w:r w:rsidRPr="00CE58F6">
        <w:t xml:space="preserve"> and it has been set out and applied by the Inter-American Commission in previous capital cases brought before it.</w:t>
      </w:r>
      <w:r w:rsidRPr="00CE58F6">
        <w:rPr>
          <w:rStyle w:val="FootnoteReference"/>
        </w:rPr>
        <w:footnoteReference w:id="26"/>
      </w:r>
      <w:r w:rsidRPr="00CE58F6">
        <w:t xml:space="preserve"> As the Inter-American Commission has explained, this standard of review is the necessary consequence of the specific penalty at issue and the right to a fair trial and all attendant due process guarantees, among others.</w:t>
      </w:r>
      <w:r w:rsidRPr="00CE58F6">
        <w:rPr>
          <w:rStyle w:val="FootnoteReference"/>
        </w:rPr>
        <w:footnoteReference w:id="27"/>
      </w:r>
      <w:r w:rsidRPr="00CE58F6">
        <w:t xml:space="preserve"> In the words of the Commission:</w:t>
      </w:r>
    </w:p>
    <w:p w14:paraId="00F984C3" w14:textId="77777777" w:rsidR="00E57AC6" w:rsidRPr="00CE58F6" w:rsidRDefault="00E57AC6" w:rsidP="00EC55EA">
      <w:pPr>
        <w:pStyle w:val="ListParagraph"/>
        <w:rPr>
          <w:sz w:val="20"/>
          <w:szCs w:val="20"/>
        </w:rPr>
      </w:pPr>
    </w:p>
    <w:p w14:paraId="7F66E9E7" w14:textId="77777777" w:rsidR="00E57AC6" w:rsidRPr="00CE58F6" w:rsidRDefault="00E57AC6" w:rsidP="00EC55EA">
      <w:pPr>
        <w:autoSpaceDE w:val="0"/>
        <w:autoSpaceDN w:val="0"/>
        <w:adjustRightInd w:val="0"/>
        <w:ind w:left="360" w:right="360"/>
        <w:jc w:val="both"/>
        <w:rPr>
          <w:rFonts w:ascii="Cambria" w:hAnsi="Cambria" w:cs="Calibri"/>
          <w:sz w:val="18"/>
          <w:szCs w:val="18"/>
        </w:rPr>
      </w:pPr>
      <w:r w:rsidRPr="00CE58F6">
        <w:rPr>
          <w:rFonts w:ascii="Cambria" w:hAnsi="Cambria" w:cs="Calibri"/>
          <w:sz w:val="18"/>
          <w:szCs w:val="18"/>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CE58F6">
        <w:rPr>
          <w:rStyle w:val="FootnoteReference"/>
          <w:rFonts w:ascii="Cambria" w:hAnsi="Cambria"/>
          <w:sz w:val="18"/>
          <w:szCs w:val="18"/>
        </w:rPr>
        <w:footnoteReference w:id="28"/>
      </w:r>
    </w:p>
    <w:p w14:paraId="2A28448C" w14:textId="77777777" w:rsidR="00E57AC6" w:rsidRPr="00CE58F6" w:rsidRDefault="00E57AC6" w:rsidP="00EC55EA">
      <w:pPr>
        <w:jc w:val="both"/>
        <w:rPr>
          <w:rFonts w:ascii="Cambria" w:hAnsi="Cambria"/>
          <w:sz w:val="20"/>
          <w:szCs w:val="20"/>
        </w:rPr>
      </w:pPr>
    </w:p>
    <w:p w14:paraId="65DA7703" w14:textId="77777777" w:rsidR="00E57AC6" w:rsidRPr="00CE58F6" w:rsidRDefault="00E57AC6" w:rsidP="00EC55EA">
      <w:pPr>
        <w:pStyle w:val="NormalWeb"/>
        <w:numPr>
          <w:ilvl w:val="0"/>
          <w:numId w:val="55"/>
        </w:numPr>
        <w:tabs>
          <w:tab w:val="left" w:pos="360"/>
        </w:tabs>
        <w:spacing w:before="0" w:beforeAutospacing="0" w:after="0" w:afterAutospacing="0"/>
        <w:ind w:left="0" w:firstLine="0"/>
        <w:jc w:val="both"/>
        <w:rPr>
          <w:rFonts w:ascii="Cambria" w:eastAsia="Arial Unicode MS" w:hAnsi="Cambria"/>
          <w:sz w:val="20"/>
          <w:szCs w:val="20"/>
          <w:bdr w:val="nil"/>
        </w:rPr>
      </w:pPr>
      <w:r w:rsidRPr="00CE58F6">
        <w:rPr>
          <w:rFonts w:asciiTheme="majorHAnsi" w:hAnsiTheme="majorHAnsi"/>
          <w:sz w:val="20"/>
          <w:szCs w:val="20"/>
        </w:rPr>
        <w:t>The Inter-American Commission will therefore review the petitioners</w:t>
      </w:r>
      <w:r w:rsidR="00BF6BE9" w:rsidRPr="00CE58F6">
        <w:rPr>
          <w:rFonts w:asciiTheme="majorHAnsi" w:hAnsiTheme="majorHAnsi"/>
          <w:sz w:val="20"/>
          <w:szCs w:val="20"/>
        </w:rPr>
        <w:t>’</w:t>
      </w:r>
      <w:r w:rsidRPr="00CE58F6">
        <w:rPr>
          <w:rFonts w:asciiTheme="majorHAnsi" w:hAnsiTheme="majorHAnsi"/>
          <w:sz w:val="20"/>
          <w:szCs w:val="20"/>
        </w:rPr>
        <w:t xml:space="preserve"> allegations in the present case with a heightened level of scrutiny, to ensure in particular that the rights to life, </w:t>
      </w:r>
      <w:r w:rsidR="003B1D61" w:rsidRPr="00CE58F6">
        <w:rPr>
          <w:rFonts w:asciiTheme="majorHAnsi" w:hAnsiTheme="majorHAnsi"/>
          <w:sz w:val="20"/>
          <w:szCs w:val="20"/>
        </w:rPr>
        <w:t xml:space="preserve">not to receive cruel, infamous or unusual punishment, to </w:t>
      </w:r>
      <w:r w:rsidRPr="00CE58F6">
        <w:rPr>
          <w:rFonts w:asciiTheme="majorHAnsi" w:hAnsiTheme="majorHAnsi"/>
          <w:sz w:val="20"/>
          <w:szCs w:val="20"/>
        </w:rPr>
        <w:t>due process, and to a fair trial as prescribed under the American Declaration</w:t>
      </w:r>
      <w:r w:rsidR="003B1D61" w:rsidRPr="00CE58F6">
        <w:rPr>
          <w:rFonts w:asciiTheme="majorHAnsi" w:hAnsiTheme="majorHAnsi"/>
          <w:sz w:val="20"/>
          <w:szCs w:val="20"/>
        </w:rPr>
        <w:t>,</w:t>
      </w:r>
      <w:r w:rsidRPr="00CE58F6">
        <w:rPr>
          <w:rFonts w:asciiTheme="majorHAnsi" w:hAnsiTheme="majorHAnsi"/>
          <w:sz w:val="20"/>
          <w:szCs w:val="20"/>
        </w:rPr>
        <w:t xml:space="preserve"> have been respected by the State. With regard to the legal status of the American</w:t>
      </w:r>
      <w:r w:rsidRPr="00CE58F6">
        <w:rPr>
          <w:rFonts w:ascii="Cambria" w:hAnsi="Cambria"/>
          <w:sz w:val="20"/>
        </w:rPr>
        <w:t xml:space="preserve"> Declaration, the IACHR reiterates that:</w:t>
      </w:r>
      <w:r w:rsidRPr="00CE58F6">
        <w:rPr>
          <w:rStyle w:val="FootnoteReference"/>
          <w:rFonts w:ascii="Cambria" w:hAnsi="Cambria"/>
          <w:sz w:val="20"/>
          <w:szCs w:val="20"/>
        </w:rPr>
        <w:footnoteReference w:id="29"/>
      </w:r>
      <w:r w:rsidRPr="00CE58F6">
        <w:rPr>
          <w:rFonts w:ascii="Cambria" w:hAnsi="Cambria" w:cs="Tahoma"/>
          <w:color w:val="262626"/>
          <w:sz w:val="20"/>
          <w:szCs w:val="20"/>
        </w:rPr>
        <w:t xml:space="preserve"> </w:t>
      </w:r>
    </w:p>
    <w:p w14:paraId="0914AB39" w14:textId="77777777" w:rsidR="00E57AC6" w:rsidRPr="00CE58F6" w:rsidRDefault="00E57AC6" w:rsidP="00EC55EA">
      <w:pPr>
        <w:tabs>
          <w:tab w:val="left" w:pos="630"/>
          <w:tab w:val="left" w:pos="810"/>
        </w:tabs>
        <w:autoSpaceDE w:val="0"/>
        <w:autoSpaceDN w:val="0"/>
        <w:adjustRightInd w:val="0"/>
        <w:jc w:val="both"/>
        <w:rPr>
          <w:rFonts w:ascii="Cambria" w:hAnsi="Cambria" w:cs="Calibri"/>
          <w:sz w:val="20"/>
          <w:szCs w:val="20"/>
        </w:rPr>
      </w:pPr>
    </w:p>
    <w:p w14:paraId="78F96A38" w14:textId="77777777" w:rsidR="00E57AC6" w:rsidRPr="00CE58F6" w:rsidRDefault="00E57AC6" w:rsidP="00EC55EA">
      <w:pPr>
        <w:tabs>
          <w:tab w:val="left" w:pos="630"/>
          <w:tab w:val="left" w:pos="810"/>
        </w:tabs>
        <w:autoSpaceDE w:val="0"/>
        <w:autoSpaceDN w:val="0"/>
        <w:adjustRightInd w:val="0"/>
        <w:ind w:left="360" w:right="360"/>
        <w:jc w:val="both"/>
        <w:rPr>
          <w:rFonts w:ascii="Cambria" w:hAnsi="Cambria" w:cs="Calibri"/>
          <w:sz w:val="18"/>
          <w:szCs w:val="18"/>
        </w:rPr>
      </w:pPr>
      <w:r w:rsidRPr="00CE58F6">
        <w:rPr>
          <w:rFonts w:ascii="Cambria" w:hAnsi="Cambria"/>
          <w:sz w:val="18"/>
          <w:szCs w:val="18"/>
        </w:rPr>
        <w:lastRenderedPageBreak/>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p>
    <w:p w14:paraId="136CCF3F" w14:textId="77777777" w:rsidR="00E57AC6" w:rsidRPr="00CE58F6" w:rsidRDefault="00E57AC6" w:rsidP="00EC55EA">
      <w:pPr>
        <w:pStyle w:val="ListParagraph"/>
        <w:rPr>
          <w:sz w:val="20"/>
          <w:szCs w:val="20"/>
        </w:rPr>
      </w:pPr>
    </w:p>
    <w:p w14:paraId="505762C0" w14:textId="77777777" w:rsidR="00E57AC6" w:rsidRPr="00CE58F6" w:rsidRDefault="00E57AC6" w:rsidP="00EC55EA">
      <w:pPr>
        <w:pStyle w:val="NormalWeb"/>
        <w:numPr>
          <w:ilvl w:val="0"/>
          <w:numId w:val="55"/>
        </w:numPr>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CE58F6">
        <w:rPr>
          <w:rFonts w:asciiTheme="majorHAnsi" w:hAnsiTheme="majorHAnsi"/>
          <w:sz w:val="20"/>
        </w:rPr>
        <w:t xml:space="preserve">Finally, the Commission recalls that its review does not consist of determining that the death penalty in and of itself violates the American Declaration. What this section addresses is the standard of review of the alleged human rights violations in the context of </w:t>
      </w:r>
      <w:r w:rsidR="002E3921" w:rsidRPr="00CE58F6">
        <w:rPr>
          <w:rFonts w:asciiTheme="majorHAnsi" w:hAnsiTheme="majorHAnsi"/>
          <w:sz w:val="20"/>
        </w:rPr>
        <w:t>criminal proceedings in a case involving the application of t</w:t>
      </w:r>
      <w:r w:rsidRPr="00CE58F6">
        <w:rPr>
          <w:rFonts w:asciiTheme="majorHAnsi" w:hAnsiTheme="majorHAnsi"/>
          <w:sz w:val="20"/>
        </w:rPr>
        <w:t>he death penalty.</w:t>
      </w:r>
    </w:p>
    <w:p w14:paraId="437448CD" w14:textId="77777777" w:rsidR="00847431" w:rsidRPr="00CE58F6" w:rsidRDefault="00847431" w:rsidP="00EC55EA"/>
    <w:p w14:paraId="5F19AD46" w14:textId="77777777" w:rsidR="00677DA7" w:rsidRPr="00CE58F6" w:rsidRDefault="00582D0D" w:rsidP="00EC55EA">
      <w:pPr>
        <w:pStyle w:val="Heading2"/>
        <w:numPr>
          <w:ilvl w:val="0"/>
          <w:numId w:val="61"/>
        </w:numPr>
        <w:tabs>
          <w:tab w:val="left" w:pos="360"/>
        </w:tabs>
        <w:spacing w:before="0"/>
        <w:ind w:left="0" w:firstLine="0"/>
        <w:jc w:val="both"/>
        <w:rPr>
          <w:color w:val="auto"/>
          <w:sz w:val="20"/>
          <w:szCs w:val="20"/>
        </w:rPr>
      </w:pPr>
      <w:bookmarkStart w:id="20" w:name="_Toc90291513"/>
      <w:r w:rsidRPr="00CE58F6">
        <w:rPr>
          <w:color w:val="auto"/>
          <w:sz w:val="20"/>
          <w:szCs w:val="20"/>
        </w:rPr>
        <w:t>R</w:t>
      </w:r>
      <w:r w:rsidR="00AB2ECE" w:rsidRPr="00CE58F6">
        <w:rPr>
          <w:color w:val="auto"/>
          <w:sz w:val="20"/>
          <w:szCs w:val="20"/>
        </w:rPr>
        <w:t>ight to a fair trial</w:t>
      </w:r>
      <w:r w:rsidR="002E3921" w:rsidRPr="00CE58F6">
        <w:rPr>
          <w:color w:val="auto"/>
          <w:sz w:val="20"/>
          <w:szCs w:val="20"/>
        </w:rPr>
        <w:t>,</w:t>
      </w:r>
      <w:r w:rsidR="00F61B4C" w:rsidRPr="00CE58F6">
        <w:rPr>
          <w:rStyle w:val="FootnoteReference"/>
          <w:color w:val="auto"/>
          <w:sz w:val="20"/>
          <w:szCs w:val="20"/>
        </w:rPr>
        <w:footnoteReference w:id="30"/>
      </w:r>
      <w:r w:rsidR="002E3921" w:rsidRPr="00CE58F6">
        <w:rPr>
          <w:color w:val="auto"/>
          <w:sz w:val="20"/>
          <w:szCs w:val="20"/>
        </w:rPr>
        <w:t xml:space="preserve"> right of petition,</w:t>
      </w:r>
      <w:r w:rsidR="009C03AE" w:rsidRPr="00CE58F6">
        <w:rPr>
          <w:rStyle w:val="FootnoteReference"/>
          <w:color w:val="auto"/>
          <w:sz w:val="20"/>
          <w:szCs w:val="20"/>
        </w:rPr>
        <w:footnoteReference w:id="31"/>
      </w:r>
      <w:r w:rsidR="00BE66B0" w:rsidRPr="00CE58F6">
        <w:rPr>
          <w:color w:val="auto"/>
          <w:sz w:val="20"/>
          <w:szCs w:val="20"/>
        </w:rPr>
        <w:t xml:space="preserve"> and</w:t>
      </w:r>
      <w:r w:rsidR="00AB2ECE" w:rsidRPr="00CE58F6">
        <w:rPr>
          <w:color w:val="auto"/>
          <w:sz w:val="20"/>
          <w:szCs w:val="20"/>
        </w:rPr>
        <w:t xml:space="preserve"> </w:t>
      </w:r>
      <w:r w:rsidR="00B55F23" w:rsidRPr="00CE58F6">
        <w:rPr>
          <w:color w:val="auto"/>
          <w:sz w:val="20"/>
          <w:szCs w:val="20"/>
        </w:rPr>
        <w:t>right to due process of law</w:t>
      </w:r>
      <w:r w:rsidR="00F61B4C" w:rsidRPr="00CE58F6">
        <w:rPr>
          <w:rStyle w:val="FootnoteReference"/>
          <w:color w:val="auto"/>
          <w:sz w:val="20"/>
          <w:szCs w:val="20"/>
        </w:rPr>
        <w:footnoteReference w:id="32"/>
      </w:r>
      <w:bookmarkEnd w:id="20"/>
      <w:r w:rsidR="00B55F23" w:rsidRPr="00CE58F6">
        <w:rPr>
          <w:color w:val="auto"/>
          <w:sz w:val="20"/>
          <w:szCs w:val="20"/>
        </w:rPr>
        <w:t xml:space="preserve"> </w:t>
      </w:r>
    </w:p>
    <w:p w14:paraId="7719373C" w14:textId="77777777" w:rsidR="005D447F" w:rsidRPr="00CE58F6" w:rsidRDefault="005D447F" w:rsidP="00EC55EA">
      <w:pPr>
        <w:pStyle w:val="NormalWeb"/>
        <w:tabs>
          <w:tab w:val="left" w:pos="360"/>
        </w:tabs>
        <w:spacing w:before="0" w:beforeAutospacing="0" w:after="0" w:afterAutospacing="0"/>
        <w:jc w:val="both"/>
        <w:rPr>
          <w:rFonts w:asciiTheme="majorHAnsi" w:hAnsiTheme="majorHAnsi"/>
          <w:sz w:val="20"/>
          <w:szCs w:val="20"/>
        </w:rPr>
      </w:pPr>
    </w:p>
    <w:p w14:paraId="1D68ECB7" w14:textId="77777777" w:rsidR="004C5505" w:rsidRPr="00CE58F6" w:rsidRDefault="00FD3996" w:rsidP="00EC55EA">
      <w:pPr>
        <w:pStyle w:val="Heading3"/>
        <w:numPr>
          <w:ilvl w:val="1"/>
          <w:numId w:val="53"/>
        </w:numPr>
        <w:spacing w:before="0"/>
        <w:ind w:left="360"/>
        <w:rPr>
          <w:color w:val="auto"/>
          <w:sz w:val="20"/>
          <w:szCs w:val="20"/>
        </w:rPr>
      </w:pPr>
      <w:bookmarkStart w:id="21" w:name="_Toc90291514"/>
      <w:r w:rsidRPr="00CE58F6">
        <w:rPr>
          <w:color w:val="auto"/>
          <w:sz w:val="20"/>
          <w:szCs w:val="20"/>
        </w:rPr>
        <w:t>R</w:t>
      </w:r>
      <w:r w:rsidR="004C5505" w:rsidRPr="00CE58F6">
        <w:rPr>
          <w:color w:val="auto"/>
          <w:sz w:val="20"/>
          <w:szCs w:val="20"/>
        </w:rPr>
        <w:t xml:space="preserve">ight to </w:t>
      </w:r>
      <w:r w:rsidR="00EB0BBC" w:rsidRPr="00CE58F6">
        <w:rPr>
          <w:color w:val="auto"/>
          <w:sz w:val="20"/>
          <w:szCs w:val="20"/>
        </w:rPr>
        <w:t xml:space="preserve">information on </w:t>
      </w:r>
      <w:r w:rsidR="004C5505" w:rsidRPr="00CE58F6">
        <w:rPr>
          <w:color w:val="auto"/>
          <w:sz w:val="20"/>
          <w:szCs w:val="20"/>
        </w:rPr>
        <w:t xml:space="preserve">consular </w:t>
      </w:r>
      <w:r w:rsidR="00EB0BBC" w:rsidRPr="00CE58F6">
        <w:rPr>
          <w:color w:val="auto"/>
          <w:sz w:val="20"/>
          <w:szCs w:val="20"/>
        </w:rPr>
        <w:t>assistance</w:t>
      </w:r>
      <w:bookmarkEnd w:id="21"/>
      <w:r w:rsidR="00EB0BBC" w:rsidRPr="00CE58F6">
        <w:rPr>
          <w:color w:val="auto"/>
          <w:sz w:val="20"/>
          <w:szCs w:val="20"/>
        </w:rPr>
        <w:t xml:space="preserve"> </w:t>
      </w:r>
    </w:p>
    <w:p w14:paraId="5D4DDBF4" w14:textId="77777777" w:rsidR="004C5505" w:rsidRPr="00CE58F6" w:rsidRDefault="004C5505" w:rsidP="00EC55EA">
      <w:pPr>
        <w:pStyle w:val="NormalWeb"/>
        <w:tabs>
          <w:tab w:val="left" w:pos="360"/>
        </w:tabs>
        <w:spacing w:before="0" w:beforeAutospacing="0" w:after="0" w:afterAutospacing="0"/>
        <w:jc w:val="both"/>
        <w:rPr>
          <w:rFonts w:asciiTheme="majorHAnsi" w:hAnsiTheme="majorHAnsi"/>
          <w:sz w:val="20"/>
          <w:szCs w:val="20"/>
        </w:rPr>
      </w:pPr>
    </w:p>
    <w:p w14:paraId="0EFC17AE" w14:textId="77777777" w:rsidR="00FD3996" w:rsidRPr="00CE58F6" w:rsidRDefault="00FD3996"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CE58F6">
        <w:rPr>
          <w:rFonts w:asciiTheme="majorHAnsi" w:hAnsiTheme="majorHAnsi"/>
          <w:sz w:val="20"/>
          <w:szCs w:val="20"/>
        </w:rPr>
        <w:t>The Commission has determined in previous cases that it is necessary and appropriate to consider the extent to which a state party has given effect to the requirements of Article 36 of the Vienna Convention for the purpose of evaluating that state’s compliance with a foreign national’s due process rights under Articles XVIII and XXVI of the American Declaration. Therefore, it does consider compliance with Article 36 of the Vienna Convention when interpreting and applying the provisions of the American Declaration to a foreign national who has been arrested, committed to trial or to custody pending trial, or is detained in any other manner by that state.</w:t>
      </w:r>
      <w:r w:rsidRPr="00CE58F6">
        <w:rPr>
          <w:rStyle w:val="FootnoteReference"/>
          <w:rFonts w:asciiTheme="majorHAnsi" w:hAnsiTheme="majorHAnsi"/>
          <w:sz w:val="20"/>
          <w:szCs w:val="20"/>
        </w:rPr>
        <w:footnoteReference w:id="33"/>
      </w:r>
    </w:p>
    <w:p w14:paraId="7825213C" w14:textId="77777777" w:rsidR="00FD3996" w:rsidRPr="00CE58F6" w:rsidRDefault="00FD3996" w:rsidP="00EC55EA">
      <w:pPr>
        <w:pStyle w:val="NormalWeb"/>
        <w:tabs>
          <w:tab w:val="left" w:pos="360"/>
        </w:tabs>
        <w:spacing w:before="0" w:beforeAutospacing="0" w:after="0" w:afterAutospacing="0"/>
        <w:jc w:val="both"/>
        <w:rPr>
          <w:rFonts w:asciiTheme="majorHAnsi" w:hAnsiTheme="majorHAnsi"/>
          <w:sz w:val="20"/>
          <w:szCs w:val="20"/>
        </w:rPr>
      </w:pPr>
    </w:p>
    <w:p w14:paraId="4378EF63" w14:textId="77777777" w:rsidR="00EB0BBC" w:rsidRPr="00CE58F6" w:rsidRDefault="00EB0BBC" w:rsidP="00EB0BBC">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CE58F6">
        <w:rPr>
          <w:rFonts w:asciiTheme="majorHAnsi" w:hAnsiTheme="majorHAnsi"/>
          <w:sz w:val="20"/>
          <w:szCs w:val="20"/>
        </w:rPr>
        <w:t xml:space="preserve">In its Advisory Opinion OC-16/99, the Inter-American Court established that sub-paragraphs (b) and (c) of Article 36(1) of the Vienna Convention “recognize, </w:t>
      </w:r>
      <w:r w:rsidRPr="00CE58F6">
        <w:rPr>
          <w:rFonts w:asciiTheme="majorHAnsi" w:hAnsiTheme="majorHAnsi"/>
          <w:i/>
          <w:sz w:val="20"/>
          <w:szCs w:val="20"/>
        </w:rPr>
        <w:t>inter alia</w:t>
      </w:r>
      <w:r w:rsidRPr="00CE58F6">
        <w:rPr>
          <w:rFonts w:asciiTheme="majorHAnsi" w:hAnsiTheme="majorHAnsi"/>
          <w:sz w:val="20"/>
          <w:szCs w:val="20"/>
        </w:rPr>
        <w:t>, a detained foreign national’s right to be advised, without delay, that he has:</w:t>
      </w:r>
    </w:p>
    <w:p w14:paraId="118474B8" w14:textId="77777777" w:rsidR="00EB0BBC" w:rsidRPr="00CE58F6" w:rsidRDefault="00EB0BBC" w:rsidP="00EB0BBC">
      <w:pPr>
        <w:pStyle w:val="ListParagraph"/>
        <w:rPr>
          <w:rFonts w:asciiTheme="majorHAnsi" w:hAnsiTheme="majorHAnsi"/>
          <w:sz w:val="20"/>
          <w:szCs w:val="20"/>
        </w:rPr>
      </w:pPr>
    </w:p>
    <w:p w14:paraId="217E82D3" w14:textId="77777777" w:rsidR="00EB0BBC" w:rsidRPr="00CE58F6" w:rsidRDefault="00EB0BBC" w:rsidP="00EB0BBC">
      <w:pPr>
        <w:pStyle w:val="NormalWeb"/>
        <w:tabs>
          <w:tab w:val="left" w:pos="360"/>
        </w:tabs>
        <w:spacing w:before="0" w:beforeAutospacing="0" w:after="0" w:afterAutospacing="0"/>
        <w:ind w:left="360" w:right="360"/>
        <w:jc w:val="both"/>
        <w:rPr>
          <w:rFonts w:asciiTheme="majorHAnsi" w:hAnsiTheme="majorHAnsi"/>
          <w:sz w:val="18"/>
          <w:szCs w:val="18"/>
        </w:rPr>
      </w:pPr>
      <w:r w:rsidRPr="00CE58F6">
        <w:rPr>
          <w:rFonts w:asciiTheme="majorHAnsi" w:hAnsiTheme="majorHAnsi"/>
          <w:sz w:val="18"/>
          <w:szCs w:val="18"/>
        </w:rPr>
        <w:t>a) the right to request and obtain from the competent authorities of the host State that they inform the appropriate consular post that he has been arrested, committed to prison, placed in preventive custody or otherwise detained, and</w:t>
      </w:r>
    </w:p>
    <w:p w14:paraId="0D6D932D" w14:textId="77777777" w:rsidR="00EB0BBC" w:rsidRPr="00CE58F6" w:rsidRDefault="00EB0BBC" w:rsidP="00EB0BBC">
      <w:pPr>
        <w:pStyle w:val="BodyText"/>
        <w:tabs>
          <w:tab w:val="left" w:pos="360"/>
        </w:tabs>
        <w:ind w:left="360" w:right="360"/>
        <w:jc w:val="both"/>
        <w:rPr>
          <w:rFonts w:asciiTheme="majorHAnsi" w:eastAsia="Times New Roman" w:hAnsiTheme="majorHAnsi"/>
          <w:sz w:val="18"/>
          <w:szCs w:val="18"/>
          <w:bdr w:val="none" w:sz="0" w:space="0" w:color="auto"/>
        </w:rPr>
      </w:pPr>
      <w:r w:rsidRPr="00CE58F6">
        <w:rPr>
          <w:rFonts w:asciiTheme="majorHAnsi" w:eastAsia="Times New Roman" w:hAnsiTheme="majorHAnsi"/>
          <w:sz w:val="18"/>
          <w:szCs w:val="18"/>
          <w:bdr w:val="none" w:sz="0" w:space="0" w:color="auto"/>
        </w:rPr>
        <w:t>b) the right to address a communication to the appropriate consular post, which is to be forwarded “without delay.”</w:t>
      </w:r>
      <w:r w:rsidRPr="00CE58F6">
        <w:rPr>
          <w:rStyle w:val="FootnoteReference"/>
          <w:rFonts w:asciiTheme="majorHAnsi" w:eastAsia="Times New Roman" w:hAnsiTheme="majorHAnsi"/>
          <w:sz w:val="18"/>
          <w:szCs w:val="18"/>
          <w:bdr w:val="none" w:sz="0" w:space="0" w:color="auto"/>
        </w:rPr>
        <w:footnoteReference w:id="34"/>
      </w:r>
    </w:p>
    <w:p w14:paraId="3FB3D381" w14:textId="77777777" w:rsidR="00FD3996" w:rsidRPr="00CE58F6" w:rsidRDefault="00FD3996" w:rsidP="00EC55EA">
      <w:pPr>
        <w:pStyle w:val="NormalWeb"/>
        <w:numPr>
          <w:ilvl w:val="0"/>
          <w:numId w:val="55"/>
        </w:numPr>
        <w:tabs>
          <w:tab w:val="left" w:pos="360"/>
        </w:tabs>
        <w:spacing w:before="0" w:beforeAutospacing="0" w:after="0" w:afterAutospacing="0"/>
        <w:ind w:left="0" w:firstLine="0"/>
        <w:jc w:val="both"/>
        <w:rPr>
          <w:rFonts w:asciiTheme="majorHAnsi" w:hAnsiTheme="majorHAnsi"/>
          <w:sz w:val="20"/>
          <w:szCs w:val="20"/>
        </w:rPr>
      </w:pPr>
      <w:r w:rsidRPr="00CE58F6">
        <w:rPr>
          <w:rFonts w:ascii="Cambria" w:hAnsi="Cambria"/>
          <w:sz w:val="20"/>
          <w:szCs w:val="20"/>
        </w:rPr>
        <w:t xml:space="preserve">The significance of </w:t>
      </w:r>
      <w:r w:rsidR="00EB0BBC" w:rsidRPr="00CE58F6">
        <w:rPr>
          <w:rFonts w:ascii="Cambria" w:hAnsi="Cambria"/>
          <w:sz w:val="20"/>
          <w:szCs w:val="20"/>
        </w:rPr>
        <w:t xml:space="preserve">the right to information on </w:t>
      </w:r>
      <w:r w:rsidRPr="00CE58F6">
        <w:rPr>
          <w:rFonts w:ascii="Cambria" w:hAnsi="Cambria"/>
          <w:sz w:val="20"/>
          <w:szCs w:val="20"/>
        </w:rPr>
        <w:t xml:space="preserve">consular </w:t>
      </w:r>
      <w:r w:rsidR="00EB0BBC" w:rsidRPr="00CE58F6">
        <w:rPr>
          <w:rFonts w:ascii="Cambria" w:hAnsi="Cambria"/>
          <w:sz w:val="20"/>
          <w:szCs w:val="20"/>
        </w:rPr>
        <w:t xml:space="preserve">assistance </w:t>
      </w:r>
      <w:r w:rsidRPr="00CE58F6">
        <w:rPr>
          <w:rFonts w:ascii="Cambria" w:hAnsi="Cambria"/>
          <w:sz w:val="20"/>
          <w:szCs w:val="20"/>
        </w:rPr>
        <w:t>is also reflected in practice guidelines such as those adopted by the American Bar Association, a national organization for the legal profession in the United States, concerning the due process rights of foreign nationals in capital proceedings. The ABA has indicated in its Guidelines for the Appointment and Performance of Defense Counsel in Death Penalty Cases that:</w:t>
      </w:r>
      <w:r w:rsidRPr="00CE58F6">
        <w:rPr>
          <w:rStyle w:val="FootnoteReference"/>
          <w:rFonts w:ascii="Cambria" w:hAnsi="Cambria" w:cs="Arial"/>
          <w:sz w:val="20"/>
          <w:szCs w:val="20"/>
        </w:rPr>
        <w:footnoteReference w:id="35"/>
      </w:r>
    </w:p>
    <w:p w14:paraId="70C5D181" w14:textId="77777777" w:rsidR="00FD3996" w:rsidRPr="00CE58F6" w:rsidRDefault="00FD3996" w:rsidP="00EC55EA">
      <w:pPr>
        <w:jc w:val="both"/>
        <w:rPr>
          <w:rFonts w:ascii="Cambria" w:hAnsi="Cambria" w:cs="Arial"/>
          <w:sz w:val="20"/>
          <w:szCs w:val="20"/>
        </w:rPr>
      </w:pPr>
    </w:p>
    <w:p w14:paraId="7003334D" w14:textId="77777777" w:rsidR="00FD3996" w:rsidRPr="00CE58F6" w:rsidRDefault="00FD3996" w:rsidP="00EC55EA">
      <w:pPr>
        <w:ind w:left="360" w:right="360"/>
        <w:jc w:val="both"/>
        <w:rPr>
          <w:rFonts w:ascii="Cambria" w:hAnsi="Cambria" w:cs="Arial"/>
          <w:sz w:val="18"/>
          <w:szCs w:val="18"/>
        </w:rPr>
      </w:pPr>
      <w:r w:rsidRPr="00CE58F6">
        <w:rPr>
          <w:rFonts w:ascii="Cambria" w:hAnsi="Cambria" w:cs="Arial"/>
          <w:sz w:val="18"/>
          <w:szCs w:val="18"/>
        </w:rPr>
        <w:lastRenderedPageBreak/>
        <w:t>[u]nless predecessor counsel has already done so, counsel representing a foreign national should: 1. immediately advise the client of his or her right to communicate with the relevant consular office; and 2. obtain the consent of the client to contact the consular office. After obtaining consent, counsel should immediately contact the client’s consular office and inform it of the client’s detention or arrest […]</w:t>
      </w:r>
    </w:p>
    <w:p w14:paraId="45D4117A" w14:textId="77777777" w:rsidR="00FD3996" w:rsidRPr="00CE58F6" w:rsidRDefault="00FD3996" w:rsidP="00EC55EA">
      <w:pPr>
        <w:pStyle w:val="NormalWeb"/>
        <w:tabs>
          <w:tab w:val="left" w:pos="360"/>
        </w:tabs>
        <w:spacing w:before="0" w:beforeAutospacing="0" w:after="0" w:afterAutospacing="0"/>
        <w:jc w:val="both"/>
        <w:rPr>
          <w:rFonts w:ascii="Cambria" w:hAnsi="Cambria"/>
          <w:sz w:val="20"/>
          <w:szCs w:val="20"/>
        </w:rPr>
      </w:pPr>
    </w:p>
    <w:p w14:paraId="73AF3C93" w14:textId="77777777" w:rsidR="00DC190C" w:rsidRPr="00CE58F6" w:rsidRDefault="00681A6B"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CE58F6">
        <w:rPr>
          <w:rFonts w:ascii="Cambria" w:hAnsi="Cambria"/>
          <w:sz w:val="20"/>
          <w:szCs w:val="20"/>
        </w:rPr>
        <w:t>In th</w:t>
      </w:r>
      <w:r w:rsidR="00880395" w:rsidRPr="00CE58F6">
        <w:rPr>
          <w:rFonts w:ascii="Cambria" w:hAnsi="Cambria"/>
          <w:sz w:val="20"/>
          <w:szCs w:val="20"/>
        </w:rPr>
        <w:t xml:space="preserve">e present case, </w:t>
      </w:r>
      <w:r w:rsidR="00AC78C4" w:rsidRPr="00CE58F6">
        <w:rPr>
          <w:rFonts w:ascii="Cambria" w:hAnsi="Cambria"/>
          <w:sz w:val="20"/>
          <w:szCs w:val="20"/>
        </w:rPr>
        <w:t>the Commission notes that</w:t>
      </w:r>
      <w:r w:rsidRPr="00CE58F6">
        <w:rPr>
          <w:rFonts w:ascii="Cambria" w:hAnsi="Cambria"/>
          <w:sz w:val="20"/>
          <w:szCs w:val="20"/>
        </w:rPr>
        <w:t xml:space="preserve"> </w:t>
      </w:r>
      <w:r w:rsidR="00057843" w:rsidRPr="00CE58F6">
        <w:rPr>
          <w:rFonts w:ascii="Cambria" w:hAnsi="Cambria"/>
          <w:sz w:val="20"/>
          <w:szCs w:val="20"/>
        </w:rPr>
        <w:t>t</w:t>
      </w:r>
      <w:r w:rsidR="008317DA" w:rsidRPr="00CE58F6">
        <w:rPr>
          <w:rFonts w:ascii="Cambria" w:hAnsi="Cambria"/>
          <w:sz w:val="20"/>
          <w:szCs w:val="20"/>
        </w:rPr>
        <w:t>he petitioner</w:t>
      </w:r>
      <w:r w:rsidR="006625CE" w:rsidRPr="00CE58F6">
        <w:rPr>
          <w:rFonts w:ascii="Cambria" w:hAnsi="Cambria"/>
          <w:sz w:val="20"/>
          <w:szCs w:val="20"/>
        </w:rPr>
        <w:t>s</w:t>
      </w:r>
      <w:r w:rsidR="00057843" w:rsidRPr="00CE58F6">
        <w:rPr>
          <w:rFonts w:ascii="Cambria" w:hAnsi="Cambria"/>
          <w:sz w:val="20"/>
          <w:szCs w:val="20"/>
        </w:rPr>
        <w:t xml:space="preserve"> assert that </w:t>
      </w:r>
      <w:r w:rsidRPr="00CE58F6">
        <w:rPr>
          <w:rFonts w:ascii="Cambria" w:hAnsi="Cambria"/>
          <w:sz w:val="20"/>
          <w:szCs w:val="20"/>
        </w:rPr>
        <w:t xml:space="preserve">Mr. </w:t>
      </w:r>
      <w:r w:rsidR="00057843" w:rsidRPr="00CE58F6">
        <w:rPr>
          <w:rFonts w:ascii="Cambria" w:hAnsi="Cambria"/>
          <w:sz w:val="20"/>
          <w:szCs w:val="20"/>
        </w:rPr>
        <w:t>Valle</w:t>
      </w:r>
      <w:r w:rsidR="001C5D79" w:rsidRPr="00CE58F6">
        <w:rPr>
          <w:rFonts w:ascii="Cambria" w:hAnsi="Cambria"/>
          <w:sz w:val="20"/>
          <w:szCs w:val="20"/>
        </w:rPr>
        <w:t xml:space="preserve"> is a</w:t>
      </w:r>
      <w:r w:rsidR="00057843" w:rsidRPr="00CE58F6">
        <w:rPr>
          <w:rFonts w:ascii="Cambria" w:hAnsi="Cambria"/>
          <w:sz w:val="20"/>
          <w:szCs w:val="20"/>
        </w:rPr>
        <w:t xml:space="preserve"> </w:t>
      </w:r>
      <w:r w:rsidRPr="00CE58F6">
        <w:rPr>
          <w:rFonts w:ascii="Cambria" w:hAnsi="Cambria"/>
          <w:sz w:val="20"/>
          <w:szCs w:val="20"/>
        </w:rPr>
        <w:t xml:space="preserve">national of </w:t>
      </w:r>
      <w:r w:rsidR="00057843" w:rsidRPr="00CE58F6">
        <w:rPr>
          <w:rFonts w:ascii="Cambria" w:hAnsi="Cambria"/>
          <w:sz w:val="20"/>
          <w:szCs w:val="20"/>
        </w:rPr>
        <w:t>Cuba; assertions that have not been contested to date by the State</w:t>
      </w:r>
      <w:r w:rsidR="00880395" w:rsidRPr="00CE58F6">
        <w:rPr>
          <w:rFonts w:ascii="Cambria" w:hAnsi="Cambria"/>
          <w:sz w:val="20"/>
          <w:szCs w:val="20"/>
        </w:rPr>
        <w:t xml:space="preserve">. </w:t>
      </w:r>
      <w:r w:rsidR="00057843" w:rsidRPr="00CE58F6">
        <w:rPr>
          <w:rFonts w:ascii="Cambria" w:hAnsi="Cambria"/>
          <w:sz w:val="20"/>
          <w:szCs w:val="20"/>
        </w:rPr>
        <w:t xml:space="preserve">It is claimed </w:t>
      </w:r>
      <w:r w:rsidR="008317DA" w:rsidRPr="00CE58F6">
        <w:rPr>
          <w:rFonts w:ascii="Cambria" w:hAnsi="Cambria"/>
          <w:sz w:val="20"/>
          <w:szCs w:val="20"/>
        </w:rPr>
        <w:t>by the petitioner</w:t>
      </w:r>
      <w:r w:rsidR="006625CE" w:rsidRPr="00CE58F6">
        <w:rPr>
          <w:rFonts w:ascii="Cambria" w:hAnsi="Cambria"/>
          <w:sz w:val="20"/>
          <w:szCs w:val="20"/>
        </w:rPr>
        <w:t>s</w:t>
      </w:r>
      <w:r w:rsidR="008317DA" w:rsidRPr="00CE58F6">
        <w:rPr>
          <w:rFonts w:ascii="Cambria" w:hAnsi="Cambria"/>
          <w:sz w:val="20"/>
          <w:szCs w:val="20"/>
        </w:rPr>
        <w:t xml:space="preserve"> </w:t>
      </w:r>
      <w:r w:rsidR="00057843" w:rsidRPr="00CE58F6">
        <w:rPr>
          <w:rFonts w:ascii="Cambria" w:hAnsi="Cambria"/>
          <w:sz w:val="20"/>
          <w:szCs w:val="20"/>
        </w:rPr>
        <w:t>that Mr. Valle was</w:t>
      </w:r>
      <w:r w:rsidR="00880395" w:rsidRPr="00CE58F6">
        <w:rPr>
          <w:rFonts w:ascii="Cambria" w:hAnsi="Cambria"/>
          <w:sz w:val="20"/>
          <w:szCs w:val="20"/>
        </w:rPr>
        <w:t xml:space="preserve"> not informed of </w:t>
      </w:r>
      <w:r w:rsidR="00057843" w:rsidRPr="00CE58F6">
        <w:rPr>
          <w:rFonts w:ascii="Cambria" w:hAnsi="Cambria"/>
          <w:sz w:val="20"/>
          <w:szCs w:val="20"/>
        </w:rPr>
        <w:t>his</w:t>
      </w:r>
      <w:r w:rsidR="00880395" w:rsidRPr="00CE58F6">
        <w:rPr>
          <w:rFonts w:ascii="Cambria" w:hAnsi="Cambria"/>
          <w:sz w:val="20"/>
          <w:szCs w:val="20"/>
        </w:rPr>
        <w:t xml:space="preserve"> </w:t>
      </w:r>
      <w:r w:rsidRPr="00CE58F6">
        <w:rPr>
          <w:rFonts w:ascii="Cambria" w:hAnsi="Cambria"/>
          <w:sz w:val="20"/>
          <w:szCs w:val="20"/>
        </w:rPr>
        <w:t xml:space="preserve">right to </w:t>
      </w:r>
      <w:r w:rsidR="006625CE" w:rsidRPr="00CE58F6">
        <w:rPr>
          <w:rFonts w:ascii="Cambria" w:hAnsi="Cambria"/>
          <w:sz w:val="20"/>
          <w:szCs w:val="20"/>
        </w:rPr>
        <w:t xml:space="preserve">information on </w:t>
      </w:r>
      <w:r w:rsidRPr="00CE58F6">
        <w:rPr>
          <w:rFonts w:ascii="Cambria" w:hAnsi="Cambria"/>
          <w:sz w:val="20"/>
          <w:szCs w:val="20"/>
        </w:rPr>
        <w:t xml:space="preserve">consular </w:t>
      </w:r>
      <w:r w:rsidR="006625CE" w:rsidRPr="00CE58F6">
        <w:rPr>
          <w:rFonts w:ascii="Cambria" w:hAnsi="Cambria"/>
          <w:sz w:val="20"/>
          <w:szCs w:val="20"/>
        </w:rPr>
        <w:t>assistance</w:t>
      </w:r>
      <w:r w:rsidRPr="00CE58F6">
        <w:rPr>
          <w:rFonts w:ascii="Cambria" w:hAnsi="Cambria"/>
          <w:sz w:val="20"/>
          <w:szCs w:val="20"/>
        </w:rPr>
        <w:t xml:space="preserve"> </w:t>
      </w:r>
      <w:r w:rsidR="00C21375" w:rsidRPr="00CE58F6">
        <w:rPr>
          <w:rFonts w:ascii="Cambria" w:hAnsi="Cambria"/>
          <w:sz w:val="20"/>
          <w:szCs w:val="20"/>
        </w:rPr>
        <w:t>upon arrest and never contacted or received any assistance from the Cuban government</w:t>
      </w:r>
      <w:r w:rsidRPr="00CE58F6">
        <w:rPr>
          <w:rFonts w:ascii="Cambria" w:hAnsi="Cambria"/>
          <w:sz w:val="20"/>
          <w:szCs w:val="20"/>
        </w:rPr>
        <w:t xml:space="preserve">. </w:t>
      </w:r>
      <w:r w:rsidR="008317DA" w:rsidRPr="00CE58F6">
        <w:rPr>
          <w:rFonts w:ascii="Cambria" w:hAnsi="Cambria"/>
          <w:sz w:val="20"/>
          <w:szCs w:val="20"/>
        </w:rPr>
        <w:t xml:space="preserve">It is claimed that if Mr. Valle knew of his rights under Article 36 of the Vienna Convention, he would have availed himself to his rights and that it is likely that contact with the consul would have resulted in assistance. </w:t>
      </w:r>
    </w:p>
    <w:p w14:paraId="24B3C9A4" w14:textId="77777777" w:rsidR="00F810EB" w:rsidRPr="00CE58F6" w:rsidRDefault="00F810EB" w:rsidP="00057843">
      <w:pPr>
        <w:pStyle w:val="NormalWeb"/>
        <w:tabs>
          <w:tab w:val="left" w:pos="360"/>
        </w:tabs>
        <w:spacing w:before="0" w:beforeAutospacing="0" w:after="0" w:afterAutospacing="0"/>
        <w:jc w:val="both"/>
        <w:rPr>
          <w:rFonts w:ascii="Cambria" w:hAnsi="Cambria"/>
          <w:sz w:val="20"/>
          <w:szCs w:val="20"/>
        </w:rPr>
      </w:pPr>
    </w:p>
    <w:p w14:paraId="204B6455" w14:textId="77777777" w:rsidR="00681A6B" w:rsidRPr="00CE58F6" w:rsidRDefault="00DC190C"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CE58F6">
        <w:rPr>
          <w:rFonts w:ascii="Cambria" w:hAnsi="Cambria"/>
          <w:sz w:val="20"/>
          <w:szCs w:val="20"/>
        </w:rPr>
        <w:t xml:space="preserve">The State </w:t>
      </w:r>
      <w:r w:rsidR="00057843" w:rsidRPr="00CE58F6">
        <w:rPr>
          <w:rFonts w:ascii="Cambria" w:hAnsi="Cambria"/>
          <w:sz w:val="20"/>
          <w:szCs w:val="20"/>
        </w:rPr>
        <w:t>has not disputed the petitioners</w:t>
      </w:r>
      <w:r w:rsidR="006625CE" w:rsidRPr="00CE58F6">
        <w:rPr>
          <w:rFonts w:ascii="Cambria" w:hAnsi="Cambria"/>
          <w:sz w:val="20"/>
          <w:szCs w:val="20"/>
        </w:rPr>
        <w:t>’</w:t>
      </w:r>
      <w:r w:rsidRPr="00CE58F6">
        <w:rPr>
          <w:rFonts w:ascii="Cambria" w:hAnsi="Cambria"/>
          <w:sz w:val="20"/>
          <w:szCs w:val="20"/>
        </w:rPr>
        <w:t xml:space="preserve"> contentions</w:t>
      </w:r>
      <w:r w:rsidR="00775B53" w:rsidRPr="00CE58F6">
        <w:rPr>
          <w:rFonts w:ascii="Cambria" w:hAnsi="Cambria"/>
          <w:sz w:val="20"/>
          <w:szCs w:val="20"/>
        </w:rPr>
        <w:t xml:space="preserve"> in this regard</w:t>
      </w:r>
      <w:r w:rsidR="00047AF6" w:rsidRPr="00CE58F6">
        <w:rPr>
          <w:rFonts w:ascii="Cambria" w:hAnsi="Cambria"/>
          <w:sz w:val="20"/>
          <w:szCs w:val="20"/>
        </w:rPr>
        <w:t xml:space="preserve">. </w:t>
      </w:r>
      <w:r w:rsidR="003D3F3F" w:rsidRPr="00CE58F6">
        <w:rPr>
          <w:rFonts w:ascii="Cambria" w:hAnsi="Cambria"/>
          <w:sz w:val="20"/>
          <w:szCs w:val="20"/>
        </w:rPr>
        <w:t>Accordingly, based upon the information and arguments presented, the Commission co</w:t>
      </w:r>
      <w:r w:rsidR="001773AE" w:rsidRPr="00CE58F6">
        <w:rPr>
          <w:rFonts w:ascii="Cambria" w:hAnsi="Cambria"/>
          <w:sz w:val="20"/>
          <w:szCs w:val="20"/>
        </w:rPr>
        <w:t>ncludes that the alleged victim was</w:t>
      </w:r>
      <w:r w:rsidR="003D3F3F" w:rsidRPr="00CE58F6">
        <w:rPr>
          <w:rFonts w:ascii="Cambria" w:hAnsi="Cambria"/>
          <w:sz w:val="20"/>
          <w:szCs w:val="20"/>
        </w:rPr>
        <w:t xml:space="preserve"> not notified of </w:t>
      </w:r>
      <w:r w:rsidR="001773AE" w:rsidRPr="00CE58F6">
        <w:rPr>
          <w:rFonts w:ascii="Cambria" w:hAnsi="Cambria"/>
          <w:sz w:val="20"/>
          <w:szCs w:val="20"/>
        </w:rPr>
        <w:t>his</w:t>
      </w:r>
      <w:r w:rsidR="003D3F3F" w:rsidRPr="00CE58F6">
        <w:rPr>
          <w:rFonts w:ascii="Cambria" w:hAnsi="Cambria"/>
          <w:sz w:val="20"/>
          <w:szCs w:val="20"/>
        </w:rPr>
        <w:t xml:space="preserve"> right to consular </w:t>
      </w:r>
      <w:r w:rsidR="001773AE" w:rsidRPr="00CE58F6">
        <w:rPr>
          <w:rFonts w:ascii="Cambria" w:hAnsi="Cambria"/>
          <w:sz w:val="20"/>
          <w:szCs w:val="20"/>
        </w:rPr>
        <w:t>notification</w:t>
      </w:r>
      <w:r w:rsidR="003D3F3F" w:rsidRPr="00CE58F6">
        <w:rPr>
          <w:rFonts w:ascii="Cambria" w:hAnsi="Cambria"/>
          <w:sz w:val="20"/>
          <w:szCs w:val="20"/>
        </w:rPr>
        <w:t xml:space="preserve"> at or subsequent to the t</w:t>
      </w:r>
      <w:r w:rsidR="00234BE7" w:rsidRPr="00CE58F6">
        <w:rPr>
          <w:rFonts w:ascii="Cambria" w:hAnsi="Cambria"/>
          <w:sz w:val="20"/>
          <w:szCs w:val="20"/>
        </w:rPr>
        <w:t xml:space="preserve">ime of </w:t>
      </w:r>
      <w:r w:rsidR="001773AE" w:rsidRPr="00CE58F6">
        <w:rPr>
          <w:rFonts w:ascii="Cambria" w:hAnsi="Cambria"/>
          <w:sz w:val="20"/>
          <w:szCs w:val="20"/>
        </w:rPr>
        <w:t>his</w:t>
      </w:r>
      <w:r w:rsidR="00234BE7" w:rsidRPr="00CE58F6">
        <w:rPr>
          <w:rFonts w:ascii="Cambria" w:hAnsi="Cambria"/>
          <w:sz w:val="20"/>
          <w:szCs w:val="20"/>
        </w:rPr>
        <w:t xml:space="preserve"> respective arrests</w:t>
      </w:r>
      <w:r w:rsidR="003D3F3F" w:rsidRPr="00CE58F6">
        <w:rPr>
          <w:rFonts w:ascii="Cambria" w:hAnsi="Cambria"/>
          <w:sz w:val="20"/>
          <w:szCs w:val="20"/>
        </w:rPr>
        <w:t xml:space="preserve">. </w:t>
      </w:r>
    </w:p>
    <w:p w14:paraId="0754DCDC" w14:textId="77777777" w:rsidR="002F023D" w:rsidRPr="00CE58F6" w:rsidRDefault="002F023D" w:rsidP="00EC55EA">
      <w:pPr>
        <w:rPr>
          <w:sz w:val="20"/>
          <w:szCs w:val="20"/>
        </w:rPr>
      </w:pPr>
    </w:p>
    <w:p w14:paraId="5DA99E70" w14:textId="77777777" w:rsidR="002411A1" w:rsidRPr="00CE58F6" w:rsidRDefault="002F023D" w:rsidP="00EC55EA">
      <w:pPr>
        <w:pStyle w:val="NormalWeb"/>
        <w:numPr>
          <w:ilvl w:val="0"/>
          <w:numId w:val="55"/>
        </w:numPr>
        <w:tabs>
          <w:tab w:val="left" w:pos="360"/>
        </w:tabs>
        <w:spacing w:before="0" w:beforeAutospacing="0" w:after="0" w:afterAutospacing="0"/>
        <w:ind w:left="0" w:firstLine="0"/>
        <w:jc w:val="both"/>
        <w:rPr>
          <w:rFonts w:ascii="Cambria" w:hAnsi="Cambria"/>
          <w:sz w:val="20"/>
          <w:szCs w:val="20"/>
        </w:rPr>
      </w:pPr>
      <w:r w:rsidRPr="00CE58F6">
        <w:rPr>
          <w:rFonts w:ascii="Cambria" w:hAnsi="Cambria"/>
          <w:sz w:val="20"/>
          <w:szCs w:val="20"/>
        </w:rPr>
        <w:t xml:space="preserve">Based upon the foregoing, the Commission concludes that the State’s obligation under Article 36 of the Vienna Convention to inform Mr. </w:t>
      </w:r>
      <w:r w:rsidR="00057843" w:rsidRPr="00CE58F6">
        <w:rPr>
          <w:rFonts w:ascii="Cambria" w:hAnsi="Cambria"/>
          <w:sz w:val="20"/>
          <w:szCs w:val="20"/>
        </w:rPr>
        <w:t>Valle</w:t>
      </w:r>
      <w:r w:rsidR="00400B9A" w:rsidRPr="00CE58F6">
        <w:rPr>
          <w:rFonts w:ascii="Cambria" w:hAnsi="Cambria"/>
          <w:sz w:val="20"/>
          <w:szCs w:val="20"/>
        </w:rPr>
        <w:t xml:space="preserve"> </w:t>
      </w:r>
      <w:r w:rsidR="006271AD" w:rsidRPr="00CE58F6">
        <w:rPr>
          <w:rFonts w:ascii="Cambria" w:hAnsi="Cambria"/>
          <w:sz w:val="20"/>
          <w:szCs w:val="20"/>
        </w:rPr>
        <w:t xml:space="preserve">(at the time of his arrest) </w:t>
      </w:r>
      <w:r w:rsidRPr="00CE58F6">
        <w:rPr>
          <w:rFonts w:ascii="Cambria" w:hAnsi="Cambria"/>
          <w:sz w:val="20"/>
          <w:szCs w:val="20"/>
        </w:rPr>
        <w:t xml:space="preserve">of </w:t>
      </w:r>
      <w:r w:rsidR="00057843" w:rsidRPr="00CE58F6">
        <w:rPr>
          <w:rFonts w:ascii="Cambria" w:hAnsi="Cambria"/>
          <w:sz w:val="20"/>
          <w:szCs w:val="20"/>
        </w:rPr>
        <w:t>his</w:t>
      </w:r>
      <w:r w:rsidRPr="00CE58F6">
        <w:rPr>
          <w:rFonts w:ascii="Cambria" w:hAnsi="Cambria"/>
          <w:sz w:val="20"/>
          <w:szCs w:val="20"/>
        </w:rPr>
        <w:t xml:space="preserve"> rig</w:t>
      </w:r>
      <w:r w:rsidR="006271AD" w:rsidRPr="00CE58F6">
        <w:rPr>
          <w:rFonts w:ascii="Cambria" w:hAnsi="Cambria"/>
          <w:sz w:val="20"/>
          <w:szCs w:val="20"/>
        </w:rPr>
        <w:t xml:space="preserve">ht to </w:t>
      </w:r>
      <w:r w:rsidR="006625CE" w:rsidRPr="00CE58F6">
        <w:rPr>
          <w:rFonts w:ascii="Cambria" w:hAnsi="Cambria"/>
          <w:sz w:val="20"/>
          <w:szCs w:val="20"/>
        </w:rPr>
        <w:t xml:space="preserve">information on </w:t>
      </w:r>
      <w:r w:rsidR="006271AD" w:rsidRPr="00CE58F6">
        <w:rPr>
          <w:rFonts w:ascii="Cambria" w:hAnsi="Cambria"/>
          <w:sz w:val="20"/>
          <w:szCs w:val="20"/>
        </w:rPr>
        <w:t xml:space="preserve">consular </w:t>
      </w:r>
      <w:r w:rsidR="006625CE" w:rsidRPr="00CE58F6">
        <w:rPr>
          <w:rFonts w:ascii="Cambria" w:hAnsi="Cambria"/>
          <w:sz w:val="20"/>
          <w:szCs w:val="20"/>
        </w:rPr>
        <w:t xml:space="preserve">assistance </w:t>
      </w:r>
      <w:r w:rsidRPr="00CE58F6">
        <w:rPr>
          <w:rFonts w:ascii="Cambria" w:hAnsi="Cambria"/>
          <w:sz w:val="20"/>
          <w:szCs w:val="20"/>
        </w:rPr>
        <w:t xml:space="preserve">constituted a fundamental component of the due process standards to which </w:t>
      </w:r>
      <w:r w:rsidR="00057843" w:rsidRPr="00CE58F6">
        <w:rPr>
          <w:rFonts w:ascii="Cambria" w:hAnsi="Cambria"/>
          <w:sz w:val="20"/>
          <w:szCs w:val="20"/>
        </w:rPr>
        <w:t>he is</w:t>
      </w:r>
      <w:r w:rsidRPr="00CE58F6">
        <w:rPr>
          <w:rFonts w:ascii="Cambria" w:hAnsi="Cambria"/>
          <w:sz w:val="20"/>
          <w:szCs w:val="20"/>
        </w:rPr>
        <w:t xml:space="preserve"> entitled under Article XVIII and XXVI of the Declaration, and that the State’s failure to respect and ensure this obligation deprived </w:t>
      </w:r>
      <w:r w:rsidR="00C14F39" w:rsidRPr="00CE58F6">
        <w:rPr>
          <w:rFonts w:ascii="Cambria" w:hAnsi="Cambria"/>
          <w:sz w:val="20"/>
          <w:szCs w:val="20"/>
        </w:rPr>
        <w:t>the alleged victim</w:t>
      </w:r>
      <w:r w:rsidRPr="00CE58F6">
        <w:rPr>
          <w:rFonts w:ascii="Cambria" w:hAnsi="Cambria"/>
          <w:sz w:val="20"/>
          <w:szCs w:val="20"/>
        </w:rPr>
        <w:t xml:space="preserve"> of a criminal process that satisfied the minimum standards of due process and a fair trial required under Articles XVIII and XXVI of the Declaration. </w:t>
      </w:r>
      <w:r w:rsidR="006625CE" w:rsidRPr="00CE58F6">
        <w:rPr>
          <w:rFonts w:ascii="Cambria" w:hAnsi="Cambria"/>
          <w:sz w:val="20"/>
          <w:szCs w:val="20"/>
        </w:rPr>
        <w:t xml:space="preserve"> </w:t>
      </w:r>
    </w:p>
    <w:p w14:paraId="4F302992" w14:textId="77777777" w:rsidR="003D684D" w:rsidRPr="00CE58F6" w:rsidRDefault="003D684D" w:rsidP="003D684D">
      <w:pPr>
        <w:pStyle w:val="NormalWeb"/>
        <w:tabs>
          <w:tab w:val="left" w:pos="360"/>
        </w:tabs>
        <w:spacing w:before="0" w:beforeAutospacing="0" w:after="0" w:afterAutospacing="0"/>
        <w:jc w:val="both"/>
        <w:rPr>
          <w:rFonts w:asciiTheme="majorHAnsi" w:hAnsiTheme="majorHAnsi"/>
          <w:sz w:val="20"/>
          <w:szCs w:val="20"/>
        </w:rPr>
      </w:pPr>
    </w:p>
    <w:p w14:paraId="05B79BB0" w14:textId="77777777" w:rsidR="003D684D" w:rsidRPr="00CE58F6" w:rsidRDefault="003D684D" w:rsidP="003D684D">
      <w:pPr>
        <w:pStyle w:val="Heading3"/>
        <w:numPr>
          <w:ilvl w:val="1"/>
          <w:numId w:val="53"/>
        </w:numPr>
        <w:spacing w:before="0"/>
        <w:ind w:left="360"/>
        <w:rPr>
          <w:color w:val="auto"/>
          <w:sz w:val="20"/>
          <w:szCs w:val="20"/>
        </w:rPr>
      </w:pPr>
      <w:bookmarkStart w:id="22" w:name="_Toc90291515"/>
      <w:r w:rsidRPr="00CE58F6">
        <w:rPr>
          <w:color w:val="auto"/>
          <w:sz w:val="20"/>
          <w:szCs w:val="20"/>
        </w:rPr>
        <w:t xml:space="preserve">Right to </w:t>
      </w:r>
      <w:r w:rsidR="00937CFA" w:rsidRPr="00CE58F6">
        <w:rPr>
          <w:color w:val="auto"/>
          <w:sz w:val="20"/>
          <w:szCs w:val="20"/>
        </w:rPr>
        <w:t>c</w:t>
      </w:r>
      <w:r w:rsidRPr="00CE58F6">
        <w:rPr>
          <w:color w:val="auto"/>
          <w:sz w:val="20"/>
          <w:szCs w:val="20"/>
        </w:rPr>
        <w:t xml:space="preserve">lemency </w:t>
      </w:r>
      <w:r w:rsidR="00937CFA" w:rsidRPr="00CE58F6">
        <w:rPr>
          <w:color w:val="auto"/>
          <w:sz w:val="20"/>
          <w:szCs w:val="20"/>
        </w:rPr>
        <w:t>p</w:t>
      </w:r>
      <w:r w:rsidRPr="00CE58F6">
        <w:rPr>
          <w:color w:val="auto"/>
          <w:sz w:val="20"/>
          <w:szCs w:val="20"/>
        </w:rPr>
        <w:t>roceedings</w:t>
      </w:r>
      <w:bookmarkEnd w:id="22"/>
      <w:r w:rsidRPr="00CE58F6">
        <w:rPr>
          <w:color w:val="auto"/>
          <w:sz w:val="20"/>
          <w:szCs w:val="20"/>
        </w:rPr>
        <w:t xml:space="preserve"> </w:t>
      </w:r>
    </w:p>
    <w:p w14:paraId="6FDC53A6" w14:textId="77777777" w:rsidR="00A3072C" w:rsidRPr="00CE58F6" w:rsidRDefault="00A3072C" w:rsidP="00A3072C">
      <w:pPr>
        <w:pStyle w:val="ListParagraph"/>
        <w:rPr>
          <w:sz w:val="20"/>
          <w:szCs w:val="20"/>
        </w:rPr>
      </w:pPr>
    </w:p>
    <w:p w14:paraId="728207A7" w14:textId="77777777" w:rsidR="00792021" w:rsidRPr="00CE58F6" w:rsidRDefault="00054A5F" w:rsidP="00051F6B">
      <w:pPr>
        <w:pStyle w:val="NormalWeb"/>
        <w:numPr>
          <w:ilvl w:val="0"/>
          <w:numId w:val="55"/>
        </w:numPr>
        <w:tabs>
          <w:tab w:val="left" w:pos="360"/>
        </w:tabs>
        <w:spacing w:beforeLines="1" w:before="2" w:beforeAutospacing="0" w:afterLines="1" w:after="2" w:afterAutospacing="0"/>
        <w:ind w:left="0" w:firstLine="0"/>
        <w:jc w:val="both"/>
        <w:rPr>
          <w:rFonts w:asciiTheme="majorHAnsi" w:eastAsiaTheme="minorHAnsi" w:hAnsiTheme="majorHAnsi"/>
          <w:sz w:val="20"/>
          <w:szCs w:val="20"/>
        </w:rPr>
      </w:pPr>
      <w:r w:rsidRPr="00CE58F6">
        <w:rPr>
          <w:rFonts w:asciiTheme="majorHAnsi" w:eastAsiaTheme="minorHAnsi" w:hAnsiTheme="majorHAnsi"/>
          <w:sz w:val="20"/>
          <w:szCs w:val="20"/>
        </w:rPr>
        <w:t>As stated within Medellín et al,</w:t>
      </w:r>
      <w:r w:rsidRPr="00CE58F6">
        <w:rPr>
          <w:rStyle w:val="FootnoteReference"/>
          <w:rFonts w:asciiTheme="majorHAnsi" w:eastAsiaTheme="minorHAnsi" w:hAnsiTheme="majorHAnsi"/>
          <w:sz w:val="20"/>
          <w:szCs w:val="20"/>
        </w:rPr>
        <w:footnoteReference w:id="36"/>
      </w:r>
      <w:r w:rsidRPr="00CE58F6">
        <w:rPr>
          <w:rFonts w:asciiTheme="majorHAnsi" w:eastAsiaTheme="minorHAnsi" w:hAnsiTheme="majorHAnsi"/>
          <w:sz w:val="20"/>
          <w:szCs w:val="20"/>
        </w:rPr>
        <w:t xml:space="preserve"> </w:t>
      </w:r>
      <w:r w:rsidR="00FD7A58" w:rsidRPr="00CE58F6">
        <w:rPr>
          <w:rFonts w:asciiTheme="majorHAnsi" w:eastAsiaTheme="minorHAnsi" w:hAnsiTheme="majorHAnsi"/>
          <w:sz w:val="20"/>
          <w:szCs w:val="20"/>
        </w:rPr>
        <w:t>t</w:t>
      </w:r>
      <w:r w:rsidR="00284130" w:rsidRPr="00CE58F6">
        <w:rPr>
          <w:rFonts w:asciiTheme="majorHAnsi" w:eastAsiaTheme="minorHAnsi" w:hAnsiTheme="majorHAnsi"/>
          <w:sz w:val="20"/>
          <w:szCs w:val="20"/>
        </w:rPr>
        <w:t>he Commission has previously held that right to apply for amnesty, pardon or commutation of sentence under inter-American human rights instruments, while not necessarily subject to full due process protections, is subject to certain minimal fairness guarantees for condemned prisoners in order for the right to be effectively respected and enjoyed</w:t>
      </w:r>
      <w:r w:rsidR="002F0138" w:rsidRPr="00CE58F6">
        <w:rPr>
          <w:rFonts w:asciiTheme="majorHAnsi" w:eastAsiaTheme="minorHAnsi" w:hAnsiTheme="majorHAnsi"/>
          <w:sz w:val="20"/>
          <w:szCs w:val="20"/>
        </w:rPr>
        <w:t>.</w:t>
      </w:r>
      <w:r w:rsidR="002F0138" w:rsidRPr="00CE58F6">
        <w:rPr>
          <w:rStyle w:val="FootnoteReference"/>
          <w:rFonts w:asciiTheme="majorHAnsi" w:eastAsiaTheme="minorHAnsi" w:hAnsiTheme="majorHAnsi"/>
          <w:sz w:val="20"/>
          <w:szCs w:val="20"/>
        </w:rPr>
        <w:footnoteReference w:id="37"/>
      </w:r>
      <w:r w:rsidR="002F0138" w:rsidRPr="00CE58F6">
        <w:rPr>
          <w:rFonts w:asciiTheme="majorHAnsi" w:eastAsiaTheme="minorHAnsi" w:hAnsiTheme="majorHAnsi"/>
          <w:sz w:val="20"/>
          <w:szCs w:val="20"/>
        </w:rPr>
        <w:t xml:space="preserve"> </w:t>
      </w:r>
      <w:r w:rsidR="00284130" w:rsidRPr="00CE58F6">
        <w:rPr>
          <w:rFonts w:asciiTheme="majorHAnsi" w:eastAsiaTheme="minorHAnsi" w:hAnsiTheme="majorHAnsi"/>
          <w:sz w:val="20"/>
          <w:szCs w:val="20"/>
        </w:rPr>
        <w:t>These procedural protections have been held to include the right on the part of condemned prisoners to submit a request for amnesty, pardon or commutation of sentence, to be informed of when the competent authority will consider the offender's case, to make representations, in person or by counsel to the competent authority, and to receive a decision from that authority within a reasonable period of time prior to his or her execution</w:t>
      </w:r>
      <w:r w:rsidR="002F0138" w:rsidRPr="00CE58F6">
        <w:rPr>
          <w:rFonts w:asciiTheme="majorHAnsi" w:eastAsiaTheme="minorHAnsi" w:hAnsiTheme="majorHAnsi"/>
          <w:sz w:val="20"/>
          <w:szCs w:val="20"/>
        </w:rPr>
        <w:t>.</w:t>
      </w:r>
      <w:r w:rsidR="002F0138" w:rsidRPr="00CE58F6">
        <w:rPr>
          <w:rStyle w:val="FootnoteReference"/>
          <w:rFonts w:asciiTheme="majorHAnsi" w:eastAsiaTheme="minorHAnsi" w:hAnsiTheme="majorHAnsi"/>
          <w:sz w:val="20"/>
          <w:szCs w:val="20"/>
        </w:rPr>
        <w:footnoteReference w:id="38"/>
      </w:r>
    </w:p>
    <w:p w14:paraId="016C97B8" w14:textId="77777777" w:rsidR="00792021" w:rsidRPr="00CE58F6" w:rsidRDefault="00792021" w:rsidP="00051F6B">
      <w:pPr>
        <w:pStyle w:val="NormalWeb"/>
        <w:tabs>
          <w:tab w:val="left" w:pos="360"/>
        </w:tabs>
        <w:spacing w:beforeLines="1" w:before="2" w:beforeAutospacing="0" w:afterLines="1" w:after="2" w:afterAutospacing="0"/>
        <w:jc w:val="both"/>
        <w:rPr>
          <w:rFonts w:asciiTheme="majorHAnsi" w:eastAsiaTheme="minorHAnsi" w:hAnsiTheme="majorHAnsi"/>
          <w:sz w:val="20"/>
          <w:szCs w:val="20"/>
        </w:rPr>
      </w:pPr>
    </w:p>
    <w:p w14:paraId="3E051FAC" w14:textId="77777777" w:rsidR="00792021" w:rsidRPr="00CE58F6" w:rsidRDefault="00284130" w:rsidP="00051F6B">
      <w:pPr>
        <w:pStyle w:val="NormalWeb"/>
        <w:numPr>
          <w:ilvl w:val="0"/>
          <w:numId w:val="55"/>
        </w:numPr>
        <w:tabs>
          <w:tab w:val="left" w:pos="360"/>
        </w:tabs>
        <w:spacing w:beforeLines="1" w:before="2" w:beforeAutospacing="0" w:afterLines="1" w:after="2" w:afterAutospacing="0"/>
        <w:ind w:left="0" w:firstLine="0"/>
        <w:jc w:val="both"/>
        <w:rPr>
          <w:rFonts w:asciiTheme="majorHAnsi" w:eastAsiaTheme="minorHAnsi" w:hAnsiTheme="majorHAnsi"/>
          <w:sz w:val="20"/>
          <w:szCs w:val="20"/>
        </w:rPr>
      </w:pPr>
      <w:r w:rsidRPr="00CE58F6">
        <w:rPr>
          <w:rFonts w:asciiTheme="majorHAnsi" w:eastAsiaTheme="minorHAnsi" w:hAnsiTheme="majorHAnsi"/>
          <w:sz w:val="20"/>
          <w:szCs w:val="20"/>
        </w:rPr>
        <w:t xml:space="preserve">As indicated </w:t>
      </w:r>
      <w:r w:rsidRPr="00CE58F6">
        <w:rPr>
          <w:rFonts w:asciiTheme="majorHAnsi" w:eastAsiaTheme="minorHAnsi" w:hAnsiTheme="majorHAnsi"/>
          <w:i/>
          <w:iCs/>
          <w:sz w:val="20"/>
          <w:szCs w:val="20"/>
        </w:rPr>
        <w:t>supra</w:t>
      </w:r>
      <w:r w:rsidRPr="00CE58F6">
        <w:rPr>
          <w:rFonts w:asciiTheme="majorHAnsi" w:eastAsiaTheme="minorHAnsi" w:hAnsiTheme="majorHAnsi"/>
          <w:sz w:val="20"/>
          <w:szCs w:val="20"/>
        </w:rPr>
        <w:t xml:space="preserve">, the Commission has an enhanced obligation to ensure that any deprivation of life which may occur through the application of the death penalty comply strictly with the requirements of the applicable inter-American human rights instruments, including the American Declaration. Therefore, the allegations in the present case require a heightened level of scrutiny to ensure that the rights to life, due process, and fair trial as prescribed under the American Declaration have been properly respected by the State. In the case of </w:t>
      </w:r>
      <w:r w:rsidR="00937CFA" w:rsidRPr="00CE58F6">
        <w:rPr>
          <w:rFonts w:asciiTheme="majorHAnsi" w:eastAsiaTheme="minorHAnsi" w:hAnsiTheme="majorHAnsi"/>
          <w:sz w:val="20"/>
          <w:szCs w:val="20"/>
        </w:rPr>
        <w:t>c</w:t>
      </w:r>
      <w:r w:rsidRPr="00CE58F6">
        <w:rPr>
          <w:rFonts w:asciiTheme="majorHAnsi" w:eastAsiaTheme="minorHAnsi" w:hAnsiTheme="majorHAnsi"/>
          <w:sz w:val="20"/>
          <w:szCs w:val="20"/>
        </w:rPr>
        <w:t xml:space="preserve">lemency proceedings pending the execution of a death sentence, the minimal fairness guarantees afforded to the applicant should include the opportunity to receive an impartial hearing. </w:t>
      </w:r>
    </w:p>
    <w:p w14:paraId="659CDB4E" w14:textId="77777777" w:rsidR="00792021" w:rsidRPr="00CE58F6" w:rsidRDefault="00792021" w:rsidP="00051F6B">
      <w:pPr>
        <w:pStyle w:val="NormalWeb"/>
        <w:tabs>
          <w:tab w:val="left" w:pos="360"/>
        </w:tabs>
        <w:spacing w:beforeLines="1" w:before="2" w:beforeAutospacing="0" w:afterLines="1" w:after="2" w:afterAutospacing="0"/>
        <w:jc w:val="both"/>
        <w:rPr>
          <w:rFonts w:asciiTheme="majorHAnsi" w:eastAsiaTheme="minorHAnsi" w:hAnsiTheme="majorHAnsi"/>
          <w:sz w:val="20"/>
          <w:szCs w:val="20"/>
        </w:rPr>
      </w:pPr>
    </w:p>
    <w:p w14:paraId="4D963220" w14:textId="77777777" w:rsidR="004E7578" w:rsidRPr="00CE58F6" w:rsidRDefault="00284130" w:rsidP="00051F6B">
      <w:pPr>
        <w:pStyle w:val="NormalWeb"/>
        <w:numPr>
          <w:ilvl w:val="0"/>
          <w:numId w:val="55"/>
        </w:numPr>
        <w:tabs>
          <w:tab w:val="left" w:pos="360"/>
        </w:tabs>
        <w:spacing w:beforeLines="1" w:before="2" w:beforeAutospacing="0" w:afterLines="1" w:after="2" w:afterAutospacing="0"/>
        <w:ind w:left="0" w:firstLine="0"/>
        <w:jc w:val="both"/>
        <w:rPr>
          <w:rFonts w:asciiTheme="majorHAnsi" w:eastAsiaTheme="minorHAnsi" w:hAnsiTheme="majorHAnsi"/>
          <w:sz w:val="20"/>
          <w:szCs w:val="20"/>
        </w:rPr>
      </w:pPr>
      <w:r w:rsidRPr="00CE58F6">
        <w:rPr>
          <w:rFonts w:asciiTheme="majorHAnsi" w:eastAsiaTheme="minorHAnsi" w:hAnsiTheme="majorHAnsi"/>
          <w:sz w:val="20"/>
          <w:szCs w:val="20"/>
        </w:rPr>
        <w:t xml:space="preserve">The allegations of the </w:t>
      </w:r>
      <w:r w:rsidR="002A5269" w:rsidRPr="00CE58F6">
        <w:rPr>
          <w:rFonts w:asciiTheme="majorHAnsi" w:eastAsiaTheme="minorHAnsi" w:hAnsiTheme="majorHAnsi"/>
          <w:sz w:val="20"/>
          <w:szCs w:val="20"/>
        </w:rPr>
        <w:t>petitioner</w:t>
      </w:r>
      <w:r w:rsidR="00937CFA" w:rsidRPr="00CE58F6">
        <w:rPr>
          <w:rFonts w:asciiTheme="majorHAnsi" w:eastAsiaTheme="minorHAnsi" w:hAnsiTheme="majorHAnsi"/>
          <w:sz w:val="20"/>
          <w:szCs w:val="20"/>
        </w:rPr>
        <w:t>s</w:t>
      </w:r>
      <w:r w:rsidRPr="00CE58F6">
        <w:rPr>
          <w:rFonts w:asciiTheme="majorHAnsi" w:eastAsiaTheme="minorHAnsi" w:hAnsiTheme="majorHAnsi"/>
          <w:sz w:val="20"/>
          <w:szCs w:val="20"/>
        </w:rPr>
        <w:t xml:space="preserve"> indicate th</w:t>
      </w:r>
      <w:r w:rsidR="002A5269" w:rsidRPr="00CE58F6">
        <w:rPr>
          <w:rFonts w:asciiTheme="majorHAnsi" w:eastAsiaTheme="minorHAnsi" w:hAnsiTheme="majorHAnsi"/>
          <w:sz w:val="20"/>
          <w:szCs w:val="20"/>
        </w:rPr>
        <w:t>at the practice followed by the state of Florida</w:t>
      </w:r>
      <w:r w:rsidR="00FD7A58" w:rsidRPr="00CE58F6">
        <w:rPr>
          <w:rFonts w:asciiTheme="majorHAnsi" w:eastAsiaTheme="minorHAnsi" w:hAnsiTheme="majorHAnsi"/>
          <w:sz w:val="20"/>
          <w:szCs w:val="20"/>
        </w:rPr>
        <w:t xml:space="preserve"> </w:t>
      </w:r>
      <w:r w:rsidRPr="00CE58F6">
        <w:rPr>
          <w:rFonts w:asciiTheme="majorHAnsi" w:eastAsiaTheme="minorHAnsi" w:hAnsiTheme="majorHAnsi"/>
          <w:sz w:val="20"/>
          <w:szCs w:val="20"/>
        </w:rPr>
        <w:t xml:space="preserve">does not allow for </w:t>
      </w:r>
      <w:r w:rsidR="00FD7A58" w:rsidRPr="00CE58F6">
        <w:rPr>
          <w:rFonts w:asciiTheme="majorHAnsi" w:eastAsiaTheme="minorHAnsi" w:hAnsiTheme="majorHAnsi"/>
          <w:sz w:val="20"/>
          <w:szCs w:val="20"/>
        </w:rPr>
        <w:t xml:space="preserve">determining whether clemency proceedings were conducted and that there is no </w:t>
      </w:r>
      <w:r w:rsidR="009327B8" w:rsidRPr="00CE58F6">
        <w:rPr>
          <w:rFonts w:asciiTheme="majorHAnsi" w:eastAsiaTheme="minorHAnsi" w:hAnsiTheme="majorHAnsi"/>
          <w:sz w:val="20"/>
          <w:szCs w:val="20"/>
        </w:rPr>
        <w:t>reporting</w:t>
      </w:r>
      <w:r w:rsidRPr="00CE58F6">
        <w:rPr>
          <w:rFonts w:asciiTheme="majorHAnsi" w:eastAsiaTheme="minorHAnsi" w:hAnsiTheme="majorHAnsi"/>
          <w:sz w:val="20"/>
          <w:szCs w:val="20"/>
        </w:rPr>
        <w:t xml:space="preserve"> on the reasons for its recommendation to reject a clemency petition. The State has not denied the assertion that there is no set of rules or criteria to be taken into account when making clemency determination</w:t>
      </w:r>
      <w:r w:rsidR="003F1CFA" w:rsidRPr="00CE58F6">
        <w:rPr>
          <w:rFonts w:asciiTheme="majorHAnsi" w:eastAsiaTheme="minorHAnsi" w:hAnsiTheme="majorHAnsi"/>
          <w:sz w:val="20"/>
          <w:szCs w:val="20"/>
        </w:rPr>
        <w:t>s regarding death penalty cases</w:t>
      </w:r>
      <w:r w:rsidRPr="00CE58F6">
        <w:rPr>
          <w:rFonts w:asciiTheme="majorHAnsi" w:eastAsiaTheme="minorHAnsi" w:hAnsiTheme="majorHAnsi"/>
          <w:sz w:val="20"/>
          <w:szCs w:val="20"/>
        </w:rPr>
        <w:t xml:space="preserve">. </w:t>
      </w:r>
    </w:p>
    <w:p w14:paraId="160DD9F5" w14:textId="77777777" w:rsidR="004E7578" w:rsidRPr="00CE58F6" w:rsidRDefault="004E7578" w:rsidP="00051F6B">
      <w:pPr>
        <w:pStyle w:val="NormalWeb"/>
        <w:tabs>
          <w:tab w:val="left" w:pos="360"/>
        </w:tabs>
        <w:spacing w:beforeLines="1" w:before="2" w:beforeAutospacing="0" w:afterLines="1" w:after="2" w:afterAutospacing="0"/>
        <w:jc w:val="both"/>
        <w:rPr>
          <w:rFonts w:asciiTheme="majorHAnsi" w:eastAsiaTheme="minorHAnsi" w:hAnsiTheme="majorHAnsi"/>
          <w:sz w:val="20"/>
          <w:szCs w:val="20"/>
        </w:rPr>
      </w:pPr>
    </w:p>
    <w:p w14:paraId="2C6F47CC" w14:textId="77777777" w:rsidR="001947BA" w:rsidRPr="00CE58F6" w:rsidRDefault="00DB3D31" w:rsidP="00051F6B">
      <w:pPr>
        <w:pStyle w:val="NormalWeb"/>
        <w:numPr>
          <w:ilvl w:val="0"/>
          <w:numId w:val="55"/>
        </w:numPr>
        <w:tabs>
          <w:tab w:val="left" w:pos="360"/>
        </w:tabs>
        <w:spacing w:beforeLines="1" w:before="2" w:beforeAutospacing="0" w:afterLines="1" w:after="2" w:afterAutospacing="0"/>
        <w:ind w:left="0" w:firstLine="0"/>
        <w:jc w:val="both"/>
        <w:rPr>
          <w:rFonts w:ascii="Cambria" w:eastAsiaTheme="minorHAnsi" w:hAnsi="Cambria"/>
          <w:sz w:val="20"/>
          <w:szCs w:val="20"/>
        </w:rPr>
      </w:pPr>
      <w:r w:rsidRPr="00CE58F6">
        <w:rPr>
          <w:rFonts w:asciiTheme="majorHAnsi" w:eastAsiaTheme="minorHAnsi" w:hAnsiTheme="majorHAnsi"/>
          <w:sz w:val="20"/>
          <w:szCs w:val="20"/>
        </w:rPr>
        <w:t>The</w:t>
      </w:r>
      <w:r w:rsidR="004E7578" w:rsidRPr="00CE58F6">
        <w:rPr>
          <w:rFonts w:ascii="Cambria" w:eastAsiaTheme="minorHAnsi" w:hAnsi="Cambria"/>
          <w:sz w:val="20"/>
          <w:szCs w:val="20"/>
        </w:rPr>
        <w:t xml:space="preserve"> law </w:t>
      </w:r>
      <w:r w:rsidRPr="00CE58F6">
        <w:rPr>
          <w:rFonts w:ascii="Cambria" w:eastAsiaTheme="minorHAnsi" w:hAnsi="Cambria"/>
          <w:sz w:val="20"/>
          <w:szCs w:val="20"/>
        </w:rPr>
        <w:t>within Florida</w:t>
      </w:r>
      <w:r w:rsidR="004E7578" w:rsidRPr="00CE58F6">
        <w:rPr>
          <w:rFonts w:ascii="Cambria" w:eastAsiaTheme="minorHAnsi" w:hAnsi="Cambria"/>
          <w:sz w:val="20"/>
          <w:szCs w:val="20"/>
        </w:rPr>
        <w:t xml:space="preserve"> provides for a process by which the </w:t>
      </w:r>
      <w:r w:rsidRPr="00CE58F6">
        <w:rPr>
          <w:rFonts w:ascii="Cambria" w:eastAsiaTheme="minorHAnsi" w:hAnsi="Cambria"/>
          <w:sz w:val="20"/>
          <w:szCs w:val="20"/>
        </w:rPr>
        <w:t>Governor</w:t>
      </w:r>
      <w:r w:rsidR="004E7578" w:rsidRPr="00CE58F6">
        <w:rPr>
          <w:rFonts w:ascii="Cambria" w:eastAsiaTheme="minorHAnsi" w:hAnsi="Cambria"/>
          <w:sz w:val="20"/>
          <w:szCs w:val="20"/>
        </w:rPr>
        <w:t xml:space="preserve"> may exercise the authority to grant</w:t>
      </w:r>
      <w:r w:rsidRPr="00CE58F6">
        <w:rPr>
          <w:rFonts w:asciiTheme="majorHAnsi" w:hAnsiTheme="majorHAnsi"/>
          <w:sz w:val="20"/>
          <w:szCs w:val="20"/>
        </w:rPr>
        <w:t xml:space="preserve"> full or conditional pardons, restore civil rights, and commute punishment</w:t>
      </w:r>
      <w:r w:rsidR="004E7578" w:rsidRPr="00CE58F6">
        <w:rPr>
          <w:rFonts w:ascii="Cambria" w:eastAsiaTheme="minorHAnsi" w:hAnsi="Cambria"/>
          <w:sz w:val="20"/>
          <w:szCs w:val="20"/>
        </w:rPr>
        <w:t xml:space="preserve">. The Commission is not, however, </w:t>
      </w:r>
      <w:r w:rsidR="004E7578" w:rsidRPr="00CE58F6">
        <w:rPr>
          <w:rFonts w:ascii="Cambria" w:eastAsiaTheme="minorHAnsi" w:hAnsi="Cambria"/>
          <w:sz w:val="20"/>
          <w:szCs w:val="20"/>
        </w:rPr>
        <w:lastRenderedPageBreak/>
        <w:t xml:space="preserve">aware of any prescribed criteria that are applied in the exercise of the functions or discretion of the </w:t>
      </w:r>
      <w:r w:rsidRPr="00CE58F6">
        <w:rPr>
          <w:rFonts w:ascii="Cambria" w:eastAsiaTheme="minorHAnsi" w:hAnsi="Cambria"/>
          <w:sz w:val="20"/>
          <w:szCs w:val="20"/>
        </w:rPr>
        <w:t>Governor</w:t>
      </w:r>
      <w:r w:rsidR="004E7578" w:rsidRPr="00CE58F6">
        <w:rPr>
          <w:rFonts w:ascii="Cambria" w:eastAsiaTheme="minorHAnsi" w:hAnsi="Cambria"/>
          <w:sz w:val="20"/>
          <w:szCs w:val="20"/>
        </w:rPr>
        <w:t xml:space="preserve">. Nor is the Commission aware of any right on the part of an offender to apply to the </w:t>
      </w:r>
      <w:r w:rsidRPr="00CE58F6">
        <w:rPr>
          <w:rFonts w:ascii="Cambria" w:eastAsiaTheme="minorHAnsi" w:hAnsi="Cambria"/>
          <w:sz w:val="20"/>
          <w:szCs w:val="20"/>
        </w:rPr>
        <w:t>Governor</w:t>
      </w:r>
      <w:r w:rsidR="004E7578" w:rsidRPr="00CE58F6">
        <w:rPr>
          <w:rFonts w:ascii="Cambria" w:eastAsiaTheme="minorHAnsi" w:hAnsi="Cambria"/>
          <w:sz w:val="20"/>
          <w:szCs w:val="20"/>
        </w:rPr>
        <w:t xml:space="preserve">, to be informed of the time when the </w:t>
      </w:r>
      <w:r w:rsidRPr="00CE58F6">
        <w:rPr>
          <w:rFonts w:ascii="Cambria" w:eastAsiaTheme="minorHAnsi" w:hAnsi="Cambria"/>
          <w:sz w:val="20"/>
          <w:szCs w:val="20"/>
        </w:rPr>
        <w:t xml:space="preserve">clemency investigation or hearing of </w:t>
      </w:r>
      <w:r w:rsidR="004E7578" w:rsidRPr="00CE58F6">
        <w:rPr>
          <w:rFonts w:ascii="Cambria" w:eastAsiaTheme="minorHAnsi" w:hAnsi="Cambria"/>
          <w:sz w:val="20"/>
          <w:szCs w:val="20"/>
        </w:rPr>
        <w:t>the offender's case</w:t>
      </w:r>
      <w:r w:rsidRPr="00CE58F6">
        <w:rPr>
          <w:rFonts w:ascii="Cambria" w:eastAsiaTheme="minorHAnsi" w:hAnsi="Cambria"/>
          <w:sz w:val="20"/>
          <w:szCs w:val="20"/>
        </w:rPr>
        <w:t xml:space="preserve"> occurs</w:t>
      </w:r>
      <w:r w:rsidR="004E7578" w:rsidRPr="00CE58F6">
        <w:rPr>
          <w:rFonts w:ascii="Cambria" w:eastAsiaTheme="minorHAnsi" w:hAnsi="Cambria"/>
          <w:sz w:val="20"/>
          <w:szCs w:val="20"/>
        </w:rPr>
        <w:t xml:space="preserve">, to make oral or written submissions to the </w:t>
      </w:r>
      <w:r w:rsidRPr="00CE58F6">
        <w:rPr>
          <w:rFonts w:ascii="Cambria" w:eastAsiaTheme="minorHAnsi" w:hAnsi="Cambria"/>
          <w:sz w:val="20"/>
          <w:szCs w:val="20"/>
        </w:rPr>
        <w:t>Governor</w:t>
      </w:r>
      <w:r w:rsidR="004E7578" w:rsidRPr="00CE58F6">
        <w:rPr>
          <w:rFonts w:ascii="Cambria" w:eastAsiaTheme="minorHAnsi" w:hAnsi="Cambria"/>
          <w:sz w:val="20"/>
          <w:szCs w:val="20"/>
        </w:rPr>
        <w:t xml:space="preserve"> or to present, receive or challenge evidence considered </w:t>
      </w:r>
      <w:r w:rsidRPr="00CE58F6">
        <w:rPr>
          <w:rFonts w:ascii="Cambria" w:eastAsiaTheme="minorHAnsi" w:hAnsi="Cambria"/>
          <w:sz w:val="20"/>
          <w:szCs w:val="20"/>
        </w:rPr>
        <w:t>save for what may be submitted on his behalf by an appointed attorney</w:t>
      </w:r>
      <w:r w:rsidR="004E7578" w:rsidRPr="00CE58F6">
        <w:rPr>
          <w:rFonts w:ascii="Cambria" w:eastAsiaTheme="minorHAnsi" w:hAnsi="Cambria"/>
          <w:sz w:val="20"/>
          <w:szCs w:val="20"/>
        </w:rPr>
        <w:t xml:space="preserve">. </w:t>
      </w:r>
    </w:p>
    <w:p w14:paraId="44223500" w14:textId="77777777" w:rsidR="001947BA" w:rsidRPr="00CE58F6" w:rsidRDefault="001947BA" w:rsidP="00051F6B">
      <w:pPr>
        <w:pStyle w:val="NormalWeb"/>
        <w:tabs>
          <w:tab w:val="left" w:pos="360"/>
        </w:tabs>
        <w:spacing w:beforeLines="1" w:before="2" w:beforeAutospacing="0" w:afterLines="1" w:after="2" w:afterAutospacing="0"/>
        <w:jc w:val="both"/>
        <w:rPr>
          <w:rFonts w:ascii="Cambria" w:eastAsiaTheme="minorHAnsi" w:hAnsi="Cambria"/>
          <w:sz w:val="20"/>
          <w:szCs w:val="20"/>
        </w:rPr>
      </w:pPr>
    </w:p>
    <w:p w14:paraId="6F581D4F" w14:textId="77777777" w:rsidR="001947BA" w:rsidRPr="00CE58F6" w:rsidRDefault="004E7578" w:rsidP="00051F6B">
      <w:pPr>
        <w:pStyle w:val="NormalWeb"/>
        <w:numPr>
          <w:ilvl w:val="0"/>
          <w:numId w:val="55"/>
        </w:numPr>
        <w:tabs>
          <w:tab w:val="left" w:pos="360"/>
        </w:tabs>
        <w:spacing w:beforeLines="1" w:before="2" w:beforeAutospacing="0" w:afterLines="1" w:after="2" w:afterAutospacing="0"/>
        <w:ind w:left="0" w:firstLine="0"/>
        <w:jc w:val="both"/>
        <w:rPr>
          <w:rFonts w:ascii="Cambria" w:eastAsiaTheme="minorHAnsi" w:hAnsi="Cambria"/>
          <w:sz w:val="20"/>
          <w:szCs w:val="20"/>
        </w:rPr>
      </w:pPr>
      <w:r w:rsidRPr="00CE58F6">
        <w:rPr>
          <w:rFonts w:ascii="Cambria" w:eastAsiaTheme="minorHAnsi" w:hAnsi="Cambria"/>
          <w:sz w:val="20"/>
          <w:szCs w:val="20"/>
        </w:rPr>
        <w:t xml:space="preserve">Moreover, based upon the information before it, the Commission finds that the procedure for granting </w:t>
      </w:r>
      <w:r w:rsidR="00752844" w:rsidRPr="00CE58F6">
        <w:rPr>
          <w:rFonts w:ascii="Cambria" w:eastAsiaTheme="minorHAnsi" w:hAnsi="Cambria"/>
          <w:sz w:val="20"/>
          <w:szCs w:val="20"/>
        </w:rPr>
        <w:t>c</w:t>
      </w:r>
      <w:r w:rsidR="003C7C3D" w:rsidRPr="00CE58F6">
        <w:rPr>
          <w:rFonts w:ascii="Cambria" w:eastAsiaTheme="minorHAnsi" w:hAnsi="Cambria"/>
          <w:sz w:val="20"/>
          <w:szCs w:val="20"/>
        </w:rPr>
        <w:t>lemency</w:t>
      </w:r>
      <w:r w:rsidRPr="00CE58F6">
        <w:rPr>
          <w:rFonts w:ascii="Cambria" w:eastAsiaTheme="minorHAnsi" w:hAnsi="Cambria"/>
          <w:sz w:val="20"/>
          <w:szCs w:val="20"/>
        </w:rPr>
        <w:t xml:space="preserve"> does not guarantee condemned prisoners with an effective or adequate opportunity to participate in the process, and therefore do</w:t>
      </w:r>
      <w:r w:rsidR="004150D2" w:rsidRPr="00CE58F6">
        <w:rPr>
          <w:rFonts w:ascii="Cambria" w:eastAsiaTheme="minorHAnsi" w:hAnsi="Cambria"/>
          <w:sz w:val="20"/>
          <w:szCs w:val="20"/>
        </w:rPr>
        <w:t>es not properly ensure</w:t>
      </w:r>
      <w:r w:rsidR="003C7C3D" w:rsidRPr="00CE58F6">
        <w:rPr>
          <w:rFonts w:ascii="Cambria" w:eastAsiaTheme="minorHAnsi" w:hAnsi="Cambria"/>
          <w:sz w:val="20"/>
          <w:szCs w:val="20"/>
        </w:rPr>
        <w:t xml:space="preserve"> Mr. Valle</w:t>
      </w:r>
      <w:r w:rsidRPr="00CE58F6">
        <w:rPr>
          <w:rFonts w:ascii="Cambria" w:eastAsiaTheme="minorHAnsi" w:hAnsi="Cambria"/>
          <w:sz w:val="20"/>
          <w:szCs w:val="20"/>
        </w:rPr>
        <w:t xml:space="preserve">’s rights under Article XXIV of the Declaration to submit respectful petitions to any competent authority, for reasons of either general or private interest, and the right to obtain a prompt decision thereon. </w:t>
      </w:r>
    </w:p>
    <w:p w14:paraId="22695783" w14:textId="77777777" w:rsidR="001947BA" w:rsidRPr="00CE58F6" w:rsidRDefault="001947BA" w:rsidP="00051F6B">
      <w:pPr>
        <w:pStyle w:val="NormalWeb"/>
        <w:tabs>
          <w:tab w:val="left" w:pos="360"/>
        </w:tabs>
        <w:spacing w:beforeLines="1" w:before="2" w:beforeAutospacing="0" w:afterLines="1" w:after="2" w:afterAutospacing="0"/>
        <w:jc w:val="both"/>
        <w:rPr>
          <w:rFonts w:ascii="Cambria" w:eastAsiaTheme="minorHAnsi" w:hAnsi="Cambria"/>
          <w:sz w:val="20"/>
          <w:szCs w:val="20"/>
        </w:rPr>
      </w:pPr>
    </w:p>
    <w:p w14:paraId="3E4F0126" w14:textId="77777777" w:rsidR="00937CFA" w:rsidRPr="00CE58F6" w:rsidRDefault="004E7578" w:rsidP="00051F6B">
      <w:pPr>
        <w:pStyle w:val="NormalWeb"/>
        <w:numPr>
          <w:ilvl w:val="0"/>
          <w:numId w:val="55"/>
        </w:numPr>
        <w:tabs>
          <w:tab w:val="left" w:pos="360"/>
        </w:tabs>
        <w:spacing w:beforeLines="1" w:before="2" w:beforeAutospacing="0" w:afterLines="1" w:after="2" w:afterAutospacing="0"/>
        <w:ind w:left="0" w:firstLine="0"/>
        <w:jc w:val="both"/>
        <w:rPr>
          <w:rFonts w:ascii="Cambria" w:eastAsiaTheme="minorHAnsi" w:hAnsi="Cambria"/>
          <w:sz w:val="20"/>
          <w:szCs w:val="20"/>
        </w:rPr>
      </w:pPr>
      <w:r w:rsidRPr="00CE58F6">
        <w:rPr>
          <w:rFonts w:ascii="Cambria" w:eastAsiaTheme="minorHAnsi" w:hAnsi="Cambria"/>
          <w:sz w:val="20"/>
          <w:szCs w:val="20"/>
        </w:rPr>
        <w:t xml:space="preserve">In the Commission's view, the right to petition under Article XXIV of the Declaration, when read together with the State's obligations under the Declaration, must be read to encompass certain minimum procedural protections for condemned prisoners if the right is to be effectively respected and enjoyed. These protections include the right on the part of condemned prisoners to apply for amnesty, pardon or commutation of sentence, to be informed of when the competent authority will consider the offender's case, to make representations in person or by counsel to the competent authority and, to receive a decision from that authority within a reasonable period of time prior to his or her execution. It also entails the right not to have capital punishment imposed while such a petition is pending decision by the competent authority. </w:t>
      </w:r>
    </w:p>
    <w:p w14:paraId="77EBF05C" w14:textId="77777777" w:rsidR="00937CFA" w:rsidRPr="00CE58F6" w:rsidRDefault="00937CFA" w:rsidP="00FC3C01">
      <w:pPr>
        <w:pStyle w:val="ListParagraph"/>
        <w:rPr>
          <w:rFonts w:eastAsiaTheme="minorHAnsi"/>
          <w:sz w:val="20"/>
          <w:szCs w:val="20"/>
        </w:rPr>
      </w:pPr>
    </w:p>
    <w:p w14:paraId="3170E64B" w14:textId="77777777" w:rsidR="006D1419" w:rsidRDefault="004E7578" w:rsidP="006D1419">
      <w:pPr>
        <w:pStyle w:val="NormalWeb"/>
        <w:numPr>
          <w:ilvl w:val="0"/>
          <w:numId w:val="55"/>
        </w:numPr>
        <w:tabs>
          <w:tab w:val="left" w:pos="360"/>
        </w:tabs>
        <w:spacing w:beforeLines="1" w:before="2" w:beforeAutospacing="0" w:afterLines="1" w:after="2" w:afterAutospacing="0"/>
        <w:ind w:left="0" w:firstLine="0"/>
        <w:jc w:val="both"/>
        <w:rPr>
          <w:rFonts w:ascii="Cambria" w:eastAsiaTheme="minorHAnsi" w:hAnsi="Cambria"/>
          <w:sz w:val="20"/>
          <w:szCs w:val="20"/>
        </w:rPr>
      </w:pPr>
      <w:r w:rsidRPr="00CE58F6">
        <w:rPr>
          <w:rFonts w:ascii="Cambria" w:eastAsiaTheme="minorHAnsi" w:hAnsi="Cambria"/>
          <w:sz w:val="20"/>
          <w:szCs w:val="20"/>
        </w:rPr>
        <w:t>In order to provide condemned persons with an effective opportunity to exercise this right, a procedure should be prescribed and made available by the State through which prisoners may file an application for amnesty, pardon or commutation of sentence, and submit representations in support of his or her application. In the absence of minimal protections and procedures of this nature, Article XXIV of the American Declaration is rendered meaningless, a right without a remedy. Such an interpretation cannot be sustained in light of the object and purpose of the American Declaration</w:t>
      </w:r>
      <w:r w:rsidR="00937CFA" w:rsidRPr="00CE58F6">
        <w:rPr>
          <w:rFonts w:ascii="Cambria" w:eastAsiaTheme="minorHAnsi" w:hAnsi="Cambria"/>
          <w:sz w:val="20"/>
          <w:szCs w:val="20"/>
        </w:rPr>
        <w:t>.</w:t>
      </w:r>
      <w:r w:rsidR="008C4234" w:rsidRPr="00CE58F6">
        <w:rPr>
          <w:rStyle w:val="FootnoteReference"/>
          <w:rFonts w:ascii="Cambria" w:eastAsiaTheme="minorHAnsi" w:hAnsi="Cambria"/>
          <w:sz w:val="20"/>
          <w:szCs w:val="20"/>
        </w:rPr>
        <w:footnoteReference w:id="39"/>
      </w:r>
      <w:r w:rsidRPr="00CE58F6">
        <w:rPr>
          <w:rFonts w:ascii="Cambria" w:eastAsiaTheme="minorHAnsi" w:hAnsi="Cambria"/>
          <w:sz w:val="20"/>
          <w:szCs w:val="20"/>
        </w:rPr>
        <w:t xml:space="preserve"> </w:t>
      </w:r>
    </w:p>
    <w:p w14:paraId="533FA23D" w14:textId="77777777" w:rsidR="006D1419" w:rsidRDefault="006D1419" w:rsidP="006D1419">
      <w:pPr>
        <w:pStyle w:val="ListParagraph"/>
        <w:rPr>
          <w:rFonts w:eastAsiaTheme="minorHAnsi"/>
          <w:sz w:val="20"/>
          <w:szCs w:val="20"/>
        </w:rPr>
      </w:pPr>
    </w:p>
    <w:p w14:paraId="4B3FD394" w14:textId="77777777" w:rsidR="00A24B58" w:rsidRPr="006D1419" w:rsidRDefault="00A24B58" w:rsidP="006D1419">
      <w:pPr>
        <w:pStyle w:val="NormalWeb"/>
        <w:numPr>
          <w:ilvl w:val="0"/>
          <w:numId w:val="55"/>
        </w:numPr>
        <w:tabs>
          <w:tab w:val="left" w:pos="360"/>
        </w:tabs>
        <w:spacing w:beforeLines="1" w:before="2" w:beforeAutospacing="0" w:afterLines="1" w:after="2" w:afterAutospacing="0"/>
        <w:ind w:left="0" w:firstLine="0"/>
        <w:jc w:val="both"/>
        <w:rPr>
          <w:rFonts w:ascii="Cambria" w:eastAsiaTheme="minorHAnsi" w:hAnsi="Cambria"/>
          <w:sz w:val="20"/>
          <w:szCs w:val="20"/>
        </w:rPr>
      </w:pPr>
      <w:r w:rsidRPr="006D1419">
        <w:rPr>
          <w:rFonts w:ascii="Cambria" w:eastAsiaTheme="minorHAnsi" w:hAnsi="Cambria"/>
          <w:sz w:val="20"/>
          <w:szCs w:val="20"/>
        </w:rPr>
        <w:t xml:space="preserve">In this regard, the IACHR recalls, for </w:t>
      </w:r>
      <w:r w:rsidR="006D1419" w:rsidRPr="006D1419">
        <w:rPr>
          <w:rFonts w:ascii="Cambria" w:eastAsiaTheme="minorHAnsi" w:hAnsi="Cambria"/>
          <w:sz w:val="20"/>
          <w:szCs w:val="20"/>
        </w:rPr>
        <w:t>instance</w:t>
      </w:r>
      <w:r w:rsidRPr="006D1419">
        <w:rPr>
          <w:rFonts w:ascii="Cambria" w:eastAsiaTheme="minorHAnsi" w:hAnsi="Cambria"/>
          <w:sz w:val="20"/>
          <w:szCs w:val="20"/>
        </w:rPr>
        <w:t xml:space="preserve">, that the Inter-American Court of Human Rights has established that "the right to grace forms part of the international </w:t>
      </w:r>
      <w:r w:rsidRPr="006D1419">
        <w:rPr>
          <w:rFonts w:ascii="Cambria" w:eastAsiaTheme="minorHAnsi" w:hAnsi="Cambria"/>
          <w:i/>
          <w:sz w:val="20"/>
          <w:szCs w:val="20"/>
        </w:rPr>
        <w:t>corpus juris</w:t>
      </w:r>
      <w:r w:rsidRPr="006D1419">
        <w:rPr>
          <w:rFonts w:ascii="Cambria" w:eastAsiaTheme="minorHAnsi" w:hAnsi="Cambria"/>
          <w:sz w:val="20"/>
          <w:szCs w:val="20"/>
        </w:rPr>
        <w:t>, specifically of the American Convention and the International Covenant on Civil and Political Rights.</w:t>
      </w:r>
      <w:r w:rsidR="006D1419" w:rsidRPr="006D1419">
        <w:rPr>
          <w:rFonts w:ascii="Cambria" w:eastAsiaTheme="minorHAnsi" w:hAnsi="Cambria"/>
          <w:sz w:val="20"/>
          <w:szCs w:val="20"/>
        </w:rPr>
        <w:t>”</w:t>
      </w:r>
      <w:r w:rsidR="006D1419">
        <w:rPr>
          <w:rStyle w:val="FootnoteReference"/>
          <w:rFonts w:ascii="Cambria" w:eastAsiaTheme="minorHAnsi" w:hAnsi="Cambria"/>
          <w:sz w:val="20"/>
          <w:szCs w:val="20"/>
        </w:rPr>
        <w:footnoteReference w:id="40"/>
      </w:r>
      <w:r w:rsidRPr="006D1419">
        <w:rPr>
          <w:rFonts w:ascii="Cambria" w:eastAsiaTheme="minorHAnsi" w:hAnsi="Cambria"/>
          <w:sz w:val="20"/>
          <w:szCs w:val="20"/>
        </w:rPr>
        <w:t xml:space="preserve"> This Court has established that as par</w:t>
      </w:r>
      <w:r w:rsidR="00EF1C1F">
        <w:rPr>
          <w:rFonts w:ascii="Cambria" w:eastAsiaTheme="minorHAnsi" w:hAnsi="Cambria"/>
          <w:sz w:val="20"/>
          <w:szCs w:val="20"/>
        </w:rPr>
        <w:t>t of this right, the State has “</w:t>
      </w:r>
      <w:r w:rsidRPr="006D1419">
        <w:rPr>
          <w:rFonts w:ascii="Cambria" w:eastAsiaTheme="minorHAnsi" w:hAnsi="Cambria"/>
          <w:sz w:val="20"/>
          <w:szCs w:val="20"/>
        </w:rPr>
        <w:t>the obligation to guarantee that this right can be exercised by the person sentenced to death in an effective manner. Thus, the State has the obligation to implement a procedure of this nature that is characterized by impartiality and transparency, in which the person sentenced to death can assert with certainty all the antecedents that he or she believes are relevant in order to benefit from the act of clemency</w:t>
      </w:r>
      <w:r w:rsidR="006D1419" w:rsidRPr="006D1419">
        <w:rPr>
          <w:rFonts w:ascii="Cambria" w:eastAsiaTheme="minorHAnsi" w:hAnsi="Cambria"/>
          <w:sz w:val="20"/>
          <w:szCs w:val="20"/>
        </w:rPr>
        <w:t>.”</w:t>
      </w:r>
      <w:r w:rsidR="006D1419">
        <w:rPr>
          <w:rStyle w:val="FootnoteReference"/>
          <w:rFonts w:ascii="Cambria" w:eastAsiaTheme="minorHAnsi" w:hAnsi="Cambria"/>
          <w:sz w:val="20"/>
          <w:szCs w:val="20"/>
        </w:rPr>
        <w:footnoteReference w:id="41"/>
      </w:r>
      <w:r w:rsidR="006D1419" w:rsidRPr="006D1419">
        <w:rPr>
          <w:rFonts w:ascii="Cambria" w:eastAsiaTheme="minorHAnsi" w:hAnsi="Cambria"/>
          <w:sz w:val="20"/>
          <w:szCs w:val="20"/>
        </w:rPr>
        <w:t xml:space="preserve"> Similarly, the United Nations Human Rights Committee has stated that:</w:t>
      </w:r>
    </w:p>
    <w:p w14:paraId="6AA4B14D" w14:textId="77777777" w:rsidR="006D1419" w:rsidRDefault="006D1419" w:rsidP="006D1419">
      <w:pPr>
        <w:pStyle w:val="ListParagraph"/>
        <w:rPr>
          <w:rFonts w:eastAsiaTheme="minorHAnsi"/>
          <w:sz w:val="20"/>
          <w:szCs w:val="20"/>
        </w:rPr>
      </w:pPr>
    </w:p>
    <w:p w14:paraId="4B32BD53" w14:textId="77777777" w:rsidR="006D1419" w:rsidRPr="00EF1C1F" w:rsidRDefault="00EF1C1F" w:rsidP="00EF1C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Theme="minorHAnsi" w:hAnsi="Cambria"/>
          <w:sz w:val="18"/>
          <w:szCs w:val="18"/>
        </w:rPr>
      </w:pPr>
      <w:r>
        <w:rPr>
          <w:rFonts w:ascii="Cambria" w:eastAsiaTheme="minorHAnsi" w:hAnsi="Cambria"/>
          <w:sz w:val="18"/>
          <w:szCs w:val="18"/>
          <w:bdr w:val="none" w:sz="0" w:space="0" w:color="auto"/>
        </w:rPr>
        <w:t xml:space="preserve">[…] </w:t>
      </w:r>
      <w:r w:rsidRPr="00EF1C1F">
        <w:rPr>
          <w:rFonts w:ascii="Cambria" w:eastAsiaTheme="minorHAnsi" w:hAnsi="Cambria"/>
          <w:sz w:val="18"/>
          <w:szCs w:val="18"/>
          <w:bdr w:val="none" w:sz="0" w:space="0" w:color="auto"/>
        </w:rPr>
        <w:t xml:space="preserve">The State party should guarantee any person sentenced to death the right to seek pardon or commutation of sentence by bringing the legislation into line with the obligations of the Covenant and adopting provisions to ensure that the right to seek pardon may be </w:t>
      </w:r>
      <w:r w:rsidRPr="00EF1C1F">
        <w:rPr>
          <w:rFonts w:ascii="Cambria" w:eastAsiaTheme="minorHAnsi" w:hAnsi="Cambria"/>
          <w:sz w:val="18"/>
          <w:szCs w:val="18"/>
        </w:rPr>
        <w:t>exercised.</w:t>
      </w:r>
      <w:r>
        <w:rPr>
          <w:rStyle w:val="FootnoteReference"/>
          <w:rFonts w:ascii="Cambria" w:eastAsiaTheme="minorHAnsi" w:hAnsi="Cambria"/>
          <w:sz w:val="18"/>
          <w:szCs w:val="18"/>
        </w:rPr>
        <w:footnoteReference w:id="42"/>
      </w:r>
    </w:p>
    <w:p w14:paraId="7495F7A2" w14:textId="77777777" w:rsidR="00EF1C1F" w:rsidRPr="00EF1C1F" w:rsidRDefault="00EF1C1F" w:rsidP="00EF1C1F">
      <w:pPr>
        <w:pStyle w:val="NormalWeb"/>
        <w:tabs>
          <w:tab w:val="left" w:pos="360"/>
        </w:tabs>
        <w:spacing w:beforeLines="1" w:before="2" w:beforeAutospacing="0" w:afterLines="1" w:after="2" w:afterAutospacing="0"/>
        <w:jc w:val="both"/>
        <w:rPr>
          <w:rFonts w:ascii="Times" w:eastAsiaTheme="minorHAnsi" w:hAnsi="Times"/>
          <w:sz w:val="20"/>
          <w:szCs w:val="20"/>
        </w:rPr>
      </w:pPr>
    </w:p>
    <w:p w14:paraId="384A03EE" w14:textId="77777777" w:rsidR="004E7578" w:rsidRPr="00CE58F6" w:rsidRDefault="007913F7" w:rsidP="00051F6B">
      <w:pPr>
        <w:pStyle w:val="NormalWeb"/>
        <w:numPr>
          <w:ilvl w:val="0"/>
          <w:numId w:val="55"/>
        </w:numPr>
        <w:tabs>
          <w:tab w:val="left" w:pos="360"/>
        </w:tabs>
        <w:spacing w:beforeLines="1" w:before="2" w:beforeAutospacing="0" w:afterLines="1" w:after="2" w:afterAutospacing="0"/>
        <w:ind w:left="0" w:firstLine="0"/>
        <w:jc w:val="both"/>
        <w:rPr>
          <w:rFonts w:ascii="Times" w:eastAsiaTheme="minorHAnsi" w:hAnsi="Times"/>
          <w:sz w:val="20"/>
          <w:szCs w:val="20"/>
        </w:rPr>
      </w:pPr>
      <w:r w:rsidRPr="00CE58F6">
        <w:rPr>
          <w:rFonts w:asciiTheme="majorHAnsi" w:eastAsiaTheme="minorHAnsi" w:hAnsiTheme="majorHAnsi"/>
          <w:sz w:val="20"/>
          <w:szCs w:val="20"/>
        </w:rPr>
        <w:t xml:space="preserve">Therefore, the Commission finds that the procedure in place falls short of establishing minimal safeguards to prevent arbitrary decisions within clemency proceedings pending the execution of a death sentence. </w:t>
      </w:r>
      <w:r w:rsidR="00CE47A5" w:rsidRPr="00CE58F6">
        <w:rPr>
          <w:rFonts w:ascii="Cambria" w:eastAsiaTheme="minorHAnsi" w:hAnsi="Cambria"/>
          <w:sz w:val="20"/>
          <w:szCs w:val="20"/>
        </w:rPr>
        <w:t xml:space="preserve">The Commission also concludes that the State has violated Mr. </w:t>
      </w:r>
      <w:r w:rsidR="00937CFA" w:rsidRPr="00CE58F6">
        <w:rPr>
          <w:rFonts w:ascii="Cambria" w:eastAsiaTheme="minorHAnsi" w:hAnsi="Cambria"/>
          <w:sz w:val="20"/>
          <w:szCs w:val="20"/>
        </w:rPr>
        <w:t xml:space="preserve">Valle's </w:t>
      </w:r>
      <w:r w:rsidR="00CE47A5" w:rsidRPr="00CE58F6">
        <w:rPr>
          <w:rFonts w:ascii="Cambria" w:eastAsiaTheme="minorHAnsi" w:hAnsi="Cambria"/>
          <w:sz w:val="20"/>
          <w:szCs w:val="20"/>
        </w:rPr>
        <w:t xml:space="preserve">rights pursuant to Article XXIV of the American Convention by failing to guarantee him an effective right to petition and to apply for amnesty, pardon or commutation of sentence, to make representations, in person or by counsel, to the </w:t>
      </w:r>
      <w:r w:rsidR="00495BFC" w:rsidRPr="00CE58F6">
        <w:rPr>
          <w:rFonts w:ascii="Cambria" w:eastAsiaTheme="minorHAnsi" w:hAnsi="Cambria"/>
          <w:sz w:val="20"/>
          <w:szCs w:val="20"/>
        </w:rPr>
        <w:t>Governor</w:t>
      </w:r>
      <w:r w:rsidR="00CE47A5" w:rsidRPr="00CE58F6">
        <w:rPr>
          <w:rFonts w:ascii="Cambria" w:eastAsiaTheme="minorHAnsi" w:hAnsi="Cambria"/>
          <w:sz w:val="20"/>
          <w:szCs w:val="20"/>
        </w:rPr>
        <w:t xml:space="preserve"> and, to receive a prompt decision from the </w:t>
      </w:r>
      <w:r w:rsidR="00495BFC" w:rsidRPr="00CE58F6">
        <w:rPr>
          <w:rFonts w:ascii="Cambria" w:eastAsiaTheme="minorHAnsi" w:hAnsi="Cambria"/>
          <w:sz w:val="20"/>
          <w:szCs w:val="20"/>
        </w:rPr>
        <w:t>Governor</w:t>
      </w:r>
      <w:r w:rsidR="00CE47A5" w:rsidRPr="00CE58F6">
        <w:rPr>
          <w:rFonts w:ascii="Cambria" w:eastAsiaTheme="minorHAnsi" w:hAnsi="Cambria"/>
          <w:sz w:val="20"/>
          <w:szCs w:val="20"/>
        </w:rPr>
        <w:t xml:space="preserve"> within a reasonable time prior to his execution. </w:t>
      </w:r>
    </w:p>
    <w:p w14:paraId="0A858187" w14:textId="77777777" w:rsidR="00792021" w:rsidRPr="00CE58F6" w:rsidRDefault="00792021" w:rsidP="00051F6B">
      <w:pPr>
        <w:pStyle w:val="NormalWeb"/>
        <w:tabs>
          <w:tab w:val="left" w:pos="360"/>
        </w:tabs>
        <w:spacing w:beforeLines="1" w:before="2" w:beforeAutospacing="0" w:afterLines="1" w:after="2" w:afterAutospacing="0"/>
        <w:jc w:val="both"/>
        <w:rPr>
          <w:rFonts w:asciiTheme="majorHAnsi" w:eastAsiaTheme="minorHAnsi" w:hAnsiTheme="majorHAnsi"/>
          <w:sz w:val="20"/>
          <w:szCs w:val="20"/>
        </w:rPr>
      </w:pPr>
    </w:p>
    <w:p w14:paraId="3EC6D722" w14:textId="77777777" w:rsidR="00284130" w:rsidRPr="00CE58F6" w:rsidRDefault="00284130" w:rsidP="00051F6B">
      <w:pPr>
        <w:pStyle w:val="NormalWeb"/>
        <w:numPr>
          <w:ilvl w:val="0"/>
          <w:numId w:val="55"/>
        </w:numPr>
        <w:tabs>
          <w:tab w:val="left" w:pos="360"/>
        </w:tabs>
        <w:spacing w:beforeLines="1" w:before="2" w:beforeAutospacing="0" w:afterLines="1" w:after="2" w:afterAutospacing="0"/>
        <w:ind w:left="0" w:firstLine="0"/>
        <w:jc w:val="both"/>
        <w:rPr>
          <w:rFonts w:asciiTheme="majorHAnsi" w:eastAsiaTheme="minorHAnsi" w:hAnsiTheme="majorHAnsi"/>
          <w:sz w:val="20"/>
          <w:szCs w:val="20"/>
        </w:rPr>
      </w:pPr>
      <w:r w:rsidRPr="00CE58F6">
        <w:rPr>
          <w:rFonts w:asciiTheme="majorHAnsi" w:eastAsiaTheme="minorHAnsi" w:hAnsiTheme="majorHAnsi"/>
          <w:sz w:val="20"/>
          <w:szCs w:val="20"/>
        </w:rPr>
        <w:lastRenderedPageBreak/>
        <w:t xml:space="preserve">Based upon the foregoing, the Commission concludes that the clemency procedures in </w:t>
      </w:r>
      <w:r w:rsidR="00573EB3" w:rsidRPr="00CE58F6">
        <w:rPr>
          <w:rFonts w:asciiTheme="majorHAnsi" w:eastAsiaTheme="minorHAnsi" w:hAnsiTheme="majorHAnsi"/>
          <w:sz w:val="20"/>
          <w:szCs w:val="20"/>
        </w:rPr>
        <w:t>Florida</w:t>
      </w:r>
      <w:r w:rsidRPr="00CE58F6">
        <w:rPr>
          <w:rFonts w:asciiTheme="majorHAnsi" w:eastAsiaTheme="minorHAnsi" w:hAnsiTheme="majorHAnsi"/>
          <w:sz w:val="20"/>
          <w:szCs w:val="20"/>
        </w:rPr>
        <w:t xml:space="preserve"> fail to guarantee the right to an impartial hearing pursuant to Article XXVI of the American Declaration and that the State’s failure to ensure this obligation may re</w:t>
      </w:r>
      <w:r w:rsidR="007472CA" w:rsidRPr="00CE58F6">
        <w:rPr>
          <w:rFonts w:asciiTheme="majorHAnsi" w:eastAsiaTheme="minorHAnsi" w:hAnsiTheme="majorHAnsi"/>
          <w:sz w:val="20"/>
          <w:szCs w:val="20"/>
        </w:rPr>
        <w:t>sult in an additional violation of the</w:t>
      </w:r>
      <w:r w:rsidRPr="00CE58F6">
        <w:rPr>
          <w:rFonts w:asciiTheme="majorHAnsi" w:eastAsiaTheme="minorHAnsi" w:hAnsiTheme="majorHAnsi"/>
          <w:sz w:val="20"/>
          <w:szCs w:val="20"/>
        </w:rPr>
        <w:t xml:space="preserve"> rights to a fair trial under the Declaration. </w:t>
      </w:r>
    </w:p>
    <w:p w14:paraId="6D380AF1" w14:textId="77777777" w:rsidR="004C5505" w:rsidRPr="00CE58F6" w:rsidRDefault="004C5505" w:rsidP="00EC55EA">
      <w:pPr>
        <w:pStyle w:val="NormalWeb"/>
        <w:tabs>
          <w:tab w:val="left" w:pos="360"/>
        </w:tabs>
        <w:spacing w:before="0" w:beforeAutospacing="0" w:after="0" w:afterAutospacing="0"/>
        <w:jc w:val="both"/>
        <w:rPr>
          <w:rFonts w:asciiTheme="majorHAnsi" w:hAnsiTheme="majorHAnsi"/>
          <w:sz w:val="20"/>
          <w:szCs w:val="20"/>
        </w:rPr>
      </w:pPr>
    </w:p>
    <w:p w14:paraId="1A08A65B" w14:textId="77777777" w:rsidR="00F47B79" w:rsidRPr="00CE58F6" w:rsidRDefault="00F47B79" w:rsidP="00F47B79">
      <w:pPr>
        <w:pStyle w:val="Heading2"/>
        <w:numPr>
          <w:ilvl w:val="0"/>
          <w:numId w:val="61"/>
        </w:numPr>
        <w:tabs>
          <w:tab w:val="left" w:pos="360"/>
        </w:tabs>
        <w:spacing w:before="0"/>
        <w:ind w:left="0" w:firstLine="0"/>
        <w:jc w:val="both"/>
        <w:rPr>
          <w:color w:val="auto"/>
          <w:sz w:val="20"/>
          <w:szCs w:val="20"/>
        </w:rPr>
      </w:pPr>
      <w:bookmarkStart w:id="23" w:name="_Toc90291516"/>
      <w:r w:rsidRPr="00CE58F6">
        <w:rPr>
          <w:color w:val="auto"/>
          <w:sz w:val="20"/>
          <w:szCs w:val="20"/>
        </w:rPr>
        <w:t>The deprivation of liberty on death row and the right of protection against cruel, infamous or unusual punishment</w:t>
      </w:r>
      <w:bookmarkEnd w:id="23"/>
    </w:p>
    <w:p w14:paraId="58E2ACA0" w14:textId="77777777" w:rsidR="0050076E" w:rsidRPr="00CE58F6" w:rsidRDefault="0050076E" w:rsidP="005007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0B055F7A" w14:textId="77777777" w:rsidR="0050076E" w:rsidRPr="00CE58F6" w:rsidRDefault="0050076E" w:rsidP="0050076E">
      <w:pPr>
        <w:pStyle w:val="Heading2"/>
        <w:numPr>
          <w:ilvl w:val="1"/>
          <w:numId w:val="68"/>
        </w:numPr>
        <w:spacing w:before="0"/>
        <w:ind w:left="360"/>
        <w:rPr>
          <w:rFonts w:eastAsia="Arial Unicode MS"/>
          <w:color w:val="auto"/>
          <w:sz w:val="20"/>
          <w:szCs w:val="20"/>
        </w:rPr>
      </w:pPr>
      <w:bookmarkStart w:id="24" w:name="_Toc31968749"/>
      <w:bookmarkStart w:id="25" w:name="_Toc90291517"/>
      <w:r w:rsidRPr="00CE58F6">
        <w:rPr>
          <w:color w:val="auto"/>
          <w:sz w:val="20"/>
          <w:szCs w:val="20"/>
        </w:rPr>
        <w:t>Death row phenomenon</w:t>
      </w:r>
      <w:r w:rsidRPr="00CE58F6">
        <w:rPr>
          <w:rStyle w:val="FootnoteReference"/>
          <w:rFonts w:eastAsia="Arial Unicode MS"/>
          <w:color w:val="auto"/>
          <w:sz w:val="20"/>
          <w:szCs w:val="20"/>
        </w:rPr>
        <w:footnoteReference w:id="43"/>
      </w:r>
      <w:bookmarkEnd w:id="24"/>
      <w:bookmarkEnd w:id="25"/>
      <w:r w:rsidRPr="00CE58F6">
        <w:rPr>
          <w:rFonts w:eastAsia="Arial Unicode MS"/>
          <w:color w:val="auto"/>
          <w:sz w:val="20"/>
          <w:szCs w:val="20"/>
        </w:rPr>
        <w:t xml:space="preserve">  </w:t>
      </w:r>
    </w:p>
    <w:p w14:paraId="682C8DA1" w14:textId="77777777" w:rsidR="0050076E" w:rsidRPr="00CE58F6" w:rsidDel="00416F46" w:rsidRDefault="0050076E" w:rsidP="0038245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1042502E" w14:textId="77777777" w:rsidR="0050076E" w:rsidRPr="00CE58F6" w:rsidRDefault="0050076E"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E58F6">
        <w:rPr>
          <w:rFonts w:asciiTheme="majorHAnsi" w:eastAsia="Times New Roman" w:hAnsiTheme="majorHAnsi"/>
          <w:sz w:val="20"/>
          <w:szCs w:val="20"/>
        </w:rPr>
        <w:t>The long term deprivation of liberty on death row is referred to within both international human rights and comparative law as the “death row phenomenon”, and infringes on a person’s freedom from cruel, inhuman or degrading punishment. Such treatment violates the prohibition of cruel, inhuman or degrading punishment in Constitutions and in multiple international treaties, including the American Declaration (Articles XXV and XXVI).</w:t>
      </w:r>
      <w:r w:rsidRPr="00CE58F6">
        <w:rPr>
          <w:rStyle w:val="FootnoteReference"/>
          <w:rFonts w:asciiTheme="majorHAnsi" w:hAnsiTheme="majorHAnsi"/>
          <w:sz w:val="20"/>
          <w:szCs w:val="20"/>
        </w:rPr>
        <w:footnoteReference w:id="44"/>
      </w:r>
    </w:p>
    <w:p w14:paraId="5B0A9D65" w14:textId="77777777" w:rsidR="0050076E" w:rsidRPr="00CE58F6" w:rsidDel="00152A34" w:rsidRDefault="0050076E" w:rsidP="0038245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41451DBC" w14:textId="77777777" w:rsidR="0050076E" w:rsidRPr="00CE58F6" w:rsidRDefault="0050076E"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E58F6">
        <w:rPr>
          <w:rFonts w:asciiTheme="majorHAnsi" w:eastAsia="Times New Roman" w:hAnsiTheme="majorHAnsi"/>
          <w:sz w:val="20"/>
          <w:szCs w:val="20"/>
        </w:rPr>
        <w:t xml:space="preserve">The Commission takes note of the concept of the death row phenomenon of the United Nations Special Rapporteur on torture and other cruel, inhuman or degrading treatment or punishment that: </w:t>
      </w:r>
    </w:p>
    <w:p w14:paraId="13927A4F" w14:textId="77777777" w:rsidR="0050076E" w:rsidRPr="00CE58F6" w:rsidRDefault="0050076E" w:rsidP="0050076E">
      <w:pPr>
        <w:pStyle w:val="ListParagraph"/>
        <w:rPr>
          <w:sz w:val="20"/>
          <w:szCs w:val="20"/>
        </w:rPr>
      </w:pPr>
    </w:p>
    <w:p w14:paraId="756AE756" w14:textId="77777777" w:rsidR="0050076E" w:rsidRPr="00CE58F6" w:rsidRDefault="0050076E" w:rsidP="00500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60" w:right="360"/>
        <w:jc w:val="both"/>
        <w:rPr>
          <w:rFonts w:ascii="Cambria" w:hAnsi="Cambria"/>
          <w:sz w:val="18"/>
          <w:szCs w:val="18"/>
        </w:rPr>
      </w:pPr>
      <w:r w:rsidRPr="00CE58F6">
        <w:rPr>
          <w:rFonts w:ascii="Cambria" w:hAnsi="Cambria"/>
          <w:sz w:val="18"/>
          <w:szCs w:val="18"/>
        </w:rPr>
        <w:t>(…) it consists of a combination of circumstances that produce severe mental trauma and physical deterioration in prisoners under sentence of death.</w:t>
      </w:r>
      <w:r w:rsidRPr="00CE58F6">
        <w:rPr>
          <w:rFonts w:ascii="Cambria" w:hAnsi="Cambria"/>
          <w:sz w:val="18"/>
          <w:szCs w:val="18"/>
          <w:vertAlign w:val="superscript"/>
        </w:rPr>
        <w:footnoteReference w:id="45"/>
      </w:r>
      <w:r w:rsidRPr="00CE58F6">
        <w:rPr>
          <w:rFonts w:ascii="Cambria" w:hAnsi="Cambria"/>
          <w:sz w:val="18"/>
          <w:szCs w:val="18"/>
        </w:rPr>
        <w:t xml:space="preserve"> Those circumstances include the lengthy and anxiety-ridden wait for uncertain outcomes, isolation, drastically reduced human contact and even the physical conditions in which some inmates are held. Death row conditions are often worse than those for the rest of the prison population, and prisoners on death row are denied many basic human necessities.</w:t>
      </w:r>
      <w:r w:rsidRPr="00CE58F6">
        <w:rPr>
          <w:rFonts w:ascii="Cambria" w:hAnsi="Cambria"/>
          <w:sz w:val="18"/>
          <w:szCs w:val="18"/>
          <w:vertAlign w:val="superscript"/>
        </w:rPr>
        <w:footnoteReference w:id="46"/>
      </w:r>
    </w:p>
    <w:p w14:paraId="2139C8C1" w14:textId="77777777" w:rsidR="0050076E" w:rsidRPr="00CE58F6" w:rsidRDefault="0050076E" w:rsidP="00500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right="720"/>
        <w:jc w:val="both"/>
        <w:rPr>
          <w:rFonts w:ascii="Cambria" w:hAnsi="Cambria"/>
          <w:bCs/>
          <w:sz w:val="20"/>
          <w:szCs w:val="20"/>
        </w:rPr>
      </w:pPr>
    </w:p>
    <w:p w14:paraId="40D746FD" w14:textId="77777777" w:rsidR="0050076E" w:rsidRPr="00CE58F6" w:rsidRDefault="0050076E"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E58F6">
        <w:rPr>
          <w:rFonts w:asciiTheme="majorHAnsi" w:eastAsia="Times New Roman" w:hAnsiTheme="majorHAnsi"/>
          <w:sz w:val="20"/>
          <w:szCs w:val="20"/>
        </w:rPr>
        <w:t xml:space="preserve">In the case of </w:t>
      </w:r>
      <w:r w:rsidRPr="00CE58F6">
        <w:rPr>
          <w:rFonts w:asciiTheme="majorHAnsi" w:eastAsia="Times New Roman" w:hAnsiTheme="majorHAnsi"/>
          <w:i/>
          <w:iCs/>
          <w:sz w:val="20"/>
          <w:szCs w:val="20"/>
        </w:rPr>
        <w:t>Soering vs. The United Kingdom</w:t>
      </w:r>
      <w:r w:rsidRPr="00CE58F6">
        <w:rPr>
          <w:rFonts w:asciiTheme="majorHAnsi" w:eastAsia="Times New Roman" w:hAnsiTheme="majorHAnsi"/>
          <w:sz w:val="20"/>
          <w:szCs w:val="20"/>
        </w:rPr>
        <w:t>, the European Court of Human Rights, in its interpretation of the norm banning cruel, inhuman, and unusual punishment and in reference to the death penalty, pointed out that:</w:t>
      </w:r>
      <w:r w:rsidRPr="00CE58F6">
        <w:rPr>
          <w:rFonts w:asciiTheme="majorHAnsi" w:eastAsia="Times New Roman" w:hAnsiTheme="majorHAnsi"/>
          <w:szCs w:val="20"/>
        </w:rPr>
        <w:t xml:space="preserve"> </w:t>
      </w:r>
    </w:p>
    <w:p w14:paraId="1DCB3E90" w14:textId="77777777" w:rsidR="0050076E" w:rsidRPr="00CE58F6" w:rsidRDefault="0050076E" w:rsidP="00500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Style w:val="sb8d990e2"/>
        </w:rPr>
      </w:pPr>
    </w:p>
    <w:p w14:paraId="192BEE4F" w14:textId="77777777" w:rsidR="0050076E" w:rsidRPr="00CE58F6" w:rsidRDefault="0050076E" w:rsidP="0050076E">
      <w:pPr>
        <w:pStyle w:val="ListParagraph"/>
        <w:ind w:left="360" w:right="360"/>
        <w:jc w:val="both"/>
        <w:rPr>
          <w:rStyle w:val="sb8d990e2"/>
          <w:rFonts w:ascii="Times New Roman" w:eastAsia="Arial Unicode MS" w:hAnsi="Times New Roman" w:cs="Times New Roman"/>
          <w:color w:val="auto"/>
          <w:lang w:eastAsia="en-US"/>
        </w:rPr>
      </w:pPr>
      <w:r w:rsidRPr="00CE58F6">
        <w:rPr>
          <w:rStyle w:val="sb8d990e2"/>
          <w:sz w:val="18"/>
          <w:szCs w:val="18"/>
        </w:rPr>
        <w:t>The manner in which it is imposed or executed, the personal circumstances of the condemned person and a disproportionality to the gravity of the crime committed, as well as the conditions of detention awaiting execution, are examples of factors capable of bringing the treatment or punishment received by the condemned person within the proscription under Article 3.</w:t>
      </w:r>
      <w:r w:rsidRPr="00CE58F6">
        <w:rPr>
          <w:rStyle w:val="FootnoteReference"/>
          <w:sz w:val="18"/>
          <w:szCs w:val="18"/>
        </w:rPr>
        <w:t xml:space="preserve"> </w:t>
      </w:r>
      <w:r w:rsidRPr="00CE58F6">
        <w:rPr>
          <w:rStyle w:val="FootnoteReference"/>
          <w:sz w:val="18"/>
          <w:szCs w:val="18"/>
        </w:rPr>
        <w:footnoteReference w:id="47"/>
      </w:r>
      <w:r w:rsidRPr="00CE58F6">
        <w:rPr>
          <w:rStyle w:val="sb8d990e2"/>
          <w:sz w:val="18"/>
          <w:szCs w:val="18"/>
        </w:rPr>
        <w:t xml:space="preserve"> </w:t>
      </w:r>
    </w:p>
    <w:p w14:paraId="456217ED" w14:textId="77777777" w:rsidR="0050076E" w:rsidRPr="00CE58F6" w:rsidRDefault="0050076E" w:rsidP="0050076E">
      <w:pPr>
        <w:pBdr>
          <w:top w:val="none" w:sz="0" w:space="0" w:color="auto"/>
          <w:left w:val="none" w:sz="0" w:space="0" w:color="auto"/>
          <w:bottom w:val="none" w:sz="0" w:space="0" w:color="auto"/>
          <w:right w:val="none" w:sz="0" w:space="0" w:color="auto"/>
          <w:between w:val="none" w:sz="0" w:space="0" w:color="auto"/>
          <w:bar w:val="none" w:sz="0" w:color="auto"/>
        </w:pBdr>
        <w:jc w:val="both"/>
        <w:rPr>
          <w:rStyle w:val="sb8d990e2"/>
          <w:rFonts w:ascii="Cambria" w:eastAsia="Cambria" w:hAnsi="Cambria" w:cs="Cambria"/>
          <w:color w:val="000000"/>
          <w:u w:color="000000"/>
          <w:lang w:eastAsia="es-ES"/>
        </w:rPr>
      </w:pPr>
    </w:p>
    <w:p w14:paraId="5F3CC706" w14:textId="77777777" w:rsidR="0050076E" w:rsidRPr="00CE58F6" w:rsidRDefault="0038245A"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E58F6">
        <w:rPr>
          <w:rFonts w:asciiTheme="majorHAnsi" w:eastAsia="Times New Roman" w:hAnsiTheme="majorHAnsi"/>
          <w:sz w:val="20"/>
          <w:szCs w:val="20"/>
        </w:rPr>
        <w:t>The European Court found that </w:t>
      </w:r>
      <w:r w:rsidR="0050076E" w:rsidRPr="00CE58F6">
        <w:rPr>
          <w:rFonts w:asciiTheme="majorHAnsi" w:eastAsia="Times New Roman" w:hAnsiTheme="majorHAnsi"/>
          <w:sz w:val="20"/>
          <w:szCs w:val="20"/>
        </w:rPr>
        <w:t>the  "death  row  phenomenon"  is  a  cruel,  inhuman  and  degrading  treatment, and is characterized by a prolonged period of detention while  awaiting execution, during which prisoners sentenced to death suffer  severe  mental  anxiety,  extreme psychological tension and trauma.</w:t>
      </w:r>
      <w:r w:rsidR="0050076E" w:rsidRPr="00CE58F6">
        <w:rPr>
          <w:rStyle w:val="FootnoteReference"/>
          <w:rFonts w:asciiTheme="majorHAnsi" w:hAnsiTheme="majorHAnsi"/>
          <w:sz w:val="20"/>
          <w:szCs w:val="20"/>
        </w:rPr>
        <w:footnoteReference w:id="48"/>
      </w:r>
    </w:p>
    <w:p w14:paraId="39AC088C" w14:textId="77777777" w:rsidR="0050076E" w:rsidRPr="00CE58F6" w:rsidRDefault="0050076E" w:rsidP="0050076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17D0B4C2" w14:textId="77777777" w:rsidR="0050076E" w:rsidRPr="00CE58F6" w:rsidRDefault="0050076E"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E58F6">
        <w:rPr>
          <w:rFonts w:asciiTheme="majorHAnsi" w:eastAsia="Times New Roman" w:hAnsiTheme="majorHAnsi"/>
          <w:sz w:val="20"/>
          <w:szCs w:val="20"/>
        </w:rPr>
        <w:t xml:space="preserve">The European Court was referring to an average of six to eight years on death row from imposition of the penalty to execution and it mentioned how proceedings and appeals subsequent to the imposition of the death penalty themselves have a bearing on the aforementioned wait time on death row. The court referenced the lapse of time between sentence and execution is inevitable however, the consequence is that the condemned </w:t>
      </w:r>
      <w:r w:rsidRPr="00CE58F6">
        <w:rPr>
          <w:rFonts w:asciiTheme="majorHAnsi" w:eastAsia="Times New Roman" w:hAnsiTheme="majorHAnsi"/>
          <w:sz w:val="20"/>
          <w:szCs w:val="20"/>
        </w:rPr>
        <w:lastRenderedPageBreak/>
        <w:t>prisoner has to endure for many years the conditions on death row and the anguish and mounting tension of living in the ever-present shadow of death.</w:t>
      </w:r>
      <w:r w:rsidRPr="00CE58F6">
        <w:rPr>
          <w:rFonts w:ascii="Cambria" w:hAnsi="Cambria"/>
          <w:sz w:val="20"/>
          <w:vertAlign w:val="superscript"/>
        </w:rPr>
        <w:footnoteReference w:id="49"/>
      </w:r>
    </w:p>
    <w:p w14:paraId="3CB33E69" w14:textId="77777777" w:rsidR="0050076E" w:rsidRPr="00CE58F6" w:rsidRDefault="0050076E" w:rsidP="0050076E">
      <w:pPr>
        <w:pStyle w:val="ListParagraph"/>
        <w:tabs>
          <w:tab w:val="left" w:pos="360"/>
        </w:tabs>
        <w:rPr>
          <w:sz w:val="20"/>
        </w:rPr>
      </w:pPr>
    </w:p>
    <w:p w14:paraId="436E0402" w14:textId="77777777" w:rsidR="0050076E" w:rsidRPr="00CE58F6" w:rsidRDefault="0050076E"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E58F6">
        <w:rPr>
          <w:rFonts w:asciiTheme="majorHAnsi" w:eastAsia="Times New Roman" w:hAnsiTheme="majorHAnsi"/>
          <w:sz w:val="20"/>
          <w:szCs w:val="20"/>
        </w:rPr>
        <w:t>The court further recognized that some element of delay between imposition and execution of the sentence and the experience of severe stress in conditions necessary for strict incarceration are inevitable and considered elements like, the very long period of time spent on death row in such extreme conditions, with the ever present and mounting anguish of awaiting execution of the death penalty, which brought the delay into the realm of exposed real risk of treatment going beyond the threshold set by Article 3.</w:t>
      </w:r>
      <w:r w:rsidRPr="00CE58F6">
        <w:rPr>
          <w:rFonts w:ascii="Cambria" w:hAnsi="Cambria"/>
          <w:sz w:val="20"/>
          <w:vertAlign w:val="superscript"/>
        </w:rPr>
        <w:footnoteReference w:id="50"/>
      </w:r>
    </w:p>
    <w:p w14:paraId="6E9C8D9A" w14:textId="77777777" w:rsidR="0050076E" w:rsidRPr="00CE58F6" w:rsidRDefault="0050076E" w:rsidP="0050076E">
      <w:pPr>
        <w:pStyle w:val="ListParagraph"/>
        <w:tabs>
          <w:tab w:val="left" w:pos="360"/>
        </w:tabs>
        <w:rPr>
          <w:sz w:val="20"/>
        </w:rPr>
      </w:pPr>
    </w:p>
    <w:p w14:paraId="06F134BA" w14:textId="77777777" w:rsidR="0050076E" w:rsidRPr="00CE58F6" w:rsidRDefault="0050076E"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E58F6">
        <w:rPr>
          <w:rFonts w:asciiTheme="majorHAnsi" w:eastAsia="Times New Roman" w:hAnsiTheme="majorHAnsi"/>
          <w:sz w:val="20"/>
          <w:szCs w:val="20"/>
        </w:rPr>
        <w:t xml:space="preserve">Furthermore, in a comparative law context, the Commission notes that in the </w:t>
      </w:r>
      <w:r w:rsidRPr="00CE58F6">
        <w:rPr>
          <w:rFonts w:asciiTheme="majorHAnsi" w:eastAsia="Times New Roman" w:hAnsiTheme="majorHAnsi"/>
          <w:i/>
          <w:iCs/>
          <w:sz w:val="20"/>
          <w:szCs w:val="20"/>
        </w:rPr>
        <w:t>Pratt and Morgan v. Jamaica</w:t>
      </w:r>
      <w:r w:rsidRPr="00CE58F6">
        <w:rPr>
          <w:rFonts w:asciiTheme="majorHAnsi" w:eastAsia="Times New Roman" w:hAnsiTheme="majorHAnsi"/>
          <w:sz w:val="20"/>
          <w:szCs w:val="20"/>
        </w:rPr>
        <w:t xml:space="preserve"> case cited above the Privy Council considered the issue of the death row phenomenon, and held that:</w:t>
      </w:r>
    </w:p>
    <w:p w14:paraId="6E8066B6" w14:textId="77777777" w:rsidR="0050076E" w:rsidRPr="00CE58F6" w:rsidRDefault="0050076E" w:rsidP="005007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rPr>
      </w:pPr>
    </w:p>
    <w:p w14:paraId="4EF13539" w14:textId="77777777" w:rsidR="0050076E" w:rsidRPr="00CE58F6" w:rsidRDefault="0050076E" w:rsidP="005007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cs="Tahoma"/>
          <w:sz w:val="18"/>
          <w:szCs w:val="18"/>
          <w:bdr w:val="none" w:sz="0" w:space="0" w:color="auto"/>
        </w:rPr>
      </w:pPr>
      <w:r w:rsidRPr="00CE58F6">
        <w:rPr>
          <w:rFonts w:ascii="Cambria" w:eastAsia="Calibri" w:hAnsi="Cambria"/>
          <w:sz w:val="18"/>
          <w:szCs w:val="18"/>
          <w:bdr w:val="none" w:sz="0" w:space="0" w:color="auto"/>
        </w:rPr>
        <w:t>In their Lordships' view a State that wishes to retain capital punishment must accept the responsibility of ensuring that execution follows as swiftly as practicable after sentence, allowing a reasonable time for appeal and consideration of reprieve. It is part of the human condition that a condemned man will take every opportunity to save his life through use of the appellate procedure. If the appellate procedure enables the prisoner to prolong the appellate hearings over a period of years, the fault is to be attributed to the appellate system that permits such delay and not to the prisoner who takes advantage of it. Appellate procedures that echo down the years are not compatible with capital punishment. The death row phenomenon must not become established as a part of our jurisprudence.</w:t>
      </w:r>
    </w:p>
    <w:p w14:paraId="1693B522" w14:textId="77777777" w:rsidR="0050076E" w:rsidRPr="00CE58F6" w:rsidRDefault="0050076E" w:rsidP="005007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cs="Tahoma"/>
          <w:sz w:val="18"/>
          <w:szCs w:val="18"/>
          <w:bdr w:val="none" w:sz="0" w:space="0" w:color="auto"/>
        </w:rPr>
      </w:pPr>
      <w:r w:rsidRPr="00CE58F6">
        <w:rPr>
          <w:rFonts w:ascii="Cambria" w:eastAsia="Calibri" w:hAnsi="Cambria"/>
          <w:sz w:val="18"/>
          <w:szCs w:val="18"/>
          <w:bdr w:val="none" w:sz="0" w:space="0" w:color="auto"/>
        </w:rPr>
        <w:t>(…)</w:t>
      </w:r>
    </w:p>
    <w:p w14:paraId="3B98A2A2" w14:textId="77777777" w:rsidR="0050076E" w:rsidRPr="00CE58F6" w:rsidRDefault="0050076E" w:rsidP="0050076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Calibri" w:hAnsi="Cambria"/>
          <w:sz w:val="18"/>
          <w:szCs w:val="18"/>
          <w:bdr w:val="none" w:sz="0" w:space="0" w:color="auto"/>
        </w:rPr>
      </w:pPr>
      <w:r w:rsidRPr="00CE58F6">
        <w:rPr>
          <w:rFonts w:ascii="Cambria" w:eastAsia="Calibri" w:hAnsi="Cambria"/>
          <w:sz w:val="18"/>
          <w:szCs w:val="18"/>
          <w:bdr w:val="none" w:sz="0" w:space="0" w:color="auto"/>
        </w:rPr>
        <w:t>These considerations lead their Lordships to the conclusion that in any case in which execution is to take place more than five years after sentence there will be strong grounds for believing that the delay is such as to constitute "inhuman or degrading punishment or other treatment."</w:t>
      </w:r>
      <w:r w:rsidRPr="00CE58F6">
        <w:rPr>
          <w:rFonts w:ascii="Cambria" w:eastAsia="Calibri" w:hAnsi="Cambria"/>
          <w:sz w:val="18"/>
          <w:szCs w:val="18"/>
          <w:bdr w:val="none" w:sz="0" w:space="0" w:color="auto"/>
          <w:vertAlign w:val="superscript"/>
        </w:rPr>
        <w:footnoteReference w:id="51"/>
      </w:r>
    </w:p>
    <w:p w14:paraId="69A3ED0D" w14:textId="77777777" w:rsidR="0050076E" w:rsidRPr="00CE58F6" w:rsidRDefault="0050076E" w:rsidP="0050076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2"/>
          <w:bdr w:val="none" w:sz="0" w:space="0" w:color="auto"/>
        </w:rPr>
      </w:pPr>
    </w:p>
    <w:p w14:paraId="50CA0182" w14:textId="77777777" w:rsidR="0050076E" w:rsidRPr="00CE58F6" w:rsidRDefault="0050076E" w:rsidP="005007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CE58F6">
        <w:rPr>
          <w:rFonts w:asciiTheme="majorHAnsi" w:eastAsia="Times New Roman" w:hAnsiTheme="majorHAnsi"/>
          <w:sz w:val="20"/>
          <w:szCs w:val="20"/>
        </w:rPr>
        <w:t>In the same vein, the Supreme Court of Uganda considered in 2009 that "to execute a person after a delay of three years in conditions that were not acceptable by Ugandan standards would amount to cruel, inhuman punishment.”</w:t>
      </w:r>
      <w:r w:rsidRPr="00CE58F6">
        <w:rPr>
          <w:rFonts w:ascii="Cambria" w:hAnsi="Cambria"/>
          <w:sz w:val="20"/>
          <w:vertAlign w:val="superscript"/>
        </w:rPr>
        <w:footnoteReference w:id="52"/>
      </w:r>
      <w:r w:rsidRPr="00CE58F6">
        <w:rPr>
          <w:rFonts w:ascii="Cambria" w:hAnsi="Cambria"/>
          <w:sz w:val="20"/>
          <w:vertAlign w:val="superscript"/>
        </w:rPr>
        <w:t xml:space="preserve"> </w:t>
      </w:r>
      <w:r w:rsidRPr="00CE58F6">
        <w:rPr>
          <w:rFonts w:asciiTheme="majorHAnsi" w:eastAsia="Times New Roman" w:hAnsiTheme="majorHAnsi"/>
          <w:sz w:val="20"/>
          <w:szCs w:val="20"/>
        </w:rPr>
        <w:t>For its part, the Supreme Court of Zimbabwe has pointed out since 1993 that “having regard to judicial and academic consensus concerning the death row phenomenon, the prolonged delays and the harsh conditions of incarceration, a sufficient degree of seriousness had been attained to entitle the applicant to invoke the protection concerning the prohibition of torture and inhuman or degrading punishment.” That Supreme Court maintained that “52 and 72 months, respectively, on death row constituted a violation of the prohibition of torture and would render an actual execution unconstitutional.”</w:t>
      </w:r>
      <w:r w:rsidRPr="00CE58F6">
        <w:rPr>
          <w:rFonts w:ascii="Cambria" w:hAnsi="Cambria"/>
          <w:sz w:val="20"/>
          <w:vertAlign w:val="superscript"/>
        </w:rPr>
        <w:footnoteReference w:id="53"/>
      </w:r>
      <w:r w:rsidRPr="00CE58F6">
        <w:rPr>
          <w:rFonts w:ascii="Cambria" w:hAnsi="Cambria"/>
          <w:sz w:val="20"/>
          <w:vertAlign w:val="superscript"/>
        </w:rPr>
        <w:t xml:space="preserve"> </w:t>
      </w:r>
    </w:p>
    <w:p w14:paraId="70A8C6BE" w14:textId="77777777" w:rsidR="0050076E" w:rsidRPr="00CE58F6" w:rsidRDefault="0050076E" w:rsidP="005007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15DD6428" w14:textId="77777777" w:rsidR="00804686" w:rsidRPr="00CE58F6" w:rsidRDefault="0050076E" w:rsidP="00F610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rPr>
      </w:pPr>
      <w:r w:rsidRPr="00CE58F6">
        <w:rPr>
          <w:rFonts w:asciiTheme="majorHAnsi" w:eastAsia="Times New Roman" w:hAnsiTheme="majorHAnsi"/>
          <w:sz w:val="20"/>
          <w:szCs w:val="20"/>
        </w:rPr>
        <w:t xml:space="preserve">The Commission notes that </w:t>
      </w:r>
      <w:r w:rsidR="00A03056" w:rsidRPr="00CE58F6">
        <w:rPr>
          <w:rFonts w:asciiTheme="majorHAnsi" w:eastAsia="Times New Roman" w:hAnsiTheme="majorHAnsi"/>
          <w:sz w:val="20"/>
          <w:szCs w:val="20"/>
        </w:rPr>
        <w:t>Mr. Valle was on death row from 1978</w:t>
      </w:r>
      <w:r w:rsidRPr="00CE58F6">
        <w:rPr>
          <w:rFonts w:asciiTheme="majorHAnsi" w:eastAsia="Times New Roman" w:hAnsiTheme="majorHAnsi"/>
          <w:sz w:val="20"/>
          <w:szCs w:val="20"/>
        </w:rPr>
        <w:t xml:space="preserve"> to </w:t>
      </w:r>
      <w:r w:rsidR="00C63B6F" w:rsidRPr="00CE58F6">
        <w:rPr>
          <w:rFonts w:asciiTheme="majorHAnsi" w:eastAsia="Times New Roman" w:hAnsiTheme="majorHAnsi"/>
          <w:sz w:val="20"/>
          <w:szCs w:val="20"/>
        </w:rPr>
        <w:t>September</w:t>
      </w:r>
      <w:r w:rsidR="00A03056" w:rsidRPr="00CE58F6">
        <w:rPr>
          <w:rFonts w:asciiTheme="majorHAnsi" w:eastAsia="Times New Roman" w:hAnsiTheme="majorHAnsi"/>
          <w:sz w:val="20"/>
          <w:szCs w:val="20"/>
        </w:rPr>
        <w:t xml:space="preserve"> 2011</w:t>
      </w:r>
      <w:r w:rsidRPr="00CE58F6">
        <w:rPr>
          <w:rFonts w:asciiTheme="majorHAnsi" w:eastAsia="Times New Roman" w:hAnsiTheme="majorHAnsi"/>
          <w:sz w:val="20"/>
          <w:szCs w:val="20"/>
        </w:rPr>
        <w:t xml:space="preserve">. </w:t>
      </w:r>
      <w:r w:rsidR="00FC3C01" w:rsidRPr="00CE58F6">
        <w:rPr>
          <w:rFonts w:asciiTheme="majorHAnsi" w:eastAsia="Times New Roman" w:hAnsiTheme="majorHAnsi"/>
          <w:sz w:val="20"/>
          <w:szCs w:val="20"/>
        </w:rPr>
        <w:t xml:space="preserve">Therefore, </w:t>
      </w:r>
      <w:r w:rsidR="003A5E9B" w:rsidRPr="00CE58F6">
        <w:rPr>
          <w:rFonts w:ascii="Cambria" w:hAnsi="Cambria"/>
          <w:sz w:val="20"/>
        </w:rPr>
        <w:t xml:space="preserve">Mr. </w:t>
      </w:r>
      <w:r w:rsidR="000A5517" w:rsidRPr="00CE58F6">
        <w:rPr>
          <w:rFonts w:ascii="Cambria" w:hAnsi="Cambria"/>
          <w:sz w:val="20"/>
        </w:rPr>
        <w:t>Valle</w:t>
      </w:r>
      <w:r w:rsidR="004023A0" w:rsidRPr="00CE58F6">
        <w:rPr>
          <w:rFonts w:ascii="Cambria" w:hAnsi="Cambria"/>
          <w:sz w:val="20"/>
        </w:rPr>
        <w:t xml:space="preserve"> </w:t>
      </w:r>
      <w:r w:rsidR="00540472" w:rsidRPr="00CE58F6">
        <w:rPr>
          <w:rFonts w:ascii="Cambria" w:hAnsi="Cambria"/>
          <w:sz w:val="20"/>
        </w:rPr>
        <w:t>was</w:t>
      </w:r>
      <w:r w:rsidR="00D73D78" w:rsidRPr="00CE58F6">
        <w:rPr>
          <w:rFonts w:ascii="Cambria" w:hAnsi="Cambria"/>
          <w:sz w:val="20"/>
        </w:rPr>
        <w:t xml:space="preserve"> deprived of his liberty on death row for</w:t>
      </w:r>
      <w:r w:rsidR="003A5E9B" w:rsidRPr="00CE58F6">
        <w:rPr>
          <w:rFonts w:ascii="Cambria" w:hAnsi="Cambria"/>
          <w:sz w:val="20"/>
        </w:rPr>
        <w:t xml:space="preserve"> </w:t>
      </w:r>
      <w:r w:rsidR="000A5517" w:rsidRPr="00CE58F6">
        <w:rPr>
          <w:rFonts w:ascii="Cambria" w:hAnsi="Cambria"/>
          <w:sz w:val="20"/>
        </w:rPr>
        <w:t>33</w:t>
      </w:r>
      <w:r w:rsidR="003A5E9B" w:rsidRPr="00CE58F6">
        <w:rPr>
          <w:rFonts w:ascii="Cambria" w:hAnsi="Cambria"/>
          <w:sz w:val="20"/>
        </w:rPr>
        <w:t xml:space="preserve">years. The Commission notes that the very fact of spending </w:t>
      </w:r>
      <w:r w:rsidR="000A5517" w:rsidRPr="00CE58F6">
        <w:rPr>
          <w:rFonts w:ascii="Cambria" w:hAnsi="Cambria"/>
          <w:sz w:val="20"/>
        </w:rPr>
        <w:t>33 years</w:t>
      </w:r>
      <w:r w:rsidR="00A02FFE" w:rsidRPr="00CE58F6">
        <w:rPr>
          <w:rFonts w:ascii="Cambria" w:hAnsi="Cambria"/>
          <w:sz w:val="20"/>
        </w:rPr>
        <w:t xml:space="preserve"> </w:t>
      </w:r>
      <w:r w:rsidR="003A5E9B" w:rsidRPr="00CE58F6">
        <w:rPr>
          <w:rFonts w:ascii="Cambria" w:hAnsi="Cambria"/>
          <w:sz w:val="20"/>
        </w:rPr>
        <w:t xml:space="preserve">on death row </w:t>
      </w:r>
      <w:r w:rsidR="00944486" w:rsidRPr="00CE58F6">
        <w:rPr>
          <w:rFonts w:ascii="Cambria" w:hAnsi="Cambria"/>
          <w:sz w:val="20"/>
        </w:rPr>
        <w:t>was</w:t>
      </w:r>
      <w:r w:rsidR="003A5E9B" w:rsidRPr="00CE58F6">
        <w:rPr>
          <w:rFonts w:ascii="Cambria" w:hAnsi="Cambria"/>
          <w:sz w:val="20"/>
        </w:rPr>
        <w:t xml:space="preserve">, by any account, excessive and inhuman, and </w:t>
      </w:r>
      <w:r w:rsidR="00944486" w:rsidRPr="00CE58F6">
        <w:rPr>
          <w:rFonts w:ascii="Cambria" w:hAnsi="Cambria"/>
          <w:sz w:val="20"/>
        </w:rPr>
        <w:t>was</w:t>
      </w:r>
      <w:r w:rsidR="003A5E9B" w:rsidRPr="00CE58F6">
        <w:rPr>
          <w:rFonts w:ascii="Cambria" w:hAnsi="Cambria"/>
          <w:sz w:val="20"/>
        </w:rPr>
        <w:t xml:space="preserve"> aggravated by the prolonged expectation that the death sentence could be executed. Consequently, the United States is responsible for </w:t>
      </w:r>
      <w:r w:rsidR="00944486" w:rsidRPr="00CE58F6">
        <w:rPr>
          <w:rFonts w:ascii="Cambria" w:hAnsi="Cambria"/>
          <w:sz w:val="20"/>
        </w:rPr>
        <w:t xml:space="preserve">having </w:t>
      </w:r>
      <w:r w:rsidR="003A5E9B" w:rsidRPr="00CE58F6">
        <w:rPr>
          <w:rFonts w:ascii="Cambria" w:hAnsi="Cambria"/>
          <w:sz w:val="20"/>
        </w:rPr>
        <w:t>violat</w:t>
      </w:r>
      <w:r w:rsidR="00944486" w:rsidRPr="00CE58F6">
        <w:rPr>
          <w:rFonts w:ascii="Cambria" w:hAnsi="Cambria"/>
          <w:sz w:val="20"/>
        </w:rPr>
        <w:t>ed</w:t>
      </w:r>
      <w:r w:rsidR="003A5E9B" w:rsidRPr="00CE58F6">
        <w:rPr>
          <w:rFonts w:ascii="Cambria" w:hAnsi="Cambria"/>
          <w:sz w:val="20"/>
        </w:rPr>
        <w:t xml:space="preserve">, to the detriment of </w:t>
      </w:r>
      <w:r w:rsidR="000A5517" w:rsidRPr="00CE58F6">
        <w:rPr>
          <w:rFonts w:ascii="Cambria" w:hAnsi="Cambria"/>
          <w:sz w:val="20"/>
        </w:rPr>
        <w:t>the alleged victim</w:t>
      </w:r>
      <w:r w:rsidR="003A5E9B" w:rsidRPr="00CE58F6">
        <w:rPr>
          <w:rFonts w:ascii="Cambria" w:hAnsi="Cambria"/>
          <w:sz w:val="20"/>
        </w:rPr>
        <w:t xml:space="preserve">, the right to humane treatment, and not to receive cruel, infamous or unusual punishment established in </w:t>
      </w:r>
      <w:r w:rsidR="00970813" w:rsidRPr="00CE58F6">
        <w:rPr>
          <w:rFonts w:ascii="Cambria" w:hAnsi="Cambria"/>
          <w:sz w:val="20"/>
        </w:rPr>
        <w:t xml:space="preserve">Articles XXV and XXVI of </w:t>
      </w:r>
      <w:r w:rsidR="003A5E9B" w:rsidRPr="00CE58F6">
        <w:rPr>
          <w:rFonts w:ascii="Cambria" w:hAnsi="Cambria"/>
          <w:sz w:val="20"/>
        </w:rPr>
        <w:t xml:space="preserve">the American Declaration.  </w:t>
      </w:r>
    </w:p>
    <w:p w14:paraId="69581331" w14:textId="77777777" w:rsidR="00F47B79" w:rsidRPr="00CE58F6" w:rsidRDefault="00F47B79" w:rsidP="00F47B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72E535A2" w14:textId="77777777" w:rsidR="00F47B79" w:rsidRPr="00CE58F6" w:rsidRDefault="00F47B79" w:rsidP="00F47B79">
      <w:pPr>
        <w:pStyle w:val="Heading2"/>
        <w:numPr>
          <w:ilvl w:val="1"/>
          <w:numId w:val="68"/>
        </w:numPr>
        <w:spacing w:before="0"/>
        <w:ind w:left="360"/>
        <w:rPr>
          <w:rFonts w:eastAsia="Arial Unicode MS"/>
          <w:color w:val="auto"/>
          <w:sz w:val="20"/>
          <w:szCs w:val="20"/>
        </w:rPr>
      </w:pPr>
      <w:bookmarkStart w:id="26" w:name="_Toc90291518"/>
      <w:r w:rsidRPr="00CE58F6">
        <w:rPr>
          <w:color w:val="auto"/>
          <w:sz w:val="20"/>
          <w:szCs w:val="20"/>
        </w:rPr>
        <w:t>Method of Execution</w:t>
      </w:r>
      <w:bookmarkEnd w:id="26"/>
    </w:p>
    <w:p w14:paraId="5E478B33" w14:textId="77777777" w:rsidR="00F47B79" w:rsidRPr="00CE58F6" w:rsidRDefault="00F47B79" w:rsidP="00F47B79">
      <w:pPr>
        <w:rPr>
          <w:rFonts w:asciiTheme="majorHAnsi" w:hAnsiTheme="majorHAnsi"/>
          <w:sz w:val="20"/>
          <w:szCs w:val="20"/>
        </w:rPr>
      </w:pPr>
    </w:p>
    <w:p w14:paraId="79B40D66" w14:textId="77777777" w:rsidR="00F76ADB" w:rsidRPr="00CE58F6" w:rsidRDefault="002B29F1" w:rsidP="00F76AD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CE58F6">
        <w:rPr>
          <w:rFonts w:ascii="Cambria" w:hAnsi="Cambria"/>
          <w:sz w:val="20"/>
          <w:szCs w:val="20"/>
          <w:bdr w:val="none" w:sz="0" w:space="0" w:color="auto"/>
        </w:rPr>
        <w:t xml:space="preserve">The Commission </w:t>
      </w:r>
      <w:r w:rsidRPr="00CE58F6">
        <w:rPr>
          <w:rFonts w:ascii="Cambria" w:hAnsi="Cambria"/>
          <w:color w:val="1E1E1E"/>
          <w:sz w:val="20"/>
          <w:szCs w:val="20"/>
          <w:bdr w:val="none" w:sz="0" w:space="0" w:color="auto"/>
        </w:rPr>
        <w:t xml:space="preserve">notes that even though the American </w:t>
      </w:r>
      <w:r w:rsidR="00637EDA" w:rsidRPr="00CE58F6">
        <w:rPr>
          <w:rFonts w:ascii="Cambria" w:hAnsi="Cambria"/>
          <w:color w:val="1E1E1E"/>
          <w:sz w:val="20"/>
          <w:szCs w:val="20"/>
          <w:bdr w:val="none" w:sz="0" w:space="0" w:color="auto"/>
        </w:rPr>
        <w:t>Declaration</w:t>
      </w:r>
      <w:r w:rsidRPr="00CE58F6">
        <w:rPr>
          <w:rFonts w:ascii="Cambria" w:hAnsi="Cambria"/>
          <w:color w:val="1E1E1E"/>
          <w:sz w:val="20"/>
          <w:szCs w:val="20"/>
          <w:bdr w:val="none" w:sz="0" w:space="0" w:color="auto"/>
        </w:rPr>
        <w:t xml:space="preserve"> does not prohibit the death penalty, </w:t>
      </w:r>
      <w:r w:rsidRPr="00CE58F6">
        <w:rPr>
          <w:rFonts w:ascii="Cambria" w:hAnsi="Cambria"/>
          <w:sz w:val="20"/>
          <w:szCs w:val="20"/>
          <w:bdr w:val="none" w:sz="0" w:space="0" w:color="auto"/>
        </w:rPr>
        <w:t>various organs have considered that an execution method is incompatible with the right to humane treatment and the prohibition of torture when it is not designed to inflict the least possible suffering</w:t>
      </w:r>
      <w:r w:rsidR="00EB22B0" w:rsidRPr="00CE58F6">
        <w:rPr>
          <w:rFonts w:ascii="Cambria" w:hAnsi="Cambria"/>
          <w:sz w:val="20"/>
          <w:szCs w:val="20"/>
          <w:bdr w:val="none" w:sz="0" w:space="0" w:color="auto"/>
        </w:rPr>
        <w:t>.</w:t>
      </w:r>
      <w:r w:rsidRPr="00CE58F6">
        <w:rPr>
          <w:rStyle w:val="FootnoteReference"/>
          <w:rFonts w:ascii="Cambria" w:hAnsi="Cambria"/>
          <w:sz w:val="20"/>
          <w:szCs w:val="20"/>
          <w:bdr w:val="none" w:sz="0" w:space="0" w:color="auto"/>
        </w:rPr>
        <w:footnoteReference w:id="54"/>
      </w:r>
      <w:r w:rsidRPr="00CE58F6">
        <w:rPr>
          <w:rFonts w:ascii="Cambria" w:hAnsi="Cambria"/>
          <w:sz w:val="20"/>
          <w:szCs w:val="20"/>
          <w:bdr w:val="none" w:sz="0" w:space="0" w:color="auto"/>
        </w:rPr>
        <w:t xml:space="preserve"> </w:t>
      </w:r>
    </w:p>
    <w:p w14:paraId="0B72F526" w14:textId="77777777" w:rsidR="00F76ADB" w:rsidRPr="00CE58F6" w:rsidRDefault="00F76ADB" w:rsidP="00F76AD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54336648" w14:textId="77777777" w:rsidR="00186608" w:rsidRPr="00CE58F6" w:rsidRDefault="00CC1B33" w:rsidP="001866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CE58F6">
        <w:rPr>
          <w:rFonts w:ascii="Cambria" w:hAnsi="Cambria"/>
          <w:sz w:val="20"/>
          <w:szCs w:val="20"/>
          <w:bdr w:val="none" w:sz="0" w:space="0" w:color="auto"/>
        </w:rPr>
        <w:lastRenderedPageBreak/>
        <w:t>United Nations Safeguards guaranteeing protection of the rights of those facing the death penalty establish that “when the death penalty may be carried out it must be done in a way to keep to a minimum the suffering of prisoners.”</w:t>
      </w:r>
      <w:r w:rsidRPr="00CE58F6">
        <w:rPr>
          <w:rStyle w:val="FootnoteReference"/>
          <w:rFonts w:ascii="Cambria" w:hAnsi="Cambria"/>
          <w:sz w:val="20"/>
          <w:szCs w:val="20"/>
          <w:bdr w:val="none" w:sz="0" w:space="0" w:color="auto"/>
        </w:rPr>
        <w:footnoteReference w:id="55"/>
      </w:r>
      <w:r w:rsidRPr="00CE58F6">
        <w:rPr>
          <w:rFonts w:ascii="Cambria" w:hAnsi="Cambria"/>
          <w:sz w:val="20"/>
          <w:szCs w:val="20"/>
          <w:bdr w:val="none" w:sz="0" w:space="0" w:color="auto"/>
        </w:rPr>
        <w:t xml:space="preserve"> The Special Rapporteur on Torture, referring to the Safeguards, has indicated that there is no categorical evidence to show that any of the execution methods currently used to implement the death penalty comply with the prohibition of torture and cruel, inhumane and</w:t>
      </w:r>
      <w:r w:rsidR="000B13AF" w:rsidRPr="00CE58F6">
        <w:rPr>
          <w:rFonts w:ascii="Cambria" w:hAnsi="Cambria"/>
          <w:sz w:val="20"/>
          <w:szCs w:val="20"/>
          <w:bdr w:val="none" w:sz="0" w:space="0" w:color="auto"/>
        </w:rPr>
        <w:t xml:space="preserve"> degrading treatment and added </w:t>
      </w:r>
      <w:r w:rsidRPr="00CE58F6">
        <w:rPr>
          <w:rFonts w:ascii="Cambria" w:hAnsi="Cambria"/>
          <w:sz w:val="20"/>
          <w:szCs w:val="20"/>
          <w:bdr w:val="none" w:sz="0" w:space="0" w:color="auto"/>
        </w:rPr>
        <w:t>even if the safeguards were observed, all currently used methods of execution can inflict pain and excessive suffering.</w:t>
      </w:r>
      <w:r w:rsidRPr="00CE58F6">
        <w:rPr>
          <w:rStyle w:val="FootnoteReference"/>
          <w:rFonts w:ascii="Cambria" w:hAnsi="Cambria"/>
          <w:sz w:val="20"/>
          <w:szCs w:val="20"/>
          <w:bdr w:val="none" w:sz="0" w:space="0" w:color="auto"/>
        </w:rPr>
        <w:footnoteReference w:id="56"/>
      </w:r>
    </w:p>
    <w:p w14:paraId="52E7A9D4" w14:textId="77777777" w:rsidR="00186608" w:rsidRPr="00CE58F6" w:rsidRDefault="00186608" w:rsidP="001866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rPr>
      </w:pPr>
    </w:p>
    <w:p w14:paraId="1C6B0368" w14:textId="77777777" w:rsidR="00186608" w:rsidRPr="00CE58F6" w:rsidRDefault="000C59A4" w:rsidP="001866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CE58F6">
        <w:rPr>
          <w:rFonts w:ascii="Cambria" w:hAnsi="Cambria"/>
          <w:sz w:val="20"/>
          <w:szCs w:val="20"/>
          <w:bdr w:val="none" w:sz="0" w:space="0" w:color="auto"/>
        </w:rPr>
        <w:t>The Special Rapporteur on Extrajudicial, Summary or Arbitrary Executions has indicated with respect to the methods for the execution of the death penalty that “the extraordinary power conferred on the State to end a person’s life through a firing squad, hanging, lethal injection or other means to kill, poses a dangerous risk of abuse. This power can be kept under control only through the public supervision of the public punishment. It is a commonplace that due process serves to protect the accused. However, due process is also a mechanism through which society ensures that the punishments inflicted on their behalf are fair.”</w:t>
      </w:r>
      <w:r w:rsidRPr="00CE58F6">
        <w:rPr>
          <w:rStyle w:val="FootnoteReference"/>
          <w:rFonts w:ascii="Cambria" w:hAnsi="Cambria"/>
          <w:sz w:val="20"/>
          <w:szCs w:val="20"/>
          <w:bdr w:val="none" w:sz="0" w:space="0" w:color="auto"/>
        </w:rPr>
        <w:footnoteReference w:id="57"/>
      </w:r>
    </w:p>
    <w:p w14:paraId="506E7B01" w14:textId="77777777" w:rsidR="00186608" w:rsidRPr="00CE58F6" w:rsidRDefault="00186608" w:rsidP="001866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rPr>
      </w:pPr>
    </w:p>
    <w:p w14:paraId="3971C77B" w14:textId="77777777" w:rsidR="00186608" w:rsidRPr="00CE58F6" w:rsidRDefault="00FF03FB" w:rsidP="001866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CE58F6">
        <w:rPr>
          <w:rFonts w:ascii="Cambria" w:hAnsi="Cambria"/>
          <w:sz w:val="20"/>
          <w:szCs w:val="20"/>
          <w:bdr w:val="none" w:sz="0" w:space="0" w:color="auto"/>
        </w:rPr>
        <w:t xml:space="preserve">States have a reinforced special duty to </w:t>
      </w:r>
      <w:r w:rsidR="00C01142" w:rsidRPr="00CE58F6">
        <w:rPr>
          <w:rFonts w:ascii="Cambria" w:hAnsi="Cambria"/>
          <w:sz w:val="20"/>
          <w:szCs w:val="20"/>
          <w:bdr w:val="none" w:sz="0" w:space="0" w:color="auto"/>
        </w:rPr>
        <w:t xml:space="preserve">ensure that the method of execution does not constitute </w:t>
      </w:r>
      <w:r w:rsidR="00676888" w:rsidRPr="00CE58F6">
        <w:rPr>
          <w:rFonts w:ascii="Cambria" w:hAnsi="Cambria"/>
          <w:sz w:val="20"/>
          <w:szCs w:val="20"/>
          <w:bdr w:val="none" w:sz="0" w:space="0" w:color="auto"/>
        </w:rPr>
        <w:t>cruel, infamous or unusual punishment. In this regard, the drugs and doses to be used in case of executions by lethal injection, as well as the composition of the execution team and the training of its members should be subjected to the highest quality control standards. In particular, the drugs used should be subject to government approval and regulation, the execution team should have appropriate medical training and lethal injection protocols should be available to the public to guarantee public scrutiny</w:t>
      </w:r>
      <w:r w:rsidR="00EB22B0" w:rsidRPr="00CE58F6">
        <w:rPr>
          <w:rFonts w:ascii="Cambria" w:hAnsi="Cambria"/>
          <w:sz w:val="20"/>
          <w:szCs w:val="20"/>
          <w:bdr w:val="none" w:sz="0" w:space="0" w:color="auto"/>
        </w:rPr>
        <w:t>.</w:t>
      </w:r>
      <w:r w:rsidR="00E25A6B" w:rsidRPr="00CE58F6">
        <w:rPr>
          <w:rStyle w:val="FootnoteReference"/>
          <w:rFonts w:ascii="Cambria" w:hAnsi="Cambria"/>
          <w:sz w:val="20"/>
          <w:szCs w:val="20"/>
          <w:bdr w:val="none" w:sz="0" w:space="0" w:color="auto"/>
        </w:rPr>
        <w:footnoteReference w:id="58"/>
      </w:r>
      <w:r w:rsidR="00676888" w:rsidRPr="00CE58F6">
        <w:rPr>
          <w:rFonts w:ascii="Cambria" w:hAnsi="Cambria"/>
          <w:sz w:val="20"/>
          <w:szCs w:val="20"/>
          <w:bdr w:val="none" w:sz="0" w:space="0" w:color="auto"/>
        </w:rPr>
        <w:t xml:space="preserve"> </w:t>
      </w:r>
    </w:p>
    <w:p w14:paraId="5CFE85A9" w14:textId="77777777" w:rsidR="00186608" w:rsidRPr="00CE58F6" w:rsidRDefault="00186608" w:rsidP="001866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rPr>
      </w:pPr>
    </w:p>
    <w:p w14:paraId="2B5A8547" w14:textId="77777777" w:rsidR="00186608" w:rsidRPr="00CE58F6" w:rsidRDefault="00676888" w:rsidP="001866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CE58F6">
        <w:rPr>
          <w:rFonts w:ascii="Cambria" w:hAnsi="Cambria"/>
          <w:sz w:val="20"/>
          <w:szCs w:val="20"/>
          <w:bdr w:val="none" w:sz="0" w:space="0" w:color="auto"/>
        </w:rPr>
        <w:t>The Inter-American Commission notes in this regard that the due process requirement is not limited to the conviction and post-conviction proceedings</w:t>
      </w:r>
      <w:r w:rsidR="00935244" w:rsidRPr="00CE58F6">
        <w:rPr>
          <w:rFonts w:ascii="Cambria" w:hAnsi="Cambria"/>
          <w:sz w:val="20"/>
          <w:szCs w:val="20"/>
          <w:bdr w:val="none" w:sz="0" w:space="0" w:color="auto"/>
        </w:rPr>
        <w:t>.</w:t>
      </w:r>
      <w:r w:rsidR="00935244" w:rsidRPr="00CE58F6">
        <w:rPr>
          <w:rStyle w:val="FootnoteReference"/>
          <w:rFonts w:ascii="Cambria" w:hAnsi="Cambria"/>
          <w:sz w:val="20"/>
          <w:szCs w:val="20"/>
          <w:bdr w:val="none" w:sz="0" w:space="0" w:color="auto"/>
        </w:rPr>
        <w:footnoteReference w:id="59"/>
      </w:r>
      <w:r w:rsidR="00935244" w:rsidRPr="00CE58F6">
        <w:rPr>
          <w:rFonts w:ascii="Cambria" w:hAnsi="Cambria"/>
          <w:sz w:val="20"/>
          <w:szCs w:val="20"/>
          <w:bdr w:val="none" w:sz="0" w:space="0" w:color="auto"/>
        </w:rPr>
        <w:t xml:space="preserve"> </w:t>
      </w:r>
      <w:r w:rsidRPr="00CE58F6">
        <w:rPr>
          <w:rFonts w:ascii="Cambria" w:hAnsi="Cambria"/>
          <w:sz w:val="20"/>
          <w:szCs w:val="20"/>
          <w:bdr w:val="none" w:sz="0" w:space="0" w:color="auto"/>
        </w:rPr>
        <w:t xml:space="preserve">Therefore, the State has the duty to inform the person sentenced to death, in a timely manner, about the drug and method of execution that will be used, so he or she is not precluded from litigating the right to be executed in a manner devoid of cruel and unusual suffering. </w:t>
      </w:r>
    </w:p>
    <w:p w14:paraId="4AB7C950" w14:textId="77777777" w:rsidR="00186608" w:rsidRPr="00CE58F6" w:rsidRDefault="00186608" w:rsidP="001866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rPr>
      </w:pPr>
    </w:p>
    <w:p w14:paraId="07B2D7B6" w14:textId="77777777" w:rsidR="00186608" w:rsidRPr="00CE58F6" w:rsidRDefault="00676888" w:rsidP="001866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CE58F6">
        <w:rPr>
          <w:rFonts w:ascii="Cambria" w:hAnsi="Cambria"/>
          <w:sz w:val="20"/>
          <w:szCs w:val="20"/>
          <w:bdr w:val="none" w:sz="0" w:space="0" w:color="auto"/>
        </w:rPr>
        <w:t>The IACHR also notes that the United Nations Committee Against Torture received substantiated information indicating that executions in the United States can be accompanied by severe pain and suffering and requested the State to “carefully review its execution methods, in particular lethal injection, in order to prevent severe pain and suffering.</w:t>
      </w:r>
      <w:r w:rsidR="00076BDB" w:rsidRPr="00CE58F6">
        <w:rPr>
          <w:rFonts w:ascii="Cambria" w:hAnsi="Cambria"/>
          <w:sz w:val="20"/>
          <w:szCs w:val="20"/>
          <w:bdr w:val="none" w:sz="0" w:space="0" w:color="auto"/>
        </w:rPr>
        <w:t>”</w:t>
      </w:r>
      <w:r w:rsidR="00076BDB" w:rsidRPr="00CE58F6">
        <w:rPr>
          <w:rStyle w:val="FootnoteReference"/>
          <w:rFonts w:ascii="Cambria" w:hAnsi="Cambria"/>
          <w:sz w:val="20"/>
          <w:szCs w:val="20"/>
          <w:bdr w:val="none" w:sz="0" w:space="0" w:color="auto"/>
        </w:rPr>
        <w:footnoteReference w:id="60"/>
      </w:r>
    </w:p>
    <w:p w14:paraId="730A05D4" w14:textId="77777777" w:rsidR="00186608" w:rsidRPr="00CE58F6" w:rsidRDefault="00186608" w:rsidP="0018660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bdr w:val="none" w:sz="0" w:space="0" w:color="auto"/>
        </w:rPr>
      </w:pPr>
    </w:p>
    <w:p w14:paraId="628E965E" w14:textId="77777777" w:rsidR="00B83D79" w:rsidRPr="00CE58F6" w:rsidRDefault="00F8194C" w:rsidP="00B83D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CE58F6">
        <w:rPr>
          <w:rFonts w:ascii="Cambria" w:hAnsi="Cambria"/>
          <w:sz w:val="20"/>
          <w:szCs w:val="20"/>
          <w:bdr w:val="none" w:sz="0" w:space="0" w:color="auto"/>
        </w:rPr>
        <w:t>The petitioner</w:t>
      </w:r>
      <w:r w:rsidR="00EB22B0" w:rsidRPr="00CE58F6">
        <w:rPr>
          <w:rFonts w:ascii="Cambria" w:hAnsi="Cambria"/>
          <w:sz w:val="20"/>
          <w:szCs w:val="20"/>
          <w:bdr w:val="none" w:sz="0" w:space="0" w:color="auto"/>
        </w:rPr>
        <w:t>s</w:t>
      </w:r>
      <w:r w:rsidRPr="00CE58F6">
        <w:rPr>
          <w:rFonts w:ascii="Cambria" w:hAnsi="Cambria"/>
          <w:sz w:val="20"/>
          <w:szCs w:val="20"/>
          <w:bdr w:val="none" w:sz="0" w:space="0" w:color="auto"/>
        </w:rPr>
        <w:t xml:space="preserve"> originally argued that the drug substitution within the lethal injection protocol in Florida at the time of the filing of the petition failed to comport with the requirement that a method of execution cause “the least possible physical and mental suffering.” According to the petitioner</w:t>
      </w:r>
      <w:r w:rsidR="00EB22B0" w:rsidRPr="00CE58F6">
        <w:rPr>
          <w:rFonts w:ascii="Cambria" w:hAnsi="Cambria"/>
          <w:sz w:val="20"/>
          <w:szCs w:val="20"/>
          <w:bdr w:val="none" w:sz="0" w:space="0" w:color="auto"/>
        </w:rPr>
        <w:t>s</w:t>
      </w:r>
      <w:r w:rsidRPr="00CE58F6">
        <w:rPr>
          <w:rFonts w:ascii="Cambria" w:hAnsi="Cambria"/>
          <w:sz w:val="20"/>
          <w:szCs w:val="20"/>
          <w:bdr w:val="none" w:sz="0" w:space="0" w:color="auto"/>
        </w:rPr>
        <w:t>, the lethal injection as prescribed is cruel, i</w:t>
      </w:r>
      <w:r w:rsidR="00186608" w:rsidRPr="00CE58F6">
        <w:rPr>
          <w:rFonts w:ascii="Cambria" w:hAnsi="Cambria"/>
          <w:sz w:val="20"/>
          <w:szCs w:val="20"/>
          <w:bdr w:val="none" w:sz="0" w:space="0" w:color="auto"/>
        </w:rPr>
        <w:t xml:space="preserve">nfamous and unusual punishment. </w:t>
      </w:r>
      <w:r w:rsidR="00B83D79" w:rsidRPr="00CE58F6">
        <w:rPr>
          <w:rFonts w:ascii="Cambria" w:hAnsi="Cambria"/>
          <w:sz w:val="20"/>
          <w:szCs w:val="20"/>
          <w:bdr w:val="none" w:sz="0" w:space="0" w:color="auto"/>
        </w:rPr>
        <w:t>T</w:t>
      </w:r>
      <w:r w:rsidR="0056549F" w:rsidRPr="00CE58F6">
        <w:rPr>
          <w:rFonts w:ascii="Cambria" w:hAnsi="Cambria"/>
          <w:sz w:val="20"/>
          <w:szCs w:val="20"/>
          <w:bdr w:val="none" w:sz="0" w:space="0" w:color="auto"/>
        </w:rPr>
        <w:t>he</w:t>
      </w:r>
      <w:r w:rsidR="00D712B9" w:rsidRPr="00CE58F6">
        <w:rPr>
          <w:rFonts w:ascii="Cambria" w:hAnsi="Cambria"/>
          <w:sz w:val="20"/>
          <w:szCs w:val="20"/>
          <w:bdr w:val="none" w:sz="0" w:space="0" w:color="auto"/>
        </w:rPr>
        <w:t>y</w:t>
      </w:r>
      <w:r w:rsidR="0056549F" w:rsidRPr="00CE58F6">
        <w:rPr>
          <w:rFonts w:ascii="Cambria" w:hAnsi="Cambria"/>
          <w:sz w:val="20"/>
          <w:szCs w:val="20"/>
          <w:bdr w:val="none" w:sz="0" w:space="0" w:color="auto"/>
        </w:rPr>
        <w:t xml:space="preserve"> </w:t>
      </w:r>
      <w:r w:rsidR="00B83D79" w:rsidRPr="00CE58F6">
        <w:rPr>
          <w:rFonts w:ascii="Cambria" w:hAnsi="Cambria"/>
          <w:sz w:val="20"/>
          <w:szCs w:val="20"/>
          <w:bdr w:val="none" w:sz="0" w:space="0" w:color="auto"/>
        </w:rPr>
        <w:t xml:space="preserve">also </w:t>
      </w:r>
      <w:r w:rsidR="0056549F" w:rsidRPr="00CE58F6">
        <w:rPr>
          <w:rFonts w:ascii="Cambria" w:hAnsi="Cambria"/>
          <w:sz w:val="20"/>
          <w:szCs w:val="20"/>
          <w:bdr w:val="none" w:sz="0" w:space="0" w:color="auto"/>
        </w:rPr>
        <w:t>allege</w:t>
      </w:r>
      <w:r w:rsidR="00B83D79" w:rsidRPr="00CE58F6">
        <w:rPr>
          <w:rFonts w:ascii="Cambria" w:hAnsi="Cambria"/>
          <w:sz w:val="20"/>
          <w:szCs w:val="20"/>
          <w:bdr w:val="none" w:sz="0" w:space="0" w:color="auto"/>
        </w:rPr>
        <w:t>d</w:t>
      </w:r>
      <w:r w:rsidR="0056549F" w:rsidRPr="00CE58F6">
        <w:rPr>
          <w:rFonts w:ascii="Cambria" w:hAnsi="Cambria"/>
          <w:sz w:val="20"/>
          <w:szCs w:val="20"/>
          <w:bdr w:val="none" w:sz="0" w:space="0" w:color="auto"/>
        </w:rPr>
        <w:t xml:space="preserve"> that the manufacturer of the drug stated that they could not “assure the associated safety and efficacy profiles in such instances,” and that the drug was never tested on humans. </w:t>
      </w:r>
    </w:p>
    <w:p w14:paraId="132B73D6" w14:textId="77777777" w:rsidR="00B83D79" w:rsidRPr="00CE58F6" w:rsidRDefault="00B83D79" w:rsidP="00B83D7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05078A80" w14:textId="77777777" w:rsidR="009E3762" w:rsidRPr="00CE58F6" w:rsidRDefault="00D712B9" w:rsidP="003C3A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Theme="majorHAnsi" w:hAnsiTheme="majorHAnsi"/>
          <w:sz w:val="20"/>
          <w:szCs w:val="20"/>
        </w:rPr>
      </w:pPr>
      <w:r w:rsidRPr="00CE58F6">
        <w:rPr>
          <w:rFonts w:asciiTheme="majorHAnsi" w:hAnsiTheme="majorHAnsi"/>
          <w:sz w:val="20"/>
          <w:szCs w:val="20"/>
        </w:rPr>
        <w:t xml:space="preserve">Mr. Valle’s amended motion for post-conviction relief argued, among other claims, that the DOC’s plan to use the substituted drug constitutes cruel and unusual punishment, because Mr. Valle may remain conscious after being injected with the pentobarbital, thereby subjecting him to significant pain during the administration of the final two drugs. The </w:t>
      </w:r>
      <w:r w:rsidR="003C3ABB" w:rsidRPr="00CE58F6">
        <w:rPr>
          <w:rFonts w:asciiTheme="majorHAnsi" w:hAnsiTheme="majorHAnsi"/>
          <w:sz w:val="20"/>
          <w:szCs w:val="20"/>
        </w:rPr>
        <w:t xml:space="preserve">Circuit Court </w:t>
      </w:r>
      <w:r w:rsidR="009E3762" w:rsidRPr="00CE58F6">
        <w:rPr>
          <w:rFonts w:asciiTheme="majorHAnsi" w:hAnsiTheme="majorHAnsi"/>
          <w:sz w:val="20"/>
          <w:szCs w:val="20"/>
        </w:rPr>
        <w:t>finally</w:t>
      </w:r>
      <w:r w:rsidRPr="00CE58F6">
        <w:rPr>
          <w:rFonts w:asciiTheme="majorHAnsi" w:hAnsiTheme="majorHAnsi"/>
          <w:sz w:val="20"/>
          <w:szCs w:val="20"/>
        </w:rPr>
        <w:t xml:space="preserve"> denied the claim </w:t>
      </w:r>
      <w:r w:rsidR="009E3762" w:rsidRPr="00CE58F6">
        <w:rPr>
          <w:rFonts w:asciiTheme="majorHAnsi" w:hAnsiTheme="majorHAnsi"/>
          <w:sz w:val="20"/>
          <w:szCs w:val="20"/>
        </w:rPr>
        <w:t xml:space="preserve">and the </w:t>
      </w:r>
      <w:r w:rsidRPr="00CE58F6">
        <w:rPr>
          <w:rFonts w:asciiTheme="majorHAnsi" w:hAnsiTheme="majorHAnsi"/>
          <w:sz w:val="20"/>
          <w:szCs w:val="20"/>
        </w:rPr>
        <w:t>matter was returned to the F</w:t>
      </w:r>
      <w:r w:rsidR="009E3762" w:rsidRPr="00CE58F6">
        <w:rPr>
          <w:rFonts w:asciiTheme="majorHAnsi" w:hAnsiTheme="majorHAnsi"/>
          <w:sz w:val="20"/>
          <w:szCs w:val="20"/>
        </w:rPr>
        <w:t xml:space="preserve">lorida </w:t>
      </w:r>
      <w:r w:rsidRPr="00CE58F6">
        <w:rPr>
          <w:rFonts w:asciiTheme="majorHAnsi" w:hAnsiTheme="majorHAnsi"/>
          <w:sz w:val="20"/>
          <w:szCs w:val="20"/>
        </w:rPr>
        <w:t>S</w:t>
      </w:r>
      <w:r w:rsidR="009E3762" w:rsidRPr="00CE58F6">
        <w:rPr>
          <w:rFonts w:asciiTheme="majorHAnsi" w:hAnsiTheme="majorHAnsi"/>
          <w:sz w:val="20"/>
          <w:szCs w:val="20"/>
        </w:rPr>
        <w:t xml:space="preserve">upreme </w:t>
      </w:r>
      <w:r w:rsidRPr="00CE58F6">
        <w:rPr>
          <w:rFonts w:asciiTheme="majorHAnsi" w:hAnsiTheme="majorHAnsi"/>
          <w:sz w:val="20"/>
          <w:szCs w:val="20"/>
        </w:rPr>
        <w:t>C</w:t>
      </w:r>
      <w:r w:rsidR="009E3762" w:rsidRPr="00CE58F6">
        <w:rPr>
          <w:rFonts w:asciiTheme="majorHAnsi" w:hAnsiTheme="majorHAnsi"/>
          <w:sz w:val="20"/>
          <w:szCs w:val="20"/>
        </w:rPr>
        <w:t>ourt</w:t>
      </w:r>
      <w:r w:rsidRPr="00CE58F6">
        <w:rPr>
          <w:rFonts w:asciiTheme="majorHAnsi" w:hAnsiTheme="majorHAnsi"/>
          <w:sz w:val="20"/>
          <w:szCs w:val="20"/>
        </w:rPr>
        <w:t>.</w:t>
      </w:r>
      <w:r w:rsidR="009E3762" w:rsidRPr="00CE58F6">
        <w:rPr>
          <w:rFonts w:asciiTheme="majorHAnsi" w:hAnsiTheme="majorHAnsi"/>
          <w:sz w:val="20"/>
          <w:szCs w:val="20"/>
        </w:rPr>
        <w:t xml:space="preserve"> The FSC stated</w:t>
      </w:r>
      <w:r w:rsidRPr="00CE58F6">
        <w:rPr>
          <w:rFonts w:asciiTheme="majorHAnsi" w:hAnsiTheme="majorHAnsi"/>
          <w:sz w:val="20"/>
          <w:szCs w:val="20"/>
        </w:rPr>
        <w:t xml:space="preserve"> </w:t>
      </w:r>
      <w:r w:rsidR="009E3762" w:rsidRPr="00CE58F6">
        <w:rPr>
          <w:rFonts w:asciiTheme="majorHAnsi" w:hAnsiTheme="majorHAnsi"/>
          <w:sz w:val="20"/>
          <w:szCs w:val="20"/>
        </w:rPr>
        <w:t xml:space="preserve">that the inmate must demonstrate that the conditions presenting the risk must </w:t>
      </w:r>
      <w:r w:rsidR="009E3762" w:rsidRPr="00CE58F6">
        <w:rPr>
          <w:rFonts w:asciiTheme="majorHAnsi" w:hAnsiTheme="majorHAnsi"/>
          <w:sz w:val="20"/>
          <w:szCs w:val="20"/>
        </w:rPr>
        <w:lastRenderedPageBreak/>
        <w:t xml:space="preserve">be sure or very likely to cause serious illness and needless suffering and give rise to sufficiently imminent dangers. </w:t>
      </w:r>
    </w:p>
    <w:p w14:paraId="0D58F4FE" w14:textId="77777777" w:rsidR="009E3762" w:rsidRPr="00CE58F6" w:rsidRDefault="009E3762" w:rsidP="003E0ABC">
      <w:pPr>
        <w:pStyle w:val="ListParagraph"/>
        <w:rPr>
          <w:rFonts w:asciiTheme="majorHAnsi" w:hAnsiTheme="majorHAnsi"/>
          <w:sz w:val="20"/>
          <w:szCs w:val="20"/>
        </w:rPr>
      </w:pPr>
    </w:p>
    <w:p w14:paraId="28BB795C" w14:textId="77777777" w:rsidR="0056549F" w:rsidRPr="00CE58F6" w:rsidRDefault="009E3762" w:rsidP="003E0A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textAlignment w:val="baseline"/>
        <w:rPr>
          <w:rFonts w:ascii="Cambria" w:hAnsi="Cambria"/>
          <w:sz w:val="20"/>
          <w:szCs w:val="20"/>
        </w:rPr>
      </w:pPr>
      <w:r w:rsidRPr="00CE58F6">
        <w:rPr>
          <w:rFonts w:asciiTheme="majorHAnsi" w:hAnsiTheme="majorHAnsi"/>
          <w:sz w:val="20"/>
          <w:szCs w:val="20"/>
        </w:rPr>
        <w:t>The Commission notes that the court stated that the standard imposes a heavy burden upon the inmate to show that the lethal injection procedures violated the Eighth Amendment. It also notes that the</w:t>
      </w:r>
      <w:r w:rsidR="00D712B9" w:rsidRPr="00CE58F6">
        <w:rPr>
          <w:rFonts w:asciiTheme="majorHAnsi" w:hAnsiTheme="majorHAnsi"/>
          <w:sz w:val="20"/>
          <w:szCs w:val="20"/>
        </w:rPr>
        <w:t xml:space="preserve"> State’s expert witness acknowledged </w:t>
      </w:r>
      <w:r w:rsidR="006A078D" w:rsidRPr="00CE58F6">
        <w:rPr>
          <w:rFonts w:ascii="Cambria" w:hAnsi="Cambria"/>
          <w:sz w:val="20"/>
          <w:szCs w:val="20"/>
          <w:bdr w:val="none" w:sz="0" w:space="0" w:color="auto"/>
        </w:rPr>
        <w:t xml:space="preserve">non-approval of </w:t>
      </w:r>
      <w:r w:rsidR="006A078D" w:rsidRPr="00CE58F6">
        <w:rPr>
          <w:rFonts w:asciiTheme="majorHAnsi" w:hAnsiTheme="majorHAnsi"/>
          <w:sz w:val="20"/>
          <w:szCs w:val="20"/>
        </w:rPr>
        <w:t>pentobarbital</w:t>
      </w:r>
      <w:r w:rsidR="006A078D" w:rsidRPr="00CE58F6">
        <w:rPr>
          <w:rFonts w:ascii="Cambria" w:hAnsi="Cambria"/>
          <w:sz w:val="20"/>
          <w:szCs w:val="20"/>
          <w:bdr w:val="none" w:sz="0" w:space="0" w:color="auto"/>
        </w:rPr>
        <w:t xml:space="preserve"> by the FDA</w:t>
      </w:r>
      <w:r w:rsidR="006A078D" w:rsidRPr="00CE58F6">
        <w:rPr>
          <w:rFonts w:asciiTheme="majorHAnsi" w:hAnsiTheme="majorHAnsi"/>
          <w:sz w:val="20"/>
          <w:szCs w:val="20"/>
        </w:rPr>
        <w:t xml:space="preserve"> </w:t>
      </w:r>
      <w:r w:rsidR="00D712B9" w:rsidRPr="00CE58F6">
        <w:rPr>
          <w:rFonts w:asciiTheme="majorHAnsi" w:hAnsiTheme="majorHAnsi"/>
          <w:sz w:val="20"/>
          <w:szCs w:val="20"/>
        </w:rPr>
        <w:t xml:space="preserve">for use in lethal injections, </w:t>
      </w:r>
      <w:r w:rsidRPr="00CE58F6">
        <w:rPr>
          <w:rFonts w:asciiTheme="majorHAnsi" w:hAnsiTheme="majorHAnsi"/>
          <w:sz w:val="20"/>
          <w:szCs w:val="20"/>
        </w:rPr>
        <w:t>and that another expert</w:t>
      </w:r>
      <w:r w:rsidR="00D712B9" w:rsidRPr="00CE58F6">
        <w:rPr>
          <w:rFonts w:asciiTheme="majorHAnsi" w:hAnsiTheme="majorHAnsi"/>
          <w:sz w:val="20"/>
          <w:szCs w:val="20"/>
        </w:rPr>
        <w:t xml:space="preserve"> opined that he would be unable to determine the intended effects of the drug as there was insufficient data regarding the drug’s use. </w:t>
      </w:r>
      <w:r w:rsidRPr="00CE58F6">
        <w:rPr>
          <w:rFonts w:asciiTheme="majorHAnsi" w:hAnsiTheme="majorHAnsi"/>
          <w:sz w:val="20"/>
          <w:szCs w:val="20"/>
        </w:rPr>
        <w:t xml:space="preserve">Despite </w:t>
      </w:r>
      <w:r w:rsidR="00DF1907" w:rsidRPr="00CE58F6">
        <w:rPr>
          <w:rFonts w:asciiTheme="majorHAnsi" w:hAnsiTheme="majorHAnsi"/>
          <w:sz w:val="20"/>
          <w:szCs w:val="20"/>
        </w:rPr>
        <w:t>these assertions</w:t>
      </w:r>
      <w:r w:rsidRPr="00CE58F6">
        <w:rPr>
          <w:rFonts w:asciiTheme="majorHAnsi" w:hAnsiTheme="majorHAnsi"/>
          <w:sz w:val="20"/>
          <w:szCs w:val="20"/>
        </w:rPr>
        <w:t>, according to the information available</w:t>
      </w:r>
      <w:r w:rsidR="00A20BD9" w:rsidRPr="00CE58F6">
        <w:rPr>
          <w:rFonts w:asciiTheme="majorHAnsi" w:hAnsiTheme="majorHAnsi"/>
          <w:sz w:val="20"/>
          <w:szCs w:val="20"/>
        </w:rPr>
        <w:t>,</w:t>
      </w:r>
      <w:r w:rsidRPr="00CE58F6">
        <w:rPr>
          <w:rFonts w:asciiTheme="majorHAnsi" w:hAnsiTheme="majorHAnsi"/>
          <w:sz w:val="20"/>
          <w:szCs w:val="20"/>
        </w:rPr>
        <w:t xml:space="preserve"> the courts </w:t>
      </w:r>
      <w:r w:rsidR="00681BA6" w:rsidRPr="00CE58F6">
        <w:rPr>
          <w:rFonts w:ascii="Cambria" w:hAnsi="Cambria"/>
          <w:sz w:val="20"/>
          <w:szCs w:val="20"/>
          <w:bdr w:val="none" w:sz="0" w:space="0" w:color="auto"/>
        </w:rPr>
        <w:t>did not</w:t>
      </w:r>
      <w:r w:rsidR="0056549F" w:rsidRPr="00CE58F6">
        <w:rPr>
          <w:rFonts w:ascii="Cambria" w:hAnsi="Cambria"/>
          <w:sz w:val="20"/>
          <w:szCs w:val="20"/>
          <w:bdr w:val="none" w:sz="0" w:space="0" w:color="auto"/>
        </w:rPr>
        <w:t xml:space="preserve"> directly address th</w:t>
      </w:r>
      <w:r w:rsidR="00A20BD9" w:rsidRPr="00CE58F6">
        <w:rPr>
          <w:rFonts w:ascii="Cambria" w:hAnsi="Cambria"/>
          <w:sz w:val="20"/>
          <w:szCs w:val="20"/>
          <w:bdr w:val="none" w:sz="0" w:space="0" w:color="auto"/>
        </w:rPr>
        <w:t xml:space="preserve">e </w:t>
      </w:r>
      <w:r w:rsidR="0056549F" w:rsidRPr="00CE58F6">
        <w:rPr>
          <w:rFonts w:ascii="Cambria" w:hAnsi="Cambria"/>
          <w:sz w:val="20"/>
          <w:szCs w:val="20"/>
          <w:bdr w:val="none" w:sz="0" w:space="0" w:color="auto"/>
        </w:rPr>
        <w:t xml:space="preserve">lack of </w:t>
      </w:r>
      <w:r w:rsidR="00A20BD9" w:rsidRPr="00CE58F6">
        <w:rPr>
          <w:rFonts w:ascii="Cambria" w:hAnsi="Cambria"/>
          <w:sz w:val="20"/>
          <w:szCs w:val="20"/>
          <w:bdr w:val="none" w:sz="0" w:space="0" w:color="auto"/>
        </w:rPr>
        <w:t xml:space="preserve">FDA </w:t>
      </w:r>
      <w:r w:rsidR="0056549F" w:rsidRPr="00CE58F6">
        <w:rPr>
          <w:rFonts w:ascii="Cambria" w:hAnsi="Cambria"/>
          <w:sz w:val="20"/>
          <w:szCs w:val="20"/>
          <w:bdr w:val="none" w:sz="0" w:space="0" w:color="auto"/>
        </w:rPr>
        <w:t>approval</w:t>
      </w:r>
      <w:r w:rsidR="00A20BD9" w:rsidRPr="00CE58F6">
        <w:rPr>
          <w:rFonts w:ascii="Cambria" w:hAnsi="Cambria"/>
          <w:sz w:val="20"/>
          <w:szCs w:val="20"/>
          <w:bdr w:val="none" w:sz="0" w:space="0" w:color="auto"/>
        </w:rPr>
        <w:t xml:space="preserve"> of pentobarbital for use in lethal injections</w:t>
      </w:r>
      <w:r w:rsidR="0056549F" w:rsidRPr="00CE58F6">
        <w:rPr>
          <w:rFonts w:ascii="Cambria" w:hAnsi="Cambria"/>
          <w:sz w:val="20"/>
          <w:szCs w:val="20"/>
          <w:bdr w:val="none" w:sz="0" w:space="0" w:color="auto"/>
        </w:rPr>
        <w:t>.</w:t>
      </w:r>
      <w:r w:rsidR="00F42943" w:rsidRPr="00CE58F6">
        <w:rPr>
          <w:rFonts w:ascii="Cambria" w:hAnsi="Cambria"/>
          <w:sz w:val="20"/>
          <w:szCs w:val="20"/>
          <w:bdr w:val="none" w:sz="0" w:space="0" w:color="auto"/>
        </w:rPr>
        <w:t xml:space="preserve"> </w:t>
      </w:r>
    </w:p>
    <w:p w14:paraId="3B2B8408" w14:textId="77777777" w:rsidR="0056549F" w:rsidRPr="00CE58F6" w:rsidRDefault="0056549F" w:rsidP="003E0AB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0F74F6EF" w14:textId="77777777" w:rsidR="0074375D" w:rsidRPr="00CE58F6" w:rsidRDefault="007D4A55" w:rsidP="003E0A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CE58F6">
        <w:rPr>
          <w:rFonts w:ascii="Cambria" w:hAnsi="Cambria"/>
          <w:sz w:val="20"/>
          <w:szCs w:val="20"/>
          <w:bdr w:val="none" w:sz="0" w:space="0" w:color="auto"/>
        </w:rPr>
        <w:t xml:space="preserve">Given the </w:t>
      </w:r>
      <w:r w:rsidR="00594772" w:rsidRPr="00CE58F6">
        <w:rPr>
          <w:rFonts w:ascii="Cambria" w:hAnsi="Cambria"/>
          <w:sz w:val="20"/>
          <w:szCs w:val="20"/>
          <w:bdr w:val="none" w:sz="0" w:space="0" w:color="auto"/>
        </w:rPr>
        <w:t>State</w:t>
      </w:r>
      <w:r w:rsidRPr="00CE58F6">
        <w:rPr>
          <w:rFonts w:ascii="Cambria" w:hAnsi="Cambria"/>
          <w:sz w:val="20"/>
          <w:szCs w:val="20"/>
          <w:bdr w:val="none" w:sz="0" w:space="0" w:color="auto"/>
        </w:rPr>
        <w:t>’</w:t>
      </w:r>
      <w:r w:rsidR="00594772" w:rsidRPr="00CE58F6">
        <w:rPr>
          <w:rFonts w:ascii="Cambria" w:hAnsi="Cambria"/>
          <w:sz w:val="20"/>
          <w:szCs w:val="20"/>
          <w:bdr w:val="none" w:sz="0" w:space="0" w:color="auto"/>
        </w:rPr>
        <w:t>s reinforced special duty to ensure that the method of execution does not constitute cruel, i</w:t>
      </w:r>
      <w:r w:rsidR="00D118CF" w:rsidRPr="00CE58F6">
        <w:rPr>
          <w:rFonts w:ascii="Cambria" w:hAnsi="Cambria"/>
          <w:sz w:val="20"/>
          <w:szCs w:val="20"/>
          <w:bdr w:val="none" w:sz="0" w:space="0" w:color="auto"/>
        </w:rPr>
        <w:t>nfamous or unusual punishment, and i</w:t>
      </w:r>
      <w:r w:rsidR="00594772" w:rsidRPr="00CE58F6">
        <w:rPr>
          <w:rFonts w:ascii="Cambria" w:hAnsi="Cambria"/>
          <w:sz w:val="20"/>
          <w:szCs w:val="20"/>
          <w:bdr w:val="none" w:sz="0" w:space="0" w:color="auto"/>
        </w:rPr>
        <w:t xml:space="preserve">n particular, </w:t>
      </w:r>
      <w:r w:rsidRPr="00CE58F6">
        <w:rPr>
          <w:rFonts w:ascii="Cambria" w:hAnsi="Cambria"/>
          <w:sz w:val="20"/>
          <w:szCs w:val="20"/>
          <w:bdr w:val="none" w:sz="0" w:space="0" w:color="auto"/>
        </w:rPr>
        <w:t xml:space="preserve">to subject </w:t>
      </w:r>
      <w:r w:rsidR="00594772" w:rsidRPr="00CE58F6">
        <w:rPr>
          <w:rFonts w:ascii="Cambria" w:hAnsi="Cambria"/>
          <w:sz w:val="20"/>
          <w:szCs w:val="20"/>
          <w:bdr w:val="none" w:sz="0" w:space="0" w:color="auto"/>
        </w:rPr>
        <w:t>the drugs used to gove</w:t>
      </w:r>
      <w:r w:rsidR="00AF4AC5" w:rsidRPr="00CE58F6">
        <w:rPr>
          <w:rFonts w:ascii="Cambria" w:hAnsi="Cambria"/>
          <w:sz w:val="20"/>
          <w:szCs w:val="20"/>
          <w:bdr w:val="none" w:sz="0" w:space="0" w:color="auto"/>
        </w:rPr>
        <w:t>rnment approval and regulation</w:t>
      </w:r>
      <w:r w:rsidR="0074342D" w:rsidRPr="00CE58F6">
        <w:rPr>
          <w:rFonts w:ascii="Cambria" w:hAnsi="Cambria"/>
          <w:sz w:val="20"/>
          <w:szCs w:val="20"/>
          <w:bdr w:val="none" w:sz="0" w:space="0" w:color="auto"/>
        </w:rPr>
        <w:t>, the IACHR finds that in Mr. Valle’s case it violated</w:t>
      </w:r>
      <w:r w:rsidR="00DB5429" w:rsidRPr="00CE58F6">
        <w:rPr>
          <w:rFonts w:ascii="Cambria" w:hAnsi="Cambria"/>
          <w:sz w:val="20"/>
          <w:szCs w:val="20"/>
          <w:bdr w:val="none" w:sz="0" w:space="0" w:color="auto"/>
        </w:rPr>
        <w:t xml:space="preserve"> </w:t>
      </w:r>
      <w:r w:rsidR="00D118CF" w:rsidRPr="00CE58F6">
        <w:rPr>
          <w:rFonts w:ascii="Cambria" w:hAnsi="Cambria"/>
          <w:sz w:val="20"/>
          <w:szCs w:val="20"/>
          <w:bdr w:val="none" w:sz="0" w:space="0" w:color="auto"/>
        </w:rPr>
        <w:t>Article XXVI</w:t>
      </w:r>
      <w:r w:rsidR="00DB5429" w:rsidRPr="00CE58F6">
        <w:rPr>
          <w:rFonts w:ascii="Cambria" w:hAnsi="Cambria"/>
          <w:sz w:val="20"/>
          <w:szCs w:val="20"/>
          <w:bdr w:val="none" w:sz="0" w:space="0" w:color="auto"/>
        </w:rPr>
        <w:t xml:space="preserve"> </w:t>
      </w:r>
      <w:r w:rsidR="0074342D" w:rsidRPr="00CE58F6">
        <w:rPr>
          <w:rFonts w:ascii="Cambria" w:hAnsi="Cambria"/>
          <w:sz w:val="20"/>
          <w:szCs w:val="20"/>
          <w:bdr w:val="none" w:sz="0" w:space="0" w:color="auto"/>
        </w:rPr>
        <w:t>of the American Declaration.</w:t>
      </w:r>
      <w:r w:rsidR="00D118CF" w:rsidRPr="00CE58F6">
        <w:rPr>
          <w:rFonts w:ascii="Cambria" w:hAnsi="Cambria"/>
          <w:sz w:val="20"/>
          <w:szCs w:val="20"/>
          <w:bdr w:val="none" w:sz="0" w:space="0" w:color="auto"/>
        </w:rPr>
        <w:t xml:space="preserve"> </w:t>
      </w:r>
    </w:p>
    <w:p w14:paraId="1531E201" w14:textId="77777777" w:rsidR="0063586E" w:rsidRPr="00CE58F6" w:rsidRDefault="0063586E" w:rsidP="0074375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35B7F62A" w14:textId="77777777" w:rsidR="0063586E" w:rsidRPr="00CE58F6" w:rsidRDefault="0063586E" w:rsidP="0063586E">
      <w:pPr>
        <w:pStyle w:val="Heading2"/>
        <w:numPr>
          <w:ilvl w:val="0"/>
          <w:numId w:val="61"/>
        </w:numPr>
        <w:tabs>
          <w:tab w:val="left" w:pos="360"/>
        </w:tabs>
        <w:spacing w:before="0"/>
        <w:ind w:left="0" w:firstLine="0"/>
        <w:jc w:val="both"/>
        <w:rPr>
          <w:rFonts w:ascii="Cambria" w:eastAsia="Arial Unicode MS" w:hAnsi="Cambria"/>
          <w:color w:val="auto"/>
          <w:sz w:val="20"/>
          <w:szCs w:val="20"/>
        </w:rPr>
      </w:pPr>
      <w:bookmarkStart w:id="27" w:name="_Toc25764133"/>
      <w:bookmarkStart w:id="28" w:name="_Toc90291519"/>
      <w:r w:rsidRPr="00CE58F6">
        <w:rPr>
          <w:rFonts w:ascii="Cambria" w:eastAsia="Arial Unicode MS" w:hAnsi="Cambria"/>
          <w:color w:val="auto"/>
          <w:sz w:val="20"/>
          <w:szCs w:val="20"/>
        </w:rPr>
        <w:t>Rig</w:t>
      </w:r>
      <w:r w:rsidRPr="00CE58F6">
        <w:rPr>
          <w:rFonts w:eastAsia="Arial Unicode MS"/>
          <w:color w:val="auto"/>
          <w:sz w:val="20"/>
          <w:szCs w:val="20"/>
        </w:rPr>
        <w:t>h</w:t>
      </w:r>
      <w:r w:rsidRPr="00CE58F6">
        <w:rPr>
          <w:rFonts w:ascii="Cambria" w:eastAsia="Arial Unicode MS" w:hAnsi="Cambria"/>
          <w:color w:val="auto"/>
          <w:sz w:val="20"/>
          <w:szCs w:val="20"/>
        </w:rPr>
        <w:t>t to petition</w:t>
      </w:r>
      <w:r w:rsidRPr="00CE58F6">
        <w:rPr>
          <w:rStyle w:val="FootnoteReference"/>
          <w:rFonts w:ascii="Cambria" w:eastAsia="Arial Unicode MS" w:hAnsi="Cambria"/>
          <w:color w:val="auto"/>
          <w:sz w:val="20"/>
          <w:szCs w:val="20"/>
        </w:rPr>
        <w:footnoteReference w:id="61"/>
      </w:r>
      <w:bookmarkEnd w:id="27"/>
      <w:bookmarkEnd w:id="28"/>
      <w:r w:rsidRPr="00CE58F6">
        <w:rPr>
          <w:rFonts w:ascii="Cambria" w:eastAsia="Arial Unicode MS" w:hAnsi="Cambria"/>
          <w:color w:val="auto"/>
          <w:sz w:val="20"/>
          <w:szCs w:val="20"/>
        </w:rPr>
        <w:t xml:space="preserve"> </w:t>
      </w:r>
    </w:p>
    <w:p w14:paraId="6D6B6CC4" w14:textId="77777777" w:rsidR="0063586E" w:rsidRPr="00CE58F6" w:rsidRDefault="0063586E" w:rsidP="0063586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rPr>
      </w:pPr>
    </w:p>
    <w:p w14:paraId="4D388E4B" w14:textId="77777777" w:rsidR="0063586E" w:rsidRPr="00CE58F6" w:rsidRDefault="0063586E" w:rsidP="006358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rPr>
      </w:pPr>
      <w:r w:rsidRPr="00CE58F6">
        <w:rPr>
          <w:rFonts w:ascii="Cambria" w:eastAsia="Times New Roman" w:hAnsi="Cambria"/>
          <w:sz w:val="20"/>
          <w:szCs w:val="20"/>
        </w:rPr>
        <w:t>The Commission recalls that in its decision in the case of Juan Raul Garza v. United States, the Commission held that in capital cases, the failure of an OAS member State to preserve a condemned prisoner's life pending review by the Commission of his or her complaint undermines the efficacy of the Commission's process, deprives condemned persons of their right to petition in the inter-American human rights system, and results in serious and irreparable harm to those individuals, and accordingly is inconsistent with the State's human rights obligations.</w:t>
      </w:r>
      <w:r w:rsidRPr="00CE58F6">
        <w:rPr>
          <w:rStyle w:val="FootnoteReference"/>
          <w:rFonts w:ascii="Cambria" w:eastAsia="Times New Roman" w:hAnsi="Cambria"/>
          <w:sz w:val="20"/>
          <w:szCs w:val="20"/>
        </w:rPr>
        <w:footnoteReference w:id="62"/>
      </w:r>
      <w:r w:rsidRPr="00CE58F6">
        <w:rPr>
          <w:rFonts w:ascii="Cambria" w:eastAsia="Times New Roman" w:hAnsi="Cambria"/>
          <w:sz w:val="20"/>
          <w:szCs w:val="20"/>
        </w:rPr>
        <w:t xml:space="preserve"> </w:t>
      </w:r>
    </w:p>
    <w:p w14:paraId="0DB7AD17" w14:textId="77777777" w:rsidR="0063586E" w:rsidRPr="00CE58F6" w:rsidRDefault="0063586E" w:rsidP="0063586E">
      <w:pPr>
        <w:pStyle w:val="ListParagraph"/>
        <w:rPr>
          <w:rFonts w:eastAsia="Times New Roman"/>
          <w:sz w:val="20"/>
          <w:szCs w:val="20"/>
        </w:rPr>
      </w:pPr>
    </w:p>
    <w:p w14:paraId="5A77F6AA" w14:textId="77777777" w:rsidR="0063586E" w:rsidRPr="00CE58F6" w:rsidRDefault="0063586E" w:rsidP="006358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E58F6">
        <w:rPr>
          <w:rFonts w:ascii="Cambria" w:eastAsia="Times New Roman" w:hAnsi="Cambria"/>
          <w:sz w:val="20"/>
          <w:szCs w:val="20"/>
        </w:rPr>
        <w:t>The Commission premised these obligations on a finding that OAS member States, by creating the Commission and mandating it through the OAS Charter and the Commission's Statute to promote the observance and protection of huma</w:t>
      </w:r>
      <w:r w:rsidRPr="00CE58F6">
        <w:rPr>
          <w:rFonts w:asciiTheme="majorHAnsi" w:eastAsia="Times New Roman" w:hAnsiTheme="majorHAnsi"/>
          <w:sz w:val="20"/>
          <w:szCs w:val="20"/>
        </w:rPr>
        <w:t>n rights of the American peoples, have implicitly undertaken to implement measures of this nature where they are essential to preserving the Commission's mandate.</w:t>
      </w:r>
      <w:r w:rsidRPr="00CE58F6">
        <w:rPr>
          <w:rStyle w:val="FootnoteReference"/>
          <w:rFonts w:asciiTheme="majorHAnsi" w:eastAsia="Times New Roman" w:hAnsiTheme="majorHAnsi"/>
          <w:sz w:val="20"/>
          <w:szCs w:val="20"/>
        </w:rPr>
        <w:footnoteReference w:id="63"/>
      </w:r>
      <w:r w:rsidRPr="00CE58F6">
        <w:rPr>
          <w:rFonts w:asciiTheme="majorHAnsi" w:eastAsia="Times New Roman" w:hAnsiTheme="majorHAnsi"/>
          <w:sz w:val="20"/>
          <w:szCs w:val="20"/>
        </w:rPr>
        <w:t xml:space="preserve"> The Commission found support for this determination in its own jurisprudence as well as the findings of other regional and international adjudicative bodies, including the UN Human Rights Committee, the European Court of Human Rights and the International Court of Justice.</w:t>
      </w:r>
      <w:r w:rsidRPr="00CE58F6">
        <w:rPr>
          <w:rStyle w:val="FootnoteReference"/>
          <w:rFonts w:asciiTheme="majorHAnsi" w:eastAsia="Times New Roman" w:hAnsiTheme="majorHAnsi"/>
          <w:sz w:val="20"/>
          <w:szCs w:val="20"/>
        </w:rPr>
        <w:footnoteReference w:id="64"/>
      </w:r>
      <w:r w:rsidRPr="00CE58F6">
        <w:rPr>
          <w:rFonts w:asciiTheme="majorHAnsi" w:eastAsia="Times New Roman" w:hAnsiTheme="majorHAnsi"/>
          <w:sz w:val="20"/>
          <w:szCs w:val="20"/>
        </w:rPr>
        <w:t xml:space="preserve"> In the Commission’s view, this jurisprudence articulates a principle common to the functioning of international adjudicative systems according to which member States must implement interim or precautionary measures where doing so is necessary to preserve the very purposes for which the systems were created and to prevent irreparable harm to the parties whose interests are determined through those processes.  </w:t>
      </w:r>
    </w:p>
    <w:p w14:paraId="473EB126" w14:textId="77777777" w:rsidR="0063586E" w:rsidRPr="00CE58F6" w:rsidRDefault="0063586E" w:rsidP="00157AAB">
      <w:pPr>
        <w:tabs>
          <w:tab w:val="left" w:pos="360"/>
        </w:tabs>
        <w:rPr>
          <w:rFonts w:asciiTheme="majorHAnsi" w:eastAsia="Times" w:hAnsiTheme="majorHAnsi" w:cs="Times"/>
          <w:sz w:val="20"/>
          <w:szCs w:val="20"/>
        </w:rPr>
      </w:pPr>
    </w:p>
    <w:p w14:paraId="4B1ECD08" w14:textId="77777777" w:rsidR="0063586E" w:rsidRPr="00CE58F6" w:rsidRDefault="0063586E" w:rsidP="006358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E58F6">
        <w:rPr>
          <w:rFonts w:asciiTheme="majorHAnsi" w:eastAsia="Times" w:hAnsiTheme="majorHAnsi" w:cs="Times"/>
          <w:sz w:val="20"/>
          <w:szCs w:val="20"/>
        </w:rPr>
        <w:t>The</w:t>
      </w:r>
      <w:r w:rsidRPr="00CE58F6">
        <w:rPr>
          <w:rFonts w:asciiTheme="majorHAnsi" w:eastAsia="Cambria" w:hAnsiTheme="majorHAnsi" w:cs="Cambria"/>
          <w:sz w:val="20"/>
          <w:szCs w:val="20"/>
        </w:rPr>
        <w:t xml:space="preserve"> State’s denial of a stay of execution in the face of a precautionary measure by the Commission in order to evaluate any human rights breaches and its </w:t>
      </w:r>
      <w:r w:rsidRPr="00CE58F6">
        <w:rPr>
          <w:rFonts w:asciiTheme="majorHAnsi" w:eastAsia="Times" w:hAnsiTheme="majorHAnsi" w:cs="Times"/>
          <w:sz w:val="20"/>
          <w:szCs w:val="20"/>
        </w:rPr>
        <w:t xml:space="preserve">failure to preserve a condemned prisoner’s life pending the completion of the proceedings, including implementation of the Commission’s final recommendations, undermines the efficacy of the Commission’s process, deprives condemned persons of their right to petition, and results in serious and irreparable harm to those individuals. </w:t>
      </w:r>
      <w:r w:rsidRPr="00CE58F6">
        <w:rPr>
          <w:rFonts w:asciiTheme="majorHAnsi" w:hAnsiTheme="majorHAnsi"/>
          <w:sz w:val="20"/>
          <w:szCs w:val="20"/>
        </w:rPr>
        <w:t xml:space="preserve">An execution under those circumstances obstructs the Commission’s or Court’s ability to effectively investigate and issue determinations on capital cases. </w:t>
      </w:r>
    </w:p>
    <w:p w14:paraId="77AC77A8" w14:textId="77777777" w:rsidR="0063586E" w:rsidRPr="00CE58F6" w:rsidRDefault="0063586E" w:rsidP="0063586E">
      <w:pPr>
        <w:pStyle w:val="ListParagraph"/>
        <w:tabs>
          <w:tab w:val="left" w:pos="360"/>
        </w:tabs>
        <w:rPr>
          <w:rFonts w:asciiTheme="majorHAnsi" w:eastAsia="Times" w:hAnsiTheme="majorHAnsi" w:cs="Times"/>
          <w:sz w:val="20"/>
          <w:szCs w:val="20"/>
        </w:rPr>
      </w:pPr>
    </w:p>
    <w:p w14:paraId="2E775A60" w14:textId="77777777" w:rsidR="0063586E" w:rsidRPr="00CE58F6" w:rsidRDefault="0063586E" w:rsidP="006358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E58F6">
        <w:rPr>
          <w:rFonts w:asciiTheme="majorHAnsi" w:eastAsia="Times" w:hAnsiTheme="majorHAnsi" w:cs="Times"/>
          <w:sz w:val="20"/>
          <w:szCs w:val="20"/>
        </w:rPr>
        <w:lastRenderedPageBreak/>
        <w:t xml:space="preserve">Both the Commission and the Inter-American Court have indicated that the execution of a person under precautionary or provisional measures respectively, constitutes an aggravated violation of the right to life. </w:t>
      </w:r>
      <w:r w:rsidRPr="00CE58F6">
        <w:rPr>
          <w:rFonts w:asciiTheme="majorHAnsi" w:eastAsia="Cambria" w:hAnsiTheme="majorHAnsi" w:cs="Cambria"/>
          <w:sz w:val="20"/>
          <w:szCs w:val="20"/>
        </w:rPr>
        <w:t>As noted in this report, the right to life is widely recognized as the supreme right of the human being. The Inter‐American Court has similarly confirmed that “[b]ecause execution of the death penalty is irreversible, the strictest and most rigorous enforcement of judicial guarantees is required of the State so that those guarantees are not violated and a human life not arbitrarily taken as a result.”</w:t>
      </w:r>
      <w:r w:rsidRPr="00CE58F6">
        <w:rPr>
          <w:rStyle w:val="FootnoteReference"/>
          <w:rFonts w:asciiTheme="majorHAnsi" w:eastAsia="Times New Roman" w:hAnsiTheme="majorHAnsi"/>
          <w:sz w:val="20"/>
          <w:szCs w:val="20"/>
        </w:rPr>
        <w:footnoteReference w:id="65"/>
      </w:r>
    </w:p>
    <w:p w14:paraId="33D2CF8C" w14:textId="77777777" w:rsidR="0063586E" w:rsidRPr="00CE58F6" w:rsidRDefault="0063586E" w:rsidP="0063586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14:paraId="3970E9F4" w14:textId="77777777" w:rsidR="0063586E" w:rsidRPr="00CE58F6" w:rsidRDefault="0063586E" w:rsidP="006358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E58F6">
        <w:rPr>
          <w:rFonts w:asciiTheme="majorHAnsi" w:eastAsia="Times" w:hAnsiTheme="majorHAnsi" w:cs="Times"/>
          <w:sz w:val="20"/>
          <w:szCs w:val="20"/>
        </w:rPr>
        <w:t xml:space="preserve">The Commission has consistently and emphatically condemned the practice by certain States of executing persons sentenced to death in violation of precautionary measures issued by it, including in instances where the Commission had before it a pending petition presenting allegations of due process or other violations in the prosecution that produced the sentence. </w:t>
      </w:r>
    </w:p>
    <w:p w14:paraId="3BCC030B" w14:textId="77777777" w:rsidR="0063586E" w:rsidRPr="00CE58F6" w:rsidRDefault="0063586E" w:rsidP="0063586E">
      <w:pPr>
        <w:pStyle w:val="ListParagraph"/>
        <w:tabs>
          <w:tab w:val="left" w:pos="360"/>
        </w:tabs>
        <w:rPr>
          <w:rFonts w:asciiTheme="majorHAnsi" w:hAnsiTheme="majorHAnsi"/>
          <w:sz w:val="20"/>
          <w:szCs w:val="20"/>
        </w:rPr>
      </w:pPr>
    </w:p>
    <w:p w14:paraId="1C9D88D3" w14:textId="77777777" w:rsidR="0063586E" w:rsidRPr="00CE58F6" w:rsidRDefault="0063586E" w:rsidP="008046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CE58F6">
        <w:rPr>
          <w:rFonts w:asciiTheme="majorHAnsi" w:eastAsia="Cambria" w:hAnsiTheme="majorHAnsi" w:cs="Cambria"/>
          <w:sz w:val="20"/>
          <w:szCs w:val="20"/>
        </w:rPr>
        <w:t xml:space="preserve">The execution of the death sentence against Mr. </w:t>
      </w:r>
      <w:r w:rsidR="000C3705" w:rsidRPr="00CE58F6">
        <w:rPr>
          <w:rFonts w:asciiTheme="majorHAnsi" w:eastAsia="Cambria" w:hAnsiTheme="majorHAnsi" w:cs="Cambria"/>
          <w:sz w:val="20"/>
          <w:szCs w:val="20"/>
        </w:rPr>
        <w:t>Valle</w:t>
      </w:r>
      <w:r w:rsidRPr="00CE58F6">
        <w:rPr>
          <w:rFonts w:asciiTheme="majorHAnsi" w:eastAsia="Cambria" w:hAnsiTheme="majorHAnsi" w:cs="Cambria"/>
          <w:sz w:val="20"/>
          <w:szCs w:val="20"/>
        </w:rPr>
        <w:t xml:space="preserve"> represents a failure on the part of the State to implement the precautionary measure. By permitting Mr. </w:t>
      </w:r>
      <w:r w:rsidR="00A1788C" w:rsidRPr="00CE58F6">
        <w:rPr>
          <w:rFonts w:asciiTheme="majorHAnsi" w:eastAsia="Cambria" w:hAnsiTheme="majorHAnsi" w:cs="Cambria"/>
          <w:sz w:val="20"/>
          <w:szCs w:val="20"/>
        </w:rPr>
        <w:t>Valle</w:t>
      </w:r>
      <w:r w:rsidRPr="00CE58F6">
        <w:rPr>
          <w:rFonts w:asciiTheme="majorHAnsi" w:eastAsia="Cambria" w:hAnsiTheme="majorHAnsi" w:cs="Cambria"/>
          <w:sz w:val="20"/>
          <w:szCs w:val="20"/>
        </w:rPr>
        <w:t xml:space="preserve">’s execution to proceed in these circumstances, the Commission considers that the United States violated Articles I and XXIV of the American Declaration and failed to act in accordance with its fundamental human rights obligations as a member of the Organization of American States. </w:t>
      </w:r>
    </w:p>
    <w:p w14:paraId="6296D999" w14:textId="77777777" w:rsidR="003A5E9B" w:rsidRPr="00CE58F6" w:rsidRDefault="003A5E9B" w:rsidP="00804686">
      <w:pPr>
        <w:pStyle w:val="NormalWeb"/>
        <w:tabs>
          <w:tab w:val="left" w:pos="360"/>
        </w:tabs>
        <w:spacing w:before="0" w:beforeAutospacing="0" w:after="0" w:afterAutospacing="0"/>
        <w:jc w:val="both"/>
        <w:rPr>
          <w:rFonts w:ascii="Cambria" w:hAnsi="Cambria"/>
          <w:sz w:val="20"/>
        </w:rPr>
      </w:pPr>
    </w:p>
    <w:p w14:paraId="50269F58" w14:textId="77777777" w:rsidR="00801C7F" w:rsidRPr="00CE58F6" w:rsidRDefault="00375D88" w:rsidP="00EC55EA">
      <w:pPr>
        <w:pStyle w:val="Heading2"/>
        <w:numPr>
          <w:ilvl w:val="0"/>
          <w:numId w:val="61"/>
        </w:numPr>
        <w:tabs>
          <w:tab w:val="left" w:pos="360"/>
        </w:tabs>
        <w:spacing w:before="0"/>
        <w:ind w:left="0" w:firstLine="0"/>
        <w:jc w:val="both"/>
        <w:rPr>
          <w:color w:val="auto"/>
          <w:sz w:val="20"/>
          <w:szCs w:val="20"/>
        </w:rPr>
      </w:pPr>
      <w:bookmarkStart w:id="29" w:name="_Toc90291520"/>
      <w:r w:rsidRPr="00CE58F6">
        <w:rPr>
          <w:color w:val="auto"/>
          <w:sz w:val="20"/>
          <w:szCs w:val="20"/>
        </w:rPr>
        <w:t>R</w:t>
      </w:r>
      <w:r w:rsidR="002B4417" w:rsidRPr="00CE58F6">
        <w:rPr>
          <w:color w:val="auto"/>
          <w:sz w:val="20"/>
          <w:szCs w:val="20"/>
        </w:rPr>
        <w:t>ight to life</w:t>
      </w:r>
      <w:r w:rsidR="00C535F1" w:rsidRPr="00CE58F6">
        <w:rPr>
          <w:rStyle w:val="FootnoteReference"/>
          <w:color w:val="auto"/>
          <w:sz w:val="20"/>
          <w:szCs w:val="20"/>
        </w:rPr>
        <w:footnoteReference w:id="66"/>
      </w:r>
      <w:r w:rsidR="00DD5501" w:rsidRPr="00CE58F6">
        <w:rPr>
          <w:color w:val="auto"/>
          <w:sz w:val="20"/>
          <w:szCs w:val="20"/>
        </w:rPr>
        <w:t xml:space="preserve"> and to protection against cruel, infamous o</w:t>
      </w:r>
      <w:r w:rsidR="00224AA7" w:rsidRPr="00CE58F6">
        <w:rPr>
          <w:color w:val="auto"/>
          <w:sz w:val="20"/>
          <w:szCs w:val="20"/>
        </w:rPr>
        <w:t>r</w:t>
      </w:r>
      <w:r w:rsidR="00DD5501" w:rsidRPr="00CE58F6">
        <w:rPr>
          <w:color w:val="auto"/>
          <w:sz w:val="20"/>
          <w:szCs w:val="20"/>
        </w:rPr>
        <w:t xml:space="preserve"> unusual punishment with respect to the execution of </w:t>
      </w:r>
      <w:r w:rsidR="000A5517" w:rsidRPr="00CE58F6">
        <w:rPr>
          <w:color w:val="auto"/>
          <w:sz w:val="20"/>
          <w:szCs w:val="20"/>
        </w:rPr>
        <w:t>Manuel Valle</w:t>
      </w:r>
      <w:bookmarkEnd w:id="29"/>
      <w:r w:rsidR="009D45F5" w:rsidRPr="00CE58F6">
        <w:rPr>
          <w:sz w:val="20"/>
          <w:szCs w:val="20"/>
        </w:rPr>
        <w:t xml:space="preserve"> </w:t>
      </w:r>
    </w:p>
    <w:p w14:paraId="74BBC7DC" w14:textId="77777777" w:rsidR="00867DA3" w:rsidRPr="00CE58F6" w:rsidRDefault="00867DA3" w:rsidP="00EC55EA">
      <w:pPr>
        <w:rPr>
          <w:rFonts w:asciiTheme="majorHAnsi" w:hAnsiTheme="majorHAnsi"/>
          <w:sz w:val="20"/>
          <w:szCs w:val="20"/>
        </w:rPr>
      </w:pPr>
    </w:p>
    <w:p w14:paraId="62EF3B68" w14:textId="77777777" w:rsidR="00BE3560" w:rsidRPr="00CE58F6" w:rsidRDefault="00BE3560"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CE58F6">
        <w:rPr>
          <w:rFonts w:ascii="Cambria" w:hAnsi="Cambria"/>
          <w:sz w:val="20"/>
          <w:szCs w:val="20"/>
        </w:rPr>
        <w:t>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requirements of the American Declaration.</w:t>
      </w:r>
      <w:r w:rsidRPr="00CE58F6">
        <w:rPr>
          <w:rStyle w:val="FootnoteReference"/>
          <w:rFonts w:ascii="Cambria" w:hAnsi="Cambria"/>
          <w:sz w:val="20"/>
          <w:szCs w:val="20"/>
        </w:rPr>
        <w:footnoteReference w:id="67"/>
      </w:r>
    </w:p>
    <w:p w14:paraId="0EC6E19F" w14:textId="77777777" w:rsidR="00BE3560" w:rsidRPr="00CE58F6" w:rsidRDefault="00BE3560" w:rsidP="00EC55EA">
      <w:pPr>
        <w:rPr>
          <w:sz w:val="20"/>
          <w:szCs w:val="20"/>
        </w:rPr>
      </w:pPr>
    </w:p>
    <w:p w14:paraId="7ECA4642" w14:textId="73187F5F" w:rsidR="00FF19E2" w:rsidRDefault="00BE3560" w:rsidP="009F60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rPr>
      </w:pPr>
      <w:r w:rsidRPr="00CE58F6">
        <w:rPr>
          <w:rFonts w:ascii="Cambria" w:hAnsi="Cambria"/>
          <w:sz w:val="20"/>
          <w:szCs w:val="20"/>
        </w:rPr>
        <w:t>Under these circumstances, the IACHR has maintained that executing a person</w:t>
      </w:r>
      <w:r w:rsidR="002D5D4E" w:rsidRPr="00CE58F6">
        <w:rPr>
          <w:rFonts w:ascii="Cambria" w:hAnsi="Cambria"/>
          <w:sz w:val="20"/>
          <w:szCs w:val="20"/>
        </w:rPr>
        <w:t>,</w:t>
      </w:r>
      <w:r w:rsidRPr="00CE58F6">
        <w:rPr>
          <w:rFonts w:ascii="Cambria" w:hAnsi="Cambria"/>
          <w:sz w:val="20"/>
          <w:szCs w:val="20"/>
        </w:rPr>
        <w:t xml:space="preserve"> after proceedings that were conducted in violation of his rights</w:t>
      </w:r>
      <w:r w:rsidR="002D5D4E" w:rsidRPr="00CE58F6">
        <w:rPr>
          <w:rFonts w:ascii="Cambria" w:hAnsi="Cambria"/>
          <w:sz w:val="20"/>
          <w:szCs w:val="20"/>
        </w:rPr>
        <w:t>,</w:t>
      </w:r>
      <w:r w:rsidRPr="00CE58F6">
        <w:rPr>
          <w:rFonts w:ascii="Cambria" w:hAnsi="Cambria"/>
          <w:sz w:val="20"/>
          <w:szCs w:val="20"/>
        </w:rPr>
        <w:t xml:space="preserve"> would be extremely grave and constitute a deliberate violation of the right to life established in Article I of the American Declaration.</w:t>
      </w:r>
      <w:r w:rsidRPr="00CE58F6">
        <w:rPr>
          <w:rStyle w:val="FootnoteReference"/>
          <w:rFonts w:ascii="Cambria" w:hAnsi="Cambria"/>
          <w:sz w:val="20"/>
          <w:szCs w:val="20"/>
        </w:rPr>
        <w:footnoteReference w:id="68"/>
      </w:r>
      <w:r w:rsidRPr="00CE58F6">
        <w:rPr>
          <w:rFonts w:ascii="Cambria" w:hAnsi="Cambria"/>
          <w:sz w:val="20"/>
          <w:szCs w:val="20"/>
        </w:rPr>
        <w:t xml:space="preserve"> Further, based on the conclusions regarding the deprivation of liberty on death row, </w:t>
      </w:r>
      <w:r w:rsidR="004B62D2" w:rsidRPr="00CE58F6">
        <w:rPr>
          <w:rFonts w:asciiTheme="majorHAnsi" w:hAnsiTheme="majorHAnsi"/>
          <w:sz w:val="20"/>
          <w:szCs w:val="20"/>
        </w:rPr>
        <w:t>as well as the violations of the rights to a fair trial, right of petition, and right to due process of law</w:t>
      </w:r>
      <w:r w:rsidRPr="00CE58F6">
        <w:rPr>
          <w:rFonts w:ascii="Cambria" w:hAnsi="Cambria"/>
          <w:sz w:val="20"/>
          <w:szCs w:val="20"/>
        </w:rPr>
        <w:t xml:space="preserve">, and taking into account the determinations made throughout this report, the IACHR concludes that the execution of </w:t>
      </w:r>
      <w:r w:rsidR="009729C9" w:rsidRPr="00CE58F6">
        <w:rPr>
          <w:rFonts w:ascii="Cambria" w:hAnsi="Cambria"/>
          <w:sz w:val="20"/>
          <w:szCs w:val="20"/>
        </w:rPr>
        <w:t xml:space="preserve">Mr. </w:t>
      </w:r>
      <w:r w:rsidR="004B1A98" w:rsidRPr="00CE58F6">
        <w:rPr>
          <w:rFonts w:ascii="Cambria" w:hAnsi="Cambria"/>
          <w:sz w:val="20"/>
          <w:szCs w:val="20"/>
        </w:rPr>
        <w:t>Valle</w:t>
      </w:r>
      <w:r w:rsidR="004B62D2" w:rsidRPr="00CE58F6">
        <w:rPr>
          <w:rFonts w:ascii="Cambria" w:hAnsi="Cambria"/>
          <w:sz w:val="20"/>
          <w:szCs w:val="20"/>
        </w:rPr>
        <w:t xml:space="preserve"> </w:t>
      </w:r>
      <w:r w:rsidRPr="00CE58F6">
        <w:rPr>
          <w:rFonts w:ascii="Cambria" w:hAnsi="Cambria"/>
          <w:sz w:val="20"/>
          <w:szCs w:val="20"/>
        </w:rPr>
        <w:t>constitute</w:t>
      </w:r>
      <w:r w:rsidR="004B62D2" w:rsidRPr="00CE58F6">
        <w:rPr>
          <w:rFonts w:ascii="Cambria" w:hAnsi="Cambria"/>
          <w:sz w:val="20"/>
          <w:szCs w:val="20"/>
        </w:rPr>
        <w:t>d</w:t>
      </w:r>
      <w:r w:rsidRPr="00CE58F6">
        <w:rPr>
          <w:rFonts w:ascii="Cambria" w:hAnsi="Cambria"/>
          <w:sz w:val="20"/>
          <w:szCs w:val="20"/>
        </w:rPr>
        <w:t xml:space="preserve"> a serious violation of his right to life established in Article I of the American Declaration.</w:t>
      </w:r>
    </w:p>
    <w:p w14:paraId="0DDB5EBE" w14:textId="77777777" w:rsidR="005B4AEC" w:rsidRPr="00CE58F6" w:rsidRDefault="005B4AEC" w:rsidP="005B4AE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rPr>
      </w:pPr>
    </w:p>
    <w:p w14:paraId="5282475D" w14:textId="3487E6BB" w:rsidR="005B4AEC" w:rsidRPr="008360F7" w:rsidRDefault="005B4AEC" w:rsidP="005B4AEC">
      <w:pPr>
        <w:pStyle w:val="Heading1"/>
        <w:tabs>
          <w:tab w:val="left" w:pos="360"/>
        </w:tabs>
        <w:spacing w:before="0"/>
        <w:ind w:hanging="720"/>
        <w:rPr>
          <w:color w:val="auto"/>
          <w:sz w:val="20"/>
          <w:szCs w:val="20"/>
        </w:rPr>
      </w:pPr>
      <w:bookmarkStart w:id="30" w:name="_Toc45105400"/>
      <w:bookmarkStart w:id="31" w:name="_Toc47714178"/>
      <w:bookmarkStart w:id="32" w:name="_Toc87432711"/>
      <w:bookmarkStart w:id="33" w:name="_Toc90291521"/>
      <w:r w:rsidRPr="008360F7">
        <w:rPr>
          <w:color w:val="auto"/>
          <w:sz w:val="20"/>
          <w:szCs w:val="20"/>
        </w:rPr>
        <w:t>REPORT No. 305/20 AND INFORMATION ABOUT COMPLIANCE</w:t>
      </w:r>
      <w:bookmarkEnd w:id="30"/>
      <w:bookmarkEnd w:id="31"/>
      <w:bookmarkEnd w:id="32"/>
      <w:bookmarkEnd w:id="33"/>
    </w:p>
    <w:p w14:paraId="6AF8A16F" w14:textId="77777777" w:rsidR="005B4AEC" w:rsidRPr="008360F7" w:rsidRDefault="005B4AEC" w:rsidP="005B4AEC">
      <w:pPr>
        <w:rPr>
          <w:rFonts w:asciiTheme="majorHAnsi" w:hAnsiTheme="majorHAnsi"/>
          <w:sz w:val="20"/>
          <w:szCs w:val="20"/>
        </w:rPr>
      </w:pPr>
    </w:p>
    <w:p w14:paraId="5F5619AE" w14:textId="5A031EF0" w:rsidR="005B4AEC" w:rsidRPr="008360F7" w:rsidRDefault="005B4AEC" w:rsidP="005B4AE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8360F7">
        <w:rPr>
          <w:rFonts w:asciiTheme="majorHAnsi" w:hAnsiTheme="majorHAnsi"/>
          <w:sz w:val="20"/>
          <w:szCs w:val="20"/>
        </w:rPr>
        <w:t xml:space="preserve">On October 29, 2020, the Commission approved Report No. 305/20 on the admissibility and merits of the instant case, which encompasses paragraphs 1 to 81 supra, and issued the following recommendations to the State: </w:t>
      </w:r>
    </w:p>
    <w:p w14:paraId="5016E0E8" w14:textId="77777777" w:rsidR="005B4AEC" w:rsidRPr="00CE58F6" w:rsidRDefault="005B4AEC" w:rsidP="005B4AEC"/>
    <w:p w14:paraId="18BF03BE" w14:textId="2B5CF5C6" w:rsidR="005B4AEC" w:rsidRPr="00A4761B" w:rsidRDefault="005B4AEC" w:rsidP="00A4761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A4761B">
        <w:rPr>
          <w:rFonts w:asciiTheme="majorHAnsi" w:hAnsiTheme="majorHAnsi"/>
          <w:sz w:val="20"/>
          <w:szCs w:val="20"/>
        </w:rPr>
        <w:t>Provide reparations to the family of Manuel Valle as a consequence of the violations established in this report.</w:t>
      </w:r>
    </w:p>
    <w:p w14:paraId="72FF533B" w14:textId="77777777" w:rsidR="005B4AEC" w:rsidRPr="00CE58F6" w:rsidRDefault="005B4AEC" w:rsidP="005B4AE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4828FC03" w14:textId="77777777" w:rsidR="005B4AEC" w:rsidRPr="00CE58F6" w:rsidRDefault="005B4AEC" w:rsidP="005B4AE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CE58F6">
        <w:rPr>
          <w:rFonts w:asciiTheme="majorHAnsi" w:hAnsiTheme="majorHAnsi" w:cs="Calibri"/>
          <w:sz w:val="20"/>
          <w:szCs w:val="20"/>
        </w:rPr>
        <w:t>Ensure compliance with the precautionary measures granted by the IACHR for persons facing the death penalty</w:t>
      </w:r>
      <w:r w:rsidRPr="00CE58F6">
        <w:rPr>
          <w:sz w:val="20"/>
          <w:szCs w:val="20"/>
        </w:rPr>
        <w:t>.</w:t>
      </w:r>
    </w:p>
    <w:p w14:paraId="6758E969" w14:textId="77777777" w:rsidR="005B4AEC" w:rsidRPr="00CE58F6" w:rsidRDefault="005B4AEC" w:rsidP="005B4AE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rPr>
      </w:pPr>
    </w:p>
    <w:p w14:paraId="58FF57AE" w14:textId="77777777" w:rsidR="005B4AEC" w:rsidRPr="00CE58F6" w:rsidRDefault="005B4AEC" w:rsidP="005B4AE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CE58F6">
        <w:rPr>
          <w:sz w:val="20"/>
        </w:rPr>
        <w:lastRenderedPageBreak/>
        <w:t>Review its laws, procedures, and practices at the state and federal level to ensure that persons accused of capital crimes are tried and, if convicted, sentenced in accordance with the rights established in the American Declaration,</w:t>
      </w:r>
      <w:r w:rsidRPr="00CE58F6">
        <w:rPr>
          <w:rStyle w:val="FootnoteReference"/>
          <w:sz w:val="20"/>
        </w:rPr>
        <w:footnoteReference w:id="69"/>
      </w:r>
      <w:r w:rsidRPr="00CE58F6">
        <w:rPr>
          <w:sz w:val="20"/>
        </w:rPr>
        <w:t xml:space="preserve"> including Articles I, XVIII, XXIV, XXV and XXVI thereof, and, in particular:</w:t>
      </w:r>
    </w:p>
    <w:p w14:paraId="56D395B0" w14:textId="77777777" w:rsidR="005B4AEC" w:rsidRPr="00CE58F6" w:rsidRDefault="005B4AEC" w:rsidP="005B4AEC">
      <w:pPr>
        <w:pStyle w:val="ListParagraph"/>
        <w:rPr>
          <w:rFonts w:asciiTheme="majorHAnsi" w:eastAsia="Times New Roman" w:hAnsiTheme="majorHAnsi" w:cs="Tahoma"/>
          <w:sz w:val="20"/>
          <w:szCs w:val="20"/>
          <w:bdr w:val="none" w:sz="0" w:space="0" w:color="auto"/>
        </w:rPr>
      </w:pPr>
    </w:p>
    <w:p w14:paraId="0E2254DC" w14:textId="77777777" w:rsidR="005B4AEC" w:rsidRPr="00CE58F6" w:rsidRDefault="005B4AEC" w:rsidP="005B4AEC">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CE58F6">
        <w:rPr>
          <w:rFonts w:asciiTheme="majorHAnsi" w:eastAsia="Times New Roman" w:hAnsiTheme="majorHAnsi" w:cs="Tahoma"/>
          <w:sz w:val="20"/>
          <w:szCs w:val="20"/>
          <w:bdr w:val="none" w:sz="0" w:space="0" w:color="auto"/>
        </w:rPr>
        <w:t xml:space="preserve">Ensure that </w:t>
      </w:r>
      <w:r w:rsidRPr="00CE58F6">
        <w:rPr>
          <w:rFonts w:asciiTheme="majorHAnsi" w:hAnsiTheme="majorHAnsi"/>
          <w:sz w:val="20"/>
          <w:szCs w:val="20"/>
        </w:rPr>
        <w:t>every foreign national deprived of his or her liberty is informed, without delay and prior to his or her first instance of questioning by State authorities, of the right to request that consular authorities be immediately notified of his or her arrest or detention;</w:t>
      </w:r>
      <w:r w:rsidRPr="00CE58F6">
        <w:rPr>
          <w:rFonts w:asciiTheme="majorHAnsi" w:eastAsia="Times New Roman" w:hAnsiTheme="majorHAnsi" w:cs="Tahoma"/>
          <w:sz w:val="20"/>
          <w:szCs w:val="20"/>
          <w:bdr w:val="none" w:sz="0" w:space="0" w:color="auto"/>
        </w:rPr>
        <w:t xml:space="preserve"> and</w:t>
      </w:r>
    </w:p>
    <w:p w14:paraId="561E402E" w14:textId="77777777" w:rsidR="005B4AEC" w:rsidRPr="00CE58F6" w:rsidRDefault="005B4AEC" w:rsidP="005B4AEC">
      <w:pPr>
        <w:pStyle w:val="ListParagraph"/>
        <w:ind w:left="1080"/>
        <w:rPr>
          <w:sz w:val="20"/>
          <w:szCs w:val="20"/>
          <w:bdr w:val="none" w:sz="0" w:space="0" w:color="auto" w:frame="1"/>
        </w:rPr>
      </w:pPr>
    </w:p>
    <w:p w14:paraId="619110C1" w14:textId="77777777" w:rsidR="005B4AEC" w:rsidRPr="00CE58F6" w:rsidRDefault="005B4AEC" w:rsidP="005B4AEC">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CE58F6">
        <w:rPr>
          <w:sz w:val="20"/>
          <w:szCs w:val="20"/>
          <w:bdr w:val="none" w:sz="0" w:space="0" w:color="auto" w:frame="1"/>
        </w:rPr>
        <w:t xml:space="preserve">Ensure effective and adequate opportunity for prisoners to participate in clemency proceedings in accordance with the rights to petition, due process and fair trial. </w:t>
      </w:r>
    </w:p>
    <w:p w14:paraId="153CB979" w14:textId="77777777" w:rsidR="005B4AEC" w:rsidRPr="00CE58F6" w:rsidRDefault="005B4AEC" w:rsidP="005B4AEC">
      <w:pPr>
        <w:tabs>
          <w:tab w:val="left" w:pos="360"/>
        </w:tabs>
        <w:jc w:val="both"/>
        <w:rPr>
          <w:rFonts w:eastAsia="Times New Roman" w:cs="Tahoma"/>
          <w:sz w:val="20"/>
          <w:szCs w:val="20"/>
          <w:bdr w:val="none" w:sz="0" w:space="0" w:color="auto" w:frame="1"/>
        </w:rPr>
      </w:pPr>
    </w:p>
    <w:p w14:paraId="55A40603" w14:textId="091E1A68" w:rsidR="005B4AEC" w:rsidRPr="00A4761B" w:rsidRDefault="005B4AEC" w:rsidP="005B4AEC">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CE58F6">
        <w:rPr>
          <w:rFonts w:asciiTheme="majorHAnsi" w:hAnsiTheme="majorHAnsi"/>
          <w:sz w:val="20"/>
        </w:rPr>
        <w:t>Given the violations of the American Declaration the IACHR has established in the present</w:t>
      </w:r>
      <w:r w:rsidRPr="00CE58F6">
        <w:rPr>
          <w:sz w:val="20"/>
        </w:rPr>
        <w:t xml:space="preserve"> case and in others involving application of the death penalty, the Inter-American Commission also recommends to the United States that it abolishes the death penalty in the state of Florida and at the federal level.</w:t>
      </w:r>
    </w:p>
    <w:p w14:paraId="62E7C2BF" w14:textId="77777777" w:rsidR="00A4761B" w:rsidRPr="00CE58F6" w:rsidRDefault="00A4761B" w:rsidP="00A476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30F64657" w14:textId="44FF0125" w:rsidR="002237F3" w:rsidRPr="0015306E" w:rsidRDefault="00A4761B" w:rsidP="0015306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szCs w:val="20"/>
        </w:rPr>
      </w:pPr>
      <w:r w:rsidRPr="0015306E">
        <w:rPr>
          <w:rFonts w:asciiTheme="majorHAnsi" w:hAnsiTheme="majorHAnsi"/>
          <w:sz w:val="20"/>
          <w:szCs w:val="20"/>
        </w:rPr>
        <w:t>On</w:t>
      </w:r>
      <w:r w:rsidRPr="0015306E">
        <w:rPr>
          <w:sz w:val="20"/>
          <w:szCs w:val="20"/>
        </w:rPr>
        <w:t xml:space="preserve"> December 3, 2020 the IACHR transmitted the report to the State with a time period of two months to inform the Commission on the measures taken to comply with its recommendations. To date, the Commission has not received any response from the United States regarding report No. 305/20.</w:t>
      </w:r>
    </w:p>
    <w:p w14:paraId="62675618" w14:textId="77777777" w:rsidR="0015306E" w:rsidRPr="00B645F5" w:rsidRDefault="0015306E" w:rsidP="0015306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color w:val="000000" w:themeColor="text1"/>
          <w:sz w:val="20"/>
          <w:szCs w:val="20"/>
        </w:rPr>
      </w:pPr>
    </w:p>
    <w:p w14:paraId="315ECD42" w14:textId="1EB6C95D" w:rsidR="0015306E" w:rsidRPr="00521B37" w:rsidRDefault="0015306E" w:rsidP="0015306E">
      <w:pPr>
        <w:pStyle w:val="Heading1"/>
        <w:spacing w:before="0"/>
        <w:ind w:hanging="720"/>
        <w:rPr>
          <w:color w:val="auto"/>
          <w:sz w:val="20"/>
          <w:szCs w:val="20"/>
        </w:rPr>
      </w:pPr>
      <w:bookmarkStart w:id="34" w:name="_Toc26550943"/>
      <w:bookmarkStart w:id="35" w:name="_Toc87522016"/>
      <w:bookmarkStart w:id="36" w:name="_Toc90115136"/>
      <w:bookmarkStart w:id="37" w:name="_Toc90283315"/>
      <w:bookmarkStart w:id="38" w:name="_Toc90284149"/>
      <w:bookmarkStart w:id="39" w:name="_Toc90289383"/>
      <w:bookmarkStart w:id="40" w:name="_Toc90291522"/>
      <w:r w:rsidRPr="00521B37">
        <w:rPr>
          <w:color w:val="auto"/>
          <w:sz w:val="20"/>
          <w:szCs w:val="20"/>
        </w:rPr>
        <w:t>ACTIONS SUBSEQUENT TO REPORT No. 33</w:t>
      </w:r>
      <w:r w:rsidR="00265712" w:rsidRPr="00521B37">
        <w:rPr>
          <w:color w:val="auto"/>
          <w:sz w:val="20"/>
          <w:szCs w:val="20"/>
        </w:rPr>
        <w:t>1</w:t>
      </w:r>
      <w:r w:rsidRPr="00521B37">
        <w:rPr>
          <w:color w:val="auto"/>
          <w:sz w:val="20"/>
          <w:szCs w:val="20"/>
        </w:rPr>
        <w:t>/</w:t>
      </w:r>
      <w:bookmarkEnd w:id="34"/>
      <w:r w:rsidRPr="00521B37">
        <w:rPr>
          <w:color w:val="auto"/>
          <w:sz w:val="20"/>
          <w:szCs w:val="20"/>
        </w:rPr>
        <w:t>2</w:t>
      </w:r>
      <w:bookmarkEnd w:id="35"/>
      <w:r w:rsidRPr="00521B37">
        <w:rPr>
          <w:color w:val="auto"/>
          <w:sz w:val="20"/>
          <w:szCs w:val="20"/>
        </w:rPr>
        <w:t>1</w:t>
      </w:r>
      <w:bookmarkEnd w:id="36"/>
      <w:bookmarkEnd w:id="37"/>
      <w:bookmarkEnd w:id="38"/>
      <w:bookmarkEnd w:id="39"/>
      <w:bookmarkEnd w:id="40"/>
    </w:p>
    <w:p w14:paraId="1CF51E17" w14:textId="77777777" w:rsidR="0015306E" w:rsidRPr="00521B37" w:rsidRDefault="0015306E" w:rsidP="0015306E">
      <w:pPr>
        <w:rPr>
          <w:sz w:val="20"/>
          <w:szCs w:val="20"/>
        </w:rPr>
      </w:pPr>
    </w:p>
    <w:p w14:paraId="02902C47" w14:textId="0F5D128E" w:rsidR="0015306E" w:rsidRPr="00521B37" w:rsidRDefault="0015306E" w:rsidP="001530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720"/>
          <w:tab w:val="left" w:pos="1440"/>
        </w:tabs>
        <w:ind w:left="0" w:firstLine="0"/>
        <w:jc w:val="both"/>
        <w:rPr>
          <w:sz w:val="20"/>
          <w:szCs w:val="20"/>
        </w:rPr>
      </w:pPr>
      <w:r w:rsidRPr="00521B37">
        <w:rPr>
          <w:sz w:val="20"/>
          <w:szCs w:val="20"/>
        </w:rPr>
        <w:t>On</w:t>
      </w:r>
      <w:r w:rsidRPr="00521B37">
        <w:rPr>
          <w:rFonts w:ascii="Cambria" w:hAnsi="Cambria"/>
          <w:sz w:val="20"/>
          <w:szCs w:val="20"/>
        </w:rPr>
        <w:t xml:space="preserve"> November 19, 2021, the Commission approved Final Merits Report No. 33</w:t>
      </w:r>
      <w:r w:rsidR="00265712" w:rsidRPr="00521B37">
        <w:rPr>
          <w:rFonts w:ascii="Cambria" w:hAnsi="Cambria"/>
          <w:sz w:val="20"/>
          <w:szCs w:val="20"/>
        </w:rPr>
        <w:t>1</w:t>
      </w:r>
      <w:r w:rsidRPr="00521B37">
        <w:rPr>
          <w:rFonts w:ascii="Cambria" w:hAnsi="Cambria"/>
          <w:sz w:val="20"/>
          <w:szCs w:val="20"/>
        </w:rPr>
        <w:t>/21, which encompasses paragraphs 1 to 8</w:t>
      </w:r>
      <w:r w:rsidR="00265712" w:rsidRPr="00521B37">
        <w:rPr>
          <w:rFonts w:ascii="Cambria" w:hAnsi="Cambria"/>
          <w:sz w:val="20"/>
          <w:szCs w:val="20"/>
        </w:rPr>
        <w:t>3</w:t>
      </w:r>
      <w:r w:rsidRPr="00521B37">
        <w:rPr>
          <w:rFonts w:ascii="Cambria" w:hAnsi="Cambria"/>
          <w:sz w:val="20"/>
          <w:szCs w:val="20"/>
        </w:rPr>
        <w:t xml:space="preserve"> </w:t>
      </w:r>
      <w:r w:rsidRPr="00521B37">
        <w:rPr>
          <w:rFonts w:ascii="Cambria" w:hAnsi="Cambria"/>
          <w:i/>
          <w:sz w:val="20"/>
          <w:szCs w:val="20"/>
        </w:rPr>
        <w:t>supra</w:t>
      </w:r>
      <w:r w:rsidRPr="00521B37">
        <w:rPr>
          <w:rFonts w:ascii="Cambria" w:hAnsi="Cambria"/>
          <w:sz w:val="20"/>
          <w:szCs w:val="20"/>
        </w:rPr>
        <w:t xml:space="preserve">, and issued its final conclusions and recommendations to the State. On December </w:t>
      </w:r>
      <w:r w:rsidR="00265712" w:rsidRPr="00521B37">
        <w:rPr>
          <w:rFonts w:ascii="Cambria" w:hAnsi="Cambria"/>
          <w:sz w:val="20"/>
          <w:szCs w:val="20"/>
        </w:rPr>
        <w:t>2</w:t>
      </w:r>
      <w:r w:rsidRPr="00521B37">
        <w:rPr>
          <w:rFonts w:ascii="Cambria" w:hAnsi="Cambria"/>
          <w:sz w:val="20"/>
          <w:szCs w:val="20"/>
        </w:rPr>
        <w:t>, 2021, the Commission transmitted the report to the State and the petitioners with a time period of three weeks to inform the Inter-American Commission on the measures taken to comply with its recommendations. To date, the IACHR has not received any response from the United States or the petitioners regarding Report No. 33</w:t>
      </w:r>
      <w:r w:rsidR="00265712" w:rsidRPr="00521B37">
        <w:rPr>
          <w:rFonts w:ascii="Cambria" w:hAnsi="Cambria"/>
          <w:sz w:val="20"/>
          <w:szCs w:val="20"/>
        </w:rPr>
        <w:t>1</w:t>
      </w:r>
      <w:r w:rsidRPr="00521B37">
        <w:rPr>
          <w:rFonts w:ascii="Cambria" w:hAnsi="Cambria"/>
          <w:sz w:val="20"/>
          <w:szCs w:val="20"/>
        </w:rPr>
        <w:t>/21.</w:t>
      </w:r>
    </w:p>
    <w:p w14:paraId="4399127E" w14:textId="77777777" w:rsidR="0015306E" w:rsidRPr="00CE58F6" w:rsidRDefault="0015306E" w:rsidP="00EC55EA">
      <w:pPr>
        <w:rPr>
          <w:rFonts w:asciiTheme="majorHAnsi" w:hAnsiTheme="majorHAnsi"/>
          <w:sz w:val="20"/>
          <w:szCs w:val="20"/>
        </w:rPr>
      </w:pPr>
    </w:p>
    <w:p w14:paraId="72F554E3" w14:textId="1577700E" w:rsidR="00C55560" w:rsidRPr="0015306E" w:rsidRDefault="005B4AEC" w:rsidP="00EC55EA">
      <w:pPr>
        <w:pStyle w:val="Heading1"/>
        <w:tabs>
          <w:tab w:val="left" w:pos="360"/>
        </w:tabs>
        <w:spacing w:before="0"/>
        <w:ind w:hanging="720"/>
        <w:rPr>
          <w:color w:val="auto"/>
          <w:sz w:val="20"/>
          <w:szCs w:val="20"/>
        </w:rPr>
      </w:pPr>
      <w:bookmarkStart w:id="41" w:name="_Toc90291523"/>
      <w:r w:rsidRPr="0015306E">
        <w:rPr>
          <w:color w:val="auto"/>
          <w:sz w:val="20"/>
          <w:szCs w:val="20"/>
        </w:rPr>
        <w:t xml:space="preserve">FINAL </w:t>
      </w:r>
      <w:r w:rsidR="00677DA7" w:rsidRPr="0015306E">
        <w:rPr>
          <w:color w:val="auto"/>
          <w:sz w:val="20"/>
          <w:szCs w:val="20"/>
        </w:rPr>
        <w:t>CONCLUSIONS AND RECOMMENDATIONS</w:t>
      </w:r>
      <w:bookmarkEnd w:id="41"/>
    </w:p>
    <w:p w14:paraId="48C68E23" w14:textId="77777777" w:rsidR="00BC5766" w:rsidRPr="0015306E" w:rsidRDefault="00BC5766" w:rsidP="00EC55EA"/>
    <w:p w14:paraId="0447B05B" w14:textId="77777777" w:rsidR="00BC5766" w:rsidRPr="0015306E" w:rsidRDefault="00BC5766" w:rsidP="00EC55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ascii="Cambria" w:hAnsi="Cambria"/>
          <w:sz w:val="20"/>
          <w:szCs w:val="20"/>
        </w:rPr>
      </w:pPr>
      <w:r w:rsidRPr="0015306E">
        <w:rPr>
          <w:rFonts w:asciiTheme="majorHAnsi" w:hAnsiTheme="majorHAnsi"/>
          <w:color w:val="000000" w:themeColor="text1"/>
          <w:sz w:val="20"/>
          <w:szCs w:val="20"/>
        </w:rPr>
        <w:t xml:space="preserve">On the basis of determinations of fact and law, the Inter-American Commission concludes that the State is responsible for the violation of Articles I (life, liberty, and security), XVIII (fair trial), </w:t>
      </w:r>
      <w:r w:rsidR="00AA109D" w:rsidRPr="0015306E">
        <w:rPr>
          <w:rFonts w:asciiTheme="majorHAnsi" w:hAnsiTheme="majorHAnsi"/>
          <w:color w:val="000000" w:themeColor="text1"/>
          <w:sz w:val="20"/>
          <w:szCs w:val="20"/>
        </w:rPr>
        <w:t xml:space="preserve">XXIV (petition), </w:t>
      </w:r>
      <w:r w:rsidRPr="0015306E">
        <w:rPr>
          <w:rFonts w:asciiTheme="majorHAnsi" w:hAnsiTheme="majorHAnsi"/>
          <w:color w:val="000000" w:themeColor="text1"/>
          <w:sz w:val="20"/>
          <w:szCs w:val="20"/>
        </w:rPr>
        <w:t xml:space="preserve">XXV (protection from arbitrary detention), and XXVI (due process) of the American Declaration. </w:t>
      </w:r>
    </w:p>
    <w:p w14:paraId="4D454C27" w14:textId="77777777" w:rsidR="00DE01CB" w:rsidRPr="0015306E" w:rsidRDefault="00DE01CB" w:rsidP="00EC55EA">
      <w:pPr>
        <w:tabs>
          <w:tab w:val="left" w:pos="360"/>
        </w:tabs>
        <w:jc w:val="both"/>
        <w:rPr>
          <w:rFonts w:ascii="Cambria" w:hAnsi="Cambria"/>
          <w:b/>
          <w:sz w:val="20"/>
          <w:szCs w:val="20"/>
        </w:rPr>
      </w:pPr>
    </w:p>
    <w:p w14:paraId="76875DBD" w14:textId="74EB1988" w:rsidR="00BC5766" w:rsidRPr="00CE58F6" w:rsidRDefault="00BC5766" w:rsidP="00EC55EA">
      <w:pPr>
        <w:tabs>
          <w:tab w:val="left" w:pos="360"/>
        </w:tabs>
        <w:jc w:val="both"/>
        <w:rPr>
          <w:rFonts w:ascii="Cambria" w:hAnsi="Cambria"/>
          <w:b/>
          <w:sz w:val="20"/>
          <w:szCs w:val="20"/>
        </w:rPr>
      </w:pPr>
      <w:r w:rsidRPr="0015306E">
        <w:rPr>
          <w:rFonts w:ascii="Cambria" w:hAnsi="Cambria"/>
          <w:b/>
          <w:sz w:val="20"/>
          <w:szCs w:val="20"/>
        </w:rPr>
        <w:t>THE INTER-AMERICAN COMMISSION ON HUMAN RIGHTS RE</w:t>
      </w:r>
      <w:r w:rsidR="005B4AEC" w:rsidRPr="0015306E">
        <w:rPr>
          <w:rFonts w:ascii="Cambria" w:hAnsi="Cambria"/>
          <w:b/>
          <w:sz w:val="20"/>
          <w:szCs w:val="20"/>
        </w:rPr>
        <w:t>ITERATES</w:t>
      </w:r>
      <w:r w:rsidRPr="0015306E">
        <w:rPr>
          <w:rFonts w:ascii="Cambria" w:hAnsi="Cambria"/>
          <w:b/>
          <w:sz w:val="20"/>
          <w:szCs w:val="20"/>
        </w:rPr>
        <w:t xml:space="preserve"> THAT THE UNITED STATES OF AMERICA,</w:t>
      </w:r>
    </w:p>
    <w:p w14:paraId="4224193D" w14:textId="77777777" w:rsidR="00AA3C9F" w:rsidRPr="00CE58F6" w:rsidRDefault="00AA3C9F" w:rsidP="00EC55EA"/>
    <w:p w14:paraId="7DE9237B" w14:textId="05E9DE5C" w:rsidR="008E6153" w:rsidRPr="00CE58F6" w:rsidRDefault="00DE4E10" w:rsidP="005B4AEC">
      <w:pPr>
        <w:pStyle w:val="ListParagraph"/>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CE58F6">
        <w:rPr>
          <w:rFonts w:asciiTheme="majorHAnsi" w:hAnsiTheme="majorHAnsi"/>
          <w:sz w:val="20"/>
          <w:szCs w:val="20"/>
        </w:rPr>
        <w:t xml:space="preserve">Provide reparations to the family of Manuel Valle </w:t>
      </w:r>
      <w:proofErr w:type="gramStart"/>
      <w:r w:rsidRPr="00CE58F6">
        <w:rPr>
          <w:rFonts w:asciiTheme="majorHAnsi" w:hAnsiTheme="majorHAnsi"/>
          <w:sz w:val="20"/>
          <w:szCs w:val="20"/>
        </w:rPr>
        <w:t>as a consequence of</w:t>
      </w:r>
      <w:proofErr w:type="gramEnd"/>
      <w:r w:rsidRPr="00CE58F6">
        <w:rPr>
          <w:rFonts w:asciiTheme="majorHAnsi" w:hAnsiTheme="majorHAnsi"/>
          <w:sz w:val="20"/>
          <w:szCs w:val="20"/>
        </w:rPr>
        <w:t xml:space="preserve"> the violations established in this report.</w:t>
      </w:r>
    </w:p>
    <w:p w14:paraId="74031C38" w14:textId="77777777" w:rsidR="008E6153" w:rsidRPr="00CE58F6" w:rsidRDefault="008E6153" w:rsidP="008E615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14:paraId="365E77F8" w14:textId="77777777" w:rsidR="00DE4E10" w:rsidRPr="00CE58F6" w:rsidRDefault="008E6153" w:rsidP="005B4AEC">
      <w:pPr>
        <w:pStyle w:val="ListParagraph"/>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5B4AEC">
        <w:rPr>
          <w:rFonts w:asciiTheme="majorHAnsi" w:hAnsiTheme="majorHAnsi"/>
          <w:sz w:val="20"/>
          <w:szCs w:val="20"/>
        </w:rPr>
        <w:t>Ensure</w:t>
      </w:r>
      <w:r w:rsidRPr="00CE58F6">
        <w:rPr>
          <w:rFonts w:asciiTheme="majorHAnsi" w:hAnsiTheme="majorHAnsi" w:cs="Calibri"/>
          <w:sz w:val="20"/>
          <w:szCs w:val="20"/>
        </w:rPr>
        <w:t xml:space="preserve"> compliance with the precautionary measures granted by the IACHR for persons facing the death penalty</w:t>
      </w:r>
      <w:r w:rsidRPr="00CE58F6">
        <w:rPr>
          <w:sz w:val="20"/>
          <w:szCs w:val="20"/>
        </w:rPr>
        <w:t>.</w:t>
      </w:r>
    </w:p>
    <w:p w14:paraId="612D4706" w14:textId="77777777" w:rsidR="002237F3" w:rsidRPr="00CE58F6" w:rsidRDefault="002237F3" w:rsidP="00DE4E1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eastAsia="Times New Roman" w:cs="Tahoma"/>
          <w:sz w:val="20"/>
          <w:szCs w:val="20"/>
          <w:bdr w:val="none" w:sz="0" w:space="0" w:color="auto" w:frame="1"/>
        </w:rPr>
      </w:pPr>
    </w:p>
    <w:p w14:paraId="210A9A88" w14:textId="77777777" w:rsidR="000060AC" w:rsidRPr="00CE58F6" w:rsidRDefault="00AA3C9F" w:rsidP="005B4AEC">
      <w:pPr>
        <w:pStyle w:val="ListParagraph"/>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CE58F6">
        <w:rPr>
          <w:sz w:val="20"/>
        </w:rPr>
        <w:t xml:space="preserve">Review its laws, procedures, and practices </w:t>
      </w:r>
      <w:r w:rsidR="00E67CBA" w:rsidRPr="00CE58F6">
        <w:rPr>
          <w:sz w:val="20"/>
        </w:rPr>
        <w:t xml:space="preserve">at the </w:t>
      </w:r>
      <w:r w:rsidR="00D77A57" w:rsidRPr="00CE58F6">
        <w:rPr>
          <w:sz w:val="20"/>
        </w:rPr>
        <w:t xml:space="preserve">state and </w:t>
      </w:r>
      <w:r w:rsidR="00E67CBA" w:rsidRPr="00CE58F6">
        <w:rPr>
          <w:sz w:val="20"/>
        </w:rPr>
        <w:t xml:space="preserve">federal level </w:t>
      </w:r>
      <w:r w:rsidRPr="00CE58F6">
        <w:rPr>
          <w:sz w:val="20"/>
        </w:rPr>
        <w:t>to ensure that persons accused of capital crimes are tried and, if convicted, sentenced in accordance with the rights established in the American Dec</w:t>
      </w:r>
      <w:r w:rsidR="00FD50E1" w:rsidRPr="00CE58F6">
        <w:rPr>
          <w:sz w:val="20"/>
        </w:rPr>
        <w:t>laration,</w:t>
      </w:r>
      <w:r w:rsidR="00C7513A" w:rsidRPr="00CE58F6">
        <w:rPr>
          <w:rStyle w:val="FootnoteReference"/>
          <w:sz w:val="20"/>
        </w:rPr>
        <w:footnoteReference w:id="70"/>
      </w:r>
      <w:r w:rsidR="00FD50E1" w:rsidRPr="00CE58F6">
        <w:rPr>
          <w:sz w:val="20"/>
        </w:rPr>
        <w:t xml:space="preserve"> including Articles I</w:t>
      </w:r>
      <w:r w:rsidR="00125C97" w:rsidRPr="00CE58F6">
        <w:rPr>
          <w:sz w:val="20"/>
        </w:rPr>
        <w:t xml:space="preserve">, </w:t>
      </w:r>
      <w:r w:rsidRPr="00CE58F6">
        <w:rPr>
          <w:sz w:val="20"/>
        </w:rPr>
        <w:t xml:space="preserve">XVIII, </w:t>
      </w:r>
      <w:r w:rsidR="009A2A95" w:rsidRPr="00CE58F6">
        <w:rPr>
          <w:sz w:val="20"/>
        </w:rPr>
        <w:t xml:space="preserve">XXIV, </w:t>
      </w:r>
      <w:r w:rsidRPr="00CE58F6">
        <w:rPr>
          <w:sz w:val="20"/>
        </w:rPr>
        <w:t>XXV and XXVI thereof</w:t>
      </w:r>
      <w:bookmarkStart w:id="42" w:name="_ftn34"/>
      <w:bookmarkEnd w:id="42"/>
      <w:r w:rsidR="000060AC" w:rsidRPr="00CE58F6">
        <w:rPr>
          <w:sz w:val="20"/>
        </w:rPr>
        <w:t>, and, in particular:</w:t>
      </w:r>
    </w:p>
    <w:p w14:paraId="2ED715B8" w14:textId="77777777" w:rsidR="000060AC" w:rsidRPr="00CE58F6" w:rsidRDefault="000060AC" w:rsidP="00EC55EA">
      <w:pPr>
        <w:pStyle w:val="ListParagraph"/>
        <w:rPr>
          <w:rFonts w:asciiTheme="majorHAnsi" w:eastAsia="Times New Roman" w:hAnsiTheme="majorHAnsi" w:cs="Tahoma"/>
          <w:sz w:val="20"/>
          <w:szCs w:val="20"/>
          <w:bdr w:val="none" w:sz="0" w:space="0" w:color="auto"/>
        </w:rPr>
      </w:pPr>
    </w:p>
    <w:p w14:paraId="0C69042C" w14:textId="4E91AEBD" w:rsidR="000060AC" w:rsidRPr="00D967A4" w:rsidRDefault="000060AC" w:rsidP="00D967A4">
      <w:pPr>
        <w:pStyle w:val="ListParagraph"/>
        <w:numPr>
          <w:ilvl w:val="4"/>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D967A4">
        <w:rPr>
          <w:rFonts w:asciiTheme="majorHAnsi" w:eastAsia="Times New Roman" w:hAnsiTheme="majorHAnsi" w:cs="Tahoma"/>
          <w:sz w:val="20"/>
          <w:szCs w:val="20"/>
          <w:bdr w:val="none" w:sz="0" w:space="0" w:color="auto"/>
        </w:rPr>
        <w:t xml:space="preserve">Ensure that </w:t>
      </w:r>
      <w:r w:rsidRPr="00D967A4">
        <w:rPr>
          <w:rFonts w:asciiTheme="majorHAnsi" w:hAnsiTheme="majorHAnsi"/>
          <w:sz w:val="20"/>
          <w:szCs w:val="20"/>
        </w:rPr>
        <w:t xml:space="preserve">every foreign national deprived of his or her liberty is informed, without delay and prior to his or her first </w:t>
      </w:r>
      <w:r w:rsidR="0018575D" w:rsidRPr="00D967A4">
        <w:rPr>
          <w:rFonts w:asciiTheme="majorHAnsi" w:hAnsiTheme="majorHAnsi"/>
          <w:sz w:val="20"/>
          <w:szCs w:val="20"/>
        </w:rPr>
        <w:t>instance of questioning by State authorities</w:t>
      </w:r>
      <w:r w:rsidRPr="00D967A4">
        <w:rPr>
          <w:rFonts w:asciiTheme="majorHAnsi" w:hAnsiTheme="majorHAnsi"/>
          <w:sz w:val="20"/>
          <w:szCs w:val="20"/>
        </w:rPr>
        <w:t>, of the right to request that consular authorities be immediately notified of his or her arrest or detention;</w:t>
      </w:r>
      <w:r w:rsidRPr="00D967A4">
        <w:rPr>
          <w:rFonts w:asciiTheme="majorHAnsi" w:eastAsia="Times New Roman" w:hAnsiTheme="majorHAnsi" w:cs="Tahoma"/>
          <w:sz w:val="20"/>
          <w:szCs w:val="20"/>
          <w:bdr w:val="none" w:sz="0" w:space="0" w:color="auto"/>
        </w:rPr>
        <w:t xml:space="preserve"> and</w:t>
      </w:r>
    </w:p>
    <w:p w14:paraId="33D1B4AC" w14:textId="77777777" w:rsidR="000060AC" w:rsidRPr="00CE58F6" w:rsidRDefault="000060AC" w:rsidP="00EC55EA">
      <w:pPr>
        <w:pStyle w:val="ListParagraph"/>
        <w:ind w:left="1080"/>
        <w:rPr>
          <w:sz w:val="20"/>
          <w:szCs w:val="20"/>
          <w:bdr w:val="none" w:sz="0" w:space="0" w:color="auto" w:frame="1"/>
        </w:rPr>
      </w:pPr>
    </w:p>
    <w:p w14:paraId="0F0CF62A" w14:textId="77777777" w:rsidR="002237F3" w:rsidRPr="00CE58F6" w:rsidRDefault="000060AC" w:rsidP="00EC55EA">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CE58F6">
        <w:rPr>
          <w:sz w:val="20"/>
          <w:szCs w:val="20"/>
          <w:bdr w:val="none" w:sz="0" w:space="0" w:color="auto" w:frame="1"/>
        </w:rPr>
        <w:t xml:space="preserve">Ensure </w:t>
      </w:r>
      <w:r w:rsidR="00B7650A" w:rsidRPr="00CE58F6">
        <w:rPr>
          <w:sz w:val="20"/>
          <w:szCs w:val="20"/>
          <w:bdr w:val="none" w:sz="0" w:space="0" w:color="auto" w:frame="1"/>
        </w:rPr>
        <w:t>effective and adequate opportunity for prisoners to participate in clemency proceedings in accordance with the rights to petition, due process and fair trial</w:t>
      </w:r>
      <w:r w:rsidRPr="00CE58F6">
        <w:rPr>
          <w:sz w:val="20"/>
          <w:szCs w:val="20"/>
          <w:bdr w:val="none" w:sz="0" w:space="0" w:color="auto" w:frame="1"/>
        </w:rPr>
        <w:t xml:space="preserve">. </w:t>
      </w:r>
    </w:p>
    <w:p w14:paraId="7F4C6E43" w14:textId="77777777" w:rsidR="00AA3C9F" w:rsidRPr="00CE58F6" w:rsidRDefault="00AA3C9F" w:rsidP="00EC55EA">
      <w:pPr>
        <w:tabs>
          <w:tab w:val="left" w:pos="360"/>
        </w:tabs>
        <w:jc w:val="both"/>
        <w:rPr>
          <w:rFonts w:eastAsia="Times New Roman" w:cs="Tahoma"/>
          <w:sz w:val="20"/>
          <w:szCs w:val="20"/>
          <w:bdr w:val="none" w:sz="0" w:space="0" w:color="auto" w:frame="1"/>
        </w:rPr>
      </w:pPr>
    </w:p>
    <w:p w14:paraId="1B7F3F1E" w14:textId="5633F2C1" w:rsidR="00A4761B" w:rsidRPr="00521B37" w:rsidRDefault="00AA3C9F" w:rsidP="006F5AB5">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r w:rsidRPr="005B5E20">
        <w:rPr>
          <w:sz w:val="20"/>
        </w:rPr>
        <w:t>Given</w:t>
      </w:r>
      <w:r w:rsidRPr="005B5E20">
        <w:rPr>
          <w:rFonts w:asciiTheme="majorHAnsi" w:hAnsiTheme="majorHAnsi"/>
          <w:sz w:val="20"/>
        </w:rPr>
        <w:t xml:space="preserve"> the violations of the American Declaration the IACHR has established in the present</w:t>
      </w:r>
      <w:r w:rsidRPr="005B5E20">
        <w:rPr>
          <w:sz w:val="20"/>
        </w:rPr>
        <w:t xml:space="preserve"> case and in others involving application of the death penalty, the Inter-American Commission also recommends to the United States that it </w:t>
      </w:r>
      <w:r w:rsidR="00C7513A" w:rsidRPr="005B5E20">
        <w:rPr>
          <w:sz w:val="20"/>
        </w:rPr>
        <w:t>abolishes the death penalty in the state of Florida</w:t>
      </w:r>
      <w:r w:rsidR="00D77A57" w:rsidRPr="005B5E20">
        <w:rPr>
          <w:sz w:val="20"/>
        </w:rPr>
        <w:t xml:space="preserve"> </w:t>
      </w:r>
      <w:r w:rsidR="00D77A57" w:rsidRPr="00521B37">
        <w:rPr>
          <w:sz w:val="20"/>
        </w:rPr>
        <w:t>and at the federal level</w:t>
      </w:r>
      <w:r w:rsidRPr="00521B37">
        <w:rPr>
          <w:sz w:val="20"/>
        </w:rPr>
        <w:t>.</w:t>
      </w:r>
    </w:p>
    <w:p w14:paraId="600B46FA" w14:textId="77777777" w:rsidR="0015306E" w:rsidRPr="00521B37" w:rsidRDefault="0015306E" w:rsidP="0015306E">
      <w:pPr>
        <w:pStyle w:val="Heading1"/>
        <w:numPr>
          <w:ilvl w:val="0"/>
          <w:numId w:val="0"/>
        </w:numPr>
        <w:spacing w:before="0"/>
        <w:rPr>
          <w:color w:val="auto"/>
          <w:sz w:val="20"/>
          <w:szCs w:val="20"/>
        </w:rPr>
      </w:pPr>
    </w:p>
    <w:p w14:paraId="2BAEC40E" w14:textId="77777777" w:rsidR="0015306E" w:rsidRPr="00521B37" w:rsidRDefault="0015306E" w:rsidP="0015306E">
      <w:pPr>
        <w:pStyle w:val="Heading1"/>
        <w:spacing w:before="0"/>
        <w:ind w:hanging="720"/>
        <w:rPr>
          <w:color w:val="auto"/>
          <w:sz w:val="20"/>
          <w:szCs w:val="20"/>
        </w:rPr>
      </w:pPr>
      <w:bookmarkStart w:id="43" w:name="_Toc26550945"/>
      <w:bookmarkStart w:id="44" w:name="_Toc87522018"/>
      <w:bookmarkStart w:id="45" w:name="_Toc90115138"/>
      <w:bookmarkStart w:id="46" w:name="_Toc90283317"/>
      <w:bookmarkStart w:id="47" w:name="_Toc90284151"/>
      <w:bookmarkStart w:id="48" w:name="_Toc90289385"/>
      <w:bookmarkStart w:id="49" w:name="_Toc90291524"/>
      <w:r w:rsidRPr="00521B37">
        <w:rPr>
          <w:color w:val="auto"/>
          <w:sz w:val="20"/>
          <w:szCs w:val="20"/>
        </w:rPr>
        <w:t>PUBLICATION</w:t>
      </w:r>
      <w:bookmarkEnd w:id="43"/>
      <w:bookmarkEnd w:id="44"/>
      <w:bookmarkEnd w:id="45"/>
      <w:bookmarkEnd w:id="46"/>
      <w:bookmarkEnd w:id="47"/>
      <w:bookmarkEnd w:id="48"/>
      <w:bookmarkEnd w:id="49"/>
    </w:p>
    <w:p w14:paraId="6AA421C1" w14:textId="77777777" w:rsidR="0015306E" w:rsidRPr="00521B37" w:rsidRDefault="0015306E" w:rsidP="0015306E">
      <w:pPr>
        <w:rPr>
          <w:rFonts w:asciiTheme="majorHAnsi" w:hAnsiTheme="majorHAnsi"/>
          <w:sz w:val="20"/>
          <w:szCs w:val="20"/>
        </w:rPr>
      </w:pPr>
    </w:p>
    <w:p w14:paraId="35AFCCB2" w14:textId="77777777" w:rsidR="0015306E" w:rsidRPr="00521B37" w:rsidRDefault="0015306E" w:rsidP="001530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720"/>
          <w:tab w:val="left" w:pos="1440"/>
        </w:tabs>
        <w:ind w:left="0" w:firstLine="0"/>
        <w:jc w:val="both"/>
        <w:rPr>
          <w:rFonts w:ascii="Cambria" w:eastAsia="Times New Roman" w:hAnsi="Cambria"/>
          <w:sz w:val="20"/>
          <w:szCs w:val="20"/>
        </w:rPr>
      </w:pPr>
      <w:r w:rsidRPr="00521B37">
        <w:rPr>
          <w:rFonts w:asciiTheme="majorHAnsi" w:hAnsiTheme="majorHAnsi"/>
          <w:color w:val="000000" w:themeColor="text1"/>
          <w:sz w:val="20"/>
          <w:szCs w:val="20"/>
        </w:rPr>
        <w:t>In</w:t>
      </w:r>
      <w:r w:rsidRPr="00521B37">
        <w:rPr>
          <w:rFonts w:ascii="Cambria" w:eastAsia="Times New Roman" w:hAnsi="Cambria"/>
          <w:sz w:val="20"/>
          <w:szCs w:val="20"/>
        </w:rPr>
        <w:t xml:space="preserve">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3DD33AB8" w14:textId="3722E190" w:rsidR="005B4AEC" w:rsidRDefault="005B4AEC" w:rsidP="005B4AEC">
      <w:pPr>
        <w:tabs>
          <w:tab w:val="left" w:pos="540"/>
        </w:tabs>
        <w:suppressAutoHyphens/>
        <w:jc w:val="both"/>
        <w:rPr>
          <w:rFonts w:ascii="Cambria" w:hAnsi="Cambria" w:cs="Arial"/>
          <w:sz w:val="20"/>
          <w:szCs w:val="20"/>
        </w:rPr>
      </w:pPr>
    </w:p>
    <w:p w14:paraId="787D15F9" w14:textId="77777777" w:rsidR="00577815" w:rsidRPr="00A525CC" w:rsidRDefault="00577815" w:rsidP="005778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A525CC">
        <w:rPr>
          <w:rFonts w:asciiTheme="majorHAnsi" w:eastAsia="Times New Roman" w:hAnsiTheme="majorHAnsi"/>
          <w:sz w:val="20"/>
          <w:szCs w:val="20"/>
        </w:rPr>
        <w:t xml:space="preserve">Approved by the Inter-American Commission on Human Rights on the </w:t>
      </w:r>
      <w:r>
        <w:rPr>
          <w:rFonts w:asciiTheme="majorHAnsi" w:eastAsia="Times New Roman" w:hAnsiTheme="majorHAnsi"/>
          <w:sz w:val="20"/>
          <w:szCs w:val="20"/>
        </w:rPr>
        <w:t>31st</w:t>
      </w:r>
      <w:r w:rsidRPr="00A525CC">
        <w:rPr>
          <w:rFonts w:asciiTheme="majorHAnsi" w:eastAsia="Times New Roman" w:hAnsiTheme="majorHAnsi"/>
          <w:sz w:val="20"/>
          <w:szCs w:val="20"/>
        </w:rPr>
        <w:t xml:space="preserve"> day of </w:t>
      </w:r>
      <w:r>
        <w:rPr>
          <w:rFonts w:asciiTheme="majorHAnsi" w:eastAsia="Times New Roman" w:hAnsiTheme="majorHAnsi"/>
          <w:sz w:val="20"/>
          <w:szCs w:val="20"/>
        </w:rPr>
        <w:t>December</w:t>
      </w:r>
      <w:r w:rsidRPr="00A525CC">
        <w:rPr>
          <w:rFonts w:asciiTheme="majorHAnsi" w:eastAsia="Times New Roman" w:hAnsiTheme="majorHAnsi"/>
          <w:sz w:val="20"/>
          <w:szCs w:val="20"/>
        </w:rPr>
        <w:t xml:space="preserve"> 2021. (Signed):</w:t>
      </w:r>
      <w:r>
        <w:rPr>
          <w:rFonts w:asciiTheme="majorHAnsi" w:eastAsia="Times New Roman" w:hAnsiTheme="majorHAnsi"/>
        </w:rPr>
        <w:t xml:space="preserve"> </w:t>
      </w:r>
      <w:r w:rsidRPr="00A525CC">
        <w:rPr>
          <w:rFonts w:asciiTheme="majorHAnsi" w:eastAsia="Times New Roman" w:hAnsiTheme="majorHAnsi"/>
          <w:sz w:val="20"/>
          <w:szCs w:val="20"/>
        </w:rPr>
        <w:t>Antonia Urrejola Noguera, President; Julissa Mantilla Falcón,</w:t>
      </w:r>
      <w:r>
        <w:rPr>
          <w:rFonts w:asciiTheme="majorHAnsi" w:eastAsia="Times New Roman" w:hAnsiTheme="majorHAnsi"/>
        </w:rPr>
        <w:t xml:space="preserve"> </w:t>
      </w:r>
      <w:r w:rsidRPr="00A525CC">
        <w:rPr>
          <w:rFonts w:asciiTheme="majorHAnsi" w:eastAsia="Times New Roman" w:hAnsiTheme="majorHAnsi"/>
          <w:sz w:val="20"/>
          <w:szCs w:val="20"/>
        </w:rPr>
        <w:t>First Vice President;</w:t>
      </w:r>
      <w:r>
        <w:rPr>
          <w:rFonts w:asciiTheme="majorHAnsi" w:eastAsia="Times New Roman" w:hAnsiTheme="majorHAnsi"/>
        </w:rPr>
        <w:t xml:space="preserve"> </w:t>
      </w:r>
      <w:r w:rsidRPr="00A525CC">
        <w:rPr>
          <w:rFonts w:asciiTheme="majorHAnsi" w:eastAsia="Times New Roman" w:hAnsiTheme="majorHAnsi"/>
          <w:sz w:val="20"/>
          <w:szCs w:val="20"/>
        </w:rPr>
        <w:t>Flávia Piovesan, Second Vice President; Margarette May Macaulay,</w:t>
      </w:r>
      <w:r>
        <w:rPr>
          <w:rFonts w:asciiTheme="majorHAnsi" w:eastAsia="Times New Roman" w:hAnsiTheme="majorHAnsi"/>
        </w:rPr>
        <w:t xml:space="preserve"> </w:t>
      </w:r>
      <w:r w:rsidRPr="00A525CC">
        <w:rPr>
          <w:rFonts w:asciiTheme="majorHAnsi" w:eastAsia="Times New Roman" w:hAnsiTheme="majorHAnsi"/>
          <w:sz w:val="20"/>
          <w:szCs w:val="20"/>
        </w:rPr>
        <w:t>Esmeralda E. Arosemena Bernal de Troitiño</w:t>
      </w:r>
      <w:r>
        <w:rPr>
          <w:rFonts w:asciiTheme="majorHAnsi" w:eastAsia="Times New Roman" w:hAnsiTheme="majorHAnsi"/>
          <w:sz w:val="20"/>
          <w:szCs w:val="20"/>
        </w:rPr>
        <w:t xml:space="preserve">, Joel Hernández García </w:t>
      </w:r>
      <w:r w:rsidRPr="00A525CC">
        <w:rPr>
          <w:rFonts w:asciiTheme="majorHAnsi" w:eastAsia="Times New Roman" w:hAnsiTheme="majorHAnsi"/>
          <w:sz w:val="20"/>
          <w:szCs w:val="20"/>
        </w:rPr>
        <w:t>and</w:t>
      </w:r>
      <w:r>
        <w:rPr>
          <w:rFonts w:asciiTheme="majorHAnsi" w:eastAsia="Times New Roman" w:hAnsiTheme="majorHAnsi"/>
        </w:rPr>
        <w:t xml:space="preserve"> </w:t>
      </w:r>
      <w:r w:rsidRPr="00A525CC">
        <w:rPr>
          <w:rFonts w:asciiTheme="majorHAnsi" w:eastAsia="Times New Roman" w:hAnsiTheme="majorHAnsi"/>
          <w:sz w:val="20"/>
          <w:szCs w:val="20"/>
        </w:rPr>
        <w:t>Edgar Stuardo Ralón Orellana, Commissioners.</w:t>
      </w:r>
    </w:p>
    <w:p w14:paraId="71C0DDA7" w14:textId="77777777" w:rsidR="00577815" w:rsidRPr="00A525CC" w:rsidRDefault="00577815" w:rsidP="005778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sectPr w:rsidR="00577815" w:rsidRPr="00A525CC"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A2AC" w14:textId="77777777" w:rsidR="00905B37" w:rsidRDefault="00905B37" w:rsidP="00036A8A">
      <w:r>
        <w:separator/>
      </w:r>
    </w:p>
  </w:endnote>
  <w:endnote w:type="continuationSeparator" w:id="0">
    <w:p w14:paraId="1EDCD407" w14:textId="77777777" w:rsidR="00905B37" w:rsidRDefault="00905B3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1BAF0430" w14:textId="77777777" w:rsidR="0015306E" w:rsidRPr="006311DA" w:rsidRDefault="0015306E">
        <w:pPr>
          <w:pStyle w:val="Footer"/>
          <w:jc w:val="center"/>
          <w:rPr>
            <w:sz w:val="16"/>
          </w:rPr>
        </w:pPr>
        <w:r>
          <w:fldChar w:fldCharType="begin"/>
        </w:r>
        <w:r>
          <w:instrText xml:space="preserve"> PAGE   \* MERGEFORMAT </w:instrText>
        </w:r>
        <w:r>
          <w:fldChar w:fldCharType="separate"/>
        </w:r>
        <w:r w:rsidRPr="006E33AA">
          <w:rPr>
            <w:noProof/>
            <w:sz w:val="16"/>
          </w:rPr>
          <w:t>16</w:t>
        </w:r>
        <w:r>
          <w:rPr>
            <w:noProof/>
            <w:sz w:val="16"/>
          </w:rPr>
          <w:fldChar w:fldCharType="end"/>
        </w:r>
      </w:p>
    </w:sdtContent>
  </w:sdt>
  <w:p w14:paraId="2440614F" w14:textId="77777777" w:rsidR="0015306E" w:rsidRDefault="00153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725A" w14:textId="77777777" w:rsidR="0015306E" w:rsidRDefault="0015306E">
    <w:pPr>
      <w:pStyle w:val="Footer"/>
      <w:jc w:val="center"/>
    </w:pPr>
  </w:p>
  <w:p w14:paraId="0326DEE2" w14:textId="77777777" w:rsidR="0015306E" w:rsidRDefault="00153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3403632A" w14:textId="77777777" w:rsidR="0015306E" w:rsidRDefault="001530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0FFFF65" w14:textId="77777777" w:rsidR="0015306E" w:rsidRDefault="00153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FB31" w14:textId="77777777" w:rsidR="00905B37" w:rsidRPr="00036A8A" w:rsidRDefault="00905B3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E09DA68" w14:textId="77777777" w:rsidR="00905B37" w:rsidRPr="00036A8A" w:rsidRDefault="00905B37" w:rsidP="00036A8A">
      <w:pPr>
        <w:rPr>
          <w:rFonts w:asciiTheme="majorHAnsi" w:hAnsiTheme="majorHAnsi"/>
          <w:sz w:val="16"/>
          <w:szCs w:val="16"/>
        </w:rPr>
      </w:pPr>
      <w:r w:rsidRPr="00036A8A">
        <w:rPr>
          <w:rFonts w:asciiTheme="majorHAnsi" w:hAnsiTheme="majorHAnsi"/>
          <w:sz w:val="16"/>
          <w:szCs w:val="16"/>
        </w:rPr>
        <w:separator/>
      </w:r>
    </w:p>
    <w:p w14:paraId="7B0C8093" w14:textId="77777777" w:rsidR="00905B37" w:rsidRPr="00036A8A" w:rsidRDefault="00905B3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F666C01" w14:textId="77777777" w:rsidR="00905B37" w:rsidRPr="0093441A" w:rsidRDefault="00905B3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087E313" w14:textId="77777777" w:rsidR="0015306E" w:rsidRPr="00FF49B4" w:rsidRDefault="0015306E" w:rsidP="00FF49B4">
      <w:pPr>
        <w:pStyle w:val="FootnoteText"/>
        <w:jc w:val="both"/>
      </w:pPr>
      <w:r w:rsidRPr="00FF49B4">
        <w:rPr>
          <w:rStyle w:val="FootnoteReference"/>
          <w:rFonts w:asciiTheme="majorHAnsi" w:hAnsiTheme="majorHAnsi"/>
          <w:color w:val="auto"/>
          <w:sz w:val="16"/>
          <w:szCs w:val="16"/>
        </w:rPr>
        <w:footnoteRef/>
      </w:r>
      <w:r w:rsidRPr="00FF49B4">
        <w:rPr>
          <w:rStyle w:val="FootnoteReference"/>
          <w:rFonts w:asciiTheme="majorHAnsi" w:hAnsiTheme="majorHAnsi"/>
          <w:color w:val="auto"/>
          <w:sz w:val="16"/>
          <w:szCs w:val="16"/>
        </w:rPr>
        <w:t xml:space="preserve"> </w:t>
      </w:r>
      <w:r w:rsidRPr="000B13AF">
        <w:rPr>
          <w:rFonts w:asciiTheme="majorHAnsi" w:hAnsiTheme="majorHAnsi"/>
          <w:color w:val="auto"/>
          <w:sz w:val="16"/>
          <w:szCs w:val="16"/>
        </w:rPr>
        <w:t>On August 10, 2011,</w:t>
      </w:r>
      <w:r w:rsidRPr="00FF49B4">
        <w:rPr>
          <w:rFonts w:asciiTheme="majorHAnsi" w:hAnsiTheme="majorHAnsi"/>
          <w:color w:val="auto"/>
          <w:sz w:val="16"/>
          <w:szCs w:val="16"/>
        </w:rPr>
        <w:t xml:space="preserve"> Chaitanya Patel from Reprieve was added as co-petitioner.</w:t>
      </w:r>
    </w:p>
  </w:footnote>
  <w:footnote w:id="3">
    <w:p w14:paraId="081F2254"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On August 19, 2011, the IACHR granted precautionary measures on behalf of Mr. Valle</w:t>
      </w:r>
      <w:r w:rsidRPr="001947BA">
        <w:rPr>
          <w:rFonts w:asciiTheme="majorHAnsi" w:hAnsiTheme="majorHAnsi" w:cs="Arial"/>
          <w:color w:val="auto"/>
          <w:sz w:val="16"/>
        </w:rPr>
        <w:t xml:space="preserve"> </w:t>
      </w:r>
      <w:r w:rsidRPr="001947BA">
        <w:rPr>
          <w:rFonts w:asciiTheme="majorHAnsi" w:hAnsiTheme="majorHAnsi"/>
          <w:color w:val="auto"/>
          <w:sz w:val="16"/>
          <w:szCs w:val="16"/>
        </w:rPr>
        <w:t>pursuant to Article 25(1) of its Rules of Procedure and requested the United States to take the measures necessary to preserve the life and physical integrity of the alleged victim so as not to hinder the processing of his case before the Inter-American system.</w:t>
      </w:r>
    </w:p>
  </w:footnote>
  <w:footnote w:id="4">
    <w:p w14:paraId="2D749C80" w14:textId="77777777" w:rsidR="0015306E" w:rsidRPr="001947BA" w:rsidRDefault="0015306E" w:rsidP="00FF49B4">
      <w:pPr>
        <w:pStyle w:val="NormalWeb"/>
        <w:spacing w:before="0" w:beforeAutospacing="0" w:after="0" w:afterAutospacing="0"/>
        <w:jc w:val="both"/>
        <w:rPr>
          <w:rFonts w:asciiTheme="majorHAnsi" w:eastAsia="Arial Unicode MS" w:hAnsiTheme="majorHAnsi"/>
          <w:sz w:val="16"/>
          <w:szCs w:val="20"/>
        </w:rPr>
      </w:pPr>
      <w:r w:rsidRPr="001947BA">
        <w:rPr>
          <w:rStyle w:val="FootnoteReference"/>
          <w:rFonts w:asciiTheme="majorHAnsi" w:hAnsiTheme="majorHAnsi"/>
          <w:sz w:val="16"/>
        </w:rPr>
        <w:footnoteRef/>
      </w:r>
      <w:r w:rsidRPr="001947BA">
        <w:rPr>
          <w:rFonts w:asciiTheme="majorHAnsi" w:hAnsiTheme="majorHAnsi"/>
          <w:sz w:val="16"/>
        </w:rPr>
        <w:t xml:space="preserve"> </w:t>
      </w:r>
      <w:r w:rsidRPr="001947BA">
        <w:rPr>
          <w:rFonts w:asciiTheme="majorHAnsi" w:eastAsia="Arial Unicode MS" w:hAnsiTheme="majorHAnsi"/>
          <w:i/>
          <w:iCs/>
          <w:sz w:val="16"/>
          <w:szCs w:val="20"/>
        </w:rPr>
        <w:t xml:space="preserve">Valle v Florida, </w:t>
      </w:r>
      <w:r w:rsidRPr="001947BA">
        <w:rPr>
          <w:rFonts w:asciiTheme="majorHAnsi" w:eastAsia="Arial Unicode MS" w:hAnsiTheme="majorHAnsi"/>
          <w:sz w:val="16"/>
          <w:szCs w:val="20"/>
        </w:rPr>
        <w:t xml:space="preserve">Initial Brief of Appellant, Supreme Court of </w:t>
      </w:r>
      <w:r>
        <w:rPr>
          <w:rFonts w:asciiTheme="majorHAnsi" w:eastAsia="Arial Unicode MS" w:hAnsiTheme="majorHAnsi"/>
          <w:sz w:val="16"/>
          <w:szCs w:val="20"/>
        </w:rPr>
        <w:t>Florida No. SC11-1387.</w:t>
      </w:r>
      <w:r w:rsidRPr="001947BA">
        <w:rPr>
          <w:rFonts w:asciiTheme="majorHAnsi" w:eastAsia="Arial Unicode MS" w:hAnsiTheme="majorHAnsi"/>
          <w:sz w:val="16"/>
          <w:szCs w:val="20"/>
        </w:rPr>
        <w:t xml:space="preserve"> </w:t>
      </w:r>
    </w:p>
  </w:footnote>
  <w:footnote w:id="5">
    <w:p w14:paraId="6DA4A5E0" w14:textId="77777777" w:rsidR="0015306E" w:rsidRPr="001947BA" w:rsidRDefault="0015306E" w:rsidP="00FF49B4">
      <w:pPr>
        <w:pStyle w:val="NormalWeb"/>
        <w:spacing w:before="0" w:beforeAutospacing="0" w:after="0" w:afterAutospacing="0"/>
        <w:jc w:val="both"/>
        <w:rPr>
          <w:rFonts w:asciiTheme="majorHAnsi" w:eastAsia="Arial Unicode MS" w:hAnsiTheme="majorHAnsi"/>
          <w:sz w:val="16"/>
          <w:szCs w:val="20"/>
        </w:rPr>
      </w:pPr>
      <w:r w:rsidRPr="001947BA">
        <w:rPr>
          <w:rStyle w:val="FootnoteReference"/>
          <w:rFonts w:asciiTheme="majorHAnsi" w:hAnsiTheme="majorHAnsi"/>
          <w:sz w:val="16"/>
        </w:rPr>
        <w:footnoteRef/>
      </w:r>
      <w:r w:rsidRPr="001947BA">
        <w:rPr>
          <w:rFonts w:asciiTheme="majorHAnsi" w:hAnsiTheme="majorHAnsi"/>
          <w:sz w:val="16"/>
        </w:rPr>
        <w:t xml:space="preserve"> </w:t>
      </w:r>
      <w:r w:rsidRPr="001947BA">
        <w:rPr>
          <w:rFonts w:asciiTheme="majorHAnsi" w:hAnsiTheme="majorHAnsi"/>
          <w:sz w:val="16"/>
          <w:szCs w:val="20"/>
        </w:rPr>
        <w:t>Request for precautionary measures by the petitioner filed August 10, 2011</w:t>
      </w:r>
    </w:p>
    <w:p w14:paraId="607C783C" w14:textId="77777777" w:rsidR="0015306E" w:rsidRPr="001947BA" w:rsidRDefault="0015306E" w:rsidP="00FF49B4">
      <w:pPr>
        <w:pStyle w:val="FootnoteText"/>
        <w:jc w:val="both"/>
        <w:rPr>
          <w:rFonts w:asciiTheme="majorHAnsi" w:hAnsiTheme="majorHAnsi"/>
          <w:color w:val="auto"/>
          <w:sz w:val="16"/>
        </w:rPr>
      </w:pPr>
    </w:p>
  </w:footnote>
  <w:footnote w:id="6">
    <w:p w14:paraId="221D8B5D"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20"/>
        </w:rPr>
        <w:t>Request for precautionary measures by the petitioner filed August 10, 2011</w:t>
      </w:r>
    </w:p>
  </w:footnote>
  <w:footnote w:id="7">
    <w:p w14:paraId="62782209"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20"/>
        </w:rPr>
        <w:t>Request for precautionary measures by the petitioner filed August 10, 2011</w:t>
      </w:r>
      <w:r>
        <w:rPr>
          <w:rFonts w:asciiTheme="majorHAnsi" w:hAnsiTheme="majorHAnsi"/>
          <w:color w:val="auto"/>
          <w:sz w:val="16"/>
          <w:szCs w:val="20"/>
        </w:rPr>
        <w:t xml:space="preserve">, </w:t>
      </w:r>
      <w:r w:rsidRPr="001947BA">
        <w:rPr>
          <w:rFonts w:asciiTheme="majorHAnsi" w:hAnsiTheme="majorHAnsi"/>
          <w:color w:val="auto"/>
          <w:sz w:val="16"/>
        </w:rPr>
        <w:t xml:space="preserve">Quoting </w:t>
      </w:r>
      <w:r w:rsidRPr="001947BA">
        <w:rPr>
          <w:rFonts w:asciiTheme="majorHAnsi" w:eastAsiaTheme="minorHAnsi" w:hAnsiTheme="majorHAnsi"/>
          <w:i/>
          <w:iCs/>
          <w:color w:val="auto"/>
          <w:sz w:val="16"/>
          <w:bdr w:val="none" w:sz="0" w:space="0" w:color="auto"/>
        </w:rPr>
        <w:t>Valle v. State</w:t>
      </w:r>
      <w:r w:rsidRPr="001947BA">
        <w:rPr>
          <w:rFonts w:asciiTheme="majorHAnsi" w:eastAsiaTheme="minorHAnsi" w:hAnsiTheme="majorHAnsi"/>
          <w:color w:val="auto"/>
          <w:sz w:val="16"/>
          <w:bdr w:val="none" w:sz="0" w:space="0" w:color="auto"/>
        </w:rPr>
        <w:t>, 394 So. 2d 1004 (Fla. 1981)</w:t>
      </w:r>
    </w:p>
  </w:footnote>
  <w:footnote w:id="8">
    <w:p w14:paraId="35BE9667"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20"/>
        </w:rPr>
        <w:t>Request for precautionary measures by the petitioner filed August 10, 2011</w:t>
      </w:r>
      <w:r>
        <w:rPr>
          <w:rFonts w:asciiTheme="majorHAnsi" w:hAnsiTheme="majorHAnsi"/>
          <w:color w:val="auto"/>
          <w:sz w:val="16"/>
          <w:szCs w:val="20"/>
        </w:rPr>
        <w:t xml:space="preserve">, </w:t>
      </w:r>
      <w:r w:rsidRPr="001947BA">
        <w:rPr>
          <w:rFonts w:asciiTheme="majorHAnsi" w:hAnsiTheme="majorHAnsi"/>
          <w:color w:val="auto"/>
          <w:sz w:val="16"/>
        </w:rPr>
        <w:t xml:space="preserve">Quoting </w:t>
      </w:r>
      <w:r w:rsidRPr="001947BA">
        <w:rPr>
          <w:rFonts w:asciiTheme="majorHAnsi" w:eastAsiaTheme="minorHAnsi" w:hAnsiTheme="majorHAnsi"/>
          <w:i/>
          <w:iCs/>
          <w:color w:val="auto"/>
          <w:sz w:val="16"/>
          <w:bdr w:val="none" w:sz="0" w:space="0" w:color="auto"/>
        </w:rPr>
        <w:t>Valle v. State</w:t>
      </w:r>
      <w:r w:rsidRPr="001947BA">
        <w:rPr>
          <w:rFonts w:asciiTheme="majorHAnsi" w:eastAsiaTheme="minorHAnsi" w:hAnsiTheme="majorHAnsi"/>
          <w:color w:val="auto"/>
          <w:sz w:val="16"/>
          <w:bdr w:val="none" w:sz="0" w:space="0" w:color="auto"/>
        </w:rPr>
        <w:t>, 474 So. 2d 796 (Fla. 1985)</w:t>
      </w:r>
    </w:p>
  </w:footnote>
  <w:footnote w:id="9">
    <w:p w14:paraId="6B9CACCE"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20"/>
        </w:rPr>
        <w:t>Request for precautionary measures by the petitioner filed August 10, 2011</w:t>
      </w:r>
      <w:r>
        <w:rPr>
          <w:rFonts w:asciiTheme="majorHAnsi" w:hAnsiTheme="majorHAnsi"/>
          <w:color w:val="auto"/>
          <w:sz w:val="16"/>
          <w:szCs w:val="20"/>
        </w:rPr>
        <w:t xml:space="preserve">, </w:t>
      </w:r>
      <w:r w:rsidRPr="001947BA">
        <w:rPr>
          <w:rFonts w:asciiTheme="majorHAnsi" w:hAnsiTheme="majorHAnsi"/>
          <w:color w:val="auto"/>
          <w:sz w:val="16"/>
        </w:rPr>
        <w:t xml:space="preserve">Quoting </w:t>
      </w:r>
      <w:r w:rsidRPr="001947BA">
        <w:rPr>
          <w:rFonts w:asciiTheme="majorHAnsi" w:eastAsiaTheme="minorHAnsi" w:hAnsiTheme="majorHAnsi"/>
          <w:i/>
          <w:iCs/>
          <w:color w:val="auto"/>
          <w:sz w:val="16"/>
          <w:bdr w:val="none" w:sz="0" w:space="0" w:color="auto"/>
        </w:rPr>
        <w:t>Valle v. Florida</w:t>
      </w:r>
      <w:r w:rsidRPr="001947BA">
        <w:rPr>
          <w:rFonts w:asciiTheme="majorHAnsi" w:eastAsiaTheme="minorHAnsi" w:hAnsiTheme="majorHAnsi"/>
          <w:color w:val="auto"/>
          <w:sz w:val="16"/>
          <w:bdr w:val="none" w:sz="0" w:space="0" w:color="auto"/>
        </w:rPr>
        <w:t xml:space="preserve">, 476 U.S. 1102 (1986). </w:t>
      </w:r>
    </w:p>
  </w:footnote>
  <w:footnote w:id="10">
    <w:p w14:paraId="749E4E4C" w14:textId="77777777" w:rsidR="0015306E" w:rsidRPr="001947BA" w:rsidRDefault="0015306E" w:rsidP="00FF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HAnsi" w:hAnsiTheme="majorHAnsi"/>
          <w:sz w:val="16"/>
          <w:szCs w:val="20"/>
          <w:bdr w:val="none" w:sz="0" w:space="0" w:color="auto"/>
        </w:rPr>
      </w:pPr>
      <w:r w:rsidRPr="001947BA">
        <w:rPr>
          <w:rStyle w:val="FootnoteReference"/>
          <w:rFonts w:asciiTheme="majorHAnsi" w:hAnsiTheme="majorHAnsi"/>
          <w:sz w:val="16"/>
        </w:rPr>
        <w:footnoteRef/>
      </w:r>
      <w:r w:rsidRPr="001947BA">
        <w:rPr>
          <w:rFonts w:asciiTheme="majorHAnsi" w:hAnsiTheme="majorHAnsi"/>
          <w:sz w:val="16"/>
        </w:rPr>
        <w:t xml:space="preserve"> </w:t>
      </w:r>
      <w:r w:rsidRPr="001947BA">
        <w:rPr>
          <w:rFonts w:asciiTheme="majorHAnsi" w:hAnsiTheme="majorHAnsi"/>
          <w:sz w:val="16"/>
          <w:szCs w:val="20"/>
        </w:rPr>
        <w:t>Request for precautionary measures by the petitioner filed August 10, 2011</w:t>
      </w:r>
      <w:r>
        <w:rPr>
          <w:rFonts w:asciiTheme="majorHAnsi" w:hAnsiTheme="majorHAnsi"/>
          <w:sz w:val="16"/>
          <w:szCs w:val="20"/>
        </w:rPr>
        <w:t xml:space="preserve">, </w:t>
      </w:r>
      <w:r w:rsidRPr="001947BA">
        <w:rPr>
          <w:rFonts w:asciiTheme="majorHAnsi" w:hAnsiTheme="majorHAnsi"/>
          <w:sz w:val="16"/>
        </w:rPr>
        <w:t xml:space="preserve">Quoting </w:t>
      </w:r>
      <w:r w:rsidRPr="001947BA">
        <w:rPr>
          <w:rFonts w:asciiTheme="majorHAnsi" w:eastAsiaTheme="minorHAnsi" w:hAnsiTheme="majorHAnsi"/>
          <w:i/>
          <w:iCs/>
          <w:sz w:val="16"/>
          <w:bdr w:val="none" w:sz="0" w:space="0" w:color="auto"/>
        </w:rPr>
        <w:t>Valle v. State</w:t>
      </w:r>
      <w:r w:rsidRPr="001947BA">
        <w:rPr>
          <w:rFonts w:asciiTheme="majorHAnsi" w:eastAsiaTheme="minorHAnsi" w:hAnsiTheme="majorHAnsi"/>
          <w:sz w:val="16"/>
          <w:bdr w:val="none" w:sz="0" w:space="0" w:color="auto"/>
        </w:rPr>
        <w:t>, 502 So. 2d 1225 (Fla. 1987) (</w:t>
      </w:r>
      <w:r w:rsidRPr="001947BA">
        <w:rPr>
          <w:rFonts w:asciiTheme="majorHAnsi" w:eastAsiaTheme="minorHAnsi" w:hAnsiTheme="majorHAnsi"/>
          <w:i/>
          <w:iCs/>
          <w:sz w:val="16"/>
          <w:bdr w:val="none" w:sz="0" w:space="0" w:color="auto"/>
        </w:rPr>
        <w:t>Valle III</w:t>
      </w:r>
      <w:r w:rsidRPr="001947BA">
        <w:rPr>
          <w:rFonts w:asciiTheme="majorHAnsi" w:eastAsiaTheme="minorHAnsi" w:hAnsiTheme="majorHAnsi"/>
          <w:sz w:val="16"/>
          <w:bdr w:val="none" w:sz="0" w:space="0" w:color="auto"/>
        </w:rPr>
        <w:t xml:space="preserve">). </w:t>
      </w:r>
    </w:p>
  </w:footnote>
  <w:footnote w:id="11">
    <w:p w14:paraId="782EB65D"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20"/>
        </w:rPr>
        <w:t>Request for precautionary measures by the petitioner filed August 10, 2011</w:t>
      </w:r>
      <w:r>
        <w:rPr>
          <w:rFonts w:asciiTheme="majorHAnsi" w:hAnsiTheme="majorHAnsi"/>
          <w:color w:val="auto"/>
          <w:sz w:val="16"/>
          <w:szCs w:val="20"/>
        </w:rPr>
        <w:t xml:space="preserve">, </w:t>
      </w:r>
      <w:r w:rsidRPr="001947BA">
        <w:rPr>
          <w:rFonts w:asciiTheme="majorHAnsi" w:hAnsiTheme="majorHAnsi"/>
          <w:color w:val="auto"/>
          <w:sz w:val="16"/>
        </w:rPr>
        <w:t xml:space="preserve">Quoting </w:t>
      </w:r>
      <w:r w:rsidRPr="001947BA">
        <w:rPr>
          <w:rFonts w:asciiTheme="majorHAnsi" w:eastAsiaTheme="minorHAnsi" w:hAnsiTheme="majorHAnsi"/>
          <w:i/>
          <w:iCs/>
          <w:color w:val="auto"/>
          <w:sz w:val="16"/>
          <w:bdr w:val="none" w:sz="0" w:space="0" w:color="auto"/>
        </w:rPr>
        <w:t>Valle v. State</w:t>
      </w:r>
      <w:r w:rsidRPr="001947BA">
        <w:rPr>
          <w:rFonts w:asciiTheme="majorHAnsi" w:eastAsiaTheme="minorHAnsi" w:hAnsiTheme="majorHAnsi"/>
          <w:color w:val="auto"/>
          <w:sz w:val="16"/>
          <w:bdr w:val="none" w:sz="0" w:space="0" w:color="auto"/>
        </w:rPr>
        <w:t xml:space="preserve">, 581 So. 2d 40 (Fla.), </w:t>
      </w:r>
      <w:r w:rsidRPr="001947BA">
        <w:rPr>
          <w:rFonts w:asciiTheme="majorHAnsi" w:eastAsiaTheme="minorHAnsi" w:hAnsiTheme="majorHAnsi"/>
          <w:i/>
          <w:iCs/>
          <w:color w:val="auto"/>
          <w:sz w:val="16"/>
          <w:bdr w:val="none" w:sz="0" w:space="0" w:color="auto"/>
        </w:rPr>
        <w:t>cert. denied</w:t>
      </w:r>
      <w:r w:rsidRPr="001947BA">
        <w:rPr>
          <w:rFonts w:asciiTheme="majorHAnsi" w:eastAsiaTheme="minorHAnsi" w:hAnsiTheme="majorHAnsi"/>
          <w:color w:val="auto"/>
          <w:sz w:val="16"/>
          <w:bdr w:val="none" w:sz="0" w:space="0" w:color="auto"/>
        </w:rPr>
        <w:t>, 502 U.S. 986 (1991) (</w:t>
      </w:r>
      <w:r w:rsidRPr="001947BA">
        <w:rPr>
          <w:rFonts w:asciiTheme="majorHAnsi" w:eastAsiaTheme="minorHAnsi" w:hAnsiTheme="majorHAnsi"/>
          <w:i/>
          <w:iCs/>
          <w:color w:val="auto"/>
          <w:sz w:val="16"/>
          <w:bdr w:val="none" w:sz="0" w:space="0" w:color="auto"/>
        </w:rPr>
        <w:t>Valle IV</w:t>
      </w:r>
      <w:r w:rsidRPr="001947BA">
        <w:rPr>
          <w:rFonts w:asciiTheme="majorHAnsi" w:eastAsiaTheme="minorHAnsi" w:hAnsiTheme="majorHAnsi"/>
          <w:color w:val="auto"/>
          <w:sz w:val="16"/>
          <w:bdr w:val="none" w:sz="0" w:space="0" w:color="auto"/>
        </w:rPr>
        <w:t>).</w:t>
      </w:r>
    </w:p>
  </w:footnote>
  <w:footnote w:id="12">
    <w:p w14:paraId="3316F842"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20"/>
        </w:rPr>
        <w:t>Request for precautionary measures by the petitioner filed August 10, 2011</w:t>
      </w:r>
      <w:r>
        <w:rPr>
          <w:rFonts w:asciiTheme="majorHAnsi" w:hAnsiTheme="majorHAnsi"/>
          <w:color w:val="auto"/>
          <w:sz w:val="16"/>
          <w:szCs w:val="20"/>
        </w:rPr>
        <w:t xml:space="preserve">, </w:t>
      </w:r>
      <w:r w:rsidRPr="001947BA">
        <w:rPr>
          <w:rFonts w:asciiTheme="majorHAnsi" w:hAnsiTheme="majorHAnsi"/>
          <w:color w:val="auto"/>
          <w:sz w:val="16"/>
        </w:rPr>
        <w:t xml:space="preserve">Quoting </w:t>
      </w:r>
      <w:r w:rsidRPr="001947BA">
        <w:rPr>
          <w:rFonts w:asciiTheme="majorHAnsi" w:eastAsiaTheme="minorHAnsi" w:hAnsiTheme="majorHAnsi"/>
          <w:i/>
          <w:iCs/>
          <w:color w:val="auto"/>
          <w:sz w:val="16"/>
          <w:bdr w:val="none" w:sz="0" w:space="0" w:color="auto"/>
        </w:rPr>
        <w:t>Valle v. State</w:t>
      </w:r>
      <w:r w:rsidRPr="001947BA">
        <w:rPr>
          <w:rFonts w:asciiTheme="majorHAnsi" w:eastAsiaTheme="minorHAnsi" w:hAnsiTheme="majorHAnsi"/>
          <w:color w:val="auto"/>
          <w:sz w:val="16"/>
          <w:bdr w:val="none" w:sz="0" w:space="0" w:color="auto"/>
        </w:rPr>
        <w:t>, 705 So. 2d 1331 (Fla. 1997) (</w:t>
      </w:r>
      <w:r w:rsidRPr="001947BA">
        <w:rPr>
          <w:rFonts w:asciiTheme="majorHAnsi" w:eastAsiaTheme="minorHAnsi" w:hAnsiTheme="majorHAnsi"/>
          <w:i/>
          <w:iCs/>
          <w:color w:val="auto"/>
          <w:sz w:val="16"/>
          <w:bdr w:val="none" w:sz="0" w:space="0" w:color="auto"/>
        </w:rPr>
        <w:t>Valle V).</w:t>
      </w:r>
    </w:p>
  </w:footnote>
  <w:footnote w:id="13">
    <w:p w14:paraId="133EDA2A"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20"/>
        </w:rPr>
        <w:t>Request for precautionary measures by the petitioner filed August 10, 2011</w:t>
      </w:r>
      <w:r>
        <w:rPr>
          <w:rFonts w:asciiTheme="majorHAnsi" w:hAnsiTheme="majorHAnsi"/>
          <w:color w:val="auto"/>
          <w:sz w:val="16"/>
          <w:szCs w:val="20"/>
        </w:rPr>
        <w:t xml:space="preserve">, </w:t>
      </w:r>
      <w:r w:rsidRPr="001947BA">
        <w:rPr>
          <w:rFonts w:asciiTheme="majorHAnsi" w:hAnsiTheme="majorHAnsi"/>
          <w:color w:val="auto"/>
          <w:sz w:val="16"/>
        </w:rPr>
        <w:t xml:space="preserve">Quoting </w:t>
      </w:r>
      <w:r w:rsidRPr="001947BA">
        <w:rPr>
          <w:rFonts w:asciiTheme="majorHAnsi" w:eastAsiaTheme="minorHAnsi" w:hAnsiTheme="majorHAnsi"/>
          <w:i/>
          <w:iCs/>
          <w:color w:val="auto"/>
          <w:sz w:val="16"/>
          <w:bdr w:val="none" w:sz="0" w:space="0" w:color="auto"/>
        </w:rPr>
        <w:t>Valle v. State</w:t>
      </w:r>
      <w:r w:rsidRPr="001947BA">
        <w:rPr>
          <w:rFonts w:asciiTheme="majorHAnsi" w:eastAsiaTheme="minorHAnsi" w:hAnsiTheme="majorHAnsi"/>
          <w:color w:val="auto"/>
          <w:sz w:val="16"/>
          <w:bdr w:val="none" w:sz="0" w:space="0" w:color="auto"/>
        </w:rPr>
        <w:t>, 778 So. 2d 960 (Fla. 2001) (</w:t>
      </w:r>
      <w:r w:rsidRPr="001947BA">
        <w:rPr>
          <w:rFonts w:asciiTheme="majorHAnsi" w:eastAsiaTheme="minorHAnsi" w:hAnsiTheme="majorHAnsi"/>
          <w:i/>
          <w:iCs/>
          <w:color w:val="auto"/>
          <w:sz w:val="16"/>
          <w:bdr w:val="none" w:sz="0" w:space="0" w:color="auto"/>
        </w:rPr>
        <w:t>Valle VI</w:t>
      </w:r>
      <w:r w:rsidRPr="001947BA">
        <w:rPr>
          <w:rFonts w:asciiTheme="majorHAnsi" w:eastAsiaTheme="minorHAnsi" w:hAnsiTheme="majorHAnsi"/>
          <w:color w:val="auto"/>
          <w:sz w:val="16"/>
          <w:bdr w:val="none" w:sz="0" w:space="0" w:color="auto"/>
        </w:rPr>
        <w:t xml:space="preserve">). </w:t>
      </w:r>
    </w:p>
  </w:footnote>
  <w:footnote w:id="14">
    <w:p w14:paraId="6D443D18"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20"/>
        </w:rPr>
        <w:t>Request for precautionary measures by the petitioner filed August 10, 2011</w:t>
      </w:r>
      <w:r>
        <w:rPr>
          <w:rFonts w:asciiTheme="majorHAnsi" w:hAnsiTheme="majorHAnsi"/>
          <w:color w:val="auto"/>
          <w:sz w:val="16"/>
          <w:szCs w:val="20"/>
        </w:rPr>
        <w:t xml:space="preserve">, </w:t>
      </w:r>
      <w:r w:rsidRPr="001947BA">
        <w:rPr>
          <w:rFonts w:asciiTheme="majorHAnsi" w:hAnsiTheme="majorHAnsi"/>
          <w:color w:val="auto"/>
          <w:sz w:val="16"/>
        </w:rPr>
        <w:t xml:space="preserve">Quoting </w:t>
      </w:r>
      <w:r w:rsidRPr="001947BA">
        <w:rPr>
          <w:rFonts w:asciiTheme="majorHAnsi" w:eastAsiaTheme="minorHAnsi" w:hAnsiTheme="majorHAnsi"/>
          <w:i/>
          <w:iCs/>
          <w:color w:val="auto"/>
          <w:sz w:val="16"/>
          <w:bdr w:val="none" w:sz="0" w:space="0" w:color="auto"/>
        </w:rPr>
        <w:t xml:space="preserve">Valle v. Sec’y. for </w:t>
      </w:r>
      <w:proofErr w:type="spellStart"/>
      <w:r w:rsidRPr="001947BA">
        <w:rPr>
          <w:rFonts w:asciiTheme="majorHAnsi" w:eastAsiaTheme="minorHAnsi" w:hAnsiTheme="majorHAnsi"/>
          <w:i/>
          <w:iCs/>
          <w:color w:val="auto"/>
          <w:sz w:val="16"/>
          <w:bdr w:val="none" w:sz="0" w:space="0" w:color="auto"/>
        </w:rPr>
        <w:t>Dep’t</w:t>
      </w:r>
      <w:proofErr w:type="spellEnd"/>
      <w:r w:rsidRPr="001947BA">
        <w:rPr>
          <w:rFonts w:asciiTheme="majorHAnsi" w:eastAsiaTheme="minorHAnsi" w:hAnsiTheme="majorHAnsi"/>
          <w:i/>
          <w:iCs/>
          <w:color w:val="auto"/>
          <w:sz w:val="16"/>
          <w:bdr w:val="none" w:sz="0" w:space="0" w:color="auto"/>
        </w:rPr>
        <w:t xml:space="preserve">. Of Corrections, </w:t>
      </w:r>
      <w:r w:rsidRPr="001947BA">
        <w:rPr>
          <w:rFonts w:asciiTheme="majorHAnsi" w:eastAsiaTheme="minorHAnsi" w:hAnsiTheme="majorHAnsi"/>
          <w:color w:val="auto"/>
          <w:sz w:val="16"/>
          <w:bdr w:val="none" w:sz="0" w:space="0" w:color="auto"/>
        </w:rPr>
        <w:t>459 F. 3d 1206 (11th Cir. 2006).</w:t>
      </w:r>
    </w:p>
  </w:footnote>
  <w:footnote w:id="15">
    <w:p w14:paraId="6DE8B8A1"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20"/>
        </w:rPr>
        <w:t>Request for precautionary measures by the petitioner filed August 10, 2011</w:t>
      </w:r>
      <w:r>
        <w:rPr>
          <w:rFonts w:asciiTheme="majorHAnsi" w:hAnsiTheme="majorHAnsi"/>
          <w:color w:val="auto"/>
          <w:sz w:val="16"/>
          <w:szCs w:val="20"/>
        </w:rPr>
        <w:t xml:space="preserve">, </w:t>
      </w:r>
      <w:r w:rsidRPr="001947BA">
        <w:rPr>
          <w:rFonts w:asciiTheme="majorHAnsi" w:hAnsiTheme="majorHAnsi"/>
          <w:color w:val="auto"/>
          <w:sz w:val="16"/>
        </w:rPr>
        <w:t xml:space="preserve">Quoting </w:t>
      </w:r>
      <w:r w:rsidRPr="001947BA">
        <w:rPr>
          <w:rFonts w:asciiTheme="majorHAnsi" w:eastAsiaTheme="minorHAnsi" w:hAnsiTheme="majorHAnsi"/>
          <w:i/>
          <w:iCs/>
          <w:color w:val="auto"/>
          <w:sz w:val="16"/>
          <w:bdr w:val="none" w:sz="0" w:space="0" w:color="auto"/>
        </w:rPr>
        <w:t xml:space="preserve">Valle v. Sec’y. for </w:t>
      </w:r>
      <w:proofErr w:type="spellStart"/>
      <w:r w:rsidRPr="001947BA">
        <w:rPr>
          <w:rFonts w:asciiTheme="majorHAnsi" w:eastAsiaTheme="minorHAnsi" w:hAnsiTheme="majorHAnsi"/>
          <w:i/>
          <w:iCs/>
          <w:color w:val="auto"/>
          <w:sz w:val="16"/>
          <w:bdr w:val="none" w:sz="0" w:space="0" w:color="auto"/>
        </w:rPr>
        <w:t>Dep’t</w:t>
      </w:r>
      <w:proofErr w:type="spellEnd"/>
      <w:r w:rsidRPr="001947BA">
        <w:rPr>
          <w:rFonts w:asciiTheme="majorHAnsi" w:eastAsiaTheme="minorHAnsi" w:hAnsiTheme="majorHAnsi"/>
          <w:i/>
          <w:iCs/>
          <w:color w:val="auto"/>
          <w:sz w:val="16"/>
          <w:bdr w:val="none" w:sz="0" w:space="0" w:color="auto"/>
        </w:rPr>
        <w:t xml:space="preserve">. Of Corrections, </w:t>
      </w:r>
      <w:r w:rsidRPr="001947BA">
        <w:rPr>
          <w:rFonts w:asciiTheme="majorHAnsi" w:eastAsiaTheme="minorHAnsi" w:hAnsiTheme="majorHAnsi"/>
          <w:color w:val="auto"/>
          <w:sz w:val="16"/>
          <w:bdr w:val="none" w:sz="0" w:space="0" w:color="auto"/>
        </w:rPr>
        <w:t>478 F. 3d 1326 (11th Cir. 2007).</w:t>
      </w:r>
    </w:p>
  </w:footnote>
  <w:footnote w:id="16">
    <w:p w14:paraId="13FFDC85"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20"/>
        </w:rPr>
        <w:t>Request for precautionary measures by the petitioner filed August 10, 2011</w:t>
      </w:r>
      <w:r>
        <w:rPr>
          <w:rFonts w:asciiTheme="majorHAnsi" w:hAnsiTheme="majorHAnsi"/>
          <w:color w:val="auto"/>
          <w:sz w:val="16"/>
          <w:szCs w:val="20"/>
        </w:rPr>
        <w:t xml:space="preserve">, </w:t>
      </w:r>
      <w:r w:rsidRPr="001947BA">
        <w:rPr>
          <w:rFonts w:asciiTheme="majorHAnsi" w:hAnsiTheme="majorHAnsi"/>
          <w:color w:val="auto"/>
          <w:sz w:val="16"/>
        </w:rPr>
        <w:t xml:space="preserve">Quoting </w:t>
      </w:r>
      <w:r w:rsidRPr="001947BA">
        <w:rPr>
          <w:rFonts w:asciiTheme="majorHAnsi" w:eastAsiaTheme="minorHAnsi" w:hAnsiTheme="majorHAnsi"/>
          <w:i/>
          <w:iCs/>
          <w:color w:val="auto"/>
          <w:sz w:val="16"/>
          <w:bdr w:val="none" w:sz="0" w:space="0" w:color="auto"/>
        </w:rPr>
        <w:t>Valle v. McDonough</w:t>
      </w:r>
      <w:r w:rsidRPr="001947BA">
        <w:rPr>
          <w:rFonts w:asciiTheme="majorHAnsi" w:eastAsiaTheme="minorHAnsi" w:hAnsiTheme="majorHAnsi"/>
          <w:color w:val="auto"/>
          <w:sz w:val="16"/>
          <w:bdr w:val="none" w:sz="0" w:space="0" w:color="auto"/>
        </w:rPr>
        <w:t xml:space="preserve">, 552 U.S. 920 (2007). </w:t>
      </w:r>
    </w:p>
  </w:footnote>
  <w:footnote w:id="17">
    <w:p w14:paraId="59BBA0AC"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Manuel Valle v State of Florida No SC11-1387, August 23, 2011</w:t>
      </w:r>
    </w:p>
  </w:footnote>
  <w:footnote w:id="18">
    <w:p w14:paraId="0E0FD5D5"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Manuel Valle v State of Florida No SC11-1387, August 23, 2011</w:t>
      </w:r>
    </w:p>
  </w:footnote>
  <w:footnote w:id="19">
    <w:p w14:paraId="108AFCB6"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Manuel Valle v State of Florida No SC11-1387, August 23, 2011</w:t>
      </w:r>
    </w:p>
  </w:footnote>
  <w:footnote w:id="20">
    <w:p w14:paraId="3F0D8BAA"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Manuel Valle v State of Florida No SC11-1387, August 23, 2011</w:t>
      </w:r>
    </w:p>
  </w:footnote>
  <w:footnote w:id="21">
    <w:p w14:paraId="05B3BF6B"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Manuel Valle v State of Florida No SC11-1387, August 23, 2011</w:t>
      </w:r>
    </w:p>
  </w:footnote>
  <w:footnote w:id="22">
    <w:p w14:paraId="5BC32A5C"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20"/>
        </w:rPr>
        <w:t>Request for precautionary measures by the petitioner filed August 10, 2011</w:t>
      </w:r>
    </w:p>
  </w:footnote>
  <w:footnote w:id="23">
    <w:p w14:paraId="693CF7FE"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Manuel Valle v State of Florida No SC11-1387, August 23, 2011</w:t>
      </w:r>
    </w:p>
  </w:footnote>
  <w:footnote w:id="24">
    <w:p w14:paraId="6302ACAE"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Manuel Valle v State of Florida No SC11-1387, August 23, 2011</w:t>
      </w:r>
    </w:p>
  </w:footnote>
  <w:footnote w:id="25">
    <w:p w14:paraId="78A76E24"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See, for example: I/A Court H. R., Advisory Opinion OC-16/99 (October 1, 1999), </w:t>
      </w:r>
      <w:r w:rsidRPr="001947BA">
        <w:rPr>
          <w:rFonts w:asciiTheme="majorHAnsi" w:hAnsiTheme="majorHAnsi"/>
          <w:iCs/>
          <w:color w:val="auto"/>
          <w:sz w:val="16"/>
          <w:szCs w:val="16"/>
        </w:rPr>
        <w:t>The Right to Information on Consular Assistance in the Framework of the Guarantees of the Due Process of Law</w:t>
      </w:r>
      <w:r w:rsidRPr="001947BA">
        <w:rPr>
          <w:rFonts w:asciiTheme="majorHAnsi" w:hAnsiTheme="majorHAnsi"/>
          <w:color w:val="auto"/>
          <w:sz w:val="16"/>
          <w:szCs w:val="16"/>
        </w:rPr>
        <w:t xml:space="preserve">, para. 136; United Nations Human Rights Committee, </w:t>
      </w:r>
      <w:proofErr w:type="spellStart"/>
      <w:r w:rsidRPr="001947BA">
        <w:rPr>
          <w:rFonts w:asciiTheme="majorHAnsi" w:hAnsiTheme="majorHAnsi"/>
          <w:iCs/>
          <w:color w:val="auto"/>
          <w:sz w:val="16"/>
          <w:szCs w:val="16"/>
        </w:rPr>
        <w:t>Baboheram-Adhin</w:t>
      </w:r>
      <w:proofErr w:type="spellEnd"/>
      <w:r w:rsidRPr="001947BA">
        <w:rPr>
          <w:rFonts w:asciiTheme="majorHAnsi" w:hAnsiTheme="majorHAnsi"/>
          <w:iCs/>
          <w:color w:val="auto"/>
          <w:sz w:val="16"/>
          <w:szCs w:val="16"/>
        </w:rPr>
        <w:t xml:space="preserve"> et al. v. Suriname</w:t>
      </w:r>
      <w:r w:rsidRPr="001947BA">
        <w:rPr>
          <w:rFonts w:asciiTheme="majorHAnsi" w:hAnsiTheme="majorHAnsi"/>
          <w:color w:val="auto"/>
          <w:sz w:val="16"/>
          <w:szCs w:val="16"/>
        </w:rPr>
        <w:t>,</w:t>
      </w:r>
      <w:r w:rsidRPr="001947BA">
        <w:rPr>
          <w:rFonts w:asciiTheme="majorHAnsi" w:hAnsiTheme="majorHAnsi"/>
          <w:iCs/>
          <w:color w:val="auto"/>
          <w:sz w:val="16"/>
          <w:szCs w:val="16"/>
        </w:rPr>
        <w:t xml:space="preserve"> </w:t>
      </w:r>
      <w:r w:rsidRPr="001947BA">
        <w:rPr>
          <w:rFonts w:asciiTheme="majorHAnsi" w:hAnsiTheme="majorHAnsi"/>
          <w:color w:val="auto"/>
          <w:sz w:val="16"/>
          <w:szCs w:val="16"/>
        </w:rPr>
        <w:t xml:space="preserve">Communications Nos. 148-154/1983, adopted on April 4, 1985, para. 14.3; </w:t>
      </w:r>
      <w:r w:rsidRPr="001947BA">
        <w:rPr>
          <w:rFonts w:asciiTheme="majorHAnsi" w:hAnsiTheme="majorHAnsi"/>
          <w:iCs/>
          <w:color w:val="auto"/>
          <w:sz w:val="16"/>
          <w:szCs w:val="16"/>
        </w:rPr>
        <w:t>Report of the United Nations Special Rapporteur on Extrajudicial Executions</w:t>
      </w:r>
      <w:r w:rsidRPr="001947BA">
        <w:rPr>
          <w:rFonts w:asciiTheme="majorHAnsi" w:hAnsiTheme="majorHAnsi"/>
          <w:color w:val="auto"/>
          <w:sz w:val="16"/>
          <w:szCs w:val="16"/>
        </w:rPr>
        <w:t xml:space="preserve">, </w:t>
      </w:r>
      <w:proofErr w:type="spellStart"/>
      <w:r w:rsidRPr="001947BA">
        <w:rPr>
          <w:rFonts w:asciiTheme="majorHAnsi" w:hAnsiTheme="majorHAnsi"/>
          <w:color w:val="auto"/>
          <w:sz w:val="16"/>
          <w:szCs w:val="16"/>
        </w:rPr>
        <w:t>Bacre</w:t>
      </w:r>
      <w:proofErr w:type="spellEnd"/>
      <w:r w:rsidRPr="001947BA">
        <w:rPr>
          <w:rFonts w:asciiTheme="majorHAnsi" w:hAnsiTheme="majorHAnsi"/>
          <w:color w:val="auto"/>
          <w:sz w:val="16"/>
          <w:szCs w:val="16"/>
        </w:rPr>
        <w:t xml:space="preserve"> Waly Ndiaye, submitted pursuant to Commission on Human Rights Resolution 1994/82, Question of the Violation of Human Rights and Fundamental Freedoms in any part of the World, with </w:t>
      </w:r>
      <w:proofErr w:type="gramStart"/>
      <w:r w:rsidRPr="001947BA">
        <w:rPr>
          <w:rFonts w:asciiTheme="majorHAnsi" w:hAnsiTheme="majorHAnsi"/>
          <w:color w:val="auto"/>
          <w:sz w:val="16"/>
          <w:szCs w:val="16"/>
        </w:rPr>
        <w:t>particular reference</w:t>
      </w:r>
      <w:proofErr w:type="gramEnd"/>
      <w:r w:rsidRPr="001947BA">
        <w:rPr>
          <w:rFonts w:asciiTheme="majorHAnsi" w:hAnsiTheme="majorHAnsi"/>
          <w:color w:val="auto"/>
          <w:sz w:val="16"/>
          <w:szCs w:val="16"/>
        </w:rPr>
        <w:t xml:space="preserve"> to Colonial and Other Dependent Countries and Territories, UN </w:t>
      </w:r>
      <w:proofErr w:type="spellStart"/>
      <w:r w:rsidRPr="001947BA">
        <w:rPr>
          <w:rFonts w:asciiTheme="majorHAnsi" w:hAnsiTheme="majorHAnsi"/>
          <w:color w:val="auto"/>
          <w:sz w:val="16"/>
          <w:szCs w:val="16"/>
        </w:rPr>
        <w:t>Doc.E</w:t>
      </w:r>
      <w:proofErr w:type="spellEnd"/>
      <w:r w:rsidRPr="001947BA">
        <w:rPr>
          <w:rFonts w:asciiTheme="majorHAnsi" w:hAnsiTheme="majorHAnsi"/>
          <w:color w:val="auto"/>
          <w:sz w:val="16"/>
          <w:szCs w:val="16"/>
        </w:rPr>
        <w:t>/CN.4/1995/61 (December 14, 1994), para. 378.</w:t>
      </w:r>
    </w:p>
  </w:footnote>
  <w:footnote w:id="26">
    <w:p w14:paraId="4A39609A"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IACHR,</w:t>
      </w:r>
      <w:r w:rsidRPr="001947BA">
        <w:rPr>
          <w:rFonts w:asciiTheme="majorHAnsi" w:hAnsiTheme="majorHAnsi"/>
          <w:iCs/>
          <w:color w:val="auto"/>
          <w:sz w:val="16"/>
          <w:szCs w:val="16"/>
        </w:rPr>
        <w:t xml:space="preserve"> </w:t>
      </w:r>
      <w:r w:rsidRPr="001947BA">
        <w:rPr>
          <w:rFonts w:asciiTheme="majorHAnsi" w:hAnsiTheme="majorHAnsi"/>
          <w:color w:val="auto"/>
          <w:sz w:val="16"/>
          <w:szCs w:val="16"/>
        </w:rPr>
        <w:t xml:space="preserve">Report No. 57/96, </w:t>
      </w:r>
      <w:r w:rsidRPr="001947BA">
        <w:rPr>
          <w:rFonts w:asciiTheme="majorHAnsi" w:hAnsiTheme="majorHAnsi"/>
          <w:iCs/>
          <w:color w:val="auto"/>
          <w:sz w:val="16"/>
          <w:szCs w:val="16"/>
        </w:rPr>
        <w:t>Andrews, United States</w:t>
      </w:r>
      <w:r w:rsidRPr="001947BA">
        <w:rPr>
          <w:rFonts w:asciiTheme="majorHAnsi" w:hAnsiTheme="majorHAnsi"/>
          <w:color w:val="auto"/>
          <w:sz w:val="16"/>
          <w:szCs w:val="16"/>
        </w:rPr>
        <w:t xml:space="preserve">, IACHR Annual Report 1997, para. 170-171; Report No. 38/00 Baptiste, Grenada, IACHR Annual Report 1999, paras. 64-66; Report No. 41/00, McKenzie </w:t>
      </w:r>
      <w:r w:rsidRPr="001947BA">
        <w:rPr>
          <w:rFonts w:asciiTheme="majorHAnsi" w:hAnsiTheme="majorHAnsi"/>
          <w:iCs/>
          <w:color w:val="auto"/>
          <w:sz w:val="16"/>
          <w:szCs w:val="16"/>
        </w:rPr>
        <w:t>et al.,</w:t>
      </w:r>
      <w:r w:rsidRPr="001947BA">
        <w:rPr>
          <w:rFonts w:asciiTheme="majorHAnsi" w:hAnsiTheme="majorHAnsi"/>
          <w:color w:val="auto"/>
          <w:sz w:val="16"/>
          <w:szCs w:val="16"/>
        </w:rPr>
        <w:t xml:space="preserve"> Jamaica, IACHR Annual Report 1999, paras. 169-171.</w:t>
      </w:r>
    </w:p>
  </w:footnote>
  <w:footnote w:id="27">
    <w:p w14:paraId="163BC1CC" w14:textId="77777777" w:rsidR="0015306E" w:rsidRPr="001947BA" w:rsidRDefault="0015306E" w:rsidP="00FF49B4">
      <w:pPr>
        <w:autoSpaceDE w:val="0"/>
        <w:autoSpaceDN w:val="0"/>
        <w:adjustRightInd w:val="0"/>
        <w:jc w:val="both"/>
        <w:rPr>
          <w:rFonts w:asciiTheme="majorHAnsi" w:hAnsiTheme="majorHAnsi"/>
          <w:sz w:val="16"/>
          <w:szCs w:val="16"/>
        </w:rPr>
      </w:pPr>
      <w:r w:rsidRPr="001947BA">
        <w:rPr>
          <w:rStyle w:val="FootnoteReference"/>
          <w:rFonts w:asciiTheme="majorHAnsi" w:hAnsiTheme="majorHAnsi"/>
          <w:sz w:val="16"/>
          <w:szCs w:val="16"/>
        </w:rPr>
        <w:footnoteRef/>
      </w:r>
      <w:r w:rsidRPr="001947BA">
        <w:rPr>
          <w:rFonts w:asciiTheme="majorHAnsi" w:hAnsiTheme="majorHAnsi"/>
          <w:sz w:val="16"/>
          <w:szCs w:val="16"/>
        </w:rPr>
        <w:t xml:space="preserve"> IACHR, The death penalty in the Inter-American System of Human Rights: From restrictions to abolition, </w:t>
      </w:r>
      <w:r w:rsidRPr="001947BA">
        <w:rPr>
          <w:rFonts w:asciiTheme="majorHAnsi" w:hAnsiTheme="majorHAnsi" w:cs="Calibri"/>
          <w:sz w:val="16"/>
          <w:szCs w:val="16"/>
        </w:rPr>
        <w:t>OEA/</w:t>
      </w:r>
      <w:proofErr w:type="spellStart"/>
      <w:r w:rsidRPr="001947BA">
        <w:rPr>
          <w:rFonts w:asciiTheme="majorHAnsi" w:hAnsiTheme="majorHAnsi" w:cs="Calibri"/>
          <w:sz w:val="16"/>
          <w:szCs w:val="16"/>
        </w:rPr>
        <w:t>Ser.L</w:t>
      </w:r>
      <w:proofErr w:type="spellEnd"/>
      <w:r w:rsidRPr="001947BA">
        <w:rPr>
          <w:rFonts w:asciiTheme="majorHAnsi" w:hAnsiTheme="majorHAnsi" w:cs="Calibri"/>
          <w:sz w:val="16"/>
          <w:szCs w:val="16"/>
        </w:rPr>
        <w:t xml:space="preserve">/V/II.Doc. 68, December 31, 2011, </w:t>
      </w:r>
      <w:r w:rsidRPr="001947BA">
        <w:rPr>
          <w:rFonts w:asciiTheme="majorHAnsi" w:hAnsiTheme="majorHAnsi"/>
          <w:sz w:val="16"/>
          <w:szCs w:val="16"/>
        </w:rPr>
        <w:t>para. 41.</w:t>
      </w:r>
    </w:p>
  </w:footnote>
  <w:footnote w:id="28">
    <w:p w14:paraId="0D867E63" w14:textId="77777777" w:rsidR="0015306E" w:rsidRPr="001947BA" w:rsidRDefault="0015306E" w:rsidP="00FF49B4">
      <w:pPr>
        <w:autoSpaceDE w:val="0"/>
        <w:autoSpaceDN w:val="0"/>
        <w:adjustRightInd w:val="0"/>
        <w:jc w:val="both"/>
        <w:rPr>
          <w:rFonts w:asciiTheme="majorHAnsi" w:hAnsiTheme="majorHAnsi"/>
          <w:sz w:val="16"/>
          <w:szCs w:val="16"/>
        </w:rPr>
      </w:pPr>
      <w:r w:rsidRPr="001947BA">
        <w:rPr>
          <w:rStyle w:val="FootnoteReference"/>
          <w:rFonts w:asciiTheme="majorHAnsi" w:hAnsiTheme="majorHAnsi"/>
          <w:sz w:val="16"/>
          <w:szCs w:val="16"/>
        </w:rPr>
        <w:footnoteRef/>
      </w:r>
      <w:r w:rsidRPr="001947BA">
        <w:rPr>
          <w:rFonts w:asciiTheme="majorHAnsi" w:hAnsiTheme="majorHAnsi"/>
          <w:sz w:val="16"/>
          <w:szCs w:val="16"/>
        </w:rPr>
        <w:t xml:space="preserve"> IACHR, Report No. 78/07, Case 12.265, Merits (Publication), Chad Roger Goodman, The Bahamas, October 15, 2007, para. 34.</w:t>
      </w:r>
    </w:p>
  </w:footnote>
  <w:footnote w:id="29">
    <w:p w14:paraId="7BAB562E" w14:textId="77777777" w:rsidR="0015306E" w:rsidRPr="001947BA" w:rsidRDefault="0015306E" w:rsidP="00FF49B4">
      <w:pPr>
        <w:pStyle w:val="FootnoteText"/>
        <w:jc w:val="both"/>
        <w:rPr>
          <w:rFonts w:asciiTheme="majorHAnsi" w:hAnsiTheme="majorHAnsi" w:cs="Times New Roman"/>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IACHR, Report No. 44/14, Case 12,873, Report on Merits (Publication), Edgar Tamayo Arias, United States, July 17, 2014, para. 214.</w:t>
      </w:r>
    </w:p>
  </w:footnote>
  <w:footnote w:id="30">
    <w:p w14:paraId="77162815"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w:t>
      </w:r>
      <w:r w:rsidRPr="001947BA">
        <w:rPr>
          <w:rFonts w:asciiTheme="majorHAnsi" w:eastAsia="Arial Unicode MS" w:hAnsiTheme="majorHAnsi" w:cs="Times New Roman"/>
          <w:color w:val="auto"/>
          <w:sz w:val="16"/>
          <w:szCs w:val="16"/>
          <w:lang w:eastAsia="en-US"/>
        </w:rPr>
        <w:t xml:space="preserve">Article XVIII of the American Declaration establishes: </w:t>
      </w:r>
      <w:r w:rsidRPr="001947BA">
        <w:rPr>
          <w:rFonts w:asciiTheme="majorHAnsi" w:hAnsiTheme="majorHAnsi"/>
          <w:color w:val="auto"/>
          <w:sz w:val="16"/>
          <w:szCs w:val="16"/>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31">
    <w:p w14:paraId="280C93C2"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szCs w:val="16"/>
        </w:rPr>
        <w:footnoteRef/>
      </w:r>
      <w:r w:rsidRPr="001947BA">
        <w:rPr>
          <w:rStyle w:val="FootnoteReference"/>
          <w:rFonts w:asciiTheme="majorHAnsi" w:hAnsiTheme="majorHAnsi"/>
          <w:color w:val="auto"/>
          <w:sz w:val="16"/>
          <w:szCs w:val="16"/>
        </w:rPr>
        <w:t xml:space="preserve"> </w:t>
      </w:r>
      <w:r w:rsidRPr="001947BA">
        <w:rPr>
          <w:rFonts w:asciiTheme="majorHAnsi" w:eastAsia="Arial Unicode MS" w:hAnsiTheme="majorHAnsi" w:cs="Times New Roman"/>
          <w:color w:val="auto"/>
          <w:sz w:val="16"/>
          <w:szCs w:val="16"/>
          <w:lang w:eastAsia="en-US"/>
        </w:rPr>
        <w:t xml:space="preserve">Article XXIV of the American Declaration establishes: </w:t>
      </w:r>
      <w:r w:rsidRPr="001947BA">
        <w:rPr>
          <w:rFonts w:asciiTheme="majorHAnsi" w:hAnsiTheme="majorHAnsi"/>
          <w:color w:val="auto"/>
          <w:sz w:val="16"/>
          <w:szCs w:val="16"/>
        </w:rPr>
        <w:t>Every person has the right to submit respectful petitions to any competent authority, for reasons of either general or private interest, and the right to obtain a prompt decision thereon.</w:t>
      </w:r>
    </w:p>
  </w:footnote>
  <w:footnote w:id="32">
    <w:p w14:paraId="058D4323"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w:t>
      </w:r>
      <w:r w:rsidRPr="001947BA">
        <w:rPr>
          <w:rFonts w:asciiTheme="majorHAnsi" w:eastAsia="Arial Unicode MS" w:hAnsiTheme="majorHAnsi" w:cs="Times New Roman"/>
          <w:color w:val="auto"/>
          <w:sz w:val="16"/>
          <w:szCs w:val="16"/>
          <w:lang w:eastAsia="en-US"/>
        </w:rPr>
        <w:t>Article XXVI of the American Declaration establishes:</w:t>
      </w:r>
      <w:r w:rsidRPr="001947BA">
        <w:rPr>
          <w:rStyle w:val="FootnoteReference"/>
          <w:rFonts w:asciiTheme="majorHAnsi" w:hAnsiTheme="majorHAnsi"/>
          <w:color w:val="auto"/>
          <w:sz w:val="16"/>
          <w:szCs w:val="16"/>
        </w:rPr>
        <w:t xml:space="preserve"> </w:t>
      </w:r>
      <w:r w:rsidRPr="001947BA">
        <w:rPr>
          <w:rFonts w:asciiTheme="majorHAnsi" w:hAnsiTheme="majorHAnsi"/>
          <w:color w:val="auto"/>
          <w:sz w:val="16"/>
          <w:szCs w:val="16"/>
        </w:rPr>
        <w:t>Every accused person is presumed to be innocent until proved guilty.</w:t>
      </w:r>
    </w:p>
    <w:p w14:paraId="17553809" w14:textId="77777777" w:rsidR="0015306E" w:rsidRPr="001947BA" w:rsidRDefault="0015306E" w:rsidP="00FF49B4">
      <w:pPr>
        <w:pStyle w:val="FootnoteText"/>
        <w:jc w:val="both"/>
        <w:rPr>
          <w:rFonts w:asciiTheme="majorHAnsi" w:hAnsiTheme="majorHAnsi"/>
          <w:color w:val="auto"/>
          <w:sz w:val="16"/>
        </w:rPr>
      </w:pPr>
      <w:r w:rsidRPr="001947BA">
        <w:rPr>
          <w:rFonts w:asciiTheme="majorHAnsi" w:hAnsiTheme="majorHAnsi"/>
          <w:color w:val="auto"/>
          <w:sz w:val="16"/>
          <w:szCs w:val="16"/>
        </w:rPr>
        <w:t xml:space="preserve">Every person accused of an offense has the right to be given an impartial and public hearing, and to be tried by courts previously established in accordance with pre-existing laws, and not to receive cruel, </w:t>
      </w:r>
      <w:proofErr w:type="gramStart"/>
      <w:r w:rsidRPr="001947BA">
        <w:rPr>
          <w:rFonts w:asciiTheme="majorHAnsi" w:hAnsiTheme="majorHAnsi"/>
          <w:color w:val="auto"/>
          <w:sz w:val="16"/>
          <w:szCs w:val="16"/>
        </w:rPr>
        <w:t>infamous</w:t>
      </w:r>
      <w:proofErr w:type="gramEnd"/>
      <w:r w:rsidRPr="001947BA">
        <w:rPr>
          <w:rFonts w:asciiTheme="majorHAnsi" w:hAnsiTheme="majorHAnsi"/>
          <w:color w:val="auto"/>
          <w:sz w:val="16"/>
          <w:szCs w:val="16"/>
        </w:rPr>
        <w:t xml:space="preserve"> or unusual punishment.</w:t>
      </w:r>
    </w:p>
  </w:footnote>
  <w:footnote w:id="33">
    <w:p w14:paraId="3B536C17"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s="Arial"/>
          <w:color w:val="auto"/>
          <w:sz w:val="16"/>
          <w:szCs w:val="16"/>
        </w:rPr>
        <w:footnoteRef/>
      </w:r>
      <w:r w:rsidRPr="001947BA">
        <w:rPr>
          <w:rFonts w:asciiTheme="majorHAnsi" w:hAnsiTheme="majorHAnsi" w:cs="Arial"/>
          <w:color w:val="auto"/>
          <w:sz w:val="16"/>
          <w:szCs w:val="16"/>
        </w:rPr>
        <w:t xml:space="preserve"> IACHR, </w:t>
      </w:r>
      <w:r w:rsidRPr="001947BA">
        <w:rPr>
          <w:rFonts w:asciiTheme="majorHAnsi" w:hAnsiTheme="majorHAnsi" w:cs="Arial"/>
          <w:bCs/>
          <w:color w:val="auto"/>
          <w:sz w:val="16"/>
          <w:szCs w:val="16"/>
        </w:rPr>
        <w:t>Report No. 90/09</w:t>
      </w:r>
      <w:r w:rsidRPr="001947BA">
        <w:rPr>
          <w:rFonts w:asciiTheme="majorHAnsi" w:hAnsiTheme="majorHAnsi" w:cs="Arial"/>
          <w:color w:val="auto"/>
          <w:sz w:val="16"/>
          <w:szCs w:val="16"/>
        </w:rPr>
        <w:t xml:space="preserve">, Case 12.644, Admissibility and Merits (Publication), Medellín, Ramírez Cardenas and Leal García, United States, August 7, 2009, paras 124-132.  See also, IACHR, </w:t>
      </w:r>
      <w:r w:rsidRPr="001947BA">
        <w:rPr>
          <w:rFonts w:asciiTheme="majorHAnsi" w:hAnsiTheme="majorHAnsi" w:cs="Arial"/>
          <w:color w:val="auto"/>
          <w:sz w:val="16"/>
          <w:szCs w:val="16"/>
          <w:lang w:val="en-GB"/>
        </w:rPr>
        <w:t>Report No. 91/05 (Javier Suarez Medina), United States, Annual Report of the IACHR 2005; Report No. 1/05 (Roberto Moreno Ramos), United States, Annual Report of the IACHR 2005; and Report 52/02, Case 11.753 (Ramón Martinez Villarreal), United States, Annual Report of the IACHR 2002.</w:t>
      </w:r>
    </w:p>
  </w:footnote>
  <w:footnote w:id="34">
    <w:p w14:paraId="0A667863" w14:textId="77777777" w:rsidR="0015306E" w:rsidRPr="003339C8" w:rsidRDefault="0015306E" w:rsidP="00FF49B4">
      <w:pPr>
        <w:jc w:val="both"/>
        <w:rPr>
          <w:rFonts w:ascii="Tahoma" w:eastAsia="Times New Roman" w:hAnsi="Tahoma" w:cs="Tahoma"/>
          <w:color w:val="000000"/>
          <w:sz w:val="20"/>
          <w:szCs w:val="20"/>
        </w:rPr>
      </w:pPr>
      <w:r w:rsidRPr="00FC3C01">
        <w:rPr>
          <w:rStyle w:val="FootnoteReference"/>
          <w:rFonts w:ascii="Cambria" w:eastAsia="Calibri" w:hAnsi="Cambria" w:cs="Arial"/>
          <w:color w:val="000000"/>
          <w:sz w:val="16"/>
          <w:szCs w:val="16"/>
          <w:u w:color="000000"/>
          <w:lang w:eastAsia="es-ES"/>
        </w:rPr>
        <w:footnoteRef/>
      </w:r>
      <w:r w:rsidRPr="00FC3C01">
        <w:rPr>
          <w:rStyle w:val="FootnoteReference"/>
          <w:rFonts w:ascii="Cambria" w:eastAsia="Calibri" w:hAnsi="Cambria" w:cs="Arial"/>
          <w:color w:val="000000"/>
          <w:sz w:val="16"/>
          <w:szCs w:val="16"/>
          <w:u w:color="000000"/>
          <w:lang w:eastAsia="es-ES"/>
        </w:rPr>
        <w:t xml:space="preserve"> </w:t>
      </w:r>
      <w:r w:rsidRPr="00FC3C01">
        <w:rPr>
          <w:rFonts w:ascii="Cambria" w:eastAsia="Calibri" w:hAnsi="Cambria" w:cs="Arial"/>
          <w:bCs/>
          <w:sz w:val="16"/>
          <w:szCs w:val="16"/>
          <w:u w:color="000000"/>
          <w:lang w:val="en-GB" w:eastAsia="es-ES"/>
        </w:rPr>
        <w:t>I/A Court H.R., The Right to Information on Consular Assistance in the Framework of the Guarantees of the due Process of Law. Advisory Opinion OC-16/99 of October 1, 1999. Series A No.16, para. 81.</w:t>
      </w:r>
    </w:p>
  </w:footnote>
  <w:footnote w:id="35">
    <w:p w14:paraId="18253320"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s="Arial"/>
          <w:color w:val="auto"/>
          <w:sz w:val="16"/>
          <w:szCs w:val="16"/>
        </w:rPr>
        <w:footnoteRef/>
      </w:r>
      <w:r w:rsidRPr="001947BA">
        <w:rPr>
          <w:rFonts w:asciiTheme="majorHAnsi" w:hAnsiTheme="majorHAnsi" w:cs="Arial"/>
          <w:color w:val="auto"/>
          <w:sz w:val="16"/>
          <w:szCs w:val="16"/>
        </w:rPr>
        <w:t xml:space="preserve"> American Bar Association, </w:t>
      </w:r>
      <w:r w:rsidRPr="001947BA">
        <w:rPr>
          <w:rFonts w:asciiTheme="majorHAnsi" w:hAnsiTheme="majorHAnsi" w:cs="Arial"/>
          <w:i/>
          <w:iCs/>
          <w:color w:val="auto"/>
          <w:sz w:val="16"/>
          <w:szCs w:val="16"/>
        </w:rPr>
        <w:t>Guidelines for the Appointment and Performance of Defense Counsel in Death Penalty Cases</w:t>
      </w:r>
      <w:r w:rsidRPr="001947BA">
        <w:rPr>
          <w:rFonts w:asciiTheme="majorHAnsi" w:hAnsiTheme="majorHAnsi" w:cs="Arial"/>
          <w:color w:val="auto"/>
          <w:sz w:val="16"/>
          <w:szCs w:val="16"/>
        </w:rPr>
        <w:t xml:space="preserve"> (Revised Edition) (February 2003), Guideline 10.6B “Additional Obligations of Counsel Representing a Foreign National.”</w:t>
      </w:r>
    </w:p>
  </w:footnote>
  <w:footnote w:id="36">
    <w:p w14:paraId="66271F33" w14:textId="77777777" w:rsidR="0015306E"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IACHR, Report No. 90/09. Case 12.644. Admissibility and Merits. </w:t>
      </w:r>
      <w:proofErr w:type="spellStart"/>
      <w:r w:rsidRPr="001947BA">
        <w:rPr>
          <w:rFonts w:asciiTheme="majorHAnsi" w:eastAsiaTheme="minorHAnsi" w:hAnsiTheme="majorHAnsi"/>
          <w:color w:val="auto"/>
          <w:sz w:val="16"/>
          <w:szCs w:val="20"/>
          <w:bdr w:val="none" w:sz="0" w:space="0" w:color="auto"/>
        </w:rPr>
        <w:t>Medellín</w:t>
      </w:r>
      <w:proofErr w:type="spellEnd"/>
      <w:r w:rsidRPr="001947BA">
        <w:rPr>
          <w:rFonts w:asciiTheme="majorHAnsi" w:eastAsiaTheme="minorHAnsi" w:hAnsiTheme="majorHAnsi"/>
          <w:color w:val="auto"/>
          <w:sz w:val="16"/>
          <w:szCs w:val="20"/>
          <w:bdr w:val="none" w:sz="0" w:space="0" w:color="auto"/>
        </w:rPr>
        <w:t xml:space="preserve">, </w:t>
      </w:r>
      <w:proofErr w:type="spellStart"/>
      <w:r w:rsidRPr="001947BA">
        <w:rPr>
          <w:rFonts w:asciiTheme="majorHAnsi" w:eastAsiaTheme="minorHAnsi" w:hAnsiTheme="majorHAnsi"/>
          <w:color w:val="auto"/>
          <w:sz w:val="16"/>
          <w:szCs w:val="20"/>
          <w:bdr w:val="none" w:sz="0" w:space="0" w:color="auto"/>
        </w:rPr>
        <w:t>Ramírez</w:t>
      </w:r>
      <w:proofErr w:type="spellEnd"/>
      <w:r w:rsidRPr="001947BA">
        <w:rPr>
          <w:rFonts w:asciiTheme="majorHAnsi" w:eastAsiaTheme="minorHAnsi" w:hAnsiTheme="majorHAnsi"/>
          <w:color w:val="auto"/>
          <w:sz w:val="16"/>
          <w:szCs w:val="20"/>
          <w:bdr w:val="none" w:sz="0" w:space="0" w:color="auto"/>
        </w:rPr>
        <w:t xml:space="preserve"> Cardenas </w:t>
      </w:r>
      <w:proofErr w:type="gramStart"/>
      <w:r w:rsidRPr="001947BA">
        <w:rPr>
          <w:rFonts w:asciiTheme="majorHAnsi" w:eastAsiaTheme="minorHAnsi" w:hAnsiTheme="majorHAnsi"/>
          <w:color w:val="auto"/>
          <w:sz w:val="16"/>
          <w:szCs w:val="20"/>
          <w:bdr w:val="none" w:sz="0" w:space="0" w:color="auto"/>
        </w:rPr>
        <w:t>And</w:t>
      </w:r>
      <w:proofErr w:type="gramEnd"/>
      <w:r w:rsidRPr="001947BA">
        <w:rPr>
          <w:rFonts w:asciiTheme="majorHAnsi" w:eastAsiaTheme="minorHAnsi" w:hAnsiTheme="majorHAnsi"/>
          <w:color w:val="auto"/>
          <w:sz w:val="16"/>
          <w:szCs w:val="20"/>
          <w:bdr w:val="none" w:sz="0" w:space="0" w:color="auto"/>
        </w:rPr>
        <w:t xml:space="preserve"> Leal </w:t>
      </w:r>
      <w:proofErr w:type="spellStart"/>
      <w:r w:rsidRPr="001947BA">
        <w:rPr>
          <w:rFonts w:asciiTheme="majorHAnsi" w:eastAsiaTheme="minorHAnsi" w:hAnsiTheme="majorHAnsi"/>
          <w:color w:val="auto"/>
          <w:sz w:val="16"/>
          <w:szCs w:val="20"/>
          <w:bdr w:val="none" w:sz="0" w:space="0" w:color="auto"/>
        </w:rPr>
        <w:t>García</w:t>
      </w:r>
      <w:proofErr w:type="spellEnd"/>
      <w:r w:rsidRPr="001947BA">
        <w:rPr>
          <w:rFonts w:asciiTheme="majorHAnsi" w:hAnsiTheme="majorHAnsi"/>
          <w:color w:val="auto"/>
          <w:sz w:val="16"/>
        </w:rPr>
        <w:t>. United States of America. August 7, 2009.</w:t>
      </w:r>
    </w:p>
  </w:footnote>
  <w:footnote w:id="37">
    <w:p w14:paraId="05E4D9CC" w14:textId="77777777" w:rsidR="0015306E"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eastAsiaTheme="minorHAnsi" w:hAnsiTheme="majorHAnsi"/>
          <w:color w:val="auto"/>
          <w:sz w:val="16"/>
          <w:szCs w:val="16"/>
          <w:bdr w:val="none" w:sz="0" w:space="0" w:color="auto"/>
        </w:rPr>
        <w:t xml:space="preserve">IACHR, Case No 12.023 (Desmond McKenzie </w:t>
      </w:r>
      <w:r w:rsidRPr="001947BA">
        <w:rPr>
          <w:rFonts w:asciiTheme="majorHAnsi" w:eastAsiaTheme="minorHAnsi" w:hAnsiTheme="majorHAnsi"/>
          <w:i/>
          <w:iCs/>
          <w:color w:val="auto"/>
          <w:sz w:val="16"/>
          <w:szCs w:val="16"/>
          <w:bdr w:val="none" w:sz="0" w:space="0" w:color="auto"/>
        </w:rPr>
        <w:t>et al.</w:t>
      </w:r>
      <w:r w:rsidRPr="001947BA">
        <w:rPr>
          <w:rFonts w:asciiTheme="majorHAnsi" w:eastAsiaTheme="minorHAnsi" w:hAnsiTheme="majorHAnsi"/>
          <w:color w:val="auto"/>
          <w:sz w:val="16"/>
          <w:szCs w:val="16"/>
          <w:bdr w:val="none" w:sz="0" w:space="0" w:color="auto"/>
        </w:rPr>
        <w:t xml:space="preserve">), Jamaica, Annual Report of the IACHR 1999, para. 228; Case No 12.067 (Michael Edwards </w:t>
      </w:r>
      <w:r w:rsidRPr="001947BA">
        <w:rPr>
          <w:rFonts w:asciiTheme="majorHAnsi" w:eastAsiaTheme="minorHAnsi" w:hAnsiTheme="majorHAnsi"/>
          <w:i/>
          <w:iCs/>
          <w:color w:val="auto"/>
          <w:sz w:val="16"/>
          <w:szCs w:val="16"/>
          <w:bdr w:val="none" w:sz="0" w:space="0" w:color="auto"/>
        </w:rPr>
        <w:t>et al.</w:t>
      </w:r>
      <w:r w:rsidRPr="001947BA">
        <w:rPr>
          <w:rFonts w:asciiTheme="majorHAnsi" w:eastAsiaTheme="minorHAnsi" w:hAnsiTheme="majorHAnsi"/>
          <w:color w:val="auto"/>
          <w:sz w:val="16"/>
          <w:szCs w:val="16"/>
          <w:bdr w:val="none" w:sz="0" w:space="0" w:color="auto"/>
        </w:rPr>
        <w:t xml:space="preserve">), The Bahamas, Annual Report of the IACHR 2000, para. 170. </w:t>
      </w:r>
    </w:p>
  </w:footnote>
  <w:footnote w:id="38">
    <w:p w14:paraId="37841AA9" w14:textId="77777777" w:rsidR="0015306E"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eastAsiaTheme="minorHAnsi" w:hAnsiTheme="majorHAnsi"/>
          <w:color w:val="auto"/>
          <w:sz w:val="16"/>
          <w:szCs w:val="16"/>
          <w:bdr w:val="none" w:sz="0" w:space="0" w:color="auto"/>
        </w:rPr>
        <w:t xml:space="preserve">IACHR, Case No 12.023 (Desmond McKenzie </w:t>
      </w:r>
      <w:r w:rsidRPr="001947BA">
        <w:rPr>
          <w:rFonts w:asciiTheme="majorHAnsi" w:eastAsiaTheme="minorHAnsi" w:hAnsiTheme="majorHAnsi"/>
          <w:i/>
          <w:iCs/>
          <w:color w:val="auto"/>
          <w:sz w:val="16"/>
          <w:szCs w:val="16"/>
          <w:bdr w:val="none" w:sz="0" w:space="0" w:color="auto"/>
        </w:rPr>
        <w:t>et al.</w:t>
      </w:r>
      <w:r w:rsidRPr="001947BA">
        <w:rPr>
          <w:rFonts w:asciiTheme="majorHAnsi" w:eastAsiaTheme="minorHAnsi" w:hAnsiTheme="majorHAnsi"/>
          <w:color w:val="auto"/>
          <w:sz w:val="16"/>
          <w:szCs w:val="16"/>
          <w:bdr w:val="none" w:sz="0" w:space="0" w:color="auto"/>
        </w:rPr>
        <w:t xml:space="preserve">), Jamaica, Annual Report of the IACHR 1999, para. 228; Case No 12.067 (Michael Edwards </w:t>
      </w:r>
      <w:r w:rsidRPr="001947BA">
        <w:rPr>
          <w:rFonts w:asciiTheme="majorHAnsi" w:eastAsiaTheme="minorHAnsi" w:hAnsiTheme="majorHAnsi"/>
          <w:i/>
          <w:iCs/>
          <w:color w:val="auto"/>
          <w:sz w:val="16"/>
          <w:szCs w:val="16"/>
          <w:bdr w:val="none" w:sz="0" w:space="0" w:color="auto"/>
        </w:rPr>
        <w:t>et al.</w:t>
      </w:r>
      <w:r w:rsidRPr="001947BA">
        <w:rPr>
          <w:rFonts w:asciiTheme="majorHAnsi" w:eastAsiaTheme="minorHAnsi" w:hAnsiTheme="majorHAnsi"/>
          <w:color w:val="auto"/>
          <w:sz w:val="16"/>
          <w:szCs w:val="16"/>
          <w:bdr w:val="none" w:sz="0" w:space="0" w:color="auto"/>
        </w:rPr>
        <w:t xml:space="preserve">), The Bahamas, Annual Report of the IACHR 2000, para. 170. </w:t>
      </w:r>
    </w:p>
  </w:footnote>
  <w:footnote w:id="39">
    <w:p w14:paraId="61FF9E08" w14:textId="77777777" w:rsidR="0015306E" w:rsidRPr="001947BA" w:rsidRDefault="0015306E" w:rsidP="00FF49B4">
      <w:pPr>
        <w:pStyle w:val="NormalWeb"/>
        <w:spacing w:before="0" w:beforeAutospacing="0" w:after="0" w:afterAutospacing="0"/>
        <w:jc w:val="both"/>
        <w:rPr>
          <w:rFonts w:asciiTheme="majorHAnsi" w:eastAsiaTheme="minorHAnsi" w:hAnsiTheme="majorHAnsi"/>
          <w:sz w:val="16"/>
          <w:szCs w:val="20"/>
        </w:rPr>
      </w:pPr>
      <w:r w:rsidRPr="001947BA">
        <w:rPr>
          <w:rStyle w:val="FootnoteReference"/>
          <w:rFonts w:asciiTheme="majorHAnsi" w:hAnsiTheme="majorHAnsi"/>
          <w:sz w:val="16"/>
        </w:rPr>
        <w:footnoteRef/>
      </w:r>
      <w:r w:rsidRPr="001947BA">
        <w:rPr>
          <w:rFonts w:asciiTheme="majorHAnsi" w:hAnsiTheme="majorHAnsi"/>
          <w:sz w:val="16"/>
        </w:rPr>
        <w:t xml:space="preserve"> </w:t>
      </w:r>
      <w:r w:rsidRPr="001947BA">
        <w:rPr>
          <w:rFonts w:asciiTheme="majorHAnsi" w:eastAsiaTheme="minorHAnsi" w:hAnsiTheme="majorHAnsi"/>
          <w:sz w:val="16"/>
          <w:szCs w:val="18"/>
        </w:rPr>
        <w:t xml:space="preserve">IACHR, Report No. 12.231, Case 12.231. Merits (Publication). Peter Cash. Commonwealth of the Bahamas. April 2, 2014. </w:t>
      </w:r>
    </w:p>
  </w:footnote>
  <w:footnote w:id="40">
    <w:p w14:paraId="265E948A" w14:textId="77777777" w:rsidR="0015306E" w:rsidRPr="00EF1C1F" w:rsidRDefault="0015306E" w:rsidP="00EF1C1F">
      <w:pPr>
        <w:pStyle w:val="FootnoteText"/>
        <w:jc w:val="both"/>
        <w:rPr>
          <w:rFonts w:ascii="Cambria" w:hAnsi="Cambria"/>
          <w:sz w:val="16"/>
          <w:szCs w:val="16"/>
        </w:rPr>
      </w:pPr>
      <w:r w:rsidRPr="00EF1C1F">
        <w:rPr>
          <w:rStyle w:val="FootnoteReference"/>
          <w:rFonts w:ascii="Cambria" w:hAnsi="Cambria"/>
          <w:sz w:val="16"/>
          <w:szCs w:val="16"/>
        </w:rPr>
        <w:footnoteRef/>
      </w:r>
      <w:r w:rsidRPr="00EF1C1F">
        <w:rPr>
          <w:rFonts w:ascii="Cambria" w:hAnsi="Cambria"/>
          <w:sz w:val="16"/>
          <w:szCs w:val="16"/>
        </w:rPr>
        <w:t xml:space="preserve"> I/A Court H.R., Case of Fermín Ramírez v. Guatemala. Merits, Reparations and Costs. Judgment of June 20, 2005. Series C No. 126, para</w:t>
      </w:r>
      <w:r>
        <w:rPr>
          <w:rFonts w:ascii="Cambria" w:hAnsi="Cambria"/>
          <w:sz w:val="16"/>
          <w:szCs w:val="16"/>
        </w:rPr>
        <w:t>.</w:t>
      </w:r>
      <w:r w:rsidRPr="00EF1C1F">
        <w:rPr>
          <w:rFonts w:ascii="Cambria" w:hAnsi="Cambria"/>
          <w:sz w:val="16"/>
          <w:szCs w:val="16"/>
        </w:rPr>
        <w:t xml:space="preserve"> 109.</w:t>
      </w:r>
    </w:p>
  </w:footnote>
  <w:footnote w:id="41">
    <w:p w14:paraId="157540BC" w14:textId="77777777" w:rsidR="0015306E" w:rsidRPr="00EF1C1F" w:rsidRDefault="0015306E" w:rsidP="00EF1C1F">
      <w:pPr>
        <w:pStyle w:val="FootnoteText"/>
        <w:jc w:val="both"/>
        <w:rPr>
          <w:rFonts w:ascii="Cambria" w:hAnsi="Cambria"/>
          <w:sz w:val="16"/>
          <w:szCs w:val="16"/>
        </w:rPr>
      </w:pPr>
      <w:r w:rsidRPr="00EF1C1F">
        <w:rPr>
          <w:rStyle w:val="FootnoteReference"/>
          <w:rFonts w:ascii="Cambria" w:hAnsi="Cambria"/>
          <w:sz w:val="16"/>
          <w:szCs w:val="16"/>
        </w:rPr>
        <w:footnoteRef/>
      </w:r>
      <w:r w:rsidRPr="00EF1C1F">
        <w:rPr>
          <w:rFonts w:ascii="Cambria" w:hAnsi="Cambria"/>
          <w:sz w:val="16"/>
          <w:szCs w:val="16"/>
        </w:rPr>
        <w:t xml:space="preserve"> I/A Court H.R., Case of Hilaire, </w:t>
      </w:r>
      <w:proofErr w:type="gramStart"/>
      <w:r w:rsidRPr="00EF1C1F">
        <w:rPr>
          <w:rFonts w:ascii="Cambria" w:hAnsi="Cambria"/>
          <w:sz w:val="16"/>
          <w:szCs w:val="16"/>
        </w:rPr>
        <w:t>Constantine</w:t>
      </w:r>
      <w:proofErr w:type="gramEnd"/>
      <w:r w:rsidRPr="00EF1C1F">
        <w:rPr>
          <w:rFonts w:ascii="Cambria" w:hAnsi="Cambria"/>
          <w:sz w:val="16"/>
          <w:szCs w:val="16"/>
        </w:rPr>
        <w:t xml:space="preserve"> and Benjamin et al. v. Trinidad and Tobago. Merits, Reparations and Costs. Judgment of June 21, 2002. Series C No. 94, para. 188.</w:t>
      </w:r>
    </w:p>
  </w:footnote>
  <w:footnote w:id="42">
    <w:p w14:paraId="4E413487" w14:textId="77777777" w:rsidR="0015306E" w:rsidRDefault="0015306E" w:rsidP="00EF1C1F">
      <w:pPr>
        <w:pStyle w:val="FootnoteText"/>
        <w:jc w:val="both"/>
      </w:pPr>
      <w:r w:rsidRPr="00EF1C1F">
        <w:rPr>
          <w:rStyle w:val="FootnoteReference"/>
          <w:rFonts w:ascii="Cambria" w:hAnsi="Cambria"/>
          <w:sz w:val="16"/>
          <w:szCs w:val="16"/>
        </w:rPr>
        <w:footnoteRef/>
      </w:r>
      <w:r w:rsidRPr="00EF1C1F">
        <w:rPr>
          <w:rFonts w:ascii="Cambria" w:hAnsi="Cambria"/>
          <w:sz w:val="16"/>
          <w:szCs w:val="16"/>
        </w:rPr>
        <w:t xml:space="preserve"> UN Human Rights Committee (HRC), </w:t>
      </w:r>
      <w:r w:rsidRPr="00EF1C1F">
        <w:rPr>
          <w:rFonts w:ascii="Cambria" w:hAnsi="Cambria"/>
          <w:i/>
          <w:iCs/>
          <w:sz w:val="16"/>
          <w:szCs w:val="16"/>
        </w:rPr>
        <w:t>UN Human Rights Committee: Concluding Observations: Guatemala</w:t>
      </w:r>
      <w:r w:rsidRPr="00EF1C1F">
        <w:rPr>
          <w:rFonts w:ascii="Cambria" w:hAnsi="Cambria"/>
          <w:sz w:val="16"/>
          <w:szCs w:val="16"/>
        </w:rPr>
        <w:t>, 27 August 2001, CCPR/CO/72/GTM, para. 18.</w:t>
      </w:r>
    </w:p>
  </w:footnote>
  <w:footnote w:id="43">
    <w:p w14:paraId="3688FCC7"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Style w:val="FootnoteReference"/>
          <w:rFonts w:asciiTheme="majorHAnsi" w:hAnsiTheme="majorHAnsi"/>
          <w:color w:val="auto"/>
          <w:sz w:val="16"/>
          <w:szCs w:val="16"/>
        </w:rPr>
        <w:t xml:space="preserve"> </w:t>
      </w:r>
      <w:r w:rsidRPr="001947BA">
        <w:rPr>
          <w:rFonts w:asciiTheme="majorHAnsi" w:hAnsiTheme="majorHAnsi"/>
          <w:color w:val="auto"/>
          <w:sz w:val="16"/>
          <w:szCs w:val="16"/>
        </w:rPr>
        <w:t>Article XI of the American Declaration provides: “The right to the preservation of health and well-being – every person has the right to the preservation of his health through sanitary and social measures relating to food, clothing, housing and medical care, to the extent permitted by public and community resources.”</w:t>
      </w:r>
    </w:p>
  </w:footnote>
  <w:footnote w:id="44">
    <w:p w14:paraId="4056410C"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Style w:val="FootnoteReference"/>
          <w:rFonts w:asciiTheme="majorHAnsi" w:hAnsiTheme="majorHAnsi"/>
          <w:color w:val="auto"/>
          <w:sz w:val="16"/>
          <w:szCs w:val="16"/>
        </w:rPr>
        <w:t xml:space="preserve"> </w:t>
      </w:r>
      <w:r w:rsidRPr="001947BA">
        <w:rPr>
          <w:rFonts w:asciiTheme="majorHAnsi" w:hAnsiTheme="majorHAnsi"/>
          <w:color w:val="auto"/>
          <w:sz w:val="16"/>
          <w:szCs w:val="16"/>
        </w:rPr>
        <w:t xml:space="preserve">IACHR, Report No. 71/18, Case 12.958. Merits. Russell </w:t>
      </w:r>
      <w:proofErr w:type="spellStart"/>
      <w:r w:rsidRPr="001947BA">
        <w:rPr>
          <w:rFonts w:asciiTheme="majorHAnsi" w:hAnsiTheme="majorHAnsi"/>
          <w:color w:val="auto"/>
          <w:sz w:val="16"/>
          <w:szCs w:val="16"/>
        </w:rPr>
        <w:t>Bucklew</w:t>
      </w:r>
      <w:proofErr w:type="spellEnd"/>
      <w:r w:rsidRPr="001947BA">
        <w:rPr>
          <w:rFonts w:asciiTheme="majorHAnsi" w:hAnsiTheme="majorHAnsi"/>
          <w:color w:val="auto"/>
          <w:sz w:val="16"/>
          <w:szCs w:val="16"/>
        </w:rPr>
        <w:t xml:space="preserve">. United States, May 10, 2018, paras. 86-90. In this report the Commission has cited </w:t>
      </w:r>
      <w:proofErr w:type="gramStart"/>
      <w:r w:rsidRPr="001947BA">
        <w:rPr>
          <w:rFonts w:asciiTheme="majorHAnsi" w:hAnsiTheme="majorHAnsi"/>
          <w:color w:val="auto"/>
          <w:sz w:val="16"/>
          <w:szCs w:val="16"/>
        </w:rPr>
        <w:t>a number of</w:t>
      </w:r>
      <w:proofErr w:type="gramEnd"/>
      <w:r w:rsidRPr="001947BA">
        <w:rPr>
          <w:rFonts w:asciiTheme="majorHAnsi" w:hAnsiTheme="majorHAnsi"/>
          <w:color w:val="auto"/>
          <w:sz w:val="16"/>
          <w:szCs w:val="16"/>
        </w:rPr>
        <w:t xml:space="preserve"> developments in the inter-American and other protections systems, including the regional and United Nations systems.</w:t>
      </w:r>
    </w:p>
  </w:footnote>
  <w:footnote w:id="45">
    <w:p w14:paraId="480A52A2" w14:textId="77777777" w:rsidR="0015306E" w:rsidRPr="001947BA" w:rsidRDefault="0015306E" w:rsidP="00FF49B4">
      <w:pPr>
        <w:pStyle w:val="FootnoteText"/>
        <w:tabs>
          <w:tab w:val="right" w:pos="0"/>
          <w:tab w:val="left" w:pos="180"/>
          <w:tab w:val="left" w:pos="900"/>
        </w:tabs>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United Nations. Report of the Special Rapporteur on torture and other cruel, </w:t>
      </w:r>
      <w:proofErr w:type="gramStart"/>
      <w:r w:rsidRPr="001947BA">
        <w:rPr>
          <w:rFonts w:asciiTheme="majorHAnsi" w:hAnsiTheme="majorHAnsi"/>
          <w:color w:val="auto"/>
          <w:sz w:val="16"/>
          <w:szCs w:val="16"/>
        </w:rPr>
        <w:t>inhuman</w:t>
      </w:r>
      <w:proofErr w:type="gramEnd"/>
      <w:r w:rsidRPr="001947BA">
        <w:rPr>
          <w:rFonts w:asciiTheme="majorHAnsi" w:hAnsiTheme="majorHAnsi"/>
          <w:color w:val="auto"/>
          <w:sz w:val="16"/>
          <w:szCs w:val="16"/>
        </w:rPr>
        <w:t xml:space="preserve"> or degrading treatment of punishment.  9 August 2012. A/67/279, para 42. Citing: Patrick Hudson, “Does the death row phenomenon violate a prisoner’s rights under international law?”, </w:t>
      </w:r>
      <w:r w:rsidRPr="001947BA">
        <w:rPr>
          <w:rFonts w:asciiTheme="majorHAnsi" w:hAnsiTheme="majorHAnsi"/>
          <w:i/>
          <w:color w:val="auto"/>
          <w:sz w:val="16"/>
          <w:szCs w:val="16"/>
        </w:rPr>
        <w:t>European Journal of International Law</w:t>
      </w:r>
      <w:r w:rsidRPr="001947BA">
        <w:rPr>
          <w:rFonts w:asciiTheme="majorHAnsi" w:hAnsiTheme="majorHAnsi"/>
          <w:color w:val="auto"/>
          <w:sz w:val="16"/>
          <w:szCs w:val="16"/>
        </w:rPr>
        <w:t>, vol. 11, No. 4 (2000), pp. 834-837.</w:t>
      </w:r>
    </w:p>
  </w:footnote>
  <w:footnote w:id="46">
    <w:p w14:paraId="4F10F28F" w14:textId="77777777" w:rsidR="0015306E" w:rsidRPr="001947BA" w:rsidRDefault="0015306E" w:rsidP="00FF49B4">
      <w:pPr>
        <w:pStyle w:val="FootnoteText"/>
        <w:jc w:val="both"/>
        <w:rPr>
          <w:rFonts w:asciiTheme="majorHAnsi" w:hAnsiTheme="majorHAnsi"/>
          <w:color w:val="auto"/>
          <w:sz w:val="16"/>
          <w:szCs w:val="16"/>
          <w:highlight w:val="yellow"/>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United Nations. Report of the Special Rapporteur on torture and other cruel, </w:t>
      </w:r>
      <w:proofErr w:type="gramStart"/>
      <w:r w:rsidRPr="001947BA">
        <w:rPr>
          <w:rFonts w:asciiTheme="majorHAnsi" w:hAnsiTheme="majorHAnsi"/>
          <w:color w:val="auto"/>
          <w:sz w:val="16"/>
          <w:szCs w:val="16"/>
        </w:rPr>
        <w:t>inhuman</w:t>
      </w:r>
      <w:proofErr w:type="gramEnd"/>
      <w:r w:rsidRPr="001947BA">
        <w:rPr>
          <w:rFonts w:asciiTheme="majorHAnsi" w:hAnsiTheme="majorHAnsi"/>
          <w:color w:val="auto"/>
          <w:sz w:val="16"/>
          <w:szCs w:val="16"/>
        </w:rPr>
        <w:t xml:space="preserve"> or degrading treatment of punishment.  9 August 2012. A/67/279. para 42.</w:t>
      </w:r>
    </w:p>
  </w:footnote>
  <w:footnote w:id="47">
    <w:p w14:paraId="58362C64" w14:textId="77777777" w:rsidR="0015306E" w:rsidRPr="001947BA" w:rsidRDefault="0015306E" w:rsidP="00FF49B4">
      <w:pPr>
        <w:pStyle w:val="FootnoteText"/>
        <w:tabs>
          <w:tab w:val="right" w:pos="540"/>
          <w:tab w:val="left" w:pos="900"/>
        </w:tabs>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ECtHR. Case of Soering v. The United Kingdom. Report No. 14038/88. Judgment, July 7, 1989. para. 104.</w:t>
      </w:r>
    </w:p>
  </w:footnote>
  <w:footnote w:id="48">
    <w:p w14:paraId="3151ED5E"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European Court of Human Rights, Soering v. United Kingdom. Judgment of July 7, 1989. Series </w:t>
      </w:r>
      <w:proofErr w:type="gramStart"/>
      <w:r w:rsidRPr="001947BA">
        <w:rPr>
          <w:rFonts w:asciiTheme="majorHAnsi" w:hAnsiTheme="majorHAnsi"/>
          <w:color w:val="auto"/>
          <w:sz w:val="16"/>
          <w:szCs w:val="16"/>
        </w:rPr>
        <w:t>A,  Vol.</w:t>
      </w:r>
      <w:proofErr w:type="gramEnd"/>
      <w:r w:rsidRPr="001947BA">
        <w:rPr>
          <w:rFonts w:asciiTheme="majorHAnsi" w:hAnsiTheme="majorHAnsi"/>
          <w:color w:val="auto"/>
          <w:sz w:val="16"/>
          <w:szCs w:val="16"/>
        </w:rPr>
        <w:t> 161. Likewise, the Supreme Court of the United States of America recognised in Furman v. Georgia that </w:t>
      </w:r>
      <w:proofErr w:type="gramStart"/>
      <w:r w:rsidRPr="001947BA">
        <w:rPr>
          <w:rFonts w:asciiTheme="majorHAnsi" w:hAnsiTheme="majorHAnsi"/>
          <w:color w:val="auto"/>
          <w:sz w:val="16"/>
          <w:szCs w:val="16"/>
        </w:rPr>
        <w:t>the  time</w:t>
      </w:r>
      <w:proofErr w:type="gramEnd"/>
      <w:r w:rsidRPr="001947BA">
        <w:rPr>
          <w:rFonts w:asciiTheme="majorHAnsi" w:hAnsiTheme="majorHAnsi"/>
          <w:color w:val="auto"/>
          <w:sz w:val="16"/>
          <w:szCs w:val="16"/>
        </w:rPr>
        <w:t> spent awaiting the execution of a death sentence destroys the human spirit and constitutes psychological torture that often leads to insanity. Cf. Furman v. Georgia, 408 U.S. 238, 287‐288 (197).</w:t>
      </w:r>
      <w:r w:rsidRPr="001947BA">
        <w:rPr>
          <w:rFonts w:asciiTheme="majorHAnsi" w:hAnsiTheme="majorHAnsi"/>
          <w:color w:val="auto"/>
          <w:sz w:val="16"/>
        </w:rPr>
        <w:t> </w:t>
      </w:r>
    </w:p>
  </w:footnote>
  <w:footnote w:id="49">
    <w:p w14:paraId="2F0BFE59" w14:textId="77777777" w:rsidR="0015306E" w:rsidRPr="001947BA" w:rsidRDefault="0015306E" w:rsidP="00FF49B4">
      <w:pPr>
        <w:pStyle w:val="FootnoteText"/>
        <w:tabs>
          <w:tab w:val="right" w:pos="540"/>
          <w:tab w:val="left" w:pos="900"/>
        </w:tabs>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ECtHR. Case of Soering v. The United Kingdom. Report No. 14038/88. Judgment, July 7, 1989. para. 106.</w:t>
      </w:r>
    </w:p>
  </w:footnote>
  <w:footnote w:id="50">
    <w:p w14:paraId="7A2975F1" w14:textId="77777777" w:rsidR="0015306E" w:rsidRPr="001947BA" w:rsidRDefault="0015306E" w:rsidP="00FF49B4">
      <w:pPr>
        <w:pStyle w:val="FootnoteText"/>
        <w:tabs>
          <w:tab w:val="right" w:pos="540"/>
          <w:tab w:val="left" w:pos="900"/>
        </w:tabs>
        <w:jc w:val="both"/>
        <w:rPr>
          <w:rFonts w:asciiTheme="majorHAnsi" w:hAnsiTheme="majorHAnsi"/>
          <w:color w:val="auto"/>
          <w:sz w:val="16"/>
          <w:szCs w:val="16"/>
          <w:highlight w:val="yellow"/>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ECtHR. Case of Soering v. The United Kingdom. Report No. 14038/88. Judgment, July 7, 1989. para. 111.</w:t>
      </w:r>
    </w:p>
  </w:footnote>
  <w:footnote w:id="51">
    <w:p w14:paraId="239EA80C" w14:textId="77777777" w:rsidR="0015306E" w:rsidRDefault="0015306E" w:rsidP="00FF49B4">
      <w:pPr>
        <w:widowControl w:val="0"/>
        <w:autoSpaceDE w:val="0"/>
        <w:autoSpaceDN w:val="0"/>
        <w:adjustRightInd w:val="0"/>
        <w:jc w:val="both"/>
        <w:rPr>
          <w:rFonts w:asciiTheme="majorHAnsi" w:hAnsiTheme="majorHAnsi" w:cs="Arial"/>
          <w:bCs/>
          <w:sz w:val="16"/>
          <w:szCs w:val="16"/>
        </w:rPr>
      </w:pPr>
      <w:r w:rsidRPr="001947BA">
        <w:rPr>
          <w:rStyle w:val="FootnoteReference"/>
          <w:rFonts w:asciiTheme="majorHAnsi" w:hAnsiTheme="majorHAnsi"/>
          <w:sz w:val="16"/>
          <w:szCs w:val="16"/>
        </w:rPr>
        <w:footnoteRef/>
      </w:r>
      <w:r w:rsidRPr="001947BA">
        <w:rPr>
          <w:rFonts w:asciiTheme="majorHAnsi" w:hAnsiTheme="majorHAnsi"/>
          <w:sz w:val="16"/>
          <w:szCs w:val="16"/>
        </w:rPr>
        <w:t xml:space="preserve"> Pratt and Morgan v. The Attorney General for Jamaica and another (Jamaica) [1993] UKPC 1 (2nd </w:t>
      </w:r>
      <w:proofErr w:type="gramStart"/>
      <w:r w:rsidRPr="001947BA">
        <w:rPr>
          <w:rFonts w:asciiTheme="majorHAnsi" w:hAnsiTheme="majorHAnsi"/>
          <w:sz w:val="16"/>
          <w:szCs w:val="16"/>
        </w:rPr>
        <w:t>November,</w:t>
      </w:r>
      <w:proofErr w:type="gramEnd"/>
      <w:r w:rsidRPr="001947BA">
        <w:rPr>
          <w:rFonts w:asciiTheme="majorHAnsi" w:hAnsiTheme="majorHAnsi"/>
          <w:sz w:val="16"/>
          <w:szCs w:val="16"/>
        </w:rPr>
        <w:t xml:space="preserve"> 1993), paras. 73-75 and 84. </w:t>
      </w:r>
    </w:p>
  </w:footnote>
  <w:footnote w:id="52">
    <w:p w14:paraId="18A193D4" w14:textId="77777777" w:rsidR="0015306E"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Supreme Court of Uganda in </w:t>
      </w:r>
      <w:r w:rsidRPr="001947BA">
        <w:rPr>
          <w:rFonts w:asciiTheme="majorHAnsi" w:hAnsiTheme="majorHAnsi"/>
          <w:i/>
          <w:color w:val="auto"/>
          <w:sz w:val="16"/>
          <w:szCs w:val="16"/>
        </w:rPr>
        <w:t xml:space="preserve">Attorney General v. Susan </w:t>
      </w:r>
      <w:proofErr w:type="spellStart"/>
      <w:r w:rsidRPr="001947BA">
        <w:rPr>
          <w:rFonts w:asciiTheme="majorHAnsi" w:hAnsiTheme="majorHAnsi"/>
          <w:i/>
          <w:color w:val="auto"/>
          <w:sz w:val="16"/>
          <w:szCs w:val="16"/>
        </w:rPr>
        <w:t>Kigula</w:t>
      </w:r>
      <w:proofErr w:type="spellEnd"/>
      <w:r w:rsidRPr="001947BA">
        <w:rPr>
          <w:rFonts w:asciiTheme="majorHAnsi" w:hAnsiTheme="majorHAnsi"/>
          <w:color w:val="auto"/>
          <w:sz w:val="16"/>
          <w:szCs w:val="16"/>
        </w:rPr>
        <w:t xml:space="preserve"> and 417 others (Constitutional Appeal No. 3 of 2006), 2009.</w:t>
      </w:r>
    </w:p>
  </w:footnote>
  <w:footnote w:id="53">
    <w:p w14:paraId="09B0D9BA" w14:textId="77777777" w:rsidR="0015306E"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Judgment of the Supreme Court of Zimbabwe of 24 June 1993 in </w:t>
      </w:r>
      <w:r w:rsidRPr="001947BA">
        <w:rPr>
          <w:rFonts w:asciiTheme="majorHAnsi" w:hAnsiTheme="majorHAnsi"/>
          <w:i/>
          <w:color w:val="auto"/>
          <w:sz w:val="16"/>
          <w:szCs w:val="16"/>
        </w:rPr>
        <w:t>Catholic Commissioner for Justice and Peace in Zimbabwe v. Attorney General</w:t>
      </w:r>
      <w:r w:rsidRPr="001947BA">
        <w:rPr>
          <w:rFonts w:asciiTheme="majorHAnsi" w:hAnsiTheme="majorHAnsi"/>
          <w:color w:val="auto"/>
          <w:sz w:val="16"/>
          <w:szCs w:val="16"/>
        </w:rPr>
        <w:t xml:space="preserve"> (4) SA 239 (ZS).</w:t>
      </w:r>
    </w:p>
  </w:footnote>
  <w:footnote w:id="54">
    <w:p w14:paraId="609D6067" w14:textId="77777777" w:rsidR="0015306E" w:rsidRDefault="0015306E" w:rsidP="00FF49B4">
      <w:pPr>
        <w:pStyle w:val="NormalWeb"/>
        <w:spacing w:before="0" w:beforeAutospacing="0" w:after="0" w:afterAutospacing="0"/>
        <w:jc w:val="both"/>
        <w:rPr>
          <w:rFonts w:asciiTheme="majorHAnsi" w:eastAsia="Arial Unicode MS" w:hAnsiTheme="majorHAnsi"/>
          <w:sz w:val="16"/>
          <w:szCs w:val="20"/>
        </w:rPr>
      </w:pPr>
      <w:r w:rsidRPr="001947BA">
        <w:rPr>
          <w:rStyle w:val="FootnoteReference"/>
          <w:rFonts w:asciiTheme="majorHAnsi" w:hAnsiTheme="majorHAnsi"/>
          <w:sz w:val="16"/>
        </w:rPr>
        <w:footnoteRef/>
      </w:r>
      <w:r w:rsidRPr="001947BA">
        <w:rPr>
          <w:rFonts w:asciiTheme="majorHAnsi" w:hAnsiTheme="majorHAnsi"/>
          <w:sz w:val="16"/>
        </w:rPr>
        <w:t xml:space="preserve"> </w:t>
      </w:r>
      <w:r w:rsidRPr="001947BA">
        <w:rPr>
          <w:rFonts w:asciiTheme="majorHAnsi" w:eastAsia="Arial Unicode MS" w:hAnsiTheme="majorHAnsi"/>
          <w:sz w:val="16"/>
          <w:szCs w:val="16"/>
        </w:rPr>
        <w:t>In that r</w:t>
      </w:r>
      <w:r>
        <w:rPr>
          <w:rFonts w:asciiTheme="majorHAnsi" w:eastAsia="Arial Unicode MS" w:hAnsiTheme="majorHAnsi"/>
          <w:sz w:val="16"/>
          <w:szCs w:val="16"/>
        </w:rPr>
        <w:t>espect, guideline xiv) of the “EU</w:t>
      </w:r>
      <w:r w:rsidRPr="001947BA">
        <w:rPr>
          <w:rFonts w:asciiTheme="majorHAnsi" w:eastAsia="Arial Unicode MS" w:hAnsiTheme="majorHAnsi"/>
          <w:sz w:val="16"/>
          <w:szCs w:val="16"/>
        </w:rPr>
        <w:t xml:space="preserve"> Guidelines on Death Penalty” establishes that “Where capital punishment occurs, it shall be carried out </w:t>
      </w:r>
      <w:proofErr w:type="gramStart"/>
      <w:r w:rsidRPr="001947BA">
        <w:rPr>
          <w:rFonts w:asciiTheme="majorHAnsi" w:eastAsia="Arial Unicode MS" w:hAnsiTheme="majorHAnsi"/>
          <w:sz w:val="16"/>
          <w:szCs w:val="16"/>
        </w:rPr>
        <w:t>so as to</w:t>
      </w:r>
      <w:proofErr w:type="gramEnd"/>
      <w:r w:rsidRPr="001947BA">
        <w:rPr>
          <w:rFonts w:asciiTheme="majorHAnsi" w:eastAsia="Arial Unicode MS" w:hAnsiTheme="majorHAnsi"/>
          <w:sz w:val="16"/>
          <w:szCs w:val="16"/>
        </w:rPr>
        <w:t xml:space="preserve"> inflict the minimum possible suffering. It may not be carried out in public or in any other degrading manner EU Guidelines on the Death Penalty: revised and updated version. </w:t>
      </w:r>
    </w:p>
  </w:footnote>
  <w:footnote w:id="55">
    <w:p w14:paraId="1088333A" w14:textId="77777777" w:rsidR="0015306E" w:rsidRPr="00CE4740" w:rsidRDefault="0015306E" w:rsidP="00FF49B4">
      <w:pPr>
        <w:pStyle w:val="NormalWeb"/>
        <w:spacing w:before="0" w:beforeAutospacing="0" w:after="0" w:afterAutospacing="0"/>
        <w:jc w:val="both"/>
        <w:rPr>
          <w:rFonts w:asciiTheme="majorHAnsi" w:eastAsia="Arial Unicode MS" w:hAnsiTheme="majorHAnsi"/>
          <w:sz w:val="16"/>
          <w:szCs w:val="20"/>
        </w:rPr>
      </w:pPr>
      <w:r w:rsidRPr="001947BA">
        <w:rPr>
          <w:rStyle w:val="FootnoteReference"/>
          <w:rFonts w:asciiTheme="majorHAnsi" w:hAnsiTheme="majorHAnsi"/>
          <w:sz w:val="16"/>
        </w:rPr>
        <w:footnoteRef/>
      </w:r>
      <w:r w:rsidRPr="001947BA">
        <w:rPr>
          <w:rFonts w:asciiTheme="majorHAnsi" w:hAnsiTheme="majorHAnsi"/>
          <w:sz w:val="16"/>
        </w:rPr>
        <w:t xml:space="preserve"> </w:t>
      </w:r>
      <w:r w:rsidRPr="001947BA">
        <w:rPr>
          <w:rFonts w:asciiTheme="majorHAnsi" w:eastAsia="Arial Unicode MS" w:hAnsiTheme="majorHAnsi"/>
          <w:sz w:val="16"/>
          <w:szCs w:val="16"/>
        </w:rPr>
        <w:t xml:space="preserve">Economic and Social Council, Safeguards guaranteeing protection of the rights of </w:t>
      </w:r>
      <w:r w:rsidRPr="00CE4740">
        <w:rPr>
          <w:rFonts w:asciiTheme="majorHAnsi" w:eastAsia="Arial Unicode MS" w:hAnsiTheme="majorHAnsi"/>
          <w:sz w:val="16"/>
          <w:szCs w:val="16"/>
        </w:rPr>
        <w:t xml:space="preserve">those facing the death penalty. </w:t>
      </w:r>
    </w:p>
  </w:footnote>
  <w:footnote w:id="56">
    <w:p w14:paraId="5421E972" w14:textId="77777777" w:rsidR="0015306E" w:rsidRPr="000E373A" w:rsidRDefault="0015306E" w:rsidP="00FF49B4">
      <w:pPr>
        <w:pStyle w:val="NormalWeb"/>
        <w:spacing w:before="0" w:beforeAutospacing="0" w:after="0" w:afterAutospacing="0"/>
        <w:jc w:val="both"/>
        <w:rPr>
          <w:rFonts w:asciiTheme="majorHAnsi" w:eastAsia="Arial Unicode MS" w:hAnsiTheme="majorHAnsi"/>
          <w:sz w:val="16"/>
          <w:szCs w:val="16"/>
        </w:rPr>
      </w:pPr>
      <w:r w:rsidRPr="00CE4740">
        <w:rPr>
          <w:rStyle w:val="FootnoteReference"/>
          <w:rFonts w:asciiTheme="majorHAnsi" w:hAnsiTheme="majorHAnsi"/>
          <w:sz w:val="16"/>
        </w:rPr>
        <w:footnoteRef/>
      </w:r>
      <w:r w:rsidRPr="00CE4740">
        <w:rPr>
          <w:rFonts w:asciiTheme="majorHAnsi" w:hAnsiTheme="majorHAnsi"/>
          <w:sz w:val="16"/>
        </w:rPr>
        <w:t xml:space="preserve"> </w:t>
      </w:r>
      <w:r w:rsidRPr="00CE4740">
        <w:rPr>
          <w:rFonts w:asciiTheme="majorHAnsi" w:eastAsia="Arial Unicode MS" w:hAnsiTheme="majorHAnsi"/>
          <w:sz w:val="16"/>
          <w:szCs w:val="16"/>
        </w:rPr>
        <w:t xml:space="preserve">A/HRC/30/18, Human Rights Council, Capital punishment and the implementation of the safeguards guaranteeing protection of the rights of those facing the death penalty, Yearly supplement of the Secretary-General to his quinquennial report on capital punishment, para.32; also see: Office of the High Commissioner for Human Rights “Despite progress in abolishing the death penalty, thousands remain on death row.  Available at </w:t>
      </w:r>
      <w:r w:rsidRPr="000E373A">
        <w:rPr>
          <w:rFonts w:asciiTheme="majorHAnsi" w:eastAsia="Arial Unicode MS" w:hAnsiTheme="majorHAnsi"/>
          <w:sz w:val="16"/>
          <w:szCs w:val="16"/>
        </w:rPr>
        <w:t>https://www.ohchr.org/EN/NewsEvents/Pages/DeathPenalty.aspx</w:t>
      </w:r>
    </w:p>
  </w:footnote>
  <w:footnote w:id="57">
    <w:p w14:paraId="3405AF27" w14:textId="77777777" w:rsidR="0015306E" w:rsidRDefault="0015306E" w:rsidP="00FF49B4">
      <w:pPr>
        <w:pStyle w:val="NormalWeb"/>
        <w:spacing w:before="0" w:beforeAutospacing="0" w:after="0" w:afterAutospacing="0"/>
        <w:jc w:val="both"/>
        <w:rPr>
          <w:rFonts w:asciiTheme="majorHAnsi" w:eastAsia="Arial Unicode MS" w:hAnsiTheme="majorHAnsi"/>
          <w:sz w:val="16"/>
          <w:szCs w:val="20"/>
        </w:rPr>
      </w:pPr>
      <w:r w:rsidRPr="00CE4740">
        <w:rPr>
          <w:rStyle w:val="FootnoteReference"/>
          <w:rFonts w:asciiTheme="majorHAnsi" w:hAnsiTheme="majorHAnsi"/>
          <w:sz w:val="16"/>
        </w:rPr>
        <w:footnoteRef/>
      </w:r>
      <w:r w:rsidRPr="00CE4740">
        <w:rPr>
          <w:rFonts w:asciiTheme="majorHAnsi" w:hAnsiTheme="majorHAnsi"/>
          <w:sz w:val="16"/>
        </w:rPr>
        <w:t xml:space="preserve"> </w:t>
      </w:r>
      <w:r w:rsidRPr="00CE4740">
        <w:rPr>
          <w:rFonts w:asciiTheme="majorHAnsi" w:eastAsia="Arial Unicode MS" w:hAnsiTheme="majorHAnsi"/>
          <w:sz w:val="16"/>
          <w:szCs w:val="16"/>
        </w:rPr>
        <w:t>A/HRC/30/18, Human Rights Council, Capital punishment and the implementation of the safeguards guaranteeing protection of the rights of those facing the death penalty, Yearly supplement of the Secretary-General to</w:t>
      </w:r>
      <w:r w:rsidRPr="001947BA">
        <w:rPr>
          <w:rFonts w:asciiTheme="majorHAnsi" w:eastAsia="Arial Unicode MS" w:hAnsiTheme="majorHAnsi"/>
          <w:sz w:val="16"/>
          <w:szCs w:val="16"/>
        </w:rPr>
        <w:t xml:space="preserve"> his quinquennial report on capital punishment, para. 50. </w:t>
      </w:r>
    </w:p>
  </w:footnote>
  <w:footnote w:id="58">
    <w:p w14:paraId="591D44DB"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w:t>
      </w:r>
      <w:r w:rsidRPr="001947BA">
        <w:rPr>
          <w:rFonts w:asciiTheme="majorHAnsi" w:hAnsiTheme="majorHAnsi"/>
          <w:color w:val="auto"/>
          <w:sz w:val="16"/>
          <w:szCs w:val="16"/>
          <w:bdr w:val="none" w:sz="0" w:space="0" w:color="auto"/>
        </w:rPr>
        <w:t>IACHR, Report No. 11/15, Case 12.833, Merits (Publication), Felix Rocha Diaz, United States, March 23, 2015, para. 84</w:t>
      </w:r>
    </w:p>
  </w:footnote>
  <w:footnote w:id="59">
    <w:p w14:paraId="52E76FA8" w14:textId="77777777" w:rsidR="0015306E" w:rsidRPr="001947BA" w:rsidRDefault="0015306E" w:rsidP="00FF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20"/>
          <w:bdr w:val="none" w:sz="0" w:space="0" w:color="auto"/>
        </w:rPr>
      </w:pPr>
      <w:r w:rsidRPr="001947BA">
        <w:rPr>
          <w:rStyle w:val="FootnoteReference"/>
          <w:rFonts w:asciiTheme="majorHAnsi" w:hAnsiTheme="majorHAnsi"/>
          <w:sz w:val="16"/>
        </w:rPr>
        <w:footnoteRef/>
      </w:r>
      <w:r w:rsidRPr="001947BA">
        <w:rPr>
          <w:rFonts w:asciiTheme="majorHAnsi" w:hAnsiTheme="majorHAnsi"/>
          <w:sz w:val="16"/>
        </w:rPr>
        <w:t xml:space="preserve"> </w:t>
      </w:r>
      <w:r w:rsidRPr="001947BA">
        <w:rPr>
          <w:rFonts w:asciiTheme="majorHAnsi" w:hAnsiTheme="majorHAnsi"/>
          <w:sz w:val="16"/>
          <w:szCs w:val="16"/>
          <w:bdr w:val="none" w:sz="0" w:space="0" w:color="auto"/>
        </w:rPr>
        <w:t xml:space="preserve">IACHR, Report No. 53/13, Case 12.864, Merits (Publication), Ivan </w:t>
      </w:r>
      <w:proofErr w:type="spellStart"/>
      <w:r w:rsidRPr="001947BA">
        <w:rPr>
          <w:rFonts w:asciiTheme="majorHAnsi" w:hAnsiTheme="majorHAnsi"/>
          <w:sz w:val="16"/>
          <w:szCs w:val="16"/>
          <w:bdr w:val="none" w:sz="0" w:space="0" w:color="auto"/>
        </w:rPr>
        <w:t>Teleguz</w:t>
      </w:r>
      <w:proofErr w:type="spellEnd"/>
      <w:r w:rsidRPr="001947BA">
        <w:rPr>
          <w:rFonts w:asciiTheme="majorHAnsi" w:hAnsiTheme="majorHAnsi"/>
          <w:sz w:val="16"/>
          <w:szCs w:val="16"/>
          <w:bdr w:val="none" w:sz="0" w:space="0" w:color="auto"/>
        </w:rPr>
        <w:t>, United States, July 15, 2013, para. 123.</w:t>
      </w:r>
    </w:p>
  </w:footnote>
  <w:footnote w:id="60">
    <w:p w14:paraId="13B361AA" w14:textId="77777777" w:rsidR="0015306E"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rPr>
        <w:footnoteRef/>
      </w:r>
      <w:r w:rsidRPr="001947BA">
        <w:rPr>
          <w:rFonts w:asciiTheme="majorHAnsi" w:hAnsiTheme="majorHAnsi"/>
          <w:color w:val="auto"/>
          <w:sz w:val="16"/>
        </w:rPr>
        <w:t xml:space="preserve"> Committee Against Torture, Considerations of Reports submitted by State Parties under Article 19 of the Convention, United States, CAT/C/USA/CO/2, July 25, 2006, para 31</w:t>
      </w:r>
    </w:p>
  </w:footnote>
  <w:footnote w:id="61">
    <w:p w14:paraId="63B6843B" w14:textId="77777777" w:rsidR="0015306E" w:rsidRPr="001947BA" w:rsidRDefault="0015306E" w:rsidP="00FF49B4">
      <w:pPr>
        <w:pStyle w:val="Body"/>
        <w:jc w:val="both"/>
        <w:rPr>
          <w:rFonts w:asciiTheme="majorHAnsi" w:eastAsia="Cambria" w:hAnsiTheme="majorHAnsi" w:cs="Cambria"/>
          <w:color w:val="auto"/>
          <w:sz w:val="16"/>
          <w:szCs w:val="20"/>
        </w:rPr>
      </w:pPr>
      <w:r w:rsidRPr="001947BA">
        <w:rPr>
          <w:rStyle w:val="FootnoteReference"/>
          <w:rFonts w:asciiTheme="majorHAnsi" w:hAnsiTheme="majorHAnsi"/>
          <w:color w:val="auto"/>
          <w:sz w:val="16"/>
          <w:szCs w:val="16"/>
        </w:rPr>
        <w:footnoteRef/>
      </w:r>
      <w:r w:rsidRPr="001947BA">
        <w:rPr>
          <w:rStyle w:val="FootnoteReference"/>
          <w:rFonts w:asciiTheme="majorHAnsi" w:hAnsiTheme="majorHAnsi"/>
          <w:color w:val="auto"/>
          <w:sz w:val="16"/>
          <w:szCs w:val="16"/>
        </w:rPr>
        <w:t xml:space="preserve"> </w:t>
      </w:r>
      <w:r w:rsidRPr="001947BA">
        <w:rPr>
          <w:rFonts w:asciiTheme="majorHAnsi" w:hAnsiTheme="majorHAnsi"/>
          <w:color w:val="auto"/>
          <w:sz w:val="16"/>
          <w:szCs w:val="16"/>
        </w:rPr>
        <w:t>Article XXIV of the American Declaration provides: “</w:t>
      </w:r>
      <w:r w:rsidRPr="001947BA">
        <w:rPr>
          <w:rFonts w:asciiTheme="majorHAnsi" w:eastAsia="Cambria" w:hAnsiTheme="majorHAnsi" w:cs="Cambria"/>
          <w:color w:val="auto"/>
          <w:sz w:val="16"/>
          <w:szCs w:val="16"/>
          <w:shd w:val="clear" w:color="auto" w:fill="FFFFFF"/>
        </w:rPr>
        <w:t>Every person has the right to submit respectful petitions to any competent authority, for reasons of either general or private interest, and the right to obtain a prompt decision thereon.</w:t>
      </w:r>
      <w:r w:rsidRPr="001947BA">
        <w:rPr>
          <w:rFonts w:asciiTheme="majorHAnsi" w:hAnsiTheme="majorHAnsi"/>
          <w:color w:val="auto"/>
          <w:sz w:val="16"/>
          <w:szCs w:val="16"/>
        </w:rPr>
        <w:t>”</w:t>
      </w:r>
    </w:p>
  </w:footnote>
  <w:footnote w:id="62">
    <w:p w14:paraId="6BFBC497"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w:t>
      </w:r>
      <w:r w:rsidRPr="001947BA">
        <w:rPr>
          <w:rFonts w:asciiTheme="majorHAnsi" w:eastAsia="Times New Roman" w:hAnsiTheme="majorHAnsi" w:cs="Times New Roman"/>
          <w:color w:val="auto"/>
          <w:sz w:val="16"/>
          <w:szCs w:val="16"/>
        </w:rPr>
        <w:t>Case 12.243, Report 52/01, Juan Raul Garza v. United States, Annual Report of the IACHR 2000, para. 117. See similarly</w:t>
      </w:r>
      <w:r>
        <w:rPr>
          <w:rFonts w:asciiTheme="majorHAnsi" w:eastAsia="Times New Roman" w:hAnsiTheme="majorHAnsi" w:cs="Times New Roman"/>
          <w:color w:val="auto"/>
          <w:sz w:val="16"/>
          <w:szCs w:val="16"/>
        </w:rPr>
        <w:t>:</w:t>
      </w:r>
      <w:r w:rsidRPr="001947BA">
        <w:rPr>
          <w:rFonts w:asciiTheme="majorHAnsi" w:eastAsia="Times New Roman" w:hAnsiTheme="majorHAnsi" w:cs="Times New Roman"/>
          <w:i/>
          <w:iCs/>
          <w:color w:val="auto"/>
          <w:sz w:val="16"/>
          <w:szCs w:val="16"/>
        </w:rPr>
        <w:t xml:space="preserve"> </w:t>
      </w:r>
      <w:r w:rsidRPr="001947BA">
        <w:rPr>
          <w:rFonts w:asciiTheme="majorHAnsi" w:eastAsia="Times New Roman" w:hAnsiTheme="majorHAnsi" w:cs="Times New Roman"/>
          <w:color w:val="auto"/>
          <w:sz w:val="16"/>
          <w:szCs w:val="16"/>
        </w:rPr>
        <w:t xml:space="preserve">IACHR, Fifth Report </w:t>
      </w:r>
      <w:proofErr w:type="gramStart"/>
      <w:r w:rsidRPr="001947BA">
        <w:rPr>
          <w:rFonts w:asciiTheme="majorHAnsi" w:eastAsia="Times New Roman" w:hAnsiTheme="majorHAnsi" w:cs="Times New Roman"/>
          <w:color w:val="auto"/>
          <w:sz w:val="16"/>
          <w:szCs w:val="16"/>
        </w:rPr>
        <w:t>on the Situation of</w:t>
      </w:r>
      <w:proofErr w:type="gramEnd"/>
      <w:r w:rsidRPr="001947BA">
        <w:rPr>
          <w:rFonts w:asciiTheme="majorHAnsi" w:eastAsia="Times New Roman" w:hAnsiTheme="majorHAnsi" w:cs="Times New Roman"/>
          <w:color w:val="auto"/>
          <w:sz w:val="16"/>
          <w:szCs w:val="16"/>
        </w:rPr>
        <w:t xml:space="preserve"> Human Rights in Guatemala, Doc. OEA/</w:t>
      </w:r>
      <w:proofErr w:type="spellStart"/>
      <w:r w:rsidRPr="001947BA">
        <w:rPr>
          <w:rFonts w:asciiTheme="majorHAnsi" w:eastAsia="Times New Roman" w:hAnsiTheme="majorHAnsi" w:cs="Times New Roman"/>
          <w:color w:val="auto"/>
          <w:sz w:val="16"/>
          <w:szCs w:val="16"/>
        </w:rPr>
        <w:t>Ser.L</w:t>
      </w:r>
      <w:proofErr w:type="spellEnd"/>
      <w:r w:rsidRPr="001947BA">
        <w:rPr>
          <w:rFonts w:asciiTheme="majorHAnsi" w:eastAsia="Times New Roman" w:hAnsiTheme="majorHAnsi" w:cs="Times New Roman"/>
          <w:color w:val="auto"/>
          <w:sz w:val="16"/>
          <w:szCs w:val="16"/>
        </w:rPr>
        <w:t>/V/II.111 doc.21 rev. (6 April 2001), paras. 71, 72.</w:t>
      </w:r>
    </w:p>
  </w:footnote>
  <w:footnote w:id="63">
    <w:p w14:paraId="34B1CA0B"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w:t>
      </w:r>
      <w:r w:rsidRPr="001947BA">
        <w:rPr>
          <w:rFonts w:asciiTheme="majorHAnsi" w:eastAsia="Times New Roman" w:hAnsiTheme="majorHAnsi" w:cs="Times New Roman"/>
          <w:color w:val="auto"/>
          <w:sz w:val="16"/>
          <w:szCs w:val="16"/>
        </w:rPr>
        <w:t xml:space="preserve">Case 12.243, Report 52/01, Juan Raul Garza v. United States, Annual Report of the IACHR 2000, para. 117. See </w:t>
      </w:r>
      <w:proofErr w:type="gramStart"/>
      <w:r w:rsidRPr="001947BA">
        <w:rPr>
          <w:rFonts w:asciiTheme="majorHAnsi" w:eastAsia="Times New Roman" w:hAnsiTheme="majorHAnsi" w:cs="Times New Roman"/>
          <w:color w:val="auto"/>
          <w:sz w:val="16"/>
          <w:szCs w:val="16"/>
        </w:rPr>
        <w:t xml:space="preserve">similarly </w:t>
      </w:r>
      <w:r w:rsidRPr="001947BA">
        <w:rPr>
          <w:rFonts w:asciiTheme="majorHAnsi" w:eastAsia="Times New Roman" w:hAnsiTheme="majorHAnsi" w:cs="Times New Roman"/>
          <w:i/>
          <w:iCs/>
          <w:color w:val="auto"/>
          <w:sz w:val="16"/>
          <w:szCs w:val="16"/>
        </w:rPr>
        <w:t>;</w:t>
      </w:r>
      <w:proofErr w:type="gramEnd"/>
      <w:r w:rsidRPr="001947BA">
        <w:rPr>
          <w:rFonts w:asciiTheme="majorHAnsi" w:eastAsia="Times New Roman" w:hAnsiTheme="majorHAnsi" w:cs="Times New Roman"/>
          <w:i/>
          <w:iCs/>
          <w:color w:val="auto"/>
          <w:sz w:val="16"/>
          <w:szCs w:val="16"/>
        </w:rPr>
        <w:t xml:space="preserve"> </w:t>
      </w:r>
      <w:r w:rsidRPr="001947BA">
        <w:rPr>
          <w:rFonts w:asciiTheme="majorHAnsi" w:eastAsia="Times New Roman" w:hAnsiTheme="majorHAnsi" w:cs="Times New Roman"/>
          <w:color w:val="auto"/>
          <w:sz w:val="16"/>
          <w:szCs w:val="16"/>
        </w:rPr>
        <w:t>IACHR, Fifth Report on the Situation of Human Rights in Guatemala, Doc. OEA/</w:t>
      </w:r>
      <w:proofErr w:type="spellStart"/>
      <w:r w:rsidRPr="001947BA">
        <w:rPr>
          <w:rFonts w:asciiTheme="majorHAnsi" w:eastAsia="Times New Roman" w:hAnsiTheme="majorHAnsi" w:cs="Times New Roman"/>
          <w:color w:val="auto"/>
          <w:sz w:val="16"/>
          <w:szCs w:val="16"/>
        </w:rPr>
        <w:t>Ser.L</w:t>
      </w:r>
      <w:proofErr w:type="spellEnd"/>
      <w:r w:rsidRPr="001947BA">
        <w:rPr>
          <w:rFonts w:asciiTheme="majorHAnsi" w:eastAsia="Times New Roman" w:hAnsiTheme="majorHAnsi" w:cs="Times New Roman"/>
          <w:color w:val="auto"/>
          <w:sz w:val="16"/>
          <w:szCs w:val="16"/>
        </w:rPr>
        <w:t>/V/II.111 doc.21 rev. (6 April 2001), paras. 71, 72.</w:t>
      </w:r>
    </w:p>
  </w:footnote>
  <w:footnote w:id="64">
    <w:p w14:paraId="23A0E522"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w:t>
      </w:r>
      <w:r w:rsidRPr="001947BA">
        <w:rPr>
          <w:rFonts w:asciiTheme="majorHAnsi" w:eastAsia="Times New Roman" w:hAnsiTheme="majorHAnsi" w:cs="Times New Roman"/>
          <w:color w:val="auto"/>
          <w:sz w:val="16"/>
          <w:szCs w:val="16"/>
        </w:rPr>
        <w:t xml:space="preserve">Case 12.243, Report 52/01, Juan Raul Garza v. United States, Annual Report of the IACHR 2000, para. 117. See </w:t>
      </w:r>
      <w:proofErr w:type="gramStart"/>
      <w:r w:rsidRPr="001947BA">
        <w:rPr>
          <w:rFonts w:asciiTheme="majorHAnsi" w:eastAsia="Times New Roman" w:hAnsiTheme="majorHAnsi" w:cs="Times New Roman"/>
          <w:color w:val="auto"/>
          <w:sz w:val="16"/>
          <w:szCs w:val="16"/>
        </w:rPr>
        <w:t xml:space="preserve">similarly </w:t>
      </w:r>
      <w:r w:rsidRPr="001947BA">
        <w:rPr>
          <w:rFonts w:asciiTheme="majorHAnsi" w:eastAsia="Times New Roman" w:hAnsiTheme="majorHAnsi" w:cs="Times New Roman"/>
          <w:i/>
          <w:iCs/>
          <w:color w:val="auto"/>
          <w:sz w:val="16"/>
          <w:szCs w:val="16"/>
        </w:rPr>
        <w:t>;</w:t>
      </w:r>
      <w:proofErr w:type="gramEnd"/>
      <w:r w:rsidRPr="001947BA">
        <w:rPr>
          <w:rFonts w:asciiTheme="majorHAnsi" w:eastAsia="Times New Roman" w:hAnsiTheme="majorHAnsi" w:cs="Times New Roman"/>
          <w:i/>
          <w:iCs/>
          <w:color w:val="auto"/>
          <w:sz w:val="16"/>
          <w:szCs w:val="16"/>
        </w:rPr>
        <w:t xml:space="preserve"> </w:t>
      </w:r>
      <w:r w:rsidRPr="001947BA">
        <w:rPr>
          <w:rFonts w:asciiTheme="majorHAnsi" w:eastAsia="Times New Roman" w:hAnsiTheme="majorHAnsi" w:cs="Times New Roman"/>
          <w:color w:val="auto"/>
          <w:sz w:val="16"/>
          <w:szCs w:val="16"/>
        </w:rPr>
        <w:t>IACHR, Fifth Report on the Situation of Human Rights in Guatemala, Doc. OEA/</w:t>
      </w:r>
      <w:proofErr w:type="spellStart"/>
      <w:r w:rsidRPr="001947BA">
        <w:rPr>
          <w:rFonts w:asciiTheme="majorHAnsi" w:eastAsia="Times New Roman" w:hAnsiTheme="majorHAnsi" w:cs="Times New Roman"/>
          <w:color w:val="auto"/>
          <w:sz w:val="16"/>
          <w:szCs w:val="16"/>
        </w:rPr>
        <w:t>Ser.L</w:t>
      </w:r>
      <w:proofErr w:type="spellEnd"/>
      <w:r w:rsidRPr="001947BA">
        <w:rPr>
          <w:rFonts w:asciiTheme="majorHAnsi" w:eastAsia="Times New Roman" w:hAnsiTheme="majorHAnsi" w:cs="Times New Roman"/>
          <w:color w:val="auto"/>
          <w:sz w:val="16"/>
          <w:szCs w:val="16"/>
        </w:rPr>
        <w:t>/V/II.111 doc.21 rev. (6 April 2001), paras. 71, 72</w:t>
      </w:r>
      <w:r w:rsidRPr="001947BA">
        <w:rPr>
          <w:rFonts w:asciiTheme="majorHAnsi" w:eastAsia="Times New Roman" w:hAnsiTheme="majorHAnsi"/>
          <w:color w:val="auto"/>
          <w:sz w:val="16"/>
          <w:szCs w:val="16"/>
        </w:rPr>
        <w:t xml:space="preserve">., citing International Court of Justice, Case Concerning the Vienna Convention on Consular Relations (Germany v. United States of America), Request for the Indication of Provisional Measures, Order of 3 March 1999, I.C.J. General List, Nº 104, paras. 22-28; United Nations Human Rights Committee, Dante </w:t>
      </w:r>
      <w:proofErr w:type="spellStart"/>
      <w:proofErr w:type="gramStart"/>
      <w:r w:rsidRPr="001947BA">
        <w:rPr>
          <w:rFonts w:asciiTheme="majorHAnsi" w:eastAsia="Times New Roman" w:hAnsiTheme="majorHAnsi"/>
          <w:color w:val="auto"/>
          <w:sz w:val="16"/>
          <w:szCs w:val="16"/>
        </w:rPr>
        <w:t>Piandiong</w:t>
      </w:r>
      <w:proofErr w:type="spellEnd"/>
      <w:proofErr w:type="gramEnd"/>
      <w:r w:rsidRPr="001947BA">
        <w:rPr>
          <w:rFonts w:asciiTheme="majorHAnsi" w:eastAsia="Times New Roman" w:hAnsiTheme="majorHAnsi"/>
          <w:color w:val="auto"/>
          <w:sz w:val="16"/>
          <w:szCs w:val="16"/>
        </w:rPr>
        <w:t xml:space="preserve"> and others v. The Philippines, Communication Nº 869/1999, U.N. Doc. CCPR/C/70/D/869.1999 (19 October 1999), paras. 5.1-5.4; Eur. Court H.R., Affaire </w:t>
      </w:r>
      <w:proofErr w:type="spellStart"/>
      <w:r w:rsidRPr="001947BA">
        <w:rPr>
          <w:rFonts w:asciiTheme="majorHAnsi" w:eastAsia="Times New Roman" w:hAnsiTheme="majorHAnsi"/>
          <w:color w:val="auto"/>
          <w:sz w:val="16"/>
          <w:szCs w:val="16"/>
        </w:rPr>
        <w:t>Mamatkulov</w:t>
      </w:r>
      <w:proofErr w:type="spellEnd"/>
      <w:r w:rsidRPr="001947BA">
        <w:rPr>
          <w:rFonts w:asciiTheme="majorHAnsi" w:eastAsia="Times New Roman" w:hAnsiTheme="majorHAnsi"/>
          <w:color w:val="auto"/>
          <w:sz w:val="16"/>
          <w:szCs w:val="16"/>
        </w:rPr>
        <w:t xml:space="preserve"> et </w:t>
      </w:r>
      <w:proofErr w:type="spellStart"/>
      <w:r w:rsidRPr="001947BA">
        <w:rPr>
          <w:rFonts w:asciiTheme="majorHAnsi" w:eastAsia="Times New Roman" w:hAnsiTheme="majorHAnsi"/>
          <w:color w:val="auto"/>
          <w:sz w:val="16"/>
          <w:szCs w:val="16"/>
        </w:rPr>
        <w:t>Abdurasulovic</w:t>
      </w:r>
      <w:proofErr w:type="spellEnd"/>
      <w:r w:rsidRPr="001947BA">
        <w:rPr>
          <w:rFonts w:asciiTheme="majorHAnsi" w:eastAsia="Times New Roman" w:hAnsiTheme="majorHAnsi"/>
          <w:color w:val="auto"/>
          <w:sz w:val="16"/>
          <w:szCs w:val="16"/>
        </w:rPr>
        <w:t xml:space="preserve"> c. Turkey, </w:t>
      </w:r>
      <w:proofErr w:type="spellStart"/>
      <w:r w:rsidRPr="001947BA">
        <w:rPr>
          <w:rFonts w:asciiTheme="majorHAnsi" w:eastAsia="Times New Roman" w:hAnsiTheme="majorHAnsi"/>
          <w:color w:val="auto"/>
          <w:sz w:val="16"/>
          <w:szCs w:val="16"/>
        </w:rPr>
        <w:t>Reqs</w:t>
      </w:r>
      <w:proofErr w:type="spellEnd"/>
      <w:r w:rsidRPr="001947BA">
        <w:rPr>
          <w:rFonts w:asciiTheme="majorHAnsi" w:eastAsia="Times New Roman" w:hAnsiTheme="majorHAnsi"/>
          <w:color w:val="auto"/>
          <w:sz w:val="16"/>
          <w:szCs w:val="16"/>
        </w:rPr>
        <w:t xml:space="preserve">. Nos. 46827/99, 46951/99 (6 February 2003), paras. 104-107. </w:t>
      </w:r>
    </w:p>
  </w:footnote>
  <w:footnote w:id="65">
    <w:p w14:paraId="6E831AB9" w14:textId="77777777" w:rsidR="0015306E" w:rsidRPr="001947BA" w:rsidRDefault="0015306E" w:rsidP="00FF49B4">
      <w:pPr>
        <w:pStyle w:val="NormalWeb"/>
        <w:spacing w:before="0" w:beforeAutospacing="0" w:after="0" w:afterAutospacing="0"/>
        <w:jc w:val="both"/>
        <w:rPr>
          <w:rFonts w:asciiTheme="majorHAnsi" w:hAnsiTheme="majorHAnsi"/>
          <w:sz w:val="16"/>
        </w:rPr>
      </w:pPr>
      <w:r w:rsidRPr="001947BA">
        <w:rPr>
          <w:rFonts w:asciiTheme="majorHAnsi" w:eastAsia="Calibri" w:hAnsiTheme="majorHAnsi" w:cs="Calibri"/>
          <w:sz w:val="16"/>
          <w:szCs w:val="20"/>
          <w:vertAlign w:val="superscript"/>
        </w:rPr>
        <w:footnoteRef/>
      </w:r>
      <w:r w:rsidRPr="001947BA">
        <w:rPr>
          <w:rFonts w:asciiTheme="majorHAnsi" w:hAnsiTheme="majorHAnsi"/>
          <w:sz w:val="16"/>
        </w:rPr>
        <w:t xml:space="preserve"> </w:t>
      </w:r>
      <w:r w:rsidRPr="001947BA">
        <w:rPr>
          <w:rFonts w:asciiTheme="majorHAnsi" w:eastAsia="Calibri" w:hAnsiTheme="majorHAnsi" w:cs="Calibri"/>
          <w:sz w:val="16"/>
          <w:szCs w:val="16"/>
        </w:rPr>
        <w:t xml:space="preserve">I/A Court H.R., </w:t>
      </w:r>
      <w:r w:rsidRPr="001947BA">
        <w:rPr>
          <w:rFonts w:asciiTheme="majorHAnsi" w:eastAsia="Calibri" w:hAnsiTheme="majorHAnsi" w:cs="Calibri"/>
          <w:i/>
          <w:iCs/>
          <w:sz w:val="16"/>
          <w:szCs w:val="16"/>
        </w:rPr>
        <w:t xml:space="preserve">The Right to Information on Consular Assistance in the Framework of the Guarantees of the Due Process of Law. </w:t>
      </w:r>
      <w:r w:rsidRPr="001947BA">
        <w:rPr>
          <w:rFonts w:asciiTheme="majorHAnsi" w:eastAsia="Calibri" w:hAnsiTheme="majorHAnsi" w:cs="Calibri"/>
          <w:sz w:val="16"/>
          <w:szCs w:val="16"/>
        </w:rPr>
        <w:t xml:space="preserve">Advisory Opinion OC‐16/99 of October 1, 1999. Series A No. 16, para. 136. </w:t>
      </w:r>
    </w:p>
  </w:footnote>
  <w:footnote w:id="66">
    <w:p w14:paraId="36A50F16" w14:textId="77777777" w:rsidR="0015306E" w:rsidRPr="001947BA" w:rsidRDefault="0015306E" w:rsidP="00FF49B4">
      <w:pPr>
        <w:pStyle w:val="FootnoteText"/>
        <w:jc w:val="both"/>
        <w:rPr>
          <w:rFonts w:asciiTheme="majorHAnsi" w:hAnsiTheme="majorHAnsi"/>
          <w:color w:val="auto"/>
          <w:sz w:val="16"/>
        </w:rPr>
      </w:pPr>
      <w:r w:rsidRPr="001947BA">
        <w:rPr>
          <w:rStyle w:val="FootnoteReference"/>
          <w:rFonts w:asciiTheme="majorHAnsi" w:hAnsiTheme="majorHAnsi"/>
          <w:color w:val="auto"/>
          <w:sz w:val="16"/>
          <w:szCs w:val="16"/>
        </w:rPr>
        <w:footnoteRef/>
      </w:r>
      <w:r w:rsidRPr="001947BA">
        <w:rPr>
          <w:rStyle w:val="FootnoteReference"/>
          <w:rFonts w:asciiTheme="majorHAnsi" w:hAnsiTheme="majorHAnsi"/>
          <w:color w:val="auto"/>
          <w:sz w:val="16"/>
          <w:szCs w:val="16"/>
        </w:rPr>
        <w:t xml:space="preserve"> </w:t>
      </w:r>
      <w:r w:rsidRPr="001947BA">
        <w:rPr>
          <w:rFonts w:asciiTheme="majorHAnsi" w:hAnsiTheme="majorHAnsi"/>
          <w:color w:val="auto"/>
          <w:sz w:val="16"/>
          <w:szCs w:val="16"/>
        </w:rPr>
        <w:t xml:space="preserve">Article I of the American Declaration establishes: Every human being has the right to life, </w:t>
      </w:r>
      <w:proofErr w:type="gramStart"/>
      <w:r w:rsidRPr="001947BA">
        <w:rPr>
          <w:rFonts w:asciiTheme="majorHAnsi" w:hAnsiTheme="majorHAnsi"/>
          <w:color w:val="auto"/>
          <w:sz w:val="16"/>
          <w:szCs w:val="16"/>
        </w:rPr>
        <w:t>liberty</w:t>
      </w:r>
      <w:proofErr w:type="gramEnd"/>
      <w:r w:rsidRPr="001947BA">
        <w:rPr>
          <w:rFonts w:asciiTheme="majorHAnsi" w:hAnsiTheme="majorHAnsi"/>
          <w:color w:val="auto"/>
          <w:sz w:val="16"/>
          <w:szCs w:val="16"/>
        </w:rPr>
        <w:t xml:space="preserve"> and the security of his person.</w:t>
      </w:r>
    </w:p>
  </w:footnote>
  <w:footnote w:id="67">
    <w:p w14:paraId="75409DC6"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IACHR, Report No. 53/13, Case 12.864, Merits (Publication), Ivan </w:t>
      </w:r>
      <w:proofErr w:type="spellStart"/>
      <w:r w:rsidRPr="001947BA">
        <w:rPr>
          <w:rFonts w:asciiTheme="majorHAnsi" w:hAnsiTheme="majorHAnsi"/>
          <w:color w:val="auto"/>
          <w:sz w:val="16"/>
          <w:szCs w:val="16"/>
        </w:rPr>
        <w:t>Teleguz</w:t>
      </w:r>
      <w:proofErr w:type="spellEnd"/>
      <w:r w:rsidRPr="001947BA">
        <w:rPr>
          <w:rFonts w:asciiTheme="majorHAnsi" w:hAnsiTheme="majorHAnsi"/>
          <w:color w:val="auto"/>
          <w:sz w:val="16"/>
          <w:szCs w:val="16"/>
        </w:rPr>
        <w:t>, United States, July 15, 2013, para. 129.</w:t>
      </w:r>
    </w:p>
  </w:footnote>
  <w:footnote w:id="68">
    <w:p w14:paraId="4AF1AC84" w14:textId="77777777" w:rsidR="0015306E" w:rsidRPr="001947BA" w:rsidRDefault="0015306E" w:rsidP="00FF49B4">
      <w:pPr>
        <w:pStyle w:val="FootnoteText"/>
        <w:jc w:val="both"/>
        <w:rPr>
          <w:rFonts w:asciiTheme="majorHAnsi" w:hAnsiTheme="majorHAnsi"/>
          <w:color w:val="auto"/>
          <w:sz w:val="16"/>
          <w:szCs w:val="16"/>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IACHR, Report No. 11/15, Case 12.833, Merits (Publication), Félix Rocha Díaz, United States, March 23, 2015, para. 106.</w:t>
      </w:r>
    </w:p>
  </w:footnote>
  <w:footnote w:id="69">
    <w:p w14:paraId="38EB497A" w14:textId="77777777" w:rsidR="0015306E" w:rsidRPr="001947BA" w:rsidRDefault="0015306E" w:rsidP="005B4AEC">
      <w:pPr>
        <w:pStyle w:val="FootnoteText"/>
        <w:jc w:val="both"/>
        <w:rPr>
          <w:rFonts w:asciiTheme="majorHAnsi" w:hAnsiTheme="majorHAnsi"/>
          <w:color w:val="auto"/>
          <w:sz w:val="16"/>
          <w:szCs w:val="16"/>
          <w:bdr w:val="none" w:sz="0" w:space="0" w:color="auto"/>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See in this regard, IACHR, The death penalty in the Inter-American Human Rights System: From restrictions to abolition, OEA/</w:t>
      </w:r>
      <w:proofErr w:type="spellStart"/>
      <w:r w:rsidRPr="001947BA">
        <w:rPr>
          <w:rFonts w:asciiTheme="majorHAnsi" w:hAnsiTheme="majorHAnsi"/>
          <w:color w:val="auto"/>
          <w:sz w:val="16"/>
          <w:szCs w:val="16"/>
        </w:rPr>
        <w:t>Ser.L</w:t>
      </w:r>
      <w:proofErr w:type="spellEnd"/>
      <w:r w:rsidRPr="001947BA">
        <w:rPr>
          <w:rFonts w:asciiTheme="majorHAnsi" w:hAnsiTheme="majorHAnsi"/>
          <w:color w:val="auto"/>
          <w:sz w:val="16"/>
          <w:szCs w:val="16"/>
        </w:rPr>
        <w:t>/V/</w:t>
      </w:r>
      <w:proofErr w:type="gramStart"/>
      <w:r w:rsidRPr="001947BA">
        <w:rPr>
          <w:rFonts w:asciiTheme="majorHAnsi" w:hAnsiTheme="majorHAnsi"/>
          <w:color w:val="auto"/>
          <w:sz w:val="16"/>
          <w:szCs w:val="16"/>
        </w:rPr>
        <w:t>II.Doc</w:t>
      </w:r>
      <w:proofErr w:type="gramEnd"/>
      <w:r w:rsidRPr="001947BA">
        <w:rPr>
          <w:rFonts w:asciiTheme="majorHAnsi" w:hAnsiTheme="majorHAnsi"/>
          <w:color w:val="auto"/>
          <w:sz w:val="16"/>
          <w:szCs w:val="16"/>
        </w:rPr>
        <w:t xml:space="preserve"> 68, December 31, 2011.</w:t>
      </w:r>
    </w:p>
  </w:footnote>
  <w:footnote w:id="70">
    <w:p w14:paraId="347419E6" w14:textId="77777777" w:rsidR="0015306E" w:rsidRPr="001947BA" w:rsidRDefault="0015306E" w:rsidP="00FF49B4">
      <w:pPr>
        <w:pStyle w:val="FootnoteText"/>
        <w:jc w:val="both"/>
        <w:rPr>
          <w:rFonts w:asciiTheme="majorHAnsi" w:hAnsiTheme="majorHAnsi"/>
          <w:color w:val="auto"/>
          <w:sz w:val="16"/>
          <w:szCs w:val="16"/>
          <w:bdr w:val="none" w:sz="0" w:space="0" w:color="auto"/>
        </w:rPr>
      </w:pPr>
      <w:r w:rsidRPr="001947BA">
        <w:rPr>
          <w:rStyle w:val="FootnoteReference"/>
          <w:rFonts w:asciiTheme="majorHAnsi" w:hAnsiTheme="majorHAnsi"/>
          <w:color w:val="auto"/>
          <w:sz w:val="16"/>
          <w:szCs w:val="16"/>
        </w:rPr>
        <w:footnoteRef/>
      </w:r>
      <w:r w:rsidRPr="001947BA">
        <w:rPr>
          <w:rFonts w:asciiTheme="majorHAnsi" w:hAnsiTheme="majorHAnsi"/>
          <w:color w:val="auto"/>
          <w:sz w:val="16"/>
          <w:szCs w:val="16"/>
        </w:rPr>
        <w:t xml:space="preserve"> See in this regard, IACHR, The death penalty in the Inter-American Human Rights System: From restrictions to abolition, OEA/</w:t>
      </w:r>
      <w:proofErr w:type="spellStart"/>
      <w:r w:rsidRPr="001947BA">
        <w:rPr>
          <w:rFonts w:asciiTheme="majorHAnsi" w:hAnsiTheme="majorHAnsi"/>
          <w:color w:val="auto"/>
          <w:sz w:val="16"/>
          <w:szCs w:val="16"/>
        </w:rPr>
        <w:t>Ser.L</w:t>
      </w:r>
      <w:proofErr w:type="spellEnd"/>
      <w:r w:rsidRPr="001947BA">
        <w:rPr>
          <w:rFonts w:asciiTheme="majorHAnsi" w:hAnsiTheme="majorHAnsi"/>
          <w:color w:val="auto"/>
          <w:sz w:val="16"/>
          <w:szCs w:val="16"/>
        </w:rPr>
        <w:t>/V/</w:t>
      </w:r>
      <w:proofErr w:type="gramStart"/>
      <w:r w:rsidRPr="001947BA">
        <w:rPr>
          <w:rFonts w:asciiTheme="majorHAnsi" w:hAnsiTheme="majorHAnsi"/>
          <w:color w:val="auto"/>
          <w:sz w:val="16"/>
          <w:szCs w:val="16"/>
        </w:rPr>
        <w:t>II.Doc</w:t>
      </w:r>
      <w:proofErr w:type="gramEnd"/>
      <w:r w:rsidRPr="001947BA">
        <w:rPr>
          <w:rFonts w:asciiTheme="majorHAnsi" w:hAnsiTheme="majorHAnsi"/>
          <w:color w:val="auto"/>
          <w:sz w:val="16"/>
          <w:szCs w:val="16"/>
        </w:rPr>
        <w:t xml:space="preserve">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4227" w14:textId="77777777" w:rsidR="0015306E" w:rsidRDefault="0015306E"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95D7E28" w14:textId="77777777" w:rsidR="0015306E" w:rsidRDefault="00153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FADD" w14:textId="77777777" w:rsidR="0015306E" w:rsidRDefault="0015306E" w:rsidP="002C1641">
    <w:pPr>
      <w:pStyle w:val="Header"/>
      <w:tabs>
        <w:tab w:val="clear" w:pos="4320"/>
        <w:tab w:val="clear" w:pos="8640"/>
      </w:tabs>
      <w:jc w:val="center"/>
      <w:rPr>
        <w:sz w:val="22"/>
        <w:szCs w:val="22"/>
      </w:rPr>
    </w:pPr>
    <w:r>
      <w:rPr>
        <w:noProof/>
        <w:sz w:val="22"/>
        <w:szCs w:val="22"/>
      </w:rPr>
      <w:drawing>
        <wp:inline distT="0" distB="0" distL="0" distR="0" wp14:anchorId="13EFA125" wp14:editId="6B05C308">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052A7BC" w14:textId="77777777" w:rsidR="0015306E" w:rsidRPr="00EC7D62" w:rsidRDefault="00905B37" w:rsidP="002C1641">
    <w:pPr>
      <w:pStyle w:val="Header"/>
      <w:tabs>
        <w:tab w:val="clear" w:pos="4320"/>
        <w:tab w:val="clear" w:pos="8640"/>
      </w:tabs>
      <w:jc w:val="center"/>
      <w:rPr>
        <w:sz w:val="22"/>
        <w:szCs w:val="22"/>
      </w:rPr>
    </w:pPr>
    <w:r>
      <w:rPr>
        <w:noProof/>
        <w:sz w:val="22"/>
        <w:szCs w:val="22"/>
        <w:bdr w:val="nil"/>
      </w:rPr>
      <w:pict w14:anchorId="77B031C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 w15:restartNumberingAfterBreak="0">
    <w:nsid w:val="06440299"/>
    <w:multiLevelType w:val="hybridMultilevel"/>
    <w:tmpl w:val="E796F3C8"/>
    <w:lvl w:ilvl="0" w:tplc="910296B4">
      <w:start w:val="4"/>
      <w:numFmt w:val="decimal"/>
      <w:lvlText w:val="%1"/>
      <w:lvlJc w:val="left"/>
      <w:pPr>
        <w:ind w:left="720" w:hanging="360"/>
      </w:pPr>
      <w:rPr>
        <w:rFonts w:eastAsia="Cambria" w:cs="Cambri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CE2FDC"/>
    <w:multiLevelType w:val="hybridMultilevel"/>
    <w:tmpl w:val="D3063D86"/>
    <w:lvl w:ilvl="0" w:tplc="D0503B92">
      <w:start w:val="4"/>
      <w:numFmt w:val="decimal"/>
      <w:lvlText w:val="%1"/>
      <w:lvlJc w:val="left"/>
      <w:pPr>
        <w:ind w:left="720" w:hanging="360"/>
      </w:pPr>
      <w:rPr>
        <w:rFonts w:eastAsia="Arial Unicode M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Univers"/>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3"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28"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Univers"/>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2"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6" w15:restartNumberingAfterBreak="0">
    <w:nsid w:val="5A681F10"/>
    <w:multiLevelType w:val="hybridMultilevel"/>
    <w:tmpl w:val="509A7944"/>
    <w:lvl w:ilvl="0" w:tplc="8F10CAF0">
      <w:start w:val="1"/>
      <w:numFmt w:val="decimal"/>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9"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5D7D4B9D"/>
    <w:multiLevelType w:val="hybridMultilevel"/>
    <w:tmpl w:val="B2BEA4E0"/>
    <w:lvl w:ilvl="0" w:tplc="5830BC58">
      <w:start w:val="1"/>
      <w:numFmt w:val="decimal"/>
      <w:lvlText w:val="%1."/>
      <w:lvlJc w:val="left"/>
      <w:pPr>
        <w:ind w:left="7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53"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6" w15:restartNumberingAfterBreak="0">
    <w:nsid w:val="70786ED7"/>
    <w:multiLevelType w:val="hybridMultilevel"/>
    <w:tmpl w:val="073A8A9E"/>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9" w15:restartNumberingAfterBreak="0">
    <w:nsid w:val="7745554A"/>
    <w:multiLevelType w:val="hybridMultilevel"/>
    <w:tmpl w:val="73D87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Univer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b/>
        <w:bCs/>
        <w:color w:val="000000"/>
        <w:position w:val="0"/>
        <w:sz w:val="22"/>
        <w:szCs w:val="22"/>
        <w:u w:color="000000"/>
        <w:lang w:val="es-ES_tradnl"/>
      </w:rPr>
    </w:lvl>
  </w:abstractNum>
  <w:abstractNum w:abstractNumId="62" w15:restartNumberingAfterBreak="0">
    <w:nsid w:val="7994649A"/>
    <w:multiLevelType w:val="hybridMultilevel"/>
    <w:tmpl w:val="016602A0"/>
    <w:lvl w:ilvl="0" w:tplc="C6FEA962">
      <w:start w:val="1"/>
      <w:numFmt w:val="upperLetter"/>
      <w:lvlText w:val="%1."/>
      <w:lvlJc w:val="left"/>
      <w:pPr>
        <w:ind w:left="360" w:hanging="360"/>
      </w:pPr>
      <w:rPr>
        <w:rFonts w:hint="default"/>
        <w:color w:val="auto"/>
      </w:rPr>
    </w:lvl>
    <w:lvl w:ilvl="1" w:tplc="11B476D4">
      <w:start w:val="4"/>
      <w:numFmt w:val="decimal"/>
      <w:lvlText w:val="%2."/>
      <w:lvlJc w:val="left"/>
      <w:pPr>
        <w:ind w:left="1080" w:hanging="360"/>
      </w:pPr>
      <w:rPr>
        <w:rFonts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4" w15:restartNumberingAfterBreak="0">
    <w:nsid w:val="7C051419"/>
    <w:multiLevelType w:val="hybridMultilevel"/>
    <w:tmpl w:val="66148FEE"/>
    <w:styleLink w:val="ImportedStyle3"/>
    <w:lvl w:ilvl="0" w:tplc="15D02884">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DCCBF6">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9A4F8BC">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A443A76">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D267004">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AFEA3FC">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62C94E">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DB87126">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D92A">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num w:numId="1">
    <w:abstractNumId w:val="5"/>
  </w:num>
  <w:num w:numId="2">
    <w:abstractNumId w:val="6"/>
  </w:num>
  <w:num w:numId="3">
    <w:abstractNumId w:val="61"/>
  </w:num>
  <w:num w:numId="4">
    <w:abstractNumId w:val="22"/>
  </w:num>
  <w:num w:numId="5">
    <w:abstractNumId w:val="52"/>
  </w:num>
  <w:num w:numId="6">
    <w:abstractNumId w:val="27"/>
  </w:num>
  <w:num w:numId="7">
    <w:abstractNumId w:val="7"/>
  </w:num>
  <w:num w:numId="8">
    <w:abstractNumId w:val="18"/>
  </w:num>
  <w:num w:numId="9">
    <w:abstractNumId w:val="45"/>
  </w:num>
  <w:num w:numId="10">
    <w:abstractNumId w:val="0"/>
  </w:num>
  <w:num w:numId="11">
    <w:abstractNumId w:val="37"/>
  </w:num>
  <w:num w:numId="12">
    <w:abstractNumId w:val="38"/>
  </w:num>
  <w:num w:numId="13">
    <w:abstractNumId w:val="47"/>
  </w:num>
  <w:num w:numId="14">
    <w:abstractNumId w:val="1"/>
  </w:num>
  <w:num w:numId="15">
    <w:abstractNumId w:val="4"/>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51"/>
  </w:num>
  <w:num w:numId="42">
    <w:abstractNumId w:val="54"/>
  </w:num>
  <w:num w:numId="43">
    <w:abstractNumId w:val="55"/>
  </w:num>
  <w:num w:numId="44">
    <w:abstractNumId w:val="58"/>
  </w:num>
  <w:num w:numId="45">
    <w:abstractNumId w:val="60"/>
  </w:num>
  <w:num w:numId="46">
    <w:abstractNumId w:val="63"/>
  </w:num>
  <w:num w:numId="47">
    <w:abstractNumId w:val="65"/>
  </w:num>
  <w:num w:numId="48">
    <w:abstractNumId w:val="66"/>
  </w:num>
  <w:num w:numId="49">
    <w:abstractNumId w:val="67"/>
  </w:num>
  <w:num w:numId="50">
    <w:abstractNumId w:val="68"/>
  </w:num>
  <w:num w:numId="51">
    <w:abstractNumId w:val="21"/>
  </w:num>
  <w:num w:numId="52">
    <w:abstractNumId w:val="41"/>
  </w:num>
  <w:num w:numId="53">
    <w:abstractNumId w:val="56"/>
  </w:num>
  <w:num w:numId="54">
    <w:abstractNumId w:val="48"/>
  </w:num>
  <w:num w:numId="55">
    <w:abstractNumId w:val="50"/>
  </w:num>
  <w:num w:numId="56">
    <w:abstractNumId w:val="53"/>
  </w:num>
  <w:num w:numId="57">
    <w:abstractNumId w:val="43"/>
  </w:num>
  <w:num w:numId="58">
    <w:abstractNumId w:val="59"/>
  </w:num>
  <w:num w:numId="59">
    <w:abstractNumId w:val="57"/>
    <w:lvlOverride w:ilvl="0">
      <w:startOverride w:val="1"/>
    </w:lvlOverride>
  </w:num>
  <w:num w:numId="60">
    <w:abstractNumId w:val="57"/>
  </w:num>
  <w:num w:numId="61">
    <w:abstractNumId w:val="42"/>
  </w:num>
  <w:num w:numId="62">
    <w:abstractNumId w:val="46"/>
  </w:num>
  <w:num w:numId="63">
    <w:abstractNumId w:val="64"/>
  </w:num>
  <w:num w:numId="64">
    <w:abstractNumId w:val="44"/>
  </w:num>
  <w:num w:numId="65">
    <w:abstractNumId w:val="28"/>
  </w:num>
  <w:num w:numId="66">
    <w:abstractNumId w:val="13"/>
  </w:num>
  <w:num w:numId="67">
    <w:abstractNumId w:val="49"/>
  </w:num>
  <w:num w:numId="68">
    <w:abstractNumId w:val="62"/>
  </w:num>
  <w:num w:numId="69">
    <w:abstractNumId w:val="46"/>
  </w:num>
  <w:num w:numId="70">
    <w:abstractNumId w:val="3"/>
  </w:num>
  <w:num w:numId="71">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97A"/>
    <w:rsid w:val="00001B5B"/>
    <w:rsid w:val="00002328"/>
    <w:rsid w:val="00003AC1"/>
    <w:rsid w:val="00003EC6"/>
    <w:rsid w:val="00004013"/>
    <w:rsid w:val="000050CC"/>
    <w:rsid w:val="00005BF3"/>
    <w:rsid w:val="00005E59"/>
    <w:rsid w:val="000060AC"/>
    <w:rsid w:val="00006693"/>
    <w:rsid w:val="00006DD7"/>
    <w:rsid w:val="00006E50"/>
    <w:rsid w:val="00006EDD"/>
    <w:rsid w:val="000070D7"/>
    <w:rsid w:val="00007690"/>
    <w:rsid w:val="00007A99"/>
    <w:rsid w:val="00007B4D"/>
    <w:rsid w:val="00007BD1"/>
    <w:rsid w:val="00010600"/>
    <w:rsid w:val="00010877"/>
    <w:rsid w:val="00010A7E"/>
    <w:rsid w:val="00011132"/>
    <w:rsid w:val="000111A1"/>
    <w:rsid w:val="000111A8"/>
    <w:rsid w:val="00011D57"/>
    <w:rsid w:val="00011E4C"/>
    <w:rsid w:val="00011EB8"/>
    <w:rsid w:val="00012267"/>
    <w:rsid w:val="00012470"/>
    <w:rsid w:val="00012683"/>
    <w:rsid w:val="00012ADD"/>
    <w:rsid w:val="00012C65"/>
    <w:rsid w:val="00012E4F"/>
    <w:rsid w:val="00013BDD"/>
    <w:rsid w:val="00013F78"/>
    <w:rsid w:val="00014FBC"/>
    <w:rsid w:val="00015472"/>
    <w:rsid w:val="00015F42"/>
    <w:rsid w:val="000169CA"/>
    <w:rsid w:val="00016B44"/>
    <w:rsid w:val="00017552"/>
    <w:rsid w:val="0001788C"/>
    <w:rsid w:val="00020925"/>
    <w:rsid w:val="00021201"/>
    <w:rsid w:val="00021557"/>
    <w:rsid w:val="00022424"/>
    <w:rsid w:val="00022F55"/>
    <w:rsid w:val="0002357A"/>
    <w:rsid w:val="00024428"/>
    <w:rsid w:val="00024730"/>
    <w:rsid w:val="00024818"/>
    <w:rsid w:val="000249D7"/>
    <w:rsid w:val="00024BB7"/>
    <w:rsid w:val="000265CB"/>
    <w:rsid w:val="0002681D"/>
    <w:rsid w:val="0003022F"/>
    <w:rsid w:val="00030834"/>
    <w:rsid w:val="00031189"/>
    <w:rsid w:val="000319B1"/>
    <w:rsid w:val="00031A82"/>
    <w:rsid w:val="0003262C"/>
    <w:rsid w:val="00032BDA"/>
    <w:rsid w:val="0003324D"/>
    <w:rsid w:val="000332F4"/>
    <w:rsid w:val="00034456"/>
    <w:rsid w:val="00034BF9"/>
    <w:rsid w:val="00035616"/>
    <w:rsid w:val="00035E22"/>
    <w:rsid w:val="00035ECA"/>
    <w:rsid w:val="00036A8A"/>
    <w:rsid w:val="00036BE0"/>
    <w:rsid w:val="00037633"/>
    <w:rsid w:val="000378D5"/>
    <w:rsid w:val="0004051B"/>
    <w:rsid w:val="00040A05"/>
    <w:rsid w:val="00040C3A"/>
    <w:rsid w:val="000414D2"/>
    <w:rsid w:val="00041B79"/>
    <w:rsid w:val="000427EE"/>
    <w:rsid w:val="00042A17"/>
    <w:rsid w:val="00042B2A"/>
    <w:rsid w:val="0004390C"/>
    <w:rsid w:val="00045601"/>
    <w:rsid w:val="000459E0"/>
    <w:rsid w:val="0004681B"/>
    <w:rsid w:val="00046D40"/>
    <w:rsid w:val="00046D41"/>
    <w:rsid w:val="0004761C"/>
    <w:rsid w:val="00047621"/>
    <w:rsid w:val="00047AF6"/>
    <w:rsid w:val="00047DA5"/>
    <w:rsid w:val="00047F35"/>
    <w:rsid w:val="000516F4"/>
    <w:rsid w:val="0005170B"/>
    <w:rsid w:val="000517B2"/>
    <w:rsid w:val="00051DB2"/>
    <w:rsid w:val="00051EB4"/>
    <w:rsid w:val="00051F6B"/>
    <w:rsid w:val="00052075"/>
    <w:rsid w:val="000520FB"/>
    <w:rsid w:val="00052C1E"/>
    <w:rsid w:val="00052D20"/>
    <w:rsid w:val="00053172"/>
    <w:rsid w:val="00053B2F"/>
    <w:rsid w:val="0005416F"/>
    <w:rsid w:val="00054A5F"/>
    <w:rsid w:val="00054E1B"/>
    <w:rsid w:val="000550C0"/>
    <w:rsid w:val="000552C7"/>
    <w:rsid w:val="00056205"/>
    <w:rsid w:val="000564E1"/>
    <w:rsid w:val="00056C0E"/>
    <w:rsid w:val="000576AA"/>
    <w:rsid w:val="00057789"/>
    <w:rsid w:val="00057843"/>
    <w:rsid w:val="00057D4F"/>
    <w:rsid w:val="00057EDB"/>
    <w:rsid w:val="00060666"/>
    <w:rsid w:val="0006096A"/>
    <w:rsid w:val="0006097A"/>
    <w:rsid w:val="0006100F"/>
    <w:rsid w:val="000611E2"/>
    <w:rsid w:val="00062269"/>
    <w:rsid w:val="00062C0F"/>
    <w:rsid w:val="00062FEC"/>
    <w:rsid w:val="000630E1"/>
    <w:rsid w:val="000639C0"/>
    <w:rsid w:val="00064F12"/>
    <w:rsid w:val="000657E1"/>
    <w:rsid w:val="00065FBA"/>
    <w:rsid w:val="00066108"/>
    <w:rsid w:val="00066378"/>
    <w:rsid w:val="000679BC"/>
    <w:rsid w:val="00070187"/>
    <w:rsid w:val="00070B9D"/>
    <w:rsid w:val="00070F3A"/>
    <w:rsid w:val="0007127E"/>
    <w:rsid w:val="000716C5"/>
    <w:rsid w:val="00071A9D"/>
    <w:rsid w:val="00071E45"/>
    <w:rsid w:val="000728CA"/>
    <w:rsid w:val="00072B03"/>
    <w:rsid w:val="00073C65"/>
    <w:rsid w:val="00074669"/>
    <w:rsid w:val="000756B4"/>
    <w:rsid w:val="00075E23"/>
    <w:rsid w:val="00075E4E"/>
    <w:rsid w:val="000764E3"/>
    <w:rsid w:val="00076BDB"/>
    <w:rsid w:val="0007716F"/>
    <w:rsid w:val="00077A87"/>
    <w:rsid w:val="00080249"/>
    <w:rsid w:val="00080357"/>
    <w:rsid w:val="00081EC3"/>
    <w:rsid w:val="000823DA"/>
    <w:rsid w:val="00082CBB"/>
    <w:rsid w:val="000830D5"/>
    <w:rsid w:val="0008366A"/>
    <w:rsid w:val="00083BF4"/>
    <w:rsid w:val="00084A11"/>
    <w:rsid w:val="00084C5B"/>
    <w:rsid w:val="00085519"/>
    <w:rsid w:val="00085DDF"/>
    <w:rsid w:val="00085F60"/>
    <w:rsid w:val="00085F65"/>
    <w:rsid w:val="000864A6"/>
    <w:rsid w:val="0008675E"/>
    <w:rsid w:val="00086BFA"/>
    <w:rsid w:val="00087231"/>
    <w:rsid w:val="0008733D"/>
    <w:rsid w:val="000901D7"/>
    <w:rsid w:val="00090720"/>
    <w:rsid w:val="00090E48"/>
    <w:rsid w:val="00090E82"/>
    <w:rsid w:val="00091707"/>
    <w:rsid w:val="00091ED5"/>
    <w:rsid w:val="000922C5"/>
    <w:rsid w:val="00092817"/>
    <w:rsid w:val="000929D9"/>
    <w:rsid w:val="00092F32"/>
    <w:rsid w:val="00093055"/>
    <w:rsid w:val="0009344A"/>
    <w:rsid w:val="000942E8"/>
    <w:rsid w:val="0009454E"/>
    <w:rsid w:val="00094AFA"/>
    <w:rsid w:val="0009533B"/>
    <w:rsid w:val="00095575"/>
    <w:rsid w:val="0009575D"/>
    <w:rsid w:val="00095BFB"/>
    <w:rsid w:val="000966E9"/>
    <w:rsid w:val="000973C5"/>
    <w:rsid w:val="000A0948"/>
    <w:rsid w:val="000A0BA7"/>
    <w:rsid w:val="000A0EF3"/>
    <w:rsid w:val="000A16DB"/>
    <w:rsid w:val="000A1E84"/>
    <w:rsid w:val="000A2085"/>
    <w:rsid w:val="000A2229"/>
    <w:rsid w:val="000A254B"/>
    <w:rsid w:val="000A25B1"/>
    <w:rsid w:val="000A3276"/>
    <w:rsid w:val="000A393C"/>
    <w:rsid w:val="000A3E84"/>
    <w:rsid w:val="000A4138"/>
    <w:rsid w:val="000A4481"/>
    <w:rsid w:val="000A4DDD"/>
    <w:rsid w:val="000A5152"/>
    <w:rsid w:val="000A51D4"/>
    <w:rsid w:val="000A5214"/>
    <w:rsid w:val="000A5517"/>
    <w:rsid w:val="000A575F"/>
    <w:rsid w:val="000A584B"/>
    <w:rsid w:val="000A5B0F"/>
    <w:rsid w:val="000A62C0"/>
    <w:rsid w:val="000A650D"/>
    <w:rsid w:val="000A68B6"/>
    <w:rsid w:val="000A6BA2"/>
    <w:rsid w:val="000A6C50"/>
    <w:rsid w:val="000A73C0"/>
    <w:rsid w:val="000A76B0"/>
    <w:rsid w:val="000A7A76"/>
    <w:rsid w:val="000A7DBA"/>
    <w:rsid w:val="000A7FB8"/>
    <w:rsid w:val="000B040F"/>
    <w:rsid w:val="000B06AC"/>
    <w:rsid w:val="000B094A"/>
    <w:rsid w:val="000B13AF"/>
    <w:rsid w:val="000B25B8"/>
    <w:rsid w:val="000B25FC"/>
    <w:rsid w:val="000B276D"/>
    <w:rsid w:val="000B2EF7"/>
    <w:rsid w:val="000B3198"/>
    <w:rsid w:val="000B3441"/>
    <w:rsid w:val="000B39B4"/>
    <w:rsid w:val="000B418A"/>
    <w:rsid w:val="000B478D"/>
    <w:rsid w:val="000B4DAF"/>
    <w:rsid w:val="000B4EAA"/>
    <w:rsid w:val="000B50C3"/>
    <w:rsid w:val="000C0092"/>
    <w:rsid w:val="000C0149"/>
    <w:rsid w:val="000C04CF"/>
    <w:rsid w:val="000C0DC6"/>
    <w:rsid w:val="000C1094"/>
    <w:rsid w:val="000C1324"/>
    <w:rsid w:val="000C1B5A"/>
    <w:rsid w:val="000C1C2F"/>
    <w:rsid w:val="000C1E67"/>
    <w:rsid w:val="000C24CD"/>
    <w:rsid w:val="000C2751"/>
    <w:rsid w:val="000C2C82"/>
    <w:rsid w:val="000C3514"/>
    <w:rsid w:val="000C3705"/>
    <w:rsid w:val="000C45C3"/>
    <w:rsid w:val="000C5219"/>
    <w:rsid w:val="000C556C"/>
    <w:rsid w:val="000C55CE"/>
    <w:rsid w:val="000C59A4"/>
    <w:rsid w:val="000C5DEE"/>
    <w:rsid w:val="000C6B04"/>
    <w:rsid w:val="000C6E20"/>
    <w:rsid w:val="000C6FFD"/>
    <w:rsid w:val="000C7F55"/>
    <w:rsid w:val="000D0A5D"/>
    <w:rsid w:val="000D0BD2"/>
    <w:rsid w:val="000D10DB"/>
    <w:rsid w:val="000D1FC7"/>
    <w:rsid w:val="000D32CB"/>
    <w:rsid w:val="000D3921"/>
    <w:rsid w:val="000D3B27"/>
    <w:rsid w:val="000D43E0"/>
    <w:rsid w:val="000D5691"/>
    <w:rsid w:val="000D5AAB"/>
    <w:rsid w:val="000D600D"/>
    <w:rsid w:val="000D6817"/>
    <w:rsid w:val="000D68F4"/>
    <w:rsid w:val="000D6EEF"/>
    <w:rsid w:val="000E0392"/>
    <w:rsid w:val="000E07F7"/>
    <w:rsid w:val="000E0F8F"/>
    <w:rsid w:val="000E0FB5"/>
    <w:rsid w:val="000E1356"/>
    <w:rsid w:val="000E22B6"/>
    <w:rsid w:val="000E24D2"/>
    <w:rsid w:val="000E373A"/>
    <w:rsid w:val="000E3937"/>
    <w:rsid w:val="000E43DA"/>
    <w:rsid w:val="000E44C7"/>
    <w:rsid w:val="000E56C3"/>
    <w:rsid w:val="000E69B3"/>
    <w:rsid w:val="000E6A5E"/>
    <w:rsid w:val="000E6EDD"/>
    <w:rsid w:val="000E6F7E"/>
    <w:rsid w:val="000E7140"/>
    <w:rsid w:val="000E7636"/>
    <w:rsid w:val="000E7ED0"/>
    <w:rsid w:val="000E7F69"/>
    <w:rsid w:val="000F0A25"/>
    <w:rsid w:val="000F0C58"/>
    <w:rsid w:val="000F0EEC"/>
    <w:rsid w:val="000F10C4"/>
    <w:rsid w:val="000F4547"/>
    <w:rsid w:val="000F4D36"/>
    <w:rsid w:val="000F51DA"/>
    <w:rsid w:val="000F5BCA"/>
    <w:rsid w:val="000F5D64"/>
    <w:rsid w:val="000F7409"/>
    <w:rsid w:val="00100FB7"/>
    <w:rsid w:val="00101553"/>
    <w:rsid w:val="001024E3"/>
    <w:rsid w:val="001025B1"/>
    <w:rsid w:val="00102742"/>
    <w:rsid w:val="0010275F"/>
    <w:rsid w:val="001032AB"/>
    <w:rsid w:val="00103331"/>
    <w:rsid w:val="00103526"/>
    <w:rsid w:val="00103ABE"/>
    <w:rsid w:val="00104889"/>
    <w:rsid w:val="00104896"/>
    <w:rsid w:val="00104B11"/>
    <w:rsid w:val="00104C50"/>
    <w:rsid w:val="00104CA5"/>
    <w:rsid w:val="00105599"/>
    <w:rsid w:val="0010592A"/>
    <w:rsid w:val="00105C96"/>
    <w:rsid w:val="0010625B"/>
    <w:rsid w:val="001063FA"/>
    <w:rsid w:val="0010643D"/>
    <w:rsid w:val="00106990"/>
    <w:rsid w:val="00107FBC"/>
    <w:rsid w:val="001110DA"/>
    <w:rsid w:val="00111D3C"/>
    <w:rsid w:val="00112617"/>
    <w:rsid w:val="001126EB"/>
    <w:rsid w:val="001128E0"/>
    <w:rsid w:val="00112956"/>
    <w:rsid w:val="00113149"/>
    <w:rsid w:val="001131EC"/>
    <w:rsid w:val="00113ACF"/>
    <w:rsid w:val="001142FE"/>
    <w:rsid w:val="00114527"/>
    <w:rsid w:val="00114A02"/>
    <w:rsid w:val="00115009"/>
    <w:rsid w:val="00115CB1"/>
    <w:rsid w:val="001171CF"/>
    <w:rsid w:val="00122709"/>
    <w:rsid w:val="00122DF4"/>
    <w:rsid w:val="00122F98"/>
    <w:rsid w:val="00123ECD"/>
    <w:rsid w:val="00125C97"/>
    <w:rsid w:val="00125D3B"/>
    <w:rsid w:val="0012610A"/>
    <w:rsid w:val="001263B8"/>
    <w:rsid w:val="00126557"/>
    <w:rsid w:val="001267FB"/>
    <w:rsid w:val="00126BC6"/>
    <w:rsid w:val="00126CA5"/>
    <w:rsid w:val="00126F3B"/>
    <w:rsid w:val="00127AE1"/>
    <w:rsid w:val="00130A27"/>
    <w:rsid w:val="00130DE9"/>
    <w:rsid w:val="00131042"/>
    <w:rsid w:val="0013104F"/>
    <w:rsid w:val="0013178F"/>
    <w:rsid w:val="00131B01"/>
    <w:rsid w:val="00131B9D"/>
    <w:rsid w:val="00133465"/>
    <w:rsid w:val="0013403C"/>
    <w:rsid w:val="001347D8"/>
    <w:rsid w:val="00134A7E"/>
    <w:rsid w:val="00134FD9"/>
    <w:rsid w:val="00134FF0"/>
    <w:rsid w:val="001357AD"/>
    <w:rsid w:val="00135988"/>
    <w:rsid w:val="001365B6"/>
    <w:rsid w:val="00136CB7"/>
    <w:rsid w:val="00136D3B"/>
    <w:rsid w:val="00137EBA"/>
    <w:rsid w:val="00140380"/>
    <w:rsid w:val="0014051C"/>
    <w:rsid w:val="001405A0"/>
    <w:rsid w:val="00140921"/>
    <w:rsid w:val="00140FF3"/>
    <w:rsid w:val="00141DEA"/>
    <w:rsid w:val="00142A56"/>
    <w:rsid w:val="00142AE8"/>
    <w:rsid w:val="00142FA1"/>
    <w:rsid w:val="0014320C"/>
    <w:rsid w:val="00143E4B"/>
    <w:rsid w:val="00143EB9"/>
    <w:rsid w:val="0014445A"/>
    <w:rsid w:val="001447D2"/>
    <w:rsid w:val="00145EDC"/>
    <w:rsid w:val="00147723"/>
    <w:rsid w:val="00147DC5"/>
    <w:rsid w:val="00150054"/>
    <w:rsid w:val="001503E0"/>
    <w:rsid w:val="00150DD0"/>
    <w:rsid w:val="00152085"/>
    <w:rsid w:val="00152829"/>
    <w:rsid w:val="00152944"/>
    <w:rsid w:val="0015306E"/>
    <w:rsid w:val="0015335C"/>
    <w:rsid w:val="00154179"/>
    <w:rsid w:val="0015526B"/>
    <w:rsid w:val="001558D7"/>
    <w:rsid w:val="0015592F"/>
    <w:rsid w:val="00155EEE"/>
    <w:rsid w:val="00155F1D"/>
    <w:rsid w:val="00157341"/>
    <w:rsid w:val="001577B2"/>
    <w:rsid w:val="00157A9F"/>
    <w:rsid w:val="00157AAB"/>
    <w:rsid w:val="00157CE4"/>
    <w:rsid w:val="001600A4"/>
    <w:rsid w:val="001603B5"/>
    <w:rsid w:val="001604B8"/>
    <w:rsid w:val="0016108B"/>
    <w:rsid w:val="00161150"/>
    <w:rsid w:val="0016235F"/>
    <w:rsid w:val="00162778"/>
    <w:rsid w:val="00162AAD"/>
    <w:rsid w:val="00162CEF"/>
    <w:rsid w:val="0016356D"/>
    <w:rsid w:val="00163742"/>
    <w:rsid w:val="001638DF"/>
    <w:rsid w:val="0016411C"/>
    <w:rsid w:val="0016440B"/>
    <w:rsid w:val="00164449"/>
    <w:rsid w:val="0016465A"/>
    <w:rsid w:val="0016499F"/>
    <w:rsid w:val="00165F52"/>
    <w:rsid w:val="00166496"/>
    <w:rsid w:val="00166F26"/>
    <w:rsid w:val="00166F35"/>
    <w:rsid w:val="00167A34"/>
    <w:rsid w:val="00167E2C"/>
    <w:rsid w:val="00170952"/>
    <w:rsid w:val="00170976"/>
    <w:rsid w:val="001710D1"/>
    <w:rsid w:val="00171725"/>
    <w:rsid w:val="0017269A"/>
    <w:rsid w:val="00172A98"/>
    <w:rsid w:val="001733D5"/>
    <w:rsid w:val="0017348C"/>
    <w:rsid w:val="001739DA"/>
    <w:rsid w:val="001739F5"/>
    <w:rsid w:val="001747B4"/>
    <w:rsid w:val="00174911"/>
    <w:rsid w:val="001749B0"/>
    <w:rsid w:val="00174F72"/>
    <w:rsid w:val="00175827"/>
    <w:rsid w:val="0017642E"/>
    <w:rsid w:val="0017695A"/>
    <w:rsid w:val="00176967"/>
    <w:rsid w:val="00176DEE"/>
    <w:rsid w:val="001773AE"/>
    <w:rsid w:val="00180064"/>
    <w:rsid w:val="0018009D"/>
    <w:rsid w:val="0018037F"/>
    <w:rsid w:val="001805B4"/>
    <w:rsid w:val="00180C0F"/>
    <w:rsid w:val="00180D3C"/>
    <w:rsid w:val="00180E3B"/>
    <w:rsid w:val="001819A8"/>
    <w:rsid w:val="00182F27"/>
    <w:rsid w:val="00183113"/>
    <w:rsid w:val="001836BA"/>
    <w:rsid w:val="00183937"/>
    <w:rsid w:val="00183D04"/>
    <w:rsid w:val="00184083"/>
    <w:rsid w:val="0018495E"/>
    <w:rsid w:val="00184C6F"/>
    <w:rsid w:val="00185513"/>
    <w:rsid w:val="0018575D"/>
    <w:rsid w:val="00186608"/>
    <w:rsid w:val="00187268"/>
    <w:rsid w:val="00190214"/>
    <w:rsid w:val="00190E99"/>
    <w:rsid w:val="00190F48"/>
    <w:rsid w:val="0019136D"/>
    <w:rsid w:val="001913E1"/>
    <w:rsid w:val="001917D9"/>
    <w:rsid w:val="00192FD4"/>
    <w:rsid w:val="0019332D"/>
    <w:rsid w:val="001937A5"/>
    <w:rsid w:val="001940F0"/>
    <w:rsid w:val="001947BA"/>
    <w:rsid w:val="00194D8A"/>
    <w:rsid w:val="0019569B"/>
    <w:rsid w:val="00196280"/>
    <w:rsid w:val="001965CC"/>
    <w:rsid w:val="00196728"/>
    <w:rsid w:val="001970F2"/>
    <w:rsid w:val="0019748D"/>
    <w:rsid w:val="001A013D"/>
    <w:rsid w:val="001A0782"/>
    <w:rsid w:val="001A0B42"/>
    <w:rsid w:val="001A1A51"/>
    <w:rsid w:val="001A1B32"/>
    <w:rsid w:val="001A2434"/>
    <w:rsid w:val="001A25F1"/>
    <w:rsid w:val="001A306B"/>
    <w:rsid w:val="001A39CF"/>
    <w:rsid w:val="001A4221"/>
    <w:rsid w:val="001A4B7F"/>
    <w:rsid w:val="001A5F27"/>
    <w:rsid w:val="001A6423"/>
    <w:rsid w:val="001A64EB"/>
    <w:rsid w:val="001A7439"/>
    <w:rsid w:val="001A7870"/>
    <w:rsid w:val="001A7D5B"/>
    <w:rsid w:val="001A7EDC"/>
    <w:rsid w:val="001B02A6"/>
    <w:rsid w:val="001B17B9"/>
    <w:rsid w:val="001B2FCD"/>
    <w:rsid w:val="001B30F7"/>
    <w:rsid w:val="001B3279"/>
    <w:rsid w:val="001B413D"/>
    <w:rsid w:val="001B4593"/>
    <w:rsid w:val="001B4974"/>
    <w:rsid w:val="001B4E52"/>
    <w:rsid w:val="001B54FA"/>
    <w:rsid w:val="001B56BC"/>
    <w:rsid w:val="001B5F45"/>
    <w:rsid w:val="001B60FE"/>
    <w:rsid w:val="001B658D"/>
    <w:rsid w:val="001B77F0"/>
    <w:rsid w:val="001B7BA1"/>
    <w:rsid w:val="001C04BF"/>
    <w:rsid w:val="001C0710"/>
    <w:rsid w:val="001C1241"/>
    <w:rsid w:val="001C14CB"/>
    <w:rsid w:val="001C1B41"/>
    <w:rsid w:val="001C2003"/>
    <w:rsid w:val="001C2173"/>
    <w:rsid w:val="001C217B"/>
    <w:rsid w:val="001C29C2"/>
    <w:rsid w:val="001C2A75"/>
    <w:rsid w:val="001C2F45"/>
    <w:rsid w:val="001C3032"/>
    <w:rsid w:val="001C311D"/>
    <w:rsid w:val="001C38BC"/>
    <w:rsid w:val="001C3B2D"/>
    <w:rsid w:val="001C3FE4"/>
    <w:rsid w:val="001C4006"/>
    <w:rsid w:val="001C460D"/>
    <w:rsid w:val="001C48AF"/>
    <w:rsid w:val="001C4ADD"/>
    <w:rsid w:val="001C50DC"/>
    <w:rsid w:val="001C52AF"/>
    <w:rsid w:val="001C5D79"/>
    <w:rsid w:val="001C6025"/>
    <w:rsid w:val="001C66D3"/>
    <w:rsid w:val="001C68E7"/>
    <w:rsid w:val="001C6C1E"/>
    <w:rsid w:val="001C6E0E"/>
    <w:rsid w:val="001C6F52"/>
    <w:rsid w:val="001D02D5"/>
    <w:rsid w:val="001D12B7"/>
    <w:rsid w:val="001D1343"/>
    <w:rsid w:val="001D1A17"/>
    <w:rsid w:val="001D1FC1"/>
    <w:rsid w:val="001D3218"/>
    <w:rsid w:val="001D3CD0"/>
    <w:rsid w:val="001D41F0"/>
    <w:rsid w:val="001D42A6"/>
    <w:rsid w:val="001D475E"/>
    <w:rsid w:val="001D4D75"/>
    <w:rsid w:val="001D59B1"/>
    <w:rsid w:val="001D5FB5"/>
    <w:rsid w:val="001D652F"/>
    <w:rsid w:val="001D6BA1"/>
    <w:rsid w:val="001D6D5D"/>
    <w:rsid w:val="001D75F2"/>
    <w:rsid w:val="001D7B45"/>
    <w:rsid w:val="001D7D96"/>
    <w:rsid w:val="001E0270"/>
    <w:rsid w:val="001E0808"/>
    <w:rsid w:val="001E1061"/>
    <w:rsid w:val="001E10CA"/>
    <w:rsid w:val="001E2867"/>
    <w:rsid w:val="001E2D48"/>
    <w:rsid w:val="001E3030"/>
    <w:rsid w:val="001E3060"/>
    <w:rsid w:val="001E31D4"/>
    <w:rsid w:val="001E3F3E"/>
    <w:rsid w:val="001E477E"/>
    <w:rsid w:val="001E4D7D"/>
    <w:rsid w:val="001E53FB"/>
    <w:rsid w:val="001E59A9"/>
    <w:rsid w:val="001E5A1A"/>
    <w:rsid w:val="001E5F04"/>
    <w:rsid w:val="001E699E"/>
    <w:rsid w:val="001E6C29"/>
    <w:rsid w:val="001E6C37"/>
    <w:rsid w:val="001F094C"/>
    <w:rsid w:val="001F09EF"/>
    <w:rsid w:val="001F0B72"/>
    <w:rsid w:val="001F1143"/>
    <w:rsid w:val="001F3B00"/>
    <w:rsid w:val="001F4A4B"/>
    <w:rsid w:val="001F4DB8"/>
    <w:rsid w:val="001F5C23"/>
    <w:rsid w:val="001F5DD2"/>
    <w:rsid w:val="001F62D9"/>
    <w:rsid w:val="001F65E5"/>
    <w:rsid w:val="001F6E7F"/>
    <w:rsid w:val="00200D2E"/>
    <w:rsid w:val="002018AF"/>
    <w:rsid w:val="002027D1"/>
    <w:rsid w:val="00202A19"/>
    <w:rsid w:val="00203841"/>
    <w:rsid w:val="00203AEE"/>
    <w:rsid w:val="00204924"/>
    <w:rsid w:val="00204DFD"/>
    <w:rsid w:val="002056C8"/>
    <w:rsid w:val="00206728"/>
    <w:rsid w:val="002067F4"/>
    <w:rsid w:val="00207544"/>
    <w:rsid w:val="0021055A"/>
    <w:rsid w:val="00210E0E"/>
    <w:rsid w:val="002111AE"/>
    <w:rsid w:val="002112A5"/>
    <w:rsid w:val="00211891"/>
    <w:rsid w:val="00211F19"/>
    <w:rsid w:val="00211F3B"/>
    <w:rsid w:val="002131D3"/>
    <w:rsid w:val="00213A2F"/>
    <w:rsid w:val="0021485B"/>
    <w:rsid w:val="00214962"/>
    <w:rsid w:val="002152E5"/>
    <w:rsid w:val="0021591D"/>
    <w:rsid w:val="00215CE2"/>
    <w:rsid w:val="00217555"/>
    <w:rsid w:val="00217D6A"/>
    <w:rsid w:val="00220F56"/>
    <w:rsid w:val="0022169F"/>
    <w:rsid w:val="00221704"/>
    <w:rsid w:val="002218FD"/>
    <w:rsid w:val="00222050"/>
    <w:rsid w:val="002222EF"/>
    <w:rsid w:val="00222647"/>
    <w:rsid w:val="002226AA"/>
    <w:rsid w:val="00223245"/>
    <w:rsid w:val="002232BE"/>
    <w:rsid w:val="002237F3"/>
    <w:rsid w:val="00223AA5"/>
    <w:rsid w:val="00224AA7"/>
    <w:rsid w:val="00224CA5"/>
    <w:rsid w:val="00224E5F"/>
    <w:rsid w:val="00225375"/>
    <w:rsid w:val="002256AE"/>
    <w:rsid w:val="00225D07"/>
    <w:rsid w:val="00227020"/>
    <w:rsid w:val="002277C3"/>
    <w:rsid w:val="0023061B"/>
    <w:rsid w:val="00231242"/>
    <w:rsid w:val="00231CD1"/>
    <w:rsid w:val="00232A3C"/>
    <w:rsid w:val="00233353"/>
    <w:rsid w:val="00234BE7"/>
    <w:rsid w:val="00234DE9"/>
    <w:rsid w:val="002351E7"/>
    <w:rsid w:val="0023660F"/>
    <w:rsid w:val="002368C5"/>
    <w:rsid w:val="00236FA5"/>
    <w:rsid w:val="002374C5"/>
    <w:rsid w:val="0024070A"/>
    <w:rsid w:val="002411A1"/>
    <w:rsid w:val="00241B9E"/>
    <w:rsid w:val="00241D97"/>
    <w:rsid w:val="00241F98"/>
    <w:rsid w:val="0024247E"/>
    <w:rsid w:val="0024379B"/>
    <w:rsid w:val="00244E7D"/>
    <w:rsid w:val="00245446"/>
    <w:rsid w:val="00245452"/>
    <w:rsid w:val="00245F40"/>
    <w:rsid w:val="002461CD"/>
    <w:rsid w:val="00246859"/>
    <w:rsid w:val="00246E7D"/>
    <w:rsid w:val="00247019"/>
    <w:rsid w:val="00247403"/>
    <w:rsid w:val="00247542"/>
    <w:rsid w:val="00247592"/>
    <w:rsid w:val="00247E0E"/>
    <w:rsid w:val="00250662"/>
    <w:rsid w:val="00250B61"/>
    <w:rsid w:val="00250F0E"/>
    <w:rsid w:val="00250F42"/>
    <w:rsid w:val="0025100E"/>
    <w:rsid w:val="0025135E"/>
    <w:rsid w:val="002520C0"/>
    <w:rsid w:val="00253609"/>
    <w:rsid w:val="00253DE5"/>
    <w:rsid w:val="00253E5E"/>
    <w:rsid w:val="00253F1B"/>
    <w:rsid w:val="00254210"/>
    <w:rsid w:val="00254856"/>
    <w:rsid w:val="00255140"/>
    <w:rsid w:val="002552DF"/>
    <w:rsid w:val="0025532E"/>
    <w:rsid w:val="00255475"/>
    <w:rsid w:val="00255759"/>
    <w:rsid w:val="00255BE3"/>
    <w:rsid w:val="002560C3"/>
    <w:rsid w:val="00256813"/>
    <w:rsid w:val="00256D45"/>
    <w:rsid w:val="0025711C"/>
    <w:rsid w:val="0025755D"/>
    <w:rsid w:val="00257893"/>
    <w:rsid w:val="00260C70"/>
    <w:rsid w:val="0026109F"/>
    <w:rsid w:val="0026124E"/>
    <w:rsid w:val="0026154C"/>
    <w:rsid w:val="00261C06"/>
    <w:rsid w:val="002626A2"/>
    <w:rsid w:val="002626F5"/>
    <w:rsid w:val="00262C41"/>
    <w:rsid w:val="00262ECA"/>
    <w:rsid w:val="00262FF2"/>
    <w:rsid w:val="00263B2B"/>
    <w:rsid w:val="00264033"/>
    <w:rsid w:val="00264870"/>
    <w:rsid w:val="00264944"/>
    <w:rsid w:val="00264998"/>
    <w:rsid w:val="00264A11"/>
    <w:rsid w:val="00264E59"/>
    <w:rsid w:val="00265031"/>
    <w:rsid w:val="00265712"/>
    <w:rsid w:val="00266092"/>
    <w:rsid w:val="00266B61"/>
    <w:rsid w:val="0026712A"/>
    <w:rsid w:val="00267891"/>
    <w:rsid w:val="00267EF0"/>
    <w:rsid w:val="0027004C"/>
    <w:rsid w:val="002701A7"/>
    <w:rsid w:val="002704DB"/>
    <w:rsid w:val="002704E0"/>
    <w:rsid w:val="002706E4"/>
    <w:rsid w:val="00270C7A"/>
    <w:rsid w:val="00271104"/>
    <w:rsid w:val="00271175"/>
    <w:rsid w:val="0027128E"/>
    <w:rsid w:val="00272570"/>
    <w:rsid w:val="00272596"/>
    <w:rsid w:val="00272854"/>
    <w:rsid w:val="00272A02"/>
    <w:rsid w:val="00272DEF"/>
    <w:rsid w:val="00272F7D"/>
    <w:rsid w:val="00273032"/>
    <w:rsid w:val="002730F6"/>
    <w:rsid w:val="00273854"/>
    <w:rsid w:val="00273DE2"/>
    <w:rsid w:val="00274F86"/>
    <w:rsid w:val="002758EF"/>
    <w:rsid w:val="00275FC9"/>
    <w:rsid w:val="0027671E"/>
    <w:rsid w:val="00276C31"/>
    <w:rsid w:val="002772E3"/>
    <w:rsid w:val="002809AC"/>
    <w:rsid w:val="0028111A"/>
    <w:rsid w:val="00281829"/>
    <w:rsid w:val="00283909"/>
    <w:rsid w:val="0028392E"/>
    <w:rsid w:val="002840B2"/>
    <w:rsid w:val="00284130"/>
    <w:rsid w:val="00284173"/>
    <w:rsid w:val="00284E86"/>
    <w:rsid w:val="002869C6"/>
    <w:rsid w:val="00287642"/>
    <w:rsid w:val="00287B22"/>
    <w:rsid w:val="00290094"/>
    <w:rsid w:val="0029089D"/>
    <w:rsid w:val="00291C7D"/>
    <w:rsid w:val="00292239"/>
    <w:rsid w:val="0029275D"/>
    <w:rsid w:val="00292CEC"/>
    <w:rsid w:val="00293513"/>
    <w:rsid w:val="0029397E"/>
    <w:rsid w:val="00293AEB"/>
    <w:rsid w:val="00293B75"/>
    <w:rsid w:val="00293CA2"/>
    <w:rsid w:val="0029466E"/>
    <w:rsid w:val="00294727"/>
    <w:rsid w:val="00294B4A"/>
    <w:rsid w:val="00294FA9"/>
    <w:rsid w:val="002955D3"/>
    <w:rsid w:val="002957D7"/>
    <w:rsid w:val="00295C76"/>
    <w:rsid w:val="0029615A"/>
    <w:rsid w:val="002963E4"/>
    <w:rsid w:val="00296BE8"/>
    <w:rsid w:val="0029715B"/>
    <w:rsid w:val="00297288"/>
    <w:rsid w:val="0029754B"/>
    <w:rsid w:val="00297B6C"/>
    <w:rsid w:val="002A00C2"/>
    <w:rsid w:val="002A036F"/>
    <w:rsid w:val="002A05B1"/>
    <w:rsid w:val="002A1564"/>
    <w:rsid w:val="002A1C6E"/>
    <w:rsid w:val="002A1D6A"/>
    <w:rsid w:val="002A1EF3"/>
    <w:rsid w:val="002A24D4"/>
    <w:rsid w:val="002A2593"/>
    <w:rsid w:val="002A2720"/>
    <w:rsid w:val="002A2BEB"/>
    <w:rsid w:val="002A3308"/>
    <w:rsid w:val="002A353A"/>
    <w:rsid w:val="002A3CD5"/>
    <w:rsid w:val="002A4B4A"/>
    <w:rsid w:val="002A5150"/>
    <w:rsid w:val="002A5269"/>
    <w:rsid w:val="002A6EAD"/>
    <w:rsid w:val="002A733A"/>
    <w:rsid w:val="002A78CC"/>
    <w:rsid w:val="002A7925"/>
    <w:rsid w:val="002A7A01"/>
    <w:rsid w:val="002B008D"/>
    <w:rsid w:val="002B0BE7"/>
    <w:rsid w:val="002B0C15"/>
    <w:rsid w:val="002B110C"/>
    <w:rsid w:val="002B1184"/>
    <w:rsid w:val="002B1D55"/>
    <w:rsid w:val="002B29F1"/>
    <w:rsid w:val="002B2AB5"/>
    <w:rsid w:val="002B30E6"/>
    <w:rsid w:val="002B33F6"/>
    <w:rsid w:val="002B3A2B"/>
    <w:rsid w:val="002B3CCF"/>
    <w:rsid w:val="002B4417"/>
    <w:rsid w:val="002B4B61"/>
    <w:rsid w:val="002B5794"/>
    <w:rsid w:val="002B5AF9"/>
    <w:rsid w:val="002B5F8A"/>
    <w:rsid w:val="002B6002"/>
    <w:rsid w:val="002B6682"/>
    <w:rsid w:val="002B7448"/>
    <w:rsid w:val="002C0B64"/>
    <w:rsid w:val="002C10D7"/>
    <w:rsid w:val="002C1641"/>
    <w:rsid w:val="002C1EB3"/>
    <w:rsid w:val="002C1F13"/>
    <w:rsid w:val="002C2792"/>
    <w:rsid w:val="002C2FB9"/>
    <w:rsid w:val="002C3312"/>
    <w:rsid w:val="002C3671"/>
    <w:rsid w:val="002C37C7"/>
    <w:rsid w:val="002C3D66"/>
    <w:rsid w:val="002C4070"/>
    <w:rsid w:val="002C440D"/>
    <w:rsid w:val="002C527E"/>
    <w:rsid w:val="002C58D2"/>
    <w:rsid w:val="002C5A89"/>
    <w:rsid w:val="002C5BCE"/>
    <w:rsid w:val="002C5DC6"/>
    <w:rsid w:val="002C5EC4"/>
    <w:rsid w:val="002C6557"/>
    <w:rsid w:val="002C6C33"/>
    <w:rsid w:val="002D0295"/>
    <w:rsid w:val="002D033F"/>
    <w:rsid w:val="002D064D"/>
    <w:rsid w:val="002D12CF"/>
    <w:rsid w:val="002D1B85"/>
    <w:rsid w:val="002D1CFA"/>
    <w:rsid w:val="002D33B3"/>
    <w:rsid w:val="002D40D8"/>
    <w:rsid w:val="002D41C9"/>
    <w:rsid w:val="002D45C2"/>
    <w:rsid w:val="002D4CA0"/>
    <w:rsid w:val="002D5514"/>
    <w:rsid w:val="002D5D4E"/>
    <w:rsid w:val="002D628F"/>
    <w:rsid w:val="002D6E69"/>
    <w:rsid w:val="002D7148"/>
    <w:rsid w:val="002D7DC4"/>
    <w:rsid w:val="002D7EA2"/>
    <w:rsid w:val="002E03A4"/>
    <w:rsid w:val="002E10CD"/>
    <w:rsid w:val="002E10DC"/>
    <w:rsid w:val="002E15DF"/>
    <w:rsid w:val="002E16E8"/>
    <w:rsid w:val="002E187C"/>
    <w:rsid w:val="002E18E3"/>
    <w:rsid w:val="002E1CDE"/>
    <w:rsid w:val="002E2267"/>
    <w:rsid w:val="002E2779"/>
    <w:rsid w:val="002E349E"/>
    <w:rsid w:val="002E35D7"/>
    <w:rsid w:val="002E3921"/>
    <w:rsid w:val="002E3C15"/>
    <w:rsid w:val="002E42B5"/>
    <w:rsid w:val="002E432F"/>
    <w:rsid w:val="002E4F0A"/>
    <w:rsid w:val="002E5A58"/>
    <w:rsid w:val="002E61E7"/>
    <w:rsid w:val="002E620F"/>
    <w:rsid w:val="002E6267"/>
    <w:rsid w:val="002E6663"/>
    <w:rsid w:val="002E6B47"/>
    <w:rsid w:val="002E6E57"/>
    <w:rsid w:val="002E70EC"/>
    <w:rsid w:val="002E755E"/>
    <w:rsid w:val="002E7736"/>
    <w:rsid w:val="002E78C1"/>
    <w:rsid w:val="002E7E79"/>
    <w:rsid w:val="002F0138"/>
    <w:rsid w:val="002F023D"/>
    <w:rsid w:val="002F097A"/>
    <w:rsid w:val="002F17C9"/>
    <w:rsid w:val="002F1B00"/>
    <w:rsid w:val="002F1B4A"/>
    <w:rsid w:val="002F2358"/>
    <w:rsid w:val="002F2430"/>
    <w:rsid w:val="002F2D41"/>
    <w:rsid w:val="002F2FCB"/>
    <w:rsid w:val="002F30A3"/>
    <w:rsid w:val="002F3202"/>
    <w:rsid w:val="002F3554"/>
    <w:rsid w:val="002F3598"/>
    <w:rsid w:val="002F35CB"/>
    <w:rsid w:val="002F3D27"/>
    <w:rsid w:val="002F414B"/>
    <w:rsid w:val="002F443F"/>
    <w:rsid w:val="002F4FE5"/>
    <w:rsid w:val="002F503E"/>
    <w:rsid w:val="002F5686"/>
    <w:rsid w:val="002F5941"/>
    <w:rsid w:val="002F5E45"/>
    <w:rsid w:val="002F6201"/>
    <w:rsid w:val="002F63D9"/>
    <w:rsid w:val="002F64D5"/>
    <w:rsid w:val="002F6C1E"/>
    <w:rsid w:val="002F6ECD"/>
    <w:rsid w:val="002F7B0F"/>
    <w:rsid w:val="00300F96"/>
    <w:rsid w:val="00301075"/>
    <w:rsid w:val="00301990"/>
    <w:rsid w:val="00301B3D"/>
    <w:rsid w:val="00301F71"/>
    <w:rsid w:val="00302733"/>
    <w:rsid w:val="003035DD"/>
    <w:rsid w:val="00303B04"/>
    <w:rsid w:val="00303D2D"/>
    <w:rsid w:val="00304182"/>
    <w:rsid w:val="0030446B"/>
    <w:rsid w:val="00304EED"/>
    <w:rsid w:val="003058E3"/>
    <w:rsid w:val="0030600F"/>
    <w:rsid w:val="00306012"/>
    <w:rsid w:val="00306C30"/>
    <w:rsid w:val="00306D2A"/>
    <w:rsid w:val="003070DE"/>
    <w:rsid w:val="003070EA"/>
    <w:rsid w:val="00307577"/>
    <w:rsid w:val="00307C8D"/>
    <w:rsid w:val="00307DF7"/>
    <w:rsid w:val="00310A00"/>
    <w:rsid w:val="00310EFD"/>
    <w:rsid w:val="003112C6"/>
    <w:rsid w:val="00311628"/>
    <w:rsid w:val="00311A4F"/>
    <w:rsid w:val="00313332"/>
    <w:rsid w:val="00313519"/>
    <w:rsid w:val="00313D9B"/>
    <w:rsid w:val="00314078"/>
    <w:rsid w:val="00315905"/>
    <w:rsid w:val="00316026"/>
    <w:rsid w:val="00316559"/>
    <w:rsid w:val="003166CB"/>
    <w:rsid w:val="003169FA"/>
    <w:rsid w:val="0031724D"/>
    <w:rsid w:val="00317255"/>
    <w:rsid w:val="00317E8A"/>
    <w:rsid w:val="00317FC6"/>
    <w:rsid w:val="00320402"/>
    <w:rsid w:val="00320A64"/>
    <w:rsid w:val="00320AB6"/>
    <w:rsid w:val="00320D26"/>
    <w:rsid w:val="003215F2"/>
    <w:rsid w:val="003218DF"/>
    <w:rsid w:val="00321A96"/>
    <w:rsid w:val="00322398"/>
    <w:rsid w:val="00322450"/>
    <w:rsid w:val="0032360D"/>
    <w:rsid w:val="00323860"/>
    <w:rsid w:val="003241CF"/>
    <w:rsid w:val="003242B1"/>
    <w:rsid w:val="003245A7"/>
    <w:rsid w:val="003246B5"/>
    <w:rsid w:val="00324882"/>
    <w:rsid w:val="003249CF"/>
    <w:rsid w:val="003267B5"/>
    <w:rsid w:val="00327501"/>
    <w:rsid w:val="00327AC5"/>
    <w:rsid w:val="00330196"/>
    <w:rsid w:val="0033054B"/>
    <w:rsid w:val="00330DB1"/>
    <w:rsid w:val="00330E0E"/>
    <w:rsid w:val="0033161A"/>
    <w:rsid w:val="00331687"/>
    <w:rsid w:val="0033169F"/>
    <w:rsid w:val="00331F29"/>
    <w:rsid w:val="00332045"/>
    <w:rsid w:val="00332152"/>
    <w:rsid w:val="003326C2"/>
    <w:rsid w:val="00332A4D"/>
    <w:rsid w:val="003330D2"/>
    <w:rsid w:val="00333FDB"/>
    <w:rsid w:val="003343F1"/>
    <w:rsid w:val="00334B00"/>
    <w:rsid w:val="00336085"/>
    <w:rsid w:val="00337546"/>
    <w:rsid w:val="003378E0"/>
    <w:rsid w:val="00337961"/>
    <w:rsid w:val="00337C43"/>
    <w:rsid w:val="003407E0"/>
    <w:rsid w:val="00340A95"/>
    <w:rsid w:val="003410A6"/>
    <w:rsid w:val="003414AC"/>
    <w:rsid w:val="003414E6"/>
    <w:rsid w:val="00341F71"/>
    <w:rsid w:val="00342070"/>
    <w:rsid w:val="003427EA"/>
    <w:rsid w:val="00342FA8"/>
    <w:rsid w:val="00343330"/>
    <w:rsid w:val="003447BB"/>
    <w:rsid w:val="003447DA"/>
    <w:rsid w:val="00344B38"/>
    <w:rsid w:val="0034569F"/>
    <w:rsid w:val="00345AEC"/>
    <w:rsid w:val="00346D16"/>
    <w:rsid w:val="00347742"/>
    <w:rsid w:val="00351655"/>
    <w:rsid w:val="003520F3"/>
    <w:rsid w:val="0035485A"/>
    <w:rsid w:val="00354D5D"/>
    <w:rsid w:val="00355079"/>
    <w:rsid w:val="00355351"/>
    <w:rsid w:val="00355779"/>
    <w:rsid w:val="00356185"/>
    <w:rsid w:val="003567C7"/>
    <w:rsid w:val="00357206"/>
    <w:rsid w:val="00357961"/>
    <w:rsid w:val="00357C4D"/>
    <w:rsid w:val="00357D78"/>
    <w:rsid w:val="00360380"/>
    <w:rsid w:val="0036056F"/>
    <w:rsid w:val="0036137D"/>
    <w:rsid w:val="00361EB7"/>
    <w:rsid w:val="00362872"/>
    <w:rsid w:val="00362FE0"/>
    <w:rsid w:val="0036346A"/>
    <w:rsid w:val="00363954"/>
    <w:rsid w:val="003642D6"/>
    <w:rsid w:val="00364B6E"/>
    <w:rsid w:val="003659F2"/>
    <w:rsid w:val="00365D52"/>
    <w:rsid w:val="00366182"/>
    <w:rsid w:val="00366DBE"/>
    <w:rsid w:val="00367444"/>
    <w:rsid w:val="003675B8"/>
    <w:rsid w:val="003676F1"/>
    <w:rsid w:val="0036775E"/>
    <w:rsid w:val="00367CD6"/>
    <w:rsid w:val="00367EDD"/>
    <w:rsid w:val="00370DD4"/>
    <w:rsid w:val="0037116B"/>
    <w:rsid w:val="003712A0"/>
    <w:rsid w:val="003712A7"/>
    <w:rsid w:val="00371EFD"/>
    <w:rsid w:val="003729BF"/>
    <w:rsid w:val="00372AD5"/>
    <w:rsid w:val="00372B13"/>
    <w:rsid w:val="00372F8E"/>
    <w:rsid w:val="00373790"/>
    <w:rsid w:val="003741EF"/>
    <w:rsid w:val="003745F9"/>
    <w:rsid w:val="00374940"/>
    <w:rsid w:val="003750C8"/>
    <w:rsid w:val="00375246"/>
    <w:rsid w:val="003759D2"/>
    <w:rsid w:val="00375D88"/>
    <w:rsid w:val="00376244"/>
    <w:rsid w:val="00376462"/>
    <w:rsid w:val="00376CCB"/>
    <w:rsid w:val="00377614"/>
    <w:rsid w:val="00377ACE"/>
    <w:rsid w:val="00377AD8"/>
    <w:rsid w:val="00380645"/>
    <w:rsid w:val="00380831"/>
    <w:rsid w:val="00380A1D"/>
    <w:rsid w:val="00380AC1"/>
    <w:rsid w:val="00380B68"/>
    <w:rsid w:val="00380ECF"/>
    <w:rsid w:val="00381A63"/>
    <w:rsid w:val="0038209A"/>
    <w:rsid w:val="0038245A"/>
    <w:rsid w:val="00382598"/>
    <w:rsid w:val="0038262B"/>
    <w:rsid w:val="00382CE7"/>
    <w:rsid w:val="003832D9"/>
    <w:rsid w:val="0038330F"/>
    <w:rsid w:val="00383691"/>
    <w:rsid w:val="00384072"/>
    <w:rsid w:val="0038421B"/>
    <w:rsid w:val="00384BAF"/>
    <w:rsid w:val="0038559B"/>
    <w:rsid w:val="00385B08"/>
    <w:rsid w:val="00386CF0"/>
    <w:rsid w:val="00386F39"/>
    <w:rsid w:val="00386FEA"/>
    <w:rsid w:val="003877F8"/>
    <w:rsid w:val="00390045"/>
    <w:rsid w:val="003902B2"/>
    <w:rsid w:val="00390397"/>
    <w:rsid w:val="0039061F"/>
    <w:rsid w:val="00390D19"/>
    <w:rsid w:val="00391056"/>
    <w:rsid w:val="00391B88"/>
    <w:rsid w:val="00391CD8"/>
    <w:rsid w:val="00392748"/>
    <w:rsid w:val="003937BC"/>
    <w:rsid w:val="00393C8E"/>
    <w:rsid w:val="00394608"/>
    <w:rsid w:val="0039471C"/>
    <w:rsid w:val="00394A5D"/>
    <w:rsid w:val="00395C89"/>
    <w:rsid w:val="00396106"/>
    <w:rsid w:val="003963B7"/>
    <w:rsid w:val="003964BF"/>
    <w:rsid w:val="003A187E"/>
    <w:rsid w:val="003A18F4"/>
    <w:rsid w:val="003A1AE3"/>
    <w:rsid w:val="003A27F4"/>
    <w:rsid w:val="003A2DC1"/>
    <w:rsid w:val="003A33F8"/>
    <w:rsid w:val="003A348D"/>
    <w:rsid w:val="003A3C43"/>
    <w:rsid w:val="003A430F"/>
    <w:rsid w:val="003A4790"/>
    <w:rsid w:val="003A485E"/>
    <w:rsid w:val="003A4B42"/>
    <w:rsid w:val="003A527A"/>
    <w:rsid w:val="003A54CE"/>
    <w:rsid w:val="003A565C"/>
    <w:rsid w:val="003A5CAF"/>
    <w:rsid w:val="003A5DB5"/>
    <w:rsid w:val="003A5E9B"/>
    <w:rsid w:val="003A6019"/>
    <w:rsid w:val="003A632E"/>
    <w:rsid w:val="003A7118"/>
    <w:rsid w:val="003A71F1"/>
    <w:rsid w:val="003A789A"/>
    <w:rsid w:val="003A7BFE"/>
    <w:rsid w:val="003B0978"/>
    <w:rsid w:val="003B1BD7"/>
    <w:rsid w:val="003B1D61"/>
    <w:rsid w:val="003B268A"/>
    <w:rsid w:val="003B27EA"/>
    <w:rsid w:val="003B2C86"/>
    <w:rsid w:val="003B349D"/>
    <w:rsid w:val="003B3E27"/>
    <w:rsid w:val="003B3E94"/>
    <w:rsid w:val="003B408A"/>
    <w:rsid w:val="003B4AB3"/>
    <w:rsid w:val="003B4DEB"/>
    <w:rsid w:val="003B5191"/>
    <w:rsid w:val="003B5C8C"/>
    <w:rsid w:val="003B63A0"/>
    <w:rsid w:val="003B640E"/>
    <w:rsid w:val="003B6423"/>
    <w:rsid w:val="003B66DC"/>
    <w:rsid w:val="003B6950"/>
    <w:rsid w:val="003C1A36"/>
    <w:rsid w:val="003C21BD"/>
    <w:rsid w:val="003C240D"/>
    <w:rsid w:val="003C269F"/>
    <w:rsid w:val="003C32BC"/>
    <w:rsid w:val="003C3722"/>
    <w:rsid w:val="003C3ABB"/>
    <w:rsid w:val="003C42CB"/>
    <w:rsid w:val="003C49F4"/>
    <w:rsid w:val="003C4BC0"/>
    <w:rsid w:val="003C4F69"/>
    <w:rsid w:val="003C54AD"/>
    <w:rsid w:val="003C57E7"/>
    <w:rsid w:val="003C6480"/>
    <w:rsid w:val="003C7061"/>
    <w:rsid w:val="003C789A"/>
    <w:rsid w:val="003C7C3D"/>
    <w:rsid w:val="003D007D"/>
    <w:rsid w:val="003D0C05"/>
    <w:rsid w:val="003D0D3E"/>
    <w:rsid w:val="003D1D4D"/>
    <w:rsid w:val="003D1E49"/>
    <w:rsid w:val="003D2871"/>
    <w:rsid w:val="003D2C7F"/>
    <w:rsid w:val="003D3279"/>
    <w:rsid w:val="003D3435"/>
    <w:rsid w:val="003D3507"/>
    <w:rsid w:val="003D3CAC"/>
    <w:rsid w:val="003D3E1C"/>
    <w:rsid w:val="003D3F3F"/>
    <w:rsid w:val="003D40A7"/>
    <w:rsid w:val="003D45DE"/>
    <w:rsid w:val="003D4A67"/>
    <w:rsid w:val="003D51A2"/>
    <w:rsid w:val="003D5263"/>
    <w:rsid w:val="003D56C2"/>
    <w:rsid w:val="003D598B"/>
    <w:rsid w:val="003D5A38"/>
    <w:rsid w:val="003D5C6C"/>
    <w:rsid w:val="003D5CD7"/>
    <w:rsid w:val="003D5F18"/>
    <w:rsid w:val="003D684D"/>
    <w:rsid w:val="003D79BC"/>
    <w:rsid w:val="003D7CCF"/>
    <w:rsid w:val="003E06A3"/>
    <w:rsid w:val="003E0852"/>
    <w:rsid w:val="003E0ABC"/>
    <w:rsid w:val="003E14B0"/>
    <w:rsid w:val="003E1FEC"/>
    <w:rsid w:val="003E2564"/>
    <w:rsid w:val="003E2DFE"/>
    <w:rsid w:val="003E366F"/>
    <w:rsid w:val="003E3AD6"/>
    <w:rsid w:val="003E475D"/>
    <w:rsid w:val="003E4D93"/>
    <w:rsid w:val="003E4E8A"/>
    <w:rsid w:val="003E520F"/>
    <w:rsid w:val="003E60B8"/>
    <w:rsid w:val="003E65E7"/>
    <w:rsid w:val="003E68BB"/>
    <w:rsid w:val="003E6D7E"/>
    <w:rsid w:val="003E6FB6"/>
    <w:rsid w:val="003E70A6"/>
    <w:rsid w:val="003E7291"/>
    <w:rsid w:val="003E7380"/>
    <w:rsid w:val="003E752C"/>
    <w:rsid w:val="003F0153"/>
    <w:rsid w:val="003F03FA"/>
    <w:rsid w:val="003F06FB"/>
    <w:rsid w:val="003F0B2B"/>
    <w:rsid w:val="003F0EFF"/>
    <w:rsid w:val="003F1230"/>
    <w:rsid w:val="003F19D4"/>
    <w:rsid w:val="003F1BBF"/>
    <w:rsid w:val="003F1CFA"/>
    <w:rsid w:val="003F2708"/>
    <w:rsid w:val="003F2D46"/>
    <w:rsid w:val="003F42A8"/>
    <w:rsid w:val="003F572E"/>
    <w:rsid w:val="003F57C9"/>
    <w:rsid w:val="003F5C67"/>
    <w:rsid w:val="003F6707"/>
    <w:rsid w:val="003F7001"/>
    <w:rsid w:val="003F7161"/>
    <w:rsid w:val="00400B9A"/>
    <w:rsid w:val="00400C14"/>
    <w:rsid w:val="00400E6B"/>
    <w:rsid w:val="00400EA4"/>
    <w:rsid w:val="00400FDE"/>
    <w:rsid w:val="00400FF0"/>
    <w:rsid w:val="004010E9"/>
    <w:rsid w:val="0040128B"/>
    <w:rsid w:val="004022E4"/>
    <w:rsid w:val="004023A0"/>
    <w:rsid w:val="00402B6C"/>
    <w:rsid w:val="00403306"/>
    <w:rsid w:val="00404333"/>
    <w:rsid w:val="00404A51"/>
    <w:rsid w:val="00404EFC"/>
    <w:rsid w:val="00404F22"/>
    <w:rsid w:val="00405991"/>
    <w:rsid w:val="00405F19"/>
    <w:rsid w:val="00406721"/>
    <w:rsid w:val="00406CB6"/>
    <w:rsid w:val="0040735D"/>
    <w:rsid w:val="0040759C"/>
    <w:rsid w:val="00407E1A"/>
    <w:rsid w:val="00407F3D"/>
    <w:rsid w:val="004106DD"/>
    <w:rsid w:val="00410840"/>
    <w:rsid w:val="00410925"/>
    <w:rsid w:val="00410E41"/>
    <w:rsid w:val="00411459"/>
    <w:rsid w:val="00411E9E"/>
    <w:rsid w:val="0041204B"/>
    <w:rsid w:val="004122AE"/>
    <w:rsid w:val="00412AF2"/>
    <w:rsid w:val="00413779"/>
    <w:rsid w:val="0041384F"/>
    <w:rsid w:val="00413B37"/>
    <w:rsid w:val="004142F6"/>
    <w:rsid w:val="0041459D"/>
    <w:rsid w:val="00414A54"/>
    <w:rsid w:val="00414D3F"/>
    <w:rsid w:val="004150D2"/>
    <w:rsid w:val="004154F4"/>
    <w:rsid w:val="00415BAE"/>
    <w:rsid w:val="00416443"/>
    <w:rsid w:val="004165C2"/>
    <w:rsid w:val="00416614"/>
    <w:rsid w:val="00416AD8"/>
    <w:rsid w:val="00416BC5"/>
    <w:rsid w:val="00416CB3"/>
    <w:rsid w:val="00417263"/>
    <w:rsid w:val="004172CB"/>
    <w:rsid w:val="00417356"/>
    <w:rsid w:val="0041797E"/>
    <w:rsid w:val="00420486"/>
    <w:rsid w:val="00421966"/>
    <w:rsid w:val="00421D29"/>
    <w:rsid w:val="00422536"/>
    <w:rsid w:val="00422543"/>
    <w:rsid w:val="00422E3D"/>
    <w:rsid w:val="00423240"/>
    <w:rsid w:val="00423909"/>
    <w:rsid w:val="00423E69"/>
    <w:rsid w:val="004250D6"/>
    <w:rsid w:val="004262BB"/>
    <w:rsid w:val="004264FA"/>
    <w:rsid w:val="00426A93"/>
    <w:rsid w:val="00426DB7"/>
    <w:rsid w:val="00427406"/>
    <w:rsid w:val="0042749C"/>
    <w:rsid w:val="00427737"/>
    <w:rsid w:val="00427A53"/>
    <w:rsid w:val="00430052"/>
    <w:rsid w:val="00430AB4"/>
    <w:rsid w:val="00430F9F"/>
    <w:rsid w:val="00431085"/>
    <w:rsid w:val="0043193E"/>
    <w:rsid w:val="00432731"/>
    <w:rsid w:val="004332C3"/>
    <w:rsid w:val="004337C0"/>
    <w:rsid w:val="004343C8"/>
    <w:rsid w:val="00435DF5"/>
    <w:rsid w:val="00436653"/>
    <w:rsid w:val="00436C66"/>
    <w:rsid w:val="004375C9"/>
    <w:rsid w:val="00437A98"/>
    <w:rsid w:val="004401E5"/>
    <w:rsid w:val="00440CD9"/>
    <w:rsid w:val="00440DB6"/>
    <w:rsid w:val="00440E90"/>
    <w:rsid w:val="004413C0"/>
    <w:rsid w:val="00441D48"/>
    <w:rsid w:val="00443C71"/>
    <w:rsid w:val="004443A8"/>
    <w:rsid w:val="00444596"/>
    <w:rsid w:val="00445183"/>
    <w:rsid w:val="00445C74"/>
    <w:rsid w:val="00445DAD"/>
    <w:rsid w:val="0044650B"/>
    <w:rsid w:val="004467BD"/>
    <w:rsid w:val="00446F15"/>
    <w:rsid w:val="0044706E"/>
    <w:rsid w:val="00447468"/>
    <w:rsid w:val="00447B8F"/>
    <w:rsid w:val="00447CE2"/>
    <w:rsid w:val="00447D9D"/>
    <w:rsid w:val="0045037E"/>
    <w:rsid w:val="00450A4A"/>
    <w:rsid w:val="00450D96"/>
    <w:rsid w:val="004520C7"/>
    <w:rsid w:val="00453466"/>
    <w:rsid w:val="00454345"/>
    <w:rsid w:val="00454492"/>
    <w:rsid w:val="0045481D"/>
    <w:rsid w:val="00455165"/>
    <w:rsid w:val="0045524E"/>
    <w:rsid w:val="004563B1"/>
    <w:rsid w:val="0045672D"/>
    <w:rsid w:val="00456CCD"/>
    <w:rsid w:val="00456D70"/>
    <w:rsid w:val="00456FF9"/>
    <w:rsid w:val="00457228"/>
    <w:rsid w:val="00457974"/>
    <w:rsid w:val="00457B89"/>
    <w:rsid w:val="004600B6"/>
    <w:rsid w:val="004602DB"/>
    <w:rsid w:val="0046041C"/>
    <w:rsid w:val="004606C0"/>
    <w:rsid w:val="0046072C"/>
    <w:rsid w:val="00460794"/>
    <w:rsid w:val="00461E19"/>
    <w:rsid w:val="0046208F"/>
    <w:rsid w:val="004621BE"/>
    <w:rsid w:val="00462248"/>
    <w:rsid w:val="00462781"/>
    <w:rsid w:val="004628BB"/>
    <w:rsid w:val="00462C41"/>
    <w:rsid w:val="00462F9A"/>
    <w:rsid w:val="004642EF"/>
    <w:rsid w:val="0046488C"/>
    <w:rsid w:val="0046574C"/>
    <w:rsid w:val="0046583A"/>
    <w:rsid w:val="004662B0"/>
    <w:rsid w:val="004666FB"/>
    <w:rsid w:val="0046682E"/>
    <w:rsid w:val="00466A6B"/>
    <w:rsid w:val="00466F19"/>
    <w:rsid w:val="00467542"/>
    <w:rsid w:val="00467B7E"/>
    <w:rsid w:val="00467CF1"/>
    <w:rsid w:val="0047006D"/>
    <w:rsid w:val="004702E9"/>
    <w:rsid w:val="00470FD7"/>
    <w:rsid w:val="004715B7"/>
    <w:rsid w:val="00471BC8"/>
    <w:rsid w:val="00471ED1"/>
    <w:rsid w:val="00472B0E"/>
    <w:rsid w:val="004730AF"/>
    <w:rsid w:val="00473197"/>
    <w:rsid w:val="0047327D"/>
    <w:rsid w:val="00475C62"/>
    <w:rsid w:val="00475DDB"/>
    <w:rsid w:val="004761C6"/>
    <w:rsid w:val="00476B10"/>
    <w:rsid w:val="004773D3"/>
    <w:rsid w:val="00477BE3"/>
    <w:rsid w:val="00477D29"/>
    <w:rsid w:val="00477F5C"/>
    <w:rsid w:val="00480045"/>
    <w:rsid w:val="004804D4"/>
    <w:rsid w:val="00480502"/>
    <w:rsid w:val="00480B24"/>
    <w:rsid w:val="00480FC3"/>
    <w:rsid w:val="004810B3"/>
    <w:rsid w:val="0048119E"/>
    <w:rsid w:val="004817BD"/>
    <w:rsid w:val="00481C1F"/>
    <w:rsid w:val="00482208"/>
    <w:rsid w:val="00482528"/>
    <w:rsid w:val="00482644"/>
    <w:rsid w:val="00483146"/>
    <w:rsid w:val="00483697"/>
    <w:rsid w:val="00483974"/>
    <w:rsid w:val="00483D9E"/>
    <w:rsid w:val="00484B2F"/>
    <w:rsid w:val="00484F80"/>
    <w:rsid w:val="004850C2"/>
    <w:rsid w:val="00485C07"/>
    <w:rsid w:val="00486A15"/>
    <w:rsid w:val="0048701C"/>
    <w:rsid w:val="004907E1"/>
    <w:rsid w:val="00490BE7"/>
    <w:rsid w:val="00490C98"/>
    <w:rsid w:val="0049419D"/>
    <w:rsid w:val="004949AA"/>
    <w:rsid w:val="00494ACB"/>
    <w:rsid w:val="00494BFF"/>
    <w:rsid w:val="00495029"/>
    <w:rsid w:val="00495396"/>
    <w:rsid w:val="00495BFC"/>
    <w:rsid w:val="00495CD7"/>
    <w:rsid w:val="004962B8"/>
    <w:rsid w:val="00496687"/>
    <w:rsid w:val="00496C69"/>
    <w:rsid w:val="00496DBC"/>
    <w:rsid w:val="00497493"/>
    <w:rsid w:val="0049749D"/>
    <w:rsid w:val="004977D3"/>
    <w:rsid w:val="00497D68"/>
    <w:rsid w:val="004A0977"/>
    <w:rsid w:val="004A1588"/>
    <w:rsid w:val="004A17A5"/>
    <w:rsid w:val="004A1B3A"/>
    <w:rsid w:val="004A1B66"/>
    <w:rsid w:val="004A1EEA"/>
    <w:rsid w:val="004A2B9D"/>
    <w:rsid w:val="004A37A5"/>
    <w:rsid w:val="004A3806"/>
    <w:rsid w:val="004A38DF"/>
    <w:rsid w:val="004A3DC4"/>
    <w:rsid w:val="004A3E0F"/>
    <w:rsid w:val="004A423C"/>
    <w:rsid w:val="004A4400"/>
    <w:rsid w:val="004A4A3E"/>
    <w:rsid w:val="004A4DB0"/>
    <w:rsid w:val="004A514F"/>
    <w:rsid w:val="004A53E7"/>
    <w:rsid w:val="004A5614"/>
    <w:rsid w:val="004A5A1D"/>
    <w:rsid w:val="004A5E29"/>
    <w:rsid w:val="004A6298"/>
    <w:rsid w:val="004A6629"/>
    <w:rsid w:val="004A6C43"/>
    <w:rsid w:val="004B0A49"/>
    <w:rsid w:val="004B13D0"/>
    <w:rsid w:val="004B1A98"/>
    <w:rsid w:val="004B1BD9"/>
    <w:rsid w:val="004B23FB"/>
    <w:rsid w:val="004B2429"/>
    <w:rsid w:val="004B2762"/>
    <w:rsid w:val="004B2DE8"/>
    <w:rsid w:val="004B31F9"/>
    <w:rsid w:val="004B388C"/>
    <w:rsid w:val="004B40A9"/>
    <w:rsid w:val="004B45B7"/>
    <w:rsid w:val="004B4611"/>
    <w:rsid w:val="004B4E6F"/>
    <w:rsid w:val="004B62CE"/>
    <w:rsid w:val="004B62D2"/>
    <w:rsid w:val="004B634D"/>
    <w:rsid w:val="004B6691"/>
    <w:rsid w:val="004B7D4C"/>
    <w:rsid w:val="004B7EB6"/>
    <w:rsid w:val="004C0FE4"/>
    <w:rsid w:val="004C14B0"/>
    <w:rsid w:val="004C17B4"/>
    <w:rsid w:val="004C2235"/>
    <w:rsid w:val="004C427F"/>
    <w:rsid w:val="004C4B62"/>
    <w:rsid w:val="004C5505"/>
    <w:rsid w:val="004C599D"/>
    <w:rsid w:val="004C68B8"/>
    <w:rsid w:val="004C7257"/>
    <w:rsid w:val="004C758F"/>
    <w:rsid w:val="004C77DC"/>
    <w:rsid w:val="004C7B18"/>
    <w:rsid w:val="004C7EE2"/>
    <w:rsid w:val="004C7EF0"/>
    <w:rsid w:val="004D0229"/>
    <w:rsid w:val="004D15C2"/>
    <w:rsid w:val="004D37B1"/>
    <w:rsid w:val="004D45F7"/>
    <w:rsid w:val="004D46A5"/>
    <w:rsid w:val="004D4782"/>
    <w:rsid w:val="004D4A6A"/>
    <w:rsid w:val="004D4D1B"/>
    <w:rsid w:val="004D4E01"/>
    <w:rsid w:val="004D5FA1"/>
    <w:rsid w:val="004D6025"/>
    <w:rsid w:val="004D61E8"/>
    <w:rsid w:val="004D657F"/>
    <w:rsid w:val="004D6A97"/>
    <w:rsid w:val="004D715B"/>
    <w:rsid w:val="004D72BC"/>
    <w:rsid w:val="004D78B4"/>
    <w:rsid w:val="004E021C"/>
    <w:rsid w:val="004E13F5"/>
    <w:rsid w:val="004E2452"/>
    <w:rsid w:val="004E2FE2"/>
    <w:rsid w:val="004E3A16"/>
    <w:rsid w:val="004E4761"/>
    <w:rsid w:val="004E4C6B"/>
    <w:rsid w:val="004E4E84"/>
    <w:rsid w:val="004E662D"/>
    <w:rsid w:val="004E6C9C"/>
    <w:rsid w:val="004E7578"/>
    <w:rsid w:val="004F04A5"/>
    <w:rsid w:val="004F07A6"/>
    <w:rsid w:val="004F0842"/>
    <w:rsid w:val="004F0928"/>
    <w:rsid w:val="004F0B52"/>
    <w:rsid w:val="004F15C4"/>
    <w:rsid w:val="004F16E8"/>
    <w:rsid w:val="004F173D"/>
    <w:rsid w:val="004F1DAD"/>
    <w:rsid w:val="004F2694"/>
    <w:rsid w:val="004F2FC4"/>
    <w:rsid w:val="004F302F"/>
    <w:rsid w:val="004F37CA"/>
    <w:rsid w:val="004F38E0"/>
    <w:rsid w:val="004F3905"/>
    <w:rsid w:val="004F441A"/>
    <w:rsid w:val="004F48CC"/>
    <w:rsid w:val="004F4C1C"/>
    <w:rsid w:val="004F530D"/>
    <w:rsid w:val="004F5466"/>
    <w:rsid w:val="004F5EE6"/>
    <w:rsid w:val="004F6949"/>
    <w:rsid w:val="004F69EA"/>
    <w:rsid w:val="004F69ED"/>
    <w:rsid w:val="004F6D1E"/>
    <w:rsid w:val="004F7707"/>
    <w:rsid w:val="004F7B86"/>
    <w:rsid w:val="0050076E"/>
    <w:rsid w:val="005008C7"/>
    <w:rsid w:val="00501399"/>
    <w:rsid w:val="00501CF1"/>
    <w:rsid w:val="00501D2A"/>
    <w:rsid w:val="00501D6B"/>
    <w:rsid w:val="00501DFB"/>
    <w:rsid w:val="005022A2"/>
    <w:rsid w:val="00502E35"/>
    <w:rsid w:val="00503834"/>
    <w:rsid w:val="00503C4C"/>
    <w:rsid w:val="0050536C"/>
    <w:rsid w:val="005057A5"/>
    <w:rsid w:val="005057C7"/>
    <w:rsid w:val="00505B63"/>
    <w:rsid w:val="005066A4"/>
    <w:rsid w:val="005068B0"/>
    <w:rsid w:val="00507534"/>
    <w:rsid w:val="005076FD"/>
    <w:rsid w:val="00507B5A"/>
    <w:rsid w:val="00507BC4"/>
    <w:rsid w:val="00507C24"/>
    <w:rsid w:val="00510142"/>
    <w:rsid w:val="00510311"/>
    <w:rsid w:val="00510327"/>
    <w:rsid w:val="0051113F"/>
    <w:rsid w:val="00511E3F"/>
    <w:rsid w:val="005128E4"/>
    <w:rsid w:val="00512A35"/>
    <w:rsid w:val="00513229"/>
    <w:rsid w:val="00513A45"/>
    <w:rsid w:val="00513B84"/>
    <w:rsid w:val="005140FC"/>
    <w:rsid w:val="005142E0"/>
    <w:rsid w:val="005152B7"/>
    <w:rsid w:val="00516035"/>
    <w:rsid w:val="00516196"/>
    <w:rsid w:val="00516BBE"/>
    <w:rsid w:val="00520095"/>
    <w:rsid w:val="00520369"/>
    <w:rsid w:val="00520FB9"/>
    <w:rsid w:val="00521895"/>
    <w:rsid w:val="00521909"/>
    <w:rsid w:val="00521B37"/>
    <w:rsid w:val="005223AF"/>
    <w:rsid w:val="00522646"/>
    <w:rsid w:val="005234E7"/>
    <w:rsid w:val="00523977"/>
    <w:rsid w:val="00524268"/>
    <w:rsid w:val="00524748"/>
    <w:rsid w:val="00524EB4"/>
    <w:rsid w:val="00525278"/>
    <w:rsid w:val="00525560"/>
    <w:rsid w:val="00525C32"/>
    <w:rsid w:val="00525F05"/>
    <w:rsid w:val="00526204"/>
    <w:rsid w:val="00526492"/>
    <w:rsid w:val="005267AC"/>
    <w:rsid w:val="00526EF8"/>
    <w:rsid w:val="0052719A"/>
    <w:rsid w:val="00527461"/>
    <w:rsid w:val="00527E0A"/>
    <w:rsid w:val="00530295"/>
    <w:rsid w:val="00530B2B"/>
    <w:rsid w:val="00531008"/>
    <w:rsid w:val="0053134C"/>
    <w:rsid w:val="005313DA"/>
    <w:rsid w:val="00531517"/>
    <w:rsid w:val="0053187E"/>
    <w:rsid w:val="005325F6"/>
    <w:rsid w:val="005343C0"/>
    <w:rsid w:val="005346E1"/>
    <w:rsid w:val="00535135"/>
    <w:rsid w:val="005357A6"/>
    <w:rsid w:val="0053592E"/>
    <w:rsid w:val="00535D22"/>
    <w:rsid w:val="00535F3F"/>
    <w:rsid w:val="00535FF9"/>
    <w:rsid w:val="005366E5"/>
    <w:rsid w:val="005367D0"/>
    <w:rsid w:val="00536848"/>
    <w:rsid w:val="005369AE"/>
    <w:rsid w:val="00536ADF"/>
    <w:rsid w:val="00536B9E"/>
    <w:rsid w:val="00537159"/>
    <w:rsid w:val="005401F2"/>
    <w:rsid w:val="00540472"/>
    <w:rsid w:val="00540853"/>
    <w:rsid w:val="00540AEC"/>
    <w:rsid w:val="00541B01"/>
    <w:rsid w:val="005422EF"/>
    <w:rsid w:val="00542375"/>
    <w:rsid w:val="005430A6"/>
    <w:rsid w:val="00543705"/>
    <w:rsid w:val="005439C3"/>
    <w:rsid w:val="00544C49"/>
    <w:rsid w:val="0054561F"/>
    <w:rsid w:val="005456B2"/>
    <w:rsid w:val="00545886"/>
    <w:rsid w:val="005458F3"/>
    <w:rsid w:val="0054591A"/>
    <w:rsid w:val="00546C7A"/>
    <w:rsid w:val="00547EB7"/>
    <w:rsid w:val="00550141"/>
    <w:rsid w:val="00550FAA"/>
    <w:rsid w:val="005514A9"/>
    <w:rsid w:val="0055160C"/>
    <w:rsid w:val="00552510"/>
    <w:rsid w:val="005531BB"/>
    <w:rsid w:val="00553A04"/>
    <w:rsid w:val="00553EC6"/>
    <w:rsid w:val="00554BAB"/>
    <w:rsid w:val="00554D3A"/>
    <w:rsid w:val="00555492"/>
    <w:rsid w:val="00555780"/>
    <w:rsid w:val="005557F2"/>
    <w:rsid w:val="00555A6E"/>
    <w:rsid w:val="00555C6B"/>
    <w:rsid w:val="00555E95"/>
    <w:rsid w:val="0055667E"/>
    <w:rsid w:val="00557C07"/>
    <w:rsid w:val="00560563"/>
    <w:rsid w:val="005613AC"/>
    <w:rsid w:val="00561869"/>
    <w:rsid w:val="00562460"/>
    <w:rsid w:val="005627FD"/>
    <w:rsid w:val="00562E4A"/>
    <w:rsid w:val="00563167"/>
    <w:rsid w:val="0056330F"/>
    <w:rsid w:val="00563314"/>
    <w:rsid w:val="005633E7"/>
    <w:rsid w:val="00563C47"/>
    <w:rsid w:val="00563F04"/>
    <w:rsid w:val="0056432A"/>
    <w:rsid w:val="005650AC"/>
    <w:rsid w:val="005653D5"/>
    <w:rsid w:val="0056549F"/>
    <w:rsid w:val="005656C4"/>
    <w:rsid w:val="00565B4B"/>
    <w:rsid w:val="00565C1A"/>
    <w:rsid w:val="00566AEA"/>
    <w:rsid w:val="00566FD0"/>
    <w:rsid w:val="00567533"/>
    <w:rsid w:val="00567A47"/>
    <w:rsid w:val="00570699"/>
    <w:rsid w:val="005706EF"/>
    <w:rsid w:val="00570AF2"/>
    <w:rsid w:val="00571247"/>
    <w:rsid w:val="005713C7"/>
    <w:rsid w:val="00571425"/>
    <w:rsid w:val="00571713"/>
    <w:rsid w:val="00572315"/>
    <w:rsid w:val="00572495"/>
    <w:rsid w:val="0057276F"/>
    <w:rsid w:val="00573925"/>
    <w:rsid w:val="00573EB3"/>
    <w:rsid w:val="0057402A"/>
    <w:rsid w:val="00574148"/>
    <w:rsid w:val="005744A4"/>
    <w:rsid w:val="00574D8E"/>
    <w:rsid w:val="0057516B"/>
    <w:rsid w:val="005755D5"/>
    <w:rsid w:val="005761DA"/>
    <w:rsid w:val="005764DD"/>
    <w:rsid w:val="00576832"/>
    <w:rsid w:val="005771D0"/>
    <w:rsid w:val="00577336"/>
    <w:rsid w:val="00577815"/>
    <w:rsid w:val="00577B42"/>
    <w:rsid w:val="0058022B"/>
    <w:rsid w:val="00580EE0"/>
    <w:rsid w:val="005826EA"/>
    <w:rsid w:val="00582750"/>
    <w:rsid w:val="00582D0D"/>
    <w:rsid w:val="0058343A"/>
    <w:rsid w:val="00583C2B"/>
    <w:rsid w:val="005840B2"/>
    <w:rsid w:val="0058497E"/>
    <w:rsid w:val="00584C28"/>
    <w:rsid w:val="00584F43"/>
    <w:rsid w:val="00585DED"/>
    <w:rsid w:val="0058751B"/>
    <w:rsid w:val="005875BC"/>
    <w:rsid w:val="00587964"/>
    <w:rsid w:val="00590239"/>
    <w:rsid w:val="005902A3"/>
    <w:rsid w:val="0059066D"/>
    <w:rsid w:val="00590872"/>
    <w:rsid w:val="00590A3C"/>
    <w:rsid w:val="00590A78"/>
    <w:rsid w:val="00590BF3"/>
    <w:rsid w:val="00590C43"/>
    <w:rsid w:val="00590C5B"/>
    <w:rsid w:val="00590E8E"/>
    <w:rsid w:val="005910C0"/>
    <w:rsid w:val="005916E2"/>
    <w:rsid w:val="005916F8"/>
    <w:rsid w:val="0059191A"/>
    <w:rsid w:val="00591B96"/>
    <w:rsid w:val="00591F60"/>
    <w:rsid w:val="005921FF"/>
    <w:rsid w:val="00592299"/>
    <w:rsid w:val="00592A6D"/>
    <w:rsid w:val="00592EDC"/>
    <w:rsid w:val="0059318E"/>
    <w:rsid w:val="005937E2"/>
    <w:rsid w:val="005946FF"/>
    <w:rsid w:val="00594772"/>
    <w:rsid w:val="00594CE1"/>
    <w:rsid w:val="00595766"/>
    <w:rsid w:val="005959C4"/>
    <w:rsid w:val="00595EDB"/>
    <w:rsid w:val="00596514"/>
    <w:rsid w:val="0059670F"/>
    <w:rsid w:val="00596AB5"/>
    <w:rsid w:val="00596ABE"/>
    <w:rsid w:val="00596AD3"/>
    <w:rsid w:val="00596B97"/>
    <w:rsid w:val="00596F42"/>
    <w:rsid w:val="00597162"/>
    <w:rsid w:val="0059770B"/>
    <w:rsid w:val="00597C8A"/>
    <w:rsid w:val="005A01B6"/>
    <w:rsid w:val="005A0410"/>
    <w:rsid w:val="005A0B5A"/>
    <w:rsid w:val="005A10C2"/>
    <w:rsid w:val="005A1832"/>
    <w:rsid w:val="005A2E9B"/>
    <w:rsid w:val="005A3704"/>
    <w:rsid w:val="005A37BB"/>
    <w:rsid w:val="005A482E"/>
    <w:rsid w:val="005A4B8E"/>
    <w:rsid w:val="005A6205"/>
    <w:rsid w:val="005A6A13"/>
    <w:rsid w:val="005A6D0E"/>
    <w:rsid w:val="005A6E50"/>
    <w:rsid w:val="005A6E68"/>
    <w:rsid w:val="005A734E"/>
    <w:rsid w:val="005B0001"/>
    <w:rsid w:val="005B0676"/>
    <w:rsid w:val="005B0C41"/>
    <w:rsid w:val="005B12C2"/>
    <w:rsid w:val="005B1DBA"/>
    <w:rsid w:val="005B222D"/>
    <w:rsid w:val="005B245E"/>
    <w:rsid w:val="005B28A7"/>
    <w:rsid w:val="005B3609"/>
    <w:rsid w:val="005B3795"/>
    <w:rsid w:val="005B3A12"/>
    <w:rsid w:val="005B3DEC"/>
    <w:rsid w:val="005B3EF2"/>
    <w:rsid w:val="005B4AEC"/>
    <w:rsid w:val="005B52B0"/>
    <w:rsid w:val="005B5E20"/>
    <w:rsid w:val="005B65AF"/>
    <w:rsid w:val="005B67DE"/>
    <w:rsid w:val="005B6806"/>
    <w:rsid w:val="005B711D"/>
    <w:rsid w:val="005B7EDC"/>
    <w:rsid w:val="005C00AF"/>
    <w:rsid w:val="005C00F9"/>
    <w:rsid w:val="005C05FA"/>
    <w:rsid w:val="005C164F"/>
    <w:rsid w:val="005C16CF"/>
    <w:rsid w:val="005C1853"/>
    <w:rsid w:val="005C1A8D"/>
    <w:rsid w:val="005C1D8E"/>
    <w:rsid w:val="005C207A"/>
    <w:rsid w:val="005C23BD"/>
    <w:rsid w:val="005C2B10"/>
    <w:rsid w:val="005C2BA2"/>
    <w:rsid w:val="005C2E02"/>
    <w:rsid w:val="005C3149"/>
    <w:rsid w:val="005C34BB"/>
    <w:rsid w:val="005C3944"/>
    <w:rsid w:val="005C3DAB"/>
    <w:rsid w:val="005C3E22"/>
    <w:rsid w:val="005C4011"/>
    <w:rsid w:val="005C4225"/>
    <w:rsid w:val="005C44DE"/>
    <w:rsid w:val="005C4541"/>
    <w:rsid w:val="005C456D"/>
    <w:rsid w:val="005C4AF4"/>
    <w:rsid w:val="005C566A"/>
    <w:rsid w:val="005C5F93"/>
    <w:rsid w:val="005C6248"/>
    <w:rsid w:val="005C6674"/>
    <w:rsid w:val="005C6A11"/>
    <w:rsid w:val="005C6F09"/>
    <w:rsid w:val="005D05F4"/>
    <w:rsid w:val="005D0AC5"/>
    <w:rsid w:val="005D0FBF"/>
    <w:rsid w:val="005D1076"/>
    <w:rsid w:val="005D1128"/>
    <w:rsid w:val="005D1CBA"/>
    <w:rsid w:val="005D1D34"/>
    <w:rsid w:val="005D2B93"/>
    <w:rsid w:val="005D2E13"/>
    <w:rsid w:val="005D3E9A"/>
    <w:rsid w:val="005D447F"/>
    <w:rsid w:val="005D489C"/>
    <w:rsid w:val="005D50AD"/>
    <w:rsid w:val="005D55A5"/>
    <w:rsid w:val="005D5A45"/>
    <w:rsid w:val="005D5A94"/>
    <w:rsid w:val="005D5C54"/>
    <w:rsid w:val="005D5DED"/>
    <w:rsid w:val="005D6891"/>
    <w:rsid w:val="005D6A03"/>
    <w:rsid w:val="005D6A17"/>
    <w:rsid w:val="005D6AC4"/>
    <w:rsid w:val="005D6B2C"/>
    <w:rsid w:val="005D7191"/>
    <w:rsid w:val="005D7280"/>
    <w:rsid w:val="005E04BC"/>
    <w:rsid w:val="005E065C"/>
    <w:rsid w:val="005E09BC"/>
    <w:rsid w:val="005E0B92"/>
    <w:rsid w:val="005E1D4B"/>
    <w:rsid w:val="005E22BD"/>
    <w:rsid w:val="005E2BDE"/>
    <w:rsid w:val="005E4013"/>
    <w:rsid w:val="005E47E8"/>
    <w:rsid w:val="005E4A95"/>
    <w:rsid w:val="005E4CF1"/>
    <w:rsid w:val="005E5196"/>
    <w:rsid w:val="005E5258"/>
    <w:rsid w:val="005E5419"/>
    <w:rsid w:val="005E5E0D"/>
    <w:rsid w:val="005E6203"/>
    <w:rsid w:val="005E63CE"/>
    <w:rsid w:val="005E6C0C"/>
    <w:rsid w:val="005E6EE3"/>
    <w:rsid w:val="005E74C5"/>
    <w:rsid w:val="005E7539"/>
    <w:rsid w:val="005E7642"/>
    <w:rsid w:val="005F03C7"/>
    <w:rsid w:val="005F063A"/>
    <w:rsid w:val="005F094B"/>
    <w:rsid w:val="005F0F33"/>
    <w:rsid w:val="005F1C54"/>
    <w:rsid w:val="005F1F31"/>
    <w:rsid w:val="005F2A0D"/>
    <w:rsid w:val="005F32A0"/>
    <w:rsid w:val="005F3F11"/>
    <w:rsid w:val="005F5456"/>
    <w:rsid w:val="005F55DC"/>
    <w:rsid w:val="005F57C1"/>
    <w:rsid w:val="005F7C35"/>
    <w:rsid w:val="00600384"/>
    <w:rsid w:val="0060040E"/>
    <w:rsid w:val="006005C1"/>
    <w:rsid w:val="00600A96"/>
    <w:rsid w:val="00600DEB"/>
    <w:rsid w:val="00600EE3"/>
    <w:rsid w:val="0060181F"/>
    <w:rsid w:val="00602146"/>
    <w:rsid w:val="006021D4"/>
    <w:rsid w:val="0060270A"/>
    <w:rsid w:val="00602B9B"/>
    <w:rsid w:val="00603CB6"/>
    <w:rsid w:val="00603D6F"/>
    <w:rsid w:val="006041C5"/>
    <w:rsid w:val="006045A7"/>
    <w:rsid w:val="006049BD"/>
    <w:rsid w:val="006049EC"/>
    <w:rsid w:val="006049F6"/>
    <w:rsid w:val="00604B83"/>
    <w:rsid w:val="00604BEF"/>
    <w:rsid w:val="006059FA"/>
    <w:rsid w:val="00606B40"/>
    <w:rsid w:val="00607325"/>
    <w:rsid w:val="00607F83"/>
    <w:rsid w:val="006104FA"/>
    <w:rsid w:val="006112EF"/>
    <w:rsid w:val="00612B39"/>
    <w:rsid w:val="00613027"/>
    <w:rsid w:val="00613120"/>
    <w:rsid w:val="00613A08"/>
    <w:rsid w:val="0061412F"/>
    <w:rsid w:val="00614153"/>
    <w:rsid w:val="00614248"/>
    <w:rsid w:val="006146AC"/>
    <w:rsid w:val="00614AE8"/>
    <w:rsid w:val="00615073"/>
    <w:rsid w:val="0061546B"/>
    <w:rsid w:val="00615B67"/>
    <w:rsid w:val="00615F46"/>
    <w:rsid w:val="00616320"/>
    <w:rsid w:val="00617156"/>
    <w:rsid w:val="006176BF"/>
    <w:rsid w:val="00617842"/>
    <w:rsid w:val="006206FF"/>
    <w:rsid w:val="00620A30"/>
    <w:rsid w:val="00620A65"/>
    <w:rsid w:val="00620B75"/>
    <w:rsid w:val="00621B67"/>
    <w:rsid w:val="006220E5"/>
    <w:rsid w:val="006225B7"/>
    <w:rsid w:val="00623324"/>
    <w:rsid w:val="006238CB"/>
    <w:rsid w:val="00624716"/>
    <w:rsid w:val="006247DB"/>
    <w:rsid w:val="00624E66"/>
    <w:rsid w:val="006250EE"/>
    <w:rsid w:val="00625577"/>
    <w:rsid w:val="00625585"/>
    <w:rsid w:val="00625980"/>
    <w:rsid w:val="006260B6"/>
    <w:rsid w:val="00626360"/>
    <w:rsid w:val="006263C9"/>
    <w:rsid w:val="006263CE"/>
    <w:rsid w:val="00626A1D"/>
    <w:rsid w:val="00626FB3"/>
    <w:rsid w:val="006271AD"/>
    <w:rsid w:val="006272AD"/>
    <w:rsid w:val="00627A51"/>
    <w:rsid w:val="00627C9F"/>
    <w:rsid w:val="0063009E"/>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4FA0"/>
    <w:rsid w:val="006354CD"/>
    <w:rsid w:val="0063586E"/>
    <w:rsid w:val="006360C4"/>
    <w:rsid w:val="00636406"/>
    <w:rsid w:val="00636E0C"/>
    <w:rsid w:val="00636F4A"/>
    <w:rsid w:val="00637539"/>
    <w:rsid w:val="00637B7B"/>
    <w:rsid w:val="00637E84"/>
    <w:rsid w:val="00637EDA"/>
    <w:rsid w:val="00640173"/>
    <w:rsid w:val="0064172A"/>
    <w:rsid w:val="006418C1"/>
    <w:rsid w:val="006420B7"/>
    <w:rsid w:val="00642573"/>
    <w:rsid w:val="00642810"/>
    <w:rsid w:val="00642EBB"/>
    <w:rsid w:val="00643F66"/>
    <w:rsid w:val="006455AC"/>
    <w:rsid w:val="006458AD"/>
    <w:rsid w:val="00646251"/>
    <w:rsid w:val="00647033"/>
    <w:rsid w:val="0064712F"/>
    <w:rsid w:val="006475B4"/>
    <w:rsid w:val="0064793C"/>
    <w:rsid w:val="00650422"/>
    <w:rsid w:val="006504D5"/>
    <w:rsid w:val="00650AA9"/>
    <w:rsid w:val="00650FA3"/>
    <w:rsid w:val="0065154E"/>
    <w:rsid w:val="006516A4"/>
    <w:rsid w:val="006516FE"/>
    <w:rsid w:val="00651D04"/>
    <w:rsid w:val="00651D1D"/>
    <w:rsid w:val="00652333"/>
    <w:rsid w:val="00652F1B"/>
    <w:rsid w:val="00653FB1"/>
    <w:rsid w:val="006549A4"/>
    <w:rsid w:val="00656085"/>
    <w:rsid w:val="00656FE7"/>
    <w:rsid w:val="0065723A"/>
    <w:rsid w:val="0065765B"/>
    <w:rsid w:val="006605AC"/>
    <w:rsid w:val="006609DD"/>
    <w:rsid w:val="00661E36"/>
    <w:rsid w:val="006625CE"/>
    <w:rsid w:val="00662E23"/>
    <w:rsid w:val="00662F5D"/>
    <w:rsid w:val="006634C1"/>
    <w:rsid w:val="00663536"/>
    <w:rsid w:val="006635A6"/>
    <w:rsid w:val="00663FCB"/>
    <w:rsid w:val="00664C08"/>
    <w:rsid w:val="00664DDE"/>
    <w:rsid w:val="0066584C"/>
    <w:rsid w:val="00666382"/>
    <w:rsid w:val="006663C5"/>
    <w:rsid w:val="00666536"/>
    <w:rsid w:val="0066666B"/>
    <w:rsid w:val="00666AEF"/>
    <w:rsid w:val="0066797D"/>
    <w:rsid w:val="006705A7"/>
    <w:rsid w:val="00670B3D"/>
    <w:rsid w:val="006716B8"/>
    <w:rsid w:val="0067329C"/>
    <w:rsid w:val="0067330B"/>
    <w:rsid w:val="00673523"/>
    <w:rsid w:val="00674465"/>
    <w:rsid w:val="0067472A"/>
    <w:rsid w:val="00674C6A"/>
    <w:rsid w:val="006754CD"/>
    <w:rsid w:val="00676888"/>
    <w:rsid w:val="00676ED0"/>
    <w:rsid w:val="00677938"/>
    <w:rsid w:val="00677DA7"/>
    <w:rsid w:val="0068009E"/>
    <w:rsid w:val="00680A71"/>
    <w:rsid w:val="00680AC6"/>
    <w:rsid w:val="00681A6B"/>
    <w:rsid w:val="00681BA6"/>
    <w:rsid w:val="00681ED3"/>
    <w:rsid w:val="00682CC9"/>
    <w:rsid w:val="00682D35"/>
    <w:rsid w:val="006831D4"/>
    <w:rsid w:val="00683305"/>
    <w:rsid w:val="00684434"/>
    <w:rsid w:val="006847BC"/>
    <w:rsid w:val="006849BF"/>
    <w:rsid w:val="00684EFB"/>
    <w:rsid w:val="00685184"/>
    <w:rsid w:val="0068579A"/>
    <w:rsid w:val="006865D7"/>
    <w:rsid w:val="006869EF"/>
    <w:rsid w:val="00686D22"/>
    <w:rsid w:val="00687432"/>
    <w:rsid w:val="006874B7"/>
    <w:rsid w:val="00687725"/>
    <w:rsid w:val="006901ED"/>
    <w:rsid w:val="006912EE"/>
    <w:rsid w:val="00691C6D"/>
    <w:rsid w:val="00691DE4"/>
    <w:rsid w:val="0069244C"/>
    <w:rsid w:val="00692996"/>
    <w:rsid w:val="00692A55"/>
    <w:rsid w:val="00692F79"/>
    <w:rsid w:val="006951BB"/>
    <w:rsid w:val="0069578C"/>
    <w:rsid w:val="00695EAA"/>
    <w:rsid w:val="00696944"/>
    <w:rsid w:val="00696F6F"/>
    <w:rsid w:val="006972FB"/>
    <w:rsid w:val="00697B2C"/>
    <w:rsid w:val="006A0548"/>
    <w:rsid w:val="006A074F"/>
    <w:rsid w:val="006A078D"/>
    <w:rsid w:val="006A0F00"/>
    <w:rsid w:val="006A0F77"/>
    <w:rsid w:val="006A11FD"/>
    <w:rsid w:val="006A15B5"/>
    <w:rsid w:val="006A17D2"/>
    <w:rsid w:val="006A2490"/>
    <w:rsid w:val="006A288E"/>
    <w:rsid w:val="006A3B33"/>
    <w:rsid w:val="006A3EE1"/>
    <w:rsid w:val="006A4B8C"/>
    <w:rsid w:val="006A508B"/>
    <w:rsid w:val="006A538E"/>
    <w:rsid w:val="006A5570"/>
    <w:rsid w:val="006A58D1"/>
    <w:rsid w:val="006A6DB8"/>
    <w:rsid w:val="006A6E1A"/>
    <w:rsid w:val="006A70B4"/>
    <w:rsid w:val="006A73E6"/>
    <w:rsid w:val="006A7408"/>
    <w:rsid w:val="006A7764"/>
    <w:rsid w:val="006B00DA"/>
    <w:rsid w:val="006B0169"/>
    <w:rsid w:val="006B05D1"/>
    <w:rsid w:val="006B0F2E"/>
    <w:rsid w:val="006B130C"/>
    <w:rsid w:val="006B17B3"/>
    <w:rsid w:val="006B22C0"/>
    <w:rsid w:val="006B231D"/>
    <w:rsid w:val="006B248C"/>
    <w:rsid w:val="006B2623"/>
    <w:rsid w:val="006B265D"/>
    <w:rsid w:val="006B295E"/>
    <w:rsid w:val="006B2D5C"/>
    <w:rsid w:val="006B37DA"/>
    <w:rsid w:val="006B3BC7"/>
    <w:rsid w:val="006B4324"/>
    <w:rsid w:val="006B50D6"/>
    <w:rsid w:val="006B544B"/>
    <w:rsid w:val="006B5C2E"/>
    <w:rsid w:val="006B5FBA"/>
    <w:rsid w:val="006B6D64"/>
    <w:rsid w:val="006B6FFA"/>
    <w:rsid w:val="006C030E"/>
    <w:rsid w:val="006C0F5D"/>
    <w:rsid w:val="006C0F95"/>
    <w:rsid w:val="006C116A"/>
    <w:rsid w:val="006C11E8"/>
    <w:rsid w:val="006C1815"/>
    <w:rsid w:val="006C2346"/>
    <w:rsid w:val="006C2B38"/>
    <w:rsid w:val="006C3179"/>
    <w:rsid w:val="006C4233"/>
    <w:rsid w:val="006C448A"/>
    <w:rsid w:val="006C4596"/>
    <w:rsid w:val="006C4D48"/>
    <w:rsid w:val="006C4EB1"/>
    <w:rsid w:val="006C523B"/>
    <w:rsid w:val="006C555D"/>
    <w:rsid w:val="006C6E31"/>
    <w:rsid w:val="006C73ED"/>
    <w:rsid w:val="006C7E62"/>
    <w:rsid w:val="006D0195"/>
    <w:rsid w:val="006D01E3"/>
    <w:rsid w:val="006D0424"/>
    <w:rsid w:val="006D070F"/>
    <w:rsid w:val="006D0A9A"/>
    <w:rsid w:val="006D0B44"/>
    <w:rsid w:val="006D0F86"/>
    <w:rsid w:val="006D12A5"/>
    <w:rsid w:val="006D1419"/>
    <w:rsid w:val="006D1A3C"/>
    <w:rsid w:val="006D1D69"/>
    <w:rsid w:val="006D2C28"/>
    <w:rsid w:val="006D2CC2"/>
    <w:rsid w:val="006D2D13"/>
    <w:rsid w:val="006D48BB"/>
    <w:rsid w:val="006D52FC"/>
    <w:rsid w:val="006D562F"/>
    <w:rsid w:val="006D5B6B"/>
    <w:rsid w:val="006D5D5D"/>
    <w:rsid w:val="006D605A"/>
    <w:rsid w:val="006D6E36"/>
    <w:rsid w:val="006D6FD5"/>
    <w:rsid w:val="006D7976"/>
    <w:rsid w:val="006D7A08"/>
    <w:rsid w:val="006E00AB"/>
    <w:rsid w:val="006E0166"/>
    <w:rsid w:val="006E0404"/>
    <w:rsid w:val="006E0DF6"/>
    <w:rsid w:val="006E0F9B"/>
    <w:rsid w:val="006E0FB2"/>
    <w:rsid w:val="006E1163"/>
    <w:rsid w:val="006E1407"/>
    <w:rsid w:val="006E18B8"/>
    <w:rsid w:val="006E2E6B"/>
    <w:rsid w:val="006E309F"/>
    <w:rsid w:val="006E30DB"/>
    <w:rsid w:val="006E33AA"/>
    <w:rsid w:val="006E35A0"/>
    <w:rsid w:val="006E37D3"/>
    <w:rsid w:val="006E4B61"/>
    <w:rsid w:val="006E4CCE"/>
    <w:rsid w:val="006E5C58"/>
    <w:rsid w:val="006E6048"/>
    <w:rsid w:val="006E67F6"/>
    <w:rsid w:val="006E6945"/>
    <w:rsid w:val="006E6C78"/>
    <w:rsid w:val="006E6F1E"/>
    <w:rsid w:val="006E7B34"/>
    <w:rsid w:val="006E7EA4"/>
    <w:rsid w:val="006F157C"/>
    <w:rsid w:val="006F1601"/>
    <w:rsid w:val="006F1716"/>
    <w:rsid w:val="006F2155"/>
    <w:rsid w:val="006F2580"/>
    <w:rsid w:val="006F3590"/>
    <w:rsid w:val="006F3597"/>
    <w:rsid w:val="006F374D"/>
    <w:rsid w:val="006F41F1"/>
    <w:rsid w:val="006F5590"/>
    <w:rsid w:val="006F5723"/>
    <w:rsid w:val="006F57AE"/>
    <w:rsid w:val="006F5AB5"/>
    <w:rsid w:val="006F672E"/>
    <w:rsid w:val="006F6BFD"/>
    <w:rsid w:val="006F6DFD"/>
    <w:rsid w:val="006F6EE6"/>
    <w:rsid w:val="006F7488"/>
    <w:rsid w:val="0070045F"/>
    <w:rsid w:val="00700471"/>
    <w:rsid w:val="00700940"/>
    <w:rsid w:val="00700BCA"/>
    <w:rsid w:val="00700C65"/>
    <w:rsid w:val="00700E42"/>
    <w:rsid w:val="00701487"/>
    <w:rsid w:val="007015C1"/>
    <w:rsid w:val="00701610"/>
    <w:rsid w:val="007016FE"/>
    <w:rsid w:val="00701B24"/>
    <w:rsid w:val="00702565"/>
    <w:rsid w:val="007025EB"/>
    <w:rsid w:val="0070267B"/>
    <w:rsid w:val="00702A7C"/>
    <w:rsid w:val="00702CC5"/>
    <w:rsid w:val="00702CD7"/>
    <w:rsid w:val="00702DE6"/>
    <w:rsid w:val="00702EA5"/>
    <w:rsid w:val="00703320"/>
    <w:rsid w:val="00703F16"/>
    <w:rsid w:val="00703F90"/>
    <w:rsid w:val="0070404E"/>
    <w:rsid w:val="00704098"/>
    <w:rsid w:val="0070456C"/>
    <w:rsid w:val="00704B18"/>
    <w:rsid w:val="00704B88"/>
    <w:rsid w:val="007059E7"/>
    <w:rsid w:val="00705FAC"/>
    <w:rsid w:val="0070603C"/>
    <w:rsid w:val="00706347"/>
    <w:rsid w:val="00706591"/>
    <w:rsid w:val="00706698"/>
    <w:rsid w:val="00706D7E"/>
    <w:rsid w:val="00707486"/>
    <w:rsid w:val="00707A5C"/>
    <w:rsid w:val="00707BAF"/>
    <w:rsid w:val="00707E8E"/>
    <w:rsid w:val="00710376"/>
    <w:rsid w:val="00710ED5"/>
    <w:rsid w:val="00711137"/>
    <w:rsid w:val="00711F7B"/>
    <w:rsid w:val="00713759"/>
    <w:rsid w:val="007140C0"/>
    <w:rsid w:val="00714711"/>
    <w:rsid w:val="00715928"/>
    <w:rsid w:val="00716A38"/>
    <w:rsid w:val="00716BEC"/>
    <w:rsid w:val="00716D62"/>
    <w:rsid w:val="0071747A"/>
    <w:rsid w:val="00717B70"/>
    <w:rsid w:val="0072003B"/>
    <w:rsid w:val="007201F0"/>
    <w:rsid w:val="0072130B"/>
    <w:rsid w:val="00721ABD"/>
    <w:rsid w:val="00721AC2"/>
    <w:rsid w:val="00722293"/>
    <w:rsid w:val="0072287B"/>
    <w:rsid w:val="00722990"/>
    <w:rsid w:val="00722EC5"/>
    <w:rsid w:val="0072335A"/>
    <w:rsid w:val="007237C3"/>
    <w:rsid w:val="00724244"/>
    <w:rsid w:val="0072472F"/>
    <w:rsid w:val="007247E2"/>
    <w:rsid w:val="007258C2"/>
    <w:rsid w:val="00725D2B"/>
    <w:rsid w:val="00727D80"/>
    <w:rsid w:val="00730731"/>
    <w:rsid w:val="0073104E"/>
    <w:rsid w:val="00731457"/>
    <w:rsid w:val="00731DA0"/>
    <w:rsid w:val="00733573"/>
    <w:rsid w:val="00733C24"/>
    <w:rsid w:val="007354E7"/>
    <w:rsid w:val="007359CB"/>
    <w:rsid w:val="00736389"/>
    <w:rsid w:val="00737421"/>
    <w:rsid w:val="00737A15"/>
    <w:rsid w:val="00737D1C"/>
    <w:rsid w:val="007400D8"/>
    <w:rsid w:val="00741346"/>
    <w:rsid w:val="0074145C"/>
    <w:rsid w:val="00741D4C"/>
    <w:rsid w:val="0074296A"/>
    <w:rsid w:val="007433B0"/>
    <w:rsid w:val="0074342D"/>
    <w:rsid w:val="0074375D"/>
    <w:rsid w:val="007451C8"/>
    <w:rsid w:val="0074535C"/>
    <w:rsid w:val="0074572F"/>
    <w:rsid w:val="0074581C"/>
    <w:rsid w:val="00745899"/>
    <w:rsid w:val="00745BEA"/>
    <w:rsid w:val="007472CA"/>
    <w:rsid w:val="007475F5"/>
    <w:rsid w:val="00750078"/>
    <w:rsid w:val="00750568"/>
    <w:rsid w:val="00750BB6"/>
    <w:rsid w:val="00750E1A"/>
    <w:rsid w:val="007510D4"/>
    <w:rsid w:val="00751379"/>
    <w:rsid w:val="0075164B"/>
    <w:rsid w:val="00752604"/>
    <w:rsid w:val="0075274A"/>
    <w:rsid w:val="00752844"/>
    <w:rsid w:val="00753374"/>
    <w:rsid w:val="007538FC"/>
    <w:rsid w:val="00754A2A"/>
    <w:rsid w:val="00754E95"/>
    <w:rsid w:val="007552CC"/>
    <w:rsid w:val="00755F05"/>
    <w:rsid w:val="007561AD"/>
    <w:rsid w:val="007569B0"/>
    <w:rsid w:val="00756D00"/>
    <w:rsid w:val="007570FA"/>
    <w:rsid w:val="00757D5A"/>
    <w:rsid w:val="00757F66"/>
    <w:rsid w:val="007603A3"/>
    <w:rsid w:val="007605EC"/>
    <w:rsid w:val="007607C4"/>
    <w:rsid w:val="007607EC"/>
    <w:rsid w:val="007611A5"/>
    <w:rsid w:val="00761A58"/>
    <w:rsid w:val="00761AA5"/>
    <w:rsid w:val="00761FA1"/>
    <w:rsid w:val="007628EE"/>
    <w:rsid w:val="00762A2F"/>
    <w:rsid w:val="00762BA9"/>
    <w:rsid w:val="0076408D"/>
    <w:rsid w:val="00764470"/>
    <w:rsid w:val="00764912"/>
    <w:rsid w:val="0076495F"/>
    <w:rsid w:val="007649AF"/>
    <w:rsid w:val="00764B3B"/>
    <w:rsid w:val="00765584"/>
    <w:rsid w:val="00765CB7"/>
    <w:rsid w:val="0076643F"/>
    <w:rsid w:val="007676F5"/>
    <w:rsid w:val="007707B4"/>
    <w:rsid w:val="00770D4B"/>
    <w:rsid w:val="00771045"/>
    <w:rsid w:val="0077118F"/>
    <w:rsid w:val="00771205"/>
    <w:rsid w:val="00771730"/>
    <w:rsid w:val="00771B62"/>
    <w:rsid w:val="00773C5A"/>
    <w:rsid w:val="00774375"/>
    <w:rsid w:val="007744CC"/>
    <w:rsid w:val="0077454A"/>
    <w:rsid w:val="00774C36"/>
    <w:rsid w:val="00775B53"/>
    <w:rsid w:val="00776561"/>
    <w:rsid w:val="007769BE"/>
    <w:rsid w:val="007771C5"/>
    <w:rsid w:val="007775C0"/>
    <w:rsid w:val="007776FF"/>
    <w:rsid w:val="0078069F"/>
    <w:rsid w:val="007809DA"/>
    <w:rsid w:val="00780BCB"/>
    <w:rsid w:val="00780ED7"/>
    <w:rsid w:val="00781C89"/>
    <w:rsid w:val="007820A7"/>
    <w:rsid w:val="007820BB"/>
    <w:rsid w:val="00782E68"/>
    <w:rsid w:val="0078426B"/>
    <w:rsid w:val="00784600"/>
    <w:rsid w:val="00784694"/>
    <w:rsid w:val="00784DE5"/>
    <w:rsid w:val="00784FEC"/>
    <w:rsid w:val="00785522"/>
    <w:rsid w:val="007855C3"/>
    <w:rsid w:val="0078587E"/>
    <w:rsid w:val="0078595F"/>
    <w:rsid w:val="00785EE3"/>
    <w:rsid w:val="00785F8D"/>
    <w:rsid w:val="00786501"/>
    <w:rsid w:val="007870A2"/>
    <w:rsid w:val="0078761D"/>
    <w:rsid w:val="00787CDF"/>
    <w:rsid w:val="00787D57"/>
    <w:rsid w:val="00790499"/>
    <w:rsid w:val="00791124"/>
    <w:rsid w:val="007913F7"/>
    <w:rsid w:val="00791BF2"/>
    <w:rsid w:val="00792021"/>
    <w:rsid w:val="007928DA"/>
    <w:rsid w:val="00792EA6"/>
    <w:rsid w:val="00793A12"/>
    <w:rsid w:val="0079416E"/>
    <w:rsid w:val="00794415"/>
    <w:rsid w:val="00794A4E"/>
    <w:rsid w:val="00794E14"/>
    <w:rsid w:val="0079513F"/>
    <w:rsid w:val="00795940"/>
    <w:rsid w:val="00795B5E"/>
    <w:rsid w:val="00795E01"/>
    <w:rsid w:val="00796E7A"/>
    <w:rsid w:val="007977A5"/>
    <w:rsid w:val="00797969"/>
    <w:rsid w:val="00797AE7"/>
    <w:rsid w:val="007A13D7"/>
    <w:rsid w:val="007A17C8"/>
    <w:rsid w:val="007A18EB"/>
    <w:rsid w:val="007A1B40"/>
    <w:rsid w:val="007A22A0"/>
    <w:rsid w:val="007A2423"/>
    <w:rsid w:val="007A281C"/>
    <w:rsid w:val="007A2BD9"/>
    <w:rsid w:val="007A2EC7"/>
    <w:rsid w:val="007A2F70"/>
    <w:rsid w:val="007A3293"/>
    <w:rsid w:val="007A329D"/>
    <w:rsid w:val="007A3478"/>
    <w:rsid w:val="007A4240"/>
    <w:rsid w:val="007A4760"/>
    <w:rsid w:val="007A4980"/>
    <w:rsid w:val="007A5158"/>
    <w:rsid w:val="007A51E3"/>
    <w:rsid w:val="007A52E1"/>
    <w:rsid w:val="007A57A6"/>
    <w:rsid w:val="007A5893"/>
    <w:rsid w:val="007A5E25"/>
    <w:rsid w:val="007A5F7F"/>
    <w:rsid w:val="007A636F"/>
    <w:rsid w:val="007A6385"/>
    <w:rsid w:val="007A6474"/>
    <w:rsid w:val="007A7F31"/>
    <w:rsid w:val="007B030C"/>
    <w:rsid w:val="007B04BF"/>
    <w:rsid w:val="007B0DBB"/>
    <w:rsid w:val="007B1494"/>
    <w:rsid w:val="007B186C"/>
    <w:rsid w:val="007B19A1"/>
    <w:rsid w:val="007B19FE"/>
    <w:rsid w:val="007B1A01"/>
    <w:rsid w:val="007B1B6A"/>
    <w:rsid w:val="007B1BD2"/>
    <w:rsid w:val="007B1D1B"/>
    <w:rsid w:val="007B24E8"/>
    <w:rsid w:val="007B2769"/>
    <w:rsid w:val="007B3C72"/>
    <w:rsid w:val="007B430B"/>
    <w:rsid w:val="007B4826"/>
    <w:rsid w:val="007B499F"/>
    <w:rsid w:val="007B4C00"/>
    <w:rsid w:val="007B54BA"/>
    <w:rsid w:val="007B5867"/>
    <w:rsid w:val="007B6279"/>
    <w:rsid w:val="007B6C22"/>
    <w:rsid w:val="007B6EC4"/>
    <w:rsid w:val="007B762A"/>
    <w:rsid w:val="007B794F"/>
    <w:rsid w:val="007C0F3E"/>
    <w:rsid w:val="007C10AC"/>
    <w:rsid w:val="007C16AB"/>
    <w:rsid w:val="007C1BDE"/>
    <w:rsid w:val="007C1D74"/>
    <w:rsid w:val="007C22DF"/>
    <w:rsid w:val="007C2B7D"/>
    <w:rsid w:val="007C2C3C"/>
    <w:rsid w:val="007C3334"/>
    <w:rsid w:val="007C3481"/>
    <w:rsid w:val="007C3734"/>
    <w:rsid w:val="007C42D5"/>
    <w:rsid w:val="007C4478"/>
    <w:rsid w:val="007C4F1C"/>
    <w:rsid w:val="007C50F6"/>
    <w:rsid w:val="007C52BB"/>
    <w:rsid w:val="007C52EB"/>
    <w:rsid w:val="007C5476"/>
    <w:rsid w:val="007C58E8"/>
    <w:rsid w:val="007C6630"/>
    <w:rsid w:val="007C664F"/>
    <w:rsid w:val="007C7402"/>
    <w:rsid w:val="007C757E"/>
    <w:rsid w:val="007C769E"/>
    <w:rsid w:val="007C798F"/>
    <w:rsid w:val="007C7B95"/>
    <w:rsid w:val="007D0207"/>
    <w:rsid w:val="007D0309"/>
    <w:rsid w:val="007D06CB"/>
    <w:rsid w:val="007D071A"/>
    <w:rsid w:val="007D08BD"/>
    <w:rsid w:val="007D105B"/>
    <w:rsid w:val="007D19F0"/>
    <w:rsid w:val="007D20CF"/>
    <w:rsid w:val="007D278F"/>
    <w:rsid w:val="007D2B98"/>
    <w:rsid w:val="007D2FEE"/>
    <w:rsid w:val="007D30DE"/>
    <w:rsid w:val="007D33BE"/>
    <w:rsid w:val="007D362A"/>
    <w:rsid w:val="007D3E9B"/>
    <w:rsid w:val="007D4A55"/>
    <w:rsid w:val="007D4C93"/>
    <w:rsid w:val="007D4CD9"/>
    <w:rsid w:val="007D4FA5"/>
    <w:rsid w:val="007D5671"/>
    <w:rsid w:val="007D5A45"/>
    <w:rsid w:val="007D69AC"/>
    <w:rsid w:val="007D7C72"/>
    <w:rsid w:val="007D7E06"/>
    <w:rsid w:val="007E048D"/>
    <w:rsid w:val="007E13CE"/>
    <w:rsid w:val="007E160F"/>
    <w:rsid w:val="007E1856"/>
    <w:rsid w:val="007E2569"/>
    <w:rsid w:val="007E271D"/>
    <w:rsid w:val="007E2AC2"/>
    <w:rsid w:val="007E2C05"/>
    <w:rsid w:val="007E2CB3"/>
    <w:rsid w:val="007E33C3"/>
    <w:rsid w:val="007E350C"/>
    <w:rsid w:val="007E42C4"/>
    <w:rsid w:val="007E5338"/>
    <w:rsid w:val="007E59F7"/>
    <w:rsid w:val="007E5CC7"/>
    <w:rsid w:val="007E5EEF"/>
    <w:rsid w:val="007E6DAC"/>
    <w:rsid w:val="007E6E64"/>
    <w:rsid w:val="007E715E"/>
    <w:rsid w:val="007E783F"/>
    <w:rsid w:val="007F05E6"/>
    <w:rsid w:val="007F074A"/>
    <w:rsid w:val="007F1641"/>
    <w:rsid w:val="007F210C"/>
    <w:rsid w:val="007F39A0"/>
    <w:rsid w:val="007F410D"/>
    <w:rsid w:val="007F4167"/>
    <w:rsid w:val="007F42BF"/>
    <w:rsid w:val="007F4652"/>
    <w:rsid w:val="007F4A54"/>
    <w:rsid w:val="007F4B82"/>
    <w:rsid w:val="007F4F2C"/>
    <w:rsid w:val="007F4FE2"/>
    <w:rsid w:val="007F5CD1"/>
    <w:rsid w:val="007F6BB0"/>
    <w:rsid w:val="007F701E"/>
    <w:rsid w:val="008007AE"/>
    <w:rsid w:val="00800983"/>
    <w:rsid w:val="00800C25"/>
    <w:rsid w:val="00800E57"/>
    <w:rsid w:val="00800F71"/>
    <w:rsid w:val="00801880"/>
    <w:rsid w:val="00801B96"/>
    <w:rsid w:val="00801C7F"/>
    <w:rsid w:val="00802A23"/>
    <w:rsid w:val="00802DDA"/>
    <w:rsid w:val="0080393B"/>
    <w:rsid w:val="00803C4E"/>
    <w:rsid w:val="00803F1C"/>
    <w:rsid w:val="00804686"/>
    <w:rsid w:val="008053D5"/>
    <w:rsid w:val="0080600E"/>
    <w:rsid w:val="00806658"/>
    <w:rsid w:val="0080677A"/>
    <w:rsid w:val="00807549"/>
    <w:rsid w:val="008101A8"/>
    <w:rsid w:val="0081181A"/>
    <w:rsid w:val="0081256B"/>
    <w:rsid w:val="00812C8D"/>
    <w:rsid w:val="00812EAF"/>
    <w:rsid w:val="0081365E"/>
    <w:rsid w:val="00814843"/>
    <w:rsid w:val="008150B2"/>
    <w:rsid w:val="00816E06"/>
    <w:rsid w:val="0081728E"/>
    <w:rsid w:val="00817612"/>
    <w:rsid w:val="00817884"/>
    <w:rsid w:val="00817967"/>
    <w:rsid w:val="00817D2F"/>
    <w:rsid w:val="00820334"/>
    <w:rsid w:val="008204AE"/>
    <w:rsid w:val="00820573"/>
    <w:rsid w:val="00820D73"/>
    <w:rsid w:val="008215C0"/>
    <w:rsid w:val="008218A2"/>
    <w:rsid w:val="00821F4B"/>
    <w:rsid w:val="00823A91"/>
    <w:rsid w:val="008245AD"/>
    <w:rsid w:val="00824ACC"/>
    <w:rsid w:val="00824B62"/>
    <w:rsid w:val="00825952"/>
    <w:rsid w:val="00825B7F"/>
    <w:rsid w:val="008277A8"/>
    <w:rsid w:val="00827DB7"/>
    <w:rsid w:val="00830C92"/>
    <w:rsid w:val="00830E88"/>
    <w:rsid w:val="008315C5"/>
    <w:rsid w:val="008316A7"/>
    <w:rsid w:val="008317DA"/>
    <w:rsid w:val="00831D65"/>
    <w:rsid w:val="00831E89"/>
    <w:rsid w:val="00832398"/>
    <w:rsid w:val="00834FC9"/>
    <w:rsid w:val="008357F6"/>
    <w:rsid w:val="00835A28"/>
    <w:rsid w:val="00835BDD"/>
    <w:rsid w:val="00835F5A"/>
    <w:rsid w:val="008360F7"/>
    <w:rsid w:val="00836223"/>
    <w:rsid w:val="00836E5C"/>
    <w:rsid w:val="0083716D"/>
    <w:rsid w:val="008373B6"/>
    <w:rsid w:val="00837A50"/>
    <w:rsid w:val="00837C45"/>
    <w:rsid w:val="00837EDD"/>
    <w:rsid w:val="0084043E"/>
    <w:rsid w:val="00840923"/>
    <w:rsid w:val="008414A3"/>
    <w:rsid w:val="008417E4"/>
    <w:rsid w:val="008422DA"/>
    <w:rsid w:val="00842441"/>
    <w:rsid w:val="008426FE"/>
    <w:rsid w:val="0084302E"/>
    <w:rsid w:val="00843C1B"/>
    <w:rsid w:val="00843E8C"/>
    <w:rsid w:val="0084554C"/>
    <w:rsid w:val="008456F3"/>
    <w:rsid w:val="008459C2"/>
    <w:rsid w:val="00845C1A"/>
    <w:rsid w:val="0084649B"/>
    <w:rsid w:val="00846865"/>
    <w:rsid w:val="00846B2C"/>
    <w:rsid w:val="00846D39"/>
    <w:rsid w:val="008472FB"/>
    <w:rsid w:val="008473B2"/>
    <w:rsid w:val="00847431"/>
    <w:rsid w:val="00847A8B"/>
    <w:rsid w:val="00847B26"/>
    <w:rsid w:val="0085016E"/>
    <w:rsid w:val="00850933"/>
    <w:rsid w:val="008509CC"/>
    <w:rsid w:val="008514E9"/>
    <w:rsid w:val="0085268D"/>
    <w:rsid w:val="00852C3A"/>
    <w:rsid w:val="00852C75"/>
    <w:rsid w:val="0085323F"/>
    <w:rsid w:val="00853419"/>
    <w:rsid w:val="00853512"/>
    <w:rsid w:val="00853A23"/>
    <w:rsid w:val="00853F53"/>
    <w:rsid w:val="00854FE3"/>
    <w:rsid w:val="00855876"/>
    <w:rsid w:val="008560E1"/>
    <w:rsid w:val="00856256"/>
    <w:rsid w:val="008573A3"/>
    <w:rsid w:val="00860233"/>
    <w:rsid w:val="00860A02"/>
    <w:rsid w:val="00860C50"/>
    <w:rsid w:val="00861437"/>
    <w:rsid w:val="0086147D"/>
    <w:rsid w:val="00861972"/>
    <w:rsid w:val="00861D01"/>
    <w:rsid w:val="00861EC2"/>
    <w:rsid w:val="00861F6D"/>
    <w:rsid w:val="008628FD"/>
    <w:rsid w:val="00863229"/>
    <w:rsid w:val="00863E9F"/>
    <w:rsid w:val="00864785"/>
    <w:rsid w:val="00865279"/>
    <w:rsid w:val="00865368"/>
    <w:rsid w:val="00865379"/>
    <w:rsid w:val="0086581A"/>
    <w:rsid w:val="00865C9B"/>
    <w:rsid w:val="0086628D"/>
    <w:rsid w:val="008665EC"/>
    <w:rsid w:val="008669E2"/>
    <w:rsid w:val="00866D7E"/>
    <w:rsid w:val="008676D3"/>
    <w:rsid w:val="008678EF"/>
    <w:rsid w:val="00867B70"/>
    <w:rsid w:val="00867DA3"/>
    <w:rsid w:val="0087014C"/>
    <w:rsid w:val="00871372"/>
    <w:rsid w:val="00871656"/>
    <w:rsid w:val="00871EBE"/>
    <w:rsid w:val="008741A2"/>
    <w:rsid w:val="008745BF"/>
    <w:rsid w:val="00874BEE"/>
    <w:rsid w:val="00875128"/>
    <w:rsid w:val="00875ABB"/>
    <w:rsid w:val="00875EC6"/>
    <w:rsid w:val="00876085"/>
    <w:rsid w:val="00877E1B"/>
    <w:rsid w:val="0088011F"/>
    <w:rsid w:val="00880395"/>
    <w:rsid w:val="00880B21"/>
    <w:rsid w:val="00880F95"/>
    <w:rsid w:val="0088253F"/>
    <w:rsid w:val="00882952"/>
    <w:rsid w:val="00882C32"/>
    <w:rsid w:val="0088373B"/>
    <w:rsid w:val="00883E89"/>
    <w:rsid w:val="00883EA4"/>
    <w:rsid w:val="00884270"/>
    <w:rsid w:val="00885063"/>
    <w:rsid w:val="008869BA"/>
    <w:rsid w:val="00886C29"/>
    <w:rsid w:val="00887B7D"/>
    <w:rsid w:val="00887E8A"/>
    <w:rsid w:val="008903D5"/>
    <w:rsid w:val="0089156D"/>
    <w:rsid w:val="008917C2"/>
    <w:rsid w:val="00892E68"/>
    <w:rsid w:val="00893298"/>
    <w:rsid w:val="00893A3F"/>
    <w:rsid w:val="00893E24"/>
    <w:rsid w:val="00893E44"/>
    <w:rsid w:val="008945B4"/>
    <w:rsid w:val="008950C5"/>
    <w:rsid w:val="0089514B"/>
    <w:rsid w:val="00895C72"/>
    <w:rsid w:val="008969D3"/>
    <w:rsid w:val="00896EC2"/>
    <w:rsid w:val="008971D8"/>
    <w:rsid w:val="00897A3D"/>
    <w:rsid w:val="00897E12"/>
    <w:rsid w:val="008A065A"/>
    <w:rsid w:val="008A0A23"/>
    <w:rsid w:val="008A1C4B"/>
    <w:rsid w:val="008A2C74"/>
    <w:rsid w:val="008A3434"/>
    <w:rsid w:val="008A36FA"/>
    <w:rsid w:val="008A4FAC"/>
    <w:rsid w:val="008A5A80"/>
    <w:rsid w:val="008A5BF4"/>
    <w:rsid w:val="008A5F54"/>
    <w:rsid w:val="008A6043"/>
    <w:rsid w:val="008A6435"/>
    <w:rsid w:val="008A645F"/>
    <w:rsid w:val="008A67CF"/>
    <w:rsid w:val="008A694A"/>
    <w:rsid w:val="008A6DA2"/>
    <w:rsid w:val="008A7460"/>
    <w:rsid w:val="008A7E83"/>
    <w:rsid w:val="008A7F97"/>
    <w:rsid w:val="008A7FC7"/>
    <w:rsid w:val="008B03ED"/>
    <w:rsid w:val="008B0E6D"/>
    <w:rsid w:val="008B0EE7"/>
    <w:rsid w:val="008B14CB"/>
    <w:rsid w:val="008B1CA7"/>
    <w:rsid w:val="008B1EF4"/>
    <w:rsid w:val="008B24D5"/>
    <w:rsid w:val="008B25FC"/>
    <w:rsid w:val="008B2DA9"/>
    <w:rsid w:val="008B3466"/>
    <w:rsid w:val="008B44C5"/>
    <w:rsid w:val="008B4CBD"/>
    <w:rsid w:val="008B5124"/>
    <w:rsid w:val="008B768E"/>
    <w:rsid w:val="008B7B3C"/>
    <w:rsid w:val="008C00EE"/>
    <w:rsid w:val="008C05DD"/>
    <w:rsid w:val="008C067C"/>
    <w:rsid w:val="008C2789"/>
    <w:rsid w:val="008C2DF6"/>
    <w:rsid w:val="008C3182"/>
    <w:rsid w:val="008C3B28"/>
    <w:rsid w:val="008C4234"/>
    <w:rsid w:val="008C5978"/>
    <w:rsid w:val="008C606A"/>
    <w:rsid w:val="008C698C"/>
    <w:rsid w:val="008C6F82"/>
    <w:rsid w:val="008C6FC4"/>
    <w:rsid w:val="008C7564"/>
    <w:rsid w:val="008C7643"/>
    <w:rsid w:val="008D02D4"/>
    <w:rsid w:val="008D0556"/>
    <w:rsid w:val="008D07D4"/>
    <w:rsid w:val="008D0D4E"/>
    <w:rsid w:val="008D0DD0"/>
    <w:rsid w:val="008D1734"/>
    <w:rsid w:val="008D2272"/>
    <w:rsid w:val="008D287A"/>
    <w:rsid w:val="008D2EA5"/>
    <w:rsid w:val="008D307A"/>
    <w:rsid w:val="008D33C9"/>
    <w:rsid w:val="008D344B"/>
    <w:rsid w:val="008D3D62"/>
    <w:rsid w:val="008D3D6F"/>
    <w:rsid w:val="008D3DF6"/>
    <w:rsid w:val="008D4228"/>
    <w:rsid w:val="008D43BA"/>
    <w:rsid w:val="008D4F11"/>
    <w:rsid w:val="008D6086"/>
    <w:rsid w:val="008D61F5"/>
    <w:rsid w:val="008D6249"/>
    <w:rsid w:val="008D7317"/>
    <w:rsid w:val="008D7623"/>
    <w:rsid w:val="008D7DF4"/>
    <w:rsid w:val="008E06C9"/>
    <w:rsid w:val="008E0A77"/>
    <w:rsid w:val="008E10AE"/>
    <w:rsid w:val="008E164D"/>
    <w:rsid w:val="008E168D"/>
    <w:rsid w:val="008E211D"/>
    <w:rsid w:val="008E33FB"/>
    <w:rsid w:val="008E3759"/>
    <w:rsid w:val="008E3EE8"/>
    <w:rsid w:val="008E45EF"/>
    <w:rsid w:val="008E53E4"/>
    <w:rsid w:val="008E5615"/>
    <w:rsid w:val="008E57D1"/>
    <w:rsid w:val="008E6153"/>
    <w:rsid w:val="008E62A4"/>
    <w:rsid w:val="008E71E6"/>
    <w:rsid w:val="008F166D"/>
    <w:rsid w:val="008F2796"/>
    <w:rsid w:val="008F298E"/>
    <w:rsid w:val="008F2A35"/>
    <w:rsid w:val="008F2A73"/>
    <w:rsid w:val="008F2E03"/>
    <w:rsid w:val="008F2E1C"/>
    <w:rsid w:val="008F3B12"/>
    <w:rsid w:val="008F3BF9"/>
    <w:rsid w:val="008F3C7F"/>
    <w:rsid w:val="008F3E4A"/>
    <w:rsid w:val="008F4101"/>
    <w:rsid w:val="008F4522"/>
    <w:rsid w:val="008F49E6"/>
    <w:rsid w:val="008F4A17"/>
    <w:rsid w:val="008F4A4D"/>
    <w:rsid w:val="008F559D"/>
    <w:rsid w:val="008F575C"/>
    <w:rsid w:val="008F6014"/>
    <w:rsid w:val="008F60C5"/>
    <w:rsid w:val="008F7B4C"/>
    <w:rsid w:val="008F7F3F"/>
    <w:rsid w:val="00900365"/>
    <w:rsid w:val="00900729"/>
    <w:rsid w:val="00900D01"/>
    <w:rsid w:val="00900D86"/>
    <w:rsid w:val="009021D6"/>
    <w:rsid w:val="00902C3B"/>
    <w:rsid w:val="00902D58"/>
    <w:rsid w:val="009039DC"/>
    <w:rsid w:val="00903BE6"/>
    <w:rsid w:val="009041DC"/>
    <w:rsid w:val="009043CE"/>
    <w:rsid w:val="009047EE"/>
    <w:rsid w:val="00904B4B"/>
    <w:rsid w:val="00905B37"/>
    <w:rsid w:val="009062C5"/>
    <w:rsid w:val="0090640F"/>
    <w:rsid w:val="009065A1"/>
    <w:rsid w:val="00906679"/>
    <w:rsid w:val="0090668D"/>
    <w:rsid w:val="009104B4"/>
    <w:rsid w:val="009110B9"/>
    <w:rsid w:val="009111FF"/>
    <w:rsid w:val="00912171"/>
    <w:rsid w:val="00912195"/>
    <w:rsid w:val="00912523"/>
    <w:rsid w:val="00912642"/>
    <w:rsid w:val="00913018"/>
    <w:rsid w:val="00913B6D"/>
    <w:rsid w:val="0091418E"/>
    <w:rsid w:val="00915CDE"/>
    <w:rsid w:val="00915FDE"/>
    <w:rsid w:val="0091627C"/>
    <w:rsid w:val="0091677E"/>
    <w:rsid w:val="0091728F"/>
    <w:rsid w:val="0091789D"/>
    <w:rsid w:val="00917F4B"/>
    <w:rsid w:val="00920A6E"/>
    <w:rsid w:val="00921023"/>
    <w:rsid w:val="009214A7"/>
    <w:rsid w:val="009214C8"/>
    <w:rsid w:val="00921DC6"/>
    <w:rsid w:val="00922A9F"/>
    <w:rsid w:val="00922B74"/>
    <w:rsid w:val="00922E4D"/>
    <w:rsid w:val="0092346B"/>
    <w:rsid w:val="00923561"/>
    <w:rsid w:val="00923920"/>
    <w:rsid w:val="00923E54"/>
    <w:rsid w:val="00923EA6"/>
    <w:rsid w:val="00924670"/>
    <w:rsid w:val="00924F0A"/>
    <w:rsid w:val="00925FCD"/>
    <w:rsid w:val="00927B0B"/>
    <w:rsid w:val="00927B93"/>
    <w:rsid w:val="009300A7"/>
    <w:rsid w:val="0093035E"/>
    <w:rsid w:val="00930A5D"/>
    <w:rsid w:val="00930ED0"/>
    <w:rsid w:val="009315CD"/>
    <w:rsid w:val="009320F5"/>
    <w:rsid w:val="009322FE"/>
    <w:rsid w:val="009327B8"/>
    <w:rsid w:val="00932B67"/>
    <w:rsid w:val="009330E1"/>
    <w:rsid w:val="00933441"/>
    <w:rsid w:val="00933621"/>
    <w:rsid w:val="0093441A"/>
    <w:rsid w:val="00934829"/>
    <w:rsid w:val="00935244"/>
    <w:rsid w:val="009356F2"/>
    <w:rsid w:val="00935735"/>
    <w:rsid w:val="009359E3"/>
    <w:rsid w:val="00935A29"/>
    <w:rsid w:val="00936C4F"/>
    <w:rsid w:val="0093721A"/>
    <w:rsid w:val="00937CFA"/>
    <w:rsid w:val="00940D0A"/>
    <w:rsid w:val="009412E0"/>
    <w:rsid w:val="00941393"/>
    <w:rsid w:val="0094199B"/>
    <w:rsid w:val="00942138"/>
    <w:rsid w:val="009424BD"/>
    <w:rsid w:val="0094253B"/>
    <w:rsid w:val="00942AA6"/>
    <w:rsid w:val="00942AF8"/>
    <w:rsid w:val="00942BBC"/>
    <w:rsid w:val="009435DC"/>
    <w:rsid w:val="00943E51"/>
    <w:rsid w:val="00944486"/>
    <w:rsid w:val="0094598C"/>
    <w:rsid w:val="00945F51"/>
    <w:rsid w:val="00946729"/>
    <w:rsid w:val="00946C8B"/>
    <w:rsid w:val="0094702E"/>
    <w:rsid w:val="00947215"/>
    <w:rsid w:val="00947306"/>
    <w:rsid w:val="00947B86"/>
    <w:rsid w:val="00950120"/>
    <w:rsid w:val="00950D77"/>
    <w:rsid w:val="00951A16"/>
    <w:rsid w:val="00952323"/>
    <w:rsid w:val="00952CAA"/>
    <w:rsid w:val="00952DC4"/>
    <w:rsid w:val="00953A8F"/>
    <w:rsid w:val="00953E5D"/>
    <w:rsid w:val="009544AF"/>
    <w:rsid w:val="0095466D"/>
    <w:rsid w:val="00954BF7"/>
    <w:rsid w:val="00955093"/>
    <w:rsid w:val="009552DA"/>
    <w:rsid w:val="009554F0"/>
    <w:rsid w:val="00955C06"/>
    <w:rsid w:val="00955CB9"/>
    <w:rsid w:val="00955EA3"/>
    <w:rsid w:val="0095641C"/>
    <w:rsid w:val="00956868"/>
    <w:rsid w:val="00956AAD"/>
    <w:rsid w:val="00956D1D"/>
    <w:rsid w:val="0095713F"/>
    <w:rsid w:val="009579D8"/>
    <w:rsid w:val="00957A32"/>
    <w:rsid w:val="00960555"/>
    <w:rsid w:val="00962F1A"/>
    <w:rsid w:val="00963233"/>
    <w:rsid w:val="009644B6"/>
    <w:rsid w:val="00964917"/>
    <w:rsid w:val="00964BC4"/>
    <w:rsid w:val="00964E5C"/>
    <w:rsid w:val="00965000"/>
    <w:rsid w:val="009653A0"/>
    <w:rsid w:val="00965F42"/>
    <w:rsid w:val="009661DF"/>
    <w:rsid w:val="009668D9"/>
    <w:rsid w:val="009668E5"/>
    <w:rsid w:val="0096706E"/>
    <w:rsid w:val="009678C3"/>
    <w:rsid w:val="00967987"/>
    <w:rsid w:val="00967996"/>
    <w:rsid w:val="00967ECF"/>
    <w:rsid w:val="00970813"/>
    <w:rsid w:val="00970FD7"/>
    <w:rsid w:val="009714F6"/>
    <w:rsid w:val="009724C3"/>
    <w:rsid w:val="0097261D"/>
    <w:rsid w:val="009729C9"/>
    <w:rsid w:val="00972F48"/>
    <w:rsid w:val="00973675"/>
    <w:rsid w:val="00973798"/>
    <w:rsid w:val="00973E1D"/>
    <w:rsid w:val="009740BE"/>
    <w:rsid w:val="00974B7D"/>
    <w:rsid w:val="009753D7"/>
    <w:rsid w:val="009757D0"/>
    <w:rsid w:val="00976149"/>
    <w:rsid w:val="00976295"/>
    <w:rsid w:val="0097691D"/>
    <w:rsid w:val="00976A35"/>
    <w:rsid w:val="00976D29"/>
    <w:rsid w:val="00976E74"/>
    <w:rsid w:val="0097748D"/>
    <w:rsid w:val="009803A4"/>
    <w:rsid w:val="00981802"/>
    <w:rsid w:val="00981FBA"/>
    <w:rsid w:val="00982E24"/>
    <w:rsid w:val="00983AF6"/>
    <w:rsid w:val="00983D6A"/>
    <w:rsid w:val="00983F8C"/>
    <w:rsid w:val="009843A2"/>
    <w:rsid w:val="009856D7"/>
    <w:rsid w:val="00985A4B"/>
    <w:rsid w:val="00986129"/>
    <w:rsid w:val="00986662"/>
    <w:rsid w:val="009869B3"/>
    <w:rsid w:val="00986AEE"/>
    <w:rsid w:val="00986FC1"/>
    <w:rsid w:val="009879D3"/>
    <w:rsid w:val="00992B3E"/>
    <w:rsid w:val="00992D3D"/>
    <w:rsid w:val="009937A7"/>
    <w:rsid w:val="00994ECF"/>
    <w:rsid w:val="0099538C"/>
    <w:rsid w:val="009967AF"/>
    <w:rsid w:val="0099714E"/>
    <w:rsid w:val="009974BF"/>
    <w:rsid w:val="009978F5"/>
    <w:rsid w:val="00997C4E"/>
    <w:rsid w:val="00997E99"/>
    <w:rsid w:val="009A01D8"/>
    <w:rsid w:val="009A03E7"/>
    <w:rsid w:val="009A0816"/>
    <w:rsid w:val="009A0B09"/>
    <w:rsid w:val="009A0CA9"/>
    <w:rsid w:val="009A0F04"/>
    <w:rsid w:val="009A1A5D"/>
    <w:rsid w:val="009A1D2A"/>
    <w:rsid w:val="009A28FA"/>
    <w:rsid w:val="009A2A95"/>
    <w:rsid w:val="009A30CA"/>
    <w:rsid w:val="009A3D51"/>
    <w:rsid w:val="009A5765"/>
    <w:rsid w:val="009A6130"/>
    <w:rsid w:val="009A700D"/>
    <w:rsid w:val="009A7953"/>
    <w:rsid w:val="009A7F2B"/>
    <w:rsid w:val="009B074C"/>
    <w:rsid w:val="009B07BE"/>
    <w:rsid w:val="009B0A1C"/>
    <w:rsid w:val="009B1206"/>
    <w:rsid w:val="009B1525"/>
    <w:rsid w:val="009B18E1"/>
    <w:rsid w:val="009B26C8"/>
    <w:rsid w:val="009B2F9E"/>
    <w:rsid w:val="009B351F"/>
    <w:rsid w:val="009B381B"/>
    <w:rsid w:val="009B4705"/>
    <w:rsid w:val="009B4FCA"/>
    <w:rsid w:val="009B5129"/>
    <w:rsid w:val="009B541A"/>
    <w:rsid w:val="009B5D32"/>
    <w:rsid w:val="009B5E0C"/>
    <w:rsid w:val="009B61B2"/>
    <w:rsid w:val="009B6619"/>
    <w:rsid w:val="009B71D5"/>
    <w:rsid w:val="009B74A4"/>
    <w:rsid w:val="009B76BF"/>
    <w:rsid w:val="009B7794"/>
    <w:rsid w:val="009C03AE"/>
    <w:rsid w:val="009C047F"/>
    <w:rsid w:val="009C14DA"/>
    <w:rsid w:val="009C1615"/>
    <w:rsid w:val="009C1691"/>
    <w:rsid w:val="009C180C"/>
    <w:rsid w:val="009C1877"/>
    <w:rsid w:val="009C1D8B"/>
    <w:rsid w:val="009C2F75"/>
    <w:rsid w:val="009C2F9F"/>
    <w:rsid w:val="009C458A"/>
    <w:rsid w:val="009C4893"/>
    <w:rsid w:val="009C4D68"/>
    <w:rsid w:val="009C5559"/>
    <w:rsid w:val="009C59D3"/>
    <w:rsid w:val="009C6457"/>
    <w:rsid w:val="009C70F6"/>
    <w:rsid w:val="009C799E"/>
    <w:rsid w:val="009D0012"/>
    <w:rsid w:val="009D0946"/>
    <w:rsid w:val="009D0DEE"/>
    <w:rsid w:val="009D15C7"/>
    <w:rsid w:val="009D16D3"/>
    <w:rsid w:val="009D173B"/>
    <w:rsid w:val="009D2342"/>
    <w:rsid w:val="009D241E"/>
    <w:rsid w:val="009D280B"/>
    <w:rsid w:val="009D28C4"/>
    <w:rsid w:val="009D2A12"/>
    <w:rsid w:val="009D2BBE"/>
    <w:rsid w:val="009D3728"/>
    <w:rsid w:val="009D44D1"/>
    <w:rsid w:val="009D45F5"/>
    <w:rsid w:val="009D4AFD"/>
    <w:rsid w:val="009D4CF8"/>
    <w:rsid w:val="009D561E"/>
    <w:rsid w:val="009D6116"/>
    <w:rsid w:val="009D62CD"/>
    <w:rsid w:val="009D6CE9"/>
    <w:rsid w:val="009D7611"/>
    <w:rsid w:val="009E075C"/>
    <w:rsid w:val="009E13FA"/>
    <w:rsid w:val="009E15DB"/>
    <w:rsid w:val="009E25B3"/>
    <w:rsid w:val="009E27A9"/>
    <w:rsid w:val="009E3162"/>
    <w:rsid w:val="009E3488"/>
    <w:rsid w:val="009E374A"/>
    <w:rsid w:val="009E3762"/>
    <w:rsid w:val="009E3A41"/>
    <w:rsid w:val="009E3ABD"/>
    <w:rsid w:val="009E3C23"/>
    <w:rsid w:val="009E3F7C"/>
    <w:rsid w:val="009E41B3"/>
    <w:rsid w:val="009E4906"/>
    <w:rsid w:val="009E53DE"/>
    <w:rsid w:val="009E6FD9"/>
    <w:rsid w:val="009E77F0"/>
    <w:rsid w:val="009F0AED"/>
    <w:rsid w:val="009F0D8A"/>
    <w:rsid w:val="009F114F"/>
    <w:rsid w:val="009F1ED5"/>
    <w:rsid w:val="009F229C"/>
    <w:rsid w:val="009F2349"/>
    <w:rsid w:val="009F24AF"/>
    <w:rsid w:val="009F24FF"/>
    <w:rsid w:val="009F297A"/>
    <w:rsid w:val="009F2CC4"/>
    <w:rsid w:val="009F382B"/>
    <w:rsid w:val="009F4877"/>
    <w:rsid w:val="009F5BEF"/>
    <w:rsid w:val="009F6069"/>
    <w:rsid w:val="009F7113"/>
    <w:rsid w:val="009F76DF"/>
    <w:rsid w:val="009F76E5"/>
    <w:rsid w:val="009F7E41"/>
    <w:rsid w:val="00A01453"/>
    <w:rsid w:val="00A014DA"/>
    <w:rsid w:val="00A02FFE"/>
    <w:rsid w:val="00A03056"/>
    <w:rsid w:val="00A03222"/>
    <w:rsid w:val="00A03342"/>
    <w:rsid w:val="00A0345B"/>
    <w:rsid w:val="00A03579"/>
    <w:rsid w:val="00A036B7"/>
    <w:rsid w:val="00A0370F"/>
    <w:rsid w:val="00A03B6C"/>
    <w:rsid w:val="00A03DA5"/>
    <w:rsid w:val="00A04910"/>
    <w:rsid w:val="00A050D8"/>
    <w:rsid w:val="00A05601"/>
    <w:rsid w:val="00A057B8"/>
    <w:rsid w:val="00A05C64"/>
    <w:rsid w:val="00A062DD"/>
    <w:rsid w:val="00A0645D"/>
    <w:rsid w:val="00A06FEB"/>
    <w:rsid w:val="00A07134"/>
    <w:rsid w:val="00A07809"/>
    <w:rsid w:val="00A10246"/>
    <w:rsid w:val="00A10403"/>
    <w:rsid w:val="00A10450"/>
    <w:rsid w:val="00A10C01"/>
    <w:rsid w:val="00A10CCC"/>
    <w:rsid w:val="00A1131F"/>
    <w:rsid w:val="00A12196"/>
    <w:rsid w:val="00A12250"/>
    <w:rsid w:val="00A12773"/>
    <w:rsid w:val="00A13A94"/>
    <w:rsid w:val="00A14317"/>
    <w:rsid w:val="00A14D37"/>
    <w:rsid w:val="00A158BA"/>
    <w:rsid w:val="00A15A9B"/>
    <w:rsid w:val="00A15C9A"/>
    <w:rsid w:val="00A163A4"/>
    <w:rsid w:val="00A1688B"/>
    <w:rsid w:val="00A16943"/>
    <w:rsid w:val="00A17625"/>
    <w:rsid w:val="00A1788C"/>
    <w:rsid w:val="00A17E82"/>
    <w:rsid w:val="00A2015A"/>
    <w:rsid w:val="00A2089E"/>
    <w:rsid w:val="00A20B65"/>
    <w:rsid w:val="00A20BD9"/>
    <w:rsid w:val="00A20F5F"/>
    <w:rsid w:val="00A2130F"/>
    <w:rsid w:val="00A21930"/>
    <w:rsid w:val="00A21BFD"/>
    <w:rsid w:val="00A2232B"/>
    <w:rsid w:val="00A22AE8"/>
    <w:rsid w:val="00A22B7B"/>
    <w:rsid w:val="00A23100"/>
    <w:rsid w:val="00A238D4"/>
    <w:rsid w:val="00A23924"/>
    <w:rsid w:val="00A23AFA"/>
    <w:rsid w:val="00A23BD2"/>
    <w:rsid w:val="00A23E45"/>
    <w:rsid w:val="00A24082"/>
    <w:rsid w:val="00A24331"/>
    <w:rsid w:val="00A243E5"/>
    <w:rsid w:val="00A2456A"/>
    <w:rsid w:val="00A249A8"/>
    <w:rsid w:val="00A24B58"/>
    <w:rsid w:val="00A255BD"/>
    <w:rsid w:val="00A26545"/>
    <w:rsid w:val="00A269C8"/>
    <w:rsid w:val="00A27314"/>
    <w:rsid w:val="00A274BD"/>
    <w:rsid w:val="00A27C5A"/>
    <w:rsid w:val="00A3014C"/>
    <w:rsid w:val="00A3072C"/>
    <w:rsid w:val="00A30FDD"/>
    <w:rsid w:val="00A31451"/>
    <w:rsid w:val="00A31CB0"/>
    <w:rsid w:val="00A31F51"/>
    <w:rsid w:val="00A321C2"/>
    <w:rsid w:val="00A3286C"/>
    <w:rsid w:val="00A32B22"/>
    <w:rsid w:val="00A32D38"/>
    <w:rsid w:val="00A33219"/>
    <w:rsid w:val="00A33DB9"/>
    <w:rsid w:val="00A34273"/>
    <w:rsid w:val="00A359C5"/>
    <w:rsid w:val="00A36168"/>
    <w:rsid w:val="00A36C33"/>
    <w:rsid w:val="00A36E16"/>
    <w:rsid w:val="00A37DA9"/>
    <w:rsid w:val="00A40463"/>
    <w:rsid w:val="00A40C4A"/>
    <w:rsid w:val="00A40CED"/>
    <w:rsid w:val="00A42803"/>
    <w:rsid w:val="00A43458"/>
    <w:rsid w:val="00A438C4"/>
    <w:rsid w:val="00A438F6"/>
    <w:rsid w:val="00A43E87"/>
    <w:rsid w:val="00A43EF8"/>
    <w:rsid w:val="00A444C4"/>
    <w:rsid w:val="00A445B3"/>
    <w:rsid w:val="00A447CD"/>
    <w:rsid w:val="00A4561B"/>
    <w:rsid w:val="00A47174"/>
    <w:rsid w:val="00A473E3"/>
    <w:rsid w:val="00A47406"/>
    <w:rsid w:val="00A4761B"/>
    <w:rsid w:val="00A47D0B"/>
    <w:rsid w:val="00A500DA"/>
    <w:rsid w:val="00A50201"/>
    <w:rsid w:val="00A5028C"/>
    <w:rsid w:val="00A50581"/>
    <w:rsid w:val="00A50CF2"/>
    <w:rsid w:val="00A51D32"/>
    <w:rsid w:val="00A52375"/>
    <w:rsid w:val="00A5251F"/>
    <w:rsid w:val="00A527E1"/>
    <w:rsid w:val="00A52876"/>
    <w:rsid w:val="00A528D1"/>
    <w:rsid w:val="00A52D39"/>
    <w:rsid w:val="00A53D23"/>
    <w:rsid w:val="00A542D1"/>
    <w:rsid w:val="00A547A8"/>
    <w:rsid w:val="00A54BD3"/>
    <w:rsid w:val="00A54E22"/>
    <w:rsid w:val="00A55776"/>
    <w:rsid w:val="00A55BB2"/>
    <w:rsid w:val="00A55ED2"/>
    <w:rsid w:val="00A57058"/>
    <w:rsid w:val="00A60093"/>
    <w:rsid w:val="00A60198"/>
    <w:rsid w:val="00A60A32"/>
    <w:rsid w:val="00A60F07"/>
    <w:rsid w:val="00A6269C"/>
    <w:rsid w:val="00A6287A"/>
    <w:rsid w:val="00A628AE"/>
    <w:rsid w:val="00A6386E"/>
    <w:rsid w:val="00A63958"/>
    <w:rsid w:val="00A642B6"/>
    <w:rsid w:val="00A6472C"/>
    <w:rsid w:val="00A647EB"/>
    <w:rsid w:val="00A649AE"/>
    <w:rsid w:val="00A64D06"/>
    <w:rsid w:val="00A64DA8"/>
    <w:rsid w:val="00A64EE8"/>
    <w:rsid w:val="00A64F5F"/>
    <w:rsid w:val="00A650D1"/>
    <w:rsid w:val="00A6588A"/>
    <w:rsid w:val="00A659E8"/>
    <w:rsid w:val="00A669C6"/>
    <w:rsid w:val="00A66BE5"/>
    <w:rsid w:val="00A67461"/>
    <w:rsid w:val="00A67539"/>
    <w:rsid w:val="00A709DB"/>
    <w:rsid w:val="00A70FA6"/>
    <w:rsid w:val="00A71D99"/>
    <w:rsid w:val="00A73439"/>
    <w:rsid w:val="00A734B2"/>
    <w:rsid w:val="00A73772"/>
    <w:rsid w:val="00A75A39"/>
    <w:rsid w:val="00A7605D"/>
    <w:rsid w:val="00A7718F"/>
    <w:rsid w:val="00A7730C"/>
    <w:rsid w:val="00A774E2"/>
    <w:rsid w:val="00A77818"/>
    <w:rsid w:val="00A77A1F"/>
    <w:rsid w:val="00A77E82"/>
    <w:rsid w:val="00A80079"/>
    <w:rsid w:val="00A80C1E"/>
    <w:rsid w:val="00A8162B"/>
    <w:rsid w:val="00A81A9A"/>
    <w:rsid w:val="00A81D28"/>
    <w:rsid w:val="00A823ED"/>
    <w:rsid w:val="00A8335C"/>
    <w:rsid w:val="00A83588"/>
    <w:rsid w:val="00A845BE"/>
    <w:rsid w:val="00A84A45"/>
    <w:rsid w:val="00A84A53"/>
    <w:rsid w:val="00A84B01"/>
    <w:rsid w:val="00A8653E"/>
    <w:rsid w:val="00A86646"/>
    <w:rsid w:val="00A86CF8"/>
    <w:rsid w:val="00A871CA"/>
    <w:rsid w:val="00A87FF5"/>
    <w:rsid w:val="00A91578"/>
    <w:rsid w:val="00A91614"/>
    <w:rsid w:val="00A91C87"/>
    <w:rsid w:val="00A91ED0"/>
    <w:rsid w:val="00A91F89"/>
    <w:rsid w:val="00A92714"/>
    <w:rsid w:val="00A92DCA"/>
    <w:rsid w:val="00A9304C"/>
    <w:rsid w:val="00A947C6"/>
    <w:rsid w:val="00A94BBB"/>
    <w:rsid w:val="00A94DF1"/>
    <w:rsid w:val="00A95F1A"/>
    <w:rsid w:val="00A9641B"/>
    <w:rsid w:val="00A96B68"/>
    <w:rsid w:val="00A96D18"/>
    <w:rsid w:val="00A96F96"/>
    <w:rsid w:val="00A97366"/>
    <w:rsid w:val="00A978E7"/>
    <w:rsid w:val="00A979CE"/>
    <w:rsid w:val="00A97CDE"/>
    <w:rsid w:val="00AA07DC"/>
    <w:rsid w:val="00AA109D"/>
    <w:rsid w:val="00AA23D3"/>
    <w:rsid w:val="00AA33AF"/>
    <w:rsid w:val="00AA3C9F"/>
    <w:rsid w:val="00AA4746"/>
    <w:rsid w:val="00AA4D70"/>
    <w:rsid w:val="00AA4DF0"/>
    <w:rsid w:val="00AA5C88"/>
    <w:rsid w:val="00AA6DCB"/>
    <w:rsid w:val="00AA792C"/>
    <w:rsid w:val="00AA7A2C"/>
    <w:rsid w:val="00AA7A53"/>
    <w:rsid w:val="00AA7AD9"/>
    <w:rsid w:val="00AA7E8A"/>
    <w:rsid w:val="00AB0745"/>
    <w:rsid w:val="00AB097B"/>
    <w:rsid w:val="00AB160E"/>
    <w:rsid w:val="00AB19E9"/>
    <w:rsid w:val="00AB2ECE"/>
    <w:rsid w:val="00AB3118"/>
    <w:rsid w:val="00AB3712"/>
    <w:rsid w:val="00AB45A1"/>
    <w:rsid w:val="00AB55B8"/>
    <w:rsid w:val="00AB6166"/>
    <w:rsid w:val="00AB6D53"/>
    <w:rsid w:val="00AB6F62"/>
    <w:rsid w:val="00AB7EE1"/>
    <w:rsid w:val="00AC00EA"/>
    <w:rsid w:val="00AC0531"/>
    <w:rsid w:val="00AC0F5B"/>
    <w:rsid w:val="00AC1A24"/>
    <w:rsid w:val="00AC2C44"/>
    <w:rsid w:val="00AC30C7"/>
    <w:rsid w:val="00AC313B"/>
    <w:rsid w:val="00AC388E"/>
    <w:rsid w:val="00AC3AAE"/>
    <w:rsid w:val="00AC3B78"/>
    <w:rsid w:val="00AC3EE2"/>
    <w:rsid w:val="00AC4106"/>
    <w:rsid w:val="00AC4350"/>
    <w:rsid w:val="00AC4B75"/>
    <w:rsid w:val="00AC4B90"/>
    <w:rsid w:val="00AC4E50"/>
    <w:rsid w:val="00AC4F7C"/>
    <w:rsid w:val="00AC53DA"/>
    <w:rsid w:val="00AC5728"/>
    <w:rsid w:val="00AC644A"/>
    <w:rsid w:val="00AC6AE6"/>
    <w:rsid w:val="00AC740E"/>
    <w:rsid w:val="00AC75FB"/>
    <w:rsid w:val="00AC78C4"/>
    <w:rsid w:val="00AC7969"/>
    <w:rsid w:val="00AC7AC6"/>
    <w:rsid w:val="00AC7F4D"/>
    <w:rsid w:val="00AD08D1"/>
    <w:rsid w:val="00AD0D8F"/>
    <w:rsid w:val="00AD0E15"/>
    <w:rsid w:val="00AD1293"/>
    <w:rsid w:val="00AD1317"/>
    <w:rsid w:val="00AD1E27"/>
    <w:rsid w:val="00AD2957"/>
    <w:rsid w:val="00AD29F5"/>
    <w:rsid w:val="00AD34D9"/>
    <w:rsid w:val="00AD37C1"/>
    <w:rsid w:val="00AD38E9"/>
    <w:rsid w:val="00AD4435"/>
    <w:rsid w:val="00AD452E"/>
    <w:rsid w:val="00AD4A7C"/>
    <w:rsid w:val="00AD4C43"/>
    <w:rsid w:val="00AD4CD7"/>
    <w:rsid w:val="00AD4E05"/>
    <w:rsid w:val="00AD5EB5"/>
    <w:rsid w:val="00AD72AC"/>
    <w:rsid w:val="00AD73A3"/>
    <w:rsid w:val="00AD7A33"/>
    <w:rsid w:val="00AE04AD"/>
    <w:rsid w:val="00AE078A"/>
    <w:rsid w:val="00AE0DEC"/>
    <w:rsid w:val="00AE15A9"/>
    <w:rsid w:val="00AE1852"/>
    <w:rsid w:val="00AE1A08"/>
    <w:rsid w:val="00AE1A2D"/>
    <w:rsid w:val="00AE1F0C"/>
    <w:rsid w:val="00AE2A5A"/>
    <w:rsid w:val="00AE2C24"/>
    <w:rsid w:val="00AE3F3C"/>
    <w:rsid w:val="00AE4C05"/>
    <w:rsid w:val="00AE4C43"/>
    <w:rsid w:val="00AE501F"/>
    <w:rsid w:val="00AE61D8"/>
    <w:rsid w:val="00AE6271"/>
    <w:rsid w:val="00AE653F"/>
    <w:rsid w:val="00AE66EC"/>
    <w:rsid w:val="00AE6AE5"/>
    <w:rsid w:val="00AE6F91"/>
    <w:rsid w:val="00AF010B"/>
    <w:rsid w:val="00AF020C"/>
    <w:rsid w:val="00AF0440"/>
    <w:rsid w:val="00AF0F61"/>
    <w:rsid w:val="00AF0FB6"/>
    <w:rsid w:val="00AF10BC"/>
    <w:rsid w:val="00AF14A6"/>
    <w:rsid w:val="00AF18F9"/>
    <w:rsid w:val="00AF22CE"/>
    <w:rsid w:val="00AF2782"/>
    <w:rsid w:val="00AF29D4"/>
    <w:rsid w:val="00AF3344"/>
    <w:rsid w:val="00AF4085"/>
    <w:rsid w:val="00AF40A7"/>
    <w:rsid w:val="00AF4AC5"/>
    <w:rsid w:val="00AF511A"/>
    <w:rsid w:val="00AF5571"/>
    <w:rsid w:val="00AF5B3F"/>
    <w:rsid w:val="00AF7526"/>
    <w:rsid w:val="00AF79FA"/>
    <w:rsid w:val="00B00604"/>
    <w:rsid w:val="00B00CBD"/>
    <w:rsid w:val="00B015CD"/>
    <w:rsid w:val="00B016BF"/>
    <w:rsid w:val="00B016EF"/>
    <w:rsid w:val="00B018F6"/>
    <w:rsid w:val="00B01D8D"/>
    <w:rsid w:val="00B0207D"/>
    <w:rsid w:val="00B033E8"/>
    <w:rsid w:val="00B0350E"/>
    <w:rsid w:val="00B0379A"/>
    <w:rsid w:val="00B05B2D"/>
    <w:rsid w:val="00B06114"/>
    <w:rsid w:val="00B0667E"/>
    <w:rsid w:val="00B06BF4"/>
    <w:rsid w:val="00B07033"/>
    <w:rsid w:val="00B07227"/>
    <w:rsid w:val="00B11C6F"/>
    <w:rsid w:val="00B11E55"/>
    <w:rsid w:val="00B11F9A"/>
    <w:rsid w:val="00B124E6"/>
    <w:rsid w:val="00B12638"/>
    <w:rsid w:val="00B13ABA"/>
    <w:rsid w:val="00B14837"/>
    <w:rsid w:val="00B15204"/>
    <w:rsid w:val="00B160A4"/>
    <w:rsid w:val="00B167E9"/>
    <w:rsid w:val="00B16FF4"/>
    <w:rsid w:val="00B1724A"/>
    <w:rsid w:val="00B17640"/>
    <w:rsid w:val="00B207F5"/>
    <w:rsid w:val="00B20B83"/>
    <w:rsid w:val="00B21064"/>
    <w:rsid w:val="00B21794"/>
    <w:rsid w:val="00B21BC5"/>
    <w:rsid w:val="00B22C40"/>
    <w:rsid w:val="00B23A86"/>
    <w:rsid w:val="00B24509"/>
    <w:rsid w:val="00B24749"/>
    <w:rsid w:val="00B24A00"/>
    <w:rsid w:val="00B2560B"/>
    <w:rsid w:val="00B270C2"/>
    <w:rsid w:val="00B27127"/>
    <w:rsid w:val="00B2728E"/>
    <w:rsid w:val="00B301E8"/>
    <w:rsid w:val="00B30278"/>
    <w:rsid w:val="00B31391"/>
    <w:rsid w:val="00B314DB"/>
    <w:rsid w:val="00B316A7"/>
    <w:rsid w:val="00B3171A"/>
    <w:rsid w:val="00B31EBE"/>
    <w:rsid w:val="00B324F0"/>
    <w:rsid w:val="00B3401D"/>
    <w:rsid w:val="00B3465D"/>
    <w:rsid w:val="00B34D82"/>
    <w:rsid w:val="00B34E2B"/>
    <w:rsid w:val="00B34F8C"/>
    <w:rsid w:val="00B367B1"/>
    <w:rsid w:val="00B36E37"/>
    <w:rsid w:val="00B37047"/>
    <w:rsid w:val="00B3718B"/>
    <w:rsid w:val="00B37584"/>
    <w:rsid w:val="00B37C3B"/>
    <w:rsid w:val="00B37F73"/>
    <w:rsid w:val="00B40F7F"/>
    <w:rsid w:val="00B41104"/>
    <w:rsid w:val="00B41A5D"/>
    <w:rsid w:val="00B41A5F"/>
    <w:rsid w:val="00B41AAC"/>
    <w:rsid w:val="00B41B62"/>
    <w:rsid w:val="00B42254"/>
    <w:rsid w:val="00B424CD"/>
    <w:rsid w:val="00B42ABC"/>
    <w:rsid w:val="00B432D6"/>
    <w:rsid w:val="00B441B9"/>
    <w:rsid w:val="00B44448"/>
    <w:rsid w:val="00B44F4C"/>
    <w:rsid w:val="00B45BE7"/>
    <w:rsid w:val="00B45ECD"/>
    <w:rsid w:val="00B46033"/>
    <w:rsid w:val="00B46313"/>
    <w:rsid w:val="00B4632A"/>
    <w:rsid w:val="00B46600"/>
    <w:rsid w:val="00B46771"/>
    <w:rsid w:val="00B46F0A"/>
    <w:rsid w:val="00B478B1"/>
    <w:rsid w:val="00B478C4"/>
    <w:rsid w:val="00B506F8"/>
    <w:rsid w:val="00B50B18"/>
    <w:rsid w:val="00B50DB9"/>
    <w:rsid w:val="00B5149E"/>
    <w:rsid w:val="00B515A8"/>
    <w:rsid w:val="00B52BB8"/>
    <w:rsid w:val="00B540E8"/>
    <w:rsid w:val="00B54DF4"/>
    <w:rsid w:val="00B550D3"/>
    <w:rsid w:val="00B552E7"/>
    <w:rsid w:val="00B55402"/>
    <w:rsid w:val="00B55E95"/>
    <w:rsid w:val="00B55F23"/>
    <w:rsid w:val="00B56929"/>
    <w:rsid w:val="00B5746F"/>
    <w:rsid w:val="00B574A0"/>
    <w:rsid w:val="00B574EE"/>
    <w:rsid w:val="00B575D6"/>
    <w:rsid w:val="00B57C17"/>
    <w:rsid w:val="00B57C7D"/>
    <w:rsid w:val="00B6077E"/>
    <w:rsid w:val="00B60E25"/>
    <w:rsid w:val="00B62894"/>
    <w:rsid w:val="00B62BC0"/>
    <w:rsid w:val="00B63572"/>
    <w:rsid w:val="00B63577"/>
    <w:rsid w:val="00B6408B"/>
    <w:rsid w:val="00B642BF"/>
    <w:rsid w:val="00B64CF2"/>
    <w:rsid w:val="00B66B51"/>
    <w:rsid w:val="00B67053"/>
    <w:rsid w:val="00B673F4"/>
    <w:rsid w:val="00B67B19"/>
    <w:rsid w:val="00B67B9B"/>
    <w:rsid w:val="00B70040"/>
    <w:rsid w:val="00B70462"/>
    <w:rsid w:val="00B70902"/>
    <w:rsid w:val="00B713DC"/>
    <w:rsid w:val="00B71CEC"/>
    <w:rsid w:val="00B72E00"/>
    <w:rsid w:val="00B72F71"/>
    <w:rsid w:val="00B74BBA"/>
    <w:rsid w:val="00B74DAF"/>
    <w:rsid w:val="00B75D57"/>
    <w:rsid w:val="00B7650A"/>
    <w:rsid w:val="00B765F1"/>
    <w:rsid w:val="00B766A1"/>
    <w:rsid w:val="00B76BE8"/>
    <w:rsid w:val="00B777B0"/>
    <w:rsid w:val="00B77B09"/>
    <w:rsid w:val="00B801CB"/>
    <w:rsid w:val="00B80F60"/>
    <w:rsid w:val="00B82710"/>
    <w:rsid w:val="00B82D01"/>
    <w:rsid w:val="00B83D79"/>
    <w:rsid w:val="00B8475C"/>
    <w:rsid w:val="00B849A5"/>
    <w:rsid w:val="00B84FC7"/>
    <w:rsid w:val="00B8596A"/>
    <w:rsid w:val="00B85B6B"/>
    <w:rsid w:val="00B8646F"/>
    <w:rsid w:val="00B86577"/>
    <w:rsid w:val="00B8664E"/>
    <w:rsid w:val="00B868A4"/>
    <w:rsid w:val="00B86D99"/>
    <w:rsid w:val="00B8724D"/>
    <w:rsid w:val="00B8786D"/>
    <w:rsid w:val="00B90178"/>
    <w:rsid w:val="00B90496"/>
    <w:rsid w:val="00B920B7"/>
    <w:rsid w:val="00B92546"/>
    <w:rsid w:val="00B926B1"/>
    <w:rsid w:val="00B92DC9"/>
    <w:rsid w:val="00B933E4"/>
    <w:rsid w:val="00B93E70"/>
    <w:rsid w:val="00B93EF7"/>
    <w:rsid w:val="00B96FE9"/>
    <w:rsid w:val="00B97838"/>
    <w:rsid w:val="00B979E4"/>
    <w:rsid w:val="00BA0E3E"/>
    <w:rsid w:val="00BA10D9"/>
    <w:rsid w:val="00BA11D2"/>
    <w:rsid w:val="00BA198F"/>
    <w:rsid w:val="00BA1D41"/>
    <w:rsid w:val="00BA276C"/>
    <w:rsid w:val="00BA2988"/>
    <w:rsid w:val="00BA3099"/>
    <w:rsid w:val="00BA3133"/>
    <w:rsid w:val="00BA31DF"/>
    <w:rsid w:val="00BA3DCF"/>
    <w:rsid w:val="00BA4BCF"/>
    <w:rsid w:val="00BA542F"/>
    <w:rsid w:val="00BA64E3"/>
    <w:rsid w:val="00BA6FFA"/>
    <w:rsid w:val="00BA7984"/>
    <w:rsid w:val="00BB151F"/>
    <w:rsid w:val="00BB17B3"/>
    <w:rsid w:val="00BB285D"/>
    <w:rsid w:val="00BB2AFE"/>
    <w:rsid w:val="00BB3066"/>
    <w:rsid w:val="00BB306F"/>
    <w:rsid w:val="00BB3466"/>
    <w:rsid w:val="00BB356D"/>
    <w:rsid w:val="00BB36D4"/>
    <w:rsid w:val="00BB3E94"/>
    <w:rsid w:val="00BB4212"/>
    <w:rsid w:val="00BB521F"/>
    <w:rsid w:val="00BB53AD"/>
    <w:rsid w:val="00BB59AB"/>
    <w:rsid w:val="00BB5A59"/>
    <w:rsid w:val="00BB645E"/>
    <w:rsid w:val="00BB6D82"/>
    <w:rsid w:val="00BB6D96"/>
    <w:rsid w:val="00BB7163"/>
    <w:rsid w:val="00BB76B9"/>
    <w:rsid w:val="00BB78FE"/>
    <w:rsid w:val="00BB7B0A"/>
    <w:rsid w:val="00BB7C52"/>
    <w:rsid w:val="00BC04F8"/>
    <w:rsid w:val="00BC1521"/>
    <w:rsid w:val="00BC2154"/>
    <w:rsid w:val="00BC243A"/>
    <w:rsid w:val="00BC26AE"/>
    <w:rsid w:val="00BC35EB"/>
    <w:rsid w:val="00BC397C"/>
    <w:rsid w:val="00BC5766"/>
    <w:rsid w:val="00BC5D20"/>
    <w:rsid w:val="00BC6714"/>
    <w:rsid w:val="00BC68ED"/>
    <w:rsid w:val="00BC6DA1"/>
    <w:rsid w:val="00BC6FB1"/>
    <w:rsid w:val="00BC73B5"/>
    <w:rsid w:val="00BD028B"/>
    <w:rsid w:val="00BD10AC"/>
    <w:rsid w:val="00BD11DC"/>
    <w:rsid w:val="00BD232B"/>
    <w:rsid w:val="00BD2C5B"/>
    <w:rsid w:val="00BD3469"/>
    <w:rsid w:val="00BD393F"/>
    <w:rsid w:val="00BD4B89"/>
    <w:rsid w:val="00BD520D"/>
    <w:rsid w:val="00BD5B66"/>
    <w:rsid w:val="00BD5CCE"/>
    <w:rsid w:val="00BD5E83"/>
    <w:rsid w:val="00BD5F0C"/>
    <w:rsid w:val="00BD63B7"/>
    <w:rsid w:val="00BD7B08"/>
    <w:rsid w:val="00BD7F14"/>
    <w:rsid w:val="00BE0098"/>
    <w:rsid w:val="00BE014C"/>
    <w:rsid w:val="00BE118B"/>
    <w:rsid w:val="00BE1438"/>
    <w:rsid w:val="00BE1B74"/>
    <w:rsid w:val="00BE201A"/>
    <w:rsid w:val="00BE3185"/>
    <w:rsid w:val="00BE34C6"/>
    <w:rsid w:val="00BE3560"/>
    <w:rsid w:val="00BE35D9"/>
    <w:rsid w:val="00BE36D7"/>
    <w:rsid w:val="00BE3967"/>
    <w:rsid w:val="00BE4872"/>
    <w:rsid w:val="00BE4C89"/>
    <w:rsid w:val="00BE4DCA"/>
    <w:rsid w:val="00BE5AD0"/>
    <w:rsid w:val="00BE60A3"/>
    <w:rsid w:val="00BE6182"/>
    <w:rsid w:val="00BE66B0"/>
    <w:rsid w:val="00BE6B74"/>
    <w:rsid w:val="00BE6FDB"/>
    <w:rsid w:val="00BE7E23"/>
    <w:rsid w:val="00BF0063"/>
    <w:rsid w:val="00BF08CB"/>
    <w:rsid w:val="00BF0EAA"/>
    <w:rsid w:val="00BF1F10"/>
    <w:rsid w:val="00BF206B"/>
    <w:rsid w:val="00BF2523"/>
    <w:rsid w:val="00BF2939"/>
    <w:rsid w:val="00BF2EA8"/>
    <w:rsid w:val="00BF3BF0"/>
    <w:rsid w:val="00BF40C6"/>
    <w:rsid w:val="00BF4600"/>
    <w:rsid w:val="00BF4865"/>
    <w:rsid w:val="00BF4871"/>
    <w:rsid w:val="00BF4994"/>
    <w:rsid w:val="00BF4AF7"/>
    <w:rsid w:val="00BF5F11"/>
    <w:rsid w:val="00BF61E9"/>
    <w:rsid w:val="00BF649B"/>
    <w:rsid w:val="00BF65BD"/>
    <w:rsid w:val="00BF6BE9"/>
    <w:rsid w:val="00BF7B54"/>
    <w:rsid w:val="00BF7C42"/>
    <w:rsid w:val="00C0028D"/>
    <w:rsid w:val="00C01142"/>
    <w:rsid w:val="00C01451"/>
    <w:rsid w:val="00C01882"/>
    <w:rsid w:val="00C018FF"/>
    <w:rsid w:val="00C01A81"/>
    <w:rsid w:val="00C028C4"/>
    <w:rsid w:val="00C02A78"/>
    <w:rsid w:val="00C03059"/>
    <w:rsid w:val="00C0391B"/>
    <w:rsid w:val="00C03A29"/>
    <w:rsid w:val="00C04473"/>
    <w:rsid w:val="00C04FA3"/>
    <w:rsid w:val="00C05169"/>
    <w:rsid w:val="00C0546D"/>
    <w:rsid w:val="00C05820"/>
    <w:rsid w:val="00C06128"/>
    <w:rsid w:val="00C070BA"/>
    <w:rsid w:val="00C07884"/>
    <w:rsid w:val="00C07B4D"/>
    <w:rsid w:val="00C07BB8"/>
    <w:rsid w:val="00C101BC"/>
    <w:rsid w:val="00C10283"/>
    <w:rsid w:val="00C10587"/>
    <w:rsid w:val="00C10EA4"/>
    <w:rsid w:val="00C136FB"/>
    <w:rsid w:val="00C144E7"/>
    <w:rsid w:val="00C14557"/>
    <w:rsid w:val="00C14701"/>
    <w:rsid w:val="00C14A51"/>
    <w:rsid w:val="00C14CE0"/>
    <w:rsid w:val="00C14F39"/>
    <w:rsid w:val="00C1525C"/>
    <w:rsid w:val="00C153DE"/>
    <w:rsid w:val="00C15824"/>
    <w:rsid w:val="00C16D95"/>
    <w:rsid w:val="00C17BAA"/>
    <w:rsid w:val="00C20667"/>
    <w:rsid w:val="00C2077E"/>
    <w:rsid w:val="00C21375"/>
    <w:rsid w:val="00C2142B"/>
    <w:rsid w:val="00C21701"/>
    <w:rsid w:val="00C21762"/>
    <w:rsid w:val="00C21AE2"/>
    <w:rsid w:val="00C21EFD"/>
    <w:rsid w:val="00C224DF"/>
    <w:rsid w:val="00C22723"/>
    <w:rsid w:val="00C22DD6"/>
    <w:rsid w:val="00C23BA8"/>
    <w:rsid w:val="00C23DC3"/>
    <w:rsid w:val="00C24049"/>
    <w:rsid w:val="00C24543"/>
    <w:rsid w:val="00C251B1"/>
    <w:rsid w:val="00C256A2"/>
    <w:rsid w:val="00C25804"/>
    <w:rsid w:val="00C25808"/>
    <w:rsid w:val="00C258A0"/>
    <w:rsid w:val="00C25B0D"/>
    <w:rsid w:val="00C26350"/>
    <w:rsid w:val="00C26A69"/>
    <w:rsid w:val="00C270EB"/>
    <w:rsid w:val="00C31497"/>
    <w:rsid w:val="00C31770"/>
    <w:rsid w:val="00C3238A"/>
    <w:rsid w:val="00C32415"/>
    <w:rsid w:val="00C32A61"/>
    <w:rsid w:val="00C338B0"/>
    <w:rsid w:val="00C33EB0"/>
    <w:rsid w:val="00C340DC"/>
    <w:rsid w:val="00C344B0"/>
    <w:rsid w:val="00C3492D"/>
    <w:rsid w:val="00C34973"/>
    <w:rsid w:val="00C34F68"/>
    <w:rsid w:val="00C35423"/>
    <w:rsid w:val="00C354BF"/>
    <w:rsid w:val="00C3629F"/>
    <w:rsid w:val="00C36568"/>
    <w:rsid w:val="00C36E35"/>
    <w:rsid w:val="00C4068A"/>
    <w:rsid w:val="00C41AB9"/>
    <w:rsid w:val="00C420AF"/>
    <w:rsid w:val="00C42196"/>
    <w:rsid w:val="00C4237D"/>
    <w:rsid w:val="00C423E4"/>
    <w:rsid w:val="00C432D8"/>
    <w:rsid w:val="00C43943"/>
    <w:rsid w:val="00C43FC7"/>
    <w:rsid w:val="00C443E8"/>
    <w:rsid w:val="00C44886"/>
    <w:rsid w:val="00C44ECB"/>
    <w:rsid w:val="00C45555"/>
    <w:rsid w:val="00C45976"/>
    <w:rsid w:val="00C45A93"/>
    <w:rsid w:val="00C4696E"/>
    <w:rsid w:val="00C46A80"/>
    <w:rsid w:val="00C4716E"/>
    <w:rsid w:val="00C47791"/>
    <w:rsid w:val="00C4793D"/>
    <w:rsid w:val="00C47B6D"/>
    <w:rsid w:val="00C47E39"/>
    <w:rsid w:val="00C506EB"/>
    <w:rsid w:val="00C50C1E"/>
    <w:rsid w:val="00C51166"/>
    <w:rsid w:val="00C51C98"/>
    <w:rsid w:val="00C5237D"/>
    <w:rsid w:val="00C535F1"/>
    <w:rsid w:val="00C53F60"/>
    <w:rsid w:val="00C546AB"/>
    <w:rsid w:val="00C5474E"/>
    <w:rsid w:val="00C548F2"/>
    <w:rsid w:val="00C548FA"/>
    <w:rsid w:val="00C55378"/>
    <w:rsid w:val="00C55560"/>
    <w:rsid w:val="00C55AA8"/>
    <w:rsid w:val="00C55C6F"/>
    <w:rsid w:val="00C56511"/>
    <w:rsid w:val="00C568F9"/>
    <w:rsid w:val="00C57994"/>
    <w:rsid w:val="00C57D17"/>
    <w:rsid w:val="00C60644"/>
    <w:rsid w:val="00C60AB3"/>
    <w:rsid w:val="00C61095"/>
    <w:rsid w:val="00C614A9"/>
    <w:rsid w:val="00C618A0"/>
    <w:rsid w:val="00C61956"/>
    <w:rsid w:val="00C61997"/>
    <w:rsid w:val="00C62393"/>
    <w:rsid w:val="00C6257E"/>
    <w:rsid w:val="00C6293A"/>
    <w:rsid w:val="00C62BF4"/>
    <w:rsid w:val="00C6323C"/>
    <w:rsid w:val="00C634B4"/>
    <w:rsid w:val="00C63576"/>
    <w:rsid w:val="00C63585"/>
    <w:rsid w:val="00C63B6F"/>
    <w:rsid w:val="00C64686"/>
    <w:rsid w:val="00C65998"/>
    <w:rsid w:val="00C669C1"/>
    <w:rsid w:val="00C66B72"/>
    <w:rsid w:val="00C674CD"/>
    <w:rsid w:val="00C67F18"/>
    <w:rsid w:val="00C703DF"/>
    <w:rsid w:val="00C71254"/>
    <w:rsid w:val="00C714BB"/>
    <w:rsid w:val="00C7275B"/>
    <w:rsid w:val="00C7281A"/>
    <w:rsid w:val="00C735F1"/>
    <w:rsid w:val="00C73738"/>
    <w:rsid w:val="00C7377E"/>
    <w:rsid w:val="00C73BAE"/>
    <w:rsid w:val="00C748D8"/>
    <w:rsid w:val="00C74AAA"/>
    <w:rsid w:val="00C74C37"/>
    <w:rsid w:val="00C7513A"/>
    <w:rsid w:val="00C7526E"/>
    <w:rsid w:val="00C752FA"/>
    <w:rsid w:val="00C759BE"/>
    <w:rsid w:val="00C75A4F"/>
    <w:rsid w:val="00C75E68"/>
    <w:rsid w:val="00C76135"/>
    <w:rsid w:val="00C768EA"/>
    <w:rsid w:val="00C76C96"/>
    <w:rsid w:val="00C77013"/>
    <w:rsid w:val="00C77B21"/>
    <w:rsid w:val="00C77F47"/>
    <w:rsid w:val="00C804FA"/>
    <w:rsid w:val="00C80A54"/>
    <w:rsid w:val="00C811BA"/>
    <w:rsid w:val="00C81339"/>
    <w:rsid w:val="00C81FBE"/>
    <w:rsid w:val="00C8212F"/>
    <w:rsid w:val="00C82791"/>
    <w:rsid w:val="00C82B0B"/>
    <w:rsid w:val="00C831C7"/>
    <w:rsid w:val="00C83A33"/>
    <w:rsid w:val="00C83A40"/>
    <w:rsid w:val="00C84604"/>
    <w:rsid w:val="00C84B0E"/>
    <w:rsid w:val="00C84E16"/>
    <w:rsid w:val="00C850FD"/>
    <w:rsid w:val="00C857A1"/>
    <w:rsid w:val="00C85897"/>
    <w:rsid w:val="00C85CF6"/>
    <w:rsid w:val="00C85DDE"/>
    <w:rsid w:val="00C86C06"/>
    <w:rsid w:val="00C8734C"/>
    <w:rsid w:val="00C8737F"/>
    <w:rsid w:val="00C87A0C"/>
    <w:rsid w:val="00C87B2C"/>
    <w:rsid w:val="00C9055F"/>
    <w:rsid w:val="00C91557"/>
    <w:rsid w:val="00C91645"/>
    <w:rsid w:val="00C916AD"/>
    <w:rsid w:val="00C92987"/>
    <w:rsid w:val="00C92CF7"/>
    <w:rsid w:val="00C936C3"/>
    <w:rsid w:val="00C93DCE"/>
    <w:rsid w:val="00C949E2"/>
    <w:rsid w:val="00C94BF5"/>
    <w:rsid w:val="00C9567A"/>
    <w:rsid w:val="00C957E5"/>
    <w:rsid w:val="00C95B20"/>
    <w:rsid w:val="00C95BF6"/>
    <w:rsid w:val="00C965D3"/>
    <w:rsid w:val="00C9670F"/>
    <w:rsid w:val="00C96AF3"/>
    <w:rsid w:val="00C96BFF"/>
    <w:rsid w:val="00C97B52"/>
    <w:rsid w:val="00CA0428"/>
    <w:rsid w:val="00CA06E5"/>
    <w:rsid w:val="00CA0730"/>
    <w:rsid w:val="00CA0E2F"/>
    <w:rsid w:val="00CA164C"/>
    <w:rsid w:val="00CA16AD"/>
    <w:rsid w:val="00CA1D19"/>
    <w:rsid w:val="00CA2199"/>
    <w:rsid w:val="00CA223F"/>
    <w:rsid w:val="00CA249C"/>
    <w:rsid w:val="00CA28C5"/>
    <w:rsid w:val="00CA2DE7"/>
    <w:rsid w:val="00CA3B1D"/>
    <w:rsid w:val="00CA4160"/>
    <w:rsid w:val="00CA44E8"/>
    <w:rsid w:val="00CA4BE3"/>
    <w:rsid w:val="00CA53D1"/>
    <w:rsid w:val="00CA5B5E"/>
    <w:rsid w:val="00CA61E3"/>
    <w:rsid w:val="00CA6219"/>
    <w:rsid w:val="00CA65F1"/>
    <w:rsid w:val="00CA6E49"/>
    <w:rsid w:val="00CA6EE1"/>
    <w:rsid w:val="00CB02CB"/>
    <w:rsid w:val="00CB08A1"/>
    <w:rsid w:val="00CB13BC"/>
    <w:rsid w:val="00CB17C1"/>
    <w:rsid w:val="00CB2422"/>
    <w:rsid w:val="00CB2660"/>
    <w:rsid w:val="00CB2A1A"/>
    <w:rsid w:val="00CB320F"/>
    <w:rsid w:val="00CB3418"/>
    <w:rsid w:val="00CB36CE"/>
    <w:rsid w:val="00CB3738"/>
    <w:rsid w:val="00CB3827"/>
    <w:rsid w:val="00CB3A1A"/>
    <w:rsid w:val="00CB4965"/>
    <w:rsid w:val="00CB4BF9"/>
    <w:rsid w:val="00CB4C01"/>
    <w:rsid w:val="00CB5334"/>
    <w:rsid w:val="00CB5E44"/>
    <w:rsid w:val="00CB712B"/>
    <w:rsid w:val="00CB7805"/>
    <w:rsid w:val="00CB7A42"/>
    <w:rsid w:val="00CB7D6F"/>
    <w:rsid w:val="00CC012E"/>
    <w:rsid w:val="00CC06F6"/>
    <w:rsid w:val="00CC0E8C"/>
    <w:rsid w:val="00CC0F64"/>
    <w:rsid w:val="00CC1B33"/>
    <w:rsid w:val="00CC1DF2"/>
    <w:rsid w:val="00CC232B"/>
    <w:rsid w:val="00CC25A6"/>
    <w:rsid w:val="00CC30E5"/>
    <w:rsid w:val="00CC3970"/>
    <w:rsid w:val="00CC44ED"/>
    <w:rsid w:val="00CC4BB7"/>
    <w:rsid w:val="00CC5639"/>
    <w:rsid w:val="00CC5E13"/>
    <w:rsid w:val="00CC5E90"/>
    <w:rsid w:val="00CC72FB"/>
    <w:rsid w:val="00CD046C"/>
    <w:rsid w:val="00CD0979"/>
    <w:rsid w:val="00CD1893"/>
    <w:rsid w:val="00CD36BA"/>
    <w:rsid w:val="00CD38C8"/>
    <w:rsid w:val="00CD3EDF"/>
    <w:rsid w:val="00CD403E"/>
    <w:rsid w:val="00CD58F8"/>
    <w:rsid w:val="00CD6BCF"/>
    <w:rsid w:val="00CD7BBE"/>
    <w:rsid w:val="00CE0052"/>
    <w:rsid w:val="00CE1390"/>
    <w:rsid w:val="00CE1E71"/>
    <w:rsid w:val="00CE2A6C"/>
    <w:rsid w:val="00CE4740"/>
    <w:rsid w:val="00CE47A5"/>
    <w:rsid w:val="00CE4868"/>
    <w:rsid w:val="00CE4999"/>
    <w:rsid w:val="00CE4FC9"/>
    <w:rsid w:val="00CE5199"/>
    <w:rsid w:val="00CE58F6"/>
    <w:rsid w:val="00CE66D5"/>
    <w:rsid w:val="00CE66E4"/>
    <w:rsid w:val="00CF07C3"/>
    <w:rsid w:val="00CF0A29"/>
    <w:rsid w:val="00CF0AD5"/>
    <w:rsid w:val="00CF12C1"/>
    <w:rsid w:val="00CF1E94"/>
    <w:rsid w:val="00CF1FF5"/>
    <w:rsid w:val="00CF273B"/>
    <w:rsid w:val="00CF2824"/>
    <w:rsid w:val="00CF396A"/>
    <w:rsid w:val="00CF3EBB"/>
    <w:rsid w:val="00CF4138"/>
    <w:rsid w:val="00CF439C"/>
    <w:rsid w:val="00CF4B16"/>
    <w:rsid w:val="00CF5539"/>
    <w:rsid w:val="00CF634E"/>
    <w:rsid w:val="00CF63BF"/>
    <w:rsid w:val="00CF6754"/>
    <w:rsid w:val="00CF768E"/>
    <w:rsid w:val="00D0028E"/>
    <w:rsid w:val="00D002FC"/>
    <w:rsid w:val="00D01E81"/>
    <w:rsid w:val="00D01F78"/>
    <w:rsid w:val="00D01FAC"/>
    <w:rsid w:val="00D0228D"/>
    <w:rsid w:val="00D02E9F"/>
    <w:rsid w:val="00D03633"/>
    <w:rsid w:val="00D03C39"/>
    <w:rsid w:val="00D04137"/>
    <w:rsid w:val="00D04674"/>
    <w:rsid w:val="00D05066"/>
    <w:rsid w:val="00D065A9"/>
    <w:rsid w:val="00D06AE0"/>
    <w:rsid w:val="00D06D0A"/>
    <w:rsid w:val="00D070D7"/>
    <w:rsid w:val="00D07439"/>
    <w:rsid w:val="00D0799B"/>
    <w:rsid w:val="00D07A1B"/>
    <w:rsid w:val="00D10D00"/>
    <w:rsid w:val="00D10FF4"/>
    <w:rsid w:val="00D11349"/>
    <w:rsid w:val="00D1134B"/>
    <w:rsid w:val="00D1169D"/>
    <w:rsid w:val="00D11888"/>
    <w:rsid w:val="00D118CF"/>
    <w:rsid w:val="00D12883"/>
    <w:rsid w:val="00D12B8D"/>
    <w:rsid w:val="00D12D6C"/>
    <w:rsid w:val="00D12F97"/>
    <w:rsid w:val="00D13FAB"/>
    <w:rsid w:val="00D14582"/>
    <w:rsid w:val="00D14B21"/>
    <w:rsid w:val="00D1539E"/>
    <w:rsid w:val="00D15858"/>
    <w:rsid w:val="00D15ABB"/>
    <w:rsid w:val="00D15E54"/>
    <w:rsid w:val="00D16299"/>
    <w:rsid w:val="00D162B0"/>
    <w:rsid w:val="00D16618"/>
    <w:rsid w:val="00D16C41"/>
    <w:rsid w:val="00D16ED9"/>
    <w:rsid w:val="00D2095A"/>
    <w:rsid w:val="00D209B8"/>
    <w:rsid w:val="00D20BFA"/>
    <w:rsid w:val="00D20CB3"/>
    <w:rsid w:val="00D20D54"/>
    <w:rsid w:val="00D210F8"/>
    <w:rsid w:val="00D211D9"/>
    <w:rsid w:val="00D2131F"/>
    <w:rsid w:val="00D21D95"/>
    <w:rsid w:val="00D21DA2"/>
    <w:rsid w:val="00D2250C"/>
    <w:rsid w:val="00D22F94"/>
    <w:rsid w:val="00D22FE2"/>
    <w:rsid w:val="00D2345D"/>
    <w:rsid w:val="00D23567"/>
    <w:rsid w:val="00D23785"/>
    <w:rsid w:val="00D23A91"/>
    <w:rsid w:val="00D24291"/>
    <w:rsid w:val="00D2456B"/>
    <w:rsid w:val="00D2565C"/>
    <w:rsid w:val="00D25889"/>
    <w:rsid w:val="00D25C75"/>
    <w:rsid w:val="00D25FCD"/>
    <w:rsid w:val="00D2617B"/>
    <w:rsid w:val="00D275B4"/>
    <w:rsid w:val="00D27F0D"/>
    <w:rsid w:val="00D27FBF"/>
    <w:rsid w:val="00D31199"/>
    <w:rsid w:val="00D31472"/>
    <w:rsid w:val="00D31511"/>
    <w:rsid w:val="00D31A13"/>
    <w:rsid w:val="00D31A84"/>
    <w:rsid w:val="00D32BCF"/>
    <w:rsid w:val="00D32D94"/>
    <w:rsid w:val="00D330A7"/>
    <w:rsid w:val="00D3350E"/>
    <w:rsid w:val="00D340AA"/>
    <w:rsid w:val="00D34786"/>
    <w:rsid w:val="00D34C1A"/>
    <w:rsid w:val="00D35609"/>
    <w:rsid w:val="00D35A0A"/>
    <w:rsid w:val="00D35A72"/>
    <w:rsid w:val="00D35CFB"/>
    <w:rsid w:val="00D35D47"/>
    <w:rsid w:val="00D36696"/>
    <w:rsid w:val="00D36A2C"/>
    <w:rsid w:val="00D37539"/>
    <w:rsid w:val="00D37557"/>
    <w:rsid w:val="00D4040F"/>
    <w:rsid w:val="00D40A1E"/>
    <w:rsid w:val="00D41308"/>
    <w:rsid w:val="00D42007"/>
    <w:rsid w:val="00D42A76"/>
    <w:rsid w:val="00D42BAB"/>
    <w:rsid w:val="00D43C78"/>
    <w:rsid w:val="00D43D02"/>
    <w:rsid w:val="00D44328"/>
    <w:rsid w:val="00D443A5"/>
    <w:rsid w:val="00D44A80"/>
    <w:rsid w:val="00D44B04"/>
    <w:rsid w:val="00D44BDF"/>
    <w:rsid w:val="00D44F7A"/>
    <w:rsid w:val="00D45150"/>
    <w:rsid w:val="00D45500"/>
    <w:rsid w:val="00D4644B"/>
    <w:rsid w:val="00D4662C"/>
    <w:rsid w:val="00D46696"/>
    <w:rsid w:val="00D46CDC"/>
    <w:rsid w:val="00D46FBE"/>
    <w:rsid w:val="00D47631"/>
    <w:rsid w:val="00D47E97"/>
    <w:rsid w:val="00D47F4D"/>
    <w:rsid w:val="00D5025B"/>
    <w:rsid w:val="00D50AFF"/>
    <w:rsid w:val="00D50CBE"/>
    <w:rsid w:val="00D512DC"/>
    <w:rsid w:val="00D523C3"/>
    <w:rsid w:val="00D52434"/>
    <w:rsid w:val="00D52B5B"/>
    <w:rsid w:val="00D52C14"/>
    <w:rsid w:val="00D537DA"/>
    <w:rsid w:val="00D53960"/>
    <w:rsid w:val="00D539A6"/>
    <w:rsid w:val="00D53DF6"/>
    <w:rsid w:val="00D53F3D"/>
    <w:rsid w:val="00D54537"/>
    <w:rsid w:val="00D54FD9"/>
    <w:rsid w:val="00D558C4"/>
    <w:rsid w:val="00D55D01"/>
    <w:rsid w:val="00D55EC8"/>
    <w:rsid w:val="00D568A0"/>
    <w:rsid w:val="00D56E33"/>
    <w:rsid w:val="00D57019"/>
    <w:rsid w:val="00D57833"/>
    <w:rsid w:val="00D57BA3"/>
    <w:rsid w:val="00D6069C"/>
    <w:rsid w:val="00D606AC"/>
    <w:rsid w:val="00D6092C"/>
    <w:rsid w:val="00D60BBD"/>
    <w:rsid w:val="00D60D42"/>
    <w:rsid w:val="00D61163"/>
    <w:rsid w:val="00D611FB"/>
    <w:rsid w:val="00D6144B"/>
    <w:rsid w:val="00D620D2"/>
    <w:rsid w:val="00D62108"/>
    <w:rsid w:val="00D6211E"/>
    <w:rsid w:val="00D62894"/>
    <w:rsid w:val="00D62BD0"/>
    <w:rsid w:val="00D62F66"/>
    <w:rsid w:val="00D62FB8"/>
    <w:rsid w:val="00D63033"/>
    <w:rsid w:val="00D63233"/>
    <w:rsid w:val="00D64AAD"/>
    <w:rsid w:val="00D65E4F"/>
    <w:rsid w:val="00D6603B"/>
    <w:rsid w:val="00D66F60"/>
    <w:rsid w:val="00D671D3"/>
    <w:rsid w:val="00D677D5"/>
    <w:rsid w:val="00D70778"/>
    <w:rsid w:val="00D70D74"/>
    <w:rsid w:val="00D70EFB"/>
    <w:rsid w:val="00D712B9"/>
    <w:rsid w:val="00D712D3"/>
    <w:rsid w:val="00D71422"/>
    <w:rsid w:val="00D7145E"/>
    <w:rsid w:val="00D71961"/>
    <w:rsid w:val="00D72789"/>
    <w:rsid w:val="00D72985"/>
    <w:rsid w:val="00D73376"/>
    <w:rsid w:val="00D73946"/>
    <w:rsid w:val="00D73D78"/>
    <w:rsid w:val="00D73E27"/>
    <w:rsid w:val="00D74A1F"/>
    <w:rsid w:val="00D74B5B"/>
    <w:rsid w:val="00D74C93"/>
    <w:rsid w:val="00D74E82"/>
    <w:rsid w:val="00D74F68"/>
    <w:rsid w:val="00D7514B"/>
    <w:rsid w:val="00D7558D"/>
    <w:rsid w:val="00D76232"/>
    <w:rsid w:val="00D7649A"/>
    <w:rsid w:val="00D76A3D"/>
    <w:rsid w:val="00D7762E"/>
    <w:rsid w:val="00D77A57"/>
    <w:rsid w:val="00D77A99"/>
    <w:rsid w:val="00D77B2C"/>
    <w:rsid w:val="00D77BCE"/>
    <w:rsid w:val="00D80250"/>
    <w:rsid w:val="00D80440"/>
    <w:rsid w:val="00D80C85"/>
    <w:rsid w:val="00D80FAB"/>
    <w:rsid w:val="00D811FF"/>
    <w:rsid w:val="00D81C90"/>
    <w:rsid w:val="00D81D92"/>
    <w:rsid w:val="00D81F73"/>
    <w:rsid w:val="00D826A0"/>
    <w:rsid w:val="00D82760"/>
    <w:rsid w:val="00D82876"/>
    <w:rsid w:val="00D82EA8"/>
    <w:rsid w:val="00D838BE"/>
    <w:rsid w:val="00D83DD3"/>
    <w:rsid w:val="00D83FFE"/>
    <w:rsid w:val="00D86110"/>
    <w:rsid w:val="00D86402"/>
    <w:rsid w:val="00D86569"/>
    <w:rsid w:val="00D865A2"/>
    <w:rsid w:val="00D87416"/>
    <w:rsid w:val="00D87567"/>
    <w:rsid w:val="00D8763F"/>
    <w:rsid w:val="00D876B2"/>
    <w:rsid w:val="00D877E9"/>
    <w:rsid w:val="00D878CA"/>
    <w:rsid w:val="00D9040B"/>
    <w:rsid w:val="00D9087A"/>
    <w:rsid w:val="00D91047"/>
    <w:rsid w:val="00D912A6"/>
    <w:rsid w:val="00D9141D"/>
    <w:rsid w:val="00D915AB"/>
    <w:rsid w:val="00D91B1E"/>
    <w:rsid w:val="00D91D59"/>
    <w:rsid w:val="00D92374"/>
    <w:rsid w:val="00D9253C"/>
    <w:rsid w:val="00D93446"/>
    <w:rsid w:val="00D9382D"/>
    <w:rsid w:val="00D946AA"/>
    <w:rsid w:val="00D94D1C"/>
    <w:rsid w:val="00D94F44"/>
    <w:rsid w:val="00D9539C"/>
    <w:rsid w:val="00D95402"/>
    <w:rsid w:val="00D96245"/>
    <w:rsid w:val="00D9657F"/>
    <w:rsid w:val="00D967A4"/>
    <w:rsid w:val="00D975F8"/>
    <w:rsid w:val="00D978E5"/>
    <w:rsid w:val="00DA062D"/>
    <w:rsid w:val="00DA0F27"/>
    <w:rsid w:val="00DA1520"/>
    <w:rsid w:val="00DA1F9E"/>
    <w:rsid w:val="00DA21AB"/>
    <w:rsid w:val="00DA249D"/>
    <w:rsid w:val="00DA2A7C"/>
    <w:rsid w:val="00DA3005"/>
    <w:rsid w:val="00DA300A"/>
    <w:rsid w:val="00DA312D"/>
    <w:rsid w:val="00DA36AE"/>
    <w:rsid w:val="00DA3E52"/>
    <w:rsid w:val="00DA40CF"/>
    <w:rsid w:val="00DA4E4E"/>
    <w:rsid w:val="00DA5DEA"/>
    <w:rsid w:val="00DA5ECF"/>
    <w:rsid w:val="00DA6812"/>
    <w:rsid w:val="00DA6AB3"/>
    <w:rsid w:val="00DA7151"/>
    <w:rsid w:val="00DA755B"/>
    <w:rsid w:val="00DA77AA"/>
    <w:rsid w:val="00DA7982"/>
    <w:rsid w:val="00DA79D0"/>
    <w:rsid w:val="00DA7B5F"/>
    <w:rsid w:val="00DB18A8"/>
    <w:rsid w:val="00DB1D14"/>
    <w:rsid w:val="00DB202B"/>
    <w:rsid w:val="00DB3050"/>
    <w:rsid w:val="00DB30EC"/>
    <w:rsid w:val="00DB3374"/>
    <w:rsid w:val="00DB3D31"/>
    <w:rsid w:val="00DB3ED4"/>
    <w:rsid w:val="00DB4A1E"/>
    <w:rsid w:val="00DB4D80"/>
    <w:rsid w:val="00DB5429"/>
    <w:rsid w:val="00DB5C3C"/>
    <w:rsid w:val="00DB6C6C"/>
    <w:rsid w:val="00DB6D0E"/>
    <w:rsid w:val="00DB7CA0"/>
    <w:rsid w:val="00DC043A"/>
    <w:rsid w:val="00DC07A4"/>
    <w:rsid w:val="00DC12A5"/>
    <w:rsid w:val="00DC174D"/>
    <w:rsid w:val="00DC190C"/>
    <w:rsid w:val="00DC2858"/>
    <w:rsid w:val="00DC28C0"/>
    <w:rsid w:val="00DC28DD"/>
    <w:rsid w:val="00DC2FF2"/>
    <w:rsid w:val="00DC3121"/>
    <w:rsid w:val="00DC4238"/>
    <w:rsid w:val="00DC42BF"/>
    <w:rsid w:val="00DC4839"/>
    <w:rsid w:val="00DC5FD6"/>
    <w:rsid w:val="00DC6453"/>
    <w:rsid w:val="00DC6D2C"/>
    <w:rsid w:val="00DC7597"/>
    <w:rsid w:val="00DC7693"/>
    <w:rsid w:val="00DC7C8C"/>
    <w:rsid w:val="00DD045E"/>
    <w:rsid w:val="00DD1E65"/>
    <w:rsid w:val="00DD2032"/>
    <w:rsid w:val="00DD2635"/>
    <w:rsid w:val="00DD2BE4"/>
    <w:rsid w:val="00DD2C54"/>
    <w:rsid w:val="00DD3FE1"/>
    <w:rsid w:val="00DD4B5B"/>
    <w:rsid w:val="00DD5501"/>
    <w:rsid w:val="00DD6D8F"/>
    <w:rsid w:val="00DD6DEF"/>
    <w:rsid w:val="00DD6E25"/>
    <w:rsid w:val="00DD6F04"/>
    <w:rsid w:val="00DD759E"/>
    <w:rsid w:val="00DD7F29"/>
    <w:rsid w:val="00DE01CB"/>
    <w:rsid w:val="00DE0266"/>
    <w:rsid w:val="00DE0893"/>
    <w:rsid w:val="00DE1546"/>
    <w:rsid w:val="00DE16C3"/>
    <w:rsid w:val="00DE181C"/>
    <w:rsid w:val="00DE26A2"/>
    <w:rsid w:val="00DE2792"/>
    <w:rsid w:val="00DE343D"/>
    <w:rsid w:val="00DE3B4F"/>
    <w:rsid w:val="00DE3E14"/>
    <w:rsid w:val="00DE4E10"/>
    <w:rsid w:val="00DE6249"/>
    <w:rsid w:val="00DE62F2"/>
    <w:rsid w:val="00DE735D"/>
    <w:rsid w:val="00DE7417"/>
    <w:rsid w:val="00DE7624"/>
    <w:rsid w:val="00DE783D"/>
    <w:rsid w:val="00DE7D2E"/>
    <w:rsid w:val="00DF1907"/>
    <w:rsid w:val="00DF1CDD"/>
    <w:rsid w:val="00DF1DF9"/>
    <w:rsid w:val="00DF2C26"/>
    <w:rsid w:val="00DF2FDC"/>
    <w:rsid w:val="00DF3130"/>
    <w:rsid w:val="00DF3A3C"/>
    <w:rsid w:val="00DF42A0"/>
    <w:rsid w:val="00DF472F"/>
    <w:rsid w:val="00DF4BDE"/>
    <w:rsid w:val="00DF5077"/>
    <w:rsid w:val="00DF56EC"/>
    <w:rsid w:val="00DF7793"/>
    <w:rsid w:val="00E0059C"/>
    <w:rsid w:val="00E01798"/>
    <w:rsid w:val="00E018BA"/>
    <w:rsid w:val="00E01B40"/>
    <w:rsid w:val="00E02360"/>
    <w:rsid w:val="00E023DF"/>
    <w:rsid w:val="00E04CC5"/>
    <w:rsid w:val="00E052B0"/>
    <w:rsid w:val="00E05E02"/>
    <w:rsid w:val="00E06730"/>
    <w:rsid w:val="00E067A6"/>
    <w:rsid w:val="00E068E0"/>
    <w:rsid w:val="00E06B5A"/>
    <w:rsid w:val="00E06BAE"/>
    <w:rsid w:val="00E06D84"/>
    <w:rsid w:val="00E06DDE"/>
    <w:rsid w:val="00E0702F"/>
    <w:rsid w:val="00E070DA"/>
    <w:rsid w:val="00E07187"/>
    <w:rsid w:val="00E0734B"/>
    <w:rsid w:val="00E0740A"/>
    <w:rsid w:val="00E07618"/>
    <w:rsid w:val="00E078E6"/>
    <w:rsid w:val="00E079D8"/>
    <w:rsid w:val="00E11392"/>
    <w:rsid w:val="00E114A7"/>
    <w:rsid w:val="00E121DA"/>
    <w:rsid w:val="00E137B4"/>
    <w:rsid w:val="00E13D70"/>
    <w:rsid w:val="00E1451D"/>
    <w:rsid w:val="00E15130"/>
    <w:rsid w:val="00E15217"/>
    <w:rsid w:val="00E1542A"/>
    <w:rsid w:val="00E1542D"/>
    <w:rsid w:val="00E15626"/>
    <w:rsid w:val="00E1578C"/>
    <w:rsid w:val="00E15F82"/>
    <w:rsid w:val="00E15FBA"/>
    <w:rsid w:val="00E16F9D"/>
    <w:rsid w:val="00E17683"/>
    <w:rsid w:val="00E2121C"/>
    <w:rsid w:val="00E215E9"/>
    <w:rsid w:val="00E215EF"/>
    <w:rsid w:val="00E22278"/>
    <w:rsid w:val="00E2284A"/>
    <w:rsid w:val="00E230FD"/>
    <w:rsid w:val="00E236F1"/>
    <w:rsid w:val="00E23718"/>
    <w:rsid w:val="00E2398E"/>
    <w:rsid w:val="00E23A98"/>
    <w:rsid w:val="00E25486"/>
    <w:rsid w:val="00E2586D"/>
    <w:rsid w:val="00E25A41"/>
    <w:rsid w:val="00E25A6B"/>
    <w:rsid w:val="00E25BE4"/>
    <w:rsid w:val="00E2673A"/>
    <w:rsid w:val="00E26AC8"/>
    <w:rsid w:val="00E26F97"/>
    <w:rsid w:val="00E26FCD"/>
    <w:rsid w:val="00E272A4"/>
    <w:rsid w:val="00E27AA4"/>
    <w:rsid w:val="00E30281"/>
    <w:rsid w:val="00E30994"/>
    <w:rsid w:val="00E314FA"/>
    <w:rsid w:val="00E31AAE"/>
    <w:rsid w:val="00E32FE3"/>
    <w:rsid w:val="00E3317B"/>
    <w:rsid w:val="00E337D9"/>
    <w:rsid w:val="00E3386F"/>
    <w:rsid w:val="00E33E64"/>
    <w:rsid w:val="00E3533B"/>
    <w:rsid w:val="00E3622A"/>
    <w:rsid w:val="00E364C4"/>
    <w:rsid w:val="00E36993"/>
    <w:rsid w:val="00E369D6"/>
    <w:rsid w:val="00E37292"/>
    <w:rsid w:val="00E3757F"/>
    <w:rsid w:val="00E377C8"/>
    <w:rsid w:val="00E37980"/>
    <w:rsid w:val="00E40AEA"/>
    <w:rsid w:val="00E41133"/>
    <w:rsid w:val="00E412F2"/>
    <w:rsid w:val="00E41E9F"/>
    <w:rsid w:val="00E42994"/>
    <w:rsid w:val="00E42C74"/>
    <w:rsid w:val="00E43157"/>
    <w:rsid w:val="00E43212"/>
    <w:rsid w:val="00E4390D"/>
    <w:rsid w:val="00E43C54"/>
    <w:rsid w:val="00E43C96"/>
    <w:rsid w:val="00E43E39"/>
    <w:rsid w:val="00E44853"/>
    <w:rsid w:val="00E44961"/>
    <w:rsid w:val="00E45D29"/>
    <w:rsid w:val="00E461F9"/>
    <w:rsid w:val="00E46307"/>
    <w:rsid w:val="00E477E8"/>
    <w:rsid w:val="00E4781D"/>
    <w:rsid w:val="00E47E00"/>
    <w:rsid w:val="00E50136"/>
    <w:rsid w:val="00E50E66"/>
    <w:rsid w:val="00E51067"/>
    <w:rsid w:val="00E52427"/>
    <w:rsid w:val="00E524D4"/>
    <w:rsid w:val="00E533FF"/>
    <w:rsid w:val="00E53BD8"/>
    <w:rsid w:val="00E53DC6"/>
    <w:rsid w:val="00E53E5E"/>
    <w:rsid w:val="00E54100"/>
    <w:rsid w:val="00E54BF5"/>
    <w:rsid w:val="00E54CE4"/>
    <w:rsid w:val="00E54EF8"/>
    <w:rsid w:val="00E56125"/>
    <w:rsid w:val="00E56477"/>
    <w:rsid w:val="00E56D15"/>
    <w:rsid w:val="00E56EB8"/>
    <w:rsid w:val="00E57833"/>
    <w:rsid w:val="00E57AC6"/>
    <w:rsid w:val="00E57B6B"/>
    <w:rsid w:val="00E57ECF"/>
    <w:rsid w:val="00E60063"/>
    <w:rsid w:val="00E608CA"/>
    <w:rsid w:val="00E61067"/>
    <w:rsid w:val="00E61127"/>
    <w:rsid w:val="00E61DC3"/>
    <w:rsid w:val="00E61F91"/>
    <w:rsid w:val="00E61FC3"/>
    <w:rsid w:val="00E62965"/>
    <w:rsid w:val="00E62BF1"/>
    <w:rsid w:val="00E6356C"/>
    <w:rsid w:val="00E6364D"/>
    <w:rsid w:val="00E63B98"/>
    <w:rsid w:val="00E64645"/>
    <w:rsid w:val="00E64863"/>
    <w:rsid w:val="00E648F3"/>
    <w:rsid w:val="00E64AF6"/>
    <w:rsid w:val="00E64E6F"/>
    <w:rsid w:val="00E64FF5"/>
    <w:rsid w:val="00E651FD"/>
    <w:rsid w:val="00E654A2"/>
    <w:rsid w:val="00E65CB4"/>
    <w:rsid w:val="00E661FD"/>
    <w:rsid w:val="00E6703B"/>
    <w:rsid w:val="00E677DD"/>
    <w:rsid w:val="00E6788B"/>
    <w:rsid w:val="00E67CBA"/>
    <w:rsid w:val="00E67E23"/>
    <w:rsid w:val="00E709B3"/>
    <w:rsid w:val="00E70B54"/>
    <w:rsid w:val="00E711AB"/>
    <w:rsid w:val="00E7126F"/>
    <w:rsid w:val="00E71410"/>
    <w:rsid w:val="00E7193A"/>
    <w:rsid w:val="00E71E57"/>
    <w:rsid w:val="00E71E89"/>
    <w:rsid w:val="00E71FD7"/>
    <w:rsid w:val="00E72FFF"/>
    <w:rsid w:val="00E73D6A"/>
    <w:rsid w:val="00E74123"/>
    <w:rsid w:val="00E74177"/>
    <w:rsid w:val="00E74D7C"/>
    <w:rsid w:val="00E75229"/>
    <w:rsid w:val="00E753FA"/>
    <w:rsid w:val="00E75440"/>
    <w:rsid w:val="00E75F13"/>
    <w:rsid w:val="00E7676B"/>
    <w:rsid w:val="00E767BD"/>
    <w:rsid w:val="00E76C84"/>
    <w:rsid w:val="00E76CBC"/>
    <w:rsid w:val="00E7739E"/>
    <w:rsid w:val="00E774E4"/>
    <w:rsid w:val="00E807AA"/>
    <w:rsid w:val="00E80E83"/>
    <w:rsid w:val="00E81771"/>
    <w:rsid w:val="00E81A3E"/>
    <w:rsid w:val="00E82CCD"/>
    <w:rsid w:val="00E82F32"/>
    <w:rsid w:val="00E830CC"/>
    <w:rsid w:val="00E833E9"/>
    <w:rsid w:val="00E833FA"/>
    <w:rsid w:val="00E83848"/>
    <w:rsid w:val="00E84EF5"/>
    <w:rsid w:val="00E85038"/>
    <w:rsid w:val="00E855B5"/>
    <w:rsid w:val="00E8617F"/>
    <w:rsid w:val="00E86541"/>
    <w:rsid w:val="00E86761"/>
    <w:rsid w:val="00E86ABD"/>
    <w:rsid w:val="00E86DAF"/>
    <w:rsid w:val="00E86E84"/>
    <w:rsid w:val="00E86EAF"/>
    <w:rsid w:val="00E87515"/>
    <w:rsid w:val="00E8789F"/>
    <w:rsid w:val="00E90530"/>
    <w:rsid w:val="00E9068B"/>
    <w:rsid w:val="00E908CF"/>
    <w:rsid w:val="00E90F4C"/>
    <w:rsid w:val="00E91BE2"/>
    <w:rsid w:val="00E91CFF"/>
    <w:rsid w:val="00E920D0"/>
    <w:rsid w:val="00E92215"/>
    <w:rsid w:val="00E92993"/>
    <w:rsid w:val="00E92E80"/>
    <w:rsid w:val="00E9316D"/>
    <w:rsid w:val="00E93BDB"/>
    <w:rsid w:val="00E94203"/>
    <w:rsid w:val="00E947D7"/>
    <w:rsid w:val="00E94D19"/>
    <w:rsid w:val="00E94E3D"/>
    <w:rsid w:val="00E95F0A"/>
    <w:rsid w:val="00E961D0"/>
    <w:rsid w:val="00E96942"/>
    <w:rsid w:val="00E978C5"/>
    <w:rsid w:val="00E97B71"/>
    <w:rsid w:val="00EA01E7"/>
    <w:rsid w:val="00EA077D"/>
    <w:rsid w:val="00EA0836"/>
    <w:rsid w:val="00EA0FBB"/>
    <w:rsid w:val="00EA1283"/>
    <w:rsid w:val="00EA1D9B"/>
    <w:rsid w:val="00EA26BA"/>
    <w:rsid w:val="00EA27CF"/>
    <w:rsid w:val="00EA48EC"/>
    <w:rsid w:val="00EA4EB1"/>
    <w:rsid w:val="00EA4F82"/>
    <w:rsid w:val="00EA5A04"/>
    <w:rsid w:val="00EA5FE2"/>
    <w:rsid w:val="00EA603E"/>
    <w:rsid w:val="00EA6A6E"/>
    <w:rsid w:val="00EA70E0"/>
    <w:rsid w:val="00EA7131"/>
    <w:rsid w:val="00EA7378"/>
    <w:rsid w:val="00EA7448"/>
    <w:rsid w:val="00EA78CC"/>
    <w:rsid w:val="00EA7F95"/>
    <w:rsid w:val="00EB01F4"/>
    <w:rsid w:val="00EB0252"/>
    <w:rsid w:val="00EB0BBC"/>
    <w:rsid w:val="00EB15FF"/>
    <w:rsid w:val="00EB18F6"/>
    <w:rsid w:val="00EB1CAE"/>
    <w:rsid w:val="00EB1D83"/>
    <w:rsid w:val="00EB21A5"/>
    <w:rsid w:val="00EB22B0"/>
    <w:rsid w:val="00EB24D7"/>
    <w:rsid w:val="00EB2ED9"/>
    <w:rsid w:val="00EB315A"/>
    <w:rsid w:val="00EB394F"/>
    <w:rsid w:val="00EB3B99"/>
    <w:rsid w:val="00EB4080"/>
    <w:rsid w:val="00EB4249"/>
    <w:rsid w:val="00EB454D"/>
    <w:rsid w:val="00EB454F"/>
    <w:rsid w:val="00EB4B7E"/>
    <w:rsid w:val="00EB51DC"/>
    <w:rsid w:val="00EB51EA"/>
    <w:rsid w:val="00EB55C1"/>
    <w:rsid w:val="00EB6170"/>
    <w:rsid w:val="00EB62D9"/>
    <w:rsid w:val="00EB64EF"/>
    <w:rsid w:val="00EB696C"/>
    <w:rsid w:val="00EB6B06"/>
    <w:rsid w:val="00EB7A72"/>
    <w:rsid w:val="00EB7F0A"/>
    <w:rsid w:val="00EC091F"/>
    <w:rsid w:val="00EC0BA4"/>
    <w:rsid w:val="00EC112E"/>
    <w:rsid w:val="00EC1674"/>
    <w:rsid w:val="00EC192C"/>
    <w:rsid w:val="00EC20C2"/>
    <w:rsid w:val="00EC2AAD"/>
    <w:rsid w:val="00EC311A"/>
    <w:rsid w:val="00EC31F9"/>
    <w:rsid w:val="00EC36F6"/>
    <w:rsid w:val="00EC437D"/>
    <w:rsid w:val="00EC440C"/>
    <w:rsid w:val="00EC45C1"/>
    <w:rsid w:val="00EC4738"/>
    <w:rsid w:val="00EC5123"/>
    <w:rsid w:val="00EC514D"/>
    <w:rsid w:val="00EC5570"/>
    <w:rsid w:val="00EC55EA"/>
    <w:rsid w:val="00EC59D9"/>
    <w:rsid w:val="00EC68B2"/>
    <w:rsid w:val="00EC6931"/>
    <w:rsid w:val="00EC6F2B"/>
    <w:rsid w:val="00EC714E"/>
    <w:rsid w:val="00EC74EB"/>
    <w:rsid w:val="00EC7C31"/>
    <w:rsid w:val="00EC7F2E"/>
    <w:rsid w:val="00ED0268"/>
    <w:rsid w:val="00ED03BE"/>
    <w:rsid w:val="00ED04F8"/>
    <w:rsid w:val="00ED0E31"/>
    <w:rsid w:val="00ED0F40"/>
    <w:rsid w:val="00ED1405"/>
    <w:rsid w:val="00ED144B"/>
    <w:rsid w:val="00ED147C"/>
    <w:rsid w:val="00ED18FD"/>
    <w:rsid w:val="00ED19E9"/>
    <w:rsid w:val="00ED2D1D"/>
    <w:rsid w:val="00ED3A8E"/>
    <w:rsid w:val="00ED3AB2"/>
    <w:rsid w:val="00ED404F"/>
    <w:rsid w:val="00ED52B0"/>
    <w:rsid w:val="00ED56AB"/>
    <w:rsid w:val="00ED5BE1"/>
    <w:rsid w:val="00ED7CC1"/>
    <w:rsid w:val="00EE04C1"/>
    <w:rsid w:val="00EE0ACC"/>
    <w:rsid w:val="00EE0BA9"/>
    <w:rsid w:val="00EE0D3E"/>
    <w:rsid w:val="00EE0F6B"/>
    <w:rsid w:val="00EE140F"/>
    <w:rsid w:val="00EE22E3"/>
    <w:rsid w:val="00EE2931"/>
    <w:rsid w:val="00EE2BD2"/>
    <w:rsid w:val="00EE3522"/>
    <w:rsid w:val="00EE36D7"/>
    <w:rsid w:val="00EE39AD"/>
    <w:rsid w:val="00EE4E4B"/>
    <w:rsid w:val="00EE504E"/>
    <w:rsid w:val="00EE5C5E"/>
    <w:rsid w:val="00EE5D7E"/>
    <w:rsid w:val="00EE5E58"/>
    <w:rsid w:val="00EE61AB"/>
    <w:rsid w:val="00EE7188"/>
    <w:rsid w:val="00EE7718"/>
    <w:rsid w:val="00EF04A0"/>
    <w:rsid w:val="00EF0CB9"/>
    <w:rsid w:val="00EF0CEF"/>
    <w:rsid w:val="00EF1B3F"/>
    <w:rsid w:val="00EF1C1F"/>
    <w:rsid w:val="00EF2493"/>
    <w:rsid w:val="00EF2BCD"/>
    <w:rsid w:val="00EF36AC"/>
    <w:rsid w:val="00EF4804"/>
    <w:rsid w:val="00EF4866"/>
    <w:rsid w:val="00EF49F0"/>
    <w:rsid w:val="00EF4C4E"/>
    <w:rsid w:val="00EF4EC3"/>
    <w:rsid w:val="00EF56CE"/>
    <w:rsid w:val="00EF5839"/>
    <w:rsid w:val="00EF5AA9"/>
    <w:rsid w:val="00EF619B"/>
    <w:rsid w:val="00EF620A"/>
    <w:rsid w:val="00EF6972"/>
    <w:rsid w:val="00EF7231"/>
    <w:rsid w:val="00EF78C3"/>
    <w:rsid w:val="00F001CA"/>
    <w:rsid w:val="00F005EE"/>
    <w:rsid w:val="00F00B55"/>
    <w:rsid w:val="00F012D6"/>
    <w:rsid w:val="00F0235E"/>
    <w:rsid w:val="00F02586"/>
    <w:rsid w:val="00F037C6"/>
    <w:rsid w:val="00F04AFE"/>
    <w:rsid w:val="00F059CF"/>
    <w:rsid w:val="00F06961"/>
    <w:rsid w:val="00F1005F"/>
    <w:rsid w:val="00F10CE6"/>
    <w:rsid w:val="00F11242"/>
    <w:rsid w:val="00F1129E"/>
    <w:rsid w:val="00F1188B"/>
    <w:rsid w:val="00F11EF1"/>
    <w:rsid w:val="00F1380F"/>
    <w:rsid w:val="00F14F0E"/>
    <w:rsid w:val="00F14F98"/>
    <w:rsid w:val="00F15799"/>
    <w:rsid w:val="00F15B6A"/>
    <w:rsid w:val="00F16AD4"/>
    <w:rsid w:val="00F16F8E"/>
    <w:rsid w:val="00F175ED"/>
    <w:rsid w:val="00F1763D"/>
    <w:rsid w:val="00F17799"/>
    <w:rsid w:val="00F17D5E"/>
    <w:rsid w:val="00F20236"/>
    <w:rsid w:val="00F2059E"/>
    <w:rsid w:val="00F20D2B"/>
    <w:rsid w:val="00F21553"/>
    <w:rsid w:val="00F21703"/>
    <w:rsid w:val="00F227E6"/>
    <w:rsid w:val="00F2328B"/>
    <w:rsid w:val="00F24AB2"/>
    <w:rsid w:val="00F24C29"/>
    <w:rsid w:val="00F253CC"/>
    <w:rsid w:val="00F25C31"/>
    <w:rsid w:val="00F267BE"/>
    <w:rsid w:val="00F267E4"/>
    <w:rsid w:val="00F26B0B"/>
    <w:rsid w:val="00F27458"/>
    <w:rsid w:val="00F277DB"/>
    <w:rsid w:val="00F27ACD"/>
    <w:rsid w:val="00F27CD8"/>
    <w:rsid w:val="00F27CFD"/>
    <w:rsid w:val="00F27F00"/>
    <w:rsid w:val="00F311E2"/>
    <w:rsid w:val="00F31814"/>
    <w:rsid w:val="00F32262"/>
    <w:rsid w:val="00F3282B"/>
    <w:rsid w:val="00F3379A"/>
    <w:rsid w:val="00F34265"/>
    <w:rsid w:val="00F34430"/>
    <w:rsid w:val="00F345AF"/>
    <w:rsid w:val="00F352AF"/>
    <w:rsid w:val="00F35C2A"/>
    <w:rsid w:val="00F35E2A"/>
    <w:rsid w:val="00F36C33"/>
    <w:rsid w:val="00F36D40"/>
    <w:rsid w:val="00F36F27"/>
    <w:rsid w:val="00F37481"/>
    <w:rsid w:val="00F377BE"/>
    <w:rsid w:val="00F37F99"/>
    <w:rsid w:val="00F40B92"/>
    <w:rsid w:val="00F40F3F"/>
    <w:rsid w:val="00F4139C"/>
    <w:rsid w:val="00F41A44"/>
    <w:rsid w:val="00F41F32"/>
    <w:rsid w:val="00F427D9"/>
    <w:rsid w:val="00F427E6"/>
    <w:rsid w:val="00F42943"/>
    <w:rsid w:val="00F4316F"/>
    <w:rsid w:val="00F434F9"/>
    <w:rsid w:val="00F438CD"/>
    <w:rsid w:val="00F441B9"/>
    <w:rsid w:val="00F4424F"/>
    <w:rsid w:val="00F45817"/>
    <w:rsid w:val="00F45EBF"/>
    <w:rsid w:val="00F46107"/>
    <w:rsid w:val="00F46498"/>
    <w:rsid w:val="00F4796B"/>
    <w:rsid w:val="00F47B79"/>
    <w:rsid w:val="00F503B5"/>
    <w:rsid w:val="00F5080C"/>
    <w:rsid w:val="00F50844"/>
    <w:rsid w:val="00F50CCD"/>
    <w:rsid w:val="00F50E6B"/>
    <w:rsid w:val="00F516D3"/>
    <w:rsid w:val="00F51F0D"/>
    <w:rsid w:val="00F51F28"/>
    <w:rsid w:val="00F545AC"/>
    <w:rsid w:val="00F547B5"/>
    <w:rsid w:val="00F54873"/>
    <w:rsid w:val="00F548A6"/>
    <w:rsid w:val="00F5497B"/>
    <w:rsid w:val="00F54F56"/>
    <w:rsid w:val="00F55507"/>
    <w:rsid w:val="00F55AB7"/>
    <w:rsid w:val="00F55F3B"/>
    <w:rsid w:val="00F55FC4"/>
    <w:rsid w:val="00F566C6"/>
    <w:rsid w:val="00F5694D"/>
    <w:rsid w:val="00F56A40"/>
    <w:rsid w:val="00F56BA5"/>
    <w:rsid w:val="00F56BE1"/>
    <w:rsid w:val="00F56D59"/>
    <w:rsid w:val="00F56EC5"/>
    <w:rsid w:val="00F56F31"/>
    <w:rsid w:val="00F572A5"/>
    <w:rsid w:val="00F57538"/>
    <w:rsid w:val="00F57731"/>
    <w:rsid w:val="00F6022A"/>
    <w:rsid w:val="00F60E01"/>
    <w:rsid w:val="00F61053"/>
    <w:rsid w:val="00F6108F"/>
    <w:rsid w:val="00F61379"/>
    <w:rsid w:val="00F6140C"/>
    <w:rsid w:val="00F6160F"/>
    <w:rsid w:val="00F61B4C"/>
    <w:rsid w:val="00F61BE4"/>
    <w:rsid w:val="00F62179"/>
    <w:rsid w:val="00F6255A"/>
    <w:rsid w:val="00F62641"/>
    <w:rsid w:val="00F626BF"/>
    <w:rsid w:val="00F629C7"/>
    <w:rsid w:val="00F62C42"/>
    <w:rsid w:val="00F6351B"/>
    <w:rsid w:val="00F637BF"/>
    <w:rsid w:val="00F644E6"/>
    <w:rsid w:val="00F652F0"/>
    <w:rsid w:val="00F6589A"/>
    <w:rsid w:val="00F6657C"/>
    <w:rsid w:val="00F666B5"/>
    <w:rsid w:val="00F669EC"/>
    <w:rsid w:val="00F66BDC"/>
    <w:rsid w:val="00F70342"/>
    <w:rsid w:val="00F703D1"/>
    <w:rsid w:val="00F7144F"/>
    <w:rsid w:val="00F71643"/>
    <w:rsid w:val="00F71982"/>
    <w:rsid w:val="00F71F53"/>
    <w:rsid w:val="00F724F3"/>
    <w:rsid w:val="00F725D1"/>
    <w:rsid w:val="00F72B58"/>
    <w:rsid w:val="00F737D9"/>
    <w:rsid w:val="00F7392C"/>
    <w:rsid w:val="00F746CA"/>
    <w:rsid w:val="00F74834"/>
    <w:rsid w:val="00F74B0B"/>
    <w:rsid w:val="00F74F0B"/>
    <w:rsid w:val="00F769C7"/>
    <w:rsid w:val="00F76ADB"/>
    <w:rsid w:val="00F7730A"/>
    <w:rsid w:val="00F7784C"/>
    <w:rsid w:val="00F77995"/>
    <w:rsid w:val="00F77BFA"/>
    <w:rsid w:val="00F77E6F"/>
    <w:rsid w:val="00F810EB"/>
    <w:rsid w:val="00F8194C"/>
    <w:rsid w:val="00F81B3F"/>
    <w:rsid w:val="00F820EF"/>
    <w:rsid w:val="00F8244B"/>
    <w:rsid w:val="00F82683"/>
    <w:rsid w:val="00F82B9D"/>
    <w:rsid w:val="00F83617"/>
    <w:rsid w:val="00F83D11"/>
    <w:rsid w:val="00F849BF"/>
    <w:rsid w:val="00F84B63"/>
    <w:rsid w:val="00F857F6"/>
    <w:rsid w:val="00F867F6"/>
    <w:rsid w:val="00F86CC8"/>
    <w:rsid w:val="00F86E36"/>
    <w:rsid w:val="00F86EE8"/>
    <w:rsid w:val="00F87A9A"/>
    <w:rsid w:val="00F902BF"/>
    <w:rsid w:val="00F90D42"/>
    <w:rsid w:val="00F91540"/>
    <w:rsid w:val="00F916AC"/>
    <w:rsid w:val="00F91A4B"/>
    <w:rsid w:val="00F929C3"/>
    <w:rsid w:val="00F92CA1"/>
    <w:rsid w:val="00F93826"/>
    <w:rsid w:val="00F9453D"/>
    <w:rsid w:val="00F9491E"/>
    <w:rsid w:val="00F94D4F"/>
    <w:rsid w:val="00F9653B"/>
    <w:rsid w:val="00F968E0"/>
    <w:rsid w:val="00F968E5"/>
    <w:rsid w:val="00F96BD4"/>
    <w:rsid w:val="00F96DEE"/>
    <w:rsid w:val="00F977ED"/>
    <w:rsid w:val="00F97B89"/>
    <w:rsid w:val="00F97D53"/>
    <w:rsid w:val="00FA01C8"/>
    <w:rsid w:val="00FA081A"/>
    <w:rsid w:val="00FA083B"/>
    <w:rsid w:val="00FA1759"/>
    <w:rsid w:val="00FA1ADA"/>
    <w:rsid w:val="00FA1C6B"/>
    <w:rsid w:val="00FA21FC"/>
    <w:rsid w:val="00FA2245"/>
    <w:rsid w:val="00FA2B95"/>
    <w:rsid w:val="00FA2C02"/>
    <w:rsid w:val="00FA2C1D"/>
    <w:rsid w:val="00FA30B0"/>
    <w:rsid w:val="00FA310E"/>
    <w:rsid w:val="00FA33B5"/>
    <w:rsid w:val="00FA359A"/>
    <w:rsid w:val="00FA3A17"/>
    <w:rsid w:val="00FA3BDF"/>
    <w:rsid w:val="00FA476F"/>
    <w:rsid w:val="00FA5112"/>
    <w:rsid w:val="00FA5E83"/>
    <w:rsid w:val="00FA5FCF"/>
    <w:rsid w:val="00FA63CD"/>
    <w:rsid w:val="00FA6873"/>
    <w:rsid w:val="00FA73EB"/>
    <w:rsid w:val="00FA773D"/>
    <w:rsid w:val="00FA7982"/>
    <w:rsid w:val="00FA7A5D"/>
    <w:rsid w:val="00FA7CCD"/>
    <w:rsid w:val="00FB0135"/>
    <w:rsid w:val="00FB0E27"/>
    <w:rsid w:val="00FB0F8C"/>
    <w:rsid w:val="00FB0F94"/>
    <w:rsid w:val="00FB1A16"/>
    <w:rsid w:val="00FB1A3C"/>
    <w:rsid w:val="00FB2597"/>
    <w:rsid w:val="00FB37A2"/>
    <w:rsid w:val="00FB3991"/>
    <w:rsid w:val="00FB3C92"/>
    <w:rsid w:val="00FB3F0E"/>
    <w:rsid w:val="00FB49E0"/>
    <w:rsid w:val="00FB4EE9"/>
    <w:rsid w:val="00FB5B57"/>
    <w:rsid w:val="00FB62CF"/>
    <w:rsid w:val="00FB74A8"/>
    <w:rsid w:val="00FC052E"/>
    <w:rsid w:val="00FC06C3"/>
    <w:rsid w:val="00FC084F"/>
    <w:rsid w:val="00FC1154"/>
    <w:rsid w:val="00FC13F0"/>
    <w:rsid w:val="00FC1D53"/>
    <w:rsid w:val="00FC1E3D"/>
    <w:rsid w:val="00FC240A"/>
    <w:rsid w:val="00FC2B57"/>
    <w:rsid w:val="00FC2B76"/>
    <w:rsid w:val="00FC3262"/>
    <w:rsid w:val="00FC3283"/>
    <w:rsid w:val="00FC3C01"/>
    <w:rsid w:val="00FC3E0A"/>
    <w:rsid w:val="00FC3EB4"/>
    <w:rsid w:val="00FC41AB"/>
    <w:rsid w:val="00FC4AB2"/>
    <w:rsid w:val="00FC544A"/>
    <w:rsid w:val="00FC5458"/>
    <w:rsid w:val="00FC6C58"/>
    <w:rsid w:val="00FC70D7"/>
    <w:rsid w:val="00FC774A"/>
    <w:rsid w:val="00FC77D2"/>
    <w:rsid w:val="00FC78B0"/>
    <w:rsid w:val="00FD11C7"/>
    <w:rsid w:val="00FD1863"/>
    <w:rsid w:val="00FD1BA1"/>
    <w:rsid w:val="00FD1C8A"/>
    <w:rsid w:val="00FD1DD0"/>
    <w:rsid w:val="00FD24A9"/>
    <w:rsid w:val="00FD279F"/>
    <w:rsid w:val="00FD3996"/>
    <w:rsid w:val="00FD3BD1"/>
    <w:rsid w:val="00FD3E3D"/>
    <w:rsid w:val="00FD50E1"/>
    <w:rsid w:val="00FD5518"/>
    <w:rsid w:val="00FD56CC"/>
    <w:rsid w:val="00FD635E"/>
    <w:rsid w:val="00FD6B02"/>
    <w:rsid w:val="00FD706D"/>
    <w:rsid w:val="00FD71F0"/>
    <w:rsid w:val="00FD746F"/>
    <w:rsid w:val="00FD7A58"/>
    <w:rsid w:val="00FE09CA"/>
    <w:rsid w:val="00FE144F"/>
    <w:rsid w:val="00FE157F"/>
    <w:rsid w:val="00FE1B1C"/>
    <w:rsid w:val="00FE1C4E"/>
    <w:rsid w:val="00FE1EAD"/>
    <w:rsid w:val="00FE21AB"/>
    <w:rsid w:val="00FE24E6"/>
    <w:rsid w:val="00FE25F4"/>
    <w:rsid w:val="00FE276D"/>
    <w:rsid w:val="00FE3CC4"/>
    <w:rsid w:val="00FE3CEC"/>
    <w:rsid w:val="00FE40DE"/>
    <w:rsid w:val="00FE48DC"/>
    <w:rsid w:val="00FE4DAB"/>
    <w:rsid w:val="00FE514A"/>
    <w:rsid w:val="00FE5494"/>
    <w:rsid w:val="00FE5C4B"/>
    <w:rsid w:val="00FE6030"/>
    <w:rsid w:val="00FE65A5"/>
    <w:rsid w:val="00FE6A5A"/>
    <w:rsid w:val="00FE6B45"/>
    <w:rsid w:val="00FE6B58"/>
    <w:rsid w:val="00FE6EBC"/>
    <w:rsid w:val="00FE6F98"/>
    <w:rsid w:val="00FE7303"/>
    <w:rsid w:val="00FE769E"/>
    <w:rsid w:val="00FF03FB"/>
    <w:rsid w:val="00FF05BC"/>
    <w:rsid w:val="00FF0651"/>
    <w:rsid w:val="00FF19BA"/>
    <w:rsid w:val="00FF19E2"/>
    <w:rsid w:val="00FF1B45"/>
    <w:rsid w:val="00FF1B5F"/>
    <w:rsid w:val="00FF1C0D"/>
    <w:rsid w:val="00FF1C1C"/>
    <w:rsid w:val="00FF2A07"/>
    <w:rsid w:val="00FF2F9E"/>
    <w:rsid w:val="00FF3563"/>
    <w:rsid w:val="00FF379A"/>
    <w:rsid w:val="00FF3FB7"/>
    <w:rsid w:val="00FF49B4"/>
    <w:rsid w:val="00FF4B22"/>
    <w:rsid w:val="00FF5724"/>
    <w:rsid w:val="00FF5851"/>
    <w:rsid w:val="00FF6A1A"/>
    <w:rsid w:val="00FF6B34"/>
    <w:rsid w:val="00FF6C89"/>
    <w:rsid w:val="00FF7145"/>
    <w:rsid w:val="00FF7650"/>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5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36AE"/>
    <w:rPr>
      <w:u w:val="single"/>
    </w:rPr>
  </w:style>
  <w:style w:type="paragraph" w:customStyle="1" w:styleId="Cabeceraypie">
    <w:name w:val="Cabecera y pie"/>
    <w:rsid w:val="00DA36AE"/>
    <w:pPr>
      <w:tabs>
        <w:tab w:val="right" w:pos="9020"/>
      </w:tabs>
    </w:pPr>
    <w:rPr>
      <w:rFonts w:ascii="Helvetica" w:hAnsi="Arial Unicode MS" w:cs="Arial Unicode MS"/>
      <w:color w:val="000000"/>
    </w:rPr>
  </w:style>
  <w:style w:type="paragraph" w:styleId="Footer">
    <w:name w:val="footer"/>
    <w:link w:val="FooterChar"/>
    <w:uiPriority w:val="99"/>
    <w:rsid w:val="00DA36AE"/>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DA36AE"/>
    <w:rPr>
      <w:rFonts w:ascii="Cambria" w:eastAsia="Cambria" w:hAnsi="Cambria" w:cs="Cambria"/>
      <w:color w:val="000000"/>
      <w:u w:color="000000"/>
    </w:rPr>
  </w:style>
  <w:style w:type="paragraph" w:styleId="BodyTextIndent">
    <w:name w:val="Body Text Indent"/>
    <w:rsid w:val="00DA36AE"/>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DA36AE"/>
    <w:pPr>
      <w:ind w:left="720"/>
    </w:pPr>
    <w:rPr>
      <w:rFonts w:ascii="Cambria" w:eastAsia="Cambria" w:hAnsi="Cambria" w:cs="Cambria"/>
      <w:color w:val="000000"/>
      <w:u w:color="000000"/>
      <w:lang w:val="en-US"/>
    </w:rPr>
  </w:style>
  <w:style w:type="numbering" w:customStyle="1" w:styleId="List0">
    <w:name w:val="List 0"/>
    <w:basedOn w:val="Estiloimportado1"/>
    <w:rsid w:val="00DA36AE"/>
    <w:pPr>
      <w:numPr>
        <w:numId w:val="31"/>
      </w:numPr>
    </w:pPr>
  </w:style>
  <w:style w:type="numbering" w:customStyle="1" w:styleId="Estiloimportado1">
    <w:name w:val="Estilo importado 1"/>
    <w:rsid w:val="00DA36AE"/>
  </w:style>
  <w:style w:type="numbering" w:customStyle="1" w:styleId="List1">
    <w:name w:val="List 1"/>
    <w:basedOn w:val="Estiloimportado2"/>
    <w:rsid w:val="00DA36AE"/>
    <w:pPr>
      <w:numPr>
        <w:numId w:val="1"/>
      </w:numPr>
    </w:pPr>
  </w:style>
  <w:style w:type="numbering" w:customStyle="1" w:styleId="Estiloimportado2">
    <w:name w:val="Estilo importado 2"/>
    <w:rsid w:val="00DA36AE"/>
  </w:style>
  <w:style w:type="numbering" w:customStyle="1" w:styleId="List210">
    <w:name w:val="List 21"/>
    <w:basedOn w:val="Estiloimportado3"/>
    <w:rsid w:val="00DA36AE"/>
    <w:pPr>
      <w:numPr>
        <w:numId w:val="52"/>
      </w:numPr>
    </w:pPr>
  </w:style>
  <w:style w:type="numbering" w:customStyle="1" w:styleId="Estiloimportado3">
    <w:name w:val="Estilo importado 3"/>
    <w:rsid w:val="00DA36AE"/>
  </w:style>
  <w:style w:type="numbering" w:customStyle="1" w:styleId="List31">
    <w:name w:val="List 31"/>
    <w:basedOn w:val="Estiloimportado4"/>
    <w:rsid w:val="00DA36AE"/>
    <w:pPr>
      <w:numPr>
        <w:numId w:val="51"/>
      </w:numPr>
    </w:pPr>
  </w:style>
  <w:style w:type="numbering" w:customStyle="1" w:styleId="Estiloimportado4">
    <w:name w:val="Estilo importado 4"/>
    <w:rsid w:val="00DA36AE"/>
  </w:style>
  <w:style w:type="numbering" w:customStyle="1" w:styleId="List41">
    <w:name w:val="List 41"/>
    <w:basedOn w:val="Estiloimportado5"/>
    <w:rsid w:val="00DA36AE"/>
    <w:pPr>
      <w:numPr>
        <w:numId w:val="2"/>
      </w:numPr>
    </w:pPr>
  </w:style>
  <w:style w:type="numbering" w:customStyle="1" w:styleId="Estiloimportado5">
    <w:name w:val="Estilo importado 5"/>
    <w:rsid w:val="00DA36AE"/>
  </w:style>
  <w:style w:type="numbering" w:customStyle="1" w:styleId="List510">
    <w:name w:val="List 51"/>
    <w:basedOn w:val="Estiloimportado6"/>
    <w:rsid w:val="00DA36AE"/>
    <w:pPr>
      <w:numPr>
        <w:numId w:val="54"/>
      </w:numPr>
    </w:pPr>
  </w:style>
  <w:style w:type="numbering" w:customStyle="1" w:styleId="Estiloimportado6">
    <w:name w:val="Estilo importado 6"/>
    <w:rsid w:val="00DA36AE"/>
  </w:style>
  <w:style w:type="numbering" w:customStyle="1" w:styleId="List6">
    <w:name w:val="List 6"/>
    <w:basedOn w:val="Estiloimportado7"/>
    <w:rsid w:val="00DA36AE"/>
    <w:pPr>
      <w:numPr>
        <w:numId w:val="3"/>
      </w:numPr>
    </w:pPr>
  </w:style>
  <w:style w:type="numbering" w:customStyle="1" w:styleId="Estiloimportado7">
    <w:name w:val="Estilo importado 7"/>
    <w:rsid w:val="00DA36AE"/>
  </w:style>
  <w:style w:type="numbering" w:customStyle="1" w:styleId="List7">
    <w:name w:val="List 7"/>
    <w:basedOn w:val="Estiloimportado8"/>
    <w:rsid w:val="00DA36AE"/>
    <w:pPr>
      <w:numPr>
        <w:numId w:val="4"/>
      </w:numPr>
    </w:pPr>
  </w:style>
  <w:style w:type="numbering" w:customStyle="1" w:styleId="Estiloimportado8">
    <w:name w:val="Estilo importado 8"/>
    <w:rsid w:val="00DA36AE"/>
  </w:style>
  <w:style w:type="numbering" w:customStyle="1" w:styleId="List8">
    <w:name w:val="List 8"/>
    <w:basedOn w:val="Estiloimportado9"/>
    <w:rsid w:val="00DA36AE"/>
    <w:pPr>
      <w:numPr>
        <w:numId w:val="5"/>
      </w:numPr>
    </w:pPr>
  </w:style>
  <w:style w:type="numbering" w:customStyle="1" w:styleId="Estiloimportado9">
    <w:name w:val="Estilo importado 9"/>
    <w:rsid w:val="00DA36AE"/>
  </w:style>
  <w:style w:type="numbering" w:customStyle="1" w:styleId="List9">
    <w:name w:val="List 9"/>
    <w:basedOn w:val="Estiloimportado10"/>
    <w:rsid w:val="00DA36AE"/>
    <w:pPr>
      <w:numPr>
        <w:numId w:val="22"/>
      </w:numPr>
    </w:pPr>
  </w:style>
  <w:style w:type="numbering" w:customStyle="1" w:styleId="Estiloimportado10">
    <w:name w:val="Estilo importado 10"/>
    <w:rsid w:val="00DA36AE"/>
  </w:style>
  <w:style w:type="numbering" w:customStyle="1" w:styleId="List10">
    <w:name w:val="List 10"/>
    <w:basedOn w:val="Estiloimportado11"/>
    <w:rsid w:val="00DA36AE"/>
    <w:pPr>
      <w:numPr>
        <w:numId w:val="6"/>
      </w:numPr>
    </w:pPr>
  </w:style>
  <w:style w:type="numbering" w:customStyle="1" w:styleId="Estiloimportado11">
    <w:name w:val="Estilo importado 11"/>
    <w:rsid w:val="00DA36AE"/>
  </w:style>
  <w:style w:type="numbering" w:customStyle="1" w:styleId="List11">
    <w:name w:val="List 11"/>
    <w:basedOn w:val="Estiloimportado12"/>
    <w:rsid w:val="00DA36AE"/>
    <w:pPr>
      <w:numPr>
        <w:numId w:val="7"/>
      </w:numPr>
    </w:pPr>
  </w:style>
  <w:style w:type="numbering" w:customStyle="1" w:styleId="Estiloimportado12">
    <w:name w:val="Estilo importado 12"/>
    <w:rsid w:val="00DA36AE"/>
  </w:style>
  <w:style w:type="numbering" w:customStyle="1" w:styleId="List12">
    <w:name w:val="List 12"/>
    <w:basedOn w:val="Estiloimportado13"/>
    <w:rsid w:val="00DA36AE"/>
    <w:pPr>
      <w:numPr>
        <w:numId w:val="36"/>
      </w:numPr>
    </w:pPr>
  </w:style>
  <w:style w:type="numbering" w:customStyle="1" w:styleId="Estiloimportado13">
    <w:name w:val="Estilo importado 13"/>
    <w:rsid w:val="00DA36AE"/>
  </w:style>
  <w:style w:type="numbering" w:customStyle="1" w:styleId="List13">
    <w:name w:val="List 13"/>
    <w:basedOn w:val="Estiloimportado14"/>
    <w:rsid w:val="00DA36AE"/>
    <w:pPr>
      <w:numPr>
        <w:numId w:val="42"/>
      </w:numPr>
    </w:pPr>
  </w:style>
  <w:style w:type="numbering" w:customStyle="1" w:styleId="Estiloimportado14">
    <w:name w:val="Estilo importado 14"/>
    <w:rsid w:val="00DA36AE"/>
  </w:style>
  <w:style w:type="numbering" w:customStyle="1" w:styleId="List14">
    <w:name w:val="List 14"/>
    <w:basedOn w:val="Estiloimportado15"/>
    <w:rsid w:val="00DA36AE"/>
    <w:pPr>
      <w:numPr>
        <w:numId w:val="17"/>
      </w:numPr>
    </w:pPr>
  </w:style>
  <w:style w:type="numbering" w:customStyle="1" w:styleId="Estiloimportado15">
    <w:name w:val="Estilo importado 15"/>
    <w:rsid w:val="00DA36AE"/>
  </w:style>
  <w:style w:type="numbering" w:customStyle="1" w:styleId="List15">
    <w:name w:val="List 15"/>
    <w:basedOn w:val="Estiloimportado16"/>
    <w:rsid w:val="00DA36AE"/>
    <w:pPr>
      <w:numPr>
        <w:numId w:val="16"/>
      </w:numPr>
    </w:pPr>
  </w:style>
  <w:style w:type="numbering" w:customStyle="1" w:styleId="Estiloimportado16">
    <w:name w:val="Estilo importado 16"/>
    <w:rsid w:val="00DA36AE"/>
  </w:style>
  <w:style w:type="numbering" w:customStyle="1" w:styleId="List16">
    <w:name w:val="List 16"/>
    <w:basedOn w:val="Estiloimportado16"/>
    <w:rsid w:val="00DA36AE"/>
    <w:pPr>
      <w:numPr>
        <w:numId w:val="10"/>
      </w:numPr>
    </w:pPr>
  </w:style>
  <w:style w:type="numbering" w:customStyle="1" w:styleId="List17">
    <w:name w:val="List 17"/>
    <w:basedOn w:val="Estiloimportado17"/>
    <w:rsid w:val="00DA36AE"/>
    <w:pPr>
      <w:numPr>
        <w:numId w:val="25"/>
      </w:numPr>
    </w:pPr>
  </w:style>
  <w:style w:type="numbering" w:customStyle="1" w:styleId="Estiloimportado17">
    <w:name w:val="Estilo importado 17"/>
    <w:rsid w:val="00DA36AE"/>
  </w:style>
  <w:style w:type="numbering" w:customStyle="1" w:styleId="List18">
    <w:name w:val="List 18"/>
    <w:basedOn w:val="Estiloimportado18"/>
    <w:rsid w:val="00DA36AE"/>
    <w:pPr>
      <w:numPr>
        <w:numId w:val="27"/>
      </w:numPr>
    </w:pPr>
  </w:style>
  <w:style w:type="numbering" w:customStyle="1" w:styleId="Estiloimportado18">
    <w:name w:val="Estilo importado 18"/>
    <w:rsid w:val="00DA36AE"/>
  </w:style>
  <w:style w:type="numbering" w:customStyle="1" w:styleId="List19">
    <w:name w:val="List 19"/>
    <w:basedOn w:val="Estiloimportado10"/>
    <w:rsid w:val="00DA36AE"/>
    <w:pPr>
      <w:numPr>
        <w:numId w:val="19"/>
      </w:numPr>
    </w:pPr>
  </w:style>
  <w:style w:type="numbering" w:customStyle="1" w:styleId="List20">
    <w:name w:val="List 20"/>
    <w:basedOn w:val="Estiloimportado12"/>
    <w:rsid w:val="00DA36AE"/>
    <w:pPr>
      <w:numPr>
        <w:numId w:val="43"/>
      </w:numPr>
    </w:pPr>
  </w:style>
  <w:style w:type="numbering" w:customStyle="1" w:styleId="List21">
    <w:name w:val="List 21"/>
    <w:basedOn w:val="Estiloimportado19"/>
    <w:rsid w:val="00DA36AE"/>
    <w:pPr>
      <w:numPr>
        <w:numId w:val="38"/>
      </w:numPr>
    </w:pPr>
  </w:style>
  <w:style w:type="numbering" w:customStyle="1" w:styleId="Estiloimportado19">
    <w:name w:val="Estilo importado 19"/>
    <w:rsid w:val="00DA36AE"/>
  </w:style>
  <w:style w:type="numbering" w:customStyle="1" w:styleId="List22">
    <w:name w:val="List 22"/>
    <w:basedOn w:val="Estiloimportado19"/>
    <w:rsid w:val="00DA36AE"/>
    <w:pPr>
      <w:numPr>
        <w:numId w:val="28"/>
      </w:numPr>
    </w:pPr>
  </w:style>
  <w:style w:type="numbering" w:customStyle="1" w:styleId="List23">
    <w:name w:val="List 23"/>
    <w:basedOn w:val="Estiloimportado19"/>
    <w:rsid w:val="00DA36AE"/>
    <w:pPr>
      <w:numPr>
        <w:numId w:val="18"/>
      </w:numPr>
    </w:pPr>
  </w:style>
  <w:style w:type="numbering" w:customStyle="1" w:styleId="List24">
    <w:name w:val="List 24"/>
    <w:basedOn w:val="Estiloimportado20"/>
    <w:rsid w:val="00DA36AE"/>
    <w:pPr>
      <w:numPr>
        <w:numId w:val="13"/>
      </w:numPr>
    </w:pPr>
  </w:style>
  <w:style w:type="numbering" w:customStyle="1" w:styleId="Estiloimportado20">
    <w:name w:val="Estilo importado 20"/>
    <w:rsid w:val="00DA36AE"/>
  </w:style>
  <w:style w:type="numbering" w:customStyle="1" w:styleId="List25">
    <w:name w:val="List 25"/>
    <w:basedOn w:val="Estiloimportado21"/>
    <w:rsid w:val="00DA36AE"/>
    <w:pPr>
      <w:numPr>
        <w:numId w:val="15"/>
      </w:numPr>
    </w:pPr>
  </w:style>
  <w:style w:type="numbering" w:customStyle="1" w:styleId="Estiloimportado21">
    <w:name w:val="Estilo importado 21"/>
    <w:rsid w:val="00DA36AE"/>
  </w:style>
  <w:style w:type="numbering" w:customStyle="1" w:styleId="List26">
    <w:name w:val="List 26"/>
    <w:basedOn w:val="Estiloimportado22"/>
    <w:rsid w:val="00DA36AE"/>
    <w:pPr>
      <w:numPr>
        <w:numId w:val="49"/>
      </w:numPr>
    </w:pPr>
  </w:style>
  <w:style w:type="numbering" w:customStyle="1" w:styleId="Estiloimportado22">
    <w:name w:val="Estilo importado 22"/>
    <w:rsid w:val="00DA36AE"/>
  </w:style>
  <w:style w:type="numbering" w:customStyle="1" w:styleId="List27">
    <w:name w:val="List 27"/>
    <w:basedOn w:val="Estiloimportado23"/>
    <w:rsid w:val="00DA36AE"/>
    <w:pPr>
      <w:numPr>
        <w:numId w:val="41"/>
      </w:numPr>
    </w:pPr>
  </w:style>
  <w:style w:type="numbering" w:customStyle="1" w:styleId="Estiloimportado23">
    <w:name w:val="Estilo importado 23"/>
    <w:rsid w:val="00DA36AE"/>
  </w:style>
  <w:style w:type="numbering" w:customStyle="1" w:styleId="List28">
    <w:name w:val="List 28"/>
    <w:basedOn w:val="Estiloimportado24"/>
    <w:rsid w:val="00DA36AE"/>
    <w:pPr>
      <w:numPr>
        <w:numId w:val="30"/>
      </w:numPr>
    </w:pPr>
  </w:style>
  <w:style w:type="numbering" w:customStyle="1" w:styleId="Estiloimportado24">
    <w:name w:val="Estilo importado 24"/>
    <w:rsid w:val="00DA36AE"/>
  </w:style>
  <w:style w:type="numbering" w:customStyle="1" w:styleId="List29">
    <w:name w:val="List 29"/>
    <w:basedOn w:val="Estiloimportado25"/>
    <w:rsid w:val="00DA36AE"/>
    <w:pPr>
      <w:numPr>
        <w:numId w:val="34"/>
      </w:numPr>
    </w:pPr>
  </w:style>
  <w:style w:type="numbering" w:customStyle="1" w:styleId="Estiloimportado25">
    <w:name w:val="Estilo importado 25"/>
    <w:rsid w:val="00DA36AE"/>
  </w:style>
  <w:style w:type="numbering" w:customStyle="1" w:styleId="List30">
    <w:name w:val="List 30"/>
    <w:basedOn w:val="Estiloimportado26"/>
    <w:rsid w:val="00DA36AE"/>
    <w:pPr>
      <w:numPr>
        <w:numId w:val="32"/>
      </w:numPr>
    </w:pPr>
  </w:style>
  <w:style w:type="numbering" w:customStyle="1" w:styleId="Estiloimportado26">
    <w:name w:val="Estilo importado 26"/>
    <w:rsid w:val="00DA36AE"/>
  </w:style>
  <w:style w:type="numbering" w:customStyle="1" w:styleId="List310">
    <w:name w:val="List 31"/>
    <w:basedOn w:val="Estiloimportado27"/>
    <w:rsid w:val="00DA36AE"/>
    <w:pPr>
      <w:numPr>
        <w:numId w:val="45"/>
      </w:numPr>
    </w:pPr>
  </w:style>
  <w:style w:type="numbering" w:customStyle="1" w:styleId="Estiloimportado27">
    <w:name w:val="Estilo importado 27"/>
    <w:rsid w:val="00DA36AE"/>
  </w:style>
  <w:style w:type="numbering" w:customStyle="1" w:styleId="List32">
    <w:name w:val="List 32"/>
    <w:basedOn w:val="Estiloimportado28"/>
    <w:rsid w:val="00DA36AE"/>
    <w:pPr>
      <w:numPr>
        <w:numId w:val="48"/>
      </w:numPr>
    </w:pPr>
  </w:style>
  <w:style w:type="numbering" w:customStyle="1" w:styleId="Estiloimportado28">
    <w:name w:val="Estilo importado 28"/>
    <w:rsid w:val="00DA36A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DA36AE"/>
    <w:rPr>
      <w:rFonts w:ascii="Calibri" w:eastAsia="Calibri" w:hAnsi="Calibri" w:cs="Calibri"/>
      <w:color w:val="000000"/>
      <w:u w:color="000000"/>
      <w:lang w:val="en-US"/>
    </w:rPr>
  </w:style>
  <w:style w:type="numbering" w:customStyle="1" w:styleId="List33">
    <w:name w:val="List 33"/>
    <w:basedOn w:val="Estiloimportado29"/>
    <w:rsid w:val="00DA36AE"/>
    <w:pPr>
      <w:numPr>
        <w:numId w:val="26"/>
      </w:numPr>
    </w:pPr>
  </w:style>
  <w:style w:type="numbering" w:customStyle="1" w:styleId="Estiloimportado29">
    <w:name w:val="Estilo importado 29"/>
    <w:rsid w:val="00DA36AE"/>
  </w:style>
  <w:style w:type="numbering" w:customStyle="1" w:styleId="List34">
    <w:name w:val="List 34"/>
    <w:basedOn w:val="Estiloimportado30"/>
    <w:rsid w:val="00DA36AE"/>
    <w:pPr>
      <w:numPr>
        <w:numId w:val="11"/>
      </w:numPr>
    </w:pPr>
  </w:style>
  <w:style w:type="numbering" w:customStyle="1" w:styleId="Estiloimportado30">
    <w:name w:val="Estilo importado 30"/>
    <w:rsid w:val="00DA36AE"/>
  </w:style>
  <w:style w:type="numbering" w:customStyle="1" w:styleId="List35">
    <w:name w:val="List 35"/>
    <w:basedOn w:val="Estiloimportado31"/>
    <w:rsid w:val="00DA36AE"/>
    <w:pPr>
      <w:numPr>
        <w:numId w:val="8"/>
      </w:numPr>
    </w:pPr>
  </w:style>
  <w:style w:type="numbering" w:customStyle="1" w:styleId="Estiloimportado31">
    <w:name w:val="Estilo importado 31"/>
    <w:rsid w:val="00DA36AE"/>
  </w:style>
  <w:style w:type="numbering" w:customStyle="1" w:styleId="List36">
    <w:name w:val="List 36"/>
    <w:basedOn w:val="Estiloimportado32"/>
    <w:rsid w:val="00DA36AE"/>
    <w:pPr>
      <w:numPr>
        <w:numId w:val="14"/>
      </w:numPr>
    </w:pPr>
  </w:style>
  <w:style w:type="numbering" w:customStyle="1" w:styleId="Estiloimportado32">
    <w:name w:val="Estilo importado 32"/>
    <w:rsid w:val="00DA36AE"/>
  </w:style>
  <w:style w:type="numbering" w:customStyle="1" w:styleId="List37">
    <w:name w:val="List 37"/>
    <w:basedOn w:val="Estiloimportado33"/>
    <w:rsid w:val="00DA36AE"/>
    <w:pPr>
      <w:numPr>
        <w:numId w:val="47"/>
      </w:numPr>
    </w:pPr>
  </w:style>
  <w:style w:type="numbering" w:customStyle="1" w:styleId="Estiloimportado33">
    <w:name w:val="Estilo importado 33"/>
    <w:rsid w:val="00DA36AE"/>
  </w:style>
  <w:style w:type="numbering" w:customStyle="1" w:styleId="List38">
    <w:name w:val="List 38"/>
    <w:basedOn w:val="Estiloimportado34"/>
    <w:rsid w:val="00DA36AE"/>
    <w:pPr>
      <w:numPr>
        <w:numId w:val="35"/>
      </w:numPr>
    </w:pPr>
  </w:style>
  <w:style w:type="numbering" w:customStyle="1" w:styleId="Estiloimportado34">
    <w:name w:val="Estilo importado 34"/>
    <w:rsid w:val="00DA36AE"/>
  </w:style>
  <w:style w:type="numbering" w:customStyle="1" w:styleId="List39">
    <w:name w:val="List 39"/>
    <w:basedOn w:val="Estiloimportado35"/>
    <w:rsid w:val="00DA36AE"/>
    <w:pPr>
      <w:numPr>
        <w:numId w:val="46"/>
      </w:numPr>
    </w:pPr>
  </w:style>
  <w:style w:type="numbering" w:customStyle="1" w:styleId="Estiloimportado35">
    <w:name w:val="Estilo importado 35"/>
    <w:rsid w:val="00DA36AE"/>
  </w:style>
  <w:style w:type="numbering" w:customStyle="1" w:styleId="List40">
    <w:name w:val="List 40"/>
    <w:basedOn w:val="Estiloimportado36"/>
    <w:rsid w:val="00DA36AE"/>
    <w:pPr>
      <w:numPr>
        <w:numId w:val="21"/>
      </w:numPr>
    </w:pPr>
  </w:style>
  <w:style w:type="numbering" w:customStyle="1" w:styleId="Estiloimportado36">
    <w:name w:val="Estilo importado 36"/>
    <w:rsid w:val="00DA36AE"/>
  </w:style>
  <w:style w:type="numbering" w:customStyle="1" w:styleId="List410">
    <w:name w:val="List 41"/>
    <w:basedOn w:val="Estiloimportado37"/>
    <w:rsid w:val="00DA36AE"/>
    <w:pPr>
      <w:numPr>
        <w:numId w:val="44"/>
      </w:numPr>
    </w:pPr>
  </w:style>
  <w:style w:type="numbering" w:customStyle="1" w:styleId="Estiloimportado37">
    <w:name w:val="Estilo importado 37"/>
    <w:rsid w:val="00DA36AE"/>
  </w:style>
  <w:style w:type="numbering" w:customStyle="1" w:styleId="List42">
    <w:name w:val="List 42"/>
    <w:basedOn w:val="Estiloimportado12"/>
    <w:rsid w:val="00DA36AE"/>
    <w:pPr>
      <w:numPr>
        <w:numId w:val="12"/>
      </w:numPr>
    </w:pPr>
  </w:style>
  <w:style w:type="numbering" w:customStyle="1" w:styleId="List43">
    <w:name w:val="List 43"/>
    <w:basedOn w:val="Estiloimportado38"/>
    <w:rsid w:val="00DA36AE"/>
    <w:pPr>
      <w:numPr>
        <w:numId w:val="23"/>
      </w:numPr>
    </w:pPr>
  </w:style>
  <w:style w:type="numbering" w:customStyle="1" w:styleId="Estiloimportado38">
    <w:name w:val="Estilo importado 38"/>
    <w:rsid w:val="00DA36AE"/>
  </w:style>
  <w:style w:type="numbering" w:customStyle="1" w:styleId="List44">
    <w:name w:val="List 44"/>
    <w:basedOn w:val="Estiloimportado39"/>
    <w:rsid w:val="00DA36AE"/>
    <w:pPr>
      <w:numPr>
        <w:numId w:val="40"/>
      </w:numPr>
    </w:pPr>
  </w:style>
  <w:style w:type="numbering" w:customStyle="1" w:styleId="Estiloimportado39">
    <w:name w:val="Estilo importado 39"/>
    <w:rsid w:val="00DA36AE"/>
  </w:style>
  <w:style w:type="numbering" w:customStyle="1" w:styleId="List45">
    <w:name w:val="List 45"/>
    <w:basedOn w:val="Estiloimportado40"/>
    <w:rsid w:val="00DA36AE"/>
    <w:pPr>
      <w:numPr>
        <w:numId w:val="20"/>
      </w:numPr>
    </w:pPr>
  </w:style>
  <w:style w:type="numbering" w:customStyle="1" w:styleId="Estiloimportado40">
    <w:name w:val="Estilo importado 40"/>
    <w:rsid w:val="00DA36AE"/>
  </w:style>
  <w:style w:type="numbering" w:customStyle="1" w:styleId="List46">
    <w:name w:val="List 46"/>
    <w:basedOn w:val="Estiloimportado41"/>
    <w:rsid w:val="00DA36AE"/>
    <w:pPr>
      <w:numPr>
        <w:numId w:val="24"/>
      </w:numPr>
    </w:pPr>
  </w:style>
  <w:style w:type="numbering" w:customStyle="1" w:styleId="Estiloimportado41">
    <w:name w:val="Estilo importado 41"/>
    <w:rsid w:val="00DA36AE"/>
  </w:style>
  <w:style w:type="numbering" w:customStyle="1" w:styleId="List47">
    <w:name w:val="List 47"/>
    <w:basedOn w:val="Estiloimportado42"/>
    <w:rsid w:val="00DA36AE"/>
    <w:pPr>
      <w:numPr>
        <w:numId w:val="29"/>
      </w:numPr>
    </w:pPr>
  </w:style>
  <w:style w:type="numbering" w:customStyle="1" w:styleId="Estiloimportado42">
    <w:name w:val="Estilo importado 42"/>
    <w:rsid w:val="00DA36AE"/>
  </w:style>
  <w:style w:type="numbering" w:customStyle="1" w:styleId="List48">
    <w:name w:val="List 48"/>
    <w:basedOn w:val="Estiloimportado43"/>
    <w:rsid w:val="00DA36AE"/>
    <w:pPr>
      <w:numPr>
        <w:numId w:val="50"/>
      </w:numPr>
    </w:pPr>
  </w:style>
  <w:style w:type="numbering" w:customStyle="1" w:styleId="Estiloimportado43">
    <w:name w:val="Estilo importado 43"/>
    <w:rsid w:val="00DA36AE"/>
  </w:style>
  <w:style w:type="numbering" w:customStyle="1" w:styleId="List49">
    <w:name w:val="List 49"/>
    <w:basedOn w:val="Estiloimportado44"/>
    <w:rsid w:val="00DA36AE"/>
    <w:pPr>
      <w:numPr>
        <w:numId w:val="39"/>
      </w:numPr>
    </w:pPr>
  </w:style>
  <w:style w:type="numbering" w:customStyle="1" w:styleId="Estiloimportado44">
    <w:name w:val="Estilo importado 44"/>
    <w:rsid w:val="00DA36AE"/>
  </w:style>
  <w:style w:type="numbering" w:customStyle="1" w:styleId="List50">
    <w:name w:val="List 50"/>
    <w:basedOn w:val="Estiloimportado45"/>
    <w:rsid w:val="00DA36AE"/>
    <w:pPr>
      <w:numPr>
        <w:numId w:val="37"/>
      </w:numPr>
    </w:pPr>
  </w:style>
  <w:style w:type="numbering" w:customStyle="1" w:styleId="Estiloimportado45">
    <w:name w:val="Estilo importado 45"/>
    <w:rsid w:val="00DA36AE"/>
  </w:style>
  <w:style w:type="numbering" w:customStyle="1" w:styleId="List51">
    <w:name w:val="List 51"/>
    <w:basedOn w:val="Estiloimportado46"/>
    <w:rsid w:val="00DA36AE"/>
    <w:pPr>
      <w:numPr>
        <w:numId w:val="33"/>
      </w:numPr>
    </w:pPr>
  </w:style>
  <w:style w:type="numbering" w:customStyle="1" w:styleId="Estiloimportado46">
    <w:name w:val="Estilo importado 46"/>
    <w:rsid w:val="00DA36AE"/>
  </w:style>
  <w:style w:type="numbering" w:customStyle="1" w:styleId="List52">
    <w:name w:val="List 52"/>
    <w:basedOn w:val="Estiloimportado1"/>
    <w:rsid w:val="00DA36A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D3350E"/>
    <w:pPr>
      <w:tabs>
        <w:tab w:val="left" w:pos="1440"/>
        <w:tab w:val="right" w:leader="dot" w:pos="9350"/>
      </w:tabs>
      <w:spacing w:after="100"/>
      <w:ind w:left="1440" w:hanging="360"/>
    </w:pPr>
    <w:rPr>
      <w:noProof/>
    </w:rPr>
  </w:style>
  <w:style w:type="paragraph" w:styleId="TOC1">
    <w:name w:val="toc 1"/>
    <w:basedOn w:val="Normal"/>
    <w:next w:val="Normal"/>
    <w:autoRedefine/>
    <w:uiPriority w:val="39"/>
    <w:unhideWhenUsed/>
    <w:rsid w:val="00232A3C"/>
    <w:pPr>
      <w:tabs>
        <w:tab w:val="left" w:pos="1440"/>
        <w:tab w:val="right" w:leader="dot" w:pos="9350"/>
      </w:tabs>
      <w:spacing w:after="100"/>
      <w:ind w:left="72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unhideWhenUsed/>
    <w:rsid w:val="00EA6A6E"/>
    <w:rPr>
      <w:sz w:val="20"/>
      <w:szCs w:val="20"/>
    </w:rPr>
  </w:style>
  <w:style w:type="character" w:customStyle="1" w:styleId="CommentTextChar">
    <w:name w:val="Comment Text Char"/>
    <w:basedOn w:val="DefaultParagraphFont"/>
    <w:link w:val="CommentText"/>
    <w:uiPriority w:val="99"/>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customStyle="1" w:styleId="jurisdiction">
    <w:name w:val="jurisdiction"/>
    <w:basedOn w:val="DefaultParagraphFont"/>
    <w:rsid w:val="0045037E"/>
  </w:style>
  <w:style w:type="character" w:customStyle="1" w:styleId="decide-date">
    <w:name w:val="decide-date"/>
    <w:basedOn w:val="DefaultParagraphFont"/>
    <w:rsid w:val="0045037E"/>
  </w:style>
  <w:style w:type="character" w:customStyle="1" w:styleId="citation">
    <w:name w:val="citation"/>
    <w:basedOn w:val="DefaultParagraphFont"/>
    <w:rsid w:val="0045037E"/>
  </w:style>
  <w:style w:type="paragraph" w:customStyle="1" w:styleId="paragraph">
    <w:name w:val="paragraph"/>
    <w:basedOn w:val="Normal"/>
    <w:rsid w:val="003642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OC5">
    <w:name w:val="toc 5"/>
    <w:basedOn w:val="Normal"/>
    <w:next w:val="Normal"/>
    <w:autoRedefine/>
    <w:uiPriority w:val="39"/>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960"/>
    </w:pPr>
    <w:rPr>
      <w:rFonts w:asciiTheme="minorHAnsi" w:eastAsiaTheme="minorEastAsia" w:hAnsiTheme="minorHAnsi" w:cstheme="minorBidi"/>
      <w:bdr w:val="none" w:sz="0" w:space="0" w:color="auto"/>
    </w:rPr>
  </w:style>
  <w:style w:type="paragraph" w:styleId="TOC6">
    <w:name w:val="toc 6"/>
    <w:basedOn w:val="Normal"/>
    <w:next w:val="Normal"/>
    <w:autoRedefine/>
    <w:uiPriority w:val="39"/>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200"/>
    </w:pPr>
    <w:rPr>
      <w:rFonts w:asciiTheme="minorHAnsi" w:eastAsiaTheme="minorEastAsia" w:hAnsiTheme="minorHAnsi" w:cstheme="minorBidi"/>
      <w:bdr w:val="none" w:sz="0" w:space="0" w:color="auto"/>
    </w:rPr>
  </w:style>
  <w:style w:type="paragraph" w:styleId="TOC7">
    <w:name w:val="toc 7"/>
    <w:basedOn w:val="Normal"/>
    <w:next w:val="Normal"/>
    <w:autoRedefine/>
    <w:uiPriority w:val="39"/>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440"/>
    </w:pPr>
    <w:rPr>
      <w:rFonts w:asciiTheme="minorHAnsi" w:eastAsiaTheme="minorEastAsia" w:hAnsiTheme="minorHAnsi" w:cstheme="minorBidi"/>
      <w:bdr w:val="none" w:sz="0" w:space="0" w:color="auto"/>
    </w:rPr>
  </w:style>
  <w:style w:type="paragraph" w:styleId="TOC8">
    <w:name w:val="toc 8"/>
    <w:basedOn w:val="Normal"/>
    <w:next w:val="Normal"/>
    <w:autoRedefine/>
    <w:uiPriority w:val="39"/>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680"/>
    </w:pPr>
    <w:rPr>
      <w:rFonts w:asciiTheme="minorHAnsi" w:eastAsiaTheme="minorEastAsia" w:hAnsiTheme="minorHAnsi" w:cstheme="minorBidi"/>
      <w:bdr w:val="none" w:sz="0" w:space="0" w:color="auto"/>
    </w:rPr>
  </w:style>
  <w:style w:type="paragraph" w:styleId="TOC9">
    <w:name w:val="toc 9"/>
    <w:basedOn w:val="Normal"/>
    <w:next w:val="Normal"/>
    <w:autoRedefine/>
    <w:uiPriority w:val="39"/>
    <w:unhideWhenUsed/>
    <w:rsid w:val="005959C4"/>
    <w:pPr>
      <w:pBdr>
        <w:top w:val="none" w:sz="0" w:space="0" w:color="auto"/>
        <w:left w:val="none" w:sz="0" w:space="0" w:color="auto"/>
        <w:bottom w:val="none" w:sz="0" w:space="0" w:color="auto"/>
        <w:right w:val="none" w:sz="0" w:space="0" w:color="auto"/>
        <w:between w:val="none" w:sz="0" w:space="0" w:color="auto"/>
        <w:bar w:val="none" w:sz="0" w:color="auto"/>
      </w:pBdr>
      <w:spacing w:after="100"/>
      <w:ind w:left="1920"/>
    </w:pPr>
    <w:rPr>
      <w:rFonts w:asciiTheme="minorHAnsi" w:eastAsiaTheme="minorEastAsia" w:hAnsiTheme="minorHAnsi" w:cstheme="minorBidi"/>
      <w:bdr w:val="none" w:sz="0" w:space="0" w:color="auto"/>
    </w:rPr>
  </w:style>
  <w:style w:type="character" w:customStyle="1" w:styleId="sectionnumber">
    <w:name w:val="sectionnumber"/>
    <w:basedOn w:val="DefaultParagraphFont"/>
    <w:rsid w:val="00B46600"/>
  </w:style>
  <w:style w:type="character" w:customStyle="1" w:styleId="catchlinetext">
    <w:name w:val="catchlinetext"/>
    <w:basedOn w:val="DefaultParagraphFont"/>
    <w:rsid w:val="00B46600"/>
  </w:style>
  <w:style w:type="character" w:customStyle="1" w:styleId="emdash">
    <w:name w:val="emdash"/>
    <w:basedOn w:val="DefaultParagraphFont"/>
    <w:rsid w:val="00B46600"/>
  </w:style>
  <w:style w:type="character" w:customStyle="1" w:styleId="sectionbody">
    <w:name w:val="sectionbody"/>
    <w:basedOn w:val="DefaultParagraphFont"/>
    <w:rsid w:val="00B46600"/>
  </w:style>
  <w:style w:type="character" w:customStyle="1" w:styleId="id">
    <w:name w:val="id"/>
    <w:basedOn w:val="DefaultParagraphFont"/>
    <w:rsid w:val="00B46600"/>
  </w:style>
  <w:style w:type="character" w:customStyle="1" w:styleId="textintrojustify">
    <w:name w:val="text intro justify"/>
    <w:basedOn w:val="DefaultParagraphFont"/>
    <w:rsid w:val="00B46600"/>
  </w:style>
  <w:style w:type="paragraph" w:customStyle="1" w:styleId="Body">
    <w:name w:val="Body"/>
    <w:uiPriority w:val="99"/>
    <w:rsid w:val="0050076E"/>
    <w:rPr>
      <w:rFonts w:cs="Arial Unicode MS"/>
      <w:color w:val="000000"/>
      <w:u w:color="000000"/>
      <w:lang w:val="en-US" w:eastAsia="en-US"/>
    </w:rPr>
  </w:style>
  <w:style w:type="numbering" w:customStyle="1" w:styleId="ImportedStyle3">
    <w:name w:val="Imported Style 3"/>
    <w:rsid w:val="0050076E"/>
    <w:pPr>
      <w:numPr>
        <w:numId w:val="63"/>
      </w:numPr>
    </w:pPr>
  </w:style>
  <w:style w:type="numbering" w:customStyle="1" w:styleId="ImportedStyle4">
    <w:name w:val="Imported Style 4"/>
    <w:rsid w:val="0050076E"/>
    <w:pPr>
      <w:numPr>
        <w:numId w:val="64"/>
      </w:numPr>
    </w:pPr>
  </w:style>
  <w:style w:type="numbering" w:customStyle="1" w:styleId="ImportedStyle5">
    <w:name w:val="Imported Style 5"/>
    <w:rsid w:val="0050076E"/>
    <w:pPr>
      <w:numPr>
        <w:numId w:val="65"/>
      </w:numPr>
    </w:pPr>
  </w:style>
  <w:style w:type="numbering" w:customStyle="1" w:styleId="ImportedStyle6">
    <w:name w:val="Imported Style 6"/>
    <w:rsid w:val="0050076E"/>
    <w:pPr>
      <w:numPr>
        <w:numId w:val="66"/>
      </w:numPr>
    </w:pPr>
  </w:style>
  <w:style w:type="numbering" w:customStyle="1" w:styleId="ImportedStyle8">
    <w:name w:val="Imported Style 8"/>
    <w:rsid w:val="0050076E"/>
    <w:pPr>
      <w:numPr>
        <w:numId w:val="67"/>
      </w:numPr>
    </w:pPr>
  </w:style>
  <w:style w:type="character" w:customStyle="1" w:styleId="Hyperlink0">
    <w:name w:val="Hyperlink.0"/>
    <w:basedOn w:val="DefaultParagraphFont"/>
    <w:rsid w:val="0050076E"/>
    <w:rPr>
      <w:rFonts w:ascii="Cambria" w:eastAsia="Cambria" w:hAnsi="Cambria" w:cs="Cambria"/>
      <w:color w:val="0000FF"/>
      <w:sz w:val="16"/>
      <w:szCs w:val="16"/>
      <w:u w:val="single" w:color="0000FF"/>
    </w:rPr>
  </w:style>
  <w:style w:type="paragraph" w:styleId="Index1">
    <w:name w:val="index 1"/>
    <w:basedOn w:val="Normal"/>
    <w:next w:val="Normal"/>
    <w:autoRedefine/>
    <w:uiPriority w:val="99"/>
    <w:unhideWhenUsed/>
    <w:rsid w:val="0050076E"/>
    <w:pPr>
      <w:ind w:left="240" w:hanging="240"/>
    </w:pPr>
  </w:style>
  <w:style w:type="paragraph" w:styleId="Index2">
    <w:name w:val="index 2"/>
    <w:basedOn w:val="Normal"/>
    <w:next w:val="Normal"/>
    <w:autoRedefine/>
    <w:uiPriority w:val="99"/>
    <w:unhideWhenUsed/>
    <w:rsid w:val="0050076E"/>
    <w:pPr>
      <w:ind w:left="480" w:hanging="240"/>
    </w:pPr>
  </w:style>
  <w:style w:type="paragraph" w:styleId="Index3">
    <w:name w:val="index 3"/>
    <w:basedOn w:val="Normal"/>
    <w:next w:val="Normal"/>
    <w:autoRedefine/>
    <w:uiPriority w:val="99"/>
    <w:unhideWhenUsed/>
    <w:rsid w:val="0050076E"/>
    <w:pPr>
      <w:ind w:left="720" w:hanging="240"/>
    </w:pPr>
  </w:style>
  <w:style w:type="paragraph" w:styleId="Index4">
    <w:name w:val="index 4"/>
    <w:basedOn w:val="Normal"/>
    <w:next w:val="Normal"/>
    <w:autoRedefine/>
    <w:uiPriority w:val="99"/>
    <w:unhideWhenUsed/>
    <w:rsid w:val="0050076E"/>
    <w:pPr>
      <w:ind w:left="960" w:hanging="240"/>
    </w:pPr>
  </w:style>
  <w:style w:type="paragraph" w:styleId="Index5">
    <w:name w:val="index 5"/>
    <w:basedOn w:val="Normal"/>
    <w:next w:val="Normal"/>
    <w:autoRedefine/>
    <w:uiPriority w:val="99"/>
    <w:unhideWhenUsed/>
    <w:rsid w:val="0050076E"/>
    <w:pPr>
      <w:ind w:left="1200" w:hanging="240"/>
    </w:pPr>
  </w:style>
  <w:style w:type="paragraph" w:styleId="Index6">
    <w:name w:val="index 6"/>
    <w:basedOn w:val="Normal"/>
    <w:next w:val="Normal"/>
    <w:autoRedefine/>
    <w:uiPriority w:val="99"/>
    <w:unhideWhenUsed/>
    <w:rsid w:val="0050076E"/>
    <w:pPr>
      <w:ind w:left="1440" w:hanging="240"/>
    </w:pPr>
  </w:style>
  <w:style w:type="paragraph" w:styleId="Index7">
    <w:name w:val="index 7"/>
    <w:basedOn w:val="Normal"/>
    <w:next w:val="Normal"/>
    <w:autoRedefine/>
    <w:uiPriority w:val="99"/>
    <w:unhideWhenUsed/>
    <w:rsid w:val="0050076E"/>
    <w:pPr>
      <w:ind w:left="1680" w:hanging="240"/>
    </w:pPr>
  </w:style>
  <w:style w:type="paragraph" w:styleId="Index8">
    <w:name w:val="index 8"/>
    <w:basedOn w:val="Normal"/>
    <w:next w:val="Normal"/>
    <w:autoRedefine/>
    <w:uiPriority w:val="99"/>
    <w:unhideWhenUsed/>
    <w:rsid w:val="0050076E"/>
    <w:pPr>
      <w:ind w:left="1920" w:hanging="240"/>
    </w:pPr>
  </w:style>
  <w:style w:type="paragraph" w:styleId="Index9">
    <w:name w:val="index 9"/>
    <w:basedOn w:val="Normal"/>
    <w:next w:val="Normal"/>
    <w:autoRedefine/>
    <w:uiPriority w:val="99"/>
    <w:unhideWhenUsed/>
    <w:rsid w:val="0050076E"/>
    <w:pPr>
      <w:ind w:left="2160" w:hanging="240"/>
    </w:pPr>
  </w:style>
  <w:style w:type="paragraph" w:styleId="IndexHeading">
    <w:name w:val="index heading"/>
    <w:basedOn w:val="Normal"/>
    <w:next w:val="Index1"/>
    <w:uiPriority w:val="99"/>
    <w:unhideWhenUsed/>
    <w:rsid w:val="0050076E"/>
  </w:style>
  <w:style w:type="character" w:customStyle="1" w:styleId="dfrq">
    <w:name w:val="df_rq"/>
    <w:basedOn w:val="DefaultParagraphFont"/>
    <w:rsid w:val="0050076E"/>
  </w:style>
  <w:style w:type="paragraph" w:styleId="BodyText3">
    <w:name w:val="Body Text 3"/>
    <w:basedOn w:val="Normal"/>
    <w:link w:val="BodyText3Char"/>
    <w:unhideWhenUsed/>
    <w:rsid w:val="0050076E"/>
    <w:pPr>
      <w:spacing w:after="120"/>
    </w:pPr>
    <w:rPr>
      <w:sz w:val="16"/>
      <w:szCs w:val="16"/>
    </w:rPr>
  </w:style>
  <w:style w:type="character" w:customStyle="1" w:styleId="BodyText3Char">
    <w:name w:val="Body Text 3 Char"/>
    <w:basedOn w:val="DefaultParagraphFont"/>
    <w:link w:val="BodyText3"/>
    <w:rsid w:val="0050076E"/>
    <w:rPr>
      <w:sz w:val="16"/>
      <w:szCs w:val="16"/>
      <w:lang w:val="en-US" w:eastAsia="en-US"/>
    </w:rPr>
  </w:style>
  <w:style w:type="character" w:styleId="Emphasis">
    <w:name w:val="Emphasis"/>
    <w:basedOn w:val="DefaultParagraphFont"/>
    <w:uiPriority w:val="20"/>
    <w:qFormat/>
    <w:rsid w:val="00590239"/>
    <w:rPr>
      <w:b/>
      <w:bCs/>
      <w:i w:val="0"/>
      <w:iCs w:val="0"/>
    </w:rPr>
  </w:style>
  <w:style w:type="character" w:customStyle="1" w:styleId="st1">
    <w:name w:val="st1"/>
    <w:basedOn w:val="DefaultParagraphFont"/>
    <w:rsid w:val="0059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45833967">
      <w:bodyDiv w:val="1"/>
      <w:marLeft w:val="0"/>
      <w:marRight w:val="0"/>
      <w:marTop w:val="0"/>
      <w:marBottom w:val="0"/>
      <w:divBdr>
        <w:top w:val="none" w:sz="0" w:space="0" w:color="auto"/>
        <w:left w:val="none" w:sz="0" w:space="0" w:color="auto"/>
        <w:bottom w:val="none" w:sz="0" w:space="0" w:color="auto"/>
        <w:right w:val="none" w:sz="0" w:space="0" w:color="auto"/>
      </w:divBdr>
      <w:divsChild>
        <w:div w:id="304430074">
          <w:marLeft w:val="0"/>
          <w:marRight w:val="0"/>
          <w:marTop w:val="0"/>
          <w:marBottom w:val="0"/>
          <w:divBdr>
            <w:top w:val="none" w:sz="0" w:space="0" w:color="auto"/>
            <w:left w:val="none" w:sz="0" w:space="0" w:color="auto"/>
            <w:bottom w:val="none" w:sz="0" w:space="0" w:color="auto"/>
            <w:right w:val="none" w:sz="0" w:space="0" w:color="auto"/>
          </w:divBdr>
          <w:divsChild>
            <w:div w:id="1554999831">
              <w:marLeft w:val="0"/>
              <w:marRight w:val="0"/>
              <w:marTop w:val="0"/>
              <w:marBottom w:val="0"/>
              <w:divBdr>
                <w:top w:val="none" w:sz="0" w:space="0" w:color="auto"/>
                <w:left w:val="none" w:sz="0" w:space="0" w:color="auto"/>
                <w:bottom w:val="none" w:sz="0" w:space="0" w:color="auto"/>
                <w:right w:val="none" w:sz="0" w:space="0" w:color="auto"/>
              </w:divBdr>
              <w:divsChild>
                <w:div w:id="824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9037">
      <w:bodyDiv w:val="1"/>
      <w:marLeft w:val="0"/>
      <w:marRight w:val="0"/>
      <w:marTop w:val="0"/>
      <w:marBottom w:val="0"/>
      <w:divBdr>
        <w:top w:val="none" w:sz="0" w:space="0" w:color="auto"/>
        <w:left w:val="none" w:sz="0" w:space="0" w:color="auto"/>
        <w:bottom w:val="none" w:sz="0" w:space="0" w:color="auto"/>
        <w:right w:val="none" w:sz="0" w:space="0" w:color="auto"/>
      </w:divBdr>
      <w:divsChild>
        <w:div w:id="1963999440">
          <w:marLeft w:val="0"/>
          <w:marRight w:val="0"/>
          <w:marTop w:val="0"/>
          <w:marBottom w:val="0"/>
          <w:divBdr>
            <w:top w:val="none" w:sz="0" w:space="0" w:color="auto"/>
            <w:left w:val="none" w:sz="0" w:space="0" w:color="auto"/>
            <w:bottom w:val="none" w:sz="0" w:space="0" w:color="auto"/>
            <w:right w:val="none" w:sz="0" w:space="0" w:color="auto"/>
          </w:divBdr>
          <w:divsChild>
            <w:div w:id="1811090849">
              <w:marLeft w:val="0"/>
              <w:marRight w:val="0"/>
              <w:marTop w:val="0"/>
              <w:marBottom w:val="0"/>
              <w:divBdr>
                <w:top w:val="none" w:sz="0" w:space="0" w:color="auto"/>
                <w:left w:val="none" w:sz="0" w:space="0" w:color="auto"/>
                <w:bottom w:val="none" w:sz="0" w:space="0" w:color="auto"/>
                <w:right w:val="none" w:sz="0" w:space="0" w:color="auto"/>
              </w:divBdr>
              <w:divsChild>
                <w:div w:id="13446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5970">
      <w:bodyDiv w:val="1"/>
      <w:marLeft w:val="0"/>
      <w:marRight w:val="0"/>
      <w:marTop w:val="0"/>
      <w:marBottom w:val="0"/>
      <w:divBdr>
        <w:top w:val="none" w:sz="0" w:space="0" w:color="auto"/>
        <w:left w:val="none" w:sz="0" w:space="0" w:color="auto"/>
        <w:bottom w:val="none" w:sz="0" w:space="0" w:color="auto"/>
        <w:right w:val="none" w:sz="0" w:space="0" w:color="auto"/>
      </w:divBdr>
      <w:divsChild>
        <w:div w:id="122505111">
          <w:marLeft w:val="0"/>
          <w:marRight w:val="0"/>
          <w:marTop w:val="0"/>
          <w:marBottom w:val="0"/>
          <w:divBdr>
            <w:top w:val="none" w:sz="0" w:space="0" w:color="auto"/>
            <w:left w:val="none" w:sz="0" w:space="0" w:color="auto"/>
            <w:bottom w:val="none" w:sz="0" w:space="0" w:color="auto"/>
            <w:right w:val="none" w:sz="0" w:space="0" w:color="auto"/>
          </w:divBdr>
          <w:divsChild>
            <w:div w:id="1451900515">
              <w:marLeft w:val="0"/>
              <w:marRight w:val="0"/>
              <w:marTop w:val="0"/>
              <w:marBottom w:val="0"/>
              <w:divBdr>
                <w:top w:val="none" w:sz="0" w:space="0" w:color="auto"/>
                <w:left w:val="none" w:sz="0" w:space="0" w:color="auto"/>
                <w:bottom w:val="none" w:sz="0" w:space="0" w:color="auto"/>
                <w:right w:val="none" w:sz="0" w:space="0" w:color="auto"/>
              </w:divBdr>
              <w:divsChild>
                <w:div w:id="128255539">
                  <w:marLeft w:val="0"/>
                  <w:marRight w:val="0"/>
                  <w:marTop w:val="0"/>
                  <w:marBottom w:val="0"/>
                  <w:divBdr>
                    <w:top w:val="none" w:sz="0" w:space="0" w:color="auto"/>
                    <w:left w:val="none" w:sz="0" w:space="0" w:color="auto"/>
                    <w:bottom w:val="none" w:sz="0" w:space="0" w:color="auto"/>
                    <w:right w:val="none" w:sz="0" w:space="0" w:color="auto"/>
                  </w:divBdr>
                  <w:divsChild>
                    <w:div w:id="9139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9505">
      <w:bodyDiv w:val="1"/>
      <w:marLeft w:val="0"/>
      <w:marRight w:val="0"/>
      <w:marTop w:val="0"/>
      <w:marBottom w:val="0"/>
      <w:divBdr>
        <w:top w:val="none" w:sz="0" w:space="0" w:color="auto"/>
        <w:left w:val="none" w:sz="0" w:space="0" w:color="auto"/>
        <w:bottom w:val="none" w:sz="0" w:space="0" w:color="auto"/>
        <w:right w:val="none" w:sz="0" w:space="0" w:color="auto"/>
      </w:divBdr>
      <w:divsChild>
        <w:div w:id="541789862">
          <w:marLeft w:val="0"/>
          <w:marRight w:val="0"/>
          <w:marTop w:val="0"/>
          <w:marBottom w:val="0"/>
          <w:divBdr>
            <w:top w:val="none" w:sz="0" w:space="0" w:color="auto"/>
            <w:left w:val="none" w:sz="0" w:space="0" w:color="auto"/>
            <w:bottom w:val="none" w:sz="0" w:space="0" w:color="auto"/>
            <w:right w:val="none" w:sz="0" w:space="0" w:color="auto"/>
          </w:divBdr>
          <w:divsChild>
            <w:div w:id="1563828744">
              <w:marLeft w:val="0"/>
              <w:marRight w:val="0"/>
              <w:marTop w:val="0"/>
              <w:marBottom w:val="0"/>
              <w:divBdr>
                <w:top w:val="none" w:sz="0" w:space="0" w:color="auto"/>
                <w:left w:val="none" w:sz="0" w:space="0" w:color="auto"/>
                <w:bottom w:val="none" w:sz="0" w:space="0" w:color="auto"/>
                <w:right w:val="none" w:sz="0" w:space="0" w:color="auto"/>
              </w:divBdr>
              <w:divsChild>
                <w:div w:id="4347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1268">
      <w:bodyDiv w:val="1"/>
      <w:marLeft w:val="0"/>
      <w:marRight w:val="0"/>
      <w:marTop w:val="0"/>
      <w:marBottom w:val="0"/>
      <w:divBdr>
        <w:top w:val="none" w:sz="0" w:space="0" w:color="auto"/>
        <w:left w:val="none" w:sz="0" w:space="0" w:color="auto"/>
        <w:bottom w:val="none" w:sz="0" w:space="0" w:color="auto"/>
        <w:right w:val="none" w:sz="0" w:space="0" w:color="auto"/>
      </w:divBdr>
      <w:divsChild>
        <w:div w:id="438986559">
          <w:marLeft w:val="0"/>
          <w:marRight w:val="0"/>
          <w:marTop w:val="0"/>
          <w:marBottom w:val="0"/>
          <w:divBdr>
            <w:top w:val="none" w:sz="0" w:space="0" w:color="auto"/>
            <w:left w:val="none" w:sz="0" w:space="0" w:color="auto"/>
            <w:bottom w:val="none" w:sz="0" w:space="0" w:color="auto"/>
            <w:right w:val="none" w:sz="0" w:space="0" w:color="auto"/>
          </w:divBdr>
          <w:divsChild>
            <w:div w:id="586115857">
              <w:marLeft w:val="0"/>
              <w:marRight w:val="0"/>
              <w:marTop w:val="0"/>
              <w:marBottom w:val="0"/>
              <w:divBdr>
                <w:top w:val="none" w:sz="0" w:space="0" w:color="auto"/>
                <w:left w:val="none" w:sz="0" w:space="0" w:color="auto"/>
                <w:bottom w:val="none" w:sz="0" w:space="0" w:color="auto"/>
                <w:right w:val="none" w:sz="0" w:space="0" w:color="auto"/>
              </w:divBdr>
              <w:divsChild>
                <w:div w:id="17242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4588">
      <w:bodyDiv w:val="1"/>
      <w:marLeft w:val="0"/>
      <w:marRight w:val="0"/>
      <w:marTop w:val="0"/>
      <w:marBottom w:val="0"/>
      <w:divBdr>
        <w:top w:val="none" w:sz="0" w:space="0" w:color="auto"/>
        <w:left w:val="none" w:sz="0" w:space="0" w:color="auto"/>
        <w:bottom w:val="none" w:sz="0" w:space="0" w:color="auto"/>
        <w:right w:val="none" w:sz="0" w:space="0" w:color="auto"/>
      </w:divBdr>
    </w:div>
    <w:div w:id="194271308">
      <w:bodyDiv w:val="1"/>
      <w:marLeft w:val="0"/>
      <w:marRight w:val="0"/>
      <w:marTop w:val="0"/>
      <w:marBottom w:val="0"/>
      <w:divBdr>
        <w:top w:val="none" w:sz="0" w:space="0" w:color="auto"/>
        <w:left w:val="none" w:sz="0" w:space="0" w:color="auto"/>
        <w:bottom w:val="none" w:sz="0" w:space="0" w:color="auto"/>
        <w:right w:val="none" w:sz="0" w:space="0" w:color="auto"/>
      </w:divBdr>
      <w:divsChild>
        <w:div w:id="1203322251">
          <w:marLeft w:val="0"/>
          <w:marRight w:val="0"/>
          <w:marTop w:val="0"/>
          <w:marBottom w:val="0"/>
          <w:divBdr>
            <w:top w:val="none" w:sz="0" w:space="0" w:color="auto"/>
            <w:left w:val="none" w:sz="0" w:space="0" w:color="auto"/>
            <w:bottom w:val="none" w:sz="0" w:space="0" w:color="auto"/>
            <w:right w:val="none" w:sz="0" w:space="0" w:color="auto"/>
          </w:divBdr>
          <w:divsChild>
            <w:div w:id="1713653426">
              <w:marLeft w:val="0"/>
              <w:marRight w:val="0"/>
              <w:marTop w:val="0"/>
              <w:marBottom w:val="0"/>
              <w:divBdr>
                <w:top w:val="none" w:sz="0" w:space="0" w:color="auto"/>
                <w:left w:val="none" w:sz="0" w:space="0" w:color="auto"/>
                <w:bottom w:val="none" w:sz="0" w:space="0" w:color="auto"/>
                <w:right w:val="none" w:sz="0" w:space="0" w:color="auto"/>
              </w:divBdr>
              <w:divsChild>
                <w:div w:id="836772265">
                  <w:marLeft w:val="0"/>
                  <w:marRight w:val="0"/>
                  <w:marTop w:val="0"/>
                  <w:marBottom w:val="0"/>
                  <w:divBdr>
                    <w:top w:val="none" w:sz="0" w:space="0" w:color="auto"/>
                    <w:left w:val="none" w:sz="0" w:space="0" w:color="auto"/>
                    <w:bottom w:val="none" w:sz="0" w:space="0" w:color="auto"/>
                    <w:right w:val="none" w:sz="0" w:space="0" w:color="auto"/>
                  </w:divBdr>
                  <w:divsChild>
                    <w:div w:id="4333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1100">
      <w:bodyDiv w:val="1"/>
      <w:marLeft w:val="0"/>
      <w:marRight w:val="0"/>
      <w:marTop w:val="0"/>
      <w:marBottom w:val="0"/>
      <w:divBdr>
        <w:top w:val="none" w:sz="0" w:space="0" w:color="auto"/>
        <w:left w:val="none" w:sz="0" w:space="0" w:color="auto"/>
        <w:bottom w:val="none" w:sz="0" w:space="0" w:color="auto"/>
        <w:right w:val="none" w:sz="0" w:space="0" w:color="auto"/>
      </w:divBdr>
      <w:divsChild>
        <w:div w:id="555433108">
          <w:marLeft w:val="0"/>
          <w:marRight w:val="0"/>
          <w:marTop w:val="0"/>
          <w:marBottom w:val="0"/>
          <w:divBdr>
            <w:top w:val="none" w:sz="0" w:space="0" w:color="auto"/>
            <w:left w:val="none" w:sz="0" w:space="0" w:color="auto"/>
            <w:bottom w:val="none" w:sz="0" w:space="0" w:color="auto"/>
            <w:right w:val="none" w:sz="0" w:space="0" w:color="auto"/>
          </w:divBdr>
          <w:divsChild>
            <w:div w:id="193929072">
              <w:marLeft w:val="0"/>
              <w:marRight w:val="0"/>
              <w:marTop w:val="0"/>
              <w:marBottom w:val="0"/>
              <w:divBdr>
                <w:top w:val="none" w:sz="0" w:space="0" w:color="auto"/>
                <w:left w:val="none" w:sz="0" w:space="0" w:color="auto"/>
                <w:bottom w:val="none" w:sz="0" w:space="0" w:color="auto"/>
                <w:right w:val="none" w:sz="0" w:space="0" w:color="auto"/>
              </w:divBdr>
              <w:divsChild>
                <w:div w:id="92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0394">
      <w:bodyDiv w:val="1"/>
      <w:marLeft w:val="0"/>
      <w:marRight w:val="0"/>
      <w:marTop w:val="0"/>
      <w:marBottom w:val="0"/>
      <w:divBdr>
        <w:top w:val="none" w:sz="0" w:space="0" w:color="auto"/>
        <w:left w:val="none" w:sz="0" w:space="0" w:color="auto"/>
        <w:bottom w:val="none" w:sz="0" w:space="0" w:color="auto"/>
        <w:right w:val="none" w:sz="0" w:space="0" w:color="auto"/>
      </w:divBdr>
      <w:divsChild>
        <w:div w:id="119108520">
          <w:marLeft w:val="0"/>
          <w:marRight w:val="0"/>
          <w:marTop w:val="0"/>
          <w:marBottom w:val="0"/>
          <w:divBdr>
            <w:top w:val="none" w:sz="0" w:space="0" w:color="auto"/>
            <w:left w:val="none" w:sz="0" w:space="0" w:color="auto"/>
            <w:bottom w:val="none" w:sz="0" w:space="0" w:color="auto"/>
            <w:right w:val="none" w:sz="0" w:space="0" w:color="auto"/>
          </w:divBdr>
          <w:divsChild>
            <w:div w:id="85005070">
              <w:marLeft w:val="0"/>
              <w:marRight w:val="0"/>
              <w:marTop w:val="0"/>
              <w:marBottom w:val="0"/>
              <w:divBdr>
                <w:top w:val="none" w:sz="0" w:space="0" w:color="auto"/>
                <w:left w:val="none" w:sz="0" w:space="0" w:color="auto"/>
                <w:bottom w:val="none" w:sz="0" w:space="0" w:color="auto"/>
                <w:right w:val="none" w:sz="0" w:space="0" w:color="auto"/>
              </w:divBdr>
              <w:divsChild>
                <w:div w:id="1950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7402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83">
          <w:marLeft w:val="0"/>
          <w:marRight w:val="0"/>
          <w:marTop w:val="0"/>
          <w:marBottom w:val="0"/>
          <w:divBdr>
            <w:top w:val="none" w:sz="0" w:space="0" w:color="auto"/>
            <w:left w:val="none" w:sz="0" w:space="0" w:color="auto"/>
            <w:bottom w:val="none" w:sz="0" w:space="0" w:color="auto"/>
            <w:right w:val="none" w:sz="0" w:space="0" w:color="auto"/>
          </w:divBdr>
          <w:divsChild>
            <w:div w:id="1400009269">
              <w:marLeft w:val="0"/>
              <w:marRight w:val="0"/>
              <w:marTop w:val="0"/>
              <w:marBottom w:val="0"/>
              <w:divBdr>
                <w:top w:val="none" w:sz="0" w:space="0" w:color="auto"/>
                <w:left w:val="none" w:sz="0" w:space="0" w:color="auto"/>
                <w:bottom w:val="none" w:sz="0" w:space="0" w:color="auto"/>
                <w:right w:val="none" w:sz="0" w:space="0" w:color="auto"/>
              </w:divBdr>
              <w:divsChild>
                <w:div w:id="798299683">
                  <w:marLeft w:val="0"/>
                  <w:marRight w:val="0"/>
                  <w:marTop w:val="0"/>
                  <w:marBottom w:val="0"/>
                  <w:divBdr>
                    <w:top w:val="none" w:sz="0" w:space="0" w:color="auto"/>
                    <w:left w:val="none" w:sz="0" w:space="0" w:color="auto"/>
                    <w:bottom w:val="none" w:sz="0" w:space="0" w:color="auto"/>
                    <w:right w:val="none" w:sz="0" w:space="0" w:color="auto"/>
                  </w:divBdr>
                  <w:divsChild>
                    <w:div w:id="152573708">
                      <w:marLeft w:val="0"/>
                      <w:marRight w:val="0"/>
                      <w:marTop w:val="0"/>
                      <w:marBottom w:val="0"/>
                      <w:divBdr>
                        <w:top w:val="none" w:sz="0" w:space="0" w:color="auto"/>
                        <w:left w:val="none" w:sz="0" w:space="0" w:color="auto"/>
                        <w:bottom w:val="none" w:sz="0" w:space="0" w:color="auto"/>
                        <w:right w:val="none" w:sz="0" w:space="0" w:color="auto"/>
                      </w:divBdr>
                      <w:divsChild>
                        <w:div w:id="1884057718">
                          <w:marLeft w:val="0"/>
                          <w:marRight w:val="0"/>
                          <w:marTop w:val="0"/>
                          <w:marBottom w:val="0"/>
                          <w:divBdr>
                            <w:top w:val="none" w:sz="0" w:space="0" w:color="auto"/>
                            <w:left w:val="none" w:sz="0" w:space="0" w:color="auto"/>
                            <w:bottom w:val="none" w:sz="0" w:space="0" w:color="auto"/>
                            <w:right w:val="none" w:sz="0" w:space="0" w:color="auto"/>
                          </w:divBdr>
                          <w:divsChild>
                            <w:div w:id="160700384">
                              <w:marLeft w:val="0"/>
                              <w:marRight w:val="0"/>
                              <w:marTop w:val="0"/>
                              <w:marBottom w:val="0"/>
                              <w:divBdr>
                                <w:top w:val="none" w:sz="0" w:space="0" w:color="auto"/>
                                <w:left w:val="none" w:sz="0" w:space="0" w:color="auto"/>
                                <w:bottom w:val="none" w:sz="0" w:space="0" w:color="auto"/>
                                <w:right w:val="none" w:sz="0" w:space="0" w:color="auto"/>
                              </w:divBdr>
                              <w:divsChild>
                                <w:div w:id="1674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913947">
      <w:bodyDiv w:val="1"/>
      <w:marLeft w:val="0"/>
      <w:marRight w:val="0"/>
      <w:marTop w:val="0"/>
      <w:marBottom w:val="0"/>
      <w:divBdr>
        <w:top w:val="none" w:sz="0" w:space="0" w:color="auto"/>
        <w:left w:val="none" w:sz="0" w:space="0" w:color="auto"/>
        <w:bottom w:val="none" w:sz="0" w:space="0" w:color="auto"/>
        <w:right w:val="none" w:sz="0" w:space="0" w:color="auto"/>
      </w:divBdr>
      <w:divsChild>
        <w:div w:id="98448241">
          <w:marLeft w:val="0"/>
          <w:marRight w:val="0"/>
          <w:marTop w:val="0"/>
          <w:marBottom w:val="0"/>
          <w:divBdr>
            <w:top w:val="none" w:sz="0" w:space="0" w:color="auto"/>
            <w:left w:val="none" w:sz="0" w:space="0" w:color="auto"/>
            <w:bottom w:val="none" w:sz="0" w:space="0" w:color="auto"/>
            <w:right w:val="none" w:sz="0" w:space="0" w:color="auto"/>
          </w:divBdr>
          <w:divsChild>
            <w:div w:id="1768308530">
              <w:marLeft w:val="0"/>
              <w:marRight w:val="0"/>
              <w:marTop w:val="0"/>
              <w:marBottom w:val="0"/>
              <w:divBdr>
                <w:top w:val="none" w:sz="0" w:space="0" w:color="auto"/>
                <w:left w:val="none" w:sz="0" w:space="0" w:color="auto"/>
                <w:bottom w:val="none" w:sz="0" w:space="0" w:color="auto"/>
                <w:right w:val="none" w:sz="0" w:space="0" w:color="auto"/>
              </w:divBdr>
              <w:divsChild>
                <w:div w:id="995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5902">
      <w:bodyDiv w:val="1"/>
      <w:marLeft w:val="0"/>
      <w:marRight w:val="0"/>
      <w:marTop w:val="0"/>
      <w:marBottom w:val="0"/>
      <w:divBdr>
        <w:top w:val="none" w:sz="0" w:space="0" w:color="auto"/>
        <w:left w:val="none" w:sz="0" w:space="0" w:color="auto"/>
        <w:bottom w:val="none" w:sz="0" w:space="0" w:color="auto"/>
        <w:right w:val="none" w:sz="0" w:space="0" w:color="auto"/>
      </w:divBdr>
      <w:divsChild>
        <w:div w:id="1917277721">
          <w:marLeft w:val="0"/>
          <w:marRight w:val="0"/>
          <w:marTop w:val="0"/>
          <w:marBottom w:val="0"/>
          <w:divBdr>
            <w:top w:val="none" w:sz="0" w:space="0" w:color="auto"/>
            <w:left w:val="none" w:sz="0" w:space="0" w:color="auto"/>
            <w:bottom w:val="none" w:sz="0" w:space="0" w:color="auto"/>
            <w:right w:val="none" w:sz="0" w:space="0" w:color="auto"/>
          </w:divBdr>
          <w:divsChild>
            <w:div w:id="2144225611">
              <w:marLeft w:val="0"/>
              <w:marRight w:val="0"/>
              <w:marTop w:val="0"/>
              <w:marBottom w:val="0"/>
              <w:divBdr>
                <w:top w:val="none" w:sz="0" w:space="0" w:color="auto"/>
                <w:left w:val="none" w:sz="0" w:space="0" w:color="auto"/>
                <w:bottom w:val="none" w:sz="0" w:space="0" w:color="auto"/>
                <w:right w:val="none" w:sz="0" w:space="0" w:color="auto"/>
              </w:divBdr>
              <w:divsChild>
                <w:div w:id="1598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5968">
      <w:bodyDiv w:val="1"/>
      <w:marLeft w:val="0"/>
      <w:marRight w:val="0"/>
      <w:marTop w:val="0"/>
      <w:marBottom w:val="0"/>
      <w:divBdr>
        <w:top w:val="none" w:sz="0" w:space="0" w:color="auto"/>
        <w:left w:val="none" w:sz="0" w:space="0" w:color="auto"/>
        <w:bottom w:val="none" w:sz="0" w:space="0" w:color="auto"/>
        <w:right w:val="none" w:sz="0" w:space="0" w:color="auto"/>
      </w:divBdr>
      <w:divsChild>
        <w:div w:id="832643165">
          <w:marLeft w:val="0"/>
          <w:marRight w:val="0"/>
          <w:marTop w:val="0"/>
          <w:marBottom w:val="0"/>
          <w:divBdr>
            <w:top w:val="none" w:sz="0" w:space="0" w:color="auto"/>
            <w:left w:val="none" w:sz="0" w:space="0" w:color="auto"/>
            <w:bottom w:val="none" w:sz="0" w:space="0" w:color="auto"/>
            <w:right w:val="none" w:sz="0" w:space="0" w:color="auto"/>
          </w:divBdr>
          <w:divsChild>
            <w:div w:id="1865826423">
              <w:marLeft w:val="0"/>
              <w:marRight w:val="0"/>
              <w:marTop w:val="0"/>
              <w:marBottom w:val="0"/>
              <w:divBdr>
                <w:top w:val="none" w:sz="0" w:space="0" w:color="auto"/>
                <w:left w:val="none" w:sz="0" w:space="0" w:color="auto"/>
                <w:bottom w:val="none" w:sz="0" w:space="0" w:color="auto"/>
                <w:right w:val="none" w:sz="0" w:space="0" w:color="auto"/>
              </w:divBdr>
              <w:divsChild>
                <w:div w:id="3829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79910">
      <w:bodyDiv w:val="1"/>
      <w:marLeft w:val="0"/>
      <w:marRight w:val="0"/>
      <w:marTop w:val="0"/>
      <w:marBottom w:val="0"/>
      <w:divBdr>
        <w:top w:val="none" w:sz="0" w:space="0" w:color="auto"/>
        <w:left w:val="none" w:sz="0" w:space="0" w:color="auto"/>
        <w:bottom w:val="none" w:sz="0" w:space="0" w:color="auto"/>
        <w:right w:val="none" w:sz="0" w:space="0" w:color="auto"/>
      </w:divBdr>
      <w:divsChild>
        <w:div w:id="969365187">
          <w:marLeft w:val="0"/>
          <w:marRight w:val="0"/>
          <w:marTop w:val="0"/>
          <w:marBottom w:val="0"/>
          <w:divBdr>
            <w:top w:val="none" w:sz="0" w:space="0" w:color="auto"/>
            <w:left w:val="none" w:sz="0" w:space="0" w:color="auto"/>
            <w:bottom w:val="none" w:sz="0" w:space="0" w:color="auto"/>
            <w:right w:val="none" w:sz="0" w:space="0" w:color="auto"/>
          </w:divBdr>
          <w:divsChild>
            <w:div w:id="2130657365">
              <w:marLeft w:val="0"/>
              <w:marRight w:val="0"/>
              <w:marTop w:val="0"/>
              <w:marBottom w:val="0"/>
              <w:divBdr>
                <w:top w:val="none" w:sz="0" w:space="0" w:color="auto"/>
                <w:left w:val="none" w:sz="0" w:space="0" w:color="auto"/>
                <w:bottom w:val="none" w:sz="0" w:space="0" w:color="auto"/>
                <w:right w:val="none" w:sz="0" w:space="0" w:color="auto"/>
              </w:divBdr>
              <w:divsChild>
                <w:div w:id="122773470">
                  <w:marLeft w:val="0"/>
                  <w:marRight w:val="0"/>
                  <w:marTop w:val="0"/>
                  <w:marBottom w:val="0"/>
                  <w:divBdr>
                    <w:top w:val="none" w:sz="0" w:space="0" w:color="auto"/>
                    <w:left w:val="none" w:sz="0" w:space="0" w:color="auto"/>
                    <w:bottom w:val="none" w:sz="0" w:space="0" w:color="auto"/>
                    <w:right w:val="none" w:sz="0" w:space="0" w:color="auto"/>
                  </w:divBdr>
                </w:div>
              </w:divsChild>
            </w:div>
            <w:div w:id="929195614">
              <w:marLeft w:val="0"/>
              <w:marRight w:val="0"/>
              <w:marTop w:val="0"/>
              <w:marBottom w:val="0"/>
              <w:divBdr>
                <w:top w:val="none" w:sz="0" w:space="0" w:color="auto"/>
                <w:left w:val="none" w:sz="0" w:space="0" w:color="auto"/>
                <w:bottom w:val="none" w:sz="0" w:space="0" w:color="auto"/>
                <w:right w:val="none" w:sz="0" w:space="0" w:color="auto"/>
              </w:divBdr>
              <w:divsChild>
                <w:div w:id="352654419">
                  <w:marLeft w:val="0"/>
                  <w:marRight w:val="0"/>
                  <w:marTop w:val="0"/>
                  <w:marBottom w:val="0"/>
                  <w:divBdr>
                    <w:top w:val="none" w:sz="0" w:space="0" w:color="auto"/>
                    <w:left w:val="none" w:sz="0" w:space="0" w:color="auto"/>
                    <w:bottom w:val="none" w:sz="0" w:space="0" w:color="auto"/>
                    <w:right w:val="none" w:sz="0" w:space="0" w:color="auto"/>
                  </w:divBdr>
                </w:div>
              </w:divsChild>
            </w:div>
            <w:div w:id="1704860393">
              <w:marLeft w:val="0"/>
              <w:marRight w:val="0"/>
              <w:marTop w:val="0"/>
              <w:marBottom w:val="0"/>
              <w:divBdr>
                <w:top w:val="none" w:sz="0" w:space="0" w:color="auto"/>
                <w:left w:val="none" w:sz="0" w:space="0" w:color="auto"/>
                <w:bottom w:val="none" w:sz="0" w:space="0" w:color="auto"/>
                <w:right w:val="none" w:sz="0" w:space="0" w:color="auto"/>
              </w:divBdr>
              <w:divsChild>
                <w:div w:id="1066993857">
                  <w:marLeft w:val="0"/>
                  <w:marRight w:val="0"/>
                  <w:marTop w:val="0"/>
                  <w:marBottom w:val="0"/>
                  <w:divBdr>
                    <w:top w:val="none" w:sz="0" w:space="0" w:color="auto"/>
                    <w:left w:val="none" w:sz="0" w:space="0" w:color="auto"/>
                    <w:bottom w:val="none" w:sz="0" w:space="0" w:color="auto"/>
                    <w:right w:val="none" w:sz="0" w:space="0" w:color="auto"/>
                  </w:divBdr>
                </w:div>
              </w:divsChild>
            </w:div>
            <w:div w:id="1624265191">
              <w:marLeft w:val="0"/>
              <w:marRight w:val="0"/>
              <w:marTop w:val="0"/>
              <w:marBottom w:val="0"/>
              <w:divBdr>
                <w:top w:val="none" w:sz="0" w:space="0" w:color="auto"/>
                <w:left w:val="none" w:sz="0" w:space="0" w:color="auto"/>
                <w:bottom w:val="none" w:sz="0" w:space="0" w:color="auto"/>
                <w:right w:val="none" w:sz="0" w:space="0" w:color="auto"/>
              </w:divBdr>
              <w:divsChild>
                <w:div w:id="18086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0197">
      <w:bodyDiv w:val="1"/>
      <w:marLeft w:val="0"/>
      <w:marRight w:val="0"/>
      <w:marTop w:val="0"/>
      <w:marBottom w:val="0"/>
      <w:divBdr>
        <w:top w:val="none" w:sz="0" w:space="0" w:color="auto"/>
        <w:left w:val="none" w:sz="0" w:space="0" w:color="auto"/>
        <w:bottom w:val="none" w:sz="0" w:space="0" w:color="auto"/>
        <w:right w:val="none" w:sz="0" w:space="0" w:color="auto"/>
      </w:divBdr>
    </w:div>
    <w:div w:id="298925157">
      <w:bodyDiv w:val="1"/>
      <w:marLeft w:val="0"/>
      <w:marRight w:val="0"/>
      <w:marTop w:val="0"/>
      <w:marBottom w:val="0"/>
      <w:divBdr>
        <w:top w:val="none" w:sz="0" w:space="0" w:color="auto"/>
        <w:left w:val="none" w:sz="0" w:space="0" w:color="auto"/>
        <w:bottom w:val="none" w:sz="0" w:space="0" w:color="auto"/>
        <w:right w:val="none" w:sz="0" w:space="0" w:color="auto"/>
      </w:divBdr>
      <w:divsChild>
        <w:div w:id="1951425683">
          <w:marLeft w:val="0"/>
          <w:marRight w:val="0"/>
          <w:marTop w:val="0"/>
          <w:marBottom w:val="0"/>
          <w:divBdr>
            <w:top w:val="none" w:sz="0" w:space="0" w:color="auto"/>
            <w:left w:val="none" w:sz="0" w:space="0" w:color="auto"/>
            <w:bottom w:val="none" w:sz="0" w:space="0" w:color="auto"/>
            <w:right w:val="none" w:sz="0" w:space="0" w:color="auto"/>
          </w:divBdr>
          <w:divsChild>
            <w:div w:id="823743704">
              <w:marLeft w:val="0"/>
              <w:marRight w:val="0"/>
              <w:marTop w:val="0"/>
              <w:marBottom w:val="0"/>
              <w:divBdr>
                <w:top w:val="none" w:sz="0" w:space="0" w:color="auto"/>
                <w:left w:val="none" w:sz="0" w:space="0" w:color="auto"/>
                <w:bottom w:val="none" w:sz="0" w:space="0" w:color="auto"/>
                <w:right w:val="none" w:sz="0" w:space="0" w:color="auto"/>
              </w:divBdr>
              <w:divsChild>
                <w:div w:id="18692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98512">
      <w:bodyDiv w:val="1"/>
      <w:marLeft w:val="0"/>
      <w:marRight w:val="0"/>
      <w:marTop w:val="0"/>
      <w:marBottom w:val="0"/>
      <w:divBdr>
        <w:top w:val="none" w:sz="0" w:space="0" w:color="auto"/>
        <w:left w:val="none" w:sz="0" w:space="0" w:color="auto"/>
        <w:bottom w:val="none" w:sz="0" w:space="0" w:color="auto"/>
        <w:right w:val="none" w:sz="0" w:space="0" w:color="auto"/>
      </w:divBdr>
      <w:divsChild>
        <w:div w:id="1659115972">
          <w:marLeft w:val="0"/>
          <w:marRight w:val="0"/>
          <w:marTop w:val="0"/>
          <w:marBottom w:val="0"/>
          <w:divBdr>
            <w:top w:val="none" w:sz="0" w:space="0" w:color="auto"/>
            <w:left w:val="none" w:sz="0" w:space="0" w:color="auto"/>
            <w:bottom w:val="none" w:sz="0" w:space="0" w:color="auto"/>
            <w:right w:val="none" w:sz="0" w:space="0" w:color="auto"/>
          </w:divBdr>
          <w:divsChild>
            <w:div w:id="1487864928">
              <w:marLeft w:val="0"/>
              <w:marRight w:val="0"/>
              <w:marTop w:val="0"/>
              <w:marBottom w:val="0"/>
              <w:divBdr>
                <w:top w:val="none" w:sz="0" w:space="0" w:color="auto"/>
                <w:left w:val="none" w:sz="0" w:space="0" w:color="auto"/>
                <w:bottom w:val="none" w:sz="0" w:space="0" w:color="auto"/>
                <w:right w:val="none" w:sz="0" w:space="0" w:color="auto"/>
              </w:divBdr>
              <w:divsChild>
                <w:div w:id="1810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355473771">
      <w:bodyDiv w:val="1"/>
      <w:marLeft w:val="0"/>
      <w:marRight w:val="0"/>
      <w:marTop w:val="0"/>
      <w:marBottom w:val="0"/>
      <w:divBdr>
        <w:top w:val="none" w:sz="0" w:space="0" w:color="auto"/>
        <w:left w:val="none" w:sz="0" w:space="0" w:color="auto"/>
        <w:bottom w:val="none" w:sz="0" w:space="0" w:color="auto"/>
        <w:right w:val="none" w:sz="0" w:space="0" w:color="auto"/>
      </w:divBdr>
    </w:div>
    <w:div w:id="393091193">
      <w:bodyDiv w:val="1"/>
      <w:marLeft w:val="0"/>
      <w:marRight w:val="0"/>
      <w:marTop w:val="0"/>
      <w:marBottom w:val="0"/>
      <w:divBdr>
        <w:top w:val="none" w:sz="0" w:space="0" w:color="auto"/>
        <w:left w:val="none" w:sz="0" w:space="0" w:color="auto"/>
        <w:bottom w:val="none" w:sz="0" w:space="0" w:color="auto"/>
        <w:right w:val="none" w:sz="0" w:space="0" w:color="auto"/>
      </w:divBdr>
      <w:divsChild>
        <w:div w:id="1649627225">
          <w:marLeft w:val="0"/>
          <w:marRight w:val="0"/>
          <w:marTop w:val="0"/>
          <w:marBottom w:val="0"/>
          <w:divBdr>
            <w:top w:val="none" w:sz="0" w:space="0" w:color="auto"/>
            <w:left w:val="none" w:sz="0" w:space="0" w:color="auto"/>
            <w:bottom w:val="none" w:sz="0" w:space="0" w:color="auto"/>
            <w:right w:val="none" w:sz="0" w:space="0" w:color="auto"/>
          </w:divBdr>
          <w:divsChild>
            <w:div w:id="4017487">
              <w:marLeft w:val="0"/>
              <w:marRight w:val="0"/>
              <w:marTop w:val="0"/>
              <w:marBottom w:val="0"/>
              <w:divBdr>
                <w:top w:val="none" w:sz="0" w:space="0" w:color="auto"/>
                <w:left w:val="none" w:sz="0" w:space="0" w:color="auto"/>
                <w:bottom w:val="none" w:sz="0" w:space="0" w:color="auto"/>
                <w:right w:val="none" w:sz="0" w:space="0" w:color="auto"/>
              </w:divBdr>
              <w:divsChild>
                <w:div w:id="1291277351">
                  <w:marLeft w:val="0"/>
                  <w:marRight w:val="0"/>
                  <w:marTop w:val="0"/>
                  <w:marBottom w:val="0"/>
                  <w:divBdr>
                    <w:top w:val="none" w:sz="0" w:space="0" w:color="auto"/>
                    <w:left w:val="none" w:sz="0" w:space="0" w:color="auto"/>
                    <w:bottom w:val="none" w:sz="0" w:space="0" w:color="auto"/>
                    <w:right w:val="none" w:sz="0" w:space="0" w:color="auto"/>
                  </w:divBdr>
                  <w:divsChild>
                    <w:div w:id="782266758">
                      <w:marLeft w:val="0"/>
                      <w:marRight w:val="0"/>
                      <w:marTop w:val="0"/>
                      <w:marBottom w:val="0"/>
                      <w:divBdr>
                        <w:top w:val="none" w:sz="0" w:space="0" w:color="auto"/>
                        <w:left w:val="none" w:sz="0" w:space="0" w:color="auto"/>
                        <w:bottom w:val="none" w:sz="0" w:space="0" w:color="auto"/>
                        <w:right w:val="none" w:sz="0" w:space="0" w:color="auto"/>
                      </w:divBdr>
                      <w:divsChild>
                        <w:div w:id="1929073658">
                          <w:marLeft w:val="0"/>
                          <w:marRight w:val="0"/>
                          <w:marTop w:val="0"/>
                          <w:marBottom w:val="0"/>
                          <w:divBdr>
                            <w:top w:val="none" w:sz="0" w:space="0" w:color="auto"/>
                            <w:left w:val="none" w:sz="0" w:space="0" w:color="auto"/>
                            <w:bottom w:val="none" w:sz="0" w:space="0" w:color="auto"/>
                            <w:right w:val="none" w:sz="0" w:space="0" w:color="auto"/>
                          </w:divBdr>
                          <w:divsChild>
                            <w:div w:id="1106317059">
                              <w:marLeft w:val="0"/>
                              <w:marRight w:val="0"/>
                              <w:marTop w:val="0"/>
                              <w:marBottom w:val="0"/>
                              <w:divBdr>
                                <w:top w:val="none" w:sz="0" w:space="0" w:color="auto"/>
                                <w:left w:val="none" w:sz="0" w:space="0" w:color="auto"/>
                                <w:bottom w:val="none" w:sz="0" w:space="0" w:color="auto"/>
                                <w:right w:val="none" w:sz="0" w:space="0" w:color="auto"/>
                              </w:divBdr>
                              <w:divsChild>
                                <w:div w:id="685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305015">
      <w:bodyDiv w:val="1"/>
      <w:marLeft w:val="0"/>
      <w:marRight w:val="0"/>
      <w:marTop w:val="0"/>
      <w:marBottom w:val="0"/>
      <w:divBdr>
        <w:top w:val="none" w:sz="0" w:space="0" w:color="auto"/>
        <w:left w:val="none" w:sz="0" w:space="0" w:color="auto"/>
        <w:bottom w:val="none" w:sz="0" w:space="0" w:color="auto"/>
        <w:right w:val="none" w:sz="0" w:space="0" w:color="auto"/>
      </w:divBdr>
      <w:divsChild>
        <w:div w:id="617612796">
          <w:marLeft w:val="0"/>
          <w:marRight w:val="0"/>
          <w:marTop w:val="0"/>
          <w:marBottom w:val="0"/>
          <w:divBdr>
            <w:top w:val="none" w:sz="0" w:space="0" w:color="auto"/>
            <w:left w:val="none" w:sz="0" w:space="0" w:color="auto"/>
            <w:bottom w:val="none" w:sz="0" w:space="0" w:color="auto"/>
            <w:right w:val="none" w:sz="0" w:space="0" w:color="auto"/>
          </w:divBdr>
          <w:divsChild>
            <w:div w:id="1703901750">
              <w:marLeft w:val="0"/>
              <w:marRight w:val="0"/>
              <w:marTop w:val="0"/>
              <w:marBottom w:val="0"/>
              <w:divBdr>
                <w:top w:val="none" w:sz="0" w:space="0" w:color="auto"/>
                <w:left w:val="none" w:sz="0" w:space="0" w:color="auto"/>
                <w:bottom w:val="none" w:sz="0" w:space="0" w:color="auto"/>
                <w:right w:val="none" w:sz="0" w:space="0" w:color="auto"/>
              </w:divBdr>
              <w:divsChild>
                <w:div w:id="9763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7314">
      <w:bodyDiv w:val="1"/>
      <w:marLeft w:val="0"/>
      <w:marRight w:val="0"/>
      <w:marTop w:val="0"/>
      <w:marBottom w:val="0"/>
      <w:divBdr>
        <w:top w:val="none" w:sz="0" w:space="0" w:color="auto"/>
        <w:left w:val="none" w:sz="0" w:space="0" w:color="auto"/>
        <w:bottom w:val="none" w:sz="0" w:space="0" w:color="auto"/>
        <w:right w:val="none" w:sz="0" w:space="0" w:color="auto"/>
      </w:divBdr>
      <w:divsChild>
        <w:div w:id="1289897646">
          <w:marLeft w:val="0"/>
          <w:marRight w:val="0"/>
          <w:marTop w:val="0"/>
          <w:marBottom w:val="0"/>
          <w:divBdr>
            <w:top w:val="none" w:sz="0" w:space="0" w:color="auto"/>
            <w:left w:val="none" w:sz="0" w:space="0" w:color="auto"/>
            <w:bottom w:val="none" w:sz="0" w:space="0" w:color="auto"/>
            <w:right w:val="none" w:sz="0" w:space="0" w:color="auto"/>
          </w:divBdr>
          <w:divsChild>
            <w:div w:id="1049845048">
              <w:marLeft w:val="0"/>
              <w:marRight w:val="0"/>
              <w:marTop w:val="0"/>
              <w:marBottom w:val="0"/>
              <w:divBdr>
                <w:top w:val="none" w:sz="0" w:space="0" w:color="auto"/>
                <w:left w:val="none" w:sz="0" w:space="0" w:color="auto"/>
                <w:bottom w:val="none" w:sz="0" w:space="0" w:color="auto"/>
                <w:right w:val="none" w:sz="0" w:space="0" w:color="auto"/>
              </w:divBdr>
              <w:divsChild>
                <w:div w:id="295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479271033">
      <w:bodyDiv w:val="1"/>
      <w:marLeft w:val="0"/>
      <w:marRight w:val="0"/>
      <w:marTop w:val="0"/>
      <w:marBottom w:val="0"/>
      <w:divBdr>
        <w:top w:val="none" w:sz="0" w:space="0" w:color="auto"/>
        <w:left w:val="none" w:sz="0" w:space="0" w:color="auto"/>
        <w:bottom w:val="none" w:sz="0" w:space="0" w:color="auto"/>
        <w:right w:val="none" w:sz="0" w:space="0" w:color="auto"/>
      </w:divBdr>
      <w:divsChild>
        <w:div w:id="2111470321">
          <w:marLeft w:val="0"/>
          <w:marRight w:val="0"/>
          <w:marTop w:val="0"/>
          <w:marBottom w:val="0"/>
          <w:divBdr>
            <w:top w:val="none" w:sz="0" w:space="0" w:color="auto"/>
            <w:left w:val="none" w:sz="0" w:space="0" w:color="auto"/>
            <w:bottom w:val="none" w:sz="0" w:space="0" w:color="auto"/>
            <w:right w:val="none" w:sz="0" w:space="0" w:color="auto"/>
          </w:divBdr>
          <w:divsChild>
            <w:div w:id="318851724">
              <w:marLeft w:val="0"/>
              <w:marRight w:val="0"/>
              <w:marTop w:val="0"/>
              <w:marBottom w:val="0"/>
              <w:divBdr>
                <w:top w:val="none" w:sz="0" w:space="0" w:color="auto"/>
                <w:left w:val="none" w:sz="0" w:space="0" w:color="auto"/>
                <w:bottom w:val="none" w:sz="0" w:space="0" w:color="auto"/>
                <w:right w:val="none" w:sz="0" w:space="0" w:color="auto"/>
              </w:divBdr>
              <w:divsChild>
                <w:div w:id="7885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865">
      <w:bodyDiv w:val="1"/>
      <w:marLeft w:val="0"/>
      <w:marRight w:val="0"/>
      <w:marTop w:val="0"/>
      <w:marBottom w:val="0"/>
      <w:divBdr>
        <w:top w:val="none" w:sz="0" w:space="0" w:color="auto"/>
        <w:left w:val="none" w:sz="0" w:space="0" w:color="auto"/>
        <w:bottom w:val="none" w:sz="0" w:space="0" w:color="auto"/>
        <w:right w:val="none" w:sz="0" w:space="0" w:color="auto"/>
      </w:divBdr>
      <w:divsChild>
        <w:div w:id="1739404252">
          <w:marLeft w:val="0"/>
          <w:marRight w:val="0"/>
          <w:marTop w:val="0"/>
          <w:marBottom w:val="0"/>
          <w:divBdr>
            <w:top w:val="none" w:sz="0" w:space="0" w:color="auto"/>
            <w:left w:val="none" w:sz="0" w:space="0" w:color="auto"/>
            <w:bottom w:val="none" w:sz="0" w:space="0" w:color="auto"/>
            <w:right w:val="none" w:sz="0" w:space="0" w:color="auto"/>
          </w:divBdr>
          <w:divsChild>
            <w:div w:id="172691340">
              <w:marLeft w:val="0"/>
              <w:marRight w:val="0"/>
              <w:marTop w:val="0"/>
              <w:marBottom w:val="0"/>
              <w:divBdr>
                <w:top w:val="none" w:sz="0" w:space="0" w:color="auto"/>
                <w:left w:val="none" w:sz="0" w:space="0" w:color="auto"/>
                <w:bottom w:val="none" w:sz="0" w:space="0" w:color="auto"/>
                <w:right w:val="none" w:sz="0" w:space="0" w:color="auto"/>
              </w:divBdr>
              <w:divsChild>
                <w:div w:id="18720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79538">
      <w:bodyDiv w:val="1"/>
      <w:marLeft w:val="0"/>
      <w:marRight w:val="0"/>
      <w:marTop w:val="0"/>
      <w:marBottom w:val="0"/>
      <w:divBdr>
        <w:top w:val="none" w:sz="0" w:space="0" w:color="auto"/>
        <w:left w:val="none" w:sz="0" w:space="0" w:color="auto"/>
        <w:bottom w:val="none" w:sz="0" w:space="0" w:color="auto"/>
        <w:right w:val="none" w:sz="0" w:space="0" w:color="auto"/>
      </w:divBdr>
      <w:divsChild>
        <w:div w:id="1795513171">
          <w:marLeft w:val="0"/>
          <w:marRight w:val="0"/>
          <w:marTop w:val="0"/>
          <w:marBottom w:val="0"/>
          <w:divBdr>
            <w:top w:val="none" w:sz="0" w:space="0" w:color="auto"/>
            <w:left w:val="none" w:sz="0" w:space="0" w:color="auto"/>
            <w:bottom w:val="none" w:sz="0" w:space="0" w:color="auto"/>
            <w:right w:val="none" w:sz="0" w:space="0" w:color="auto"/>
          </w:divBdr>
        </w:div>
      </w:divsChild>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77833381">
      <w:bodyDiv w:val="1"/>
      <w:marLeft w:val="0"/>
      <w:marRight w:val="0"/>
      <w:marTop w:val="0"/>
      <w:marBottom w:val="0"/>
      <w:divBdr>
        <w:top w:val="none" w:sz="0" w:space="0" w:color="auto"/>
        <w:left w:val="none" w:sz="0" w:space="0" w:color="auto"/>
        <w:bottom w:val="none" w:sz="0" w:space="0" w:color="auto"/>
        <w:right w:val="none" w:sz="0" w:space="0" w:color="auto"/>
      </w:divBdr>
      <w:divsChild>
        <w:div w:id="372191727">
          <w:marLeft w:val="0"/>
          <w:marRight w:val="0"/>
          <w:marTop w:val="0"/>
          <w:marBottom w:val="0"/>
          <w:divBdr>
            <w:top w:val="none" w:sz="0" w:space="0" w:color="auto"/>
            <w:left w:val="none" w:sz="0" w:space="0" w:color="auto"/>
            <w:bottom w:val="none" w:sz="0" w:space="0" w:color="auto"/>
            <w:right w:val="none" w:sz="0" w:space="0" w:color="auto"/>
          </w:divBdr>
          <w:divsChild>
            <w:div w:id="804663507">
              <w:marLeft w:val="0"/>
              <w:marRight w:val="0"/>
              <w:marTop w:val="0"/>
              <w:marBottom w:val="0"/>
              <w:divBdr>
                <w:top w:val="none" w:sz="0" w:space="0" w:color="auto"/>
                <w:left w:val="none" w:sz="0" w:space="0" w:color="auto"/>
                <w:bottom w:val="none" w:sz="0" w:space="0" w:color="auto"/>
                <w:right w:val="none" w:sz="0" w:space="0" w:color="auto"/>
              </w:divBdr>
              <w:divsChild>
                <w:div w:id="128594101">
                  <w:marLeft w:val="0"/>
                  <w:marRight w:val="0"/>
                  <w:marTop w:val="0"/>
                  <w:marBottom w:val="0"/>
                  <w:divBdr>
                    <w:top w:val="none" w:sz="0" w:space="0" w:color="auto"/>
                    <w:left w:val="none" w:sz="0" w:space="0" w:color="auto"/>
                    <w:bottom w:val="none" w:sz="0" w:space="0" w:color="auto"/>
                    <w:right w:val="none" w:sz="0" w:space="0" w:color="auto"/>
                  </w:divBdr>
                  <w:divsChild>
                    <w:div w:id="1534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634873443">
      <w:bodyDiv w:val="1"/>
      <w:marLeft w:val="0"/>
      <w:marRight w:val="0"/>
      <w:marTop w:val="0"/>
      <w:marBottom w:val="0"/>
      <w:divBdr>
        <w:top w:val="none" w:sz="0" w:space="0" w:color="auto"/>
        <w:left w:val="none" w:sz="0" w:space="0" w:color="auto"/>
        <w:bottom w:val="none" w:sz="0" w:space="0" w:color="auto"/>
        <w:right w:val="none" w:sz="0" w:space="0" w:color="auto"/>
      </w:divBdr>
      <w:divsChild>
        <w:div w:id="1025912436">
          <w:marLeft w:val="0"/>
          <w:marRight w:val="0"/>
          <w:marTop w:val="0"/>
          <w:marBottom w:val="0"/>
          <w:divBdr>
            <w:top w:val="none" w:sz="0" w:space="0" w:color="auto"/>
            <w:left w:val="none" w:sz="0" w:space="0" w:color="auto"/>
            <w:bottom w:val="none" w:sz="0" w:space="0" w:color="auto"/>
            <w:right w:val="none" w:sz="0" w:space="0" w:color="auto"/>
          </w:divBdr>
          <w:divsChild>
            <w:div w:id="1840539910">
              <w:marLeft w:val="0"/>
              <w:marRight w:val="0"/>
              <w:marTop w:val="0"/>
              <w:marBottom w:val="0"/>
              <w:divBdr>
                <w:top w:val="none" w:sz="0" w:space="0" w:color="auto"/>
                <w:left w:val="none" w:sz="0" w:space="0" w:color="auto"/>
                <w:bottom w:val="none" w:sz="0" w:space="0" w:color="auto"/>
                <w:right w:val="none" w:sz="0" w:space="0" w:color="auto"/>
              </w:divBdr>
              <w:divsChild>
                <w:div w:id="5881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01105">
      <w:bodyDiv w:val="1"/>
      <w:marLeft w:val="0"/>
      <w:marRight w:val="0"/>
      <w:marTop w:val="0"/>
      <w:marBottom w:val="0"/>
      <w:divBdr>
        <w:top w:val="none" w:sz="0" w:space="0" w:color="auto"/>
        <w:left w:val="none" w:sz="0" w:space="0" w:color="auto"/>
        <w:bottom w:val="none" w:sz="0" w:space="0" w:color="auto"/>
        <w:right w:val="none" w:sz="0" w:space="0" w:color="auto"/>
      </w:divBdr>
      <w:divsChild>
        <w:div w:id="1317149522">
          <w:marLeft w:val="0"/>
          <w:marRight w:val="0"/>
          <w:marTop w:val="0"/>
          <w:marBottom w:val="0"/>
          <w:divBdr>
            <w:top w:val="none" w:sz="0" w:space="0" w:color="auto"/>
            <w:left w:val="none" w:sz="0" w:space="0" w:color="auto"/>
            <w:bottom w:val="none" w:sz="0" w:space="0" w:color="auto"/>
            <w:right w:val="none" w:sz="0" w:space="0" w:color="auto"/>
          </w:divBdr>
          <w:divsChild>
            <w:div w:id="1283998538">
              <w:marLeft w:val="0"/>
              <w:marRight w:val="0"/>
              <w:marTop w:val="0"/>
              <w:marBottom w:val="0"/>
              <w:divBdr>
                <w:top w:val="none" w:sz="0" w:space="0" w:color="auto"/>
                <w:left w:val="none" w:sz="0" w:space="0" w:color="auto"/>
                <w:bottom w:val="none" w:sz="0" w:space="0" w:color="auto"/>
                <w:right w:val="none" w:sz="0" w:space="0" w:color="auto"/>
              </w:divBdr>
              <w:divsChild>
                <w:div w:id="385228277">
                  <w:marLeft w:val="0"/>
                  <w:marRight w:val="0"/>
                  <w:marTop w:val="0"/>
                  <w:marBottom w:val="0"/>
                  <w:divBdr>
                    <w:top w:val="none" w:sz="0" w:space="0" w:color="auto"/>
                    <w:left w:val="none" w:sz="0" w:space="0" w:color="auto"/>
                    <w:bottom w:val="none" w:sz="0" w:space="0" w:color="auto"/>
                    <w:right w:val="none" w:sz="0" w:space="0" w:color="auto"/>
                  </w:divBdr>
                </w:div>
              </w:divsChild>
            </w:div>
            <w:div w:id="120998390">
              <w:marLeft w:val="0"/>
              <w:marRight w:val="0"/>
              <w:marTop w:val="0"/>
              <w:marBottom w:val="0"/>
              <w:divBdr>
                <w:top w:val="none" w:sz="0" w:space="0" w:color="auto"/>
                <w:left w:val="none" w:sz="0" w:space="0" w:color="auto"/>
                <w:bottom w:val="none" w:sz="0" w:space="0" w:color="auto"/>
                <w:right w:val="none" w:sz="0" w:space="0" w:color="auto"/>
              </w:divBdr>
              <w:divsChild>
                <w:div w:id="237251407">
                  <w:marLeft w:val="0"/>
                  <w:marRight w:val="0"/>
                  <w:marTop w:val="0"/>
                  <w:marBottom w:val="0"/>
                  <w:divBdr>
                    <w:top w:val="none" w:sz="0" w:space="0" w:color="auto"/>
                    <w:left w:val="none" w:sz="0" w:space="0" w:color="auto"/>
                    <w:bottom w:val="none" w:sz="0" w:space="0" w:color="auto"/>
                    <w:right w:val="none" w:sz="0" w:space="0" w:color="auto"/>
                  </w:divBdr>
                  <w:divsChild>
                    <w:div w:id="4307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0506">
              <w:marLeft w:val="0"/>
              <w:marRight w:val="0"/>
              <w:marTop w:val="0"/>
              <w:marBottom w:val="0"/>
              <w:divBdr>
                <w:top w:val="none" w:sz="0" w:space="0" w:color="auto"/>
                <w:left w:val="none" w:sz="0" w:space="0" w:color="auto"/>
                <w:bottom w:val="none" w:sz="0" w:space="0" w:color="auto"/>
                <w:right w:val="none" w:sz="0" w:space="0" w:color="auto"/>
              </w:divBdr>
              <w:divsChild>
                <w:div w:id="19048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1685">
      <w:bodyDiv w:val="1"/>
      <w:marLeft w:val="0"/>
      <w:marRight w:val="0"/>
      <w:marTop w:val="0"/>
      <w:marBottom w:val="0"/>
      <w:divBdr>
        <w:top w:val="none" w:sz="0" w:space="0" w:color="auto"/>
        <w:left w:val="none" w:sz="0" w:space="0" w:color="auto"/>
        <w:bottom w:val="none" w:sz="0" w:space="0" w:color="auto"/>
        <w:right w:val="none" w:sz="0" w:space="0" w:color="auto"/>
      </w:divBdr>
      <w:divsChild>
        <w:div w:id="1927112612">
          <w:marLeft w:val="0"/>
          <w:marRight w:val="0"/>
          <w:marTop w:val="0"/>
          <w:marBottom w:val="0"/>
          <w:divBdr>
            <w:top w:val="none" w:sz="0" w:space="0" w:color="auto"/>
            <w:left w:val="none" w:sz="0" w:space="0" w:color="auto"/>
            <w:bottom w:val="none" w:sz="0" w:space="0" w:color="auto"/>
            <w:right w:val="none" w:sz="0" w:space="0" w:color="auto"/>
          </w:divBdr>
          <w:divsChild>
            <w:div w:id="544945138">
              <w:marLeft w:val="0"/>
              <w:marRight w:val="0"/>
              <w:marTop w:val="0"/>
              <w:marBottom w:val="0"/>
              <w:divBdr>
                <w:top w:val="none" w:sz="0" w:space="0" w:color="auto"/>
                <w:left w:val="none" w:sz="0" w:space="0" w:color="auto"/>
                <w:bottom w:val="none" w:sz="0" w:space="0" w:color="auto"/>
                <w:right w:val="none" w:sz="0" w:space="0" w:color="auto"/>
              </w:divBdr>
              <w:divsChild>
                <w:div w:id="15065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16719">
      <w:bodyDiv w:val="1"/>
      <w:marLeft w:val="0"/>
      <w:marRight w:val="0"/>
      <w:marTop w:val="0"/>
      <w:marBottom w:val="0"/>
      <w:divBdr>
        <w:top w:val="none" w:sz="0" w:space="0" w:color="auto"/>
        <w:left w:val="none" w:sz="0" w:space="0" w:color="auto"/>
        <w:bottom w:val="none" w:sz="0" w:space="0" w:color="auto"/>
        <w:right w:val="none" w:sz="0" w:space="0" w:color="auto"/>
      </w:divBdr>
      <w:divsChild>
        <w:div w:id="614407064">
          <w:marLeft w:val="0"/>
          <w:marRight w:val="0"/>
          <w:marTop w:val="0"/>
          <w:marBottom w:val="0"/>
          <w:divBdr>
            <w:top w:val="none" w:sz="0" w:space="0" w:color="auto"/>
            <w:left w:val="none" w:sz="0" w:space="0" w:color="auto"/>
            <w:bottom w:val="none" w:sz="0" w:space="0" w:color="auto"/>
            <w:right w:val="none" w:sz="0" w:space="0" w:color="auto"/>
          </w:divBdr>
          <w:divsChild>
            <w:div w:id="1976638166">
              <w:marLeft w:val="0"/>
              <w:marRight w:val="0"/>
              <w:marTop w:val="0"/>
              <w:marBottom w:val="0"/>
              <w:divBdr>
                <w:top w:val="none" w:sz="0" w:space="0" w:color="auto"/>
                <w:left w:val="none" w:sz="0" w:space="0" w:color="auto"/>
                <w:bottom w:val="none" w:sz="0" w:space="0" w:color="auto"/>
                <w:right w:val="none" w:sz="0" w:space="0" w:color="auto"/>
              </w:divBdr>
              <w:divsChild>
                <w:div w:id="1743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4265">
      <w:bodyDiv w:val="1"/>
      <w:marLeft w:val="0"/>
      <w:marRight w:val="0"/>
      <w:marTop w:val="0"/>
      <w:marBottom w:val="0"/>
      <w:divBdr>
        <w:top w:val="none" w:sz="0" w:space="0" w:color="auto"/>
        <w:left w:val="none" w:sz="0" w:space="0" w:color="auto"/>
        <w:bottom w:val="none" w:sz="0" w:space="0" w:color="auto"/>
        <w:right w:val="none" w:sz="0" w:space="0" w:color="auto"/>
      </w:divBdr>
      <w:divsChild>
        <w:div w:id="1747920413">
          <w:marLeft w:val="0"/>
          <w:marRight w:val="0"/>
          <w:marTop w:val="0"/>
          <w:marBottom w:val="0"/>
          <w:divBdr>
            <w:top w:val="none" w:sz="0" w:space="0" w:color="auto"/>
            <w:left w:val="none" w:sz="0" w:space="0" w:color="auto"/>
            <w:bottom w:val="none" w:sz="0" w:space="0" w:color="auto"/>
            <w:right w:val="none" w:sz="0" w:space="0" w:color="auto"/>
          </w:divBdr>
          <w:divsChild>
            <w:div w:id="681051899">
              <w:marLeft w:val="0"/>
              <w:marRight w:val="0"/>
              <w:marTop w:val="0"/>
              <w:marBottom w:val="0"/>
              <w:divBdr>
                <w:top w:val="none" w:sz="0" w:space="0" w:color="auto"/>
                <w:left w:val="none" w:sz="0" w:space="0" w:color="auto"/>
                <w:bottom w:val="none" w:sz="0" w:space="0" w:color="auto"/>
                <w:right w:val="none" w:sz="0" w:space="0" w:color="auto"/>
              </w:divBdr>
              <w:divsChild>
                <w:div w:id="15957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05007196">
      <w:bodyDiv w:val="1"/>
      <w:marLeft w:val="0"/>
      <w:marRight w:val="0"/>
      <w:marTop w:val="0"/>
      <w:marBottom w:val="0"/>
      <w:divBdr>
        <w:top w:val="none" w:sz="0" w:space="0" w:color="auto"/>
        <w:left w:val="none" w:sz="0" w:space="0" w:color="auto"/>
        <w:bottom w:val="none" w:sz="0" w:space="0" w:color="auto"/>
        <w:right w:val="none" w:sz="0" w:space="0" w:color="auto"/>
      </w:divBdr>
      <w:divsChild>
        <w:div w:id="1906601">
          <w:marLeft w:val="0"/>
          <w:marRight w:val="0"/>
          <w:marTop w:val="0"/>
          <w:marBottom w:val="0"/>
          <w:divBdr>
            <w:top w:val="none" w:sz="0" w:space="0" w:color="auto"/>
            <w:left w:val="none" w:sz="0" w:space="0" w:color="auto"/>
            <w:bottom w:val="none" w:sz="0" w:space="0" w:color="auto"/>
            <w:right w:val="none" w:sz="0" w:space="0" w:color="auto"/>
          </w:divBdr>
          <w:divsChild>
            <w:div w:id="916397411">
              <w:marLeft w:val="0"/>
              <w:marRight w:val="0"/>
              <w:marTop w:val="0"/>
              <w:marBottom w:val="0"/>
              <w:divBdr>
                <w:top w:val="none" w:sz="0" w:space="0" w:color="auto"/>
                <w:left w:val="none" w:sz="0" w:space="0" w:color="auto"/>
                <w:bottom w:val="none" w:sz="0" w:space="0" w:color="auto"/>
                <w:right w:val="none" w:sz="0" w:space="0" w:color="auto"/>
              </w:divBdr>
              <w:divsChild>
                <w:div w:id="69498713">
                  <w:marLeft w:val="0"/>
                  <w:marRight w:val="0"/>
                  <w:marTop w:val="0"/>
                  <w:marBottom w:val="0"/>
                  <w:divBdr>
                    <w:top w:val="none" w:sz="0" w:space="0" w:color="auto"/>
                    <w:left w:val="none" w:sz="0" w:space="0" w:color="auto"/>
                    <w:bottom w:val="none" w:sz="0" w:space="0" w:color="auto"/>
                    <w:right w:val="none" w:sz="0" w:space="0" w:color="auto"/>
                  </w:divBdr>
                  <w:divsChild>
                    <w:div w:id="13062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999578087">
      <w:bodyDiv w:val="1"/>
      <w:marLeft w:val="0"/>
      <w:marRight w:val="0"/>
      <w:marTop w:val="0"/>
      <w:marBottom w:val="0"/>
      <w:divBdr>
        <w:top w:val="none" w:sz="0" w:space="0" w:color="auto"/>
        <w:left w:val="none" w:sz="0" w:space="0" w:color="auto"/>
        <w:bottom w:val="none" w:sz="0" w:space="0" w:color="auto"/>
        <w:right w:val="none" w:sz="0" w:space="0" w:color="auto"/>
      </w:divBdr>
      <w:divsChild>
        <w:div w:id="898394024">
          <w:marLeft w:val="0"/>
          <w:marRight w:val="0"/>
          <w:marTop w:val="0"/>
          <w:marBottom w:val="0"/>
          <w:divBdr>
            <w:top w:val="none" w:sz="0" w:space="0" w:color="auto"/>
            <w:left w:val="none" w:sz="0" w:space="0" w:color="auto"/>
            <w:bottom w:val="none" w:sz="0" w:space="0" w:color="auto"/>
            <w:right w:val="none" w:sz="0" w:space="0" w:color="auto"/>
          </w:divBdr>
          <w:divsChild>
            <w:div w:id="1578325890">
              <w:marLeft w:val="0"/>
              <w:marRight w:val="0"/>
              <w:marTop w:val="0"/>
              <w:marBottom w:val="0"/>
              <w:divBdr>
                <w:top w:val="none" w:sz="0" w:space="0" w:color="auto"/>
                <w:left w:val="none" w:sz="0" w:space="0" w:color="auto"/>
                <w:bottom w:val="none" w:sz="0" w:space="0" w:color="auto"/>
                <w:right w:val="none" w:sz="0" w:space="0" w:color="auto"/>
              </w:divBdr>
              <w:divsChild>
                <w:div w:id="16285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22780711">
      <w:bodyDiv w:val="1"/>
      <w:marLeft w:val="0"/>
      <w:marRight w:val="0"/>
      <w:marTop w:val="0"/>
      <w:marBottom w:val="0"/>
      <w:divBdr>
        <w:top w:val="none" w:sz="0" w:space="0" w:color="auto"/>
        <w:left w:val="none" w:sz="0" w:space="0" w:color="auto"/>
        <w:bottom w:val="none" w:sz="0" w:space="0" w:color="auto"/>
        <w:right w:val="none" w:sz="0" w:space="0" w:color="auto"/>
      </w:divBdr>
      <w:divsChild>
        <w:div w:id="2090468757">
          <w:marLeft w:val="0"/>
          <w:marRight w:val="0"/>
          <w:marTop w:val="0"/>
          <w:marBottom w:val="0"/>
          <w:divBdr>
            <w:top w:val="none" w:sz="0" w:space="0" w:color="auto"/>
            <w:left w:val="none" w:sz="0" w:space="0" w:color="auto"/>
            <w:bottom w:val="none" w:sz="0" w:space="0" w:color="auto"/>
            <w:right w:val="none" w:sz="0" w:space="0" w:color="auto"/>
          </w:divBdr>
          <w:divsChild>
            <w:div w:id="947547113">
              <w:marLeft w:val="0"/>
              <w:marRight w:val="0"/>
              <w:marTop w:val="0"/>
              <w:marBottom w:val="0"/>
              <w:divBdr>
                <w:top w:val="none" w:sz="0" w:space="0" w:color="auto"/>
                <w:left w:val="none" w:sz="0" w:space="0" w:color="auto"/>
                <w:bottom w:val="none" w:sz="0" w:space="0" w:color="auto"/>
                <w:right w:val="none" w:sz="0" w:space="0" w:color="auto"/>
              </w:divBdr>
              <w:divsChild>
                <w:div w:id="21163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5389">
      <w:bodyDiv w:val="1"/>
      <w:marLeft w:val="0"/>
      <w:marRight w:val="0"/>
      <w:marTop w:val="0"/>
      <w:marBottom w:val="0"/>
      <w:divBdr>
        <w:top w:val="none" w:sz="0" w:space="0" w:color="auto"/>
        <w:left w:val="none" w:sz="0" w:space="0" w:color="auto"/>
        <w:bottom w:val="none" w:sz="0" w:space="0" w:color="auto"/>
        <w:right w:val="none" w:sz="0" w:space="0" w:color="auto"/>
      </w:divBdr>
      <w:divsChild>
        <w:div w:id="870731186">
          <w:marLeft w:val="0"/>
          <w:marRight w:val="0"/>
          <w:marTop w:val="0"/>
          <w:marBottom w:val="0"/>
          <w:divBdr>
            <w:top w:val="none" w:sz="0" w:space="0" w:color="auto"/>
            <w:left w:val="none" w:sz="0" w:space="0" w:color="auto"/>
            <w:bottom w:val="none" w:sz="0" w:space="0" w:color="auto"/>
            <w:right w:val="none" w:sz="0" w:space="0" w:color="auto"/>
          </w:divBdr>
          <w:divsChild>
            <w:div w:id="1799297194">
              <w:marLeft w:val="0"/>
              <w:marRight w:val="0"/>
              <w:marTop w:val="0"/>
              <w:marBottom w:val="0"/>
              <w:divBdr>
                <w:top w:val="none" w:sz="0" w:space="0" w:color="auto"/>
                <w:left w:val="none" w:sz="0" w:space="0" w:color="auto"/>
                <w:bottom w:val="none" w:sz="0" w:space="0" w:color="auto"/>
                <w:right w:val="none" w:sz="0" w:space="0" w:color="auto"/>
              </w:divBdr>
              <w:divsChild>
                <w:div w:id="9081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062479971">
      <w:bodyDiv w:val="1"/>
      <w:marLeft w:val="0"/>
      <w:marRight w:val="0"/>
      <w:marTop w:val="0"/>
      <w:marBottom w:val="0"/>
      <w:divBdr>
        <w:top w:val="none" w:sz="0" w:space="0" w:color="auto"/>
        <w:left w:val="none" w:sz="0" w:space="0" w:color="auto"/>
        <w:bottom w:val="none" w:sz="0" w:space="0" w:color="auto"/>
        <w:right w:val="none" w:sz="0" w:space="0" w:color="auto"/>
      </w:divBdr>
      <w:divsChild>
        <w:div w:id="135999263">
          <w:marLeft w:val="0"/>
          <w:marRight w:val="0"/>
          <w:marTop w:val="0"/>
          <w:marBottom w:val="0"/>
          <w:divBdr>
            <w:top w:val="none" w:sz="0" w:space="0" w:color="auto"/>
            <w:left w:val="none" w:sz="0" w:space="0" w:color="auto"/>
            <w:bottom w:val="none" w:sz="0" w:space="0" w:color="auto"/>
            <w:right w:val="none" w:sz="0" w:space="0" w:color="auto"/>
          </w:divBdr>
          <w:divsChild>
            <w:div w:id="1080518373">
              <w:marLeft w:val="0"/>
              <w:marRight w:val="0"/>
              <w:marTop w:val="0"/>
              <w:marBottom w:val="0"/>
              <w:divBdr>
                <w:top w:val="none" w:sz="0" w:space="0" w:color="auto"/>
                <w:left w:val="none" w:sz="0" w:space="0" w:color="auto"/>
                <w:bottom w:val="none" w:sz="0" w:space="0" w:color="auto"/>
                <w:right w:val="none" w:sz="0" w:space="0" w:color="auto"/>
              </w:divBdr>
              <w:divsChild>
                <w:div w:id="1239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sChild>
        <w:div w:id="126045878">
          <w:marLeft w:val="0"/>
          <w:marRight w:val="0"/>
          <w:marTop w:val="0"/>
          <w:marBottom w:val="0"/>
          <w:divBdr>
            <w:top w:val="none" w:sz="0" w:space="0" w:color="auto"/>
            <w:left w:val="none" w:sz="0" w:space="0" w:color="auto"/>
            <w:bottom w:val="none" w:sz="0" w:space="0" w:color="auto"/>
            <w:right w:val="none" w:sz="0" w:space="0" w:color="auto"/>
          </w:divBdr>
          <w:divsChild>
            <w:div w:id="489561043">
              <w:marLeft w:val="0"/>
              <w:marRight w:val="0"/>
              <w:marTop w:val="0"/>
              <w:marBottom w:val="0"/>
              <w:divBdr>
                <w:top w:val="none" w:sz="0" w:space="0" w:color="auto"/>
                <w:left w:val="none" w:sz="0" w:space="0" w:color="auto"/>
                <w:bottom w:val="none" w:sz="0" w:space="0" w:color="auto"/>
                <w:right w:val="none" w:sz="0" w:space="0" w:color="auto"/>
              </w:divBdr>
              <w:divsChild>
                <w:div w:id="11499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21393">
      <w:bodyDiv w:val="1"/>
      <w:marLeft w:val="0"/>
      <w:marRight w:val="0"/>
      <w:marTop w:val="0"/>
      <w:marBottom w:val="0"/>
      <w:divBdr>
        <w:top w:val="none" w:sz="0" w:space="0" w:color="auto"/>
        <w:left w:val="none" w:sz="0" w:space="0" w:color="auto"/>
        <w:bottom w:val="none" w:sz="0" w:space="0" w:color="auto"/>
        <w:right w:val="none" w:sz="0" w:space="0" w:color="auto"/>
      </w:divBdr>
      <w:divsChild>
        <w:div w:id="391008457">
          <w:marLeft w:val="0"/>
          <w:marRight w:val="0"/>
          <w:marTop w:val="0"/>
          <w:marBottom w:val="0"/>
          <w:divBdr>
            <w:top w:val="none" w:sz="0" w:space="0" w:color="auto"/>
            <w:left w:val="none" w:sz="0" w:space="0" w:color="auto"/>
            <w:bottom w:val="none" w:sz="0" w:space="0" w:color="auto"/>
            <w:right w:val="none" w:sz="0" w:space="0" w:color="auto"/>
          </w:divBdr>
          <w:divsChild>
            <w:div w:id="2101440824">
              <w:marLeft w:val="0"/>
              <w:marRight w:val="0"/>
              <w:marTop w:val="0"/>
              <w:marBottom w:val="0"/>
              <w:divBdr>
                <w:top w:val="none" w:sz="0" w:space="0" w:color="auto"/>
                <w:left w:val="none" w:sz="0" w:space="0" w:color="auto"/>
                <w:bottom w:val="none" w:sz="0" w:space="0" w:color="auto"/>
                <w:right w:val="none" w:sz="0" w:space="0" w:color="auto"/>
              </w:divBdr>
              <w:divsChild>
                <w:div w:id="10119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2252">
      <w:bodyDiv w:val="1"/>
      <w:marLeft w:val="0"/>
      <w:marRight w:val="0"/>
      <w:marTop w:val="0"/>
      <w:marBottom w:val="0"/>
      <w:divBdr>
        <w:top w:val="none" w:sz="0" w:space="0" w:color="auto"/>
        <w:left w:val="none" w:sz="0" w:space="0" w:color="auto"/>
        <w:bottom w:val="none" w:sz="0" w:space="0" w:color="auto"/>
        <w:right w:val="none" w:sz="0" w:space="0" w:color="auto"/>
      </w:divBdr>
      <w:divsChild>
        <w:div w:id="427845711">
          <w:marLeft w:val="0"/>
          <w:marRight w:val="0"/>
          <w:marTop w:val="0"/>
          <w:marBottom w:val="0"/>
          <w:divBdr>
            <w:top w:val="none" w:sz="0" w:space="0" w:color="auto"/>
            <w:left w:val="none" w:sz="0" w:space="0" w:color="auto"/>
            <w:bottom w:val="none" w:sz="0" w:space="0" w:color="auto"/>
            <w:right w:val="none" w:sz="0" w:space="0" w:color="auto"/>
          </w:divBdr>
        </w:div>
        <w:div w:id="940603055">
          <w:marLeft w:val="0"/>
          <w:marRight w:val="0"/>
          <w:marTop w:val="0"/>
          <w:marBottom w:val="0"/>
          <w:divBdr>
            <w:top w:val="none" w:sz="0" w:space="0" w:color="auto"/>
            <w:left w:val="none" w:sz="0" w:space="0" w:color="auto"/>
            <w:bottom w:val="none" w:sz="0" w:space="0" w:color="auto"/>
            <w:right w:val="none" w:sz="0" w:space="0" w:color="auto"/>
          </w:divBdr>
        </w:div>
        <w:div w:id="1268385183">
          <w:marLeft w:val="0"/>
          <w:marRight w:val="0"/>
          <w:marTop w:val="0"/>
          <w:marBottom w:val="0"/>
          <w:divBdr>
            <w:top w:val="none" w:sz="0" w:space="0" w:color="auto"/>
            <w:left w:val="none" w:sz="0" w:space="0" w:color="auto"/>
            <w:bottom w:val="none" w:sz="0" w:space="0" w:color="auto"/>
            <w:right w:val="none" w:sz="0" w:space="0" w:color="auto"/>
          </w:divBdr>
        </w:div>
      </w:divsChild>
    </w:div>
    <w:div w:id="1099327233">
      <w:bodyDiv w:val="1"/>
      <w:marLeft w:val="0"/>
      <w:marRight w:val="0"/>
      <w:marTop w:val="0"/>
      <w:marBottom w:val="0"/>
      <w:divBdr>
        <w:top w:val="none" w:sz="0" w:space="0" w:color="auto"/>
        <w:left w:val="none" w:sz="0" w:space="0" w:color="auto"/>
        <w:bottom w:val="none" w:sz="0" w:space="0" w:color="auto"/>
        <w:right w:val="none" w:sz="0" w:space="0" w:color="auto"/>
      </w:divBdr>
      <w:divsChild>
        <w:div w:id="20785627">
          <w:marLeft w:val="0"/>
          <w:marRight w:val="0"/>
          <w:marTop w:val="0"/>
          <w:marBottom w:val="0"/>
          <w:divBdr>
            <w:top w:val="none" w:sz="0" w:space="0" w:color="auto"/>
            <w:left w:val="none" w:sz="0" w:space="0" w:color="auto"/>
            <w:bottom w:val="none" w:sz="0" w:space="0" w:color="auto"/>
            <w:right w:val="none" w:sz="0" w:space="0" w:color="auto"/>
          </w:divBdr>
          <w:divsChild>
            <w:div w:id="848447052">
              <w:marLeft w:val="0"/>
              <w:marRight w:val="0"/>
              <w:marTop w:val="0"/>
              <w:marBottom w:val="0"/>
              <w:divBdr>
                <w:top w:val="none" w:sz="0" w:space="0" w:color="auto"/>
                <w:left w:val="none" w:sz="0" w:space="0" w:color="auto"/>
                <w:bottom w:val="none" w:sz="0" w:space="0" w:color="auto"/>
                <w:right w:val="none" w:sz="0" w:space="0" w:color="auto"/>
              </w:divBdr>
              <w:divsChild>
                <w:div w:id="1049576731">
                  <w:marLeft w:val="0"/>
                  <w:marRight w:val="0"/>
                  <w:marTop w:val="0"/>
                  <w:marBottom w:val="0"/>
                  <w:divBdr>
                    <w:top w:val="none" w:sz="0" w:space="0" w:color="auto"/>
                    <w:left w:val="none" w:sz="0" w:space="0" w:color="auto"/>
                    <w:bottom w:val="none" w:sz="0" w:space="0" w:color="auto"/>
                    <w:right w:val="none" w:sz="0" w:space="0" w:color="auto"/>
                  </w:divBdr>
                  <w:divsChild>
                    <w:div w:id="1333803344">
                      <w:marLeft w:val="0"/>
                      <w:marRight w:val="0"/>
                      <w:marTop w:val="0"/>
                      <w:marBottom w:val="0"/>
                      <w:divBdr>
                        <w:top w:val="none" w:sz="0" w:space="0" w:color="auto"/>
                        <w:left w:val="none" w:sz="0" w:space="0" w:color="auto"/>
                        <w:bottom w:val="none" w:sz="0" w:space="0" w:color="auto"/>
                        <w:right w:val="none" w:sz="0" w:space="0" w:color="auto"/>
                      </w:divBdr>
                      <w:divsChild>
                        <w:div w:id="19431084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2958">
      <w:bodyDiv w:val="1"/>
      <w:marLeft w:val="0"/>
      <w:marRight w:val="0"/>
      <w:marTop w:val="0"/>
      <w:marBottom w:val="0"/>
      <w:divBdr>
        <w:top w:val="none" w:sz="0" w:space="0" w:color="auto"/>
        <w:left w:val="none" w:sz="0" w:space="0" w:color="auto"/>
        <w:bottom w:val="none" w:sz="0" w:space="0" w:color="auto"/>
        <w:right w:val="none" w:sz="0" w:space="0" w:color="auto"/>
      </w:divBdr>
      <w:divsChild>
        <w:div w:id="1807619332">
          <w:marLeft w:val="0"/>
          <w:marRight w:val="0"/>
          <w:marTop w:val="0"/>
          <w:marBottom w:val="0"/>
          <w:divBdr>
            <w:top w:val="none" w:sz="0" w:space="0" w:color="auto"/>
            <w:left w:val="none" w:sz="0" w:space="0" w:color="auto"/>
            <w:bottom w:val="none" w:sz="0" w:space="0" w:color="auto"/>
            <w:right w:val="none" w:sz="0" w:space="0" w:color="auto"/>
          </w:divBdr>
          <w:divsChild>
            <w:div w:id="571547816">
              <w:marLeft w:val="0"/>
              <w:marRight w:val="0"/>
              <w:marTop w:val="0"/>
              <w:marBottom w:val="0"/>
              <w:divBdr>
                <w:top w:val="none" w:sz="0" w:space="0" w:color="auto"/>
                <w:left w:val="none" w:sz="0" w:space="0" w:color="auto"/>
                <w:bottom w:val="none" w:sz="0" w:space="0" w:color="auto"/>
                <w:right w:val="none" w:sz="0" w:space="0" w:color="auto"/>
              </w:divBdr>
              <w:divsChild>
                <w:div w:id="1018626426">
                  <w:marLeft w:val="0"/>
                  <w:marRight w:val="0"/>
                  <w:marTop w:val="0"/>
                  <w:marBottom w:val="0"/>
                  <w:divBdr>
                    <w:top w:val="none" w:sz="0" w:space="0" w:color="auto"/>
                    <w:left w:val="none" w:sz="0" w:space="0" w:color="auto"/>
                    <w:bottom w:val="none" w:sz="0" w:space="0" w:color="auto"/>
                    <w:right w:val="none" w:sz="0" w:space="0" w:color="auto"/>
                  </w:divBdr>
                  <w:divsChild>
                    <w:div w:id="14879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32796398">
      <w:bodyDiv w:val="1"/>
      <w:marLeft w:val="0"/>
      <w:marRight w:val="0"/>
      <w:marTop w:val="0"/>
      <w:marBottom w:val="0"/>
      <w:divBdr>
        <w:top w:val="none" w:sz="0" w:space="0" w:color="auto"/>
        <w:left w:val="none" w:sz="0" w:space="0" w:color="auto"/>
        <w:bottom w:val="none" w:sz="0" w:space="0" w:color="auto"/>
        <w:right w:val="none" w:sz="0" w:space="0" w:color="auto"/>
      </w:divBdr>
      <w:divsChild>
        <w:div w:id="266037991">
          <w:marLeft w:val="0"/>
          <w:marRight w:val="0"/>
          <w:marTop w:val="0"/>
          <w:marBottom w:val="0"/>
          <w:divBdr>
            <w:top w:val="none" w:sz="0" w:space="0" w:color="auto"/>
            <w:left w:val="none" w:sz="0" w:space="0" w:color="auto"/>
            <w:bottom w:val="none" w:sz="0" w:space="0" w:color="auto"/>
            <w:right w:val="none" w:sz="0" w:space="0" w:color="auto"/>
          </w:divBdr>
          <w:divsChild>
            <w:div w:id="274600501">
              <w:marLeft w:val="0"/>
              <w:marRight w:val="0"/>
              <w:marTop w:val="0"/>
              <w:marBottom w:val="0"/>
              <w:divBdr>
                <w:top w:val="none" w:sz="0" w:space="0" w:color="auto"/>
                <w:left w:val="none" w:sz="0" w:space="0" w:color="auto"/>
                <w:bottom w:val="none" w:sz="0" w:space="0" w:color="auto"/>
                <w:right w:val="none" w:sz="0" w:space="0" w:color="auto"/>
              </w:divBdr>
              <w:divsChild>
                <w:div w:id="13491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98075">
      <w:bodyDiv w:val="1"/>
      <w:marLeft w:val="0"/>
      <w:marRight w:val="0"/>
      <w:marTop w:val="0"/>
      <w:marBottom w:val="0"/>
      <w:divBdr>
        <w:top w:val="none" w:sz="0" w:space="0" w:color="auto"/>
        <w:left w:val="none" w:sz="0" w:space="0" w:color="auto"/>
        <w:bottom w:val="none" w:sz="0" w:space="0" w:color="auto"/>
        <w:right w:val="none" w:sz="0" w:space="0" w:color="auto"/>
      </w:divBdr>
      <w:divsChild>
        <w:div w:id="1441102495">
          <w:marLeft w:val="0"/>
          <w:marRight w:val="0"/>
          <w:marTop w:val="0"/>
          <w:marBottom w:val="0"/>
          <w:divBdr>
            <w:top w:val="none" w:sz="0" w:space="0" w:color="auto"/>
            <w:left w:val="none" w:sz="0" w:space="0" w:color="auto"/>
            <w:bottom w:val="none" w:sz="0" w:space="0" w:color="auto"/>
            <w:right w:val="none" w:sz="0" w:space="0" w:color="auto"/>
          </w:divBdr>
          <w:divsChild>
            <w:div w:id="202715011">
              <w:marLeft w:val="0"/>
              <w:marRight w:val="0"/>
              <w:marTop w:val="0"/>
              <w:marBottom w:val="0"/>
              <w:divBdr>
                <w:top w:val="none" w:sz="0" w:space="0" w:color="auto"/>
                <w:left w:val="none" w:sz="0" w:space="0" w:color="auto"/>
                <w:bottom w:val="none" w:sz="0" w:space="0" w:color="auto"/>
                <w:right w:val="none" w:sz="0" w:space="0" w:color="auto"/>
              </w:divBdr>
              <w:divsChild>
                <w:div w:id="1826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6101">
      <w:bodyDiv w:val="1"/>
      <w:marLeft w:val="0"/>
      <w:marRight w:val="0"/>
      <w:marTop w:val="0"/>
      <w:marBottom w:val="0"/>
      <w:divBdr>
        <w:top w:val="none" w:sz="0" w:space="0" w:color="auto"/>
        <w:left w:val="none" w:sz="0" w:space="0" w:color="auto"/>
        <w:bottom w:val="none" w:sz="0" w:space="0" w:color="auto"/>
        <w:right w:val="none" w:sz="0" w:space="0" w:color="auto"/>
      </w:divBdr>
      <w:divsChild>
        <w:div w:id="990789702">
          <w:marLeft w:val="0"/>
          <w:marRight w:val="0"/>
          <w:marTop w:val="0"/>
          <w:marBottom w:val="0"/>
          <w:divBdr>
            <w:top w:val="none" w:sz="0" w:space="0" w:color="auto"/>
            <w:left w:val="none" w:sz="0" w:space="0" w:color="auto"/>
            <w:bottom w:val="none" w:sz="0" w:space="0" w:color="auto"/>
            <w:right w:val="none" w:sz="0" w:space="0" w:color="auto"/>
          </w:divBdr>
          <w:divsChild>
            <w:div w:id="1059355475">
              <w:marLeft w:val="0"/>
              <w:marRight w:val="0"/>
              <w:marTop w:val="0"/>
              <w:marBottom w:val="0"/>
              <w:divBdr>
                <w:top w:val="none" w:sz="0" w:space="0" w:color="auto"/>
                <w:left w:val="none" w:sz="0" w:space="0" w:color="auto"/>
                <w:bottom w:val="none" w:sz="0" w:space="0" w:color="auto"/>
                <w:right w:val="none" w:sz="0" w:space="0" w:color="auto"/>
              </w:divBdr>
              <w:divsChild>
                <w:div w:id="7632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6877">
      <w:bodyDiv w:val="1"/>
      <w:marLeft w:val="0"/>
      <w:marRight w:val="0"/>
      <w:marTop w:val="0"/>
      <w:marBottom w:val="0"/>
      <w:divBdr>
        <w:top w:val="none" w:sz="0" w:space="0" w:color="auto"/>
        <w:left w:val="none" w:sz="0" w:space="0" w:color="auto"/>
        <w:bottom w:val="none" w:sz="0" w:space="0" w:color="auto"/>
        <w:right w:val="none" w:sz="0" w:space="0" w:color="auto"/>
      </w:divBdr>
      <w:divsChild>
        <w:div w:id="1414549825">
          <w:marLeft w:val="0"/>
          <w:marRight w:val="0"/>
          <w:marTop w:val="0"/>
          <w:marBottom w:val="0"/>
          <w:divBdr>
            <w:top w:val="none" w:sz="0" w:space="0" w:color="auto"/>
            <w:left w:val="none" w:sz="0" w:space="0" w:color="auto"/>
            <w:bottom w:val="none" w:sz="0" w:space="0" w:color="auto"/>
            <w:right w:val="none" w:sz="0" w:space="0" w:color="auto"/>
          </w:divBdr>
          <w:divsChild>
            <w:div w:id="381295727">
              <w:marLeft w:val="0"/>
              <w:marRight w:val="0"/>
              <w:marTop w:val="0"/>
              <w:marBottom w:val="0"/>
              <w:divBdr>
                <w:top w:val="none" w:sz="0" w:space="0" w:color="auto"/>
                <w:left w:val="none" w:sz="0" w:space="0" w:color="auto"/>
                <w:bottom w:val="none" w:sz="0" w:space="0" w:color="auto"/>
                <w:right w:val="none" w:sz="0" w:space="0" w:color="auto"/>
              </w:divBdr>
              <w:divsChild>
                <w:div w:id="1083642782">
                  <w:marLeft w:val="0"/>
                  <w:marRight w:val="0"/>
                  <w:marTop w:val="0"/>
                  <w:marBottom w:val="0"/>
                  <w:divBdr>
                    <w:top w:val="none" w:sz="0" w:space="0" w:color="auto"/>
                    <w:left w:val="none" w:sz="0" w:space="0" w:color="auto"/>
                    <w:bottom w:val="none" w:sz="0" w:space="0" w:color="auto"/>
                    <w:right w:val="none" w:sz="0" w:space="0" w:color="auto"/>
                  </w:divBdr>
                  <w:divsChild>
                    <w:div w:id="10377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38386776">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383098725">
      <w:bodyDiv w:val="1"/>
      <w:marLeft w:val="0"/>
      <w:marRight w:val="0"/>
      <w:marTop w:val="0"/>
      <w:marBottom w:val="0"/>
      <w:divBdr>
        <w:top w:val="none" w:sz="0" w:space="0" w:color="auto"/>
        <w:left w:val="none" w:sz="0" w:space="0" w:color="auto"/>
        <w:bottom w:val="none" w:sz="0" w:space="0" w:color="auto"/>
        <w:right w:val="none" w:sz="0" w:space="0" w:color="auto"/>
      </w:divBdr>
    </w:div>
    <w:div w:id="1404136879">
      <w:bodyDiv w:val="1"/>
      <w:marLeft w:val="0"/>
      <w:marRight w:val="0"/>
      <w:marTop w:val="0"/>
      <w:marBottom w:val="0"/>
      <w:divBdr>
        <w:top w:val="none" w:sz="0" w:space="0" w:color="auto"/>
        <w:left w:val="none" w:sz="0" w:space="0" w:color="auto"/>
        <w:bottom w:val="none" w:sz="0" w:space="0" w:color="auto"/>
        <w:right w:val="none" w:sz="0" w:space="0" w:color="auto"/>
      </w:divBdr>
      <w:divsChild>
        <w:div w:id="461969969">
          <w:marLeft w:val="0"/>
          <w:marRight w:val="0"/>
          <w:marTop w:val="0"/>
          <w:marBottom w:val="0"/>
          <w:divBdr>
            <w:top w:val="none" w:sz="0" w:space="0" w:color="auto"/>
            <w:left w:val="none" w:sz="0" w:space="0" w:color="auto"/>
            <w:bottom w:val="none" w:sz="0" w:space="0" w:color="auto"/>
            <w:right w:val="none" w:sz="0" w:space="0" w:color="auto"/>
          </w:divBdr>
          <w:divsChild>
            <w:div w:id="442697345">
              <w:marLeft w:val="0"/>
              <w:marRight w:val="0"/>
              <w:marTop w:val="0"/>
              <w:marBottom w:val="0"/>
              <w:divBdr>
                <w:top w:val="none" w:sz="0" w:space="0" w:color="auto"/>
                <w:left w:val="none" w:sz="0" w:space="0" w:color="auto"/>
                <w:bottom w:val="none" w:sz="0" w:space="0" w:color="auto"/>
                <w:right w:val="none" w:sz="0" w:space="0" w:color="auto"/>
              </w:divBdr>
              <w:divsChild>
                <w:div w:id="428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521">
      <w:bodyDiv w:val="1"/>
      <w:marLeft w:val="0"/>
      <w:marRight w:val="0"/>
      <w:marTop w:val="0"/>
      <w:marBottom w:val="0"/>
      <w:divBdr>
        <w:top w:val="none" w:sz="0" w:space="0" w:color="auto"/>
        <w:left w:val="none" w:sz="0" w:space="0" w:color="auto"/>
        <w:bottom w:val="none" w:sz="0" w:space="0" w:color="auto"/>
        <w:right w:val="none" w:sz="0" w:space="0" w:color="auto"/>
      </w:divBdr>
      <w:divsChild>
        <w:div w:id="755520567">
          <w:marLeft w:val="0"/>
          <w:marRight w:val="0"/>
          <w:marTop w:val="0"/>
          <w:marBottom w:val="0"/>
          <w:divBdr>
            <w:top w:val="none" w:sz="0" w:space="0" w:color="auto"/>
            <w:left w:val="none" w:sz="0" w:space="0" w:color="auto"/>
            <w:bottom w:val="none" w:sz="0" w:space="0" w:color="auto"/>
            <w:right w:val="none" w:sz="0" w:space="0" w:color="auto"/>
          </w:divBdr>
          <w:divsChild>
            <w:div w:id="1760364989">
              <w:marLeft w:val="0"/>
              <w:marRight w:val="0"/>
              <w:marTop w:val="0"/>
              <w:marBottom w:val="0"/>
              <w:divBdr>
                <w:top w:val="none" w:sz="0" w:space="0" w:color="auto"/>
                <w:left w:val="none" w:sz="0" w:space="0" w:color="auto"/>
                <w:bottom w:val="none" w:sz="0" w:space="0" w:color="auto"/>
                <w:right w:val="none" w:sz="0" w:space="0" w:color="auto"/>
              </w:divBdr>
              <w:divsChild>
                <w:div w:id="1827435207">
                  <w:marLeft w:val="0"/>
                  <w:marRight w:val="0"/>
                  <w:marTop w:val="0"/>
                  <w:marBottom w:val="0"/>
                  <w:divBdr>
                    <w:top w:val="none" w:sz="0" w:space="0" w:color="auto"/>
                    <w:left w:val="none" w:sz="0" w:space="0" w:color="auto"/>
                    <w:bottom w:val="none" w:sz="0" w:space="0" w:color="auto"/>
                    <w:right w:val="none" w:sz="0" w:space="0" w:color="auto"/>
                  </w:divBdr>
                  <w:divsChild>
                    <w:div w:id="21178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33387">
      <w:bodyDiv w:val="1"/>
      <w:marLeft w:val="0"/>
      <w:marRight w:val="0"/>
      <w:marTop w:val="0"/>
      <w:marBottom w:val="0"/>
      <w:divBdr>
        <w:top w:val="none" w:sz="0" w:space="0" w:color="auto"/>
        <w:left w:val="none" w:sz="0" w:space="0" w:color="auto"/>
        <w:bottom w:val="none" w:sz="0" w:space="0" w:color="auto"/>
        <w:right w:val="none" w:sz="0" w:space="0" w:color="auto"/>
      </w:divBdr>
      <w:divsChild>
        <w:div w:id="1700543815">
          <w:marLeft w:val="0"/>
          <w:marRight w:val="0"/>
          <w:marTop w:val="0"/>
          <w:marBottom w:val="0"/>
          <w:divBdr>
            <w:top w:val="none" w:sz="0" w:space="0" w:color="auto"/>
            <w:left w:val="none" w:sz="0" w:space="0" w:color="auto"/>
            <w:bottom w:val="none" w:sz="0" w:space="0" w:color="auto"/>
            <w:right w:val="none" w:sz="0" w:space="0" w:color="auto"/>
          </w:divBdr>
          <w:divsChild>
            <w:div w:id="1469473451">
              <w:marLeft w:val="0"/>
              <w:marRight w:val="0"/>
              <w:marTop w:val="0"/>
              <w:marBottom w:val="0"/>
              <w:divBdr>
                <w:top w:val="none" w:sz="0" w:space="0" w:color="auto"/>
                <w:left w:val="none" w:sz="0" w:space="0" w:color="auto"/>
                <w:bottom w:val="none" w:sz="0" w:space="0" w:color="auto"/>
                <w:right w:val="none" w:sz="0" w:space="0" w:color="auto"/>
              </w:divBdr>
              <w:divsChild>
                <w:div w:id="20480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5047">
      <w:bodyDiv w:val="1"/>
      <w:marLeft w:val="0"/>
      <w:marRight w:val="0"/>
      <w:marTop w:val="0"/>
      <w:marBottom w:val="0"/>
      <w:divBdr>
        <w:top w:val="none" w:sz="0" w:space="0" w:color="auto"/>
        <w:left w:val="none" w:sz="0" w:space="0" w:color="auto"/>
        <w:bottom w:val="none" w:sz="0" w:space="0" w:color="auto"/>
        <w:right w:val="none" w:sz="0" w:space="0" w:color="auto"/>
      </w:divBdr>
      <w:divsChild>
        <w:div w:id="3216561">
          <w:marLeft w:val="0"/>
          <w:marRight w:val="0"/>
          <w:marTop w:val="0"/>
          <w:marBottom w:val="0"/>
          <w:divBdr>
            <w:top w:val="none" w:sz="0" w:space="0" w:color="auto"/>
            <w:left w:val="none" w:sz="0" w:space="0" w:color="auto"/>
            <w:bottom w:val="none" w:sz="0" w:space="0" w:color="auto"/>
            <w:right w:val="none" w:sz="0" w:space="0" w:color="auto"/>
          </w:divBdr>
          <w:divsChild>
            <w:div w:id="549657466">
              <w:marLeft w:val="0"/>
              <w:marRight w:val="0"/>
              <w:marTop w:val="0"/>
              <w:marBottom w:val="0"/>
              <w:divBdr>
                <w:top w:val="none" w:sz="0" w:space="0" w:color="auto"/>
                <w:left w:val="none" w:sz="0" w:space="0" w:color="auto"/>
                <w:bottom w:val="none" w:sz="0" w:space="0" w:color="auto"/>
                <w:right w:val="none" w:sz="0" w:space="0" w:color="auto"/>
              </w:divBdr>
              <w:divsChild>
                <w:div w:id="1642886196">
                  <w:marLeft w:val="0"/>
                  <w:marRight w:val="0"/>
                  <w:marTop w:val="0"/>
                  <w:marBottom w:val="0"/>
                  <w:divBdr>
                    <w:top w:val="none" w:sz="0" w:space="0" w:color="auto"/>
                    <w:left w:val="none" w:sz="0" w:space="0" w:color="auto"/>
                    <w:bottom w:val="none" w:sz="0" w:space="0" w:color="auto"/>
                    <w:right w:val="none" w:sz="0" w:space="0" w:color="auto"/>
                  </w:divBdr>
                </w:div>
              </w:divsChild>
            </w:div>
            <w:div w:id="1770195071">
              <w:marLeft w:val="0"/>
              <w:marRight w:val="0"/>
              <w:marTop w:val="0"/>
              <w:marBottom w:val="0"/>
              <w:divBdr>
                <w:top w:val="none" w:sz="0" w:space="0" w:color="auto"/>
                <w:left w:val="none" w:sz="0" w:space="0" w:color="auto"/>
                <w:bottom w:val="none" w:sz="0" w:space="0" w:color="auto"/>
                <w:right w:val="none" w:sz="0" w:space="0" w:color="auto"/>
              </w:divBdr>
              <w:divsChild>
                <w:div w:id="727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7607">
      <w:bodyDiv w:val="1"/>
      <w:marLeft w:val="0"/>
      <w:marRight w:val="0"/>
      <w:marTop w:val="0"/>
      <w:marBottom w:val="0"/>
      <w:divBdr>
        <w:top w:val="none" w:sz="0" w:space="0" w:color="auto"/>
        <w:left w:val="none" w:sz="0" w:space="0" w:color="auto"/>
        <w:bottom w:val="none" w:sz="0" w:space="0" w:color="auto"/>
        <w:right w:val="none" w:sz="0" w:space="0" w:color="auto"/>
      </w:divBdr>
      <w:divsChild>
        <w:div w:id="1589925443">
          <w:marLeft w:val="0"/>
          <w:marRight w:val="0"/>
          <w:marTop w:val="0"/>
          <w:marBottom w:val="0"/>
          <w:divBdr>
            <w:top w:val="none" w:sz="0" w:space="0" w:color="auto"/>
            <w:left w:val="none" w:sz="0" w:space="0" w:color="auto"/>
            <w:bottom w:val="none" w:sz="0" w:space="0" w:color="auto"/>
            <w:right w:val="none" w:sz="0" w:space="0" w:color="auto"/>
          </w:divBdr>
          <w:divsChild>
            <w:div w:id="993527217">
              <w:marLeft w:val="0"/>
              <w:marRight w:val="0"/>
              <w:marTop w:val="0"/>
              <w:marBottom w:val="0"/>
              <w:divBdr>
                <w:top w:val="none" w:sz="0" w:space="0" w:color="auto"/>
                <w:left w:val="none" w:sz="0" w:space="0" w:color="auto"/>
                <w:bottom w:val="none" w:sz="0" w:space="0" w:color="auto"/>
                <w:right w:val="none" w:sz="0" w:space="0" w:color="auto"/>
              </w:divBdr>
              <w:divsChild>
                <w:div w:id="507714316">
                  <w:marLeft w:val="0"/>
                  <w:marRight w:val="0"/>
                  <w:marTop w:val="0"/>
                  <w:marBottom w:val="0"/>
                  <w:divBdr>
                    <w:top w:val="none" w:sz="0" w:space="0" w:color="auto"/>
                    <w:left w:val="none" w:sz="0" w:space="0" w:color="auto"/>
                    <w:bottom w:val="none" w:sz="0" w:space="0" w:color="auto"/>
                    <w:right w:val="none" w:sz="0" w:space="0" w:color="auto"/>
                  </w:divBdr>
                  <w:divsChild>
                    <w:div w:id="5028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68850">
      <w:bodyDiv w:val="1"/>
      <w:marLeft w:val="0"/>
      <w:marRight w:val="0"/>
      <w:marTop w:val="0"/>
      <w:marBottom w:val="0"/>
      <w:divBdr>
        <w:top w:val="none" w:sz="0" w:space="0" w:color="auto"/>
        <w:left w:val="none" w:sz="0" w:space="0" w:color="auto"/>
        <w:bottom w:val="none" w:sz="0" w:space="0" w:color="auto"/>
        <w:right w:val="none" w:sz="0" w:space="0" w:color="auto"/>
      </w:divBdr>
      <w:divsChild>
        <w:div w:id="1168210541">
          <w:marLeft w:val="0"/>
          <w:marRight w:val="0"/>
          <w:marTop w:val="0"/>
          <w:marBottom w:val="0"/>
          <w:divBdr>
            <w:top w:val="none" w:sz="0" w:space="0" w:color="auto"/>
            <w:left w:val="none" w:sz="0" w:space="0" w:color="auto"/>
            <w:bottom w:val="none" w:sz="0" w:space="0" w:color="auto"/>
            <w:right w:val="none" w:sz="0" w:space="0" w:color="auto"/>
          </w:divBdr>
          <w:divsChild>
            <w:div w:id="1893998085">
              <w:marLeft w:val="0"/>
              <w:marRight w:val="0"/>
              <w:marTop w:val="0"/>
              <w:marBottom w:val="0"/>
              <w:divBdr>
                <w:top w:val="none" w:sz="0" w:space="0" w:color="auto"/>
                <w:left w:val="none" w:sz="0" w:space="0" w:color="auto"/>
                <w:bottom w:val="none" w:sz="0" w:space="0" w:color="auto"/>
                <w:right w:val="none" w:sz="0" w:space="0" w:color="auto"/>
              </w:divBdr>
              <w:divsChild>
                <w:div w:id="268321583">
                  <w:marLeft w:val="0"/>
                  <w:marRight w:val="0"/>
                  <w:marTop w:val="0"/>
                  <w:marBottom w:val="0"/>
                  <w:divBdr>
                    <w:top w:val="none" w:sz="0" w:space="0" w:color="auto"/>
                    <w:left w:val="none" w:sz="0" w:space="0" w:color="auto"/>
                    <w:bottom w:val="none" w:sz="0" w:space="0" w:color="auto"/>
                    <w:right w:val="none" w:sz="0" w:space="0" w:color="auto"/>
                  </w:divBdr>
                  <w:divsChild>
                    <w:div w:id="645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654216773">
      <w:bodyDiv w:val="1"/>
      <w:marLeft w:val="0"/>
      <w:marRight w:val="0"/>
      <w:marTop w:val="0"/>
      <w:marBottom w:val="0"/>
      <w:divBdr>
        <w:top w:val="none" w:sz="0" w:space="0" w:color="auto"/>
        <w:left w:val="none" w:sz="0" w:space="0" w:color="auto"/>
        <w:bottom w:val="none" w:sz="0" w:space="0" w:color="auto"/>
        <w:right w:val="none" w:sz="0" w:space="0" w:color="auto"/>
      </w:divBdr>
      <w:divsChild>
        <w:div w:id="960646125">
          <w:marLeft w:val="0"/>
          <w:marRight w:val="0"/>
          <w:marTop w:val="0"/>
          <w:marBottom w:val="0"/>
          <w:divBdr>
            <w:top w:val="none" w:sz="0" w:space="0" w:color="auto"/>
            <w:left w:val="none" w:sz="0" w:space="0" w:color="auto"/>
            <w:bottom w:val="none" w:sz="0" w:space="0" w:color="auto"/>
            <w:right w:val="none" w:sz="0" w:space="0" w:color="auto"/>
          </w:divBdr>
          <w:divsChild>
            <w:div w:id="2103185380">
              <w:marLeft w:val="0"/>
              <w:marRight w:val="0"/>
              <w:marTop w:val="0"/>
              <w:marBottom w:val="0"/>
              <w:divBdr>
                <w:top w:val="none" w:sz="0" w:space="0" w:color="auto"/>
                <w:left w:val="none" w:sz="0" w:space="0" w:color="auto"/>
                <w:bottom w:val="none" w:sz="0" w:space="0" w:color="auto"/>
                <w:right w:val="none" w:sz="0" w:space="0" w:color="auto"/>
              </w:divBdr>
              <w:divsChild>
                <w:div w:id="13841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9584">
      <w:bodyDiv w:val="1"/>
      <w:marLeft w:val="0"/>
      <w:marRight w:val="0"/>
      <w:marTop w:val="0"/>
      <w:marBottom w:val="0"/>
      <w:divBdr>
        <w:top w:val="none" w:sz="0" w:space="0" w:color="auto"/>
        <w:left w:val="none" w:sz="0" w:space="0" w:color="auto"/>
        <w:bottom w:val="none" w:sz="0" w:space="0" w:color="auto"/>
        <w:right w:val="none" w:sz="0" w:space="0" w:color="auto"/>
      </w:divBdr>
      <w:divsChild>
        <w:div w:id="321860214">
          <w:marLeft w:val="0"/>
          <w:marRight w:val="0"/>
          <w:marTop w:val="0"/>
          <w:marBottom w:val="0"/>
          <w:divBdr>
            <w:top w:val="none" w:sz="0" w:space="0" w:color="auto"/>
            <w:left w:val="none" w:sz="0" w:space="0" w:color="auto"/>
            <w:bottom w:val="none" w:sz="0" w:space="0" w:color="auto"/>
            <w:right w:val="none" w:sz="0" w:space="0" w:color="auto"/>
          </w:divBdr>
          <w:divsChild>
            <w:div w:id="865562202">
              <w:marLeft w:val="0"/>
              <w:marRight w:val="0"/>
              <w:marTop w:val="0"/>
              <w:marBottom w:val="0"/>
              <w:divBdr>
                <w:top w:val="none" w:sz="0" w:space="0" w:color="auto"/>
                <w:left w:val="none" w:sz="0" w:space="0" w:color="auto"/>
                <w:bottom w:val="none" w:sz="0" w:space="0" w:color="auto"/>
                <w:right w:val="none" w:sz="0" w:space="0" w:color="auto"/>
              </w:divBdr>
              <w:divsChild>
                <w:div w:id="7709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67115561">
      <w:bodyDiv w:val="1"/>
      <w:marLeft w:val="0"/>
      <w:marRight w:val="0"/>
      <w:marTop w:val="0"/>
      <w:marBottom w:val="0"/>
      <w:divBdr>
        <w:top w:val="none" w:sz="0" w:space="0" w:color="auto"/>
        <w:left w:val="none" w:sz="0" w:space="0" w:color="auto"/>
        <w:bottom w:val="none" w:sz="0" w:space="0" w:color="auto"/>
        <w:right w:val="none" w:sz="0" w:space="0" w:color="auto"/>
      </w:divBdr>
      <w:divsChild>
        <w:div w:id="800224010">
          <w:marLeft w:val="0"/>
          <w:marRight w:val="0"/>
          <w:marTop w:val="0"/>
          <w:marBottom w:val="0"/>
          <w:divBdr>
            <w:top w:val="none" w:sz="0" w:space="0" w:color="auto"/>
            <w:left w:val="none" w:sz="0" w:space="0" w:color="auto"/>
            <w:bottom w:val="none" w:sz="0" w:space="0" w:color="auto"/>
            <w:right w:val="none" w:sz="0" w:space="0" w:color="auto"/>
          </w:divBdr>
          <w:divsChild>
            <w:div w:id="853302913">
              <w:marLeft w:val="0"/>
              <w:marRight w:val="0"/>
              <w:marTop w:val="0"/>
              <w:marBottom w:val="0"/>
              <w:divBdr>
                <w:top w:val="none" w:sz="0" w:space="0" w:color="auto"/>
                <w:left w:val="none" w:sz="0" w:space="0" w:color="auto"/>
                <w:bottom w:val="none" w:sz="0" w:space="0" w:color="auto"/>
                <w:right w:val="none" w:sz="0" w:space="0" w:color="auto"/>
              </w:divBdr>
              <w:divsChild>
                <w:div w:id="2116435530">
                  <w:marLeft w:val="0"/>
                  <w:marRight w:val="0"/>
                  <w:marTop w:val="0"/>
                  <w:marBottom w:val="0"/>
                  <w:divBdr>
                    <w:top w:val="none" w:sz="0" w:space="0" w:color="auto"/>
                    <w:left w:val="none" w:sz="0" w:space="0" w:color="auto"/>
                    <w:bottom w:val="none" w:sz="0" w:space="0" w:color="auto"/>
                    <w:right w:val="none" w:sz="0" w:space="0" w:color="auto"/>
                  </w:divBdr>
                  <w:divsChild>
                    <w:div w:id="18521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36145564">
      <w:bodyDiv w:val="1"/>
      <w:marLeft w:val="0"/>
      <w:marRight w:val="0"/>
      <w:marTop w:val="0"/>
      <w:marBottom w:val="0"/>
      <w:divBdr>
        <w:top w:val="none" w:sz="0" w:space="0" w:color="auto"/>
        <w:left w:val="none" w:sz="0" w:space="0" w:color="auto"/>
        <w:bottom w:val="none" w:sz="0" w:space="0" w:color="auto"/>
        <w:right w:val="none" w:sz="0" w:space="0" w:color="auto"/>
      </w:divBdr>
    </w:div>
    <w:div w:id="1840461630">
      <w:bodyDiv w:val="1"/>
      <w:marLeft w:val="0"/>
      <w:marRight w:val="0"/>
      <w:marTop w:val="0"/>
      <w:marBottom w:val="0"/>
      <w:divBdr>
        <w:top w:val="none" w:sz="0" w:space="0" w:color="auto"/>
        <w:left w:val="none" w:sz="0" w:space="0" w:color="auto"/>
        <w:bottom w:val="none" w:sz="0" w:space="0" w:color="auto"/>
        <w:right w:val="none" w:sz="0" w:space="0" w:color="auto"/>
      </w:divBdr>
      <w:divsChild>
        <w:div w:id="687751939">
          <w:marLeft w:val="0"/>
          <w:marRight w:val="0"/>
          <w:marTop w:val="0"/>
          <w:marBottom w:val="0"/>
          <w:divBdr>
            <w:top w:val="none" w:sz="0" w:space="0" w:color="auto"/>
            <w:left w:val="none" w:sz="0" w:space="0" w:color="auto"/>
            <w:bottom w:val="none" w:sz="0" w:space="0" w:color="auto"/>
            <w:right w:val="none" w:sz="0" w:space="0" w:color="auto"/>
          </w:divBdr>
          <w:divsChild>
            <w:div w:id="11878165">
              <w:marLeft w:val="0"/>
              <w:marRight w:val="0"/>
              <w:marTop w:val="0"/>
              <w:marBottom w:val="0"/>
              <w:divBdr>
                <w:top w:val="none" w:sz="0" w:space="0" w:color="auto"/>
                <w:left w:val="none" w:sz="0" w:space="0" w:color="auto"/>
                <w:bottom w:val="none" w:sz="0" w:space="0" w:color="auto"/>
                <w:right w:val="none" w:sz="0" w:space="0" w:color="auto"/>
              </w:divBdr>
              <w:divsChild>
                <w:div w:id="214241428">
                  <w:marLeft w:val="0"/>
                  <w:marRight w:val="0"/>
                  <w:marTop w:val="0"/>
                  <w:marBottom w:val="0"/>
                  <w:divBdr>
                    <w:top w:val="none" w:sz="0" w:space="0" w:color="auto"/>
                    <w:left w:val="none" w:sz="0" w:space="0" w:color="auto"/>
                    <w:bottom w:val="none" w:sz="0" w:space="0" w:color="auto"/>
                    <w:right w:val="none" w:sz="0" w:space="0" w:color="auto"/>
                  </w:divBdr>
                  <w:divsChild>
                    <w:div w:id="17445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17021">
      <w:bodyDiv w:val="1"/>
      <w:marLeft w:val="0"/>
      <w:marRight w:val="0"/>
      <w:marTop w:val="0"/>
      <w:marBottom w:val="0"/>
      <w:divBdr>
        <w:top w:val="none" w:sz="0" w:space="0" w:color="auto"/>
        <w:left w:val="none" w:sz="0" w:space="0" w:color="auto"/>
        <w:bottom w:val="none" w:sz="0" w:space="0" w:color="auto"/>
        <w:right w:val="none" w:sz="0" w:space="0" w:color="auto"/>
      </w:divBdr>
      <w:divsChild>
        <w:div w:id="845945857">
          <w:marLeft w:val="0"/>
          <w:marRight w:val="0"/>
          <w:marTop w:val="0"/>
          <w:marBottom w:val="0"/>
          <w:divBdr>
            <w:top w:val="none" w:sz="0" w:space="0" w:color="auto"/>
            <w:left w:val="none" w:sz="0" w:space="0" w:color="auto"/>
            <w:bottom w:val="none" w:sz="0" w:space="0" w:color="auto"/>
            <w:right w:val="none" w:sz="0" w:space="0" w:color="auto"/>
          </w:divBdr>
          <w:divsChild>
            <w:div w:id="1229459028">
              <w:marLeft w:val="0"/>
              <w:marRight w:val="0"/>
              <w:marTop w:val="0"/>
              <w:marBottom w:val="0"/>
              <w:divBdr>
                <w:top w:val="none" w:sz="0" w:space="0" w:color="auto"/>
                <w:left w:val="none" w:sz="0" w:space="0" w:color="auto"/>
                <w:bottom w:val="none" w:sz="0" w:space="0" w:color="auto"/>
                <w:right w:val="none" w:sz="0" w:space="0" w:color="auto"/>
              </w:divBdr>
              <w:divsChild>
                <w:div w:id="222181015">
                  <w:marLeft w:val="0"/>
                  <w:marRight w:val="0"/>
                  <w:marTop w:val="0"/>
                  <w:marBottom w:val="0"/>
                  <w:divBdr>
                    <w:top w:val="none" w:sz="0" w:space="0" w:color="auto"/>
                    <w:left w:val="none" w:sz="0" w:space="0" w:color="auto"/>
                    <w:bottom w:val="none" w:sz="0" w:space="0" w:color="auto"/>
                    <w:right w:val="none" w:sz="0" w:space="0" w:color="auto"/>
                  </w:divBdr>
                  <w:divsChild>
                    <w:div w:id="14599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5541">
      <w:bodyDiv w:val="1"/>
      <w:marLeft w:val="0"/>
      <w:marRight w:val="0"/>
      <w:marTop w:val="0"/>
      <w:marBottom w:val="0"/>
      <w:divBdr>
        <w:top w:val="none" w:sz="0" w:space="0" w:color="auto"/>
        <w:left w:val="none" w:sz="0" w:space="0" w:color="auto"/>
        <w:bottom w:val="none" w:sz="0" w:space="0" w:color="auto"/>
        <w:right w:val="none" w:sz="0" w:space="0" w:color="auto"/>
      </w:divBdr>
      <w:divsChild>
        <w:div w:id="656811691">
          <w:marLeft w:val="0"/>
          <w:marRight w:val="0"/>
          <w:marTop w:val="0"/>
          <w:marBottom w:val="0"/>
          <w:divBdr>
            <w:top w:val="none" w:sz="0" w:space="0" w:color="auto"/>
            <w:left w:val="none" w:sz="0" w:space="0" w:color="auto"/>
            <w:bottom w:val="none" w:sz="0" w:space="0" w:color="auto"/>
            <w:right w:val="none" w:sz="0" w:space="0" w:color="auto"/>
          </w:divBdr>
          <w:divsChild>
            <w:div w:id="627511008">
              <w:marLeft w:val="0"/>
              <w:marRight w:val="0"/>
              <w:marTop w:val="0"/>
              <w:marBottom w:val="0"/>
              <w:divBdr>
                <w:top w:val="none" w:sz="0" w:space="0" w:color="auto"/>
                <w:left w:val="none" w:sz="0" w:space="0" w:color="auto"/>
                <w:bottom w:val="none" w:sz="0" w:space="0" w:color="auto"/>
                <w:right w:val="none" w:sz="0" w:space="0" w:color="auto"/>
              </w:divBdr>
              <w:divsChild>
                <w:div w:id="18989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1917">
      <w:bodyDiv w:val="1"/>
      <w:marLeft w:val="0"/>
      <w:marRight w:val="0"/>
      <w:marTop w:val="0"/>
      <w:marBottom w:val="0"/>
      <w:divBdr>
        <w:top w:val="none" w:sz="0" w:space="0" w:color="auto"/>
        <w:left w:val="none" w:sz="0" w:space="0" w:color="auto"/>
        <w:bottom w:val="none" w:sz="0" w:space="0" w:color="auto"/>
        <w:right w:val="none" w:sz="0" w:space="0" w:color="auto"/>
      </w:divBdr>
      <w:divsChild>
        <w:div w:id="190460614">
          <w:marLeft w:val="0"/>
          <w:marRight w:val="0"/>
          <w:marTop w:val="0"/>
          <w:marBottom w:val="0"/>
          <w:divBdr>
            <w:top w:val="none" w:sz="0" w:space="0" w:color="auto"/>
            <w:left w:val="none" w:sz="0" w:space="0" w:color="auto"/>
            <w:bottom w:val="none" w:sz="0" w:space="0" w:color="auto"/>
            <w:right w:val="none" w:sz="0" w:space="0" w:color="auto"/>
          </w:divBdr>
          <w:divsChild>
            <w:div w:id="1879464162">
              <w:marLeft w:val="0"/>
              <w:marRight w:val="0"/>
              <w:marTop w:val="0"/>
              <w:marBottom w:val="0"/>
              <w:divBdr>
                <w:top w:val="none" w:sz="0" w:space="0" w:color="auto"/>
                <w:left w:val="none" w:sz="0" w:space="0" w:color="auto"/>
                <w:bottom w:val="none" w:sz="0" w:space="0" w:color="auto"/>
                <w:right w:val="none" w:sz="0" w:space="0" w:color="auto"/>
              </w:divBdr>
              <w:divsChild>
                <w:div w:id="14371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16690686">
      <w:bodyDiv w:val="1"/>
      <w:marLeft w:val="0"/>
      <w:marRight w:val="0"/>
      <w:marTop w:val="0"/>
      <w:marBottom w:val="0"/>
      <w:divBdr>
        <w:top w:val="none" w:sz="0" w:space="0" w:color="auto"/>
        <w:left w:val="none" w:sz="0" w:space="0" w:color="auto"/>
        <w:bottom w:val="none" w:sz="0" w:space="0" w:color="auto"/>
        <w:right w:val="none" w:sz="0" w:space="0" w:color="auto"/>
      </w:divBdr>
      <w:divsChild>
        <w:div w:id="131100830">
          <w:marLeft w:val="0"/>
          <w:marRight w:val="0"/>
          <w:marTop w:val="0"/>
          <w:marBottom w:val="0"/>
          <w:divBdr>
            <w:top w:val="none" w:sz="0" w:space="0" w:color="auto"/>
            <w:left w:val="none" w:sz="0" w:space="0" w:color="auto"/>
            <w:bottom w:val="none" w:sz="0" w:space="0" w:color="auto"/>
            <w:right w:val="none" w:sz="0" w:space="0" w:color="auto"/>
          </w:divBdr>
          <w:divsChild>
            <w:div w:id="860051332">
              <w:marLeft w:val="0"/>
              <w:marRight w:val="0"/>
              <w:marTop w:val="0"/>
              <w:marBottom w:val="0"/>
              <w:divBdr>
                <w:top w:val="none" w:sz="0" w:space="0" w:color="auto"/>
                <w:left w:val="none" w:sz="0" w:space="0" w:color="auto"/>
                <w:bottom w:val="none" w:sz="0" w:space="0" w:color="auto"/>
                <w:right w:val="none" w:sz="0" w:space="0" w:color="auto"/>
              </w:divBdr>
              <w:divsChild>
                <w:div w:id="20345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0406">
      <w:bodyDiv w:val="1"/>
      <w:marLeft w:val="0"/>
      <w:marRight w:val="0"/>
      <w:marTop w:val="0"/>
      <w:marBottom w:val="0"/>
      <w:divBdr>
        <w:top w:val="none" w:sz="0" w:space="0" w:color="auto"/>
        <w:left w:val="none" w:sz="0" w:space="0" w:color="auto"/>
        <w:bottom w:val="none" w:sz="0" w:space="0" w:color="auto"/>
        <w:right w:val="none" w:sz="0" w:space="0" w:color="auto"/>
      </w:divBdr>
      <w:divsChild>
        <w:div w:id="402800147">
          <w:marLeft w:val="0"/>
          <w:marRight w:val="0"/>
          <w:marTop w:val="0"/>
          <w:marBottom w:val="0"/>
          <w:divBdr>
            <w:top w:val="none" w:sz="0" w:space="0" w:color="auto"/>
            <w:left w:val="none" w:sz="0" w:space="0" w:color="auto"/>
            <w:bottom w:val="none" w:sz="0" w:space="0" w:color="auto"/>
            <w:right w:val="none" w:sz="0" w:space="0" w:color="auto"/>
          </w:divBdr>
          <w:divsChild>
            <w:div w:id="2136630176">
              <w:marLeft w:val="0"/>
              <w:marRight w:val="0"/>
              <w:marTop w:val="0"/>
              <w:marBottom w:val="0"/>
              <w:divBdr>
                <w:top w:val="none" w:sz="0" w:space="0" w:color="auto"/>
                <w:left w:val="none" w:sz="0" w:space="0" w:color="auto"/>
                <w:bottom w:val="none" w:sz="0" w:space="0" w:color="auto"/>
                <w:right w:val="none" w:sz="0" w:space="0" w:color="auto"/>
              </w:divBdr>
              <w:divsChild>
                <w:div w:id="15237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97">
      <w:bodyDiv w:val="1"/>
      <w:marLeft w:val="0"/>
      <w:marRight w:val="0"/>
      <w:marTop w:val="0"/>
      <w:marBottom w:val="0"/>
      <w:divBdr>
        <w:top w:val="none" w:sz="0" w:space="0" w:color="auto"/>
        <w:left w:val="none" w:sz="0" w:space="0" w:color="auto"/>
        <w:bottom w:val="none" w:sz="0" w:space="0" w:color="auto"/>
        <w:right w:val="none" w:sz="0" w:space="0" w:color="auto"/>
      </w:divBdr>
    </w:div>
    <w:div w:id="2071801762">
      <w:bodyDiv w:val="1"/>
      <w:marLeft w:val="0"/>
      <w:marRight w:val="0"/>
      <w:marTop w:val="0"/>
      <w:marBottom w:val="0"/>
      <w:divBdr>
        <w:top w:val="none" w:sz="0" w:space="0" w:color="auto"/>
        <w:left w:val="none" w:sz="0" w:space="0" w:color="auto"/>
        <w:bottom w:val="none" w:sz="0" w:space="0" w:color="auto"/>
        <w:right w:val="none" w:sz="0" w:space="0" w:color="auto"/>
      </w:divBdr>
      <w:divsChild>
        <w:div w:id="90784913">
          <w:marLeft w:val="0"/>
          <w:marRight w:val="0"/>
          <w:marTop w:val="0"/>
          <w:marBottom w:val="0"/>
          <w:divBdr>
            <w:top w:val="none" w:sz="0" w:space="0" w:color="auto"/>
            <w:left w:val="none" w:sz="0" w:space="0" w:color="auto"/>
            <w:bottom w:val="none" w:sz="0" w:space="0" w:color="auto"/>
            <w:right w:val="none" w:sz="0" w:space="0" w:color="auto"/>
          </w:divBdr>
          <w:divsChild>
            <w:div w:id="1639142116">
              <w:marLeft w:val="0"/>
              <w:marRight w:val="0"/>
              <w:marTop w:val="0"/>
              <w:marBottom w:val="0"/>
              <w:divBdr>
                <w:top w:val="none" w:sz="0" w:space="0" w:color="auto"/>
                <w:left w:val="none" w:sz="0" w:space="0" w:color="auto"/>
                <w:bottom w:val="none" w:sz="0" w:space="0" w:color="auto"/>
                <w:right w:val="none" w:sz="0" w:space="0" w:color="auto"/>
              </w:divBdr>
              <w:divsChild>
                <w:div w:id="12193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8621">
      <w:bodyDiv w:val="1"/>
      <w:marLeft w:val="0"/>
      <w:marRight w:val="0"/>
      <w:marTop w:val="0"/>
      <w:marBottom w:val="0"/>
      <w:divBdr>
        <w:top w:val="none" w:sz="0" w:space="0" w:color="auto"/>
        <w:left w:val="none" w:sz="0" w:space="0" w:color="auto"/>
        <w:bottom w:val="none" w:sz="0" w:space="0" w:color="auto"/>
        <w:right w:val="none" w:sz="0" w:space="0" w:color="auto"/>
      </w:divBdr>
      <w:divsChild>
        <w:div w:id="46345105">
          <w:marLeft w:val="0"/>
          <w:marRight w:val="0"/>
          <w:marTop w:val="0"/>
          <w:marBottom w:val="0"/>
          <w:divBdr>
            <w:top w:val="none" w:sz="0" w:space="0" w:color="auto"/>
            <w:left w:val="none" w:sz="0" w:space="0" w:color="auto"/>
            <w:bottom w:val="none" w:sz="0" w:space="0" w:color="auto"/>
            <w:right w:val="none" w:sz="0" w:space="0" w:color="auto"/>
          </w:divBdr>
          <w:divsChild>
            <w:div w:id="437719795">
              <w:marLeft w:val="0"/>
              <w:marRight w:val="0"/>
              <w:marTop w:val="0"/>
              <w:marBottom w:val="0"/>
              <w:divBdr>
                <w:top w:val="none" w:sz="0" w:space="0" w:color="auto"/>
                <w:left w:val="none" w:sz="0" w:space="0" w:color="auto"/>
                <w:bottom w:val="none" w:sz="0" w:space="0" w:color="auto"/>
                <w:right w:val="none" w:sz="0" w:space="0" w:color="auto"/>
              </w:divBdr>
              <w:divsChild>
                <w:div w:id="659429271">
                  <w:marLeft w:val="0"/>
                  <w:marRight w:val="0"/>
                  <w:marTop w:val="0"/>
                  <w:marBottom w:val="0"/>
                  <w:divBdr>
                    <w:top w:val="none" w:sz="0" w:space="0" w:color="auto"/>
                    <w:left w:val="none" w:sz="0" w:space="0" w:color="auto"/>
                    <w:bottom w:val="none" w:sz="0" w:space="0" w:color="auto"/>
                    <w:right w:val="none" w:sz="0" w:space="0" w:color="auto"/>
                  </w:divBdr>
                  <w:divsChild>
                    <w:div w:id="868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078087724">
      <w:bodyDiv w:val="1"/>
      <w:marLeft w:val="0"/>
      <w:marRight w:val="0"/>
      <w:marTop w:val="0"/>
      <w:marBottom w:val="0"/>
      <w:divBdr>
        <w:top w:val="none" w:sz="0" w:space="0" w:color="auto"/>
        <w:left w:val="none" w:sz="0" w:space="0" w:color="auto"/>
        <w:bottom w:val="none" w:sz="0" w:space="0" w:color="auto"/>
        <w:right w:val="none" w:sz="0" w:space="0" w:color="auto"/>
      </w:divBdr>
      <w:divsChild>
        <w:div w:id="1175077155">
          <w:marLeft w:val="0"/>
          <w:marRight w:val="0"/>
          <w:marTop w:val="0"/>
          <w:marBottom w:val="0"/>
          <w:divBdr>
            <w:top w:val="none" w:sz="0" w:space="0" w:color="auto"/>
            <w:left w:val="none" w:sz="0" w:space="0" w:color="auto"/>
            <w:bottom w:val="none" w:sz="0" w:space="0" w:color="auto"/>
            <w:right w:val="none" w:sz="0" w:space="0" w:color="auto"/>
          </w:divBdr>
          <w:divsChild>
            <w:div w:id="604462252">
              <w:marLeft w:val="0"/>
              <w:marRight w:val="0"/>
              <w:marTop w:val="0"/>
              <w:marBottom w:val="0"/>
              <w:divBdr>
                <w:top w:val="none" w:sz="0" w:space="0" w:color="auto"/>
                <w:left w:val="none" w:sz="0" w:space="0" w:color="auto"/>
                <w:bottom w:val="none" w:sz="0" w:space="0" w:color="auto"/>
                <w:right w:val="none" w:sz="0" w:space="0" w:color="auto"/>
              </w:divBdr>
              <w:divsChild>
                <w:div w:id="10242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4749">
      <w:bodyDiv w:val="1"/>
      <w:marLeft w:val="0"/>
      <w:marRight w:val="0"/>
      <w:marTop w:val="0"/>
      <w:marBottom w:val="0"/>
      <w:divBdr>
        <w:top w:val="none" w:sz="0" w:space="0" w:color="auto"/>
        <w:left w:val="none" w:sz="0" w:space="0" w:color="auto"/>
        <w:bottom w:val="none" w:sz="0" w:space="0" w:color="auto"/>
        <w:right w:val="none" w:sz="0" w:space="0" w:color="auto"/>
      </w:divBdr>
      <w:divsChild>
        <w:div w:id="834608156">
          <w:marLeft w:val="0"/>
          <w:marRight w:val="0"/>
          <w:marTop w:val="0"/>
          <w:marBottom w:val="0"/>
          <w:divBdr>
            <w:top w:val="none" w:sz="0" w:space="0" w:color="auto"/>
            <w:left w:val="none" w:sz="0" w:space="0" w:color="auto"/>
            <w:bottom w:val="none" w:sz="0" w:space="0" w:color="auto"/>
            <w:right w:val="none" w:sz="0" w:space="0" w:color="auto"/>
          </w:divBdr>
          <w:divsChild>
            <w:div w:id="1165393610">
              <w:marLeft w:val="0"/>
              <w:marRight w:val="0"/>
              <w:marTop w:val="0"/>
              <w:marBottom w:val="0"/>
              <w:divBdr>
                <w:top w:val="none" w:sz="0" w:space="0" w:color="auto"/>
                <w:left w:val="none" w:sz="0" w:space="0" w:color="auto"/>
                <w:bottom w:val="none" w:sz="0" w:space="0" w:color="auto"/>
                <w:right w:val="none" w:sz="0" w:space="0" w:color="auto"/>
              </w:divBdr>
              <w:divsChild>
                <w:div w:id="46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4613">
      <w:bodyDiv w:val="1"/>
      <w:marLeft w:val="0"/>
      <w:marRight w:val="0"/>
      <w:marTop w:val="0"/>
      <w:marBottom w:val="0"/>
      <w:divBdr>
        <w:top w:val="none" w:sz="0" w:space="0" w:color="auto"/>
        <w:left w:val="none" w:sz="0" w:space="0" w:color="auto"/>
        <w:bottom w:val="none" w:sz="0" w:space="0" w:color="auto"/>
        <w:right w:val="none" w:sz="0" w:space="0" w:color="auto"/>
      </w:divBdr>
      <w:divsChild>
        <w:div w:id="1123844061">
          <w:marLeft w:val="0"/>
          <w:marRight w:val="0"/>
          <w:marTop w:val="0"/>
          <w:marBottom w:val="0"/>
          <w:divBdr>
            <w:top w:val="none" w:sz="0" w:space="0" w:color="auto"/>
            <w:left w:val="none" w:sz="0" w:space="0" w:color="auto"/>
            <w:bottom w:val="none" w:sz="0" w:space="0" w:color="auto"/>
            <w:right w:val="none" w:sz="0" w:space="0" w:color="auto"/>
          </w:divBdr>
          <w:divsChild>
            <w:div w:id="380638621">
              <w:marLeft w:val="0"/>
              <w:marRight w:val="0"/>
              <w:marTop w:val="0"/>
              <w:marBottom w:val="0"/>
              <w:divBdr>
                <w:top w:val="none" w:sz="0" w:space="0" w:color="auto"/>
                <w:left w:val="none" w:sz="0" w:space="0" w:color="auto"/>
                <w:bottom w:val="none" w:sz="0" w:space="0" w:color="auto"/>
                <w:right w:val="none" w:sz="0" w:space="0" w:color="auto"/>
              </w:divBdr>
              <w:divsChild>
                <w:div w:id="4520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 w:id="2138259004">
      <w:bodyDiv w:val="1"/>
      <w:marLeft w:val="0"/>
      <w:marRight w:val="0"/>
      <w:marTop w:val="0"/>
      <w:marBottom w:val="0"/>
      <w:divBdr>
        <w:top w:val="none" w:sz="0" w:space="0" w:color="auto"/>
        <w:left w:val="none" w:sz="0" w:space="0" w:color="auto"/>
        <w:bottom w:val="none" w:sz="0" w:space="0" w:color="auto"/>
        <w:right w:val="none" w:sz="0" w:space="0" w:color="auto"/>
      </w:divBdr>
      <w:divsChild>
        <w:div w:id="1180506621">
          <w:marLeft w:val="0"/>
          <w:marRight w:val="0"/>
          <w:marTop w:val="0"/>
          <w:marBottom w:val="0"/>
          <w:divBdr>
            <w:top w:val="none" w:sz="0" w:space="0" w:color="auto"/>
            <w:left w:val="none" w:sz="0" w:space="0" w:color="auto"/>
            <w:bottom w:val="none" w:sz="0" w:space="0" w:color="auto"/>
            <w:right w:val="none" w:sz="0" w:space="0" w:color="auto"/>
          </w:divBdr>
          <w:divsChild>
            <w:div w:id="1203177988">
              <w:marLeft w:val="0"/>
              <w:marRight w:val="0"/>
              <w:marTop w:val="0"/>
              <w:marBottom w:val="0"/>
              <w:divBdr>
                <w:top w:val="none" w:sz="0" w:space="0" w:color="auto"/>
                <w:left w:val="none" w:sz="0" w:space="0" w:color="auto"/>
                <w:bottom w:val="none" w:sz="0" w:space="0" w:color="auto"/>
                <w:right w:val="none" w:sz="0" w:space="0" w:color="auto"/>
              </w:divBdr>
              <w:divsChild>
                <w:div w:id="202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965B-AEA0-CA45-A006-E0CEAE3A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8966</Words>
  <Characters>48509</Characters>
  <Application>Microsoft Office Word</Application>
  <DocSecurity>0</DocSecurity>
  <Lines>746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453/21</dc:title>
  <dc:creator/>
  <cp:lastModifiedBy/>
  <cp:revision>1</cp:revision>
  <dcterms:created xsi:type="dcterms:W3CDTF">2022-04-04T16:56:00Z</dcterms:created>
  <dcterms:modified xsi:type="dcterms:W3CDTF">2022-04-04T16:56:00Z</dcterms:modified>
</cp:coreProperties>
</file>