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9D304D" w:rsidRDefault="006311DA" w:rsidP="00627C9F">
      <w:pPr>
        <w:jc w:val="both"/>
        <w:rPr>
          <w:rFonts w:asciiTheme="majorHAnsi" w:hAnsiTheme="majorHAnsi" w:cs="Univers"/>
          <w:b/>
          <w:bCs/>
          <w:sz w:val="22"/>
          <w:szCs w:val="22"/>
        </w:rPr>
      </w:pPr>
      <w:r w:rsidRPr="009D304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4E81614D">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D0A89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9D304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483A8C" w:rsidRDefault="00483A8C">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483A8C" w:rsidRDefault="00483A8C">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9D304D" w:rsidRDefault="00040C3A" w:rsidP="00040C3A">
      <w:pPr>
        <w:tabs>
          <w:tab w:val="center" w:pos="5400"/>
        </w:tabs>
        <w:suppressAutoHyphens/>
        <w:jc w:val="both"/>
        <w:rPr>
          <w:rFonts w:asciiTheme="majorHAnsi" w:hAnsiTheme="majorHAnsi"/>
          <w:sz w:val="22"/>
          <w:szCs w:val="22"/>
        </w:rPr>
      </w:pPr>
    </w:p>
    <w:p w14:paraId="54AC1FBF" w14:textId="77777777" w:rsidR="00040C3A" w:rsidRPr="009D304D" w:rsidRDefault="00040C3A" w:rsidP="00040C3A">
      <w:pPr>
        <w:tabs>
          <w:tab w:val="center" w:pos="5400"/>
        </w:tabs>
        <w:suppressAutoHyphens/>
        <w:jc w:val="both"/>
        <w:rPr>
          <w:rFonts w:asciiTheme="majorHAnsi" w:hAnsiTheme="majorHAnsi"/>
          <w:sz w:val="22"/>
          <w:szCs w:val="22"/>
        </w:rPr>
      </w:pPr>
    </w:p>
    <w:p w14:paraId="6A4AC464" w14:textId="77777777" w:rsidR="005128E4" w:rsidRPr="009D304D" w:rsidRDefault="005128E4" w:rsidP="00040C3A">
      <w:pPr>
        <w:tabs>
          <w:tab w:val="center" w:pos="5400"/>
        </w:tabs>
        <w:suppressAutoHyphens/>
        <w:rPr>
          <w:rFonts w:asciiTheme="majorHAnsi" w:hAnsiTheme="majorHAnsi"/>
          <w:sz w:val="22"/>
          <w:szCs w:val="22"/>
        </w:rPr>
      </w:pPr>
    </w:p>
    <w:p w14:paraId="515D20A5" w14:textId="77777777" w:rsidR="005128E4" w:rsidRPr="009D304D" w:rsidRDefault="005128E4" w:rsidP="00040C3A">
      <w:pPr>
        <w:tabs>
          <w:tab w:val="center" w:pos="5400"/>
        </w:tabs>
        <w:suppressAutoHyphens/>
        <w:rPr>
          <w:rFonts w:asciiTheme="majorHAnsi" w:hAnsiTheme="majorHAnsi"/>
          <w:sz w:val="22"/>
          <w:szCs w:val="22"/>
        </w:rPr>
      </w:pPr>
    </w:p>
    <w:p w14:paraId="7CBA3E7E" w14:textId="77777777" w:rsidR="005128E4" w:rsidRPr="009D304D" w:rsidRDefault="005128E4" w:rsidP="00040C3A">
      <w:pPr>
        <w:tabs>
          <w:tab w:val="center" w:pos="5400"/>
        </w:tabs>
        <w:suppressAutoHyphens/>
        <w:rPr>
          <w:rFonts w:asciiTheme="majorHAnsi" w:hAnsiTheme="majorHAnsi"/>
          <w:sz w:val="22"/>
          <w:szCs w:val="22"/>
        </w:rPr>
      </w:pPr>
    </w:p>
    <w:p w14:paraId="0FFC5ED6" w14:textId="77777777" w:rsidR="00040C3A" w:rsidRPr="009D304D" w:rsidRDefault="00040C3A" w:rsidP="005128E4">
      <w:pPr>
        <w:tabs>
          <w:tab w:val="center" w:pos="5400"/>
        </w:tabs>
        <w:suppressAutoHyphens/>
        <w:jc w:val="center"/>
        <w:rPr>
          <w:rFonts w:asciiTheme="majorHAnsi" w:hAnsiTheme="majorHAnsi"/>
          <w:sz w:val="22"/>
          <w:szCs w:val="22"/>
        </w:rPr>
      </w:pPr>
    </w:p>
    <w:p w14:paraId="5FCF0358" w14:textId="77777777" w:rsidR="00040C3A" w:rsidRPr="009D304D" w:rsidRDefault="00040C3A" w:rsidP="005128E4">
      <w:pPr>
        <w:tabs>
          <w:tab w:val="center" w:pos="5400"/>
        </w:tabs>
        <w:suppressAutoHyphens/>
        <w:jc w:val="center"/>
        <w:rPr>
          <w:rFonts w:asciiTheme="majorHAnsi" w:hAnsiTheme="majorHAnsi"/>
          <w:sz w:val="22"/>
          <w:szCs w:val="22"/>
        </w:rPr>
      </w:pPr>
    </w:p>
    <w:p w14:paraId="23C02B60" w14:textId="77777777" w:rsidR="005B52B0" w:rsidRPr="009D304D" w:rsidRDefault="005B52B0" w:rsidP="005128E4">
      <w:pPr>
        <w:tabs>
          <w:tab w:val="center" w:pos="5400"/>
        </w:tabs>
        <w:suppressAutoHyphens/>
        <w:jc w:val="center"/>
        <w:rPr>
          <w:rFonts w:asciiTheme="majorHAnsi" w:hAnsiTheme="majorHAnsi"/>
          <w:sz w:val="22"/>
          <w:szCs w:val="22"/>
        </w:rPr>
      </w:pPr>
    </w:p>
    <w:p w14:paraId="1E4CC4A3" w14:textId="77777777" w:rsidR="005B52B0" w:rsidRPr="009D304D" w:rsidRDefault="005B52B0" w:rsidP="005128E4">
      <w:pPr>
        <w:tabs>
          <w:tab w:val="center" w:pos="5400"/>
        </w:tabs>
        <w:suppressAutoHyphens/>
        <w:jc w:val="center"/>
        <w:rPr>
          <w:rFonts w:asciiTheme="majorHAnsi" w:hAnsiTheme="majorHAnsi"/>
          <w:sz w:val="22"/>
          <w:szCs w:val="22"/>
        </w:rPr>
      </w:pPr>
    </w:p>
    <w:p w14:paraId="022074FD" w14:textId="77777777" w:rsidR="005B52B0" w:rsidRPr="009D304D" w:rsidRDefault="005B52B0" w:rsidP="005128E4">
      <w:pPr>
        <w:tabs>
          <w:tab w:val="center" w:pos="5400"/>
        </w:tabs>
        <w:suppressAutoHyphens/>
        <w:jc w:val="center"/>
        <w:rPr>
          <w:rFonts w:asciiTheme="majorHAnsi" w:hAnsiTheme="majorHAnsi"/>
          <w:sz w:val="22"/>
          <w:szCs w:val="22"/>
        </w:rPr>
      </w:pPr>
    </w:p>
    <w:p w14:paraId="3234C43C" w14:textId="77777777" w:rsidR="00040C3A" w:rsidRPr="009D304D" w:rsidRDefault="00040C3A" w:rsidP="00040C3A">
      <w:pPr>
        <w:tabs>
          <w:tab w:val="center" w:pos="5400"/>
        </w:tabs>
        <w:suppressAutoHyphens/>
        <w:jc w:val="center"/>
        <w:rPr>
          <w:rFonts w:asciiTheme="majorHAnsi" w:hAnsiTheme="majorHAnsi"/>
          <w:sz w:val="22"/>
          <w:szCs w:val="22"/>
        </w:rPr>
      </w:pPr>
    </w:p>
    <w:p w14:paraId="2D58FFBA" w14:textId="77777777" w:rsidR="00040C3A" w:rsidRPr="009D304D" w:rsidRDefault="00040C3A" w:rsidP="00040C3A">
      <w:pPr>
        <w:tabs>
          <w:tab w:val="center" w:pos="5400"/>
        </w:tabs>
        <w:suppressAutoHyphens/>
        <w:jc w:val="center"/>
        <w:rPr>
          <w:rFonts w:asciiTheme="majorHAnsi" w:hAnsiTheme="majorHAnsi"/>
          <w:sz w:val="22"/>
          <w:szCs w:val="22"/>
        </w:rPr>
      </w:pPr>
    </w:p>
    <w:p w14:paraId="4A574974" w14:textId="77777777" w:rsidR="00040C3A" w:rsidRPr="009D304D" w:rsidRDefault="00040C3A" w:rsidP="00040C3A">
      <w:pPr>
        <w:tabs>
          <w:tab w:val="center" w:pos="5400"/>
        </w:tabs>
        <w:suppressAutoHyphens/>
        <w:jc w:val="center"/>
        <w:rPr>
          <w:rFonts w:asciiTheme="majorHAnsi" w:hAnsiTheme="majorHAnsi"/>
          <w:sz w:val="22"/>
          <w:szCs w:val="22"/>
        </w:rPr>
      </w:pPr>
    </w:p>
    <w:p w14:paraId="11A9BA8A" w14:textId="77777777" w:rsidR="00040C3A" w:rsidRPr="009D304D" w:rsidRDefault="00E533FF" w:rsidP="00040C3A">
      <w:pPr>
        <w:tabs>
          <w:tab w:val="center" w:pos="5400"/>
        </w:tabs>
        <w:suppressAutoHyphens/>
        <w:jc w:val="center"/>
        <w:rPr>
          <w:rFonts w:asciiTheme="majorHAnsi" w:hAnsiTheme="majorHAnsi"/>
          <w:sz w:val="22"/>
          <w:szCs w:val="22"/>
        </w:rPr>
      </w:pPr>
      <w:r w:rsidRPr="009D304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92899F8" w:rsidR="00483A8C" w:rsidRPr="004B7EB6" w:rsidRDefault="00483A8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6016E5">
                              <w:rPr>
                                <w:rFonts w:asciiTheme="majorHAnsi" w:hAnsiTheme="majorHAnsi" w:cs="Arial"/>
                                <w:b/>
                                <w:bCs/>
                                <w:color w:val="0D0D0D" w:themeColor="text1" w:themeTint="F2"/>
                                <w:sz w:val="36"/>
                                <w:szCs w:val="40"/>
                              </w:rPr>
                              <w:t>112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w:t>
                            </w:r>
                            <w:r w:rsidR="0087129C">
                              <w:rPr>
                                <w:rFonts w:asciiTheme="majorHAnsi" w:hAnsiTheme="majorHAnsi" w:cs="Arial"/>
                                <w:b/>
                                <w:bCs/>
                                <w:color w:val="0D0D0D" w:themeColor="text1" w:themeTint="F2"/>
                                <w:sz w:val="36"/>
                                <w:szCs w:val="40"/>
                              </w:rPr>
                              <w:t>1</w:t>
                            </w:r>
                          </w:p>
                          <w:p w14:paraId="081F51F3" w14:textId="75FF5EC7" w:rsidR="00483A8C" w:rsidRPr="004B7EB6" w:rsidRDefault="00483A8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6016E5">
                              <w:rPr>
                                <w:rFonts w:asciiTheme="majorHAnsi" w:hAnsiTheme="majorHAnsi"/>
                                <w:b/>
                                <w:bCs/>
                                <w:sz w:val="36"/>
                                <w:szCs w:val="36"/>
                              </w:rPr>
                              <w:t>66</w:t>
                            </w:r>
                            <w:r w:rsidRPr="00E40676">
                              <w:rPr>
                                <w:rFonts w:asciiTheme="majorHAnsi" w:hAnsiTheme="majorHAnsi"/>
                                <w:b/>
                                <w:bCs/>
                                <w:sz w:val="36"/>
                                <w:szCs w:val="36"/>
                              </w:rPr>
                              <w:t>-1</w:t>
                            </w:r>
                            <w:r w:rsidR="006016E5">
                              <w:rPr>
                                <w:rFonts w:asciiTheme="majorHAnsi" w:hAnsiTheme="majorHAnsi"/>
                                <w:b/>
                                <w:bCs/>
                                <w:sz w:val="36"/>
                                <w:szCs w:val="36"/>
                              </w:rPr>
                              <w:t>2</w:t>
                            </w:r>
                          </w:p>
                          <w:p w14:paraId="34978E5A" w14:textId="44DA6B6F" w:rsidR="00483A8C" w:rsidRPr="004B7EB6" w:rsidRDefault="00483A8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483A8C" w:rsidRPr="004B7EB6" w:rsidRDefault="00483A8C" w:rsidP="004B7EB6">
                            <w:pPr>
                              <w:spacing w:line="276" w:lineRule="auto"/>
                              <w:rPr>
                                <w:rFonts w:asciiTheme="majorHAnsi" w:hAnsiTheme="majorHAnsi" w:cs="Arial"/>
                                <w:color w:val="0D0D0D" w:themeColor="text1" w:themeTint="F2"/>
                                <w:szCs w:val="22"/>
                              </w:rPr>
                            </w:pPr>
                          </w:p>
                          <w:p w14:paraId="17A89EFB" w14:textId="52170D43" w:rsidR="00483A8C" w:rsidRDefault="006016E5" w:rsidP="00932B94">
                            <w:pPr>
                              <w:spacing w:line="276" w:lineRule="auto"/>
                              <w:rPr>
                                <w:rFonts w:asciiTheme="majorHAnsi" w:hAnsiTheme="majorHAnsi" w:cs="Arial"/>
                                <w:color w:val="0D0D0D" w:themeColor="text1" w:themeTint="F2"/>
                                <w:szCs w:val="22"/>
                                <w:lang w:val="es-ES_tradnl"/>
                              </w:rPr>
                            </w:pPr>
                            <w:r>
                              <w:rPr>
                                <w:rFonts w:ascii="Cambria" w:hAnsi="Cambria" w:cs="Arial"/>
                                <w:color w:val="0D0D0D"/>
                              </w:rPr>
                              <w:t>HUMBERTO JESUS TEMPESTA HERRADA</w:t>
                            </w:r>
                          </w:p>
                          <w:p w14:paraId="4E072F88" w14:textId="20C0CBD4" w:rsidR="006016E5" w:rsidRPr="006016E5" w:rsidRDefault="006016E5" w:rsidP="00932B94">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PERU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292899F8" w:rsidR="00483A8C" w:rsidRPr="004B7EB6" w:rsidRDefault="00483A8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6016E5">
                        <w:rPr>
                          <w:rFonts w:asciiTheme="majorHAnsi" w:hAnsiTheme="majorHAnsi" w:cs="Arial"/>
                          <w:b/>
                          <w:bCs/>
                          <w:color w:val="0D0D0D" w:themeColor="text1" w:themeTint="F2"/>
                          <w:sz w:val="36"/>
                          <w:szCs w:val="40"/>
                        </w:rPr>
                        <w:t>112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w:t>
                      </w:r>
                      <w:r w:rsidR="0087129C">
                        <w:rPr>
                          <w:rFonts w:asciiTheme="majorHAnsi" w:hAnsiTheme="majorHAnsi" w:cs="Arial"/>
                          <w:b/>
                          <w:bCs/>
                          <w:color w:val="0D0D0D" w:themeColor="text1" w:themeTint="F2"/>
                          <w:sz w:val="36"/>
                          <w:szCs w:val="40"/>
                        </w:rPr>
                        <w:t>1</w:t>
                      </w:r>
                    </w:p>
                    <w:p w14:paraId="081F51F3" w14:textId="75FF5EC7" w:rsidR="00483A8C" w:rsidRPr="004B7EB6" w:rsidRDefault="00483A8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6016E5">
                        <w:rPr>
                          <w:rFonts w:asciiTheme="majorHAnsi" w:hAnsiTheme="majorHAnsi"/>
                          <w:b/>
                          <w:bCs/>
                          <w:sz w:val="36"/>
                          <w:szCs w:val="36"/>
                        </w:rPr>
                        <w:t>66</w:t>
                      </w:r>
                      <w:r w:rsidRPr="00E40676">
                        <w:rPr>
                          <w:rFonts w:asciiTheme="majorHAnsi" w:hAnsiTheme="majorHAnsi"/>
                          <w:b/>
                          <w:bCs/>
                          <w:sz w:val="36"/>
                          <w:szCs w:val="36"/>
                        </w:rPr>
                        <w:t>-1</w:t>
                      </w:r>
                      <w:r w:rsidR="006016E5">
                        <w:rPr>
                          <w:rFonts w:asciiTheme="majorHAnsi" w:hAnsiTheme="majorHAnsi"/>
                          <w:b/>
                          <w:bCs/>
                          <w:sz w:val="36"/>
                          <w:szCs w:val="36"/>
                        </w:rPr>
                        <w:t>2</w:t>
                      </w:r>
                    </w:p>
                    <w:p w14:paraId="34978E5A" w14:textId="44DA6B6F" w:rsidR="00483A8C" w:rsidRPr="004B7EB6" w:rsidRDefault="00483A8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483A8C" w:rsidRPr="004B7EB6" w:rsidRDefault="00483A8C" w:rsidP="004B7EB6">
                      <w:pPr>
                        <w:spacing w:line="276" w:lineRule="auto"/>
                        <w:rPr>
                          <w:rFonts w:asciiTheme="majorHAnsi" w:hAnsiTheme="majorHAnsi" w:cs="Arial"/>
                          <w:color w:val="0D0D0D" w:themeColor="text1" w:themeTint="F2"/>
                          <w:szCs w:val="22"/>
                        </w:rPr>
                      </w:pPr>
                    </w:p>
                    <w:p w14:paraId="17A89EFB" w14:textId="52170D43" w:rsidR="00483A8C" w:rsidRDefault="006016E5" w:rsidP="00932B94">
                      <w:pPr>
                        <w:spacing w:line="276" w:lineRule="auto"/>
                        <w:rPr>
                          <w:rFonts w:asciiTheme="majorHAnsi" w:hAnsiTheme="majorHAnsi" w:cs="Arial"/>
                          <w:color w:val="0D0D0D" w:themeColor="text1" w:themeTint="F2"/>
                          <w:szCs w:val="22"/>
                          <w:lang w:val="es-ES_tradnl"/>
                        </w:rPr>
                      </w:pPr>
                      <w:r>
                        <w:rPr>
                          <w:rFonts w:ascii="Cambria" w:hAnsi="Cambria" w:cs="Arial"/>
                          <w:color w:val="0D0D0D"/>
                        </w:rPr>
                        <w:t>HUMBERTO JES</w:t>
                      </w:r>
                      <w:r>
                        <w:rPr>
                          <w:rFonts w:ascii="Cambria" w:hAnsi="Cambria" w:cs="Arial"/>
                          <w:color w:val="0D0D0D"/>
                        </w:rPr>
                        <w:t>U</w:t>
                      </w:r>
                      <w:r>
                        <w:rPr>
                          <w:rFonts w:ascii="Cambria" w:hAnsi="Cambria" w:cs="Arial"/>
                          <w:color w:val="0D0D0D"/>
                        </w:rPr>
                        <w:t>S TEMPESTA HERRADA</w:t>
                      </w:r>
                    </w:p>
                    <w:p w14:paraId="4E072F88" w14:textId="20C0CBD4" w:rsidR="006016E5" w:rsidRPr="006016E5" w:rsidRDefault="006016E5" w:rsidP="00932B94">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PERU</w:t>
                      </w:r>
                    </w:p>
                  </w:txbxContent>
                </v:textbox>
              </v:shape>
            </w:pict>
          </mc:Fallback>
        </mc:AlternateContent>
      </w:r>
      <w:r w:rsidR="004B7EB6" w:rsidRPr="009D304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368C05F" w:rsidR="00483A8C" w:rsidRPr="00D60B92" w:rsidRDefault="00483A8C" w:rsidP="009E566A">
                            <w:pPr>
                              <w:jc w:val="right"/>
                              <w:rPr>
                                <w:rFonts w:asciiTheme="minorHAnsi" w:hAnsiTheme="minorHAnsi"/>
                                <w:color w:val="FFFFFF" w:themeColor="background1"/>
                                <w:sz w:val="22"/>
                                <w:lang w:val="es-US"/>
                              </w:rPr>
                            </w:pPr>
                            <w:r w:rsidRPr="00D60B92">
                              <w:rPr>
                                <w:rFonts w:asciiTheme="minorHAnsi" w:hAnsiTheme="minorHAnsi"/>
                                <w:color w:val="FFFFFF" w:themeColor="background1"/>
                                <w:sz w:val="22"/>
                                <w:lang w:val="es-US"/>
                              </w:rPr>
                              <w:t>OEA/</w:t>
                            </w:r>
                            <w:proofErr w:type="spellStart"/>
                            <w:r w:rsidRPr="00D60B92">
                              <w:rPr>
                                <w:rFonts w:asciiTheme="minorHAnsi" w:hAnsiTheme="minorHAnsi"/>
                                <w:color w:val="FFFFFF" w:themeColor="background1"/>
                                <w:sz w:val="22"/>
                                <w:lang w:val="es-US"/>
                              </w:rPr>
                              <w:t>Ser.L</w:t>
                            </w:r>
                            <w:proofErr w:type="spellEnd"/>
                            <w:r w:rsidRPr="00D60B92">
                              <w:rPr>
                                <w:rFonts w:asciiTheme="minorHAnsi" w:hAnsiTheme="minorHAnsi"/>
                                <w:color w:val="FFFFFF" w:themeColor="background1"/>
                                <w:sz w:val="22"/>
                                <w:lang w:val="es-US"/>
                              </w:rPr>
                              <w:t>/V/II</w:t>
                            </w:r>
                          </w:p>
                          <w:p w14:paraId="4AA08A8C" w14:textId="47A6CFBC" w:rsidR="00483A8C" w:rsidRPr="00D60B92" w:rsidRDefault="00483A8C" w:rsidP="009E566A">
                            <w:pPr>
                              <w:jc w:val="right"/>
                              <w:rPr>
                                <w:rFonts w:asciiTheme="minorHAnsi" w:hAnsiTheme="minorHAnsi"/>
                                <w:color w:val="FFFFFF" w:themeColor="background1"/>
                                <w:sz w:val="22"/>
                                <w:lang w:val="es-US"/>
                              </w:rPr>
                            </w:pPr>
                            <w:r w:rsidRPr="00D60B92">
                              <w:rPr>
                                <w:rFonts w:asciiTheme="minorHAnsi" w:hAnsiTheme="minorHAnsi"/>
                                <w:color w:val="FFFFFF" w:themeColor="background1"/>
                                <w:sz w:val="22"/>
                                <w:lang w:val="es-US"/>
                              </w:rPr>
                              <w:t>Doc.</w:t>
                            </w:r>
                            <w:r w:rsidR="0087129C" w:rsidRPr="00D60B92">
                              <w:rPr>
                                <w:rFonts w:asciiTheme="minorHAnsi" w:hAnsiTheme="minorHAnsi"/>
                                <w:color w:val="FFFFFF" w:themeColor="background1"/>
                                <w:sz w:val="22"/>
                                <w:lang w:val="es-US"/>
                              </w:rPr>
                              <w:t xml:space="preserve"> 11</w:t>
                            </w:r>
                            <w:r w:rsidR="006016E5" w:rsidRPr="00D60B92">
                              <w:rPr>
                                <w:rFonts w:asciiTheme="minorHAnsi" w:hAnsiTheme="minorHAnsi"/>
                                <w:color w:val="FFFFFF" w:themeColor="background1"/>
                                <w:sz w:val="22"/>
                                <w:lang w:val="es-US"/>
                              </w:rPr>
                              <w:t>9</w:t>
                            </w:r>
                          </w:p>
                          <w:p w14:paraId="0BEFF61A" w14:textId="1186F27D" w:rsidR="00483A8C" w:rsidRPr="004B7EB6" w:rsidRDefault="00483A8C" w:rsidP="009E566A">
                            <w:pPr>
                              <w:jc w:val="right"/>
                              <w:rPr>
                                <w:rFonts w:asciiTheme="minorHAnsi" w:hAnsiTheme="minorHAnsi"/>
                                <w:color w:val="FFFFFF" w:themeColor="background1"/>
                                <w:sz w:val="22"/>
                              </w:rPr>
                            </w:pPr>
                            <w:r w:rsidRPr="00D60B92">
                              <w:rPr>
                                <w:rFonts w:asciiTheme="minorHAnsi" w:hAnsiTheme="minorHAnsi"/>
                                <w:color w:val="FFFFFF" w:themeColor="background1"/>
                                <w:sz w:val="22"/>
                                <w:lang w:val="es-US"/>
                              </w:rPr>
                              <w:t xml:space="preserve"> </w:t>
                            </w:r>
                            <w:r w:rsidR="0087129C">
                              <w:rPr>
                                <w:rFonts w:asciiTheme="minorHAnsi" w:hAnsiTheme="minorHAnsi"/>
                                <w:color w:val="FFFFFF" w:themeColor="background1"/>
                                <w:sz w:val="22"/>
                              </w:rPr>
                              <w:t>3 June</w:t>
                            </w:r>
                            <w:r>
                              <w:rPr>
                                <w:rFonts w:asciiTheme="minorHAnsi" w:hAnsiTheme="minorHAnsi"/>
                                <w:color w:val="FFFFFF" w:themeColor="background1"/>
                                <w:sz w:val="22"/>
                              </w:rPr>
                              <w:t xml:space="preserve"> 2020</w:t>
                            </w:r>
                          </w:p>
                          <w:p w14:paraId="0FC103BD" w14:textId="550A2ED5" w:rsidR="00483A8C" w:rsidRPr="004B7EB6" w:rsidRDefault="00483A8C"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87129C">
                              <w:rPr>
                                <w:rFonts w:asciiTheme="minorHAnsi" w:hAnsiTheme="minorHAnsi"/>
                                <w:color w:val="FFFFFF" w:themeColor="background1"/>
                                <w:sz w:val="22"/>
                              </w:rPr>
                              <w:t xml:space="preserve"> Spanish</w:t>
                            </w:r>
                            <w:r w:rsidRPr="004B7EB6">
                              <w:rPr>
                                <w:rFonts w:asciiTheme="minorHAnsi" w:hAnsiTheme="minorHAnsi"/>
                                <w:color w:val="FFFFFF" w:themeColor="background1"/>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3368C05F" w:rsidR="00483A8C" w:rsidRPr="0087129C" w:rsidRDefault="00483A8C" w:rsidP="009E566A">
                      <w:pPr>
                        <w:jc w:val="right"/>
                        <w:rPr>
                          <w:rFonts w:asciiTheme="minorHAnsi" w:hAnsiTheme="minorHAnsi"/>
                          <w:color w:val="FFFFFF" w:themeColor="background1"/>
                          <w:sz w:val="22"/>
                        </w:rPr>
                      </w:pPr>
                      <w:r w:rsidRPr="0087129C">
                        <w:rPr>
                          <w:rFonts w:asciiTheme="minorHAnsi" w:hAnsiTheme="minorHAnsi"/>
                          <w:color w:val="FFFFFF" w:themeColor="background1"/>
                          <w:sz w:val="22"/>
                        </w:rPr>
                        <w:t>OEA/</w:t>
                      </w:r>
                      <w:proofErr w:type="spellStart"/>
                      <w:r w:rsidRPr="0087129C">
                        <w:rPr>
                          <w:rFonts w:asciiTheme="minorHAnsi" w:hAnsiTheme="minorHAnsi"/>
                          <w:color w:val="FFFFFF" w:themeColor="background1"/>
                          <w:sz w:val="22"/>
                        </w:rPr>
                        <w:t>Ser.L</w:t>
                      </w:r>
                      <w:proofErr w:type="spellEnd"/>
                      <w:r w:rsidRPr="0087129C">
                        <w:rPr>
                          <w:rFonts w:asciiTheme="minorHAnsi" w:hAnsiTheme="minorHAnsi"/>
                          <w:color w:val="FFFFFF" w:themeColor="background1"/>
                          <w:sz w:val="22"/>
                        </w:rPr>
                        <w:t>/V/II</w:t>
                      </w:r>
                    </w:p>
                    <w:p w14:paraId="4AA08A8C" w14:textId="47A6CFBC" w:rsidR="00483A8C" w:rsidRPr="0087129C" w:rsidRDefault="00483A8C" w:rsidP="009E566A">
                      <w:pPr>
                        <w:jc w:val="right"/>
                        <w:rPr>
                          <w:rFonts w:asciiTheme="minorHAnsi" w:hAnsiTheme="minorHAnsi"/>
                          <w:color w:val="FFFFFF" w:themeColor="background1"/>
                          <w:sz w:val="22"/>
                        </w:rPr>
                      </w:pPr>
                      <w:r w:rsidRPr="0087129C">
                        <w:rPr>
                          <w:rFonts w:asciiTheme="minorHAnsi" w:hAnsiTheme="minorHAnsi"/>
                          <w:color w:val="FFFFFF" w:themeColor="background1"/>
                          <w:sz w:val="22"/>
                        </w:rPr>
                        <w:t>Doc.</w:t>
                      </w:r>
                      <w:r w:rsidR="0087129C">
                        <w:rPr>
                          <w:rFonts w:asciiTheme="minorHAnsi" w:hAnsiTheme="minorHAnsi"/>
                          <w:color w:val="FFFFFF" w:themeColor="background1"/>
                          <w:sz w:val="22"/>
                        </w:rPr>
                        <w:t xml:space="preserve"> 11</w:t>
                      </w:r>
                      <w:r w:rsidR="006016E5">
                        <w:rPr>
                          <w:rFonts w:asciiTheme="minorHAnsi" w:hAnsiTheme="minorHAnsi"/>
                          <w:color w:val="FFFFFF" w:themeColor="background1"/>
                          <w:sz w:val="22"/>
                        </w:rPr>
                        <w:t>9</w:t>
                      </w:r>
                    </w:p>
                    <w:p w14:paraId="0BEFF61A" w14:textId="1186F27D" w:rsidR="00483A8C" w:rsidRPr="004B7EB6" w:rsidRDefault="00483A8C" w:rsidP="009E566A">
                      <w:pPr>
                        <w:jc w:val="right"/>
                        <w:rPr>
                          <w:rFonts w:asciiTheme="minorHAnsi" w:hAnsiTheme="minorHAnsi"/>
                          <w:color w:val="FFFFFF" w:themeColor="background1"/>
                          <w:sz w:val="22"/>
                        </w:rPr>
                      </w:pPr>
                      <w:r w:rsidRPr="0087129C">
                        <w:rPr>
                          <w:rFonts w:asciiTheme="minorHAnsi" w:hAnsiTheme="minorHAnsi"/>
                          <w:color w:val="FFFFFF" w:themeColor="background1"/>
                          <w:sz w:val="22"/>
                        </w:rPr>
                        <w:t xml:space="preserve"> </w:t>
                      </w:r>
                      <w:r w:rsidR="0087129C">
                        <w:rPr>
                          <w:rFonts w:asciiTheme="minorHAnsi" w:hAnsiTheme="minorHAnsi"/>
                          <w:color w:val="FFFFFF" w:themeColor="background1"/>
                          <w:sz w:val="22"/>
                        </w:rPr>
                        <w:t>3 June</w:t>
                      </w:r>
                      <w:r>
                        <w:rPr>
                          <w:rFonts w:asciiTheme="minorHAnsi" w:hAnsiTheme="minorHAnsi"/>
                          <w:color w:val="FFFFFF" w:themeColor="background1"/>
                          <w:sz w:val="22"/>
                        </w:rPr>
                        <w:t xml:space="preserve"> 2020</w:t>
                      </w:r>
                    </w:p>
                    <w:p w14:paraId="0FC103BD" w14:textId="550A2ED5" w:rsidR="00483A8C" w:rsidRPr="004B7EB6" w:rsidRDefault="00483A8C"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87129C">
                        <w:rPr>
                          <w:rFonts w:asciiTheme="minorHAnsi" w:hAnsiTheme="minorHAnsi"/>
                          <w:color w:val="FFFFFF" w:themeColor="background1"/>
                          <w:sz w:val="22"/>
                        </w:rPr>
                        <w:t xml:space="preserve"> Spanish</w:t>
                      </w:r>
                      <w:r w:rsidRPr="004B7EB6">
                        <w:rPr>
                          <w:rFonts w:asciiTheme="minorHAnsi" w:hAnsiTheme="minorHAnsi"/>
                          <w:color w:val="FFFFFF" w:themeColor="background1"/>
                          <w:sz w:val="22"/>
                        </w:rPr>
                        <w:t xml:space="preserve"> </w:t>
                      </w:r>
                    </w:p>
                  </w:txbxContent>
                </v:textbox>
              </v:shape>
            </w:pict>
          </mc:Fallback>
        </mc:AlternateContent>
      </w:r>
    </w:p>
    <w:p w14:paraId="3765F9FA" w14:textId="77777777" w:rsidR="00040C3A" w:rsidRPr="009D304D" w:rsidRDefault="00040C3A" w:rsidP="00040C3A">
      <w:pPr>
        <w:tabs>
          <w:tab w:val="center" w:pos="5400"/>
        </w:tabs>
        <w:suppressAutoHyphens/>
        <w:jc w:val="center"/>
        <w:rPr>
          <w:rFonts w:asciiTheme="majorHAnsi" w:hAnsiTheme="majorHAnsi"/>
          <w:sz w:val="22"/>
          <w:szCs w:val="22"/>
        </w:rPr>
      </w:pPr>
    </w:p>
    <w:p w14:paraId="5E33CE59" w14:textId="77777777" w:rsidR="00040C3A" w:rsidRPr="009D304D"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9D304D" w:rsidRDefault="00040C3A" w:rsidP="00040C3A">
      <w:pPr>
        <w:tabs>
          <w:tab w:val="center" w:pos="5400"/>
        </w:tabs>
        <w:suppressAutoHyphens/>
        <w:jc w:val="center"/>
        <w:rPr>
          <w:rFonts w:asciiTheme="majorHAnsi" w:hAnsiTheme="majorHAnsi"/>
          <w:sz w:val="22"/>
          <w:szCs w:val="22"/>
        </w:rPr>
      </w:pPr>
    </w:p>
    <w:p w14:paraId="43677EE2" w14:textId="77777777" w:rsidR="00040C3A" w:rsidRPr="009D304D" w:rsidRDefault="00040C3A" w:rsidP="00040C3A">
      <w:pPr>
        <w:tabs>
          <w:tab w:val="center" w:pos="5400"/>
        </w:tabs>
        <w:suppressAutoHyphens/>
        <w:jc w:val="center"/>
        <w:rPr>
          <w:rFonts w:asciiTheme="majorHAnsi" w:hAnsiTheme="majorHAnsi"/>
          <w:sz w:val="22"/>
          <w:szCs w:val="22"/>
        </w:rPr>
      </w:pPr>
    </w:p>
    <w:p w14:paraId="747B776B" w14:textId="77777777" w:rsidR="00040C3A" w:rsidRPr="009D304D" w:rsidRDefault="00040C3A" w:rsidP="00040C3A">
      <w:pPr>
        <w:tabs>
          <w:tab w:val="center" w:pos="5400"/>
        </w:tabs>
        <w:suppressAutoHyphens/>
        <w:jc w:val="center"/>
        <w:rPr>
          <w:rFonts w:asciiTheme="majorHAnsi" w:hAnsiTheme="majorHAnsi"/>
          <w:sz w:val="22"/>
          <w:szCs w:val="22"/>
        </w:rPr>
      </w:pPr>
    </w:p>
    <w:p w14:paraId="3FA14379" w14:textId="77777777" w:rsidR="00040C3A" w:rsidRPr="009D304D" w:rsidRDefault="00040C3A" w:rsidP="00040C3A">
      <w:pPr>
        <w:tabs>
          <w:tab w:val="center" w:pos="5400"/>
        </w:tabs>
        <w:suppressAutoHyphens/>
        <w:jc w:val="center"/>
        <w:rPr>
          <w:rFonts w:asciiTheme="majorHAnsi" w:hAnsiTheme="majorHAnsi"/>
          <w:sz w:val="22"/>
          <w:szCs w:val="22"/>
        </w:rPr>
      </w:pPr>
    </w:p>
    <w:p w14:paraId="28A65FAF" w14:textId="77777777" w:rsidR="005128E4" w:rsidRPr="009D304D" w:rsidRDefault="005128E4" w:rsidP="00040C3A">
      <w:pPr>
        <w:tabs>
          <w:tab w:val="center" w:pos="5400"/>
        </w:tabs>
        <w:suppressAutoHyphens/>
        <w:jc w:val="center"/>
        <w:rPr>
          <w:rFonts w:asciiTheme="majorHAnsi" w:hAnsiTheme="majorHAnsi"/>
          <w:sz w:val="22"/>
          <w:szCs w:val="22"/>
        </w:rPr>
      </w:pPr>
    </w:p>
    <w:p w14:paraId="11B1978A" w14:textId="77777777" w:rsidR="00040C3A" w:rsidRPr="009D304D" w:rsidRDefault="00040C3A" w:rsidP="00040C3A">
      <w:pPr>
        <w:tabs>
          <w:tab w:val="center" w:pos="5400"/>
        </w:tabs>
        <w:suppressAutoHyphens/>
        <w:jc w:val="center"/>
        <w:rPr>
          <w:rFonts w:asciiTheme="majorHAnsi" w:hAnsiTheme="majorHAnsi"/>
          <w:sz w:val="22"/>
          <w:szCs w:val="22"/>
        </w:rPr>
      </w:pPr>
    </w:p>
    <w:p w14:paraId="650F503D" w14:textId="77777777" w:rsidR="005128E4" w:rsidRPr="009D304D" w:rsidRDefault="005128E4" w:rsidP="00040C3A">
      <w:pPr>
        <w:tabs>
          <w:tab w:val="center" w:pos="5400"/>
        </w:tabs>
        <w:suppressAutoHyphens/>
        <w:jc w:val="center"/>
        <w:rPr>
          <w:rFonts w:asciiTheme="majorHAnsi" w:hAnsiTheme="majorHAnsi"/>
          <w:sz w:val="22"/>
          <w:szCs w:val="22"/>
        </w:rPr>
      </w:pPr>
    </w:p>
    <w:p w14:paraId="17861C77" w14:textId="77777777" w:rsidR="005128E4" w:rsidRPr="009D304D" w:rsidRDefault="005128E4" w:rsidP="00040C3A">
      <w:pPr>
        <w:tabs>
          <w:tab w:val="center" w:pos="5400"/>
        </w:tabs>
        <w:suppressAutoHyphens/>
        <w:jc w:val="center"/>
        <w:rPr>
          <w:rFonts w:asciiTheme="majorHAnsi" w:hAnsiTheme="majorHAnsi"/>
          <w:sz w:val="22"/>
          <w:szCs w:val="22"/>
        </w:rPr>
      </w:pPr>
    </w:p>
    <w:p w14:paraId="0EFEAEB7" w14:textId="77777777" w:rsidR="005128E4" w:rsidRPr="009D304D" w:rsidRDefault="005128E4" w:rsidP="00040C3A">
      <w:pPr>
        <w:tabs>
          <w:tab w:val="center" w:pos="5400"/>
        </w:tabs>
        <w:suppressAutoHyphens/>
        <w:jc w:val="center"/>
        <w:rPr>
          <w:rFonts w:asciiTheme="majorHAnsi" w:hAnsiTheme="majorHAnsi"/>
          <w:sz w:val="22"/>
          <w:szCs w:val="22"/>
        </w:rPr>
      </w:pPr>
    </w:p>
    <w:p w14:paraId="5B815FC5" w14:textId="77777777" w:rsidR="00040C3A" w:rsidRPr="009D304D" w:rsidRDefault="00040C3A" w:rsidP="00040C3A">
      <w:pPr>
        <w:tabs>
          <w:tab w:val="center" w:pos="5400"/>
        </w:tabs>
        <w:suppressAutoHyphens/>
        <w:jc w:val="center"/>
        <w:rPr>
          <w:rFonts w:asciiTheme="majorHAnsi" w:hAnsiTheme="majorHAnsi"/>
          <w:sz w:val="22"/>
          <w:szCs w:val="22"/>
        </w:rPr>
      </w:pPr>
    </w:p>
    <w:p w14:paraId="0D43F8BD" w14:textId="77777777" w:rsidR="00040C3A" w:rsidRPr="009D304D" w:rsidRDefault="00040C3A" w:rsidP="00040C3A">
      <w:pPr>
        <w:tabs>
          <w:tab w:val="center" w:pos="5400"/>
        </w:tabs>
        <w:suppressAutoHyphens/>
        <w:jc w:val="center"/>
        <w:rPr>
          <w:rFonts w:asciiTheme="majorHAnsi" w:hAnsiTheme="majorHAnsi"/>
          <w:sz w:val="22"/>
          <w:szCs w:val="22"/>
        </w:rPr>
      </w:pPr>
    </w:p>
    <w:p w14:paraId="03AA1AEB" w14:textId="77777777" w:rsidR="002C1641" w:rsidRPr="009D304D" w:rsidRDefault="002C1641" w:rsidP="00040C3A">
      <w:pPr>
        <w:tabs>
          <w:tab w:val="center" w:pos="5400"/>
        </w:tabs>
        <w:suppressAutoHyphens/>
        <w:jc w:val="center"/>
        <w:rPr>
          <w:rFonts w:asciiTheme="majorHAnsi" w:hAnsiTheme="majorHAnsi"/>
          <w:sz w:val="18"/>
          <w:szCs w:val="22"/>
        </w:rPr>
      </w:pPr>
    </w:p>
    <w:p w14:paraId="2FD75BF3" w14:textId="77777777" w:rsidR="002C1641" w:rsidRPr="009D304D" w:rsidRDefault="002C1641" w:rsidP="00040C3A">
      <w:pPr>
        <w:tabs>
          <w:tab w:val="center" w:pos="5400"/>
        </w:tabs>
        <w:suppressAutoHyphens/>
        <w:jc w:val="center"/>
        <w:rPr>
          <w:rFonts w:asciiTheme="majorHAnsi" w:hAnsiTheme="majorHAnsi"/>
          <w:sz w:val="18"/>
          <w:szCs w:val="22"/>
        </w:rPr>
      </w:pPr>
    </w:p>
    <w:p w14:paraId="73EF440E" w14:textId="77777777" w:rsidR="002C1641" w:rsidRPr="009D304D" w:rsidRDefault="002C1641" w:rsidP="00040C3A">
      <w:pPr>
        <w:tabs>
          <w:tab w:val="center" w:pos="5400"/>
        </w:tabs>
        <w:suppressAutoHyphens/>
        <w:jc w:val="center"/>
        <w:rPr>
          <w:rFonts w:asciiTheme="majorHAnsi" w:hAnsiTheme="majorHAnsi"/>
          <w:sz w:val="18"/>
          <w:szCs w:val="22"/>
        </w:rPr>
      </w:pPr>
    </w:p>
    <w:p w14:paraId="3D12B191" w14:textId="77777777" w:rsidR="002C1641" w:rsidRPr="009D304D" w:rsidRDefault="002C1641" w:rsidP="00040C3A">
      <w:pPr>
        <w:tabs>
          <w:tab w:val="center" w:pos="5400"/>
        </w:tabs>
        <w:suppressAutoHyphens/>
        <w:jc w:val="center"/>
        <w:rPr>
          <w:rFonts w:asciiTheme="majorHAnsi" w:hAnsiTheme="majorHAnsi"/>
          <w:sz w:val="18"/>
          <w:szCs w:val="22"/>
        </w:rPr>
      </w:pPr>
    </w:p>
    <w:p w14:paraId="1132D17C" w14:textId="77777777" w:rsidR="002C1641" w:rsidRPr="009D304D" w:rsidRDefault="002C1641" w:rsidP="00040C3A">
      <w:pPr>
        <w:tabs>
          <w:tab w:val="center" w:pos="5400"/>
        </w:tabs>
        <w:suppressAutoHyphens/>
        <w:jc w:val="center"/>
        <w:rPr>
          <w:rFonts w:asciiTheme="majorHAnsi" w:hAnsiTheme="majorHAnsi"/>
          <w:sz w:val="18"/>
          <w:szCs w:val="22"/>
        </w:rPr>
      </w:pPr>
    </w:p>
    <w:p w14:paraId="659B324C" w14:textId="77777777" w:rsidR="002C1641" w:rsidRPr="009D304D" w:rsidRDefault="002C1641" w:rsidP="00040C3A">
      <w:pPr>
        <w:tabs>
          <w:tab w:val="center" w:pos="5400"/>
        </w:tabs>
        <w:suppressAutoHyphens/>
        <w:jc w:val="center"/>
        <w:rPr>
          <w:rFonts w:asciiTheme="majorHAnsi" w:hAnsiTheme="majorHAnsi"/>
          <w:sz w:val="18"/>
          <w:szCs w:val="22"/>
        </w:rPr>
      </w:pPr>
    </w:p>
    <w:p w14:paraId="0DE58CEA" w14:textId="77777777" w:rsidR="002C1641" w:rsidRPr="009D304D" w:rsidRDefault="002C1641" w:rsidP="00040C3A">
      <w:pPr>
        <w:tabs>
          <w:tab w:val="center" w:pos="5400"/>
        </w:tabs>
        <w:suppressAutoHyphens/>
        <w:jc w:val="center"/>
        <w:rPr>
          <w:rFonts w:asciiTheme="majorHAnsi" w:hAnsiTheme="majorHAnsi"/>
          <w:sz w:val="18"/>
          <w:szCs w:val="22"/>
        </w:rPr>
      </w:pPr>
    </w:p>
    <w:p w14:paraId="3A5BB7C9" w14:textId="77777777" w:rsidR="002C1641" w:rsidRPr="009D304D" w:rsidRDefault="002C1641" w:rsidP="00040C3A">
      <w:pPr>
        <w:tabs>
          <w:tab w:val="center" w:pos="5400"/>
        </w:tabs>
        <w:suppressAutoHyphens/>
        <w:jc w:val="center"/>
        <w:rPr>
          <w:rFonts w:asciiTheme="majorHAnsi" w:hAnsiTheme="majorHAnsi"/>
          <w:sz w:val="18"/>
          <w:szCs w:val="22"/>
        </w:rPr>
      </w:pPr>
    </w:p>
    <w:p w14:paraId="6BA67E7F" w14:textId="77777777" w:rsidR="002C1641" w:rsidRPr="009D304D" w:rsidRDefault="002C1641" w:rsidP="00040C3A">
      <w:pPr>
        <w:tabs>
          <w:tab w:val="center" w:pos="5400"/>
        </w:tabs>
        <w:suppressAutoHyphens/>
        <w:jc w:val="center"/>
        <w:rPr>
          <w:rFonts w:asciiTheme="majorHAnsi" w:hAnsiTheme="majorHAnsi"/>
          <w:sz w:val="18"/>
          <w:szCs w:val="22"/>
        </w:rPr>
      </w:pPr>
    </w:p>
    <w:p w14:paraId="6D4FBE3A" w14:textId="77777777" w:rsidR="002C1641" w:rsidRPr="009D304D" w:rsidRDefault="002C1641" w:rsidP="00040C3A">
      <w:pPr>
        <w:tabs>
          <w:tab w:val="center" w:pos="5400"/>
        </w:tabs>
        <w:suppressAutoHyphens/>
        <w:jc w:val="center"/>
        <w:rPr>
          <w:rFonts w:asciiTheme="majorHAnsi" w:hAnsiTheme="majorHAnsi"/>
          <w:sz w:val="18"/>
          <w:szCs w:val="22"/>
        </w:rPr>
      </w:pPr>
    </w:p>
    <w:p w14:paraId="2741AD16" w14:textId="77777777" w:rsidR="002C1641" w:rsidRPr="009D304D" w:rsidRDefault="002C1641" w:rsidP="00040C3A">
      <w:pPr>
        <w:tabs>
          <w:tab w:val="center" w:pos="5400"/>
        </w:tabs>
        <w:suppressAutoHyphens/>
        <w:jc w:val="center"/>
        <w:rPr>
          <w:rFonts w:asciiTheme="majorHAnsi" w:hAnsiTheme="majorHAnsi"/>
          <w:sz w:val="18"/>
          <w:szCs w:val="22"/>
        </w:rPr>
      </w:pPr>
    </w:p>
    <w:p w14:paraId="1D99DBC4" w14:textId="77777777" w:rsidR="002C1641" w:rsidRPr="009D304D" w:rsidRDefault="002C1641" w:rsidP="00040C3A">
      <w:pPr>
        <w:tabs>
          <w:tab w:val="center" w:pos="5400"/>
        </w:tabs>
        <w:suppressAutoHyphens/>
        <w:jc w:val="center"/>
        <w:rPr>
          <w:rFonts w:asciiTheme="majorHAnsi" w:hAnsiTheme="majorHAnsi"/>
          <w:sz w:val="18"/>
          <w:szCs w:val="22"/>
        </w:rPr>
      </w:pPr>
    </w:p>
    <w:p w14:paraId="3290BF94" w14:textId="77777777" w:rsidR="002C1641" w:rsidRPr="009D304D" w:rsidRDefault="003C32BC" w:rsidP="00040C3A">
      <w:pPr>
        <w:tabs>
          <w:tab w:val="center" w:pos="5400"/>
        </w:tabs>
        <w:suppressAutoHyphens/>
        <w:jc w:val="center"/>
        <w:rPr>
          <w:rFonts w:asciiTheme="majorHAnsi" w:hAnsiTheme="majorHAnsi"/>
          <w:sz w:val="18"/>
          <w:szCs w:val="22"/>
        </w:rPr>
      </w:pPr>
      <w:r w:rsidRPr="009D304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78F2EDF8" w:rsidR="00483A8C" w:rsidRDefault="00483A8C"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by the Commission electronically on </w:t>
                            </w:r>
                            <w:r w:rsidR="0087129C">
                              <w:rPr>
                                <w:rFonts w:asciiTheme="majorHAnsi" w:hAnsiTheme="majorHAnsi"/>
                                <w:color w:val="0D0D0D" w:themeColor="text1" w:themeTint="F2"/>
                                <w:sz w:val="18"/>
                                <w:szCs w:val="20"/>
                              </w:rPr>
                              <w:t>June 3</w:t>
                            </w:r>
                            <w:r>
                              <w:rPr>
                                <w:rFonts w:asciiTheme="majorHAnsi" w:hAnsiTheme="majorHAnsi"/>
                                <w:color w:val="0D0D0D" w:themeColor="text1" w:themeTint="F2"/>
                                <w:sz w:val="18"/>
                                <w:szCs w:val="20"/>
                              </w:rPr>
                              <w:t>, 2021</w:t>
                            </w:r>
                            <w:r w:rsidR="00D60B92">
                              <w:rPr>
                                <w:rFonts w:asciiTheme="majorHAnsi" w:hAnsiTheme="majorHAnsi"/>
                                <w:color w:val="0D0D0D" w:themeColor="text1" w:themeTint="F2"/>
                                <w:sz w:val="18"/>
                                <w:szCs w:val="20"/>
                              </w:rPr>
                              <w:t>.</w:t>
                            </w:r>
                          </w:p>
                          <w:p w14:paraId="29BF637A" w14:textId="6A635CEE" w:rsidR="00483A8C" w:rsidRPr="003C32BC" w:rsidRDefault="00483A8C"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afwIAAGkFAAAOAAAAZHJzL2Uyb0RvYy54bWysVE1PGzEQvVfqf7B8L5tAAi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" filled="f" stroked="f" strokeweight=".5pt">
                <v:textbox>
                  <w:txbxContent>
                    <w:p w14:paraId="3B920E58" w14:textId="78F2EDF8" w:rsidR="00483A8C" w:rsidRDefault="00483A8C"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by the Commission electronically on </w:t>
                      </w:r>
                      <w:r w:rsidR="0087129C">
                        <w:rPr>
                          <w:rFonts w:asciiTheme="majorHAnsi" w:hAnsiTheme="majorHAnsi"/>
                          <w:color w:val="0D0D0D" w:themeColor="text1" w:themeTint="F2"/>
                          <w:sz w:val="18"/>
                          <w:szCs w:val="20"/>
                        </w:rPr>
                        <w:t>June 3</w:t>
                      </w:r>
                      <w:r>
                        <w:rPr>
                          <w:rFonts w:asciiTheme="majorHAnsi" w:hAnsiTheme="majorHAnsi"/>
                          <w:color w:val="0D0D0D" w:themeColor="text1" w:themeTint="F2"/>
                          <w:sz w:val="18"/>
                          <w:szCs w:val="20"/>
                        </w:rPr>
                        <w:t>, 2021</w:t>
                      </w:r>
                      <w:r w:rsidR="00D60B92">
                        <w:rPr>
                          <w:rFonts w:asciiTheme="majorHAnsi" w:hAnsiTheme="majorHAnsi"/>
                          <w:color w:val="0D0D0D" w:themeColor="text1" w:themeTint="F2"/>
                          <w:sz w:val="18"/>
                          <w:szCs w:val="20"/>
                        </w:rPr>
                        <w:t>.</w:t>
                      </w:r>
                    </w:p>
                    <w:p w14:paraId="29BF637A" w14:textId="6A635CEE" w:rsidR="00483A8C" w:rsidRPr="003C32BC" w:rsidRDefault="00483A8C"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9D304D" w:rsidRDefault="002C1641" w:rsidP="00040C3A">
      <w:pPr>
        <w:tabs>
          <w:tab w:val="center" w:pos="5400"/>
        </w:tabs>
        <w:suppressAutoHyphens/>
        <w:jc w:val="center"/>
        <w:rPr>
          <w:rFonts w:asciiTheme="majorHAnsi" w:hAnsiTheme="majorHAnsi"/>
          <w:sz w:val="18"/>
          <w:szCs w:val="22"/>
        </w:rPr>
      </w:pPr>
    </w:p>
    <w:p w14:paraId="3751FEDE" w14:textId="77777777" w:rsidR="002C1641" w:rsidRPr="009D304D" w:rsidRDefault="002C1641" w:rsidP="00040C3A">
      <w:pPr>
        <w:tabs>
          <w:tab w:val="center" w:pos="5400"/>
        </w:tabs>
        <w:suppressAutoHyphens/>
        <w:jc w:val="center"/>
        <w:rPr>
          <w:rFonts w:asciiTheme="majorHAnsi" w:hAnsiTheme="majorHAnsi"/>
          <w:sz w:val="18"/>
          <w:szCs w:val="22"/>
        </w:rPr>
      </w:pPr>
    </w:p>
    <w:p w14:paraId="5FAB54E7" w14:textId="77777777" w:rsidR="002C1641" w:rsidRPr="009D304D" w:rsidRDefault="002C1641" w:rsidP="00040C3A">
      <w:pPr>
        <w:tabs>
          <w:tab w:val="center" w:pos="5400"/>
        </w:tabs>
        <w:suppressAutoHyphens/>
        <w:jc w:val="center"/>
        <w:rPr>
          <w:rFonts w:asciiTheme="majorHAnsi" w:hAnsiTheme="majorHAnsi"/>
          <w:sz w:val="18"/>
          <w:szCs w:val="22"/>
        </w:rPr>
      </w:pPr>
    </w:p>
    <w:p w14:paraId="4AE4FBFB" w14:textId="77777777" w:rsidR="002C1641" w:rsidRPr="009D304D" w:rsidRDefault="002C1641" w:rsidP="00040C3A">
      <w:pPr>
        <w:tabs>
          <w:tab w:val="center" w:pos="5400"/>
        </w:tabs>
        <w:suppressAutoHyphens/>
        <w:jc w:val="center"/>
        <w:rPr>
          <w:rFonts w:asciiTheme="majorHAnsi" w:hAnsiTheme="majorHAnsi"/>
          <w:sz w:val="18"/>
          <w:szCs w:val="22"/>
        </w:rPr>
      </w:pPr>
    </w:p>
    <w:p w14:paraId="4DA3B2C3" w14:textId="77777777" w:rsidR="002C1641" w:rsidRPr="009D304D" w:rsidRDefault="003C32BC" w:rsidP="00040C3A">
      <w:pPr>
        <w:tabs>
          <w:tab w:val="center" w:pos="5400"/>
        </w:tabs>
        <w:suppressAutoHyphens/>
        <w:jc w:val="center"/>
        <w:rPr>
          <w:rFonts w:asciiTheme="majorHAnsi" w:hAnsiTheme="majorHAnsi"/>
          <w:sz w:val="18"/>
          <w:szCs w:val="22"/>
        </w:rPr>
      </w:pPr>
      <w:r w:rsidRPr="009D304D">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5992CE4" w:rsidR="00483A8C" w:rsidRPr="003C32BC" w:rsidRDefault="00483A8C"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7129C">
                              <w:rPr>
                                <w:rFonts w:asciiTheme="majorHAnsi" w:hAnsiTheme="majorHAnsi"/>
                                <w:color w:val="595959" w:themeColor="text1" w:themeTint="A6"/>
                                <w:sz w:val="18"/>
                              </w:rPr>
                              <w:t>1</w:t>
                            </w:r>
                            <w:r w:rsidR="006016E5">
                              <w:rPr>
                                <w:rFonts w:asciiTheme="majorHAnsi" w:hAnsiTheme="majorHAnsi"/>
                                <w:color w:val="595959" w:themeColor="text1" w:themeTint="A6"/>
                                <w:sz w:val="18"/>
                              </w:rPr>
                              <w:t>12</w:t>
                            </w:r>
                            <w:r>
                              <w:rPr>
                                <w:rFonts w:asciiTheme="majorHAnsi" w:hAnsiTheme="majorHAnsi"/>
                                <w:color w:val="595959" w:themeColor="text1" w:themeTint="A6"/>
                                <w:sz w:val="18"/>
                              </w:rPr>
                              <w:t>/2</w:t>
                            </w:r>
                            <w:r w:rsidR="0087129C">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6016E5">
                              <w:rPr>
                                <w:rFonts w:asciiTheme="majorHAnsi" w:hAnsiTheme="majorHAnsi"/>
                                <w:color w:val="595959" w:themeColor="text1" w:themeTint="A6"/>
                                <w:sz w:val="18"/>
                              </w:rPr>
                              <w:t>66</w:t>
                            </w:r>
                            <w:r>
                              <w:rPr>
                                <w:rFonts w:asciiTheme="majorHAnsi" w:hAnsiTheme="majorHAnsi"/>
                                <w:color w:val="595959" w:themeColor="text1" w:themeTint="A6"/>
                                <w:sz w:val="18"/>
                              </w:rPr>
                              <w:t>-</w:t>
                            </w:r>
                            <w:r w:rsidR="0087129C">
                              <w:rPr>
                                <w:rFonts w:asciiTheme="majorHAnsi" w:hAnsiTheme="majorHAnsi"/>
                                <w:color w:val="595959" w:themeColor="text1" w:themeTint="A6"/>
                                <w:sz w:val="18"/>
                              </w:rPr>
                              <w:t>1</w:t>
                            </w:r>
                            <w:r w:rsidR="006016E5">
                              <w:rPr>
                                <w:rFonts w:asciiTheme="majorHAnsi" w:hAnsiTheme="majorHAnsi"/>
                                <w:color w:val="595959" w:themeColor="text1" w:themeTint="A6"/>
                                <w:sz w:val="18"/>
                              </w:rPr>
                              <w:t>2</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w:t>
                            </w:r>
                            <w:r w:rsidR="006016E5">
                              <w:rPr>
                                <w:rFonts w:asciiTheme="majorHAnsi" w:hAnsiTheme="majorHAnsi"/>
                                <w:color w:val="595959" w:themeColor="text1" w:themeTint="A6"/>
                                <w:sz w:val="18"/>
                              </w:rPr>
                              <w:t xml:space="preserve"> Humberto Jesus </w:t>
                            </w:r>
                            <w:proofErr w:type="spellStart"/>
                            <w:r w:rsidR="006016E5">
                              <w:rPr>
                                <w:rFonts w:asciiTheme="majorHAnsi" w:hAnsiTheme="majorHAnsi"/>
                                <w:color w:val="595959" w:themeColor="text1" w:themeTint="A6"/>
                                <w:sz w:val="18"/>
                              </w:rPr>
                              <w:t>Tempesta</w:t>
                            </w:r>
                            <w:proofErr w:type="spellEnd"/>
                            <w:r w:rsidR="006016E5">
                              <w:rPr>
                                <w:rFonts w:asciiTheme="majorHAnsi" w:hAnsiTheme="majorHAnsi"/>
                                <w:color w:val="595959" w:themeColor="text1" w:themeTint="A6"/>
                                <w:sz w:val="18"/>
                              </w:rPr>
                              <w:t xml:space="preserve"> </w:t>
                            </w:r>
                            <w:proofErr w:type="spellStart"/>
                            <w:r w:rsidR="006016E5">
                              <w:rPr>
                                <w:rFonts w:asciiTheme="majorHAnsi" w:hAnsiTheme="majorHAnsi"/>
                                <w:color w:val="595959" w:themeColor="text1" w:themeTint="A6"/>
                                <w:sz w:val="18"/>
                              </w:rPr>
                              <w:t>Herrada</w:t>
                            </w:r>
                            <w:proofErr w:type="spellEnd"/>
                            <w:r w:rsidRPr="003C32BC">
                              <w:rPr>
                                <w:rFonts w:asciiTheme="majorHAnsi" w:hAnsiTheme="majorHAnsi"/>
                                <w:color w:val="595959" w:themeColor="text1" w:themeTint="A6"/>
                                <w:sz w:val="18"/>
                              </w:rPr>
                              <w:t xml:space="preserve">. </w:t>
                            </w:r>
                            <w:r w:rsidR="006016E5">
                              <w:rPr>
                                <w:rFonts w:asciiTheme="majorHAnsi" w:hAnsiTheme="majorHAnsi"/>
                                <w:color w:val="595959" w:themeColor="text1" w:themeTint="A6"/>
                                <w:sz w:val="18"/>
                              </w:rPr>
                              <w:t>Peru</w:t>
                            </w:r>
                            <w:r>
                              <w:rPr>
                                <w:rFonts w:asciiTheme="majorHAnsi" w:hAnsiTheme="majorHAnsi"/>
                                <w:color w:val="595959" w:themeColor="text1" w:themeTint="A6"/>
                                <w:sz w:val="18"/>
                              </w:rPr>
                              <w:t xml:space="preserve">. </w:t>
                            </w:r>
                            <w:r w:rsidR="0087129C">
                              <w:rPr>
                                <w:rFonts w:asciiTheme="majorHAnsi" w:hAnsiTheme="majorHAnsi"/>
                                <w:color w:val="595959" w:themeColor="text1" w:themeTint="A6"/>
                                <w:sz w:val="18"/>
                              </w:rPr>
                              <w:t>June 3, 2021</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5992CE4" w:rsidR="00483A8C" w:rsidRPr="003C32BC" w:rsidRDefault="00483A8C"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7129C">
                        <w:rPr>
                          <w:rFonts w:asciiTheme="majorHAnsi" w:hAnsiTheme="majorHAnsi"/>
                          <w:color w:val="595959" w:themeColor="text1" w:themeTint="A6"/>
                          <w:sz w:val="18"/>
                        </w:rPr>
                        <w:t>1</w:t>
                      </w:r>
                      <w:r w:rsidR="006016E5">
                        <w:rPr>
                          <w:rFonts w:asciiTheme="majorHAnsi" w:hAnsiTheme="majorHAnsi"/>
                          <w:color w:val="595959" w:themeColor="text1" w:themeTint="A6"/>
                          <w:sz w:val="18"/>
                        </w:rPr>
                        <w:t>12</w:t>
                      </w:r>
                      <w:r>
                        <w:rPr>
                          <w:rFonts w:asciiTheme="majorHAnsi" w:hAnsiTheme="majorHAnsi"/>
                          <w:color w:val="595959" w:themeColor="text1" w:themeTint="A6"/>
                          <w:sz w:val="18"/>
                        </w:rPr>
                        <w:t>/2</w:t>
                      </w:r>
                      <w:r w:rsidR="0087129C">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6016E5">
                        <w:rPr>
                          <w:rFonts w:asciiTheme="majorHAnsi" w:hAnsiTheme="majorHAnsi"/>
                          <w:color w:val="595959" w:themeColor="text1" w:themeTint="A6"/>
                          <w:sz w:val="18"/>
                        </w:rPr>
                        <w:t>66</w:t>
                      </w:r>
                      <w:r>
                        <w:rPr>
                          <w:rFonts w:asciiTheme="majorHAnsi" w:hAnsiTheme="majorHAnsi"/>
                          <w:color w:val="595959" w:themeColor="text1" w:themeTint="A6"/>
                          <w:sz w:val="18"/>
                        </w:rPr>
                        <w:t>-</w:t>
                      </w:r>
                      <w:r w:rsidR="0087129C">
                        <w:rPr>
                          <w:rFonts w:asciiTheme="majorHAnsi" w:hAnsiTheme="majorHAnsi"/>
                          <w:color w:val="595959" w:themeColor="text1" w:themeTint="A6"/>
                          <w:sz w:val="18"/>
                        </w:rPr>
                        <w:t>1</w:t>
                      </w:r>
                      <w:r w:rsidR="006016E5">
                        <w:rPr>
                          <w:rFonts w:asciiTheme="majorHAnsi" w:hAnsiTheme="majorHAnsi"/>
                          <w:color w:val="595959" w:themeColor="text1" w:themeTint="A6"/>
                          <w:sz w:val="18"/>
                        </w:rPr>
                        <w:t>2</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w:t>
                      </w:r>
                      <w:r w:rsidR="006016E5">
                        <w:rPr>
                          <w:rFonts w:asciiTheme="majorHAnsi" w:hAnsiTheme="majorHAnsi"/>
                          <w:color w:val="595959" w:themeColor="text1" w:themeTint="A6"/>
                          <w:sz w:val="18"/>
                        </w:rPr>
                        <w:t xml:space="preserve"> Humberto Jesus </w:t>
                      </w:r>
                      <w:proofErr w:type="spellStart"/>
                      <w:r w:rsidR="006016E5">
                        <w:rPr>
                          <w:rFonts w:asciiTheme="majorHAnsi" w:hAnsiTheme="majorHAnsi"/>
                          <w:color w:val="595959" w:themeColor="text1" w:themeTint="A6"/>
                          <w:sz w:val="18"/>
                        </w:rPr>
                        <w:t>Tempesta</w:t>
                      </w:r>
                      <w:proofErr w:type="spellEnd"/>
                      <w:r w:rsidR="006016E5">
                        <w:rPr>
                          <w:rFonts w:asciiTheme="majorHAnsi" w:hAnsiTheme="majorHAnsi"/>
                          <w:color w:val="595959" w:themeColor="text1" w:themeTint="A6"/>
                          <w:sz w:val="18"/>
                        </w:rPr>
                        <w:t xml:space="preserve"> </w:t>
                      </w:r>
                      <w:proofErr w:type="spellStart"/>
                      <w:r w:rsidR="006016E5">
                        <w:rPr>
                          <w:rFonts w:asciiTheme="majorHAnsi" w:hAnsiTheme="majorHAnsi"/>
                          <w:color w:val="595959" w:themeColor="text1" w:themeTint="A6"/>
                          <w:sz w:val="18"/>
                        </w:rPr>
                        <w:t>Herrada</w:t>
                      </w:r>
                      <w:proofErr w:type="spellEnd"/>
                      <w:r w:rsidRPr="003C32BC">
                        <w:rPr>
                          <w:rFonts w:asciiTheme="majorHAnsi" w:hAnsiTheme="majorHAnsi"/>
                          <w:color w:val="595959" w:themeColor="text1" w:themeTint="A6"/>
                          <w:sz w:val="18"/>
                        </w:rPr>
                        <w:t xml:space="preserve">. </w:t>
                      </w:r>
                      <w:r w:rsidR="006016E5">
                        <w:rPr>
                          <w:rFonts w:asciiTheme="majorHAnsi" w:hAnsiTheme="majorHAnsi"/>
                          <w:color w:val="595959" w:themeColor="text1" w:themeTint="A6"/>
                          <w:sz w:val="18"/>
                        </w:rPr>
                        <w:t>Peru</w:t>
                      </w:r>
                      <w:r>
                        <w:rPr>
                          <w:rFonts w:asciiTheme="majorHAnsi" w:hAnsiTheme="majorHAnsi"/>
                          <w:color w:val="595959" w:themeColor="text1" w:themeTint="A6"/>
                          <w:sz w:val="18"/>
                        </w:rPr>
                        <w:t xml:space="preserve">. </w:t>
                      </w:r>
                      <w:r w:rsidR="0087129C">
                        <w:rPr>
                          <w:rFonts w:asciiTheme="majorHAnsi" w:hAnsiTheme="majorHAnsi"/>
                          <w:color w:val="595959" w:themeColor="text1" w:themeTint="A6"/>
                          <w:sz w:val="18"/>
                        </w:rPr>
                        <w:t>June 3, 2021</w:t>
                      </w:r>
                      <w:r>
                        <w:rPr>
                          <w:rFonts w:asciiTheme="majorHAnsi" w:hAnsiTheme="majorHAnsi"/>
                          <w:color w:val="595959" w:themeColor="text1" w:themeTint="A6"/>
                          <w:sz w:val="18"/>
                        </w:rPr>
                        <w:t>.</w:t>
                      </w:r>
                    </w:p>
                  </w:txbxContent>
                </v:textbox>
              </v:shape>
            </w:pict>
          </mc:Fallback>
        </mc:AlternateContent>
      </w:r>
    </w:p>
    <w:p w14:paraId="1C0DAFDE" w14:textId="77777777" w:rsidR="002C1641" w:rsidRPr="009D304D" w:rsidRDefault="002C1641" w:rsidP="00040C3A">
      <w:pPr>
        <w:tabs>
          <w:tab w:val="center" w:pos="5400"/>
        </w:tabs>
        <w:suppressAutoHyphens/>
        <w:jc w:val="center"/>
        <w:rPr>
          <w:rFonts w:asciiTheme="majorHAnsi" w:hAnsiTheme="majorHAnsi"/>
          <w:sz w:val="18"/>
          <w:szCs w:val="22"/>
        </w:rPr>
      </w:pPr>
    </w:p>
    <w:p w14:paraId="5420A6FF" w14:textId="77777777" w:rsidR="002C1641" w:rsidRPr="009D304D" w:rsidRDefault="002C1641" w:rsidP="00040C3A">
      <w:pPr>
        <w:tabs>
          <w:tab w:val="center" w:pos="5400"/>
        </w:tabs>
        <w:suppressAutoHyphens/>
        <w:jc w:val="center"/>
        <w:rPr>
          <w:rFonts w:asciiTheme="majorHAnsi" w:hAnsiTheme="majorHAnsi"/>
          <w:sz w:val="18"/>
          <w:szCs w:val="22"/>
        </w:rPr>
      </w:pPr>
    </w:p>
    <w:p w14:paraId="03B36C31" w14:textId="77777777" w:rsidR="003C32BC" w:rsidRPr="009D304D" w:rsidRDefault="003C32BC" w:rsidP="003C32BC">
      <w:pPr>
        <w:tabs>
          <w:tab w:val="center" w:pos="5400"/>
        </w:tabs>
        <w:suppressAutoHyphens/>
        <w:jc w:val="center"/>
        <w:rPr>
          <w:rFonts w:asciiTheme="majorHAnsi" w:hAnsiTheme="majorHAnsi"/>
          <w:sz w:val="18"/>
          <w:szCs w:val="22"/>
        </w:rPr>
      </w:pPr>
    </w:p>
    <w:p w14:paraId="154A4854" w14:textId="77777777" w:rsidR="003C32BC" w:rsidRPr="009D304D" w:rsidRDefault="006311DA" w:rsidP="003C32BC">
      <w:pPr>
        <w:tabs>
          <w:tab w:val="center" w:pos="5400"/>
        </w:tabs>
        <w:suppressAutoHyphens/>
        <w:jc w:val="center"/>
        <w:rPr>
          <w:rFonts w:asciiTheme="majorHAnsi" w:hAnsiTheme="majorHAnsi"/>
          <w:sz w:val="18"/>
          <w:szCs w:val="22"/>
        </w:rPr>
      </w:pPr>
      <w:r w:rsidRPr="009D304D">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483A8C" w:rsidRPr="004B7EB6" w:rsidRDefault="00483A8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483A8C" w:rsidRPr="004B7EB6" w:rsidRDefault="00483A8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9D304D">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483A8C" w:rsidRDefault="00483A8C">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483A8C" w:rsidRDefault="00483A8C">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9D304D" w:rsidRDefault="007607C4" w:rsidP="003C32BC">
      <w:pPr>
        <w:tabs>
          <w:tab w:val="center" w:pos="5400"/>
        </w:tabs>
        <w:suppressAutoHyphens/>
        <w:jc w:val="center"/>
        <w:rPr>
          <w:rFonts w:asciiTheme="majorHAnsi" w:hAnsiTheme="majorHAnsi"/>
          <w:sz w:val="18"/>
          <w:szCs w:val="22"/>
        </w:rPr>
        <w:sectPr w:rsidR="007607C4" w:rsidRPr="009D304D"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5454A826" w14:textId="77777777" w:rsidR="006016E5" w:rsidRPr="00666340" w:rsidRDefault="006016E5" w:rsidP="006016E5">
      <w:pPr>
        <w:pStyle w:val="ListParagraph"/>
        <w:numPr>
          <w:ilvl w:val="0"/>
          <w:numId w:val="109"/>
        </w:numPr>
        <w:spacing w:after="120"/>
        <w:jc w:val="both"/>
        <w:rPr>
          <w:rFonts w:eastAsia="Arial Unicode MS"/>
          <w:b/>
          <w:bCs/>
          <w:sz w:val="20"/>
          <w:szCs w:val="20"/>
          <w:lang w:val="es-ES"/>
        </w:rPr>
      </w:pPr>
      <w:r>
        <w:rPr>
          <w:rFonts w:eastAsia="Arial Unicode MS"/>
          <w:b/>
          <w:bCs/>
          <w:sz w:val="20"/>
          <w:szCs w:val="20"/>
          <w:lang w:val="es-ES"/>
        </w:rPr>
        <w:lastRenderedPageBreak/>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6016E5" w:rsidRPr="00E63BA5" w14:paraId="75EFBB3B" w14:textId="77777777" w:rsidTr="006016E5">
        <w:tc>
          <w:tcPr>
            <w:tcW w:w="2790" w:type="dxa"/>
            <w:tcBorders>
              <w:top w:val="single" w:sz="4" w:space="0" w:color="auto"/>
              <w:bottom w:val="single" w:sz="6" w:space="0" w:color="auto"/>
            </w:tcBorders>
            <w:shd w:val="clear" w:color="auto" w:fill="67AE3C"/>
            <w:vAlign w:val="center"/>
          </w:tcPr>
          <w:p w14:paraId="4EC3A7A6" w14:textId="77777777" w:rsidR="006016E5" w:rsidRPr="00666340" w:rsidRDefault="006016E5" w:rsidP="00DB7863">
            <w:pPr>
              <w:jc w:val="center"/>
              <w:rPr>
                <w:rFonts w:ascii="Cambria" w:hAnsi="Cambria"/>
                <w:bCs/>
                <w:color w:val="FFFFFF"/>
                <w:sz w:val="19"/>
                <w:szCs w:val="19"/>
              </w:rPr>
            </w:pPr>
            <w:r w:rsidRPr="00666340">
              <w:rPr>
                <w:rFonts w:ascii="Cambria" w:hAnsi="Cambria"/>
                <w:bCs/>
                <w:color w:val="FFFFFF"/>
                <w:sz w:val="19"/>
                <w:szCs w:val="19"/>
              </w:rPr>
              <w:t>P</w:t>
            </w:r>
            <w:r>
              <w:rPr>
                <w:rFonts w:ascii="Cambria" w:hAnsi="Cambria"/>
                <w:bCs/>
                <w:color w:val="FFFFFF"/>
                <w:sz w:val="19"/>
                <w:szCs w:val="19"/>
              </w:rPr>
              <w:t>etitioner</w:t>
            </w:r>
          </w:p>
        </w:tc>
        <w:tc>
          <w:tcPr>
            <w:tcW w:w="6570" w:type="dxa"/>
            <w:vAlign w:val="center"/>
          </w:tcPr>
          <w:p w14:paraId="43037015" w14:textId="77777777" w:rsidR="006016E5" w:rsidRPr="00666340" w:rsidRDefault="006016E5" w:rsidP="00DB7863">
            <w:pPr>
              <w:jc w:val="both"/>
              <w:rPr>
                <w:rFonts w:ascii="Cambria" w:hAnsi="Cambria"/>
                <w:bCs/>
                <w:sz w:val="19"/>
                <w:szCs w:val="19"/>
              </w:rPr>
            </w:pPr>
            <w:r>
              <w:rPr>
                <w:rFonts w:ascii="Cambria" w:hAnsi="Cambria"/>
                <w:bCs/>
                <w:sz w:val="19"/>
                <w:szCs w:val="19"/>
              </w:rPr>
              <w:t xml:space="preserve">Eddie </w:t>
            </w:r>
            <w:proofErr w:type="spellStart"/>
            <w:r>
              <w:rPr>
                <w:rFonts w:ascii="Cambria" w:hAnsi="Cambria"/>
                <w:bCs/>
                <w:sz w:val="19"/>
                <w:szCs w:val="19"/>
              </w:rPr>
              <w:t>Calajeón</w:t>
            </w:r>
            <w:proofErr w:type="spellEnd"/>
            <w:r>
              <w:rPr>
                <w:rFonts w:ascii="Cambria" w:hAnsi="Cambria"/>
                <w:bCs/>
                <w:sz w:val="19"/>
                <w:szCs w:val="19"/>
              </w:rPr>
              <w:t xml:space="preserve"> </w:t>
            </w:r>
            <w:proofErr w:type="spellStart"/>
            <w:r>
              <w:rPr>
                <w:rFonts w:ascii="Cambria" w:hAnsi="Cambria"/>
                <w:bCs/>
                <w:sz w:val="19"/>
                <w:szCs w:val="19"/>
              </w:rPr>
              <w:t>Castilla</w:t>
            </w:r>
            <w:proofErr w:type="spellEnd"/>
          </w:p>
        </w:tc>
      </w:tr>
      <w:tr w:rsidR="006016E5" w:rsidRPr="00E63BA5" w14:paraId="2AA978A7" w14:textId="77777777" w:rsidTr="006016E5">
        <w:tc>
          <w:tcPr>
            <w:tcW w:w="2790" w:type="dxa"/>
            <w:tcBorders>
              <w:top w:val="single" w:sz="6" w:space="0" w:color="auto"/>
              <w:bottom w:val="single" w:sz="6" w:space="0" w:color="auto"/>
            </w:tcBorders>
            <w:shd w:val="clear" w:color="auto" w:fill="67AE3C"/>
            <w:vAlign w:val="center"/>
          </w:tcPr>
          <w:p w14:paraId="08EEABF7" w14:textId="77777777" w:rsidR="006016E5" w:rsidRPr="00666340" w:rsidRDefault="006016E5" w:rsidP="00DB7863">
            <w:pPr>
              <w:jc w:val="center"/>
              <w:rPr>
                <w:rFonts w:ascii="Cambria" w:hAnsi="Cambria"/>
                <w:bCs/>
                <w:color w:val="FFFFFF"/>
                <w:sz w:val="19"/>
                <w:szCs w:val="19"/>
              </w:rPr>
            </w:pPr>
            <w:r>
              <w:rPr>
                <w:rFonts w:ascii="Cambria" w:hAnsi="Cambria"/>
                <w:bCs/>
                <w:color w:val="FFFFFF"/>
                <w:sz w:val="19"/>
                <w:szCs w:val="19"/>
              </w:rPr>
              <w:t>Alleged victim</w:t>
            </w:r>
          </w:p>
        </w:tc>
        <w:tc>
          <w:tcPr>
            <w:tcW w:w="6570" w:type="dxa"/>
            <w:vAlign w:val="center"/>
          </w:tcPr>
          <w:p w14:paraId="4747DB00" w14:textId="77777777" w:rsidR="006016E5" w:rsidRPr="00666340" w:rsidRDefault="006016E5" w:rsidP="00DB7863">
            <w:pPr>
              <w:jc w:val="both"/>
              <w:rPr>
                <w:rFonts w:ascii="Cambria" w:hAnsi="Cambria"/>
                <w:bCs/>
                <w:sz w:val="19"/>
                <w:szCs w:val="19"/>
              </w:rPr>
            </w:pPr>
            <w:r>
              <w:rPr>
                <w:rFonts w:ascii="Cambria" w:hAnsi="Cambria"/>
                <w:bCs/>
                <w:sz w:val="19"/>
                <w:szCs w:val="19"/>
              </w:rPr>
              <w:t xml:space="preserve">Humberto </w:t>
            </w:r>
            <w:proofErr w:type="spellStart"/>
            <w:r>
              <w:rPr>
                <w:rFonts w:ascii="Cambria" w:hAnsi="Cambria"/>
                <w:bCs/>
                <w:sz w:val="19"/>
                <w:szCs w:val="19"/>
              </w:rPr>
              <w:t>Jesús</w:t>
            </w:r>
            <w:proofErr w:type="spellEnd"/>
            <w:r>
              <w:rPr>
                <w:rFonts w:ascii="Cambria" w:hAnsi="Cambria"/>
                <w:bCs/>
                <w:sz w:val="19"/>
                <w:szCs w:val="19"/>
              </w:rPr>
              <w:t xml:space="preserve"> </w:t>
            </w:r>
            <w:proofErr w:type="spellStart"/>
            <w:r>
              <w:rPr>
                <w:rFonts w:ascii="Cambria" w:hAnsi="Cambria"/>
                <w:bCs/>
                <w:sz w:val="19"/>
                <w:szCs w:val="19"/>
              </w:rPr>
              <w:t>Tempesta</w:t>
            </w:r>
            <w:proofErr w:type="spellEnd"/>
            <w:r>
              <w:rPr>
                <w:rFonts w:ascii="Cambria" w:hAnsi="Cambria"/>
                <w:bCs/>
                <w:sz w:val="19"/>
                <w:szCs w:val="19"/>
              </w:rPr>
              <w:t xml:space="preserve"> </w:t>
            </w:r>
            <w:proofErr w:type="spellStart"/>
            <w:r>
              <w:rPr>
                <w:rFonts w:ascii="Cambria" w:hAnsi="Cambria"/>
                <w:bCs/>
                <w:sz w:val="19"/>
                <w:szCs w:val="19"/>
              </w:rPr>
              <w:t>Herrada</w:t>
            </w:r>
            <w:proofErr w:type="spellEnd"/>
          </w:p>
        </w:tc>
      </w:tr>
      <w:tr w:rsidR="006016E5" w:rsidRPr="00666340" w14:paraId="3A7F5A95" w14:textId="77777777" w:rsidTr="006016E5">
        <w:tc>
          <w:tcPr>
            <w:tcW w:w="2790" w:type="dxa"/>
            <w:tcBorders>
              <w:top w:val="single" w:sz="6" w:space="0" w:color="auto"/>
              <w:bottom w:val="single" w:sz="6" w:space="0" w:color="auto"/>
            </w:tcBorders>
            <w:shd w:val="clear" w:color="auto" w:fill="67AE3C"/>
            <w:vAlign w:val="center"/>
          </w:tcPr>
          <w:p w14:paraId="4286567D" w14:textId="77777777" w:rsidR="006016E5" w:rsidRPr="00666340" w:rsidRDefault="006016E5" w:rsidP="00DB7863">
            <w:pPr>
              <w:jc w:val="center"/>
              <w:rPr>
                <w:rFonts w:ascii="Cambria" w:hAnsi="Cambria"/>
                <w:bCs/>
                <w:color w:val="FFFFFF"/>
                <w:sz w:val="19"/>
                <w:szCs w:val="19"/>
              </w:rPr>
            </w:pPr>
            <w:r>
              <w:rPr>
                <w:rFonts w:ascii="Cambria" w:hAnsi="Cambria"/>
                <w:bCs/>
                <w:color w:val="FFFFFF"/>
                <w:sz w:val="19"/>
                <w:szCs w:val="19"/>
              </w:rPr>
              <w:t>Respondent state</w:t>
            </w:r>
          </w:p>
        </w:tc>
        <w:tc>
          <w:tcPr>
            <w:tcW w:w="6570" w:type="dxa"/>
            <w:vAlign w:val="center"/>
          </w:tcPr>
          <w:p w14:paraId="36B0DF9D" w14:textId="77777777" w:rsidR="006016E5" w:rsidRPr="00666340" w:rsidRDefault="006016E5" w:rsidP="00DB7863">
            <w:pPr>
              <w:jc w:val="both"/>
              <w:rPr>
                <w:rFonts w:ascii="Cambria" w:hAnsi="Cambria"/>
                <w:bCs/>
                <w:sz w:val="19"/>
                <w:szCs w:val="19"/>
              </w:rPr>
            </w:pPr>
            <w:r w:rsidRPr="00666340">
              <w:rPr>
                <w:rFonts w:ascii="Cambria" w:hAnsi="Cambria"/>
                <w:bCs/>
                <w:sz w:val="19"/>
                <w:szCs w:val="19"/>
              </w:rPr>
              <w:t>Per</w:t>
            </w:r>
            <w:r>
              <w:rPr>
                <w:rFonts w:ascii="Cambria" w:hAnsi="Cambria"/>
                <w:bCs/>
                <w:sz w:val="19"/>
                <w:szCs w:val="19"/>
              </w:rPr>
              <w:t>u</w:t>
            </w:r>
            <w:r w:rsidRPr="00666340">
              <w:rPr>
                <w:rFonts w:ascii="Cambria" w:hAnsi="Cambria"/>
                <w:bCs/>
                <w:sz w:val="19"/>
                <w:szCs w:val="19"/>
                <w:vertAlign w:val="superscript"/>
              </w:rPr>
              <w:footnoteReference w:id="2"/>
            </w:r>
          </w:p>
        </w:tc>
      </w:tr>
      <w:tr w:rsidR="006016E5" w:rsidRPr="00666340" w14:paraId="395A55D5" w14:textId="77777777" w:rsidTr="006016E5">
        <w:tc>
          <w:tcPr>
            <w:tcW w:w="2790" w:type="dxa"/>
            <w:tcBorders>
              <w:top w:val="single" w:sz="6" w:space="0" w:color="auto"/>
              <w:bottom w:val="single" w:sz="6" w:space="0" w:color="auto"/>
            </w:tcBorders>
            <w:shd w:val="clear" w:color="auto" w:fill="67AE3C"/>
            <w:vAlign w:val="center"/>
          </w:tcPr>
          <w:p w14:paraId="42C2EA15" w14:textId="77777777" w:rsidR="006016E5" w:rsidRPr="00666340" w:rsidRDefault="006016E5" w:rsidP="00DB7863">
            <w:pPr>
              <w:jc w:val="center"/>
              <w:rPr>
                <w:rFonts w:ascii="Cambria" w:hAnsi="Cambria"/>
                <w:bCs/>
                <w:color w:val="FFFFFF"/>
                <w:sz w:val="19"/>
                <w:szCs w:val="19"/>
              </w:rPr>
            </w:pPr>
            <w:r>
              <w:rPr>
                <w:rFonts w:ascii="Cambria" w:hAnsi="Cambria"/>
                <w:bCs/>
                <w:color w:val="FFFFFF"/>
                <w:sz w:val="19"/>
                <w:szCs w:val="19"/>
              </w:rPr>
              <w:t>Rights invoked</w:t>
            </w:r>
          </w:p>
        </w:tc>
        <w:tc>
          <w:tcPr>
            <w:tcW w:w="6570" w:type="dxa"/>
            <w:vAlign w:val="center"/>
          </w:tcPr>
          <w:p w14:paraId="4A9B0D4E" w14:textId="4546251F" w:rsidR="006016E5" w:rsidRPr="00666340" w:rsidRDefault="006016E5" w:rsidP="00DB7863">
            <w:pPr>
              <w:jc w:val="both"/>
              <w:rPr>
                <w:rFonts w:ascii="Cambria" w:hAnsi="Cambria"/>
                <w:bCs/>
                <w:sz w:val="19"/>
                <w:szCs w:val="19"/>
              </w:rPr>
            </w:pPr>
            <w:r w:rsidRPr="00666340">
              <w:rPr>
                <w:rFonts w:ascii="Cambria" w:hAnsi="Cambria"/>
                <w:bCs/>
                <w:sz w:val="19"/>
                <w:szCs w:val="19"/>
              </w:rPr>
              <w:t xml:space="preserve">Articles </w:t>
            </w:r>
            <w:r>
              <w:rPr>
                <w:rFonts w:ascii="Cambria" w:hAnsi="Cambria"/>
                <w:bCs/>
                <w:sz w:val="19"/>
                <w:szCs w:val="19"/>
              </w:rPr>
              <w:t>16 (freedom of association), 24 (right to equal protection),</w:t>
            </w:r>
            <w:r w:rsidRPr="00666340">
              <w:rPr>
                <w:rFonts w:ascii="Cambria" w:hAnsi="Cambria"/>
                <w:bCs/>
                <w:sz w:val="19"/>
                <w:szCs w:val="19"/>
              </w:rPr>
              <w:t xml:space="preserve"> 25 </w:t>
            </w:r>
            <w:r>
              <w:rPr>
                <w:rFonts w:ascii="Cambria" w:hAnsi="Cambria"/>
                <w:bCs/>
                <w:sz w:val="19"/>
                <w:szCs w:val="19"/>
              </w:rPr>
              <w:t xml:space="preserve">(judicial protection) and 26 (progressive development) </w:t>
            </w:r>
            <w:r w:rsidRPr="00666340">
              <w:rPr>
                <w:rFonts w:ascii="Cambria" w:hAnsi="Cambria"/>
                <w:bCs/>
                <w:sz w:val="19"/>
                <w:szCs w:val="19"/>
              </w:rPr>
              <w:t>of the American Convention on Human Rights</w:t>
            </w:r>
            <w:r w:rsidRPr="00F13576">
              <w:rPr>
                <w:rStyle w:val="FootnoteReference"/>
                <w:rFonts w:ascii="Cambria" w:hAnsi="Cambria"/>
                <w:sz w:val="20"/>
                <w:szCs w:val="20"/>
              </w:rPr>
              <w:footnoteReference w:id="3"/>
            </w:r>
            <w:r w:rsidRPr="004B24A7">
              <w:rPr>
                <w:rFonts w:ascii="Cambria" w:hAnsi="Cambria"/>
                <w:bCs/>
                <w:sz w:val="20"/>
                <w:szCs w:val="20"/>
              </w:rPr>
              <w:t>,</w:t>
            </w:r>
            <w:r w:rsidRPr="00666340">
              <w:rPr>
                <w:rFonts w:ascii="Cambria" w:hAnsi="Cambria"/>
                <w:sz w:val="20"/>
                <w:szCs w:val="20"/>
              </w:rPr>
              <w:t xml:space="preserve"> </w:t>
            </w:r>
            <w:r>
              <w:rPr>
                <w:rFonts w:ascii="Cambria" w:hAnsi="Cambria"/>
                <w:sz w:val="20"/>
                <w:szCs w:val="20"/>
              </w:rPr>
              <w:t xml:space="preserve">in relation to </w:t>
            </w:r>
            <w:r w:rsidR="00D60B92">
              <w:rPr>
                <w:rFonts w:ascii="Cambria" w:hAnsi="Cambria"/>
                <w:sz w:val="20"/>
                <w:szCs w:val="20"/>
              </w:rPr>
              <w:t>Article</w:t>
            </w:r>
            <w:r>
              <w:rPr>
                <w:rFonts w:ascii="Cambria" w:hAnsi="Cambria"/>
                <w:sz w:val="20"/>
                <w:szCs w:val="20"/>
              </w:rPr>
              <w:t xml:space="preserve"> 1.1 (obligation to respect rights) </w:t>
            </w:r>
            <w:r w:rsidRPr="00666340">
              <w:rPr>
                <w:rFonts w:ascii="Cambria" w:hAnsi="Cambria"/>
                <w:sz w:val="20"/>
                <w:szCs w:val="20"/>
              </w:rPr>
              <w:t>and</w:t>
            </w:r>
            <w:r w:rsidRPr="00666340">
              <w:rPr>
                <w:rFonts w:ascii="Cambria" w:hAnsi="Cambria"/>
                <w:bCs/>
                <w:sz w:val="19"/>
                <w:szCs w:val="19"/>
              </w:rPr>
              <w:t xml:space="preserve"> </w:t>
            </w:r>
            <w:r w:rsidR="00D60B92">
              <w:rPr>
                <w:rFonts w:ascii="Cambria" w:hAnsi="Cambria"/>
                <w:bCs/>
                <w:sz w:val="19"/>
                <w:szCs w:val="19"/>
              </w:rPr>
              <w:t>Article</w:t>
            </w:r>
            <w:r>
              <w:rPr>
                <w:rFonts w:ascii="Cambria" w:hAnsi="Cambria"/>
                <w:bCs/>
                <w:sz w:val="19"/>
                <w:szCs w:val="19"/>
              </w:rPr>
              <w:t>s 6, 7 and 8 of the additional protocol of the American Convention on Economic, Social and Cultural Rights (“Protocol of San Salvador”)</w:t>
            </w:r>
            <w:r w:rsidRPr="00666340">
              <w:rPr>
                <w:rFonts w:ascii="Cambria" w:hAnsi="Cambria"/>
                <w:bCs/>
                <w:sz w:val="19"/>
                <w:szCs w:val="19"/>
              </w:rPr>
              <w:t xml:space="preserve">  </w:t>
            </w:r>
          </w:p>
        </w:tc>
      </w:tr>
    </w:tbl>
    <w:p w14:paraId="599BA6D1" w14:textId="77777777" w:rsidR="006016E5" w:rsidRPr="00666340" w:rsidRDefault="006016E5" w:rsidP="006016E5">
      <w:pPr>
        <w:spacing w:before="120" w:after="120"/>
        <w:ind w:firstLine="720"/>
        <w:jc w:val="both"/>
        <w:rPr>
          <w:rFonts w:ascii="Cambria" w:hAnsi="Cambria"/>
          <w:b/>
          <w:bCs/>
          <w:sz w:val="20"/>
          <w:szCs w:val="20"/>
        </w:rPr>
      </w:pPr>
      <w:r w:rsidRPr="00666340">
        <w:rPr>
          <w:rFonts w:ascii="Cambria" w:hAnsi="Cambria"/>
          <w:b/>
          <w:bCs/>
          <w:sz w:val="20"/>
          <w:szCs w:val="20"/>
        </w:rPr>
        <w:t>II.</w:t>
      </w:r>
      <w:r w:rsidRPr="00666340">
        <w:rPr>
          <w:rFonts w:ascii="Cambria" w:hAnsi="Cambria"/>
          <w:b/>
          <w:bCs/>
          <w:sz w:val="20"/>
          <w:szCs w:val="20"/>
        </w:rPr>
        <w:tab/>
        <w:t>PROCEEDINGS BEFORE THE IACHR</w:t>
      </w:r>
      <w:r>
        <w:rPr>
          <w:rStyle w:val="FootnoteReference"/>
          <w:rFonts w:ascii="Cambria" w:hAnsi="Cambria"/>
          <w:b/>
          <w:bCs/>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6016E5" w:rsidRPr="00666340" w14:paraId="6A9DBC50" w14:textId="77777777" w:rsidTr="006016E5">
        <w:tc>
          <w:tcPr>
            <w:tcW w:w="2790" w:type="dxa"/>
            <w:tcBorders>
              <w:top w:val="single" w:sz="6" w:space="0" w:color="auto"/>
              <w:bottom w:val="single" w:sz="6" w:space="0" w:color="auto"/>
            </w:tcBorders>
            <w:shd w:val="clear" w:color="auto" w:fill="67AE3C"/>
            <w:vAlign w:val="center"/>
          </w:tcPr>
          <w:p w14:paraId="435B82FB" w14:textId="77777777" w:rsidR="006016E5" w:rsidRPr="00666340" w:rsidRDefault="006016E5" w:rsidP="00DB7863">
            <w:pPr>
              <w:jc w:val="center"/>
              <w:rPr>
                <w:rFonts w:ascii="Cambria" w:hAnsi="Cambria"/>
                <w:bCs/>
                <w:color w:val="FFFFFF"/>
                <w:sz w:val="19"/>
                <w:szCs w:val="19"/>
              </w:rPr>
            </w:pPr>
            <w:r>
              <w:rPr>
                <w:rFonts w:ascii="Cambria" w:hAnsi="Cambria"/>
                <w:bCs/>
                <w:color w:val="FFFFFF"/>
                <w:sz w:val="19"/>
                <w:szCs w:val="19"/>
              </w:rPr>
              <w:t>Filling of the petition</w:t>
            </w:r>
          </w:p>
        </w:tc>
        <w:tc>
          <w:tcPr>
            <w:tcW w:w="6570" w:type="dxa"/>
            <w:vAlign w:val="center"/>
          </w:tcPr>
          <w:p w14:paraId="28BCB5F8" w14:textId="77777777" w:rsidR="006016E5" w:rsidRPr="00666340" w:rsidRDefault="006016E5" w:rsidP="00DB7863">
            <w:pPr>
              <w:jc w:val="both"/>
              <w:rPr>
                <w:rFonts w:ascii="Cambria" w:hAnsi="Cambria"/>
                <w:bCs/>
                <w:sz w:val="19"/>
                <w:szCs w:val="19"/>
              </w:rPr>
            </w:pPr>
            <w:r>
              <w:rPr>
                <w:rFonts w:ascii="Cambria" w:hAnsi="Cambria"/>
                <w:bCs/>
                <w:sz w:val="19"/>
                <w:szCs w:val="19"/>
              </w:rPr>
              <w:t>January 16, 2012</w:t>
            </w:r>
          </w:p>
        </w:tc>
      </w:tr>
      <w:tr w:rsidR="006016E5" w:rsidRPr="00666340" w14:paraId="36D1C4F3" w14:textId="77777777" w:rsidTr="006016E5">
        <w:tc>
          <w:tcPr>
            <w:tcW w:w="2790" w:type="dxa"/>
            <w:tcBorders>
              <w:top w:val="single" w:sz="6" w:space="0" w:color="auto"/>
              <w:bottom w:val="single" w:sz="6" w:space="0" w:color="auto"/>
            </w:tcBorders>
            <w:shd w:val="clear" w:color="auto" w:fill="67AE3C"/>
            <w:vAlign w:val="center"/>
          </w:tcPr>
          <w:p w14:paraId="404E455E" w14:textId="77777777" w:rsidR="006016E5" w:rsidRPr="00F77DE9" w:rsidRDefault="006016E5" w:rsidP="00DB7863">
            <w:pPr>
              <w:jc w:val="center"/>
              <w:rPr>
                <w:rFonts w:ascii="Cambria" w:hAnsi="Cambria"/>
                <w:color w:val="FFFFFF"/>
                <w:sz w:val="19"/>
                <w:szCs w:val="19"/>
              </w:rPr>
            </w:pPr>
            <w:r w:rsidRPr="00F77DE9">
              <w:rPr>
                <w:rFonts w:ascii="Cambria" w:hAnsi="Cambria"/>
                <w:color w:val="FFFFFF"/>
                <w:sz w:val="19"/>
                <w:szCs w:val="19"/>
              </w:rPr>
              <w:t>Additional information received during the initial review:</w:t>
            </w:r>
          </w:p>
        </w:tc>
        <w:tc>
          <w:tcPr>
            <w:tcW w:w="6570" w:type="dxa"/>
            <w:vAlign w:val="center"/>
          </w:tcPr>
          <w:p w14:paraId="15C80E1A" w14:textId="77777777" w:rsidR="006016E5" w:rsidRPr="00F77DE9" w:rsidRDefault="006016E5" w:rsidP="00DB7863">
            <w:pPr>
              <w:jc w:val="both"/>
              <w:rPr>
                <w:rFonts w:ascii="Cambria" w:hAnsi="Cambria"/>
                <w:bCs/>
                <w:sz w:val="19"/>
                <w:szCs w:val="19"/>
              </w:rPr>
            </w:pPr>
            <w:r>
              <w:rPr>
                <w:rFonts w:ascii="Cambria" w:hAnsi="Cambria"/>
                <w:bCs/>
                <w:sz w:val="19"/>
                <w:szCs w:val="19"/>
              </w:rPr>
              <w:t>January 18, 2012; May 7, 2012; January 22, 2014; May 18, 2014; June 19, 2017; December 27, 2017; January 17, 2018; and December 19, 2018</w:t>
            </w:r>
          </w:p>
        </w:tc>
      </w:tr>
      <w:tr w:rsidR="006016E5" w:rsidRPr="00666340" w14:paraId="3F1621D3" w14:textId="77777777" w:rsidTr="006016E5">
        <w:tc>
          <w:tcPr>
            <w:tcW w:w="2790" w:type="dxa"/>
            <w:tcBorders>
              <w:top w:val="single" w:sz="6" w:space="0" w:color="auto"/>
              <w:bottom w:val="single" w:sz="6" w:space="0" w:color="auto"/>
            </w:tcBorders>
            <w:shd w:val="clear" w:color="auto" w:fill="67AE3C"/>
            <w:vAlign w:val="center"/>
          </w:tcPr>
          <w:p w14:paraId="287D7F63" w14:textId="77777777" w:rsidR="006016E5" w:rsidRPr="00666340" w:rsidRDefault="006016E5" w:rsidP="00DB7863">
            <w:pPr>
              <w:jc w:val="center"/>
              <w:rPr>
                <w:rFonts w:ascii="Cambria" w:hAnsi="Cambria"/>
                <w:color w:val="FFFFFF"/>
                <w:sz w:val="19"/>
                <w:szCs w:val="19"/>
              </w:rPr>
            </w:pPr>
            <w:r w:rsidRPr="00666340">
              <w:rPr>
                <w:rFonts w:ascii="Cambria" w:hAnsi="Cambria"/>
                <w:color w:val="FFFFFF"/>
                <w:sz w:val="19"/>
                <w:szCs w:val="19"/>
              </w:rPr>
              <w:t>Notification of the petition to the State:</w:t>
            </w:r>
          </w:p>
        </w:tc>
        <w:tc>
          <w:tcPr>
            <w:tcW w:w="6570" w:type="dxa"/>
            <w:vAlign w:val="center"/>
          </w:tcPr>
          <w:p w14:paraId="718CBC06" w14:textId="77777777" w:rsidR="006016E5" w:rsidRPr="00666340" w:rsidRDefault="006016E5" w:rsidP="00DB7863">
            <w:pPr>
              <w:jc w:val="both"/>
              <w:rPr>
                <w:rFonts w:ascii="Cambria" w:hAnsi="Cambria"/>
                <w:bCs/>
                <w:sz w:val="19"/>
                <w:szCs w:val="19"/>
              </w:rPr>
            </w:pPr>
            <w:r>
              <w:rPr>
                <w:rFonts w:ascii="Cambria" w:hAnsi="Cambria"/>
                <w:bCs/>
                <w:sz w:val="19"/>
                <w:szCs w:val="19"/>
              </w:rPr>
              <w:t>January 28, 2019</w:t>
            </w:r>
            <w:r w:rsidRPr="00666340">
              <w:rPr>
                <w:rFonts w:ascii="Cambria" w:hAnsi="Cambria"/>
                <w:bCs/>
                <w:sz w:val="19"/>
                <w:szCs w:val="19"/>
              </w:rPr>
              <w:t xml:space="preserve"> </w:t>
            </w:r>
          </w:p>
        </w:tc>
      </w:tr>
      <w:tr w:rsidR="006016E5" w:rsidRPr="00666340" w14:paraId="0B6A5E7D" w14:textId="77777777" w:rsidTr="006016E5">
        <w:tc>
          <w:tcPr>
            <w:tcW w:w="2790" w:type="dxa"/>
            <w:tcBorders>
              <w:top w:val="single" w:sz="6" w:space="0" w:color="auto"/>
              <w:bottom w:val="single" w:sz="6" w:space="0" w:color="auto"/>
            </w:tcBorders>
            <w:shd w:val="clear" w:color="auto" w:fill="67AE3C"/>
            <w:vAlign w:val="center"/>
          </w:tcPr>
          <w:p w14:paraId="4F1C6801" w14:textId="77777777" w:rsidR="006016E5" w:rsidRPr="00666340" w:rsidRDefault="006016E5" w:rsidP="00DB7863">
            <w:pPr>
              <w:jc w:val="center"/>
              <w:rPr>
                <w:rFonts w:ascii="Cambria" w:hAnsi="Cambria"/>
                <w:color w:val="FFFFFF"/>
                <w:sz w:val="19"/>
                <w:szCs w:val="19"/>
              </w:rPr>
            </w:pPr>
            <w:r w:rsidRPr="00666340">
              <w:rPr>
                <w:rFonts w:ascii="Cambria" w:hAnsi="Cambria"/>
                <w:color w:val="FFFFFF"/>
                <w:sz w:val="19"/>
                <w:szCs w:val="19"/>
              </w:rPr>
              <w:t>State’s first response:</w:t>
            </w:r>
          </w:p>
        </w:tc>
        <w:tc>
          <w:tcPr>
            <w:tcW w:w="6570" w:type="dxa"/>
            <w:vAlign w:val="center"/>
          </w:tcPr>
          <w:p w14:paraId="0FCECBBA" w14:textId="77777777" w:rsidR="006016E5" w:rsidRPr="00666340" w:rsidRDefault="006016E5" w:rsidP="00DB7863">
            <w:pPr>
              <w:jc w:val="both"/>
              <w:rPr>
                <w:rFonts w:ascii="Cambria" w:hAnsi="Cambria"/>
                <w:bCs/>
                <w:sz w:val="19"/>
                <w:szCs w:val="19"/>
              </w:rPr>
            </w:pPr>
            <w:r>
              <w:rPr>
                <w:rFonts w:ascii="Cambria" w:hAnsi="Cambria"/>
                <w:bCs/>
                <w:sz w:val="19"/>
                <w:szCs w:val="19"/>
              </w:rPr>
              <w:t xml:space="preserve">May 1, 2019 </w:t>
            </w:r>
          </w:p>
        </w:tc>
      </w:tr>
      <w:tr w:rsidR="006016E5" w:rsidRPr="00666340" w14:paraId="72BA377E" w14:textId="77777777" w:rsidTr="006016E5">
        <w:tc>
          <w:tcPr>
            <w:tcW w:w="2790" w:type="dxa"/>
            <w:tcBorders>
              <w:top w:val="single" w:sz="6" w:space="0" w:color="auto"/>
              <w:bottom w:val="single" w:sz="6" w:space="0" w:color="auto"/>
            </w:tcBorders>
            <w:shd w:val="clear" w:color="auto" w:fill="67AE3C"/>
            <w:vAlign w:val="center"/>
          </w:tcPr>
          <w:p w14:paraId="0AB79291" w14:textId="77777777" w:rsidR="006016E5" w:rsidRPr="00237A60" w:rsidRDefault="006016E5" w:rsidP="00DB7863">
            <w:pPr>
              <w:jc w:val="center"/>
              <w:rPr>
                <w:rFonts w:ascii="Cambria" w:hAnsi="Cambria"/>
                <w:bCs/>
                <w:color w:val="FFFFFF"/>
                <w:sz w:val="19"/>
                <w:szCs w:val="19"/>
              </w:rPr>
            </w:pPr>
            <w:r w:rsidRPr="00237A60">
              <w:rPr>
                <w:rFonts w:ascii="Cambria" w:hAnsi="Cambria"/>
                <w:bCs/>
                <w:color w:val="FFFFFF"/>
                <w:sz w:val="19"/>
                <w:szCs w:val="19"/>
              </w:rPr>
              <w:t>Additional observations of the petitioners</w:t>
            </w:r>
          </w:p>
        </w:tc>
        <w:tc>
          <w:tcPr>
            <w:tcW w:w="6570" w:type="dxa"/>
            <w:vAlign w:val="center"/>
          </w:tcPr>
          <w:p w14:paraId="3F7E7E25" w14:textId="77777777" w:rsidR="006016E5" w:rsidRPr="00237A60" w:rsidRDefault="006016E5" w:rsidP="00DB7863">
            <w:pPr>
              <w:jc w:val="both"/>
              <w:rPr>
                <w:rFonts w:ascii="Cambria" w:hAnsi="Cambria"/>
                <w:bCs/>
                <w:sz w:val="19"/>
                <w:szCs w:val="19"/>
              </w:rPr>
            </w:pPr>
            <w:r>
              <w:rPr>
                <w:rFonts w:ascii="Cambria" w:hAnsi="Cambria"/>
                <w:bCs/>
                <w:sz w:val="19"/>
                <w:szCs w:val="19"/>
              </w:rPr>
              <w:t>February 21 2020</w:t>
            </w:r>
            <w:r w:rsidRPr="00237A60">
              <w:rPr>
                <w:rFonts w:ascii="Cambria" w:hAnsi="Cambria"/>
                <w:bCs/>
                <w:sz w:val="19"/>
                <w:szCs w:val="19"/>
              </w:rPr>
              <w:t xml:space="preserve"> </w:t>
            </w:r>
          </w:p>
        </w:tc>
      </w:tr>
      <w:tr w:rsidR="006016E5" w:rsidRPr="00666340" w14:paraId="2B924501" w14:textId="77777777" w:rsidTr="006016E5">
        <w:tc>
          <w:tcPr>
            <w:tcW w:w="2790" w:type="dxa"/>
            <w:tcBorders>
              <w:top w:val="single" w:sz="6" w:space="0" w:color="auto"/>
              <w:bottom w:val="single" w:sz="6" w:space="0" w:color="auto"/>
            </w:tcBorders>
            <w:shd w:val="clear" w:color="auto" w:fill="67AE3C"/>
            <w:vAlign w:val="center"/>
          </w:tcPr>
          <w:p w14:paraId="6CEFC5BF" w14:textId="77777777" w:rsidR="006016E5" w:rsidRPr="00237A60" w:rsidRDefault="006016E5" w:rsidP="00DB7863">
            <w:pPr>
              <w:jc w:val="center"/>
              <w:rPr>
                <w:rFonts w:ascii="Cambria" w:hAnsi="Cambria"/>
                <w:bCs/>
                <w:color w:val="FFFFFF"/>
                <w:sz w:val="19"/>
                <w:szCs w:val="19"/>
              </w:rPr>
            </w:pPr>
            <w:r w:rsidRPr="00237A60">
              <w:rPr>
                <w:rFonts w:ascii="Cambria" w:hAnsi="Cambria"/>
                <w:bCs/>
                <w:color w:val="FFFFFF"/>
                <w:sz w:val="19"/>
                <w:szCs w:val="19"/>
              </w:rPr>
              <w:t>Additional observations by the State</w:t>
            </w:r>
          </w:p>
        </w:tc>
        <w:tc>
          <w:tcPr>
            <w:tcW w:w="6570" w:type="dxa"/>
            <w:vAlign w:val="center"/>
          </w:tcPr>
          <w:p w14:paraId="45821CA8" w14:textId="77777777" w:rsidR="006016E5" w:rsidRPr="00666340" w:rsidRDefault="006016E5" w:rsidP="00DB7863">
            <w:pPr>
              <w:jc w:val="both"/>
              <w:rPr>
                <w:rFonts w:ascii="Cambria" w:hAnsi="Cambria"/>
                <w:bCs/>
                <w:sz w:val="19"/>
                <w:szCs w:val="19"/>
              </w:rPr>
            </w:pPr>
            <w:r>
              <w:rPr>
                <w:rFonts w:ascii="Cambria" w:hAnsi="Cambria"/>
                <w:bCs/>
                <w:sz w:val="19"/>
                <w:szCs w:val="19"/>
              </w:rPr>
              <w:t xml:space="preserve">July 14 2020 and February 15 2021 </w:t>
            </w:r>
          </w:p>
        </w:tc>
      </w:tr>
    </w:tbl>
    <w:p w14:paraId="256E0763" w14:textId="77777777" w:rsidR="006016E5" w:rsidRPr="00666340" w:rsidRDefault="006016E5" w:rsidP="006016E5">
      <w:pPr>
        <w:spacing w:before="120" w:after="120"/>
        <w:ind w:firstLine="720"/>
        <w:jc w:val="both"/>
        <w:rPr>
          <w:rFonts w:ascii="Cambria" w:hAnsi="Cambria"/>
          <w:b/>
          <w:bCs/>
          <w:sz w:val="20"/>
          <w:szCs w:val="20"/>
          <w:lang w:val="es-ES"/>
        </w:rPr>
      </w:pPr>
      <w:r w:rsidRPr="00666340">
        <w:rPr>
          <w:rFonts w:ascii="Cambria" w:hAnsi="Cambria"/>
          <w:b/>
          <w:bCs/>
          <w:sz w:val="20"/>
          <w:szCs w:val="20"/>
          <w:lang w:val="es-ES"/>
        </w:rPr>
        <w:t xml:space="preserve">III. </w:t>
      </w:r>
      <w:r w:rsidRPr="00666340">
        <w:rPr>
          <w:rFonts w:ascii="Cambria" w:hAnsi="Cambria"/>
          <w:b/>
          <w:bCs/>
          <w:sz w:val="20"/>
          <w:szCs w:val="20"/>
          <w:lang w:val="es-ES"/>
        </w:rPr>
        <w:tab/>
        <w:t>COMPETEN</w:t>
      </w:r>
      <w:r>
        <w:rPr>
          <w:rFonts w:ascii="Cambria" w:hAnsi="Cambria"/>
          <w:b/>
          <w:bCs/>
          <w:sz w:val="20"/>
          <w:szCs w:val="20"/>
          <w:lang w:val="es-ES"/>
        </w:rPr>
        <w:t>CE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685"/>
        <w:gridCol w:w="6217"/>
      </w:tblGrid>
      <w:tr w:rsidR="006016E5" w:rsidRPr="00666340" w14:paraId="7C93270D" w14:textId="77777777" w:rsidTr="006016E5">
        <w:trPr>
          <w:cantSplit/>
        </w:trPr>
        <w:tc>
          <w:tcPr>
            <w:tcW w:w="2790" w:type="dxa"/>
            <w:tcBorders>
              <w:top w:val="single" w:sz="4" w:space="0" w:color="auto"/>
              <w:bottom w:val="single" w:sz="6" w:space="0" w:color="auto"/>
            </w:tcBorders>
            <w:shd w:val="clear" w:color="auto" w:fill="67AE3C"/>
            <w:vAlign w:val="center"/>
          </w:tcPr>
          <w:p w14:paraId="091E3A82" w14:textId="77777777" w:rsidR="006016E5" w:rsidRPr="00666340" w:rsidRDefault="006016E5" w:rsidP="00DB7863">
            <w:pPr>
              <w:jc w:val="center"/>
              <w:rPr>
                <w:rFonts w:ascii="Cambria" w:hAnsi="Cambria"/>
                <w:bCs/>
                <w:i/>
                <w:color w:val="FFFFFF"/>
                <w:sz w:val="19"/>
                <w:szCs w:val="19"/>
              </w:rPr>
            </w:pPr>
            <w:r w:rsidRPr="00666340">
              <w:rPr>
                <w:rFonts w:ascii="Cambria" w:hAnsi="Cambria"/>
                <w:bCs/>
                <w:i/>
                <w:color w:val="FFFFFF"/>
                <w:sz w:val="19"/>
                <w:szCs w:val="19"/>
              </w:rPr>
              <w:t xml:space="preserve">Competence </w:t>
            </w:r>
            <w:proofErr w:type="spellStart"/>
            <w:r w:rsidRPr="00666340">
              <w:rPr>
                <w:rFonts w:ascii="Cambria" w:hAnsi="Cambria"/>
                <w:bCs/>
                <w:i/>
                <w:color w:val="FFFFFF"/>
                <w:sz w:val="19"/>
                <w:szCs w:val="19"/>
              </w:rPr>
              <w:t>Ratione</w:t>
            </w:r>
            <w:proofErr w:type="spellEnd"/>
            <w:r w:rsidRPr="00666340">
              <w:rPr>
                <w:rFonts w:ascii="Cambria" w:hAnsi="Cambria"/>
                <w:bCs/>
                <w:i/>
                <w:color w:val="FFFFFF"/>
                <w:sz w:val="19"/>
                <w:szCs w:val="19"/>
              </w:rPr>
              <w:t xml:space="preserve"> personae:</w:t>
            </w:r>
          </w:p>
        </w:tc>
        <w:tc>
          <w:tcPr>
            <w:tcW w:w="6570" w:type="dxa"/>
            <w:vAlign w:val="center"/>
          </w:tcPr>
          <w:p w14:paraId="67B74306" w14:textId="77777777" w:rsidR="006016E5" w:rsidRPr="00666340" w:rsidRDefault="006016E5" w:rsidP="00DB7863">
            <w:pPr>
              <w:rPr>
                <w:rFonts w:ascii="Cambria" w:hAnsi="Cambria"/>
                <w:bCs/>
                <w:sz w:val="19"/>
                <w:szCs w:val="19"/>
              </w:rPr>
            </w:pPr>
            <w:r>
              <w:rPr>
                <w:rFonts w:ascii="Cambria" w:hAnsi="Cambria"/>
                <w:bCs/>
                <w:sz w:val="19"/>
                <w:szCs w:val="19"/>
              </w:rPr>
              <w:t>Yes</w:t>
            </w:r>
          </w:p>
        </w:tc>
      </w:tr>
      <w:tr w:rsidR="006016E5" w:rsidRPr="00666340" w14:paraId="25F2A217" w14:textId="77777777" w:rsidTr="006016E5">
        <w:trPr>
          <w:cantSplit/>
        </w:trPr>
        <w:tc>
          <w:tcPr>
            <w:tcW w:w="2790" w:type="dxa"/>
            <w:tcBorders>
              <w:top w:val="single" w:sz="6" w:space="0" w:color="auto"/>
              <w:bottom w:val="single" w:sz="6" w:space="0" w:color="auto"/>
            </w:tcBorders>
            <w:shd w:val="clear" w:color="auto" w:fill="67AE3C"/>
            <w:vAlign w:val="center"/>
          </w:tcPr>
          <w:p w14:paraId="344E10D0" w14:textId="77777777" w:rsidR="006016E5" w:rsidRPr="00666340" w:rsidRDefault="006016E5" w:rsidP="00DB7863">
            <w:pPr>
              <w:jc w:val="center"/>
              <w:rPr>
                <w:rFonts w:ascii="Cambria" w:hAnsi="Cambria"/>
                <w:bCs/>
                <w:i/>
                <w:color w:val="FFFFFF"/>
                <w:sz w:val="19"/>
                <w:szCs w:val="19"/>
              </w:rPr>
            </w:pPr>
            <w:r w:rsidRPr="00666340">
              <w:rPr>
                <w:rFonts w:ascii="Cambria" w:hAnsi="Cambria"/>
                <w:bCs/>
                <w:i/>
                <w:color w:val="FFFFFF"/>
                <w:sz w:val="19"/>
                <w:szCs w:val="19"/>
              </w:rPr>
              <w:t xml:space="preserve">Competence </w:t>
            </w:r>
            <w:proofErr w:type="spellStart"/>
            <w:r w:rsidRPr="00666340">
              <w:rPr>
                <w:rFonts w:ascii="Cambria" w:hAnsi="Cambria"/>
                <w:bCs/>
                <w:i/>
                <w:color w:val="FFFFFF"/>
                <w:sz w:val="19"/>
                <w:szCs w:val="19"/>
              </w:rPr>
              <w:t>Ratione</w:t>
            </w:r>
            <w:proofErr w:type="spellEnd"/>
            <w:r w:rsidRPr="00666340">
              <w:rPr>
                <w:rFonts w:ascii="Cambria" w:hAnsi="Cambria"/>
                <w:bCs/>
                <w:i/>
                <w:color w:val="FFFFFF"/>
                <w:sz w:val="19"/>
                <w:szCs w:val="19"/>
              </w:rPr>
              <w:t xml:space="preserve"> loci:</w:t>
            </w:r>
          </w:p>
        </w:tc>
        <w:tc>
          <w:tcPr>
            <w:tcW w:w="6570" w:type="dxa"/>
            <w:vAlign w:val="center"/>
          </w:tcPr>
          <w:p w14:paraId="31E7D567" w14:textId="77777777" w:rsidR="006016E5" w:rsidRPr="00666340" w:rsidRDefault="006016E5" w:rsidP="00DB7863">
            <w:pPr>
              <w:rPr>
                <w:rFonts w:ascii="Cambria" w:hAnsi="Cambria"/>
                <w:bCs/>
                <w:sz w:val="19"/>
                <w:szCs w:val="19"/>
              </w:rPr>
            </w:pPr>
            <w:r>
              <w:rPr>
                <w:rFonts w:ascii="Cambria" w:hAnsi="Cambria"/>
                <w:bCs/>
                <w:sz w:val="19"/>
                <w:szCs w:val="19"/>
              </w:rPr>
              <w:t>Yes</w:t>
            </w:r>
          </w:p>
        </w:tc>
      </w:tr>
      <w:tr w:rsidR="006016E5" w:rsidRPr="00666340" w14:paraId="2DD5F8CA" w14:textId="77777777" w:rsidTr="006016E5">
        <w:trPr>
          <w:cantSplit/>
        </w:trPr>
        <w:tc>
          <w:tcPr>
            <w:tcW w:w="2790" w:type="dxa"/>
            <w:tcBorders>
              <w:top w:val="single" w:sz="6" w:space="0" w:color="auto"/>
              <w:bottom w:val="single" w:sz="6" w:space="0" w:color="auto"/>
            </w:tcBorders>
            <w:shd w:val="clear" w:color="auto" w:fill="67AE3C"/>
            <w:vAlign w:val="center"/>
          </w:tcPr>
          <w:p w14:paraId="684125BE" w14:textId="77777777" w:rsidR="006016E5" w:rsidRPr="00666340" w:rsidRDefault="006016E5" w:rsidP="00DB7863">
            <w:pPr>
              <w:jc w:val="center"/>
              <w:rPr>
                <w:rFonts w:ascii="Cambria" w:hAnsi="Cambria"/>
                <w:bCs/>
                <w:i/>
                <w:color w:val="FFFFFF"/>
                <w:sz w:val="19"/>
                <w:szCs w:val="19"/>
              </w:rPr>
            </w:pPr>
            <w:r w:rsidRPr="00666340">
              <w:rPr>
                <w:rFonts w:ascii="Cambria" w:hAnsi="Cambria"/>
                <w:bCs/>
                <w:i/>
                <w:color w:val="FFFFFF"/>
                <w:sz w:val="19"/>
                <w:szCs w:val="19"/>
              </w:rPr>
              <w:t xml:space="preserve">Competence </w:t>
            </w:r>
            <w:proofErr w:type="spellStart"/>
            <w:r w:rsidRPr="00666340">
              <w:rPr>
                <w:rFonts w:ascii="Cambria" w:hAnsi="Cambria"/>
                <w:bCs/>
                <w:i/>
                <w:color w:val="FFFFFF"/>
                <w:sz w:val="19"/>
                <w:szCs w:val="19"/>
              </w:rPr>
              <w:t>Ratione</w:t>
            </w:r>
            <w:proofErr w:type="spellEnd"/>
            <w:r w:rsidRPr="00666340">
              <w:rPr>
                <w:rFonts w:ascii="Cambria" w:hAnsi="Cambria"/>
                <w:bCs/>
                <w:i/>
                <w:color w:val="FFFFFF"/>
                <w:sz w:val="19"/>
                <w:szCs w:val="19"/>
              </w:rPr>
              <w:t xml:space="preserve"> </w:t>
            </w:r>
            <w:proofErr w:type="spellStart"/>
            <w:r w:rsidRPr="00666340">
              <w:rPr>
                <w:rFonts w:ascii="Cambria" w:hAnsi="Cambria"/>
                <w:bCs/>
                <w:i/>
                <w:color w:val="FFFFFF"/>
                <w:sz w:val="19"/>
                <w:szCs w:val="19"/>
              </w:rPr>
              <w:t>temporis</w:t>
            </w:r>
            <w:proofErr w:type="spellEnd"/>
          </w:p>
        </w:tc>
        <w:tc>
          <w:tcPr>
            <w:tcW w:w="6570" w:type="dxa"/>
            <w:vAlign w:val="center"/>
          </w:tcPr>
          <w:p w14:paraId="2651DE9D" w14:textId="77777777" w:rsidR="006016E5" w:rsidRPr="00666340" w:rsidRDefault="006016E5" w:rsidP="00DB7863">
            <w:pPr>
              <w:rPr>
                <w:bCs/>
                <w:sz w:val="19"/>
                <w:szCs w:val="19"/>
              </w:rPr>
            </w:pPr>
            <w:r>
              <w:rPr>
                <w:bCs/>
                <w:sz w:val="19"/>
                <w:szCs w:val="19"/>
              </w:rPr>
              <w:t>Yes</w:t>
            </w:r>
          </w:p>
        </w:tc>
      </w:tr>
      <w:tr w:rsidR="006016E5" w:rsidRPr="00666340" w14:paraId="2F4F77DB" w14:textId="77777777" w:rsidTr="006016E5">
        <w:trPr>
          <w:cantSplit/>
        </w:trPr>
        <w:tc>
          <w:tcPr>
            <w:tcW w:w="2790" w:type="dxa"/>
            <w:tcBorders>
              <w:top w:val="single" w:sz="6" w:space="0" w:color="auto"/>
              <w:bottom w:val="single" w:sz="6" w:space="0" w:color="auto"/>
            </w:tcBorders>
            <w:shd w:val="clear" w:color="auto" w:fill="67AE3C"/>
            <w:vAlign w:val="center"/>
          </w:tcPr>
          <w:p w14:paraId="04B6295D" w14:textId="77777777" w:rsidR="006016E5" w:rsidRPr="00666340" w:rsidRDefault="006016E5" w:rsidP="00DB7863">
            <w:pPr>
              <w:jc w:val="center"/>
              <w:rPr>
                <w:rFonts w:ascii="Cambria" w:hAnsi="Cambria"/>
                <w:bCs/>
                <w:color w:val="FFFFFF"/>
                <w:sz w:val="19"/>
                <w:szCs w:val="19"/>
              </w:rPr>
            </w:pPr>
            <w:r w:rsidRPr="00666340">
              <w:rPr>
                <w:rFonts w:ascii="Cambria" w:hAnsi="Cambria"/>
                <w:bCs/>
                <w:i/>
                <w:color w:val="FFFFFF"/>
                <w:sz w:val="19"/>
                <w:szCs w:val="19"/>
              </w:rPr>
              <w:t xml:space="preserve">Competence </w:t>
            </w:r>
            <w:proofErr w:type="spellStart"/>
            <w:r w:rsidRPr="00666340">
              <w:rPr>
                <w:rFonts w:ascii="Cambria" w:hAnsi="Cambria"/>
                <w:bCs/>
                <w:i/>
                <w:color w:val="FFFFFF"/>
                <w:sz w:val="19"/>
                <w:szCs w:val="19"/>
              </w:rPr>
              <w:t>Ratione</w:t>
            </w:r>
            <w:proofErr w:type="spellEnd"/>
            <w:r w:rsidRPr="00666340">
              <w:rPr>
                <w:rFonts w:ascii="Cambria" w:hAnsi="Cambria"/>
                <w:bCs/>
                <w:i/>
                <w:color w:val="FFFFFF"/>
                <w:sz w:val="19"/>
                <w:szCs w:val="19"/>
              </w:rPr>
              <w:t xml:space="preserve"> </w:t>
            </w:r>
            <w:proofErr w:type="spellStart"/>
            <w:r w:rsidRPr="00666340">
              <w:rPr>
                <w:rFonts w:ascii="Cambria" w:hAnsi="Cambria"/>
                <w:bCs/>
                <w:i/>
                <w:color w:val="FFFFFF"/>
                <w:sz w:val="19"/>
                <w:szCs w:val="19"/>
              </w:rPr>
              <w:t>materiae</w:t>
            </w:r>
            <w:proofErr w:type="spellEnd"/>
          </w:p>
        </w:tc>
        <w:tc>
          <w:tcPr>
            <w:tcW w:w="6570" w:type="dxa"/>
            <w:vAlign w:val="center"/>
          </w:tcPr>
          <w:p w14:paraId="5B5D8F4E" w14:textId="77777777" w:rsidR="006016E5" w:rsidRPr="00666340" w:rsidRDefault="006016E5" w:rsidP="00DB7863">
            <w:pPr>
              <w:jc w:val="both"/>
              <w:rPr>
                <w:rFonts w:ascii="Cambria" w:hAnsi="Cambria"/>
                <w:bCs/>
                <w:sz w:val="19"/>
                <w:szCs w:val="19"/>
              </w:rPr>
            </w:pPr>
            <w:r w:rsidRPr="00666340">
              <w:rPr>
                <w:rFonts w:ascii="Cambria" w:hAnsi="Cambria"/>
                <w:bCs/>
                <w:sz w:val="19"/>
                <w:szCs w:val="19"/>
              </w:rPr>
              <w:t>Yes, American Convention (deposit of instrument on July 28, 197</w:t>
            </w:r>
            <w:r>
              <w:rPr>
                <w:rFonts w:ascii="Cambria" w:hAnsi="Cambria"/>
                <w:bCs/>
                <w:sz w:val="19"/>
                <w:szCs w:val="19"/>
              </w:rPr>
              <w:t>8</w:t>
            </w:r>
            <w:r w:rsidRPr="00666340">
              <w:rPr>
                <w:rFonts w:ascii="Cambria" w:hAnsi="Cambria"/>
                <w:bCs/>
                <w:sz w:val="19"/>
                <w:szCs w:val="19"/>
              </w:rPr>
              <w:t xml:space="preserve">) </w:t>
            </w:r>
          </w:p>
        </w:tc>
      </w:tr>
    </w:tbl>
    <w:p w14:paraId="16B5E234" w14:textId="77777777" w:rsidR="006016E5" w:rsidRPr="00666340" w:rsidRDefault="006016E5" w:rsidP="006016E5">
      <w:pPr>
        <w:spacing w:before="120" w:after="120"/>
        <w:ind w:firstLine="720"/>
        <w:jc w:val="both"/>
        <w:rPr>
          <w:rFonts w:ascii="Cambria" w:hAnsi="Cambria"/>
          <w:b/>
          <w:bCs/>
          <w:sz w:val="20"/>
          <w:szCs w:val="20"/>
        </w:rPr>
      </w:pPr>
      <w:r w:rsidRPr="00666340">
        <w:rPr>
          <w:rFonts w:ascii="Cambria" w:hAnsi="Cambria"/>
          <w:b/>
          <w:bCs/>
          <w:sz w:val="20"/>
          <w:szCs w:val="20"/>
        </w:rPr>
        <w:t xml:space="preserve">IV. </w:t>
      </w:r>
      <w:r w:rsidRPr="00666340">
        <w:rPr>
          <w:rFonts w:ascii="Cambria" w:hAnsi="Cambria"/>
          <w:b/>
          <w:bCs/>
          <w:sz w:val="20"/>
          <w:szCs w:val="20"/>
        </w:rPr>
        <w:tab/>
        <w:t>DUPLICATION OF PROCEDURES AND INTERNATIONAL RES JUDICATA,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688"/>
        <w:gridCol w:w="6214"/>
      </w:tblGrid>
      <w:tr w:rsidR="006016E5" w:rsidRPr="00666340" w14:paraId="591AE03C" w14:textId="77777777" w:rsidTr="006016E5">
        <w:trPr>
          <w:cantSplit/>
        </w:trPr>
        <w:tc>
          <w:tcPr>
            <w:tcW w:w="2790" w:type="dxa"/>
            <w:tcBorders>
              <w:top w:val="single" w:sz="4" w:space="0" w:color="auto"/>
              <w:bottom w:val="single" w:sz="6" w:space="0" w:color="auto"/>
            </w:tcBorders>
            <w:shd w:val="clear" w:color="auto" w:fill="67AE3C"/>
            <w:vAlign w:val="center"/>
          </w:tcPr>
          <w:p w14:paraId="5AB3AFF8" w14:textId="77777777" w:rsidR="006016E5" w:rsidRPr="00666340" w:rsidRDefault="006016E5" w:rsidP="00DB7863">
            <w:pPr>
              <w:jc w:val="center"/>
              <w:rPr>
                <w:rFonts w:ascii="Cambria" w:hAnsi="Cambria"/>
                <w:bCs/>
                <w:color w:val="FFFFFF"/>
                <w:sz w:val="19"/>
                <w:szCs w:val="19"/>
              </w:rPr>
            </w:pPr>
            <w:r w:rsidRPr="00666340">
              <w:rPr>
                <w:rFonts w:ascii="Cambria" w:hAnsi="Cambria"/>
                <w:bCs/>
                <w:color w:val="FFFFFF"/>
                <w:sz w:val="19"/>
                <w:szCs w:val="19"/>
              </w:rPr>
              <w:t>Duplication of procedures and International res judicata:</w:t>
            </w:r>
          </w:p>
        </w:tc>
        <w:tc>
          <w:tcPr>
            <w:tcW w:w="6570" w:type="dxa"/>
            <w:vAlign w:val="center"/>
          </w:tcPr>
          <w:p w14:paraId="3A729715" w14:textId="77777777" w:rsidR="006016E5" w:rsidRPr="00666340" w:rsidRDefault="006016E5" w:rsidP="00DB7863">
            <w:pPr>
              <w:jc w:val="both"/>
              <w:rPr>
                <w:rFonts w:ascii="Cambria" w:hAnsi="Cambria"/>
                <w:bCs/>
                <w:sz w:val="19"/>
                <w:szCs w:val="19"/>
              </w:rPr>
            </w:pPr>
            <w:r w:rsidRPr="00666340">
              <w:rPr>
                <w:rFonts w:ascii="Cambria" w:hAnsi="Cambria"/>
                <w:bCs/>
                <w:sz w:val="19"/>
                <w:szCs w:val="19"/>
              </w:rPr>
              <w:t>No</w:t>
            </w:r>
          </w:p>
        </w:tc>
      </w:tr>
      <w:tr w:rsidR="006016E5" w:rsidRPr="00666340" w14:paraId="3D3D5FB5" w14:textId="77777777" w:rsidTr="006016E5">
        <w:trPr>
          <w:cantSplit/>
        </w:trPr>
        <w:tc>
          <w:tcPr>
            <w:tcW w:w="2790" w:type="dxa"/>
            <w:tcBorders>
              <w:top w:val="single" w:sz="4" w:space="0" w:color="auto"/>
              <w:bottom w:val="single" w:sz="6" w:space="0" w:color="auto"/>
            </w:tcBorders>
            <w:shd w:val="clear" w:color="auto" w:fill="67AE3C"/>
            <w:vAlign w:val="center"/>
          </w:tcPr>
          <w:p w14:paraId="7719554E" w14:textId="77777777" w:rsidR="006016E5" w:rsidRPr="00666340" w:rsidRDefault="006016E5" w:rsidP="00DB7863">
            <w:pPr>
              <w:jc w:val="center"/>
              <w:rPr>
                <w:rFonts w:ascii="Cambria" w:hAnsi="Cambria"/>
                <w:bCs/>
                <w:color w:val="FFFFFF"/>
                <w:sz w:val="19"/>
                <w:szCs w:val="19"/>
              </w:rPr>
            </w:pPr>
            <w:r w:rsidRPr="00666340">
              <w:rPr>
                <w:rFonts w:ascii="Cambria" w:hAnsi="Cambria"/>
                <w:bCs/>
                <w:color w:val="FFFFFF"/>
                <w:sz w:val="19"/>
                <w:szCs w:val="19"/>
              </w:rPr>
              <w:t>Rights declared admissible:</w:t>
            </w:r>
          </w:p>
        </w:tc>
        <w:tc>
          <w:tcPr>
            <w:tcW w:w="6570" w:type="dxa"/>
            <w:vAlign w:val="center"/>
          </w:tcPr>
          <w:p w14:paraId="21EA86AD" w14:textId="3F112A3A" w:rsidR="006016E5" w:rsidRPr="00666340" w:rsidRDefault="006016E5" w:rsidP="00DB7863">
            <w:pPr>
              <w:jc w:val="both"/>
              <w:rPr>
                <w:rFonts w:ascii="Cambria" w:hAnsi="Cambria"/>
                <w:bCs/>
                <w:sz w:val="19"/>
                <w:szCs w:val="19"/>
              </w:rPr>
            </w:pPr>
            <w:r w:rsidRPr="00666340">
              <w:rPr>
                <w:rFonts w:ascii="Cambria" w:hAnsi="Cambria"/>
                <w:bCs/>
                <w:sz w:val="19"/>
                <w:szCs w:val="19"/>
              </w:rPr>
              <w:t xml:space="preserve">Articles </w:t>
            </w:r>
            <w:r>
              <w:rPr>
                <w:rFonts w:ascii="Cambria" w:hAnsi="Cambria"/>
                <w:bCs/>
                <w:sz w:val="19"/>
                <w:szCs w:val="19"/>
              </w:rPr>
              <w:t>16 (freedom of association), 24 (right to equal protection),</w:t>
            </w:r>
            <w:r w:rsidRPr="00666340">
              <w:rPr>
                <w:rFonts w:ascii="Cambria" w:hAnsi="Cambria"/>
                <w:bCs/>
                <w:sz w:val="19"/>
                <w:szCs w:val="19"/>
              </w:rPr>
              <w:t xml:space="preserve"> 25 </w:t>
            </w:r>
            <w:r>
              <w:rPr>
                <w:rFonts w:ascii="Cambria" w:hAnsi="Cambria"/>
                <w:bCs/>
                <w:sz w:val="19"/>
                <w:szCs w:val="19"/>
              </w:rPr>
              <w:t xml:space="preserve">(judicial protection) and 26 (progressive development) </w:t>
            </w:r>
            <w:r w:rsidRPr="00666340">
              <w:rPr>
                <w:rFonts w:ascii="Cambria" w:hAnsi="Cambria"/>
                <w:bCs/>
                <w:sz w:val="19"/>
                <w:szCs w:val="19"/>
              </w:rPr>
              <w:t>of the American Convention on Human Rights</w:t>
            </w:r>
            <w:r w:rsidRPr="004B24A7">
              <w:rPr>
                <w:rFonts w:ascii="Cambria" w:hAnsi="Cambria"/>
                <w:bCs/>
                <w:sz w:val="20"/>
                <w:szCs w:val="20"/>
              </w:rPr>
              <w:t>,</w:t>
            </w:r>
            <w:r w:rsidRPr="00666340">
              <w:rPr>
                <w:rFonts w:ascii="Cambria" w:hAnsi="Cambria"/>
                <w:sz w:val="20"/>
                <w:szCs w:val="20"/>
              </w:rPr>
              <w:t xml:space="preserve"> </w:t>
            </w:r>
            <w:r>
              <w:rPr>
                <w:rFonts w:ascii="Cambria" w:hAnsi="Cambria"/>
                <w:sz w:val="20"/>
                <w:szCs w:val="20"/>
              </w:rPr>
              <w:t xml:space="preserve">in relation to </w:t>
            </w:r>
            <w:r w:rsidR="00D60B92">
              <w:rPr>
                <w:rFonts w:ascii="Cambria" w:hAnsi="Cambria"/>
                <w:sz w:val="20"/>
                <w:szCs w:val="20"/>
              </w:rPr>
              <w:t>Article</w:t>
            </w:r>
            <w:r>
              <w:rPr>
                <w:rFonts w:ascii="Cambria" w:hAnsi="Cambria"/>
                <w:sz w:val="20"/>
                <w:szCs w:val="20"/>
              </w:rPr>
              <w:t xml:space="preserve"> 1.1 (obligation to respect rights) </w:t>
            </w:r>
            <w:r w:rsidRPr="00666340">
              <w:rPr>
                <w:rFonts w:ascii="Cambria" w:hAnsi="Cambria"/>
                <w:sz w:val="20"/>
                <w:szCs w:val="20"/>
              </w:rPr>
              <w:t>and</w:t>
            </w:r>
            <w:r w:rsidRPr="00666340">
              <w:rPr>
                <w:rFonts w:ascii="Cambria" w:hAnsi="Cambria"/>
                <w:bCs/>
                <w:sz w:val="19"/>
                <w:szCs w:val="19"/>
              </w:rPr>
              <w:t xml:space="preserve"> </w:t>
            </w:r>
            <w:r w:rsidR="00D60B92">
              <w:rPr>
                <w:rFonts w:ascii="Cambria" w:hAnsi="Cambria"/>
                <w:bCs/>
                <w:sz w:val="19"/>
                <w:szCs w:val="19"/>
              </w:rPr>
              <w:t>Article</w:t>
            </w:r>
            <w:r>
              <w:rPr>
                <w:rFonts w:ascii="Cambria" w:hAnsi="Cambria"/>
                <w:bCs/>
                <w:sz w:val="19"/>
                <w:szCs w:val="19"/>
              </w:rPr>
              <w:t xml:space="preserve"> 8.a) of the Protocol of San Salvador Protocol.</w:t>
            </w:r>
            <w:r w:rsidRPr="00666340">
              <w:rPr>
                <w:rFonts w:ascii="Cambria" w:hAnsi="Cambria"/>
                <w:bCs/>
                <w:sz w:val="19"/>
                <w:szCs w:val="19"/>
              </w:rPr>
              <w:t xml:space="preserve">  </w:t>
            </w:r>
          </w:p>
        </w:tc>
      </w:tr>
      <w:tr w:rsidR="006016E5" w:rsidRPr="00666340" w14:paraId="5D224A56" w14:textId="77777777" w:rsidTr="006016E5">
        <w:trPr>
          <w:cantSplit/>
        </w:trPr>
        <w:tc>
          <w:tcPr>
            <w:tcW w:w="2790" w:type="dxa"/>
            <w:tcBorders>
              <w:top w:val="single" w:sz="6" w:space="0" w:color="auto"/>
              <w:bottom w:val="single" w:sz="6" w:space="0" w:color="auto"/>
            </w:tcBorders>
            <w:shd w:val="clear" w:color="auto" w:fill="67AE3C"/>
            <w:vAlign w:val="center"/>
          </w:tcPr>
          <w:p w14:paraId="768D79D1" w14:textId="77777777" w:rsidR="006016E5" w:rsidRPr="00666340" w:rsidRDefault="006016E5" w:rsidP="00DB7863">
            <w:pPr>
              <w:jc w:val="center"/>
              <w:rPr>
                <w:rFonts w:ascii="Cambria" w:hAnsi="Cambria"/>
                <w:bCs/>
                <w:color w:val="FFFFFF"/>
                <w:sz w:val="19"/>
                <w:szCs w:val="19"/>
              </w:rPr>
            </w:pPr>
            <w:r w:rsidRPr="00666340">
              <w:rPr>
                <w:rFonts w:ascii="Cambria" w:hAnsi="Cambria"/>
                <w:bCs/>
                <w:color w:val="FFFFFF"/>
                <w:sz w:val="19"/>
                <w:szCs w:val="19"/>
              </w:rPr>
              <w:t>Exhaustion of domestic remedies or applicability of an exception to the rule:</w:t>
            </w:r>
          </w:p>
        </w:tc>
        <w:tc>
          <w:tcPr>
            <w:tcW w:w="6570" w:type="dxa"/>
            <w:vAlign w:val="center"/>
          </w:tcPr>
          <w:p w14:paraId="2C8749AD" w14:textId="77777777" w:rsidR="006016E5" w:rsidRPr="00237A60" w:rsidRDefault="006016E5" w:rsidP="00DB7863">
            <w:pPr>
              <w:rPr>
                <w:rFonts w:ascii="Cambria" w:hAnsi="Cambria"/>
                <w:bCs/>
                <w:sz w:val="19"/>
                <w:szCs w:val="19"/>
              </w:rPr>
            </w:pPr>
            <w:r w:rsidRPr="00237A60">
              <w:rPr>
                <w:rFonts w:ascii="Cambria" w:hAnsi="Cambria"/>
                <w:bCs/>
                <w:sz w:val="19"/>
                <w:szCs w:val="19"/>
              </w:rPr>
              <w:t xml:space="preserve">Yes, under the terms of section VI </w:t>
            </w:r>
          </w:p>
        </w:tc>
      </w:tr>
      <w:tr w:rsidR="006016E5" w:rsidRPr="00666340" w14:paraId="59AC9263" w14:textId="77777777" w:rsidTr="006016E5">
        <w:trPr>
          <w:cantSplit/>
        </w:trPr>
        <w:tc>
          <w:tcPr>
            <w:tcW w:w="2790" w:type="dxa"/>
            <w:tcBorders>
              <w:top w:val="single" w:sz="6" w:space="0" w:color="auto"/>
              <w:bottom w:val="single" w:sz="6" w:space="0" w:color="auto"/>
            </w:tcBorders>
            <w:shd w:val="clear" w:color="auto" w:fill="67AE3C"/>
            <w:vAlign w:val="center"/>
          </w:tcPr>
          <w:p w14:paraId="078AB2F1" w14:textId="77777777" w:rsidR="006016E5" w:rsidRPr="00666340" w:rsidRDefault="006016E5" w:rsidP="00DB7863">
            <w:pPr>
              <w:jc w:val="center"/>
              <w:rPr>
                <w:rFonts w:ascii="Cambria" w:hAnsi="Cambria"/>
                <w:bCs/>
                <w:color w:val="FFFFFF"/>
                <w:sz w:val="19"/>
                <w:szCs w:val="19"/>
              </w:rPr>
            </w:pPr>
            <w:r w:rsidRPr="00666340">
              <w:rPr>
                <w:rFonts w:ascii="Cambria" w:hAnsi="Cambria"/>
                <w:bCs/>
                <w:color w:val="FFFFFF"/>
                <w:sz w:val="19"/>
                <w:szCs w:val="19"/>
              </w:rPr>
              <w:t>Timeliness of the petition:</w:t>
            </w:r>
          </w:p>
        </w:tc>
        <w:tc>
          <w:tcPr>
            <w:tcW w:w="6570" w:type="dxa"/>
            <w:vAlign w:val="center"/>
          </w:tcPr>
          <w:p w14:paraId="6EFF7807" w14:textId="77777777" w:rsidR="006016E5" w:rsidRPr="00237A60" w:rsidRDefault="006016E5" w:rsidP="00DB7863">
            <w:pPr>
              <w:rPr>
                <w:rFonts w:ascii="Cambria" w:hAnsi="Cambria"/>
                <w:bCs/>
                <w:sz w:val="20"/>
                <w:szCs w:val="20"/>
              </w:rPr>
            </w:pPr>
            <w:r w:rsidRPr="00237A60">
              <w:rPr>
                <w:rFonts w:ascii="Cambria" w:hAnsi="Cambria"/>
                <w:bCs/>
                <w:sz w:val="20"/>
                <w:szCs w:val="20"/>
              </w:rPr>
              <w:t xml:space="preserve">Yes, </w:t>
            </w:r>
            <w:r w:rsidRPr="00237A60">
              <w:rPr>
                <w:rFonts w:ascii="Cambria" w:hAnsi="Cambria"/>
                <w:bCs/>
                <w:sz w:val="19"/>
                <w:szCs w:val="19"/>
              </w:rPr>
              <w:t>under the terms of section VI</w:t>
            </w:r>
          </w:p>
        </w:tc>
      </w:tr>
    </w:tbl>
    <w:p w14:paraId="4C78C4E5" w14:textId="77777777" w:rsidR="006016E5" w:rsidRPr="003F093B" w:rsidRDefault="006016E5" w:rsidP="006016E5">
      <w:pPr>
        <w:pStyle w:val="ListParagraph"/>
        <w:numPr>
          <w:ilvl w:val="0"/>
          <w:numId w:val="110"/>
        </w:numPr>
        <w:spacing w:before="120" w:after="120"/>
        <w:jc w:val="both"/>
        <w:rPr>
          <w:rFonts w:eastAsia="Arial Unicode MS"/>
          <w:b/>
          <w:color w:val="auto"/>
          <w:sz w:val="20"/>
          <w:szCs w:val="20"/>
        </w:rPr>
      </w:pPr>
      <w:r w:rsidRPr="003F093B">
        <w:rPr>
          <w:rFonts w:eastAsia="Arial Unicode MS"/>
          <w:b/>
          <w:color w:val="auto"/>
          <w:sz w:val="20"/>
          <w:szCs w:val="20"/>
        </w:rPr>
        <w:t>SUMMARY OF ALLEGED FACTS</w:t>
      </w:r>
    </w:p>
    <w:p w14:paraId="5026525E" w14:textId="77777777" w:rsidR="006016E5" w:rsidRPr="003F093B" w:rsidRDefault="006016E5" w:rsidP="006016E5">
      <w:pPr>
        <w:pStyle w:val="ListParagraph"/>
        <w:numPr>
          <w:ilvl w:val="0"/>
          <w:numId w:val="105"/>
        </w:numPr>
        <w:jc w:val="both"/>
        <w:rPr>
          <w:color w:val="auto"/>
          <w:sz w:val="20"/>
          <w:szCs w:val="20"/>
        </w:rPr>
      </w:pPr>
      <w:r w:rsidRPr="003F093B">
        <w:rPr>
          <w:color w:val="auto"/>
          <w:sz w:val="20"/>
          <w:szCs w:val="20"/>
        </w:rPr>
        <w:t xml:space="preserve">The petitioner denounces that the State violated the rights to work, equality and freedom of association of Mr. Humberto </w:t>
      </w:r>
      <w:proofErr w:type="spellStart"/>
      <w:r w:rsidRPr="003F093B">
        <w:rPr>
          <w:color w:val="auto"/>
          <w:sz w:val="20"/>
          <w:szCs w:val="20"/>
        </w:rPr>
        <w:t>Tempesta</w:t>
      </w:r>
      <w:proofErr w:type="spellEnd"/>
      <w:r w:rsidRPr="003F093B">
        <w:rPr>
          <w:color w:val="auto"/>
          <w:sz w:val="20"/>
          <w:szCs w:val="20"/>
        </w:rPr>
        <w:t>, when he was fired from the private company where he worked because of his status as a union leader.</w:t>
      </w:r>
    </w:p>
    <w:p w14:paraId="6932BD6F" w14:textId="77777777" w:rsidR="006016E5" w:rsidRPr="003F093B" w:rsidRDefault="006016E5" w:rsidP="006016E5">
      <w:pPr>
        <w:pStyle w:val="ListParagraph"/>
        <w:rPr>
          <w:color w:val="auto"/>
        </w:rPr>
      </w:pPr>
    </w:p>
    <w:p w14:paraId="5A9A2AA2" w14:textId="77777777" w:rsidR="006016E5" w:rsidRPr="003F093B" w:rsidRDefault="006016E5" w:rsidP="006016E5">
      <w:pPr>
        <w:numPr>
          <w:ilvl w:val="0"/>
          <w:numId w:val="105"/>
        </w:numPr>
        <w:suppressAutoHyphens/>
        <w:spacing w:after="120"/>
        <w:jc w:val="both"/>
        <w:rPr>
          <w:rFonts w:ascii="Cambria" w:eastAsia="Cambria" w:hAnsi="Cambria" w:cs="Cambria"/>
          <w:sz w:val="20"/>
          <w:szCs w:val="20"/>
          <w:u w:color="000000"/>
          <w:lang w:eastAsia="es-ES"/>
        </w:rPr>
      </w:pPr>
      <w:r w:rsidRPr="003F093B">
        <w:rPr>
          <w:rFonts w:ascii="Cambria" w:eastAsia="Cambria" w:hAnsi="Cambria" w:cs="Cambria"/>
          <w:sz w:val="20"/>
          <w:szCs w:val="20"/>
          <w:u w:color="000000"/>
          <w:lang w:eastAsia="es-ES"/>
        </w:rPr>
        <w:t>The alleged victim worked for the company “</w:t>
      </w:r>
      <w:proofErr w:type="spellStart"/>
      <w:r w:rsidRPr="003F093B">
        <w:rPr>
          <w:rFonts w:ascii="Cambria" w:eastAsia="Cambria" w:hAnsi="Cambria" w:cs="Cambria"/>
          <w:sz w:val="20"/>
          <w:szCs w:val="20"/>
          <w:u w:color="000000"/>
          <w:lang w:eastAsia="es-ES"/>
        </w:rPr>
        <w:t>América</w:t>
      </w:r>
      <w:proofErr w:type="spellEnd"/>
      <w:r w:rsidRPr="003F093B">
        <w:rPr>
          <w:rFonts w:ascii="Cambria" w:eastAsia="Cambria" w:hAnsi="Cambria" w:cs="Cambria"/>
          <w:sz w:val="20"/>
          <w:szCs w:val="20"/>
          <w:u w:color="000000"/>
          <w:lang w:eastAsia="es-ES"/>
        </w:rPr>
        <w:t xml:space="preserve"> </w:t>
      </w:r>
      <w:proofErr w:type="spellStart"/>
      <w:r w:rsidRPr="003F093B">
        <w:rPr>
          <w:rFonts w:ascii="Cambria" w:eastAsia="Cambria" w:hAnsi="Cambria" w:cs="Cambria"/>
          <w:sz w:val="20"/>
          <w:szCs w:val="20"/>
          <w:u w:color="000000"/>
          <w:lang w:eastAsia="es-ES"/>
        </w:rPr>
        <w:t>Móvil</w:t>
      </w:r>
      <w:proofErr w:type="spellEnd"/>
      <w:r w:rsidRPr="003F093B">
        <w:rPr>
          <w:rFonts w:ascii="Cambria" w:eastAsia="Cambria" w:hAnsi="Cambria" w:cs="Cambria"/>
          <w:sz w:val="20"/>
          <w:szCs w:val="20"/>
          <w:u w:color="000000"/>
          <w:lang w:eastAsia="es-ES"/>
        </w:rPr>
        <w:t xml:space="preserve"> </w:t>
      </w:r>
      <w:proofErr w:type="spellStart"/>
      <w:r w:rsidRPr="003F093B">
        <w:rPr>
          <w:rFonts w:ascii="Cambria" w:eastAsia="Cambria" w:hAnsi="Cambria" w:cs="Cambria"/>
          <w:sz w:val="20"/>
          <w:szCs w:val="20"/>
          <w:u w:color="000000"/>
          <w:lang w:eastAsia="es-ES"/>
        </w:rPr>
        <w:t>Perú</w:t>
      </w:r>
      <w:proofErr w:type="spellEnd"/>
      <w:r w:rsidRPr="003F093B">
        <w:rPr>
          <w:rFonts w:ascii="Cambria" w:eastAsia="Cambria" w:hAnsi="Cambria" w:cs="Cambria"/>
          <w:sz w:val="20"/>
          <w:szCs w:val="20"/>
          <w:u w:color="000000"/>
          <w:lang w:eastAsia="es-ES"/>
        </w:rPr>
        <w:t xml:space="preserve"> SAC” (hereinafter, </w:t>
      </w:r>
      <w:proofErr w:type="spellStart"/>
      <w:r w:rsidRPr="003F093B">
        <w:rPr>
          <w:rFonts w:ascii="Cambria" w:eastAsia="Cambria" w:hAnsi="Cambria" w:cs="Cambria"/>
          <w:sz w:val="20"/>
          <w:szCs w:val="20"/>
          <w:u w:color="000000"/>
          <w:lang w:eastAsia="es-ES"/>
        </w:rPr>
        <w:t>América</w:t>
      </w:r>
      <w:proofErr w:type="spellEnd"/>
      <w:r w:rsidRPr="003F093B">
        <w:rPr>
          <w:rFonts w:ascii="Cambria" w:eastAsia="Cambria" w:hAnsi="Cambria" w:cs="Cambria"/>
          <w:sz w:val="20"/>
          <w:szCs w:val="20"/>
          <w:u w:color="000000"/>
          <w:lang w:eastAsia="es-ES"/>
        </w:rPr>
        <w:t xml:space="preserve"> </w:t>
      </w:r>
      <w:proofErr w:type="spellStart"/>
      <w:r w:rsidRPr="003F093B">
        <w:rPr>
          <w:rFonts w:ascii="Cambria" w:eastAsia="Cambria" w:hAnsi="Cambria" w:cs="Cambria"/>
          <w:sz w:val="20"/>
          <w:szCs w:val="20"/>
          <w:u w:color="000000"/>
          <w:lang w:eastAsia="es-ES"/>
        </w:rPr>
        <w:t>Móvil</w:t>
      </w:r>
      <w:proofErr w:type="spellEnd"/>
      <w:r w:rsidRPr="003F093B">
        <w:rPr>
          <w:rFonts w:ascii="Cambria" w:eastAsia="Cambria" w:hAnsi="Cambria" w:cs="Cambria"/>
          <w:sz w:val="20"/>
          <w:szCs w:val="20"/>
          <w:u w:color="000000"/>
          <w:lang w:eastAsia="es-ES"/>
        </w:rPr>
        <w:t xml:space="preserve">). The petitioner specifies that on January 13, 2009, Mr. Humberto </w:t>
      </w:r>
      <w:proofErr w:type="spellStart"/>
      <w:r w:rsidRPr="003F093B">
        <w:rPr>
          <w:rFonts w:ascii="Cambria" w:eastAsia="Cambria" w:hAnsi="Cambria" w:cs="Cambria"/>
          <w:sz w:val="20"/>
          <w:szCs w:val="20"/>
          <w:u w:color="000000"/>
          <w:lang w:eastAsia="es-ES"/>
        </w:rPr>
        <w:t>Tempesta</w:t>
      </w:r>
      <w:proofErr w:type="spellEnd"/>
      <w:r w:rsidRPr="003F093B">
        <w:rPr>
          <w:rFonts w:ascii="Cambria" w:eastAsia="Cambria" w:hAnsi="Cambria" w:cs="Cambria"/>
          <w:sz w:val="20"/>
          <w:szCs w:val="20"/>
          <w:u w:color="000000"/>
          <w:lang w:eastAsia="es-ES"/>
        </w:rPr>
        <w:t xml:space="preserve"> was elected by the Workers' Assembly of said company to be a member of the union's Board of Directors, and that on January 16, 2009, they communicated such decision to the company. The petitioner denounced that, as a result of a policy of repression and anti-union discrimination, on January 17, 2009, </w:t>
      </w:r>
      <w:proofErr w:type="spellStart"/>
      <w:r w:rsidRPr="003F093B">
        <w:rPr>
          <w:rFonts w:ascii="Cambria" w:eastAsia="Cambria" w:hAnsi="Cambria" w:cs="Cambria"/>
          <w:sz w:val="20"/>
          <w:szCs w:val="20"/>
          <w:u w:color="000000"/>
          <w:lang w:eastAsia="es-ES"/>
        </w:rPr>
        <w:t>América</w:t>
      </w:r>
      <w:proofErr w:type="spellEnd"/>
      <w:r w:rsidRPr="003F093B">
        <w:rPr>
          <w:rFonts w:ascii="Cambria" w:eastAsia="Cambria" w:hAnsi="Cambria" w:cs="Cambria"/>
          <w:sz w:val="20"/>
          <w:szCs w:val="20"/>
          <w:u w:color="000000"/>
          <w:lang w:eastAsia="es-ES"/>
        </w:rPr>
        <w:t xml:space="preserve"> </w:t>
      </w:r>
      <w:proofErr w:type="spellStart"/>
      <w:r w:rsidRPr="003F093B">
        <w:rPr>
          <w:rFonts w:ascii="Cambria" w:eastAsia="Cambria" w:hAnsi="Cambria" w:cs="Cambria"/>
          <w:sz w:val="20"/>
          <w:szCs w:val="20"/>
          <w:u w:color="000000"/>
          <w:lang w:eastAsia="es-ES"/>
        </w:rPr>
        <w:t>Móvil</w:t>
      </w:r>
      <w:proofErr w:type="spellEnd"/>
      <w:r w:rsidRPr="003F093B">
        <w:rPr>
          <w:rFonts w:ascii="Cambria" w:eastAsia="Cambria" w:hAnsi="Cambria" w:cs="Cambria"/>
          <w:sz w:val="20"/>
          <w:szCs w:val="20"/>
          <w:u w:color="000000"/>
          <w:lang w:eastAsia="es-ES"/>
        </w:rPr>
        <w:t xml:space="preserve"> fired the alleged victim and the other members of the Board of Directors. </w:t>
      </w:r>
    </w:p>
    <w:p w14:paraId="6762647D" w14:textId="77777777" w:rsidR="006016E5" w:rsidRPr="003F093B" w:rsidRDefault="006016E5" w:rsidP="006016E5">
      <w:pPr>
        <w:pStyle w:val="ListParagraph"/>
        <w:rPr>
          <w:color w:val="auto"/>
          <w:sz w:val="20"/>
          <w:szCs w:val="20"/>
        </w:rPr>
      </w:pPr>
    </w:p>
    <w:p w14:paraId="44B5EEDE" w14:textId="77777777" w:rsidR="006016E5" w:rsidRPr="003F093B" w:rsidRDefault="006016E5" w:rsidP="006016E5">
      <w:pPr>
        <w:numPr>
          <w:ilvl w:val="0"/>
          <w:numId w:val="105"/>
        </w:numPr>
        <w:suppressAutoHyphens/>
        <w:spacing w:after="120"/>
        <w:jc w:val="both"/>
        <w:rPr>
          <w:rFonts w:ascii="Cambria" w:eastAsia="Cambria" w:hAnsi="Cambria" w:cs="Cambria"/>
          <w:sz w:val="20"/>
          <w:szCs w:val="20"/>
          <w:u w:color="000000"/>
          <w:lang w:eastAsia="es-ES"/>
        </w:rPr>
      </w:pPr>
      <w:r w:rsidRPr="003F093B">
        <w:rPr>
          <w:rFonts w:ascii="Cambria" w:eastAsia="Cambria" w:hAnsi="Cambria" w:cs="Cambria"/>
          <w:sz w:val="20"/>
          <w:szCs w:val="20"/>
          <w:u w:color="000000"/>
          <w:lang w:eastAsia="es-ES"/>
        </w:rPr>
        <w:lastRenderedPageBreak/>
        <w:t xml:space="preserve">Between January 17 and 18, 2009, the company offered and deposited a settlement and compensation in the bank accounts of the dismissed persons, in order to validate the aforementioned arbitrary dismissals. In view of this, on January 19, 2009, Mr. Humberto </w:t>
      </w:r>
      <w:proofErr w:type="spellStart"/>
      <w:r w:rsidRPr="003F093B">
        <w:rPr>
          <w:rFonts w:ascii="Cambria" w:eastAsia="Cambria" w:hAnsi="Cambria" w:cs="Cambria"/>
          <w:sz w:val="20"/>
          <w:szCs w:val="20"/>
          <w:u w:color="000000"/>
          <w:lang w:eastAsia="es-ES"/>
        </w:rPr>
        <w:t>Tempesta</w:t>
      </w:r>
      <w:proofErr w:type="spellEnd"/>
      <w:r w:rsidRPr="003F093B">
        <w:rPr>
          <w:rFonts w:ascii="Cambria" w:eastAsia="Cambria" w:hAnsi="Cambria" w:cs="Cambria"/>
          <w:sz w:val="20"/>
          <w:szCs w:val="20"/>
          <w:u w:color="000000"/>
          <w:lang w:eastAsia="es-ES"/>
        </w:rPr>
        <w:t xml:space="preserve"> sent a notarized letter to America </w:t>
      </w:r>
      <w:proofErr w:type="spellStart"/>
      <w:r w:rsidRPr="003F093B">
        <w:rPr>
          <w:rFonts w:ascii="Cambria" w:eastAsia="Cambria" w:hAnsi="Cambria" w:cs="Cambria"/>
          <w:sz w:val="20"/>
          <w:szCs w:val="20"/>
          <w:u w:color="000000"/>
          <w:lang w:eastAsia="es-ES"/>
        </w:rPr>
        <w:t>Movil</w:t>
      </w:r>
      <w:proofErr w:type="spellEnd"/>
      <w:r w:rsidRPr="003F093B">
        <w:rPr>
          <w:rFonts w:ascii="Cambria" w:eastAsia="Cambria" w:hAnsi="Cambria" w:cs="Cambria"/>
          <w:sz w:val="20"/>
          <w:szCs w:val="20"/>
          <w:u w:color="000000"/>
          <w:lang w:eastAsia="es-ES"/>
        </w:rPr>
        <w:t>, indicating his rejection to the dismissal and the compensation deposited. On February 27, 2009, the alleged victim asked the bank, by notarized letter, not to use the account where the aforementioned deposit made by the company was located. He specified that the same day the Labor Inspector of the Ministry of Labor verified such action through a certified act.</w:t>
      </w:r>
    </w:p>
    <w:p w14:paraId="1299A43A" w14:textId="77777777" w:rsidR="006016E5" w:rsidRPr="003F093B" w:rsidRDefault="006016E5" w:rsidP="006016E5">
      <w:pPr>
        <w:pStyle w:val="ListParagraph"/>
        <w:rPr>
          <w:color w:val="auto"/>
          <w:sz w:val="20"/>
          <w:szCs w:val="20"/>
        </w:rPr>
      </w:pPr>
    </w:p>
    <w:p w14:paraId="2B3DF5ED" w14:textId="77777777" w:rsidR="006016E5" w:rsidRPr="003F093B" w:rsidRDefault="006016E5" w:rsidP="006016E5">
      <w:pPr>
        <w:numPr>
          <w:ilvl w:val="0"/>
          <w:numId w:val="105"/>
        </w:numPr>
        <w:suppressAutoHyphens/>
        <w:spacing w:after="120"/>
        <w:jc w:val="both"/>
        <w:rPr>
          <w:rFonts w:ascii="Cambria" w:eastAsia="Cambria" w:hAnsi="Cambria" w:cs="Cambria"/>
          <w:sz w:val="20"/>
          <w:szCs w:val="20"/>
          <w:u w:color="000000"/>
          <w:lang w:eastAsia="es-ES"/>
        </w:rPr>
      </w:pPr>
      <w:r w:rsidRPr="003F093B">
        <w:rPr>
          <w:rFonts w:ascii="Cambria" w:eastAsia="Cambria" w:hAnsi="Cambria" w:cs="Cambria"/>
          <w:sz w:val="20"/>
          <w:szCs w:val="20"/>
          <w:u w:color="000000"/>
          <w:lang w:eastAsia="es-ES"/>
        </w:rPr>
        <w:t xml:space="preserve">On March 9, 2009, Mr. Humberto </w:t>
      </w:r>
      <w:proofErr w:type="spellStart"/>
      <w:r w:rsidRPr="003F093B">
        <w:rPr>
          <w:rFonts w:ascii="Cambria" w:eastAsia="Cambria" w:hAnsi="Cambria" w:cs="Cambria"/>
          <w:sz w:val="20"/>
          <w:szCs w:val="20"/>
          <w:u w:color="000000"/>
          <w:lang w:eastAsia="es-ES"/>
        </w:rPr>
        <w:t>Tempesta</w:t>
      </w:r>
      <w:proofErr w:type="spellEnd"/>
      <w:r w:rsidRPr="003F093B">
        <w:rPr>
          <w:rFonts w:ascii="Cambria" w:eastAsia="Cambria" w:hAnsi="Cambria" w:cs="Cambria"/>
          <w:sz w:val="20"/>
          <w:szCs w:val="20"/>
          <w:u w:color="000000"/>
          <w:lang w:eastAsia="es-ES"/>
        </w:rPr>
        <w:t xml:space="preserve">, together with the other former members of the Board of Directors, filed an action for the protection of constitutional rights (“amparo”), alleging that their dismissals were null and void as they were motivated by their condition as trade unionists and requesting their reinstatement to their positions. On December 14, 2009, the First Constitutional Court of Lima declared the lawsuit founded, arguing that the alleged victim did not consent to the receipt of compensation and that the dismissal was based on his status as a trade unionist. </w:t>
      </w:r>
      <w:proofErr w:type="spellStart"/>
      <w:r w:rsidRPr="003F093B">
        <w:rPr>
          <w:rFonts w:ascii="Cambria" w:eastAsia="Cambria" w:hAnsi="Cambria" w:cs="Cambria"/>
          <w:sz w:val="20"/>
          <w:szCs w:val="20"/>
          <w:u w:color="000000"/>
          <w:lang w:eastAsia="es-ES"/>
        </w:rPr>
        <w:t>América</w:t>
      </w:r>
      <w:proofErr w:type="spellEnd"/>
      <w:r w:rsidRPr="003F093B">
        <w:rPr>
          <w:rFonts w:ascii="Cambria" w:eastAsia="Cambria" w:hAnsi="Cambria" w:cs="Cambria"/>
          <w:sz w:val="20"/>
          <w:szCs w:val="20"/>
          <w:u w:color="000000"/>
          <w:lang w:eastAsia="es-ES"/>
        </w:rPr>
        <w:t xml:space="preserve"> </w:t>
      </w:r>
      <w:proofErr w:type="spellStart"/>
      <w:r w:rsidRPr="003F093B">
        <w:rPr>
          <w:rFonts w:ascii="Cambria" w:eastAsia="Cambria" w:hAnsi="Cambria" w:cs="Cambria"/>
          <w:sz w:val="20"/>
          <w:szCs w:val="20"/>
          <w:u w:color="000000"/>
          <w:lang w:eastAsia="es-ES"/>
        </w:rPr>
        <w:t>Móvil</w:t>
      </w:r>
      <w:proofErr w:type="spellEnd"/>
      <w:r w:rsidRPr="003F093B">
        <w:rPr>
          <w:rFonts w:ascii="Cambria" w:eastAsia="Cambria" w:hAnsi="Cambria" w:cs="Cambria"/>
          <w:sz w:val="20"/>
          <w:szCs w:val="20"/>
          <w:u w:color="000000"/>
          <w:lang w:eastAsia="es-ES"/>
        </w:rPr>
        <w:t xml:space="preserve"> appealed this decision, and, on June 11, 2010, the Second Civil Chamber of the Superior Court of Lima reversed the first instance ruling and declared the lawsuit inadmissible, arguing that the compensation awarded to the alleged victim shows that he consented to his dismissal.</w:t>
      </w:r>
    </w:p>
    <w:p w14:paraId="03104910" w14:textId="77777777" w:rsidR="006016E5" w:rsidRPr="003F093B" w:rsidRDefault="006016E5" w:rsidP="006016E5">
      <w:pPr>
        <w:pStyle w:val="ListParagraph"/>
        <w:rPr>
          <w:color w:val="auto"/>
          <w:sz w:val="20"/>
          <w:szCs w:val="20"/>
        </w:rPr>
      </w:pPr>
    </w:p>
    <w:p w14:paraId="22CF94A0" w14:textId="77777777" w:rsidR="006016E5" w:rsidRPr="003F093B" w:rsidRDefault="006016E5" w:rsidP="006016E5">
      <w:pPr>
        <w:numPr>
          <w:ilvl w:val="0"/>
          <w:numId w:val="105"/>
        </w:numPr>
        <w:suppressAutoHyphens/>
        <w:spacing w:after="120"/>
        <w:jc w:val="both"/>
        <w:rPr>
          <w:rFonts w:ascii="Cambria" w:eastAsia="Cambria" w:hAnsi="Cambria" w:cs="Cambria"/>
          <w:sz w:val="20"/>
          <w:szCs w:val="20"/>
          <w:u w:color="000000"/>
          <w:lang w:eastAsia="es-ES"/>
        </w:rPr>
      </w:pPr>
      <w:r w:rsidRPr="003F093B">
        <w:rPr>
          <w:rFonts w:ascii="Cambria" w:eastAsia="Cambria" w:hAnsi="Cambria" w:cs="Cambria"/>
          <w:sz w:val="20"/>
          <w:szCs w:val="20"/>
          <w:u w:color="000000"/>
          <w:lang w:eastAsia="es-ES"/>
        </w:rPr>
        <w:t xml:space="preserve">Given this, the legal representation of Mr. Humberto </w:t>
      </w:r>
      <w:proofErr w:type="spellStart"/>
      <w:r w:rsidRPr="003F093B">
        <w:rPr>
          <w:rFonts w:ascii="Cambria" w:eastAsia="Cambria" w:hAnsi="Cambria" w:cs="Cambria"/>
          <w:sz w:val="20"/>
          <w:szCs w:val="20"/>
          <w:u w:color="000000"/>
          <w:lang w:eastAsia="es-ES"/>
        </w:rPr>
        <w:t>Tempesta</w:t>
      </w:r>
      <w:proofErr w:type="spellEnd"/>
      <w:r w:rsidRPr="003F093B">
        <w:rPr>
          <w:rFonts w:ascii="Cambria" w:eastAsia="Cambria" w:hAnsi="Cambria" w:cs="Cambria"/>
          <w:sz w:val="20"/>
          <w:szCs w:val="20"/>
          <w:u w:color="000000"/>
          <w:lang w:eastAsia="es-ES"/>
        </w:rPr>
        <w:t xml:space="preserve"> filed a constitutional complaint against said judgment. However, on June 27, 2011, the Constitutional Court confirmed the inadmissibility of the claim. Such resolution was notified on July 20, 2011. It details that the alleged victim requested the “clarification, nullity, and cancellation” of such decision, but on August 17, 2011, the Constitutional Court rejected such request. The petitioner specifies that such resolution was notified on September 14, 2011.</w:t>
      </w:r>
    </w:p>
    <w:p w14:paraId="10857F3E" w14:textId="77777777" w:rsidR="006016E5" w:rsidRPr="003F093B" w:rsidRDefault="006016E5" w:rsidP="006016E5">
      <w:pPr>
        <w:pStyle w:val="ListParagraph"/>
        <w:rPr>
          <w:color w:val="auto"/>
          <w:sz w:val="20"/>
          <w:szCs w:val="20"/>
        </w:rPr>
      </w:pPr>
    </w:p>
    <w:p w14:paraId="6C6F3215" w14:textId="77777777" w:rsidR="006016E5" w:rsidRPr="003F093B" w:rsidRDefault="006016E5" w:rsidP="006016E5">
      <w:pPr>
        <w:numPr>
          <w:ilvl w:val="0"/>
          <w:numId w:val="105"/>
        </w:numPr>
        <w:suppressAutoHyphens/>
        <w:spacing w:after="120"/>
        <w:jc w:val="both"/>
        <w:rPr>
          <w:rFonts w:ascii="Cambria" w:eastAsia="Cambria" w:hAnsi="Cambria" w:cs="Cambria"/>
          <w:sz w:val="20"/>
          <w:szCs w:val="20"/>
          <w:u w:color="000000"/>
          <w:lang w:eastAsia="es-ES"/>
        </w:rPr>
      </w:pPr>
      <w:r w:rsidRPr="003F093B">
        <w:rPr>
          <w:rFonts w:ascii="Cambria" w:eastAsia="Cambria" w:hAnsi="Cambria" w:cs="Cambria"/>
          <w:sz w:val="20"/>
          <w:szCs w:val="20"/>
          <w:u w:color="000000"/>
          <w:lang w:eastAsia="es-ES"/>
        </w:rPr>
        <w:t xml:space="preserve">The petitioner denounces that the State did not grant effective judicial protection to Mr. Humberto </w:t>
      </w:r>
      <w:proofErr w:type="spellStart"/>
      <w:r w:rsidRPr="003F093B">
        <w:rPr>
          <w:rFonts w:ascii="Cambria" w:eastAsia="Cambria" w:hAnsi="Cambria" w:cs="Cambria"/>
          <w:sz w:val="20"/>
          <w:szCs w:val="20"/>
          <w:u w:color="000000"/>
          <w:lang w:eastAsia="es-ES"/>
        </w:rPr>
        <w:t>Tempesta</w:t>
      </w:r>
      <w:proofErr w:type="spellEnd"/>
      <w:r w:rsidRPr="003F093B">
        <w:rPr>
          <w:rFonts w:ascii="Cambria" w:eastAsia="Cambria" w:hAnsi="Cambria" w:cs="Cambria"/>
          <w:sz w:val="20"/>
          <w:szCs w:val="20"/>
          <w:u w:color="000000"/>
          <w:lang w:eastAsia="es-ES"/>
        </w:rPr>
        <w:t xml:space="preserve"> in the face of his dismissal. </w:t>
      </w:r>
      <w:proofErr w:type="gramStart"/>
      <w:r w:rsidRPr="003F093B">
        <w:rPr>
          <w:rFonts w:ascii="Cambria" w:eastAsia="Cambria" w:hAnsi="Cambria" w:cs="Cambria"/>
          <w:sz w:val="20"/>
          <w:szCs w:val="20"/>
          <w:u w:color="000000"/>
          <w:lang w:eastAsia="es-ES"/>
        </w:rPr>
        <w:t>He</w:t>
      </w:r>
      <w:proofErr w:type="gramEnd"/>
      <w:r w:rsidRPr="003F093B">
        <w:rPr>
          <w:rFonts w:ascii="Cambria" w:eastAsia="Cambria" w:hAnsi="Cambria" w:cs="Cambria"/>
          <w:sz w:val="20"/>
          <w:szCs w:val="20"/>
          <w:u w:color="000000"/>
          <w:lang w:eastAsia="es-ES"/>
        </w:rPr>
        <w:t xml:space="preserve"> complaint that the Constitutional Court committed an act of discrimination by maintaining that the alleged victim accepted the amount of compensation deposited by the company. He details that Mr. Humberto </w:t>
      </w:r>
      <w:proofErr w:type="spellStart"/>
      <w:r w:rsidRPr="003F093B">
        <w:rPr>
          <w:rFonts w:ascii="Cambria" w:eastAsia="Cambria" w:hAnsi="Cambria" w:cs="Cambria"/>
          <w:sz w:val="20"/>
          <w:szCs w:val="20"/>
          <w:u w:color="000000"/>
          <w:lang w:eastAsia="es-ES"/>
        </w:rPr>
        <w:t>Tempesta</w:t>
      </w:r>
      <w:proofErr w:type="spellEnd"/>
      <w:r w:rsidRPr="003F093B">
        <w:rPr>
          <w:rFonts w:ascii="Cambria" w:eastAsia="Cambria" w:hAnsi="Cambria" w:cs="Cambria"/>
          <w:sz w:val="20"/>
          <w:szCs w:val="20"/>
          <w:u w:color="000000"/>
          <w:lang w:eastAsia="es-ES"/>
        </w:rPr>
        <w:t xml:space="preserve"> expressly rejected such an attempt to justify his invalid dismissal, so it was appropriate for said court to grant another treatment to the case. He indicates that such absence of guardianship had effects on the psychological health and professional development of the alleged victim.</w:t>
      </w:r>
    </w:p>
    <w:p w14:paraId="00E13131" w14:textId="77777777" w:rsidR="006016E5" w:rsidRPr="003F093B" w:rsidRDefault="006016E5" w:rsidP="006016E5">
      <w:pPr>
        <w:pStyle w:val="ListParagraph"/>
        <w:rPr>
          <w:color w:val="auto"/>
          <w:sz w:val="20"/>
          <w:szCs w:val="20"/>
        </w:rPr>
      </w:pPr>
    </w:p>
    <w:p w14:paraId="5A28C518" w14:textId="2C370A18" w:rsidR="006016E5" w:rsidRPr="003F093B" w:rsidRDefault="006016E5" w:rsidP="006016E5">
      <w:pPr>
        <w:numPr>
          <w:ilvl w:val="0"/>
          <w:numId w:val="105"/>
        </w:numPr>
        <w:suppressAutoHyphens/>
        <w:spacing w:after="120"/>
        <w:jc w:val="both"/>
        <w:rPr>
          <w:rFonts w:ascii="Cambria" w:eastAsia="Cambria" w:hAnsi="Cambria" w:cs="Cambria"/>
          <w:sz w:val="20"/>
          <w:szCs w:val="20"/>
          <w:u w:color="000000"/>
          <w:lang w:eastAsia="es-ES"/>
        </w:rPr>
      </w:pPr>
      <w:r w:rsidRPr="003F093B">
        <w:rPr>
          <w:rFonts w:ascii="Cambria" w:eastAsia="Cambria" w:hAnsi="Cambria" w:cs="Cambria"/>
          <w:sz w:val="20"/>
          <w:szCs w:val="20"/>
          <w:u w:color="000000"/>
          <w:lang w:eastAsia="es-ES"/>
        </w:rPr>
        <w:t xml:space="preserve">He also argues that the ruling of the Constitutional Court applied domestic legislation unequally. He indicates that </w:t>
      </w:r>
      <w:r w:rsidR="00D60B92">
        <w:rPr>
          <w:rFonts w:ascii="Cambria" w:eastAsia="Cambria" w:hAnsi="Cambria" w:cs="Cambria"/>
          <w:sz w:val="20"/>
          <w:szCs w:val="20"/>
          <w:u w:color="000000"/>
          <w:lang w:eastAsia="es-ES"/>
        </w:rPr>
        <w:t>Article</w:t>
      </w:r>
      <w:r w:rsidRPr="003F093B">
        <w:rPr>
          <w:rFonts w:ascii="Cambria" w:eastAsia="Cambria" w:hAnsi="Cambria" w:cs="Cambria"/>
          <w:sz w:val="20"/>
          <w:szCs w:val="20"/>
          <w:u w:color="000000"/>
          <w:lang w:eastAsia="es-ES"/>
        </w:rPr>
        <w:t xml:space="preserve"> 29 subsections a) and b) of the Single Ordered Text of the Employment Promotion Law provides that “dismissal for reasons of (…) a) membership in a union or participation in union activities is void” and for “b) being a candidate to represent the workers or act or have acted in that capacity.” Despite this, he denounced that the Constitutional Court did not apply this norm and its own jurisprudence equally, causing the alleged victim's reinstatement to be arbitrarily rejected.</w:t>
      </w:r>
    </w:p>
    <w:p w14:paraId="691E0E92" w14:textId="77777777" w:rsidR="006016E5" w:rsidRPr="003F093B" w:rsidRDefault="006016E5" w:rsidP="006016E5">
      <w:pPr>
        <w:pStyle w:val="ListParagraph"/>
        <w:rPr>
          <w:color w:val="auto"/>
          <w:sz w:val="20"/>
          <w:szCs w:val="20"/>
        </w:rPr>
      </w:pPr>
    </w:p>
    <w:p w14:paraId="4121EF13" w14:textId="77777777" w:rsidR="006016E5" w:rsidRPr="003F093B" w:rsidRDefault="006016E5" w:rsidP="006016E5">
      <w:pPr>
        <w:numPr>
          <w:ilvl w:val="0"/>
          <w:numId w:val="105"/>
        </w:numPr>
        <w:suppressAutoHyphens/>
        <w:spacing w:after="120"/>
        <w:jc w:val="both"/>
        <w:rPr>
          <w:rFonts w:ascii="Cambria" w:eastAsia="Cambria" w:hAnsi="Cambria" w:cs="Cambria"/>
          <w:sz w:val="20"/>
          <w:szCs w:val="20"/>
          <w:u w:color="000000"/>
          <w:lang w:eastAsia="es-ES"/>
        </w:rPr>
      </w:pPr>
      <w:r w:rsidRPr="003F093B">
        <w:rPr>
          <w:sz w:val="20"/>
          <w:szCs w:val="20"/>
        </w:rPr>
        <w:t xml:space="preserve"> </w:t>
      </w:r>
      <w:r w:rsidRPr="003F093B">
        <w:rPr>
          <w:rFonts w:ascii="Cambria" w:hAnsi="Cambria"/>
          <w:sz w:val="20"/>
          <w:szCs w:val="20"/>
        </w:rPr>
        <w:t xml:space="preserve">Additionally, the petitioner maintains that Mr. Humberto </w:t>
      </w:r>
      <w:proofErr w:type="spellStart"/>
      <w:r w:rsidRPr="003F093B">
        <w:rPr>
          <w:rFonts w:ascii="Cambria" w:hAnsi="Cambria"/>
          <w:sz w:val="20"/>
          <w:szCs w:val="20"/>
        </w:rPr>
        <w:t>Tempesta</w:t>
      </w:r>
      <w:proofErr w:type="spellEnd"/>
      <w:r w:rsidRPr="003F093B">
        <w:rPr>
          <w:rFonts w:ascii="Cambria" w:hAnsi="Cambria"/>
          <w:sz w:val="20"/>
          <w:szCs w:val="20"/>
        </w:rPr>
        <w:t xml:space="preserve"> exhausted domestic remedies with the decision of the Constitutional Court of June 27, 2011, and that he meets the deadline established in Article 46.1.b) of the American Convention since such resolution was notified on July 20, 2011. In this sense, he considers that the response issued by said court on August 17, 2011 to the request for “clarification, nullity and impeachment” of the alleged victim is irrelevant, and that it was only a legitimate attempt to dispute in an extraordinary manner some of the grounds of the ruling.</w:t>
      </w:r>
    </w:p>
    <w:p w14:paraId="4DDD854B" w14:textId="77777777" w:rsidR="006016E5" w:rsidRPr="003F093B" w:rsidRDefault="006016E5" w:rsidP="006016E5">
      <w:pPr>
        <w:pStyle w:val="ListParagraph"/>
        <w:rPr>
          <w:color w:val="auto"/>
          <w:sz w:val="20"/>
          <w:szCs w:val="20"/>
        </w:rPr>
      </w:pPr>
    </w:p>
    <w:p w14:paraId="464F5C79" w14:textId="77777777" w:rsidR="006016E5" w:rsidRPr="003F093B" w:rsidRDefault="006016E5" w:rsidP="006016E5">
      <w:pPr>
        <w:numPr>
          <w:ilvl w:val="0"/>
          <w:numId w:val="105"/>
        </w:numPr>
        <w:suppressAutoHyphens/>
        <w:spacing w:after="120"/>
        <w:jc w:val="both"/>
        <w:rPr>
          <w:rFonts w:ascii="Cambria" w:eastAsia="Cambria" w:hAnsi="Cambria" w:cs="Cambria"/>
          <w:sz w:val="20"/>
          <w:szCs w:val="20"/>
          <w:u w:color="000000"/>
          <w:lang w:eastAsia="es-ES"/>
        </w:rPr>
      </w:pPr>
      <w:r w:rsidRPr="003F093B">
        <w:rPr>
          <w:rFonts w:ascii="Cambria" w:eastAsia="Cambria" w:hAnsi="Cambria" w:cs="Cambria"/>
          <w:sz w:val="20"/>
          <w:szCs w:val="20"/>
          <w:u w:color="000000"/>
          <w:lang w:eastAsia="es-ES"/>
        </w:rPr>
        <w:t>The State, for its part, alleges that the petition was filed untimely. That, although the alleged victim presented a request for “clarification, nullity and cancellation of the resolution”, such appeal had no capacity to change the content of the judgment issued by said court. It argues that Article 202 of the Political Constitution of Peru</w:t>
      </w:r>
      <w:r w:rsidRPr="003F093B">
        <w:rPr>
          <w:rStyle w:val="FootnoteReference"/>
          <w:rFonts w:ascii="Cambria" w:eastAsia="Cambria" w:hAnsi="Cambria" w:cs="Cambria"/>
          <w:sz w:val="20"/>
          <w:szCs w:val="20"/>
          <w:u w:color="000000"/>
          <w:lang w:eastAsia="es-ES"/>
        </w:rPr>
        <w:footnoteReference w:id="5"/>
      </w:r>
      <w:r w:rsidRPr="003F093B">
        <w:rPr>
          <w:rFonts w:ascii="Cambria" w:eastAsia="Cambria" w:hAnsi="Cambria" w:cs="Cambria"/>
          <w:sz w:val="20"/>
          <w:szCs w:val="20"/>
          <w:u w:color="000000"/>
          <w:lang w:eastAsia="es-ES"/>
        </w:rPr>
        <w:t xml:space="preserve"> expressly states that there is no challenge whatsoever against the judgments issued by the Constitutional Court, therefore the presentation of said brief was a reckless maneuver designed to allow additional time limits to improperly appeal to the IACHR. Because of this, it argues that </w:t>
      </w:r>
      <w:r w:rsidRPr="003F093B">
        <w:rPr>
          <w:rFonts w:ascii="Cambria" w:eastAsia="Cambria" w:hAnsi="Cambria" w:cs="Cambria"/>
          <w:sz w:val="20"/>
          <w:szCs w:val="20"/>
          <w:u w:color="000000"/>
          <w:lang w:eastAsia="es-ES"/>
        </w:rPr>
        <w:lastRenderedPageBreak/>
        <w:t>the six-month period provided by Article 46.1.b) of the American Convention and Article 32 of the Rules of the IACHR must be counted from the notification of the first decision of the Constitutional Court and not from the aforementioned order rejecting the objection of the latter. Thus, if the Constitutional Court ruling was notified on July 12, 2011 and the petition was presented to the IACHR on January 16, 2012, the alleged victim was four days out of date.</w:t>
      </w:r>
    </w:p>
    <w:p w14:paraId="6D9B59B5" w14:textId="77777777" w:rsidR="006016E5" w:rsidRPr="003F093B" w:rsidRDefault="006016E5" w:rsidP="006016E5">
      <w:pPr>
        <w:numPr>
          <w:ilvl w:val="0"/>
          <w:numId w:val="105"/>
        </w:numPr>
        <w:suppressAutoHyphens/>
        <w:spacing w:after="120"/>
        <w:jc w:val="both"/>
        <w:rPr>
          <w:rFonts w:ascii="Cambria" w:eastAsia="Cambria" w:hAnsi="Cambria" w:cs="Cambria"/>
          <w:sz w:val="20"/>
          <w:szCs w:val="20"/>
          <w:u w:color="000000"/>
          <w:lang w:eastAsia="es-ES"/>
        </w:rPr>
      </w:pPr>
      <w:r w:rsidRPr="003F093B">
        <w:rPr>
          <w:rFonts w:ascii="Cambria" w:eastAsia="Cambria" w:hAnsi="Cambria" w:cs="Cambria"/>
          <w:sz w:val="20"/>
          <w:szCs w:val="20"/>
          <w:u w:color="000000"/>
          <w:lang w:eastAsia="es-ES"/>
        </w:rPr>
        <w:t xml:space="preserve">Additionally, it argues that the alleged victim did not exhaust the adequate remedies of the domestic jurisdiction. It indicates that Mr. Humberto </w:t>
      </w:r>
      <w:proofErr w:type="spellStart"/>
      <w:r w:rsidRPr="003F093B">
        <w:rPr>
          <w:rFonts w:ascii="Cambria" w:eastAsia="Cambria" w:hAnsi="Cambria" w:cs="Cambria"/>
          <w:sz w:val="20"/>
          <w:szCs w:val="20"/>
          <w:u w:color="000000"/>
          <w:lang w:eastAsia="es-ES"/>
        </w:rPr>
        <w:t>Tempesta</w:t>
      </w:r>
      <w:proofErr w:type="spellEnd"/>
      <w:r w:rsidRPr="003F093B">
        <w:rPr>
          <w:rFonts w:ascii="Cambria" w:eastAsia="Cambria" w:hAnsi="Cambria" w:cs="Cambria"/>
          <w:sz w:val="20"/>
          <w:szCs w:val="20"/>
          <w:u w:color="000000"/>
          <w:lang w:eastAsia="es-ES"/>
        </w:rPr>
        <w:t xml:space="preserve"> did not use the ordinary labor process, which has an evidentiary stage, in order to demonstrate that he suffered a dismissal based on his status as a union leader. It also maintains that the alleged victim also had civil remedies at his disposal, in order to obtain compensation for any psychological damage suffered. Given that Mr. Humberto </w:t>
      </w:r>
      <w:proofErr w:type="spellStart"/>
      <w:r w:rsidRPr="003F093B">
        <w:rPr>
          <w:rFonts w:ascii="Cambria" w:eastAsia="Cambria" w:hAnsi="Cambria" w:cs="Cambria"/>
          <w:sz w:val="20"/>
          <w:szCs w:val="20"/>
          <w:u w:color="000000"/>
          <w:lang w:eastAsia="es-ES"/>
        </w:rPr>
        <w:t>Tempesta</w:t>
      </w:r>
      <w:proofErr w:type="spellEnd"/>
      <w:r w:rsidRPr="003F093B">
        <w:rPr>
          <w:rFonts w:ascii="Cambria" w:eastAsia="Cambria" w:hAnsi="Cambria" w:cs="Cambria"/>
          <w:sz w:val="20"/>
          <w:szCs w:val="20"/>
          <w:u w:color="000000"/>
          <w:lang w:eastAsia="es-ES"/>
        </w:rPr>
        <w:t xml:space="preserve"> did not use any of these processes, the State considers that the requirement established in Article 4.1.a of the American Convention is not met.</w:t>
      </w:r>
    </w:p>
    <w:p w14:paraId="7BCD6717" w14:textId="77777777" w:rsidR="006016E5" w:rsidRPr="003F093B" w:rsidRDefault="006016E5" w:rsidP="006016E5">
      <w:pPr>
        <w:numPr>
          <w:ilvl w:val="0"/>
          <w:numId w:val="105"/>
        </w:numPr>
        <w:suppressAutoHyphens/>
        <w:spacing w:after="120"/>
        <w:jc w:val="both"/>
        <w:rPr>
          <w:rFonts w:ascii="Cambria" w:eastAsia="Cambria" w:hAnsi="Cambria" w:cs="Cambria"/>
          <w:sz w:val="20"/>
          <w:szCs w:val="20"/>
          <w:u w:color="000000"/>
          <w:lang w:eastAsia="es-ES"/>
        </w:rPr>
      </w:pPr>
      <w:r w:rsidRPr="003F093B">
        <w:rPr>
          <w:rFonts w:ascii="Cambria" w:eastAsia="Cambria" w:hAnsi="Cambria" w:cs="Cambria"/>
          <w:sz w:val="20"/>
          <w:szCs w:val="20"/>
          <w:u w:color="000000"/>
          <w:lang w:eastAsia="es-ES"/>
        </w:rPr>
        <w:t>Finally, it argues that the facts denounced do not constitute a violation of human rights. It indicates that the alleged victim had an effective judicial recourse to present his claims, and that they were resolved in a process that had due judicial guarantees. For this reason, it requests that the petition be declared inadmissible based on Article 47 (b) of the American Convention, since it considers that the petitioner's claim is for the Commission to act as a “court of appeal,” in contradiction to its complementary nature. Furthermore, it highlights that the IACHR does not have material competence to analyze the alleged violation of Article 26 of the American Convention, since it can only examine the economic, social, and cultural rights expressly indicated in Article 19.6 of the Protocol of San Salvador.</w:t>
      </w:r>
    </w:p>
    <w:p w14:paraId="11F8E4C1" w14:textId="77777777" w:rsidR="006016E5" w:rsidRPr="003F093B" w:rsidRDefault="006016E5" w:rsidP="006016E5">
      <w:pPr>
        <w:pStyle w:val="ListParagraph"/>
        <w:numPr>
          <w:ilvl w:val="0"/>
          <w:numId w:val="110"/>
        </w:numPr>
        <w:suppressAutoHyphens/>
        <w:spacing w:after="120"/>
        <w:jc w:val="both"/>
        <w:rPr>
          <w:color w:val="auto"/>
          <w:sz w:val="20"/>
          <w:szCs w:val="20"/>
        </w:rPr>
      </w:pPr>
      <w:r w:rsidRPr="003F093B">
        <w:rPr>
          <w:b/>
          <w:bCs/>
          <w:color w:val="auto"/>
          <w:sz w:val="20"/>
          <w:szCs w:val="20"/>
        </w:rPr>
        <w:t xml:space="preserve">EXHAUSTION OF LOCAL REMEDIES AND TIMELINESS OF THE PETITION </w:t>
      </w:r>
    </w:p>
    <w:p w14:paraId="146C7C49" w14:textId="77777777" w:rsidR="006016E5" w:rsidRPr="003F093B" w:rsidRDefault="006016E5" w:rsidP="006016E5">
      <w:pPr>
        <w:pStyle w:val="ListParagraph"/>
        <w:numPr>
          <w:ilvl w:val="0"/>
          <w:numId w:val="105"/>
        </w:numPr>
        <w:suppressAutoHyphens/>
        <w:spacing w:after="120"/>
        <w:jc w:val="both"/>
        <w:rPr>
          <w:color w:val="auto"/>
          <w:sz w:val="20"/>
          <w:szCs w:val="20"/>
        </w:rPr>
      </w:pPr>
      <w:r w:rsidRPr="003F093B">
        <w:rPr>
          <w:bCs/>
          <w:color w:val="auto"/>
          <w:sz w:val="20"/>
          <w:szCs w:val="20"/>
        </w:rPr>
        <w:t>The petitioner maintains that he exhausted domestic remedies with the decision of the Constitutional Court of June 27, 2011, notified on July 20, 2011. For its part, the State replies that it unduly exhausted domestic remedies, since it filed a request for “clarification, nullity, and approval of the resolution” in order to allow additional time limits to improperly appeal to the IACHR. It adds, in addition, that there is a lack of exhaustion of the domestic jurisdiction, since the alleged victim did not use the ordinary labor procedure to question his dismissal and neither the civil procedure to request compensation for the alleged psychological damage.</w:t>
      </w:r>
    </w:p>
    <w:p w14:paraId="20E8AA87" w14:textId="77777777" w:rsidR="006016E5" w:rsidRPr="003F093B" w:rsidRDefault="006016E5" w:rsidP="006016E5">
      <w:pPr>
        <w:pStyle w:val="ListParagraph"/>
        <w:numPr>
          <w:ilvl w:val="0"/>
          <w:numId w:val="105"/>
        </w:numPr>
        <w:suppressAutoHyphens/>
        <w:spacing w:after="120"/>
        <w:jc w:val="both"/>
        <w:rPr>
          <w:color w:val="auto"/>
          <w:sz w:val="20"/>
          <w:szCs w:val="20"/>
        </w:rPr>
      </w:pPr>
      <w:r w:rsidRPr="003F093B">
        <w:rPr>
          <w:color w:val="auto"/>
          <w:sz w:val="20"/>
          <w:szCs w:val="20"/>
        </w:rPr>
        <w:t>In this regard, the Commission has established that the requisite of having exhausted domestic remedies does not mean that the alleged victims have necessarily the obligation to exhaust all domestic remedies. Consequentially, if the alleged victim approached the matter through any of the appropriate alternatives, as in the case of this petition, and the State had the chance to solve the situation, the purpose of the norm is fulfilled</w:t>
      </w:r>
      <w:r w:rsidRPr="003F093B">
        <w:rPr>
          <w:rStyle w:val="FootnoteReference"/>
          <w:color w:val="auto"/>
          <w:sz w:val="20"/>
          <w:szCs w:val="20"/>
        </w:rPr>
        <w:footnoteReference w:id="6"/>
      </w:r>
      <w:r w:rsidRPr="003F093B">
        <w:rPr>
          <w:color w:val="auto"/>
          <w:sz w:val="20"/>
          <w:szCs w:val="20"/>
        </w:rPr>
        <w:t>. In such sense, observes that the judicial instances that knew of the claim, although disregarded some core points by the alleged victim affirmed their competence to analyze the raised controversy and rejected the demand for reasons of material law. Likewise, the IACHR considers that the main claim of the alleged victim is related to the lack of protection against discriminatory dismissal due to his status as a union leader, so it is not necessary to exhaust an additional civil process for the aforementioned controversy be analyzed at the international level.</w:t>
      </w:r>
    </w:p>
    <w:p w14:paraId="18E2C4C1" w14:textId="5E6C846B" w:rsidR="006016E5" w:rsidRPr="003F093B" w:rsidRDefault="006016E5" w:rsidP="006016E5">
      <w:pPr>
        <w:pStyle w:val="ListParagraph"/>
        <w:numPr>
          <w:ilvl w:val="0"/>
          <w:numId w:val="105"/>
        </w:numPr>
        <w:suppressAutoHyphens/>
        <w:spacing w:after="120"/>
        <w:jc w:val="both"/>
        <w:rPr>
          <w:color w:val="auto"/>
          <w:sz w:val="20"/>
          <w:szCs w:val="20"/>
        </w:rPr>
      </w:pPr>
      <w:r w:rsidRPr="003F093B">
        <w:rPr>
          <w:color w:val="auto"/>
          <w:sz w:val="20"/>
          <w:szCs w:val="20"/>
        </w:rPr>
        <w:t xml:space="preserve">On this base, the Commission concludes that the alleged victim exhausted the proper remedies to uphold his right to protection against discriminatory dismissal by filing the constitutional writ of amparo, which was finally resolved by the Constitutional Court, filed on July 20, 2011, which is why the petition complies with requirements set forth in </w:t>
      </w:r>
      <w:r w:rsidR="00D60B92">
        <w:rPr>
          <w:color w:val="auto"/>
          <w:sz w:val="20"/>
          <w:szCs w:val="20"/>
        </w:rPr>
        <w:t>Article</w:t>
      </w:r>
      <w:r w:rsidRPr="003F093B">
        <w:rPr>
          <w:color w:val="auto"/>
          <w:sz w:val="20"/>
          <w:szCs w:val="20"/>
        </w:rPr>
        <w:t xml:space="preserve"> 46.1.</w:t>
      </w:r>
      <w:proofErr w:type="spellStart"/>
      <w:r w:rsidRPr="003F093B">
        <w:rPr>
          <w:color w:val="auto"/>
          <w:sz w:val="20"/>
          <w:szCs w:val="20"/>
        </w:rPr>
        <w:t>a</w:t>
      </w:r>
      <w:proofErr w:type="spellEnd"/>
      <w:r w:rsidRPr="003F093B">
        <w:rPr>
          <w:color w:val="auto"/>
          <w:sz w:val="20"/>
          <w:szCs w:val="20"/>
        </w:rPr>
        <w:t xml:space="preserve"> of the Convention. Also, the petition was filed on July 18th, 2016, therefore, within the span of six months for submittal as stated in </w:t>
      </w:r>
      <w:r w:rsidR="00D60B92">
        <w:rPr>
          <w:color w:val="auto"/>
          <w:sz w:val="20"/>
          <w:szCs w:val="20"/>
        </w:rPr>
        <w:t>Article</w:t>
      </w:r>
      <w:r w:rsidRPr="003F093B">
        <w:rPr>
          <w:color w:val="auto"/>
          <w:sz w:val="20"/>
          <w:szCs w:val="20"/>
        </w:rPr>
        <w:t xml:space="preserve"> 46.1.b of the Convention.</w:t>
      </w:r>
    </w:p>
    <w:p w14:paraId="4EA2CD12" w14:textId="77777777" w:rsidR="006016E5" w:rsidRPr="003F093B" w:rsidRDefault="006016E5" w:rsidP="006016E5">
      <w:pPr>
        <w:suppressAutoHyphens/>
        <w:spacing w:after="120"/>
        <w:jc w:val="both"/>
        <w:rPr>
          <w:rFonts w:ascii="Cambria" w:eastAsia="Cambria" w:hAnsi="Cambria" w:cs="Cambria"/>
          <w:b/>
          <w:bCs/>
          <w:sz w:val="20"/>
          <w:szCs w:val="20"/>
          <w:u w:color="000000"/>
          <w:lang w:eastAsia="es-ES"/>
        </w:rPr>
      </w:pPr>
      <w:r>
        <w:rPr>
          <w:rFonts w:ascii="Cambria" w:eastAsia="Cambria" w:hAnsi="Cambria" w:cs="Cambria"/>
          <w:b/>
          <w:bCs/>
          <w:sz w:val="20"/>
          <w:szCs w:val="20"/>
          <w:u w:color="000000"/>
          <w:lang w:eastAsia="es-ES"/>
        </w:rPr>
        <w:tab/>
      </w:r>
      <w:r w:rsidRPr="003F093B">
        <w:rPr>
          <w:rFonts w:ascii="Cambria" w:eastAsia="Cambria" w:hAnsi="Cambria" w:cs="Cambria"/>
          <w:b/>
          <w:bCs/>
          <w:sz w:val="20"/>
          <w:szCs w:val="20"/>
          <w:u w:color="000000"/>
          <w:lang w:eastAsia="es-ES"/>
        </w:rPr>
        <w:t xml:space="preserve">VII. </w:t>
      </w:r>
      <w:r w:rsidRPr="003F093B">
        <w:rPr>
          <w:rFonts w:ascii="Cambria" w:eastAsia="Cambria" w:hAnsi="Cambria" w:cs="Cambria"/>
          <w:b/>
          <w:bCs/>
          <w:sz w:val="20"/>
          <w:szCs w:val="20"/>
          <w:u w:color="000000"/>
          <w:lang w:eastAsia="es-ES"/>
        </w:rPr>
        <w:tab/>
        <w:t>COLORABLE CLAIM</w:t>
      </w:r>
    </w:p>
    <w:p w14:paraId="56A204C7" w14:textId="7E0A310F" w:rsidR="006016E5" w:rsidRPr="003F093B" w:rsidRDefault="006016E5" w:rsidP="006016E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3F093B">
        <w:rPr>
          <w:rFonts w:ascii="Cambria" w:eastAsia="Cambria" w:hAnsi="Cambria" w:cs="Cambria"/>
          <w:sz w:val="20"/>
          <w:szCs w:val="20"/>
          <w:u w:color="000000"/>
          <w:lang w:eastAsia="es-ES"/>
        </w:rPr>
        <w:t xml:space="preserve">After examining the factual and legal elements presented by the parties, the Commission considers that the allegations of the petitioner, regarding the lack of protection against the dismissal of the alleged victim for his condition as union leader, are not manifestly unfounded and require a substantive study, since the alleged facts, if corroborated as true, could characterize violations of </w:t>
      </w:r>
      <w:r w:rsidR="00D60B92">
        <w:rPr>
          <w:rFonts w:ascii="Cambria" w:eastAsia="Cambria" w:hAnsi="Cambria" w:cs="Cambria"/>
          <w:sz w:val="20"/>
          <w:szCs w:val="20"/>
          <w:u w:color="000000"/>
          <w:lang w:eastAsia="es-ES"/>
        </w:rPr>
        <w:t>Article</w:t>
      </w:r>
      <w:r w:rsidRPr="003F093B">
        <w:rPr>
          <w:rFonts w:ascii="Cambria" w:eastAsia="Cambria" w:hAnsi="Cambria" w:cs="Cambria"/>
          <w:sz w:val="20"/>
          <w:szCs w:val="20"/>
          <w:u w:color="000000"/>
          <w:lang w:eastAsia="es-ES"/>
        </w:rPr>
        <w:t xml:space="preserve">s 16 (freedom of association), 24 (right to equal protection), 25 (judicial protection) and 26 (progressive development) of the American Convention, in relation to its Article 1.1. (obligation to respect rights); Article 8.a) of the Protocol of San Salvador to the detriment of Mr. Humberto </w:t>
      </w:r>
      <w:proofErr w:type="spellStart"/>
      <w:r w:rsidRPr="003F093B">
        <w:rPr>
          <w:rFonts w:ascii="Cambria" w:eastAsia="Cambria" w:hAnsi="Cambria" w:cs="Cambria"/>
          <w:sz w:val="20"/>
          <w:szCs w:val="20"/>
          <w:u w:color="000000"/>
          <w:lang w:eastAsia="es-ES"/>
        </w:rPr>
        <w:t>Tempesta</w:t>
      </w:r>
      <w:proofErr w:type="spellEnd"/>
      <w:r w:rsidRPr="003F093B">
        <w:rPr>
          <w:rFonts w:ascii="Cambria" w:eastAsia="Cambria" w:hAnsi="Cambria" w:cs="Cambria"/>
          <w:sz w:val="20"/>
          <w:szCs w:val="20"/>
          <w:u w:color="000000"/>
          <w:lang w:eastAsia="es-ES"/>
        </w:rPr>
        <w:t xml:space="preserve"> </w:t>
      </w:r>
      <w:proofErr w:type="spellStart"/>
      <w:r w:rsidRPr="003F093B">
        <w:rPr>
          <w:rFonts w:ascii="Cambria" w:eastAsia="Cambria" w:hAnsi="Cambria" w:cs="Cambria"/>
          <w:sz w:val="20"/>
          <w:szCs w:val="20"/>
          <w:u w:color="000000"/>
          <w:lang w:eastAsia="es-ES"/>
        </w:rPr>
        <w:t>Herrada</w:t>
      </w:r>
      <w:proofErr w:type="spellEnd"/>
      <w:r w:rsidRPr="003F093B">
        <w:rPr>
          <w:rFonts w:ascii="Cambria" w:eastAsia="Cambria" w:hAnsi="Cambria" w:cs="Cambria"/>
          <w:sz w:val="20"/>
          <w:szCs w:val="20"/>
          <w:u w:color="000000"/>
          <w:lang w:eastAsia="es-ES"/>
        </w:rPr>
        <w:t xml:space="preserve">. The IACHR recalls that it is </w:t>
      </w:r>
      <w:r w:rsidRPr="003F093B">
        <w:rPr>
          <w:rFonts w:ascii="Cambria" w:eastAsia="Cambria" w:hAnsi="Cambria" w:cs="Cambria"/>
          <w:sz w:val="20"/>
          <w:szCs w:val="20"/>
          <w:u w:color="000000"/>
          <w:lang w:eastAsia="es-ES"/>
        </w:rPr>
        <w:lastRenderedPageBreak/>
        <w:t>competent to declare a petition admissible and rule on its basis when the contested judgment may, materially, affect any right guaranteed by the American Convention.</w:t>
      </w:r>
      <w:r w:rsidRPr="003F093B">
        <w:rPr>
          <w:rStyle w:val="FootnoteReference"/>
          <w:rFonts w:ascii="Cambria" w:eastAsia="Cambria" w:hAnsi="Cambria" w:cs="Cambria"/>
          <w:sz w:val="20"/>
          <w:szCs w:val="20"/>
          <w:u w:color="000000"/>
          <w:lang w:eastAsia="es-ES"/>
        </w:rPr>
        <w:footnoteReference w:id="7"/>
      </w:r>
    </w:p>
    <w:p w14:paraId="209E2CF2" w14:textId="77777777" w:rsidR="006016E5" w:rsidRPr="003F093B" w:rsidRDefault="006016E5" w:rsidP="006016E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3F093B">
        <w:rPr>
          <w:rFonts w:ascii="Cambria" w:hAnsi="Cambria"/>
          <w:sz w:val="20"/>
          <w:szCs w:val="20"/>
        </w:rPr>
        <w:t>The IACHR recalls that pursuant to Article 19.6 of the Protocol of San Salvador, it only has competence to analyze, through its system of petitions and cases, violations of Articles 8 and 13 of said instrument. Consequently, in this petition, it cannot examine the alleged violations of Articles 6 and 7 of the aforementioned treaty.</w:t>
      </w:r>
    </w:p>
    <w:p w14:paraId="6F2F13E8" w14:textId="77777777" w:rsidR="006016E5" w:rsidRPr="003F093B" w:rsidRDefault="006016E5" w:rsidP="006016E5">
      <w:pPr>
        <w:suppressAutoHyphens/>
        <w:spacing w:after="120"/>
        <w:ind w:left="720"/>
        <w:jc w:val="both"/>
        <w:rPr>
          <w:rFonts w:ascii="Cambria" w:hAnsi="Cambria"/>
          <w:b/>
          <w:bCs/>
          <w:sz w:val="20"/>
          <w:szCs w:val="20"/>
        </w:rPr>
      </w:pPr>
      <w:r w:rsidRPr="003F093B">
        <w:rPr>
          <w:rFonts w:ascii="Cambria" w:hAnsi="Cambria"/>
          <w:b/>
          <w:bCs/>
          <w:sz w:val="20"/>
          <w:szCs w:val="20"/>
        </w:rPr>
        <w:t xml:space="preserve">VIII. </w:t>
      </w:r>
      <w:r w:rsidRPr="003F093B">
        <w:rPr>
          <w:rFonts w:ascii="Cambria" w:hAnsi="Cambria"/>
          <w:b/>
          <w:bCs/>
          <w:sz w:val="20"/>
          <w:szCs w:val="20"/>
        </w:rPr>
        <w:tab/>
        <w:t>DECISION</w:t>
      </w:r>
    </w:p>
    <w:p w14:paraId="7C1B9CDF" w14:textId="32DD06D1" w:rsidR="006016E5" w:rsidRPr="003F093B" w:rsidRDefault="006016E5" w:rsidP="006016E5">
      <w:pPr>
        <w:suppressAutoHyphens/>
        <w:spacing w:after="120"/>
        <w:ind w:firstLine="720"/>
        <w:jc w:val="both"/>
        <w:rPr>
          <w:rFonts w:ascii="Cambria" w:hAnsi="Cambria"/>
          <w:sz w:val="20"/>
          <w:szCs w:val="20"/>
        </w:rPr>
      </w:pPr>
      <w:r w:rsidRPr="003F093B">
        <w:rPr>
          <w:rFonts w:ascii="Cambria" w:hAnsi="Cambria"/>
          <w:sz w:val="20"/>
          <w:szCs w:val="20"/>
        </w:rPr>
        <w:t>1. To find the instant petition admissible in relation to Articles</w:t>
      </w:r>
      <w:r w:rsidRPr="003F093B">
        <w:rPr>
          <w:rFonts w:ascii="Cambria" w:hAnsi="Cambria"/>
          <w:bCs/>
          <w:sz w:val="20"/>
          <w:szCs w:val="20"/>
        </w:rPr>
        <w:t xml:space="preserve"> 16, 24, 25 and 26 of the American Convention, in accordance with </w:t>
      </w:r>
      <w:r w:rsidR="00D60B92">
        <w:rPr>
          <w:rFonts w:ascii="Cambria" w:hAnsi="Cambria"/>
          <w:bCs/>
          <w:sz w:val="20"/>
          <w:szCs w:val="20"/>
        </w:rPr>
        <w:t>Article</w:t>
      </w:r>
      <w:r w:rsidRPr="003F093B">
        <w:rPr>
          <w:rFonts w:ascii="Cambria" w:hAnsi="Cambria"/>
          <w:bCs/>
          <w:sz w:val="20"/>
          <w:szCs w:val="20"/>
        </w:rPr>
        <w:t xml:space="preserve">s 1.1; and </w:t>
      </w:r>
      <w:r w:rsidR="00D60B92">
        <w:rPr>
          <w:rFonts w:ascii="Cambria" w:hAnsi="Cambria"/>
          <w:bCs/>
          <w:sz w:val="20"/>
          <w:szCs w:val="20"/>
        </w:rPr>
        <w:t>Article</w:t>
      </w:r>
      <w:r w:rsidRPr="003F093B">
        <w:rPr>
          <w:rFonts w:ascii="Cambria" w:hAnsi="Cambria"/>
          <w:bCs/>
          <w:sz w:val="20"/>
          <w:szCs w:val="20"/>
        </w:rPr>
        <w:t xml:space="preserve"> 8.a) of the Protocol of San Salvador; and</w:t>
      </w:r>
    </w:p>
    <w:p w14:paraId="4A5DFEF0" w14:textId="77777777" w:rsidR="006016E5" w:rsidRPr="003F093B" w:rsidRDefault="006016E5" w:rsidP="006016E5">
      <w:pPr>
        <w:suppressAutoHyphens/>
        <w:spacing w:after="120"/>
        <w:ind w:firstLine="720"/>
        <w:jc w:val="both"/>
        <w:rPr>
          <w:rFonts w:ascii="Cambria" w:hAnsi="Cambria"/>
          <w:sz w:val="20"/>
          <w:szCs w:val="20"/>
        </w:rPr>
      </w:pPr>
      <w:r w:rsidRPr="003F093B">
        <w:rPr>
          <w:rFonts w:ascii="Cambria" w:hAnsi="Cambria"/>
          <w:sz w:val="20"/>
          <w:szCs w:val="20"/>
        </w:rPr>
        <w:t xml:space="preserve">2. To notify the parties of the decision; to continue with the analysis on the merits and to publish this decision </w:t>
      </w:r>
      <w:r w:rsidRPr="003F093B">
        <w:rPr>
          <w:rFonts w:ascii="Cambria" w:eastAsia="Times New Roman" w:hAnsi="Cambria"/>
          <w:sz w:val="20"/>
          <w:szCs w:val="20"/>
        </w:rPr>
        <w:t>and to include it in its Annual Report to the General Assembly of the Organization of American States.</w:t>
      </w:r>
    </w:p>
    <w:p w14:paraId="596A8049" w14:textId="2A9935A5" w:rsidR="001D6050" w:rsidRDefault="001D6050" w:rsidP="001D6050">
      <w:pPr>
        <w:suppressAutoHyphens/>
        <w:ind w:firstLine="720"/>
        <w:jc w:val="both"/>
        <w:rPr>
          <w:rFonts w:ascii="Cambria" w:hAnsi="Cambria"/>
          <w:spacing w:val="-2"/>
          <w:sz w:val="20"/>
        </w:rPr>
      </w:pPr>
      <w:bookmarkStart w:id="1" w:name="_Hlk69908510"/>
      <w:r w:rsidRPr="006D25D7">
        <w:rPr>
          <w:rFonts w:ascii="Cambria" w:hAnsi="Cambria"/>
          <w:spacing w:val="-2"/>
          <w:sz w:val="20"/>
        </w:rPr>
        <w:t xml:space="preserve">Approved by the Inter-American Commission on Human Rights on the </w:t>
      </w:r>
      <w:r>
        <w:rPr>
          <w:rFonts w:ascii="Cambria" w:hAnsi="Cambria"/>
          <w:spacing w:val="-2"/>
          <w:sz w:val="20"/>
        </w:rPr>
        <w:t>3</w:t>
      </w:r>
      <w:r w:rsidRPr="001D6050">
        <w:rPr>
          <w:rFonts w:ascii="Cambria" w:hAnsi="Cambria"/>
          <w:spacing w:val="-2"/>
          <w:sz w:val="20"/>
          <w:vertAlign w:val="superscript"/>
        </w:rPr>
        <w:t>rd</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June, 2021</w:t>
      </w:r>
      <w:r w:rsidRPr="006D25D7">
        <w:rPr>
          <w:rFonts w:ascii="Cambria" w:hAnsi="Cambria"/>
          <w:spacing w:val="-2"/>
          <w:sz w:val="20"/>
        </w:rPr>
        <w:t xml:space="preserve">. </w:t>
      </w:r>
      <w:r>
        <w:rPr>
          <w:rFonts w:ascii="Cambria" w:hAnsi="Cambria"/>
          <w:spacing w:val="-2"/>
          <w:sz w:val="20"/>
        </w:rPr>
        <w:t xml:space="preserve"> (</w:t>
      </w:r>
      <w:proofErr w:type="gramStart"/>
      <w:r>
        <w:rPr>
          <w:rFonts w:ascii="Cambria" w:hAnsi="Cambria"/>
          <w:spacing w:val="-2"/>
          <w:sz w:val="20"/>
        </w:rPr>
        <w:t>Signed:</w:t>
      </w:r>
      <w:proofErr w:type="gramEnd"/>
      <w:r>
        <w:rPr>
          <w:rFonts w:ascii="Cambria" w:hAnsi="Cambria"/>
          <w:spacing w:val="-2"/>
          <w:sz w:val="20"/>
        </w:rPr>
        <w:t xml:space="preserve">) </w:t>
      </w:r>
      <w:r>
        <w:rPr>
          <w:rFonts w:asciiTheme="majorHAnsi" w:hAnsiTheme="majorHAnsi" w:cs="Arial"/>
          <w:noProof/>
          <w:spacing w:val="-2"/>
          <w:sz w:val="20"/>
          <w:szCs w:val="20"/>
        </w:rPr>
        <w:t>Antonia Urrejola</w:t>
      </w:r>
      <w:r w:rsidRPr="006D25D7">
        <w:rPr>
          <w:rFonts w:ascii="Cambria" w:hAnsi="Cambria"/>
          <w:sz w:val="20"/>
        </w:rPr>
        <w:t xml:space="preserv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00DD27C4">
        <w:rPr>
          <w:rFonts w:ascii="Cambria" w:hAnsi="Cambria"/>
          <w:sz w:val="20"/>
        </w:rPr>
        <w:t>, Second Vice-</w:t>
      </w:r>
      <w:r w:rsidRPr="006D25D7">
        <w:rPr>
          <w:rFonts w:ascii="Cambria" w:hAnsi="Cambria"/>
          <w:sz w:val="20"/>
        </w:rPr>
        <w:t>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Joel Hernández</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bookmarkEnd w:id="1"/>
    <w:p w14:paraId="130A14A2" w14:textId="77777777" w:rsidR="006016E5" w:rsidRPr="006016E5" w:rsidRDefault="006016E5" w:rsidP="006016E5">
      <w:pPr>
        <w:suppressAutoHyphens/>
        <w:spacing w:after="120"/>
        <w:jc w:val="both"/>
        <w:rPr>
          <w:sz w:val="20"/>
          <w:szCs w:val="20"/>
        </w:rPr>
      </w:pPr>
      <w:r w:rsidRPr="003F093B">
        <w:rPr>
          <w:noProof/>
        </w:rPr>
        <mc:AlternateContent>
          <mc:Choice Requires="wps">
            <w:drawing>
              <wp:anchor distT="0" distB="0" distL="114300" distR="114300" simplePos="0" relativeHeight="251688960" behindDoc="0" locked="0" layoutInCell="1" allowOverlap="1" wp14:anchorId="04C63D5B" wp14:editId="442C8FDE">
                <wp:simplePos x="0" y="0"/>
                <wp:positionH relativeFrom="column">
                  <wp:posOffset>209550</wp:posOffset>
                </wp:positionH>
                <wp:positionV relativeFrom="paragraph">
                  <wp:posOffset>5784239</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E89CFD" w14:textId="77777777" w:rsidR="006016E5" w:rsidRPr="004B7EB6" w:rsidRDefault="006016E5" w:rsidP="006016E5">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C63D5B" id="Text Box 4" o:spid="_x0000_s1033" type="#_x0000_t202" style="position:absolute;left:0;text-align:left;margin-left:16.5pt;margin-top:455.45pt;width:93pt;height:2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" filled="f" stroked="f" strokeweight=".5pt">
                <v:textbox>
                  <w:txbxContent>
                    <w:p w14:paraId="46E89CFD" w14:textId="77777777" w:rsidR="006016E5" w:rsidRPr="004B7EB6" w:rsidRDefault="006016E5" w:rsidP="006016E5">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122B46A" w14:textId="77777777" w:rsidR="00C55560" w:rsidRPr="009D304D" w:rsidRDefault="00C55560" w:rsidP="006016E5">
      <w:pPr>
        <w:spacing w:after="240"/>
        <w:ind w:firstLine="720"/>
        <w:jc w:val="both"/>
        <w:rPr>
          <w:rFonts w:asciiTheme="majorHAnsi" w:hAnsiTheme="majorHAnsi"/>
          <w:sz w:val="20"/>
          <w:szCs w:val="20"/>
        </w:rPr>
      </w:pPr>
    </w:p>
    <w:sectPr w:rsidR="00C55560" w:rsidRPr="009D304D" w:rsidSect="00795EE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669B7" w14:textId="77777777" w:rsidR="005E6C6D" w:rsidRDefault="005E6C6D" w:rsidP="00036A8A">
      <w:r>
        <w:separator/>
      </w:r>
    </w:p>
  </w:endnote>
  <w:endnote w:type="continuationSeparator" w:id="0">
    <w:p w14:paraId="583B2D36" w14:textId="77777777" w:rsidR="005E6C6D" w:rsidRDefault="005E6C6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39D76" w14:textId="77777777" w:rsidR="00357F40" w:rsidRDefault="00357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483A8C" w:rsidRPr="006311DA" w:rsidRDefault="00483A8C">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57F40">
          <w:rPr>
            <w:noProof/>
            <w:sz w:val="16"/>
          </w:rPr>
          <w:t>2</w:t>
        </w:r>
        <w:r w:rsidRPr="006311DA">
          <w:rPr>
            <w:noProof/>
            <w:sz w:val="16"/>
          </w:rPr>
          <w:fldChar w:fldCharType="end"/>
        </w:r>
      </w:p>
    </w:sdtContent>
  </w:sdt>
  <w:p w14:paraId="767961CB" w14:textId="77777777" w:rsidR="00483A8C" w:rsidRDefault="00483A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483A8C" w:rsidRDefault="00483A8C">
    <w:pPr>
      <w:pStyle w:val="Footer"/>
      <w:jc w:val="center"/>
    </w:pPr>
  </w:p>
  <w:p w14:paraId="2699B8C1" w14:textId="77777777" w:rsidR="00483A8C" w:rsidRDefault="00483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BE198" w14:textId="77777777" w:rsidR="005E6C6D" w:rsidRPr="00036A8A" w:rsidRDefault="005E6C6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759B592" w14:textId="77777777" w:rsidR="005E6C6D" w:rsidRPr="00036A8A" w:rsidRDefault="005E6C6D" w:rsidP="00036A8A">
      <w:pPr>
        <w:rPr>
          <w:rFonts w:asciiTheme="majorHAnsi" w:hAnsiTheme="majorHAnsi"/>
          <w:sz w:val="16"/>
          <w:szCs w:val="16"/>
        </w:rPr>
      </w:pPr>
      <w:r w:rsidRPr="00036A8A">
        <w:rPr>
          <w:rFonts w:asciiTheme="majorHAnsi" w:hAnsiTheme="majorHAnsi"/>
          <w:sz w:val="16"/>
          <w:szCs w:val="16"/>
        </w:rPr>
        <w:separator/>
      </w:r>
    </w:p>
    <w:p w14:paraId="67977056" w14:textId="77777777" w:rsidR="005E6C6D" w:rsidRPr="00036A8A" w:rsidRDefault="005E6C6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7DBD3A5E" w14:textId="77777777" w:rsidR="005E6C6D" w:rsidRPr="0093441A" w:rsidRDefault="005E6C6D"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7C98203F" w14:textId="1FE8A1DE" w:rsidR="006016E5" w:rsidRPr="00666340" w:rsidRDefault="006016E5" w:rsidP="006016E5">
      <w:pPr>
        <w:pStyle w:val="FootnoteText"/>
        <w:ind w:firstLine="720"/>
        <w:jc w:val="both"/>
        <w:rPr>
          <w:rFonts w:ascii="Cambria" w:hAnsi="Cambria"/>
          <w:sz w:val="16"/>
          <w:szCs w:val="16"/>
        </w:rPr>
      </w:pPr>
      <w:r w:rsidRPr="00666340">
        <w:rPr>
          <w:rStyle w:val="FootnoteReference"/>
          <w:rFonts w:ascii="Cambria" w:hAnsi="Cambria"/>
          <w:sz w:val="16"/>
          <w:szCs w:val="16"/>
        </w:rPr>
        <w:footnoteRef/>
      </w:r>
      <w:r w:rsidRPr="00666340">
        <w:rPr>
          <w:rFonts w:ascii="Cambria" w:hAnsi="Cambria"/>
          <w:sz w:val="16"/>
          <w:szCs w:val="16"/>
        </w:rPr>
        <w:t xml:space="preserve"> Based on </w:t>
      </w:r>
      <w:r w:rsidR="00D60B92">
        <w:rPr>
          <w:rFonts w:ascii="Cambria" w:hAnsi="Cambria"/>
          <w:sz w:val="16"/>
          <w:szCs w:val="16"/>
        </w:rPr>
        <w:t>Article</w:t>
      </w:r>
      <w:r w:rsidRPr="00666340">
        <w:rPr>
          <w:rFonts w:ascii="Cambria" w:hAnsi="Cambria"/>
          <w:sz w:val="16"/>
          <w:szCs w:val="16"/>
        </w:rPr>
        <w:t xml:space="preserve"> 17.2.</w:t>
      </w:r>
      <w:proofErr w:type="spellStart"/>
      <w:r w:rsidRPr="00666340">
        <w:rPr>
          <w:rFonts w:ascii="Cambria" w:hAnsi="Cambria"/>
          <w:sz w:val="16"/>
          <w:szCs w:val="16"/>
        </w:rPr>
        <w:t>a</w:t>
      </w:r>
      <w:proofErr w:type="spellEnd"/>
      <w:r w:rsidRPr="00666340">
        <w:rPr>
          <w:rFonts w:ascii="Cambria" w:hAnsi="Cambria"/>
          <w:sz w:val="16"/>
          <w:szCs w:val="16"/>
        </w:rPr>
        <w:t xml:space="preserve"> of the Rules of procedure of the Commis</w:t>
      </w:r>
      <w:r>
        <w:rPr>
          <w:rFonts w:ascii="Cambria" w:hAnsi="Cambria"/>
          <w:sz w:val="16"/>
          <w:szCs w:val="16"/>
        </w:rPr>
        <w:t>s</w:t>
      </w:r>
      <w:r w:rsidRPr="00666340">
        <w:rPr>
          <w:rFonts w:ascii="Cambria" w:hAnsi="Cambria"/>
          <w:sz w:val="16"/>
          <w:szCs w:val="16"/>
        </w:rPr>
        <w:t xml:space="preserve">ion, Commissioner </w:t>
      </w:r>
      <w:r w:rsidRPr="00666340">
        <w:rPr>
          <w:rFonts w:ascii="Cambria" w:hAnsi="Cambria"/>
          <w:color w:val="auto"/>
          <w:sz w:val="16"/>
          <w:szCs w:val="16"/>
        </w:rPr>
        <w:t xml:space="preserve">Francisco </w:t>
      </w:r>
      <w:r>
        <w:rPr>
          <w:rFonts w:ascii="Cambria" w:hAnsi="Cambria"/>
          <w:color w:val="auto"/>
          <w:sz w:val="16"/>
          <w:szCs w:val="16"/>
        </w:rPr>
        <w:t>Julissa Mantilla Falcón</w:t>
      </w:r>
      <w:r w:rsidRPr="00666340">
        <w:rPr>
          <w:rFonts w:ascii="Cambria" w:hAnsi="Cambria"/>
          <w:sz w:val="16"/>
          <w:szCs w:val="16"/>
        </w:rPr>
        <w:t>, a Peruvian national, did not participate in the debate or decision of this matter.</w:t>
      </w:r>
    </w:p>
  </w:footnote>
  <w:footnote w:id="3">
    <w:p w14:paraId="731A009A" w14:textId="77777777" w:rsidR="006016E5" w:rsidRPr="004B24A7" w:rsidRDefault="006016E5" w:rsidP="006016E5">
      <w:pPr>
        <w:pStyle w:val="FootnoteText"/>
        <w:ind w:firstLine="720"/>
        <w:jc w:val="both"/>
        <w:rPr>
          <w:rFonts w:ascii="Cambria" w:hAnsi="Cambria"/>
          <w:sz w:val="16"/>
          <w:szCs w:val="16"/>
        </w:rPr>
      </w:pPr>
      <w:r w:rsidRPr="007C3C6C">
        <w:rPr>
          <w:rStyle w:val="FootnoteReference"/>
          <w:rFonts w:ascii="Cambria" w:hAnsi="Cambria"/>
          <w:sz w:val="16"/>
          <w:szCs w:val="16"/>
        </w:rPr>
        <w:footnoteRef/>
      </w:r>
      <w:r w:rsidRPr="004B24A7">
        <w:rPr>
          <w:rFonts w:ascii="Cambria" w:hAnsi="Cambria"/>
          <w:sz w:val="16"/>
          <w:szCs w:val="16"/>
        </w:rPr>
        <w:t xml:space="preserve">  Hereinafter “the American Convention” or “the Convention”. </w:t>
      </w:r>
    </w:p>
  </w:footnote>
  <w:footnote w:id="4">
    <w:p w14:paraId="47960D8E" w14:textId="77777777" w:rsidR="006016E5" w:rsidRPr="00666340" w:rsidRDefault="006016E5" w:rsidP="006016E5">
      <w:pPr>
        <w:ind w:firstLine="720"/>
        <w:rPr>
          <w:rStyle w:val="FootnoteReference"/>
        </w:rPr>
      </w:pPr>
      <w:r w:rsidRPr="00666340">
        <w:rPr>
          <w:rStyle w:val="FootnoteReference"/>
          <w:sz w:val="16"/>
          <w:szCs w:val="16"/>
        </w:rPr>
        <w:footnoteRef/>
      </w:r>
      <w:r w:rsidRPr="00666340">
        <w:rPr>
          <w:sz w:val="16"/>
          <w:szCs w:val="16"/>
        </w:rPr>
        <w:t xml:space="preserve"> </w:t>
      </w:r>
      <w:r w:rsidRPr="0053042B">
        <w:rPr>
          <w:rFonts w:ascii="Cambria" w:hAnsi="Cambria" w:cs="Calibri"/>
          <w:color w:val="000000"/>
          <w:sz w:val="16"/>
          <w:szCs w:val="16"/>
          <w:u w:color="000000"/>
          <w:lang w:eastAsia="es-ES"/>
        </w:rPr>
        <w:t>The</w:t>
      </w:r>
      <w:r w:rsidRPr="00666340">
        <w:rPr>
          <w:rFonts w:eastAsia="Times New Roman"/>
        </w:rPr>
        <w:t xml:space="preserve"> </w:t>
      </w:r>
      <w:r w:rsidRPr="0053042B">
        <w:rPr>
          <w:rFonts w:ascii="Cambria" w:hAnsi="Cambria" w:cs="Calibri"/>
          <w:color w:val="000000"/>
          <w:sz w:val="16"/>
          <w:szCs w:val="16"/>
          <w:u w:color="000000"/>
          <w:lang w:eastAsia="es-ES"/>
        </w:rPr>
        <w:t>observations</w:t>
      </w:r>
      <w:r w:rsidRPr="00666340">
        <w:rPr>
          <w:rFonts w:eastAsia="Times New Roman"/>
        </w:rPr>
        <w:t xml:space="preserve"> </w:t>
      </w:r>
      <w:r w:rsidRPr="0053042B">
        <w:rPr>
          <w:rFonts w:ascii="Cambria" w:hAnsi="Cambria" w:cs="Calibri"/>
          <w:color w:val="000000"/>
          <w:sz w:val="16"/>
          <w:szCs w:val="16"/>
          <w:u w:color="000000"/>
          <w:lang w:eastAsia="es-ES"/>
        </w:rPr>
        <w:t>submitted</w:t>
      </w:r>
      <w:r w:rsidRPr="00666340">
        <w:rPr>
          <w:rFonts w:ascii="Cambria" w:eastAsia="Times New Roman" w:hAnsi="Cambria"/>
          <w:sz w:val="16"/>
          <w:szCs w:val="16"/>
        </w:rPr>
        <w:t xml:space="preserve"> </w:t>
      </w:r>
      <w:r w:rsidRPr="00666340">
        <w:rPr>
          <w:rStyle w:val="FootnoteReference"/>
          <w:rFonts w:ascii="Cambria" w:hAnsi="Cambria"/>
          <w:sz w:val="16"/>
          <w:szCs w:val="16"/>
        </w:rPr>
        <w:t>by each party were duly transmitted to the opposing party.</w:t>
      </w:r>
    </w:p>
  </w:footnote>
  <w:footnote w:id="5">
    <w:p w14:paraId="6292D2EE" w14:textId="77777777" w:rsidR="006016E5" w:rsidRPr="00360FB1" w:rsidRDefault="006016E5" w:rsidP="006016E5">
      <w:pPr>
        <w:pStyle w:val="FootnoteText"/>
        <w:rPr>
          <w:rFonts w:ascii="Cambria" w:hAnsi="Cambria"/>
          <w:sz w:val="16"/>
          <w:szCs w:val="16"/>
        </w:rPr>
      </w:pPr>
      <w:r>
        <w:rPr>
          <w:rFonts w:ascii="Cambria" w:hAnsi="Cambria"/>
          <w:sz w:val="16"/>
          <w:szCs w:val="16"/>
        </w:rPr>
        <w:tab/>
      </w:r>
      <w:r w:rsidRPr="00360FB1">
        <w:rPr>
          <w:rStyle w:val="FootnoteReference"/>
          <w:rFonts w:ascii="Cambria" w:hAnsi="Cambria"/>
          <w:sz w:val="16"/>
          <w:szCs w:val="16"/>
        </w:rPr>
        <w:footnoteRef/>
      </w:r>
      <w:r w:rsidRPr="00360FB1">
        <w:rPr>
          <w:rFonts w:ascii="Cambria" w:hAnsi="Cambria"/>
          <w:sz w:val="16"/>
          <w:szCs w:val="16"/>
        </w:rPr>
        <w:t xml:space="preserve"> 1993 Political Constitution of Peru. Mandate of the Constitutional Court. Article 202. It is within the power of the Constitutional Tribunal: (…) To entertain, as a last and definitive instance, the negative decisions of habeas corpus, actions for the protection of constitutional rights (“amparo”), habeas data and enforcement of judgement actions.</w:t>
      </w:r>
    </w:p>
  </w:footnote>
  <w:footnote w:id="6">
    <w:p w14:paraId="35B2E634" w14:textId="77777777" w:rsidR="006016E5" w:rsidRPr="0095142C" w:rsidRDefault="006016E5" w:rsidP="006016E5">
      <w:pPr>
        <w:pStyle w:val="FootnoteText"/>
        <w:rPr>
          <w:rFonts w:ascii="Cambria" w:hAnsi="Cambria"/>
          <w:sz w:val="16"/>
          <w:szCs w:val="16"/>
        </w:rPr>
      </w:pPr>
      <w:r>
        <w:rPr>
          <w:rFonts w:ascii="Cambria" w:hAnsi="Cambria"/>
          <w:sz w:val="16"/>
          <w:szCs w:val="16"/>
        </w:rPr>
        <w:tab/>
      </w:r>
      <w:r w:rsidRPr="0095142C">
        <w:rPr>
          <w:rStyle w:val="FootnoteReference"/>
          <w:rFonts w:ascii="Cambria" w:hAnsi="Cambria"/>
          <w:sz w:val="16"/>
          <w:szCs w:val="16"/>
        </w:rPr>
        <w:footnoteRef/>
      </w:r>
      <w:r w:rsidRPr="0095142C">
        <w:rPr>
          <w:rFonts w:ascii="Cambria" w:hAnsi="Cambria"/>
          <w:sz w:val="16"/>
          <w:szCs w:val="16"/>
        </w:rPr>
        <w:t xml:space="preserve"> IACHR, Report No. 70/04, Petition 667/01, Admissibility, Jesús Manuel Naranjo Cárdenas and others, retirees from the Venezuelan Aviation Company VIASA. Venezuela, October 15th 2004, par. 52.</w:t>
      </w:r>
    </w:p>
  </w:footnote>
  <w:footnote w:id="7">
    <w:p w14:paraId="2B362864" w14:textId="7BDD9413" w:rsidR="006016E5" w:rsidRPr="00360FB1" w:rsidRDefault="006016E5" w:rsidP="006016E5">
      <w:pPr>
        <w:pStyle w:val="FootnoteText"/>
        <w:rPr>
          <w:rFonts w:ascii="Cambria" w:hAnsi="Cambria"/>
          <w:sz w:val="16"/>
          <w:szCs w:val="16"/>
        </w:rPr>
      </w:pPr>
      <w:r>
        <w:rPr>
          <w:rFonts w:ascii="Cambria" w:hAnsi="Cambria"/>
          <w:sz w:val="16"/>
          <w:szCs w:val="16"/>
        </w:rPr>
        <w:tab/>
      </w:r>
      <w:r w:rsidRPr="00360FB1">
        <w:rPr>
          <w:rStyle w:val="FootnoteReference"/>
          <w:rFonts w:ascii="Cambria" w:hAnsi="Cambria"/>
          <w:sz w:val="16"/>
          <w:szCs w:val="16"/>
        </w:rPr>
        <w:footnoteRef/>
      </w:r>
      <w:r w:rsidRPr="00360FB1">
        <w:rPr>
          <w:rFonts w:ascii="Cambria" w:hAnsi="Cambria"/>
          <w:sz w:val="16"/>
          <w:szCs w:val="16"/>
        </w:rPr>
        <w:t xml:space="preserve"> IACHR, Report N. 72/11, </w:t>
      </w:r>
      <w:r>
        <w:rPr>
          <w:rFonts w:ascii="Cambria" w:hAnsi="Cambria"/>
          <w:sz w:val="16"/>
          <w:szCs w:val="16"/>
        </w:rPr>
        <w:t>Case</w:t>
      </w:r>
      <w:r w:rsidRPr="00360FB1">
        <w:rPr>
          <w:rFonts w:ascii="Cambria" w:hAnsi="Cambria"/>
          <w:sz w:val="16"/>
          <w:szCs w:val="16"/>
        </w:rPr>
        <w:t xml:space="preserve"> 1164-05. Admissibility. </w:t>
      </w:r>
      <w:r w:rsidRPr="00C65B75">
        <w:rPr>
          <w:rFonts w:ascii="Cambria" w:hAnsi="Cambria"/>
          <w:sz w:val="16"/>
          <w:szCs w:val="16"/>
        </w:rPr>
        <w:t xml:space="preserve">William Gómez Vargas. </w:t>
      </w:r>
      <w:r w:rsidRPr="00FC5E2D">
        <w:rPr>
          <w:rFonts w:ascii="Cambria" w:hAnsi="Cambria"/>
          <w:sz w:val="16"/>
          <w:szCs w:val="16"/>
          <w:lang w:val="pt-BR"/>
        </w:rPr>
        <w:t xml:space="preserve">Costa Rica. </w:t>
      </w:r>
      <w:r w:rsidRPr="00360FB1">
        <w:rPr>
          <w:rFonts w:ascii="Cambria" w:hAnsi="Cambria"/>
          <w:sz w:val="16"/>
          <w:szCs w:val="16"/>
        </w:rPr>
        <w:t>March 31, 2011, par.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483A8C" w:rsidRDefault="00483A8C" w:rsidP="00483A8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483A8C" w:rsidRDefault="00483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483A8C" w:rsidRDefault="00483A8C"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483A8C" w:rsidRPr="00EC7D62" w:rsidRDefault="005E6C6D"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BCF1C" w14:textId="77777777" w:rsidR="00357F40" w:rsidRDefault="00357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09C0EBC"/>
    <w:multiLevelType w:val="hybridMultilevel"/>
    <w:tmpl w:val="9F40D23A"/>
    <w:lvl w:ilvl="0" w:tplc="A2341C66">
      <w:start w:val="1"/>
      <w:numFmt w:val="decimal"/>
      <w:lvlText w:val="%1."/>
      <w:lvlJc w:val="left"/>
      <w:pPr>
        <w:ind w:left="1890" w:hanging="360"/>
      </w:pPr>
      <w:rPr>
        <w:sz w:val="20"/>
        <w:szCs w:val="20"/>
        <w:lang w:val="es-ES_tradn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AA6289"/>
    <w:multiLevelType w:val="hybridMultilevel"/>
    <w:tmpl w:val="6400DD3E"/>
    <w:lvl w:ilvl="0" w:tplc="15F0000E">
      <w:start w:val="1"/>
      <w:numFmt w:val="upperRoman"/>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DD56735"/>
    <w:multiLevelType w:val="hybridMultilevel"/>
    <w:tmpl w:val="D68E82C2"/>
    <w:lvl w:ilvl="0" w:tplc="D8D86AF6">
      <w:start w:val="5"/>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D7D4B9D"/>
    <w:multiLevelType w:val="hybridMultilevel"/>
    <w:tmpl w:val="3B1629B8"/>
    <w:lvl w:ilvl="0" w:tplc="F34A0072">
      <w:start w:val="1"/>
      <w:numFmt w:val="decimal"/>
      <w:lvlText w:val="%1."/>
      <w:lvlJc w:val="left"/>
      <w:pPr>
        <w:ind w:left="360" w:hanging="360"/>
      </w:pPr>
      <w:rPr>
        <w:rFonts w:ascii="Cambria" w:hAnsi="Cambria"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3"/>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1"/>
  </w:num>
  <w:num w:numId="85">
    <w:abstractNumId w:val="54"/>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6"/>
  </w:num>
  <w:num w:numId="94">
    <w:abstractNumId w:val="22"/>
  </w:num>
  <w:num w:numId="95">
    <w:abstractNumId w:val="45"/>
  </w:num>
  <w:num w:numId="96">
    <w:abstractNumId w:val="57"/>
  </w:num>
  <w:num w:numId="97">
    <w:abstractNumId w:val="55"/>
  </w:num>
  <w:num w:numId="98">
    <w:abstractNumId w:val="49"/>
  </w:num>
  <w:num w:numId="99">
    <w:abstractNumId w:val="40"/>
  </w:num>
  <w:num w:numId="100">
    <w:abstractNumId w:val="3"/>
  </w:num>
  <w:num w:numId="101">
    <w:abstractNumId w:val="28"/>
  </w:num>
  <w:num w:numId="102">
    <w:abstractNumId w:val="52"/>
  </w:num>
  <w:num w:numId="103">
    <w:abstractNumId w:val="5"/>
  </w:num>
  <w:num w:numId="104">
    <w:abstractNumId w:val="11"/>
  </w:num>
  <w:num w:numId="105">
    <w:abstractNumId w:val="47"/>
  </w:num>
  <w:num w:numId="106">
    <w:abstractNumId w:val="50"/>
  </w:num>
  <w:num w:numId="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4"/>
  </w:num>
  <w:num w:numId="110">
    <w:abstractNumId w:val="3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25EAD"/>
    <w:rsid w:val="00036A8A"/>
    <w:rsid w:val="00040C3A"/>
    <w:rsid w:val="000639C0"/>
    <w:rsid w:val="00070F3A"/>
    <w:rsid w:val="000716C5"/>
    <w:rsid w:val="00072962"/>
    <w:rsid w:val="00072E3D"/>
    <w:rsid w:val="00075E23"/>
    <w:rsid w:val="00081BD7"/>
    <w:rsid w:val="00083BC3"/>
    <w:rsid w:val="00092F32"/>
    <w:rsid w:val="0009344A"/>
    <w:rsid w:val="000A575F"/>
    <w:rsid w:val="000C4365"/>
    <w:rsid w:val="000D10DB"/>
    <w:rsid w:val="001100CE"/>
    <w:rsid w:val="00124116"/>
    <w:rsid w:val="0013104F"/>
    <w:rsid w:val="00137EBA"/>
    <w:rsid w:val="00143619"/>
    <w:rsid w:val="00144732"/>
    <w:rsid w:val="00144C98"/>
    <w:rsid w:val="00144FC2"/>
    <w:rsid w:val="00145EDC"/>
    <w:rsid w:val="00153084"/>
    <w:rsid w:val="001654E0"/>
    <w:rsid w:val="00167A34"/>
    <w:rsid w:val="001714B4"/>
    <w:rsid w:val="0018037F"/>
    <w:rsid w:val="0019302D"/>
    <w:rsid w:val="001A5F27"/>
    <w:rsid w:val="001A65E4"/>
    <w:rsid w:val="001A7870"/>
    <w:rsid w:val="001C1B41"/>
    <w:rsid w:val="001D2379"/>
    <w:rsid w:val="001D6050"/>
    <w:rsid w:val="001E366B"/>
    <w:rsid w:val="001E7E0E"/>
    <w:rsid w:val="001F1902"/>
    <w:rsid w:val="00210E0E"/>
    <w:rsid w:val="00210F4B"/>
    <w:rsid w:val="00227CCD"/>
    <w:rsid w:val="00230163"/>
    <w:rsid w:val="0023351C"/>
    <w:rsid w:val="00247403"/>
    <w:rsid w:val="00247542"/>
    <w:rsid w:val="00257893"/>
    <w:rsid w:val="00266092"/>
    <w:rsid w:val="00266B61"/>
    <w:rsid w:val="0026712A"/>
    <w:rsid w:val="002704DB"/>
    <w:rsid w:val="002760CE"/>
    <w:rsid w:val="002A54E6"/>
    <w:rsid w:val="002B7A85"/>
    <w:rsid w:val="002C1641"/>
    <w:rsid w:val="002D7EA2"/>
    <w:rsid w:val="002E15DF"/>
    <w:rsid w:val="002E187C"/>
    <w:rsid w:val="002E6E57"/>
    <w:rsid w:val="002E6F7C"/>
    <w:rsid w:val="002F11EB"/>
    <w:rsid w:val="002F3266"/>
    <w:rsid w:val="00301075"/>
    <w:rsid w:val="00302733"/>
    <w:rsid w:val="00311A4F"/>
    <w:rsid w:val="00314078"/>
    <w:rsid w:val="00321AFD"/>
    <w:rsid w:val="00322450"/>
    <w:rsid w:val="003246B5"/>
    <w:rsid w:val="00324BA6"/>
    <w:rsid w:val="003268E4"/>
    <w:rsid w:val="0033169F"/>
    <w:rsid w:val="003414AC"/>
    <w:rsid w:val="00356185"/>
    <w:rsid w:val="00357F40"/>
    <w:rsid w:val="00360380"/>
    <w:rsid w:val="003771A3"/>
    <w:rsid w:val="00377FAE"/>
    <w:rsid w:val="00386CF0"/>
    <w:rsid w:val="003A18A7"/>
    <w:rsid w:val="003A4348"/>
    <w:rsid w:val="003C32BC"/>
    <w:rsid w:val="003C4D7B"/>
    <w:rsid w:val="003C71C1"/>
    <w:rsid w:val="003E3E03"/>
    <w:rsid w:val="003F1BBF"/>
    <w:rsid w:val="004162B1"/>
    <w:rsid w:val="004165C2"/>
    <w:rsid w:val="00430356"/>
    <w:rsid w:val="00450A4A"/>
    <w:rsid w:val="004666FB"/>
    <w:rsid w:val="00466D0B"/>
    <w:rsid w:val="00467B7E"/>
    <w:rsid w:val="00476F8B"/>
    <w:rsid w:val="00483A8C"/>
    <w:rsid w:val="0049419D"/>
    <w:rsid w:val="004B07FC"/>
    <w:rsid w:val="004B2762"/>
    <w:rsid w:val="004B7EB6"/>
    <w:rsid w:val="004C41DE"/>
    <w:rsid w:val="004C4B62"/>
    <w:rsid w:val="004C7A36"/>
    <w:rsid w:val="004D6025"/>
    <w:rsid w:val="004D72BC"/>
    <w:rsid w:val="004F3FA3"/>
    <w:rsid w:val="004F6B67"/>
    <w:rsid w:val="00501399"/>
    <w:rsid w:val="00507BC4"/>
    <w:rsid w:val="00510928"/>
    <w:rsid w:val="005128E4"/>
    <w:rsid w:val="00525560"/>
    <w:rsid w:val="0052737C"/>
    <w:rsid w:val="005357A6"/>
    <w:rsid w:val="005406C2"/>
    <w:rsid w:val="00544C49"/>
    <w:rsid w:val="0057402A"/>
    <w:rsid w:val="005771D0"/>
    <w:rsid w:val="005816E5"/>
    <w:rsid w:val="0059191A"/>
    <w:rsid w:val="005921FF"/>
    <w:rsid w:val="00592718"/>
    <w:rsid w:val="005A6D0E"/>
    <w:rsid w:val="005B222D"/>
    <w:rsid w:val="005B52B0"/>
    <w:rsid w:val="005B6806"/>
    <w:rsid w:val="005C00F9"/>
    <w:rsid w:val="005C0E90"/>
    <w:rsid w:val="005C4225"/>
    <w:rsid w:val="005E03F4"/>
    <w:rsid w:val="005E56AD"/>
    <w:rsid w:val="005E6C6D"/>
    <w:rsid w:val="005F0F33"/>
    <w:rsid w:val="00600DEB"/>
    <w:rsid w:val="006016E5"/>
    <w:rsid w:val="00605DE2"/>
    <w:rsid w:val="00613027"/>
    <w:rsid w:val="00627C9F"/>
    <w:rsid w:val="006311DA"/>
    <w:rsid w:val="006311E9"/>
    <w:rsid w:val="0063188D"/>
    <w:rsid w:val="006318B2"/>
    <w:rsid w:val="00632354"/>
    <w:rsid w:val="00642810"/>
    <w:rsid w:val="006452FA"/>
    <w:rsid w:val="006466C1"/>
    <w:rsid w:val="00652333"/>
    <w:rsid w:val="00653EA6"/>
    <w:rsid w:val="006614CA"/>
    <w:rsid w:val="00662C6F"/>
    <w:rsid w:val="00666CE4"/>
    <w:rsid w:val="0068009E"/>
    <w:rsid w:val="006A17D2"/>
    <w:rsid w:val="006A73E6"/>
    <w:rsid w:val="006B2D5C"/>
    <w:rsid w:val="006B32E7"/>
    <w:rsid w:val="006C4EB1"/>
    <w:rsid w:val="006C7BED"/>
    <w:rsid w:val="006D4707"/>
    <w:rsid w:val="006E0166"/>
    <w:rsid w:val="006E7B34"/>
    <w:rsid w:val="00701B24"/>
    <w:rsid w:val="0071495F"/>
    <w:rsid w:val="007360B0"/>
    <w:rsid w:val="0073798E"/>
    <w:rsid w:val="007413CC"/>
    <w:rsid w:val="00745899"/>
    <w:rsid w:val="007607C4"/>
    <w:rsid w:val="0076643F"/>
    <w:rsid w:val="00774CBE"/>
    <w:rsid w:val="00781653"/>
    <w:rsid w:val="007A2F70"/>
    <w:rsid w:val="007C3334"/>
    <w:rsid w:val="007C52BB"/>
    <w:rsid w:val="007D2B98"/>
    <w:rsid w:val="007E6ECE"/>
    <w:rsid w:val="007E70EF"/>
    <w:rsid w:val="007F196E"/>
    <w:rsid w:val="00803F1C"/>
    <w:rsid w:val="008056F9"/>
    <w:rsid w:val="0080600E"/>
    <w:rsid w:val="00817612"/>
    <w:rsid w:val="00821F0E"/>
    <w:rsid w:val="00834369"/>
    <w:rsid w:val="00837C45"/>
    <w:rsid w:val="00853419"/>
    <w:rsid w:val="0085687F"/>
    <w:rsid w:val="00861D54"/>
    <w:rsid w:val="0087129C"/>
    <w:rsid w:val="00885183"/>
    <w:rsid w:val="00890B82"/>
    <w:rsid w:val="00893071"/>
    <w:rsid w:val="00897E12"/>
    <w:rsid w:val="008C1F6C"/>
    <w:rsid w:val="008D43BA"/>
    <w:rsid w:val="008D5117"/>
    <w:rsid w:val="008E3759"/>
    <w:rsid w:val="009041DC"/>
    <w:rsid w:val="009104B4"/>
    <w:rsid w:val="009228DA"/>
    <w:rsid w:val="00925FCD"/>
    <w:rsid w:val="00932B94"/>
    <w:rsid w:val="0093441A"/>
    <w:rsid w:val="00954BF7"/>
    <w:rsid w:val="0096706E"/>
    <w:rsid w:val="00981FBA"/>
    <w:rsid w:val="009A733D"/>
    <w:rsid w:val="009B381B"/>
    <w:rsid w:val="009D304D"/>
    <w:rsid w:val="009D7611"/>
    <w:rsid w:val="009E53DE"/>
    <w:rsid w:val="009E566A"/>
    <w:rsid w:val="00A12DBC"/>
    <w:rsid w:val="00A43458"/>
    <w:rsid w:val="00A528D1"/>
    <w:rsid w:val="00A66BE5"/>
    <w:rsid w:val="00A95E47"/>
    <w:rsid w:val="00AB6E55"/>
    <w:rsid w:val="00AD37C1"/>
    <w:rsid w:val="00AE66EC"/>
    <w:rsid w:val="00AE6F91"/>
    <w:rsid w:val="00AE7AB3"/>
    <w:rsid w:val="00AF5571"/>
    <w:rsid w:val="00B06BB7"/>
    <w:rsid w:val="00B167E9"/>
    <w:rsid w:val="00B179ED"/>
    <w:rsid w:val="00B314DB"/>
    <w:rsid w:val="00B31EBE"/>
    <w:rsid w:val="00B33D45"/>
    <w:rsid w:val="00B3567C"/>
    <w:rsid w:val="00B3718B"/>
    <w:rsid w:val="00B44B23"/>
    <w:rsid w:val="00B4632A"/>
    <w:rsid w:val="00B81A5C"/>
    <w:rsid w:val="00B92E49"/>
    <w:rsid w:val="00BA276C"/>
    <w:rsid w:val="00BA40D0"/>
    <w:rsid w:val="00BB306F"/>
    <w:rsid w:val="00BD232B"/>
    <w:rsid w:val="00BD2E42"/>
    <w:rsid w:val="00BD4B89"/>
    <w:rsid w:val="00C21762"/>
    <w:rsid w:val="00C22C17"/>
    <w:rsid w:val="00C24543"/>
    <w:rsid w:val="00C256A2"/>
    <w:rsid w:val="00C3492D"/>
    <w:rsid w:val="00C55560"/>
    <w:rsid w:val="00C66B72"/>
    <w:rsid w:val="00C72899"/>
    <w:rsid w:val="00C72AC2"/>
    <w:rsid w:val="00C9567A"/>
    <w:rsid w:val="00CA6577"/>
    <w:rsid w:val="00CB0289"/>
    <w:rsid w:val="00CB2660"/>
    <w:rsid w:val="00CC2FB3"/>
    <w:rsid w:val="00CC5E90"/>
    <w:rsid w:val="00CD046C"/>
    <w:rsid w:val="00CD2A23"/>
    <w:rsid w:val="00CE3070"/>
    <w:rsid w:val="00CE5199"/>
    <w:rsid w:val="00CE5518"/>
    <w:rsid w:val="00CE66D5"/>
    <w:rsid w:val="00D34786"/>
    <w:rsid w:val="00D40A1E"/>
    <w:rsid w:val="00D533C0"/>
    <w:rsid w:val="00D60B92"/>
    <w:rsid w:val="00D712D3"/>
    <w:rsid w:val="00D71422"/>
    <w:rsid w:val="00D7145E"/>
    <w:rsid w:val="00D7479C"/>
    <w:rsid w:val="00D75084"/>
    <w:rsid w:val="00D7558D"/>
    <w:rsid w:val="00D77421"/>
    <w:rsid w:val="00D81D92"/>
    <w:rsid w:val="00D93446"/>
    <w:rsid w:val="00DA7B5F"/>
    <w:rsid w:val="00DD27C4"/>
    <w:rsid w:val="00DF078B"/>
    <w:rsid w:val="00DF350D"/>
    <w:rsid w:val="00E06700"/>
    <w:rsid w:val="00E227C1"/>
    <w:rsid w:val="00E40676"/>
    <w:rsid w:val="00E43157"/>
    <w:rsid w:val="00E47F3D"/>
    <w:rsid w:val="00E533FF"/>
    <w:rsid w:val="00E709B3"/>
    <w:rsid w:val="00E7588C"/>
    <w:rsid w:val="00E850B6"/>
    <w:rsid w:val="00E8789F"/>
    <w:rsid w:val="00E97B71"/>
    <w:rsid w:val="00EA35BD"/>
    <w:rsid w:val="00EB454D"/>
    <w:rsid w:val="00EC0F30"/>
    <w:rsid w:val="00ED0D1B"/>
    <w:rsid w:val="00EE3522"/>
    <w:rsid w:val="00EF619B"/>
    <w:rsid w:val="00F00B55"/>
    <w:rsid w:val="00F1380F"/>
    <w:rsid w:val="00F14F0E"/>
    <w:rsid w:val="00F15A3B"/>
    <w:rsid w:val="00F24C29"/>
    <w:rsid w:val="00F253CC"/>
    <w:rsid w:val="00F42B71"/>
    <w:rsid w:val="00F438F5"/>
    <w:rsid w:val="00F5255D"/>
    <w:rsid w:val="00F56BA5"/>
    <w:rsid w:val="00F621C3"/>
    <w:rsid w:val="00F644E6"/>
    <w:rsid w:val="00F9653B"/>
    <w:rsid w:val="00FB62CF"/>
    <w:rsid w:val="00FC3EB4"/>
    <w:rsid w:val="00FC6C58"/>
    <w:rsid w:val="00FD514B"/>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Medium Grid 1 - Accent 21,Colorful List - Accent 12"/>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467387">
      <w:bodyDiv w:val="1"/>
      <w:marLeft w:val="0"/>
      <w:marRight w:val="0"/>
      <w:marTop w:val="0"/>
      <w:marBottom w:val="0"/>
      <w:divBdr>
        <w:top w:val="none" w:sz="0" w:space="0" w:color="auto"/>
        <w:left w:val="none" w:sz="0" w:space="0" w:color="auto"/>
        <w:bottom w:val="none" w:sz="0" w:space="0" w:color="auto"/>
        <w:right w:val="none" w:sz="0" w:space="0" w:color="auto"/>
      </w:divBdr>
    </w:div>
    <w:div w:id="420757964">
      <w:bodyDiv w:val="1"/>
      <w:marLeft w:val="0"/>
      <w:marRight w:val="0"/>
      <w:marTop w:val="0"/>
      <w:marBottom w:val="0"/>
      <w:divBdr>
        <w:top w:val="none" w:sz="0" w:space="0" w:color="auto"/>
        <w:left w:val="none" w:sz="0" w:space="0" w:color="auto"/>
        <w:bottom w:val="none" w:sz="0" w:space="0" w:color="auto"/>
        <w:right w:val="none" w:sz="0" w:space="0" w:color="auto"/>
      </w:divBdr>
    </w:div>
    <w:div w:id="985553174">
      <w:bodyDiv w:val="1"/>
      <w:marLeft w:val="0"/>
      <w:marRight w:val="0"/>
      <w:marTop w:val="0"/>
      <w:marBottom w:val="0"/>
      <w:divBdr>
        <w:top w:val="none" w:sz="0" w:space="0" w:color="auto"/>
        <w:left w:val="none" w:sz="0" w:space="0" w:color="auto"/>
        <w:bottom w:val="none" w:sz="0" w:space="0" w:color="auto"/>
        <w:right w:val="none" w:sz="0" w:space="0" w:color="auto"/>
      </w:divBdr>
    </w:div>
    <w:div w:id="1285964212">
      <w:bodyDiv w:val="1"/>
      <w:marLeft w:val="0"/>
      <w:marRight w:val="0"/>
      <w:marTop w:val="0"/>
      <w:marBottom w:val="0"/>
      <w:divBdr>
        <w:top w:val="none" w:sz="0" w:space="0" w:color="auto"/>
        <w:left w:val="none" w:sz="0" w:space="0" w:color="auto"/>
        <w:bottom w:val="none" w:sz="0" w:space="0" w:color="auto"/>
        <w:right w:val="none" w:sz="0" w:space="0" w:color="auto"/>
      </w:divBdr>
    </w:div>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4025051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D38F1-42A6-42E1-AC6A-B415106DF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2144</Words>
  <Characters>11453</Characters>
  <Application>Microsoft Office Word</Application>
  <DocSecurity>0</DocSecurity>
  <Lines>272</Lines>
  <Paragraphs>89</Paragraphs>
  <ScaleCrop>false</ScaleCrop>
  <Company/>
  <LinksUpToDate>false</LinksUpToDate>
  <CharactersWithSpaces>13508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112/21</dc:title>
  <dc:creator/>
  <cp:lastModifiedBy/>
  <cp:revision>1</cp:revision>
  <dcterms:created xsi:type="dcterms:W3CDTF">2021-06-25T19:18:00Z</dcterms:created>
  <dcterms:modified xsi:type="dcterms:W3CDTF">2021-06-25T19:18:00Z</dcterms:modified>
</cp:coreProperties>
</file>