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F2FFA" w14:textId="77777777" w:rsidR="00040C3A" w:rsidRPr="0090270B" w:rsidRDefault="00D306D1" w:rsidP="00627C9F">
      <w:pPr>
        <w:jc w:val="both"/>
        <w:rPr>
          <w:rFonts w:asciiTheme="majorHAnsi" w:hAnsiTheme="majorHAnsi" w:cs="Univers"/>
          <w:b/>
          <w:bCs/>
          <w:sz w:val="22"/>
          <w:szCs w:val="22"/>
        </w:rPr>
      </w:pPr>
      <w:r>
        <w:rPr>
          <w:rFonts w:asciiTheme="majorHAnsi" w:hAnsiTheme="majorHAnsi"/>
          <w:noProof/>
          <w:sz w:val="22"/>
        </w:rPr>
        <mc:AlternateContent>
          <mc:Choice Requires="wps">
            <w:drawing>
              <wp:anchor distT="0" distB="0" distL="114300" distR="114300" simplePos="0" relativeHeight="251661311" behindDoc="0" locked="0" layoutInCell="1" allowOverlap="1" wp14:anchorId="5E89502A" wp14:editId="44FFA97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F5494"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" fillcolor="#67ae3c" stroked="f" strokeweight="2pt"/>
            </w:pict>
          </mc:Fallback>
        </mc:AlternateContent>
      </w:r>
      <w:r>
        <w:rPr>
          <w:rFonts w:asciiTheme="majorHAnsi" w:hAnsiTheme="majorHAnsi"/>
          <w:noProof/>
          <w:sz w:val="22"/>
        </w:rPr>
        <mc:AlternateContent>
          <mc:Choice Requires="wps">
            <w:drawing>
              <wp:anchor distT="0" distB="0" distL="114300" distR="114300" simplePos="0" relativeHeight="251673600" behindDoc="0" locked="0" layoutInCell="1" allowOverlap="1" wp14:anchorId="1303CA84" wp14:editId="137CDC62">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4413DA" w14:textId="77777777" w:rsidR="00CB2660" w:rsidRDefault="00AE5488" w:rsidP="00AE5488">
                            <w:r>
                              <w:rPr>
                                <w:noProof/>
                              </w:rPr>
                              <w:drawing>
                                <wp:inline distT="0" distB="0" distL="0" distR="0" wp14:anchorId="68DFB3EE" wp14:editId="6164DC8C">
                                  <wp:extent cx="2653322" cy="510639"/>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8"/>
                                          <a:stretch>
                                            <a:fillRect/>
                                          </a:stretch>
                                        </pic:blipFill>
                                        <pic:spPr bwMode="auto">
                                          <a:xfrm>
                                            <a:off x="0" y="0"/>
                                            <a:ext cx="2653322" cy="510639"/>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03CA84"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6A4413DA" w14:textId="77777777" w:rsidR="00CB2660" w:rsidRDefault="00AE5488" w:rsidP="00AE5488">
                      <w:r>
                        <w:rPr>
                          <w:noProof/>
                        </w:rPr>
                        <w:drawing>
                          <wp:inline distT="0" distB="0" distL="0" distR="0" wp14:anchorId="68DFB3EE" wp14:editId="6164DC8C">
                            <wp:extent cx="2653322" cy="510639"/>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9"/>
                                    <a:stretch>
                                      <a:fillRect/>
                                    </a:stretch>
                                  </pic:blipFill>
                                  <pic:spPr bwMode="auto">
                                    <a:xfrm>
                                      <a:off x="0" y="0"/>
                                      <a:ext cx="2653322" cy="510639"/>
                                    </a:xfrm>
                                    <a:prstGeom prst="rect">
                                      <a:avLst/>
                                    </a:prstGeom>
                                    <a:noFill/>
                                    <a:ln>
                                      <a:noFill/>
                                    </a:ln>
                                  </pic:spPr>
                                </pic:pic>
                              </a:graphicData>
                            </a:graphic>
                          </wp:inline>
                        </w:drawing>
                      </w:r>
                      <w:r>
                        <w:tab/>
                        <w:t xml:space="preserve">                              </w:t>
                      </w:r>
                    </w:p>
                  </w:txbxContent>
                </v:textbox>
              </v:shape>
            </w:pict>
          </mc:Fallback>
        </mc:AlternateContent>
      </w:r>
      <w:r>
        <w:rPr>
          <w:rFonts w:asciiTheme="majorHAnsi" w:hAnsiTheme="majorHAnsi"/>
          <w:b/>
          <w:sz w:val="22"/>
        </w:rPr>
        <w:t xml:space="preserve"> </w:t>
      </w:r>
    </w:p>
    <w:p w14:paraId="3A2058D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05FE2EB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03520150"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C0918B3"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40585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2E0C8E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48975C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87938C8"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D83F51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A5D9805"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39DC18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16E78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7BC4349" w14:textId="77777777" w:rsidR="00040C3A" w:rsidRPr="0090270B" w:rsidRDefault="003D3BC2" w:rsidP="00040C3A">
      <w:pPr>
        <w:tabs>
          <w:tab w:val="center" w:pos="5400"/>
        </w:tabs>
        <w:suppressAutoHyphens/>
        <w:jc w:val="center"/>
        <w:rPr>
          <w:rFonts w:asciiTheme="majorHAnsi" w:hAnsiTheme="majorHAnsi"/>
          <w:sz w:val="22"/>
          <w:szCs w:val="22"/>
        </w:rPr>
      </w:pPr>
      <w:r>
        <w:rPr>
          <w:rFonts w:asciiTheme="majorHAnsi" w:hAnsiTheme="majorHAnsi"/>
          <w:noProof/>
          <w:sz w:val="22"/>
        </w:rPr>
        <mc:AlternateContent>
          <mc:Choice Requires="wps">
            <w:drawing>
              <wp:anchor distT="0" distB="0" distL="114300" distR="114300" simplePos="0" relativeHeight="251669504" behindDoc="0" locked="0" layoutInCell="1" allowOverlap="1" wp14:anchorId="381F5872" wp14:editId="2590D3C6">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D141C1" w14:textId="4F99662D" w:rsidR="005B52B0" w:rsidRPr="004E2649" w:rsidRDefault="005B52B0" w:rsidP="00997BC5">
                            <w:pPr>
                              <w:spacing w:line="276" w:lineRule="auto"/>
                              <w:rPr>
                                <w:rFonts w:asciiTheme="majorHAnsi" w:hAnsiTheme="majorHAnsi" w:cs="Arial"/>
                                <w:b/>
                                <w:bCs/>
                                <w:color w:val="0D0D0D" w:themeColor="text1" w:themeTint="F2"/>
                                <w:sz w:val="36"/>
                                <w:szCs w:val="22"/>
                              </w:rPr>
                            </w:pPr>
                            <w:r>
                              <w:rPr>
                                <w:rFonts w:asciiTheme="majorHAnsi" w:hAnsiTheme="majorHAnsi"/>
                                <w:b/>
                                <w:color w:val="0D0D0D" w:themeColor="text1" w:themeTint="F2"/>
                                <w:sz w:val="36"/>
                              </w:rPr>
                              <w:t xml:space="preserve">REPORT No. </w:t>
                            </w:r>
                            <w:r w:rsidR="004C691F">
                              <w:rPr>
                                <w:rFonts w:asciiTheme="majorHAnsi" w:hAnsiTheme="majorHAnsi"/>
                                <w:b/>
                                <w:color w:val="0D0D0D" w:themeColor="text1" w:themeTint="F2"/>
                                <w:sz w:val="36"/>
                              </w:rPr>
                              <w:t>187</w:t>
                            </w:r>
                            <w:r>
                              <w:rPr>
                                <w:rFonts w:asciiTheme="majorHAnsi" w:hAnsiTheme="majorHAnsi"/>
                                <w:b/>
                                <w:color w:val="0D0D0D" w:themeColor="text1" w:themeTint="F2"/>
                                <w:sz w:val="36"/>
                              </w:rPr>
                              <w:t>/21</w:t>
                            </w:r>
                          </w:p>
                          <w:p w14:paraId="16D45073" w14:textId="2A501306" w:rsidR="007B05C4" w:rsidRDefault="005B52B0" w:rsidP="00997BC5">
                            <w:pPr>
                              <w:spacing w:line="276" w:lineRule="auto"/>
                              <w:rPr>
                                <w:rFonts w:asciiTheme="majorHAnsi" w:hAnsiTheme="majorHAnsi" w:cs="Arial"/>
                                <w:b/>
                                <w:color w:val="0D0D0D" w:themeColor="text1" w:themeTint="F2"/>
                                <w:sz w:val="36"/>
                                <w:szCs w:val="22"/>
                              </w:rPr>
                            </w:pPr>
                            <w:r>
                              <w:rPr>
                                <w:rFonts w:asciiTheme="majorHAnsi" w:hAnsiTheme="majorHAnsi"/>
                                <w:b/>
                                <w:color w:val="0D0D0D" w:themeColor="text1" w:themeTint="F2"/>
                                <w:sz w:val="36"/>
                              </w:rPr>
                              <w:t>PETITION 457-</w:t>
                            </w:r>
                            <w:r w:rsidR="00717311">
                              <w:rPr>
                                <w:rFonts w:asciiTheme="majorHAnsi" w:hAnsiTheme="majorHAnsi"/>
                                <w:b/>
                                <w:color w:val="0D0D0D" w:themeColor="text1" w:themeTint="F2"/>
                                <w:sz w:val="36"/>
                              </w:rPr>
                              <w:t>1</w:t>
                            </w:r>
                            <w:r>
                              <w:rPr>
                                <w:rFonts w:asciiTheme="majorHAnsi" w:hAnsiTheme="majorHAnsi"/>
                                <w:b/>
                                <w:color w:val="0D0D0D" w:themeColor="text1" w:themeTint="F2"/>
                                <w:sz w:val="36"/>
                              </w:rPr>
                              <w:t xml:space="preserve">3 </w:t>
                            </w:r>
                          </w:p>
                          <w:p w14:paraId="6A1EFC41" w14:textId="77777777" w:rsidR="00CD046C" w:rsidRPr="00717311" w:rsidRDefault="005B52B0" w:rsidP="00997BC5">
                            <w:pPr>
                              <w:spacing w:line="276" w:lineRule="auto"/>
                              <w:rPr>
                                <w:rFonts w:asciiTheme="majorHAnsi" w:hAnsiTheme="majorHAnsi" w:cs="Arial"/>
                                <w:color w:val="0D0D0D" w:themeColor="text1" w:themeTint="F2"/>
                              </w:rPr>
                            </w:pPr>
                            <w:r w:rsidRPr="00717311">
                              <w:rPr>
                                <w:rFonts w:asciiTheme="majorHAnsi" w:hAnsiTheme="majorHAnsi"/>
                                <w:color w:val="0D0D0D" w:themeColor="text1" w:themeTint="F2"/>
                              </w:rPr>
                              <w:t>REPORT ON ADMISSIBILITY</w:t>
                            </w:r>
                          </w:p>
                          <w:p w14:paraId="41C03775" w14:textId="77777777" w:rsidR="008F1912" w:rsidRPr="00717311" w:rsidRDefault="008F1912" w:rsidP="00997BC5">
                            <w:pPr>
                              <w:spacing w:line="276" w:lineRule="auto"/>
                              <w:rPr>
                                <w:rFonts w:asciiTheme="majorHAnsi" w:hAnsiTheme="majorHAnsi" w:cs="Arial"/>
                                <w:color w:val="0D0D0D" w:themeColor="text1" w:themeTint="F2"/>
                              </w:rPr>
                            </w:pPr>
                            <w:bookmarkStart w:id="0" w:name="_ftnref1"/>
                          </w:p>
                          <w:p w14:paraId="061C6849" w14:textId="77777777" w:rsidR="005B52B0" w:rsidRPr="00717311" w:rsidRDefault="000F4990" w:rsidP="00997BC5">
                            <w:pPr>
                              <w:spacing w:line="276" w:lineRule="auto"/>
                              <w:rPr>
                                <w:rFonts w:asciiTheme="majorHAnsi" w:hAnsiTheme="majorHAnsi" w:cs="Arial"/>
                                <w:color w:val="0D0D0D" w:themeColor="text1" w:themeTint="F2"/>
                              </w:rPr>
                            </w:pPr>
                            <w:r w:rsidRPr="00717311">
                              <w:rPr>
                                <w:rFonts w:asciiTheme="majorHAnsi" w:hAnsiTheme="majorHAnsi"/>
                                <w:color w:val="0D0D0D" w:themeColor="text1" w:themeTint="F2"/>
                              </w:rPr>
                              <w:t>GEMMA MÁVIL HERNDEZ AND FAMILY MEMBERS</w:t>
                            </w:r>
                          </w:p>
                          <w:bookmarkEnd w:id="0"/>
                          <w:p w14:paraId="0AD977C3" w14:textId="77777777" w:rsidR="005B52B0" w:rsidRPr="00717311" w:rsidRDefault="000F4990" w:rsidP="007A5817">
                            <w:pPr>
                              <w:rPr>
                                <w:color w:val="0D0D0D" w:themeColor="text1" w:themeTint="F2"/>
                              </w:rPr>
                            </w:pPr>
                            <w:r w:rsidRPr="00717311">
                              <w:rPr>
                                <w:rFonts w:asciiTheme="majorHAnsi" w:hAnsiTheme="majorHAnsi"/>
                                <w:color w:val="0D0D0D" w:themeColor="text1" w:themeTint="F2"/>
                              </w:rPr>
                              <w:t>MEXICO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1F5872"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20D141C1" w14:textId="4F99662D" w:rsidR="005B52B0" w:rsidRPr="004E2649" w:rsidRDefault="005B52B0" w:rsidP="00997BC5">
                      <w:pPr>
                        <w:spacing w:line="276" w:lineRule="auto"/>
                        <w:rPr>
                          <w:rFonts w:asciiTheme="majorHAnsi" w:hAnsiTheme="majorHAnsi" w:cs="Arial"/>
                          <w:b/>
                          <w:bCs/>
                          <w:color w:val="0D0D0D" w:themeColor="text1" w:themeTint="F2"/>
                          <w:sz w:val="36"/>
                          <w:szCs w:val="22"/>
                        </w:rPr>
                      </w:pPr>
                      <w:r>
                        <w:rPr>
                          <w:rFonts w:asciiTheme="majorHAnsi" w:hAnsiTheme="majorHAnsi"/>
                          <w:b/>
                          <w:color w:val="0D0D0D" w:themeColor="text1" w:themeTint="F2"/>
                          <w:sz w:val="36"/>
                        </w:rPr>
                        <w:t xml:space="preserve">REPORT No. </w:t>
                      </w:r>
                      <w:r w:rsidR="004C691F">
                        <w:rPr>
                          <w:rFonts w:asciiTheme="majorHAnsi" w:hAnsiTheme="majorHAnsi"/>
                          <w:b/>
                          <w:color w:val="0D0D0D" w:themeColor="text1" w:themeTint="F2"/>
                          <w:sz w:val="36"/>
                        </w:rPr>
                        <w:t>187</w:t>
                      </w:r>
                      <w:r>
                        <w:rPr>
                          <w:rFonts w:asciiTheme="majorHAnsi" w:hAnsiTheme="majorHAnsi"/>
                          <w:b/>
                          <w:color w:val="0D0D0D" w:themeColor="text1" w:themeTint="F2"/>
                          <w:sz w:val="36"/>
                        </w:rPr>
                        <w:t>/21</w:t>
                      </w:r>
                    </w:p>
                    <w:p w14:paraId="16D45073" w14:textId="2A501306" w:rsidR="007B05C4" w:rsidRDefault="005B52B0" w:rsidP="00997BC5">
                      <w:pPr>
                        <w:spacing w:line="276" w:lineRule="auto"/>
                        <w:rPr>
                          <w:rFonts w:asciiTheme="majorHAnsi" w:hAnsiTheme="majorHAnsi" w:cs="Arial"/>
                          <w:b/>
                          <w:color w:val="0D0D0D" w:themeColor="text1" w:themeTint="F2"/>
                          <w:sz w:val="36"/>
                          <w:szCs w:val="22"/>
                        </w:rPr>
                      </w:pPr>
                      <w:r>
                        <w:rPr>
                          <w:rFonts w:asciiTheme="majorHAnsi" w:hAnsiTheme="majorHAnsi"/>
                          <w:b/>
                          <w:color w:val="0D0D0D" w:themeColor="text1" w:themeTint="F2"/>
                          <w:sz w:val="36"/>
                        </w:rPr>
                        <w:t>PETITION 457-</w:t>
                      </w:r>
                      <w:r w:rsidR="00717311">
                        <w:rPr>
                          <w:rFonts w:asciiTheme="majorHAnsi" w:hAnsiTheme="majorHAnsi"/>
                          <w:b/>
                          <w:color w:val="0D0D0D" w:themeColor="text1" w:themeTint="F2"/>
                          <w:sz w:val="36"/>
                        </w:rPr>
                        <w:t>1</w:t>
                      </w:r>
                      <w:r>
                        <w:rPr>
                          <w:rFonts w:asciiTheme="majorHAnsi" w:hAnsiTheme="majorHAnsi"/>
                          <w:b/>
                          <w:color w:val="0D0D0D" w:themeColor="text1" w:themeTint="F2"/>
                          <w:sz w:val="36"/>
                        </w:rPr>
                        <w:t xml:space="preserve">3 </w:t>
                      </w:r>
                    </w:p>
                    <w:p w14:paraId="6A1EFC41" w14:textId="77777777" w:rsidR="00CD046C" w:rsidRPr="00717311" w:rsidRDefault="005B52B0" w:rsidP="00997BC5">
                      <w:pPr>
                        <w:spacing w:line="276" w:lineRule="auto"/>
                        <w:rPr>
                          <w:rFonts w:asciiTheme="majorHAnsi" w:hAnsiTheme="majorHAnsi" w:cs="Arial"/>
                          <w:color w:val="0D0D0D" w:themeColor="text1" w:themeTint="F2"/>
                        </w:rPr>
                      </w:pPr>
                      <w:r w:rsidRPr="00717311">
                        <w:rPr>
                          <w:rFonts w:asciiTheme="majorHAnsi" w:hAnsiTheme="majorHAnsi"/>
                          <w:color w:val="0D0D0D" w:themeColor="text1" w:themeTint="F2"/>
                        </w:rPr>
                        <w:t>REPORT ON ADMISSIBILITY</w:t>
                      </w:r>
                    </w:p>
                    <w:p w14:paraId="41C03775" w14:textId="77777777" w:rsidR="008F1912" w:rsidRPr="00717311" w:rsidRDefault="008F1912" w:rsidP="00997BC5">
                      <w:pPr>
                        <w:spacing w:line="276" w:lineRule="auto"/>
                        <w:rPr>
                          <w:rFonts w:asciiTheme="majorHAnsi" w:hAnsiTheme="majorHAnsi" w:cs="Arial"/>
                          <w:color w:val="0D0D0D" w:themeColor="text1" w:themeTint="F2"/>
                        </w:rPr>
                      </w:pPr>
                      <w:bookmarkStart w:id="1" w:name="_ftnref1"/>
                    </w:p>
                    <w:p w14:paraId="061C6849" w14:textId="77777777" w:rsidR="005B52B0" w:rsidRPr="00717311" w:rsidRDefault="000F4990" w:rsidP="00997BC5">
                      <w:pPr>
                        <w:spacing w:line="276" w:lineRule="auto"/>
                        <w:rPr>
                          <w:rFonts w:asciiTheme="majorHAnsi" w:hAnsiTheme="majorHAnsi" w:cs="Arial"/>
                          <w:color w:val="0D0D0D" w:themeColor="text1" w:themeTint="F2"/>
                        </w:rPr>
                      </w:pPr>
                      <w:r w:rsidRPr="00717311">
                        <w:rPr>
                          <w:rFonts w:asciiTheme="majorHAnsi" w:hAnsiTheme="majorHAnsi"/>
                          <w:color w:val="0D0D0D" w:themeColor="text1" w:themeTint="F2"/>
                        </w:rPr>
                        <w:t>GEMMA MÁVIL HERNDEZ AND FAMILY MEMBERS</w:t>
                      </w:r>
                    </w:p>
                    <w:bookmarkEnd w:id="1"/>
                    <w:p w14:paraId="0AD977C3" w14:textId="77777777" w:rsidR="005B52B0" w:rsidRPr="00717311" w:rsidRDefault="000F4990" w:rsidP="007A5817">
                      <w:pPr>
                        <w:rPr>
                          <w:color w:val="0D0D0D" w:themeColor="text1" w:themeTint="F2"/>
                        </w:rPr>
                      </w:pPr>
                      <w:r w:rsidRPr="00717311">
                        <w:rPr>
                          <w:rFonts w:asciiTheme="majorHAnsi" w:hAnsiTheme="majorHAnsi"/>
                          <w:color w:val="0D0D0D" w:themeColor="text1" w:themeTint="F2"/>
                        </w:rPr>
                        <w:t>MEXICO</w:t>
                      </w:r>
                    </w:p>
                  </w:txbxContent>
                </v:textbox>
              </v:shape>
            </w:pict>
          </mc:Fallback>
        </mc:AlternateContent>
      </w:r>
      <w:r>
        <w:rPr>
          <w:rFonts w:asciiTheme="majorHAnsi" w:hAnsiTheme="majorHAnsi"/>
          <w:noProof/>
          <w:sz w:val="22"/>
        </w:rPr>
        <mc:AlternateContent>
          <mc:Choice Requires="wps">
            <w:drawing>
              <wp:anchor distT="0" distB="0" distL="114300" distR="114300" simplePos="0" relativeHeight="251671552" behindDoc="0" locked="0" layoutInCell="1" allowOverlap="1" wp14:anchorId="40191BE9" wp14:editId="1E50905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B58BED" w14:textId="4AF1A4FD" w:rsidR="00627C9F" w:rsidRPr="00490D5E" w:rsidRDefault="00834D49" w:rsidP="007A5817">
                            <w:pPr>
                              <w:spacing w:line="276" w:lineRule="auto"/>
                              <w:jc w:val="right"/>
                              <w:rPr>
                                <w:rFonts w:asciiTheme="minorHAnsi" w:hAnsiTheme="minorHAnsi"/>
                                <w:color w:val="FFFFFF" w:themeColor="background1"/>
                                <w:sz w:val="22"/>
                                <w:lang w:val="pt-BR"/>
                              </w:rPr>
                            </w:pPr>
                            <w:r w:rsidRPr="00490D5E">
                              <w:rPr>
                                <w:rFonts w:asciiTheme="minorHAnsi" w:hAnsiTheme="minorHAnsi"/>
                                <w:color w:val="FFFFFF" w:themeColor="background1"/>
                                <w:sz w:val="22"/>
                                <w:lang w:val="pt-BR"/>
                              </w:rPr>
                              <w:t>OAS/Ser.L/V/II</w:t>
                            </w:r>
                          </w:p>
                          <w:p w14:paraId="65C5BF6A" w14:textId="5359E0F0" w:rsidR="00627C9F" w:rsidRPr="004E2649" w:rsidRDefault="00627C9F"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Doc. </w:t>
                            </w:r>
                            <w:r w:rsidR="004C691F">
                              <w:rPr>
                                <w:rFonts w:asciiTheme="minorHAnsi" w:hAnsiTheme="minorHAnsi"/>
                                <w:color w:val="FFFFFF" w:themeColor="background1"/>
                                <w:sz w:val="22"/>
                              </w:rPr>
                              <w:t>196</w:t>
                            </w:r>
                          </w:p>
                          <w:p w14:paraId="6E4D27D0" w14:textId="0B5950B2" w:rsidR="00627C9F" w:rsidRPr="00C25ADB" w:rsidRDefault="004C691F"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30 August </w:t>
                            </w:r>
                            <w:r w:rsidR="00627C9F">
                              <w:rPr>
                                <w:rFonts w:asciiTheme="minorHAnsi" w:hAnsiTheme="minorHAnsi"/>
                                <w:color w:val="FFFFFF" w:themeColor="background1"/>
                                <w:sz w:val="22"/>
                              </w:rPr>
                              <w:t>2021</w:t>
                            </w:r>
                          </w:p>
                          <w:p w14:paraId="20FD3C64" w14:textId="6FD93487" w:rsidR="00627C9F" w:rsidRPr="00C25ADB" w:rsidRDefault="00E0340B"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91BE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0EB58BED" w14:textId="4AF1A4FD" w:rsidR="00627C9F" w:rsidRPr="00490D5E" w:rsidRDefault="00834D49" w:rsidP="007A5817">
                      <w:pPr>
                        <w:spacing w:line="276" w:lineRule="auto"/>
                        <w:jc w:val="right"/>
                        <w:rPr>
                          <w:rFonts w:asciiTheme="minorHAnsi" w:hAnsiTheme="minorHAnsi"/>
                          <w:color w:val="FFFFFF" w:themeColor="background1"/>
                          <w:sz w:val="22"/>
                          <w:lang w:val="pt-BR"/>
                        </w:rPr>
                      </w:pPr>
                      <w:r w:rsidRPr="00490D5E">
                        <w:rPr>
                          <w:rFonts w:asciiTheme="minorHAnsi" w:hAnsiTheme="minorHAnsi"/>
                          <w:color w:val="FFFFFF" w:themeColor="background1"/>
                          <w:sz w:val="22"/>
                          <w:lang w:val="pt-BR"/>
                        </w:rPr>
                        <w:t>OAS/Ser.L/V/II</w:t>
                      </w:r>
                    </w:p>
                    <w:p w14:paraId="65C5BF6A" w14:textId="5359E0F0" w:rsidR="00627C9F" w:rsidRPr="004E2649" w:rsidRDefault="00627C9F"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Doc. </w:t>
                      </w:r>
                      <w:r w:rsidR="004C691F">
                        <w:rPr>
                          <w:rFonts w:asciiTheme="minorHAnsi" w:hAnsiTheme="minorHAnsi"/>
                          <w:color w:val="FFFFFF" w:themeColor="background1"/>
                          <w:sz w:val="22"/>
                        </w:rPr>
                        <w:t>196</w:t>
                      </w:r>
                    </w:p>
                    <w:p w14:paraId="6E4D27D0" w14:textId="0B5950B2" w:rsidR="00627C9F" w:rsidRPr="00C25ADB" w:rsidRDefault="004C691F"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30 August </w:t>
                      </w:r>
                      <w:r w:rsidR="00627C9F">
                        <w:rPr>
                          <w:rFonts w:asciiTheme="minorHAnsi" w:hAnsiTheme="minorHAnsi"/>
                          <w:color w:val="FFFFFF" w:themeColor="background1"/>
                          <w:sz w:val="22"/>
                        </w:rPr>
                        <w:t>2021</w:t>
                      </w:r>
                    </w:p>
                    <w:p w14:paraId="20FD3C64" w14:textId="6FD93487" w:rsidR="00627C9F" w:rsidRPr="00C25ADB" w:rsidRDefault="00E0340B"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Original: Spanish</w:t>
                      </w:r>
                    </w:p>
                  </w:txbxContent>
                </v:textbox>
              </v:shape>
            </w:pict>
          </mc:Fallback>
        </mc:AlternateContent>
      </w:r>
    </w:p>
    <w:p w14:paraId="0C6E384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B72309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6BF1C85"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4CB60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EB74DE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93537E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9AEFC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918A07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40D0243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C0ADE2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7F9352B"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4E797289"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42BC94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ED5D55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C66C3C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D705F5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07389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F13EA5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1165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77149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5D9DE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7E7CF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8D848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C21CC4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7A6206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B35BEC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7E483F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4A7E3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7D6B6EC" w14:textId="77777777" w:rsidR="00A50FCF" w:rsidRPr="0090270B" w:rsidRDefault="0090270B" w:rsidP="00040C3A">
      <w:pPr>
        <w:tabs>
          <w:tab w:val="center" w:pos="5400"/>
        </w:tabs>
        <w:suppressAutoHyphens/>
        <w:jc w:val="center"/>
        <w:rPr>
          <w:rFonts w:asciiTheme="majorHAnsi" w:hAnsiTheme="majorHAnsi"/>
          <w:sz w:val="18"/>
          <w:szCs w:val="22"/>
        </w:rPr>
      </w:pPr>
      <w:r>
        <w:rPr>
          <w:rFonts w:asciiTheme="majorHAnsi" w:hAnsiTheme="majorHAnsi"/>
          <w:noProof/>
          <w:sz w:val="22"/>
        </w:rPr>
        <mc:AlternateContent>
          <mc:Choice Requires="wps">
            <w:drawing>
              <wp:anchor distT="0" distB="0" distL="114300" distR="114300" simplePos="0" relativeHeight="251670528" behindDoc="0" locked="0" layoutInCell="1" allowOverlap="1" wp14:anchorId="13BE1327" wp14:editId="7DF185D2">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CD2FF1" w14:textId="5CF69688"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rPr>
                              <w:t xml:space="preserve">Approved electronically by the Commission on </w:t>
                            </w:r>
                            <w:r w:rsidR="004C691F">
                              <w:rPr>
                                <w:rFonts w:asciiTheme="majorHAnsi" w:hAnsiTheme="majorHAnsi"/>
                                <w:color w:val="0D0D0D" w:themeColor="text1" w:themeTint="F2"/>
                                <w:sz w:val="18"/>
                              </w:rPr>
                              <w:t>August 30, 2021</w:t>
                            </w:r>
                            <w:r w:rsidR="00717311">
                              <w:rPr>
                                <w:rFonts w:asciiTheme="majorHAnsi" w:hAnsiTheme="majorHAnsi"/>
                                <w:color w:val="0D0D0D" w:themeColor="text1" w:themeTint="F2"/>
                                <w:sz w:val="18"/>
                              </w:rPr>
                              <w:t>.</w:t>
                            </w:r>
                          </w:p>
                          <w:p w14:paraId="7DB52F07" w14:textId="77777777" w:rsidR="00DD3D86" w:rsidRPr="006D3859"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2ADA10C3" w14:textId="77777777" w:rsidR="005B52B0" w:rsidRPr="006D3859"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E1327"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7FCD2FF1" w14:textId="5CF69688"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rPr>
                        <w:t xml:space="preserve">Approved electronically by the Commission on </w:t>
                      </w:r>
                      <w:r w:rsidR="004C691F">
                        <w:rPr>
                          <w:rFonts w:asciiTheme="majorHAnsi" w:hAnsiTheme="majorHAnsi"/>
                          <w:color w:val="0D0D0D" w:themeColor="text1" w:themeTint="F2"/>
                          <w:sz w:val="18"/>
                        </w:rPr>
                        <w:t>August 30, 2021</w:t>
                      </w:r>
                      <w:r w:rsidR="00717311">
                        <w:rPr>
                          <w:rFonts w:asciiTheme="majorHAnsi" w:hAnsiTheme="majorHAnsi"/>
                          <w:color w:val="0D0D0D" w:themeColor="text1" w:themeTint="F2"/>
                          <w:sz w:val="18"/>
                        </w:rPr>
                        <w:t>.</w:t>
                      </w:r>
                    </w:p>
                    <w:p w14:paraId="7DB52F07" w14:textId="77777777" w:rsidR="00DD3D86" w:rsidRPr="006D3859"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2ADA10C3" w14:textId="77777777" w:rsidR="005B52B0" w:rsidRPr="006D3859"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7334495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7EF2F2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DF0D8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BA28E4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39999B" w14:textId="77777777" w:rsidR="00A50FCF" w:rsidRPr="0090270B" w:rsidRDefault="0090270B" w:rsidP="00040C3A">
      <w:pPr>
        <w:tabs>
          <w:tab w:val="center" w:pos="5400"/>
        </w:tabs>
        <w:suppressAutoHyphens/>
        <w:jc w:val="center"/>
        <w:rPr>
          <w:rFonts w:asciiTheme="majorHAnsi" w:hAnsiTheme="majorHAnsi"/>
          <w:sz w:val="18"/>
          <w:szCs w:val="22"/>
        </w:rPr>
      </w:pPr>
      <w:r>
        <w:rPr>
          <w:rFonts w:asciiTheme="majorHAnsi" w:hAnsiTheme="majorHAnsi"/>
          <w:noProof/>
          <w:sz w:val="18"/>
        </w:rPr>
        <mc:AlternateContent>
          <mc:Choice Requires="wps">
            <w:drawing>
              <wp:anchor distT="0" distB="0" distL="114300" distR="114300" simplePos="0" relativeHeight="251678720" behindDoc="0" locked="0" layoutInCell="1" allowOverlap="1" wp14:anchorId="35A7D482" wp14:editId="02904597">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08A294" w14:textId="4AC3E278" w:rsidR="00113F73" w:rsidRPr="007B05C4" w:rsidRDefault="00113F73" w:rsidP="00113F73">
                            <w:pPr>
                              <w:spacing w:line="276" w:lineRule="auto"/>
                              <w:rPr>
                                <w:rFonts w:asciiTheme="majorHAnsi" w:hAnsiTheme="majorHAnsi"/>
                                <w:color w:val="595959" w:themeColor="text1" w:themeTint="A6"/>
                                <w:sz w:val="18"/>
                                <w:szCs w:val="18"/>
                              </w:rPr>
                            </w:pPr>
                            <w:r>
                              <w:rPr>
                                <w:rFonts w:asciiTheme="majorHAnsi" w:hAnsiTheme="majorHAnsi"/>
                                <w:b/>
                                <w:color w:val="595959" w:themeColor="text1" w:themeTint="A6"/>
                                <w:sz w:val="18"/>
                              </w:rPr>
                              <w:t>Cite as:</w:t>
                            </w:r>
                            <w:r>
                              <w:rPr>
                                <w:rFonts w:asciiTheme="majorHAnsi" w:hAnsiTheme="majorHAnsi"/>
                                <w:color w:val="595959" w:themeColor="text1" w:themeTint="A6"/>
                                <w:sz w:val="18"/>
                              </w:rPr>
                              <w:t xml:space="preserve"> IACHR, Report No. </w:t>
                            </w:r>
                            <w:r w:rsidR="004C691F">
                              <w:rPr>
                                <w:rFonts w:asciiTheme="majorHAnsi" w:hAnsiTheme="majorHAnsi"/>
                                <w:color w:val="595959" w:themeColor="text1" w:themeTint="A6"/>
                                <w:sz w:val="18"/>
                              </w:rPr>
                              <w:t>457</w:t>
                            </w:r>
                            <w:r>
                              <w:rPr>
                                <w:rFonts w:asciiTheme="majorHAnsi" w:hAnsiTheme="majorHAnsi"/>
                                <w:color w:val="595959" w:themeColor="text1" w:themeTint="A6"/>
                                <w:sz w:val="18"/>
                              </w:rPr>
                              <w:t>/</w:t>
                            </w:r>
                            <w:r w:rsidR="004C691F">
                              <w:rPr>
                                <w:rFonts w:asciiTheme="majorHAnsi" w:hAnsiTheme="majorHAnsi"/>
                                <w:color w:val="595959" w:themeColor="text1" w:themeTint="A6"/>
                                <w:sz w:val="18"/>
                              </w:rPr>
                              <w:t>13</w:t>
                            </w:r>
                            <w:r>
                              <w:rPr>
                                <w:rFonts w:asciiTheme="majorHAnsi" w:hAnsiTheme="majorHAnsi"/>
                                <w:color w:val="595959" w:themeColor="text1" w:themeTint="A6"/>
                                <w:sz w:val="18"/>
                              </w:rPr>
                              <w:t xml:space="preserve">. Petition 457- 13. Admissibility. Gemma </w:t>
                            </w:r>
                            <w:proofErr w:type="spellStart"/>
                            <w:r>
                              <w:rPr>
                                <w:rFonts w:asciiTheme="majorHAnsi" w:hAnsiTheme="majorHAnsi"/>
                                <w:color w:val="595959" w:themeColor="text1" w:themeTint="A6"/>
                                <w:sz w:val="18"/>
                              </w:rPr>
                              <w:t>Mávil</w:t>
                            </w:r>
                            <w:proofErr w:type="spellEnd"/>
                            <w:r>
                              <w:rPr>
                                <w:rFonts w:asciiTheme="majorHAnsi" w:hAnsiTheme="majorHAnsi"/>
                                <w:color w:val="595959" w:themeColor="text1" w:themeTint="A6"/>
                                <w:sz w:val="18"/>
                              </w:rPr>
                              <w:t xml:space="preserve"> Hernández and family members. Mexic</w:t>
                            </w:r>
                            <w:r w:rsidR="003B32B5">
                              <w:rPr>
                                <w:rFonts w:asciiTheme="majorHAnsi" w:hAnsiTheme="majorHAnsi"/>
                                <w:color w:val="595959" w:themeColor="text1" w:themeTint="A6"/>
                                <w:sz w:val="18"/>
                              </w:rPr>
                              <w:t>o</w:t>
                            </w:r>
                            <w:r>
                              <w:rPr>
                                <w:rFonts w:asciiTheme="majorHAnsi" w:hAnsiTheme="majorHAnsi"/>
                                <w:color w:val="595959" w:themeColor="text1" w:themeTint="A6"/>
                                <w:sz w:val="18"/>
                              </w:rPr>
                              <w:t xml:space="preserve">. </w:t>
                            </w:r>
                            <w:r w:rsidR="004C691F">
                              <w:rPr>
                                <w:rFonts w:asciiTheme="majorHAnsi" w:hAnsiTheme="majorHAnsi"/>
                                <w:color w:val="595959" w:themeColor="text1" w:themeTint="A6"/>
                                <w:sz w:val="18"/>
                              </w:rPr>
                              <w:t>August 30, 2021</w:t>
                            </w:r>
                            <w:r>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7D482"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4808A294" w14:textId="4AC3E278" w:rsidR="00113F73" w:rsidRPr="007B05C4" w:rsidRDefault="00113F73" w:rsidP="00113F73">
                      <w:pPr>
                        <w:spacing w:line="276" w:lineRule="auto"/>
                        <w:rPr>
                          <w:rFonts w:asciiTheme="majorHAnsi" w:hAnsiTheme="majorHAnsi"/>
                          <w:color w:val="595959" w:themeColor="text1" w:themeTint="A6"/>
                          <w:sz w:val="18"/>
                          <w:szCs w:val="18"/>
                        </w:rPr>
                      </w:pPr>
                      <w:r>
                        <w:rPr>
                          <w:rFonts w:asciiTheme="majorHAnsi" w:hAnsiTheme="majorHAnsi"/>
                          <w:b/>
                          <w:color w:val="595959" w:themeColor="text1" w:themeTint="A6"/>
                          <w:sz w:val="18"/>
                        </w:rPr>
                        <w:t>Cite as:</w:t>
                      </w:r>
                      <w:r>
                        <w:rPr>
                          <w:rFonts w:asciiTheme="majorHAnsi" w:hAnsiTheme="majorHAnsi"/>
                          <w:color w:val="595959" w:themeColor="text1" w:themeTint="A6"/>
                          <w:sz w:val="18"/>
                        </w:rPr>
                        <w:t xml:space="preserve"> IACHR, Report No. </w:t>
                      </w:r>
                      <w:r w:rsidR="004C691F">
                        <w:rPr>
                          <w:rFonts w:asciiTheme="majorHAnsi" w:hAnsiTheme="majorHAnsi"/>
                          <w:color w:val="595959" w:themeColor="text1" w:themeTint="A6"/>
                          <w:sz w:val="18"/>
                        </w:rPr>
                        <w:t>457</w:t>
                      </w:r>
                      <w:r>
                        <w:rPr>
                          <w:rFonts w:asciiTheme="majorHAnsi" w:hAnsiTheme="majorHAnsi"/>
                          <w:color w:val="595959" w:themeColor="text1" w:themeTint="A6"/>
                          <w:sz w:val="18"/>
                        </w:rPr>
                        <w:t>/</w:t>
                      </w:r>
                      <w:r w:rsidR="004C691F">
                        <w:rPr>
                          <w:rFonts w:asciiTheme="majorHAnsi" w:hAnsiTheme="majorHAnsi"/>
                          <w:color w:val="595959" w:themeColor="text1" w:themeTint="A6"/>
                          <w:sz w:val="18"/>
                        </w:rPr>
                        <w:t>13</w:t>
                      </w:r>
                      <w:r>
                        <w:rPr>
                          <w:rFonts w:asciiTheme="majorHAnsi" w:hAnsiTheme="majorHAnsi"/>
                          <w:color w:val="595959" w:themeColor="text1" w:themeTint="A6"/>
                          <w:sz w:val="18"/>
                        </w:rPr>
                        <w:t>. Petition 457- 13. Admissibility. Gemma Mávil Hernández and family members. Mexic</w:t>
                      </w:r>
                      <w:r w:rsidR="003B32B5">
                        <w:rPr>
                          <w:rFonts w:asciiTheme="majorHAnsi" w:hAnsiTheme="majorHAnsi"/>
                          <w:color w:val="595959" w:themeColor="text1" w:themeTint="A6"/>
                          <w:sz w:val="18"/>
                        </w:rPr>
                        <w:t>o</w:t>
                      </w:r>
                      <w:r>
                        <w:rPr>
                          <w:rFonts w:asciiTheme="majorHAnsi" w:hAnsiTheme="majorHAnsi"/>
                          <w:color w:val="595959" w:themeColor="text1" w:themeTint="A6"/>
                          <w:sz w:val="18"/>
                        </w:rPr>
                        <w:t xml:space="preserve">. </w:t>
                      </w:r>
                      <w:r w:rsidR="004C691F">
                        <w:rPr>
                          <w:rFonts w:asciiTheme="majorHAnsi" w:hAnsiTheme="majorHAnsi"/>
                          <w:color w:val="595959" w:themeColor="text1" w:themeTint="A6"/>
                          <w:sz w:val="18"/>
                        </w:rPr>
                        <w:t>August 30, 2021</w:t>
                      </w:r>
                      <w:r>
                        <w:rPr>
                          <w:rFonts w:asciiTheme="majorHAnsi" w:hAnsiTheme="majorHAnsi"/>
                          <w:color w:val="595959" w:themeColor="text1" w:themeTint="A6"/>
                          <w:sz w:val="18"/>
                        </w:rPr>
                        <w:t>.</w:t>
                      </w:r>
                    </w:p>
                  </w:txbxContent>
                </v:textbox>
              </v:shape>
            </w:pict>
          </mc:Fallback>
        </mc:AlternateContent>
      </w:r>
    </w:p>
    <w:p w14:paraId="5AC6984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FCD2594" w14:textId="20039514" w:rsidR="0090270B" w:rsidRDefault="00D306D1" w:rsidP="005516A1">
      <w:pPr>
        <w:tabs>
          <w:tab w:val="center" w:pos="5400"/>
        </w:tabs>
        <w:suppressAutoHyphens/>
        <w:jc w:val="center"/>
        <w:rPr>
          <w:rFonts w:asciiTheme="majorHAnsi" w:hAnsiTheme="majorHAnsi"/>
          <w:b/>
          <w:sz w:val="20"/>
        </w:rPr>
      </w:pPr>
      <w:r>
        <w:rPr>
          <w:rFonts w:asciiTheme="majorHAnsi" w:hAnsiTheme="majorHAnsi"/>
          <w:noProof/>
          <w:sz w:val="22"/>
        </w:rPr>
        <mc:AlternateContent>
          <mc:Choice Requires="wps">
            <w:drawing>
              <wp:anchor distT="0" distB="0" distL="114300" distR="114300" simplePos="0" relativeHeight="251682816" behindDoc="0" locked="0" layoutInCell="1" allowOverlap="1" wp14:anchorId="0415E338" wp14:editId="3B94DE18">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5675FC" w14:textId="77777777" w:rsidR="00D306D1" w:rsidRPr="004B7EB6" w:rsidRDefault="00D306D1" w:rsidP="00D306D1">
                            <w:pPr>
                              <w:jc w:val="center"/>
                              <w:rPr>
                                <w:rFonts w:asciiTheme="minorHAnsi" w:hAnsiTheme="minorHAnsi"/>
                                <w:b/>
                                <w:color w:val="FFFFFF" w:themeColor="background1"/>
                              </w:rPr>
                            </w:pPr>
                            <w:r>
                              <w:rPr>
                                <w:rFonts w:asciiTheme="minorHAnsi" w:hAnsiTheme="minorHAnsi"/>
                                <w:b/>
                                <w:color w:val="FFFFFF" w:themeColor="background1"/>
                              </w:rPr>
                              <w:t>www.iachr.org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5E338"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75675FC" w14:textId="77777777" w:rsidR="00D306D1" w:rsidRPr="004B7EB6" w:rsidRDefault="00D306D1" w:rsidP="00D306D1">
                      <w:pPr>
                        <w:jc w:val="center"/>
                        <w:rPr>
                          <w:rFonts w:asciiTheme="minorHAnsi" w:hAnsiTheme="minorHAnsi"/>
                          <w:b/>
                          <w:color w:val="FFFFFF" w:themeColor="background1"/>
                        </w:rPr>
                      </w:pPr>
                      <w:r>
                        <w:rPr>
                          <w:rFonts w:asciiTheme="minorHAnsi" w:hAnsiTheme="minorHAnsi"/>
                          <w:b/>
                          <w:color w:val="FFFFFF" w:themeColor="background1"/>
                        </w:rPr>
                        <w:t>www.iachr.org</w:t>
                      </w:r>
                    </w:p>
                  </w:txbxContent>
                </v:textbox>
              </v:shape>
            </w:pict>
          </mc:Fallback>
        </mc:AlternateContent>
      </w:r>
    </w:p>
    <w:p w14:paraId="4C27584F" w14:textId="447AF1A3" w:rsidR="0070697F" w:rsidRDefault="004C691F" w:rsidP="005516A1">
      <w:pPr>
        <w:tabs>
          <w:tab w:val="center" w:pos="5400"/>
        </w:tabs>
        <w:suppressAutoHyphens/>
        <w:jc w:val="center"/>
        <w:rPr>
          <w:rFonts w:asciiTheme="majorHAnsi" w:hAnsiTheme="majorHAnsi"/>
          <w:b/>
          <w:sz w:val="20"/>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rPr>
        <mc:AlternateContent>
          <mc:Choice Requires="wps">
            <w:drawing>
              <wp:anchor distT="0" distB="0" distL="114300" distR="114300" simplePos="0" relativeHeight="251680768" behindDoc="0" locked="0" layoutInCell="1" allowOverlap="1" wp14:anchorId="73CA5478" wp14:editId="0416318A">
                <wp:simplePos x="0" y="0"/>
                <wp:positionH relativeFrom="column">
                  <wp:posOffset>1329690</wp:posOffset>
                </wp:positionH>
                <wp:positionV relativeFrom="paragraph">
                  <wp:posOffset>529953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322108" w14:textId="77777777" w:rsidR="00D72DC6" w:rsidRPr="00D72DC6" w:rsidRDefault="00D72DC6" w:rsidP="00F02AD1">
                            <w:pPr>
                              <w:rPr>
                                <w:color w:val="FFFFFF" w:themeColor="background1"/>
                                <w14:textFill>
                                  <w14:noFill/>
                                </w14:textFill>
                              </w:rPr>
                            </w:pPr>
                            <w:r>
                              <w:rPr>
                                <w:noProof/>
                                <w:color w:val="FFFFFF" w:themeColor="background1"/>
                                <w14:textFill>
                                  <w14:noFill/>
                                </w14:textFill>
                              </w:rPr>
                              <w:drawing>
                                <wp:inline distT="0" distB="0" distL="0" distR="0" wp14:anchorId="3CF5254E" wp14:editId="4B53D793">
                                  <wp:extent cx="1839173" cy="468085"/>
                                  <wp:effectExtent l="0" t="0" r="889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4"/>
                                          <a:stretch>
                                            <a:fillRect/>
                                          </a:stretch>
                                        </pic:blipFill>
                                        <pic:spPr bwMode="auto">
                                          <a:xfrm>
                                            <a:off x="0" y="0"/>
                                            <a:ext cx="1860807" cy="4735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A5478" id="Text Box 9" o:spid="_x0000_s1032" type="#_x0000_t202" style="position:absolute;left:0;text-align:left;margin-left:104.7pt;margin-top:41.7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" fillcolor="white [3201]" stroked="f" strokeweight=".5pt">
                <v:textbox>
                  <w:txbxContent>
                    <w:p w14:paraId="74322108" w14:textId="77777777" w:rsidR="00D72DC6" w:rsidRPr="00D72DC6" w:rsidRDefault="00D72DC6" w:rsidP="00F02AD1">
                      <w:pPr>
                        <w:rPr>
                          <w:color w:val="FFFFFF" w:themeColor="background1"/>
                          <w14:textFill>
                            <w14:noFill/>
                          </w14:textFill>
                        </w:rPr>
                      </w:pPr>
                      <w:r>
                        <w:rPr>
                          <w:noProof/>
                          <w:color w:val="FFFFFF" w:themeColor="background1"/>
                          <w14:textFill>
                            <w14:noFill/>
                          </w14:textFill>
                        </w:rPr>
                        <w:drawing>
                          <wp:inline distT="0" distB="0" distL="0" distR="0" wp14:anchorId="3CF5254E" wp14:editId="4B53D793">
                            <wp:extent cx="1839173" cy="468085"/>
                            <wp:effectExtent l="0" t="0" r="889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5"/>
                                    <a:stretch>
                                      <a:fillRect/>
                                    </a:stretch>
                                  </pic:blipFill>
                                  <pic:spPr bwMode="auto">
                                    <a:xfrm>
                                      <a:off x="0" y="0"/>
                                      <a:ext cx="1860807" cy="473591"/>
                                    </a:xfrm>
                                    <a:prstGeom prst="rect">
                                      <a:avLst/>
                                    </a:prstGeom>
                                    <a:noFill/>
                                    <a:ln>
                                      <a:noFill/>
                                    </a:ln>
                                  </pic:spPr>
                                </pic:pic>
                              </a:graphicData>
                            </a:graphic>
                          </wp:inline>
                        </w:drawing>
                      </w:r>
                    </w:p>
                  </w:txbxContent>
                </v:textbox>
              </v:shape>
            </w:pict>
          </mc:Fallback>
        </mc:AlternateContent>
      </w:r>
      <w:r w:rsidR="004A6A54">
        <w:rPr>
          <w:rFonts w:asciiTheme="majorHAnsi" w:hAnsiTheme="majorHAnsi"/>
          <w:b/>
          <w:sz w:val="20"/>
        </w:rPr>
        <w:tab/>
      </w:r>
    </w:p>
    <w:p w14:paraId="1C73BBB9" w14:textId="77777777" w:rsidR="003239B8" w:rsidRPr="000419AD" w:rsidRDefault="003239B8" w:rsidP="004A6A54">
      <w:pPr>
        <w:spacing w:after="240"/>
        <w:ind w:firstLine="720"/>
        <w:jc w:val="both"/>
        <w:rPr>
          <w:rFonts w:asciiTheme="majorHAnsi" w:hAnsiTheme="majorHAnsi"/>
          <w:b/>
          <w:bCs/>
          <w:sz w:val="20"/>
          <w:szCs w:val="20"/>
        </w:rPr>
      </w:pPr>
      <w:r>
        <w:rPr>
          <w:rFonts w:asciiTheme="majorHAnsi" w:hAnsiTheme="majorHAnsi"/>
          <w:b/>
          <w:sz w:val="20"/>
        </w:rPr>
        <w:lastRenderedPageBreak/>
        <w:t xml:space="preserve">I. </w:t>
      </w:r>
      <w:r>
        <w:rPr>
          <w:rFonts w:asciiTheme="majorHAnsi" w:hAnsiTheme="majorHAnsi"/>
          <w:b/>
          <w:sz w:val="20"/>
        </w:rPr>
        <w:tab/>
        <w:t xml:space="preserve">INFORMATION ABOUT THE PETITION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6E298A33" w14:textId="77777777" w:rsidTr="009822F6">
        <w:tc>
          <w:tcPr>
            <w:tcW w:w="3600" w:type="dxa"/>
            <w:tcBorders>
              <w:top w:val="single" w:sz="4" w:space="0" w:color="auto"/>
              <w:bottom w:val="single" w:sz="6" w:space="0" w:color="auto"/>
            </w:tcBorders>
            <w:shd w:val="clear" w:color="auto" w:fill="67AE3C"/>
            <w:vAlign w:val="center"/>
          </w:tcPr>
          <w:p w14:paraId="1EF566B3" w14:textId="77777777" w:rsidR="003239B8" w:rsidRPr="000D05CB" w:rsidRDefault="003239B8" w:rsidP="008D2290">
            <w:pPr>
              <w:jc w:val="center"/>
              <w:rPr>
                <w:rFonts w:ascii="Cambria" w:hAnsi="Cambria"/>
                <w:b/>
                <w:bCs/>
                <w:color w:val="FFFFFF" w:themeColor="background1"/>
                <w:sz w:val="20"/>
                <w:szCs w:val="20"/>
              </w:rPr>
            </w:pPr>
            <w:r>
              <w:rPr>
                <w:rFonts w:ascii="Cambria" w:hAnsi="Cambria"/>
                <w:b/>
                <w:color w:val="FFFFFF" w:themeColor="background1"/>
                <w:sz w:val="20"/>
              </w:rPr>
              <w:t>Petitioners:</w:t>
            </w:r>
          </w:p>
        </w:tc>
        <w:tc>
          <w:tcPr>
            <w:tcW w:w="5760" w:type="dxa"/>
            <w:vAlign w:val="center"/>
          </w:tcPr>
          <w:p w14:paraId="4771A73C" w14:textId="77777777" w:rsidR="003239B8" w:rsidRPr="000D05CB" w:rsidRDefault="003323B1" w:rsidP="008D2290">
            <w:pPr>
              <w:jc w:val="both"/>
              <w:rPr>
                <w:rFonts w:ascii="Cambria" w:hAnsi="Cambria"/>
                <w:bCs/>
                <w:sz w:val="20"/>
                <w:szCs w:val="20"/>
              </w:rPr>
            </w:pPr>
            <w:r>
              <w:rPr>
                <w:rFonts w:ascii="Cambria" w:hAnsi="Cambria"/>
                <w:sz w:val="20"/>
              </w:rPr>
              <w:t xml:space="preserve">Pedro Manuel Mávil Martínez and </w:t>
            </w:r>
            <w:r>
              <w:rPr>
                <w:rFonts w:ascii="Cambria" w:hAnsi="Cambria"/>
                <w:i/>
                <w:sz w:val="20"/>
              </w:rPr>
              <w:t>United for Justice</w:t>
            </w:r>
          </w:p>
        </w:tc>
      </w:tr>
      <w:tr w:rsidR="003239B8" w:rsidRPr="001E49E7" w14:paraId="0883A523" w14:textId="77777777" w:rsidTr="009822F6">
        <w:tc>
          <w:tcPr>
            <w:tcW w:w="3600" w:type="dxa"/>
            <w:tcBorders>
              <w:top w:val="single" w:sz="6" w:space="0" w:color="auto"/>
              <w:bottom w:val="single" w:sz="6" w:space="0" w:color="auto"/>
            </w:tcBorders>
            <w:shd w:val="clear" w:color="auto" w:fill="67AE3C"/>
            <w:vAlign w:val="center"/>
          </w:tcPr>
          <w:p w14:paraId="4AA7CBD3" w14:textId="77777777" w:rsidR="003239B8" w:rsidRPr="000D05CB" w:rsidRDefault="002F1C6A"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Choose an option"/>
                <w:tag w:val="Elegir una opción"/>
                <w:id w:val="931095713"/>
                <w:placeholder>
                  <w:docPart w:val="EF85E8F873F2494CB1B0EF413DA4B061"/>
                </w:placeholder>
                <w:dropDownList>
                  <w:listItem w:value="Choose an item."/>
                  <w:listItem w:displayText="Presunta víctima" w:value="Presunta víctima"/>
                  <w:listItem w:displayText="Alleged victims" w:value="Presuntas víctimas"/>
                </w:dropDownList>
              </w:sdtPr>
              <w:sdtEndPr/>
              <w:sdtContent>
                <w:r w:rsidR="00FE67E8">
                  <w:rPr>
                    <w:rFonts w:ascii="Cambria" w:hAnsi="Cambria"/>
                    <w:b/>
                    <w:color w:val="FFFFFF" w:themeColor="background1"/>
                    <w:sz w:val="20"/>
                  </w:rPr>
                  <w:t>Alleged victim</w:t>
                </w:r>
              </w:sdtContent>
            </w:sdt>
            <w:r w:rsidR="00FE67E8">
              <w:rPr>
                <w:rFonts w:ascii="Cambria" w:hAnsi="Cambria"/>
                <w:b/>
                <w:color w:val="FFFFFF" w:themeColor="background1"/>
                <w:sz w:val="20"/>
              </w:rPr>
              <w:t>:</w:t>
            </w:r>
          </w:p>
        </w:tc>
        <w:tc>
          <w:tcPr>
            <w:tcW w:w="5760" w:type="dxa"/>
            <w:vAlign w:val="center"/>
          </w:tcPr>
          <w:p w14:paraId="22433CE3" w14:textId="77777777" w:rsidR="003239B8" w:rsidRPr="000D05CB" w:rsidRDefault="00A870D6" w:rsidP="008D2290">
            <w:pPr>
              <w:jc w:val="both"/>
              <w:rPr>
                <w:rFonts w:ascii="Cambria" w:hAnsi="Cambria"/>
                <w:bCs/>
                <w:sz w:val="20"/>
                <w:szCs w:val="20"/>
              </w:rPr>
            </w:pPr>
            <w:r>
              <w:rPr>
                <w:rFonts w:ascii="Cambria" w:hAnsi="Cambria"/>
                <w:sz w:val="20"/>
              </w:rPr>
              <w:t>Gemma Mávil Hernández</w:t>
            </w:r>
          </w:p>
        </w:tc>
      </w:tr>
      <w:tr w:rsidR="003239B8" w14:paraId="0084E123" w14:textId="77777777" w:rsidTr="009822F6">
        <w:tc>
          <w:tcPr>
            <w:tcW w:w="3600" w:type="dxa"/>
            <w:tcBorders>
              <w:top w:val="single" w:sz="6" w:space="0" w:color="auto"/>
              <w:bottom w:val="single" w:sz="6" w:space="0" w:color="auto"/>
            </w:tcBorders>
            <w:shd w:val="clear" w:color="auto" w:fill="67AE3C"/>
            <w:vAlign w:val="center"/>
          </w:tcPr>
          <w:p w14:paraId="3D62ECEF" w14:textId="77777777" w:rsidR="003239B8" w:rsidRPr="000D05CB" w:rsidRDefault="003239B8" w:rsidP="008D2290">
            <w:pPr>
              <w:jc w:val="center"/>
              <w:rPr>
                <w:rFonts w:ascii="Cambria" w:hAnsi="Cambria"/>
                <w:b/>
                <w:bCs/>
                <w:color w:val="FFFFFF" w:themeColor="background1"/>
                <w:sz w:val="20"/>
                <w:szCs w:val="20"/>
              </w:rPr>
            </w:pPr>
            <w:r>
              <w:rPr>
                <w:rFonts w:ascii="Cambria" w:hAnsi="Cambria"/>
                <w:b/>
                <w:color w:val="FFFFFF" w:themeColor="background1"/>
                <w:sz w:val="20"/>
              </w:rPr>
              <w:t>Respondent State:</w:t>
            </w:r>
          </w:p>
        </w:tc>
        <w:tc>
          <w:tcPr>
            <w:tcW w:w="5760" w:type="dxa"/>
            <w:vAlign w:val="center"/>
          </w:tcPr>
          <w:p w14:paraId="17284FAA" w14:textId="7E623E9E" w:rsidR="003239B8" w:rsidRPr="000D05CB" w:rsidRDefault="004C691F" w:rsidP="008D2290">
            <w:pPr>
              <w:jc w:val="both"/>
              <w:rPr>
                <w:rFonts w:ascii="Cambria" w:hAnsi="Cambria"/>
                <w:bCs/>
                <w:sz w:val="20"/>
                <w:szCs w:val="20"/>
              </w:rPr>
            </w:pPr>
            <w:r>
              <w:rPr>
                <w:rFonts w:ascii="Cambria" w:hAnsi="Cambria"/>
                <w:sz w:val="20"/>
              </w:rPr>
              <w:t>Mexico</w:t>
            </w:r>
            <w:r w:rsidR="004A6A54" w:rsidRPr="000D05CB">
              <w:rPr>
                <w:rStyle w:val="FootnoteReference"/>
                <w:rFonts w:ascii="Cambria" w:hAnsi="Cambria"/>
                <w:bCs/>
                <w:sz w:val="20"/>
                <w:szCs w:val="20"/>
              </w:rPr>
              <w:footnoteReference w:id="2"/>
            </w:r>
          </w:p>
        </w:tc>
      </w:tr>
      <w:tr w:rsidR="00223A29" w:rsidRPr="0065494C" w14:paraId="70FC4AB3" w14:textId="77777777" w:rsidTr="009822F6">
        <w:tc>
          <w:tcPr>
            <w:tcW w:w="3600" w:type="dxa"/>
            <w:tcBorders>
              <w:top w:val="single" w:sz="6" w:space="0" w:color="auto"/>
              <w:bottom w:val="single" w:sz="6" w:space="0" w:color="auto"/>
            </w:tcBorders>
            <w:shd w:val="clear" w:color="auto" w:fill="67AE3C"/>
            <w:vAlign w:val="center"/>
          </w:tcPr>
          <w:p w14:paraId="04BDADEC" w14:textId="77777777" w:rsidR="00223A29" w:rsidRPr="000D05CB" w:rsidRDefault="001B3A00" w:rsidP="00E4118C">
            <w:pPr>
              <w:jc w:val="center"/>
              <w:rPr>
                <w:rFonts w:ascii="Cambria" w:hAnsi="Cambria"/>
                <w:b/>
                <w:bCs/>
                <w:color w:val="FFFFFF" w:themeColor="background1"/>
                <w:sz w:val="20"/>
                <w:szCs w:val="20"/>
              </w:rPr>
            </w:pPr>
            <w:r>
              <w:rPr>
                <w:rFonts w:ascii="Cambria" w:hAnsi="Cambria"/>
                <w:b/>
                <w:color w:val="FFFFFF" w:themeColor="background1"/>
                <w:sz w:val="20"/>
              </w:rPr>
              <w:t>Rights invoked:</w:t>
            </w:r>
          </w:p>
        </w:tc>
        <w:tc>
          <w:tcPr>
            <w:tcW w:w="5760" w:type="dxa"/>
            <w:vAlign w:val="center"/>
          </w:tcPr>
          <w:p w14:paraId="7BC5DEAB" w14:textId="77777777" w:rsidR="00223A29" w:rsidRPr="009346B0" w:rsidRDefault="009346B0" w:rsidP="008D2290">
            <w:pPr>
              <w:jc w:val="both"/>
              <w:rPr>
                <w:rFonts w:ascii="Cambria" w:hAnsi="Cambria"/>
                <w:bCs/>
                <w:sz w:val="20"/>
                <w:szCs w:val="20"/>
              </w:rPr>
            </w:pPr>
            <w:r>
              <w:rPr>
                <w:rFonts w:ascii="Cambria" w:hAnsi="Cambria"/>
                <w:sz w:val="20"/>
              </w:rPr>
              <w:t>Article 4 (life), 5 (personal integrity), 7 (personal liberty), 8 (right to a fair trial) and 25 (judicial protection) of the American Convention on Human Rights,</w:t>
            </w:r>
            <w:r>
              <w:rPr>
                <w:rStyle w:val="FootnoteReference"/>
                <w:rFonts w:ascii="Cambria" w:hAnsi="Cambria"/>
                <w:bCs/>
                <w:sz w:val="20"/>
                <w:szCs w:val="20"/>
                <w:lang w:val="es-CO"/>
              </w:rPr>
              <w:footnoteReference w:id="3"/>
            </w:r>
            <w:r>
              <w:rPr>
                <w:rFonts w:ascii="Cambria" w:hAnsi="Cambria"/>
                <w:sz w:val="20"/>
              </w:rPr>
              <w:t xml:space="preserve"> in relation to Article 1.1 (obligation to respect rights) thereof; and Article 7 of the Inter-American Convention on the Prevention, Punishment and Eradication of Violence against Women.</w:t>
            </w:r>
            <w:r>
              <w:rPr>
                <w:rStyle w:val="FootnoteReference"/>
                <w:rFonts w:ascii="Cambria" w:hAnsi="Cambria"/>
                <w:bCs/>
                <w:sz w:val="20"/>
                <w:szCs w:val="20"/>
                <w:lang w:val="es-CO"/>
              </w:rPr>
              <w:footnoteReference w:id="4"/>
            </w:r>
          </w:p>
        </w:tc>
      </w:tr>
    </w:tbl>
    <w:p w14:paraId="19CAAA4B" w14:textId="77777777" w:rsidR="003239B8" w:rsidRPr="00E4118C" w:rsidRDefault="003239B8" w:rsidP="003239B8">
      <w:pPr>
        <w:spacing w:before="240" w:after="240"/>
        <w:ind w:firstLine="720"/>
        <w:jc w:val="both"/>
        <w:rPr>
          <w:rFonts w:asciiTheme="majorHAnsi" w:hAnsiTheme="majorHAnsi"/>
          <w:b/>
          <w:bCs/>
          <w:sz w:val="20"/>
          <w:szCs w:val="20"/>
        </w:rPr>
      </w:pPr>
      <w:r>
        <w:rPr>
          <w:rFonts w:asciiTheme="majorHAnsi" w:hAnsiTheme="majorHAnsi"/>
          <w:b/>
          <w:sz w:val="20"/>
        </w:rPr>
        <w:t>II.</w:t>
      </w:r>
      <w:r>
        <w:rPr>
          <w:rFonts w:asciiTheme="majorHAnsi" w:hAnsiTheme="majorHAnsi"/>
          <w:b/>
          <w:sz w:val="20"/>
        </w:rPr>
        <w:tab/>
        <w:t>PROCEEDINGS BEFORE THE IACHR</w:t>
      </w:r>
      <w:r w:rsidR="008E3BFE" w:rsidRPr="008E3BFE">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651A8A0A" w14:textId="77777777" w:rsidTr="009822F6">
        <w:tc>
          <w:tcPr>
            <w:tcW w:w="3600" w:type="dxa"/>
            <w:tcBorders>
              <w:top w:val="single" w:sz="6" w:space="0" w:color="auto"/>
              <w:bottom w:val="single" w:sz="6" w:space="0" w:color="auto"/>
            </w:tcBorders>
            <w:shd w:val="clear" w:color="auto" w:fill="67AE3C"/>
            <w:vAlign w:val="center"/>
          </w:tcPr>
          <w:p w14:paraId="0EF3BD11" w14:textId="77777777" w:rsidR="004C2312" w:rsidRPr="003239B8" w:rsidRDefault="004A6A54" w:rsidP="004A6A54">
            <w:pPr>
              <w:jc w:val="center"/>
              <w:rPr>
                <w:rFonts w:ascii="Cambria" w:hAnsi="Cambria"/>
                <w:b/>
                <w:bCs/>
                <w:color w:val="FFFFFF" w:themeColor="background1"/>
                <w:sz w:val="20"/>
                <w:szCs w:val="20"/>
              </w:rPr>
            </w:pPr>
            <w:r>
              <w:rPr>
                <w:rFonts w:ascii="Cambria" w:hAnsi="Cambria"/>
                <w:b/>
                <w:color w:val="FFFFFF" w:themeColor="background1"/>
                <w:sz w:val="20"/>
              </w:rPr>
              <w:t>Filing of the petition:</w:t>
            </w:r>
          </w:p>
        </w:tc>
        <w:tc>
          <w:tcPr>
            <w:tcW w:w="5760" w:type="dxa"/>
            <w:vAlign w:val="center"/>
          </w:tcPr>
          <w:p w14:paraId="37A8E308" w14:textId="77777777" w:rsidR="004C2312" w:rsidRPr="003239B8" w:rsidRDefault="0097570D" w:rsidP="002625EA">
            <w:pPr>
              <w:jc w:val="both"/>
              <w:rPr>
                <w:rFonts w:ascii="Cambria" w:hAnsi="Cambria"/>
                <w:bCs/>
                <w:sz w:val="20"/>
                <w:szCs w:val="20"/>
              </w:rPr>
            </w:pPr>
            <w:r>
              <w:rPr>
                <w:rFonts w:ascii="Cambria" w:hAnsi="Cambria"/>
                <w:sz w:val="20"/>
              </w:rPr>
              <w:t>March 15, 2013</w:t>
            </w:r>
          </w:p>
        </w:tc>
      </w:tr>
      <w:tr w:rsidR="00131425" w:rsidRPr="0065494C" w14:paraId="2616575D" w14:textId="77777777" w:rsidTr="009822F6">
        <w:tc>
          <w:tcPr>
            <w:tcW w:w="3600" w:type="dxa"/>
            <w:tcBorders>
              <w:top w:val="single" w:sz="6" w:space="0" w:color="auto"/>
              <w:bottom w:val="single" w:sz="6" w:space="0" w:color="auto"/>
            </w:tcBorders>
            <w:shd w:val="clear" w:color="auto" w:fill="67AE3C"/>
            <w:vAlign w:val="center"/>
          </w:tcPr>
          <w:p w14:paraId="462E7D32" w14:textId="77777777" w:rsidR="00131425" w:rsidRDefault="00131425" w:rsidP="004A6A54">
            <w:pPr>
              <w:jc w:val="center"/>
              <w:rPr>
                <w:rFonts w:ascii="Cambria" w:hAnsi="Cambria"/>
                <w:b/>
                <w:bCs/>
                <w:color w:val="FFFFFF" w:themeColor="background1"/>
                <w:sz w:val="20"/>
                <w:szCs w:val="20"/>
              </w:rPr>
            </w:pPr>
            <w:r>
              <w:rPr>
                <w:rFonts w:ascii="Cambria" w:hAnsi="Cambria"/>
                <w:b/>
                <w:color w:val="FFFFFF" w:themeColor="background1"/>
                <w:sz w:val="20"/>
              </w:rPr>
              <w:t>Additional information received at the stage of initial review:</w:t>
            </w:r>
          </w:p>
        </w:tc>
        <w:tc>
          <w:tcPr>
            <w:tcW w:w="5760" w:type="dxa"/>
            <w:vAlign w:val="center"/>
          </w:tcPr>
          <w:p w14:paraId="0085BFA9" w14:textId="77777777" w:rsidR="00131425" w:rsidRPr="003239B8" w:rsidRDefault="00D53B30" w:rsidP="002625EA">
            <w:pPr>
              <w:jc w:val="both"/>
              <w:rPr>
                <w:rFonts w:ascii="Cambria" w:hAnsi="Cambria"/>
                <w:bCs/>
                <w:sz w:val="20"/>
                <w:szCs w:val="20"/>
              </w:rPr>
            </w:pPr>
            <w:r>
              <w:rPr>
                <w:rFonts w:ascii="Cambria" w:hAnsi="Cambria"/>
                <w:sz w:val="20"/>
              </w:rPr>
              <w:t>May 24, 2017; June 14, 2018; and March 26, 2019</w:t>
            </w:r>
          </w:p>
        </w:tc>
      </w:tr>
      <w:tr w:rsidR="004C2312" w:rsidRPr="000F4990" w14:paraId="21385EFC" w14:textId="77777777" w:rsidTr="009822F6">
        <w:tc>
          <w:tcPr>
            <w:tcW w:w="3600" w:type="dxa"/>
            <w:tcBorders>
              <w:top w:val="single" w:sz="6" w:space="0" w:color="auto"/>
              <w:bottom w:val="single" w:sz="6" w:space="0" w:color="auto"/>
            </w:tcBorders>
            <w:shd w:val="clear" w:color="auto" w:fill="67AE3C"/>
            <w:vAlign w:val="center"/>
          </w:tcPr>
          <w:p w14:paraId="422261A1" w14:textId="77777777" w:rsidR="004C2312" w:rsidRPr="003239B8" w:rsidRDefault="004A6A54" w:rsidP="004A6A54">
            <w:pPr>
              <w:jc w:val="center"/>
              <w:rPr>
                <w:rFonts w:ascii="Cambria" w:hAnsi="Cambria"/>
                <w:b/>
                <w:bCs/>
                <w:color w:val="FFFFFF" w:themeColor="background1"/>
                <w:sz w:val="20"/>
                <w:szCs w:val="20"/>
              </w:rPr>
            </w:pPr>
            <w:r>
              <w:rPr>
                <w:rFonts w:ascii="Cambria" w:hAnsi="Cambria"/>
                <w:b/>
                <w:color w:val="FFFFFF" w:themeColor="background1"/>
                <w:sz w:val="20"/>
              </w:rPr>
              <w:t>Notification of the petition to the State:</w:t>
            </w:r>
          </w:p>
        </w:tc>
        <w:tc>
          <w:tcPr>
            <w:tcW w:w="5760" w:type="dxa"/>
            <w:vAlign w:val="center"/>
          </w:tcPr>
          <w:p w14:paraId="3C083079" w14:textId="77777777" w:rsidR="004C2312" w:rsidRPr="003239B8" w:rsidRDefault="00750F01" w:rsidP="008D2290">
            <w:pPr>
              <w:jc w:val="both"/>
              <w:rPr>
                <w:rFonts w:ascii="Cambria" w:hAnsi="Cambria"/>
                <w:bCs/>
                <w:sz w:val="20"/>
                <w:szCs w:val="20"/>
              </w:rPr>
            </w:pPr>
            <w:r>
              <w:rPr>
                <w:rFonts w:ascii="Cambria" w:hAnsi="Cambria"/>
                <w:sz w:val="20"/>
              </w:rPr>
              <w:t>April 19, 2018</w:t>
            </w:r>
          </w:p>
        </w:tc>
      </w:tr>
      <w:tr w:rsidR="004C2312" w:rsidRPr="004A6A54" w14:paraId="45A923E9" w14:textId="77777777" w:rsidTr="009822F6">
        <w:tc>
          <w:tcPr>
            <w:tcW w:w="3600" w:type="dxa"/>
            <w:tcBorders>
              <w:top w:val="single" w:sz="6" w:space="0" w:color="auto"/>
              <w:bottom w:val="single" w:sz="6" w:space="0" w:color="auto"/>
            </w:tcBorders>
            <w:shd w:val="clear" w:color="auto" w:fill="67AE3C"/>
            <w:vAlign w:val="center"/>
          </w:tcPr>
          <w:p w14:paraId="0AA0B8E6" w14:textId="77777777" w:rsidR="004C2312" w:rsidRPr="003239B8" w:rsidRDefault="004A6A54" w:rsidP="004A6A54">
            <w:pPr>
              <w:jc w:val="center"/>
              <w:rPr>
                <w:rFonts w:ascii="Cambria" w:hAnsi="Cambria"/>
                <w:b/>
                <w:bCs/>
                <w:color w:val="FFFFFF" w:themeColor="background1"/>
                <w:sz w:val="20"/>
                <w:szCs w:val="20"/>
              </w:rPr>
            </w:pPr>
            <w:r>
              <w:rPr>
                <w:rFonts w:ascii="Cambria" w:hAnsi="Cambria"/>
                <w:b/>
                <w:color w:val="FFFFFF" w:themeColor="background1"/>
                <w:sz w:val="20"/>
              </w:rPr>
              <w:t>State’s first response:</w:t>
            </w:r>
          </w:p>
        </w:tc>
        <w:tc>
          <w:tcPr>
            <w:tcW w:w="5760" w:type="dxa"/>
            <w:vAlign w:val="center"/>
          </w:tcPr>
          <w:p w14:paraId="52E210BE" w14:textId="77777777" w:rsidR="004C2312" w:rsidRPr="003239B8" w:rsidRDefault="00EB1AA3" w:rsidP="008D2290">
            <w:pPr>
              <w:jc w:val="both"/>
              <w:rPr>
                <w:rFonts w:ascii="Cambria" w:hAnsi="Cambria"/>
                <w:bCs/>
                <w:sz w:val="20"/>
                <w:szCs w:val="20"/>
              </w:rPr>
            </w:pPr>
            <w:r>
              <w:rPr>
                <w:rFonts w:ascii="Cambria" w:hAnsi="Cambria"/>
                <w:sz w:val="20"/>
              </w:rPr>
              <w:t>January 22, 2020</w:t>
            </w:r>
          </w:p>
        </w:tc>
      </w:tr>
      <w:tr w:rsidR="004C2312" w:rsidRPr="000F4990" w14:paraId="1C0AF4C2" w14:textId="77777777" w:rsidTr="009822F6">
        <w:tc>
          <w:tcPr>
            <w:tcW w:w="3600" w:type="dxa"/>
            <w:tcBorders>
              <w:top w:val="single" w:sz="6" w:space="0" w:color="auto"/>
              <w:bottom w:val="single" w:sz="6" w:space="0" w:color="auto"/>
            </w:tcBorders>
            <w:shd w:val="clear" w:color="auto" w:fill="67AE3C"/>
            <w:vAlign w:val="center"/>
          </w:tcPr>
          <w:p w14:paraId="04D38826" w14:textId="77777777" w:rsidR="004C2312" w:rsidRPr="003239B8" w:rsidRDefault="008E3BFE" w:rsidP="008E3BFE">
            <w:pPr>
              <w:jc w:val="center"/>
              <w:rPr>
                <w:rFonts w:ascii="Cambria" w:hAnsi="Cambria"/>
                <w:b/>
                <w:bCs/>
                <w:color w:val="FFFFFF" w:themeColor="background1"/>
                <w:sz w:val="20"/>
                <w:szCs w:val="20"/>
              </w:rPr>
            </w:pPr>
            <w:r>
              <w:rPr>
                <w:rFonts w:ascii="Cambria" w:hAnsi="Cambria"/>
                <w:b/>
                <w:color w:val="FFFFFF" w:themeColor="background1"/>
                <w:sz w:val="20"/>
              </w:rPr>
              <w:t>Additional observations from the petitioner:</w:t>
            </w:r>
          </w:p>
        </w:tc>
        <w:tc>
          <w:tcPr>
            <w:tcW w:w="5760" w:type="dxa"/>
            <w:vAlign w:val="center"/>
          </w:tcPr>
          <w:p w14:paraId="421ADFDD" w14:textId="77777777" w:rsidR="004C2312" w:rsidRPr="003239B8" w:rsidRDefault="00792933" w:rsidP="008D2290">
            <w:pPr>
              <w:jc w:val="both"/>
              <w:rPr>
                <w:rFonts w:ascii="Cambria" w:hAnsi="Cambria"/>
                <w:bCs/>
                <w:sz w:val="20"/>
                <w:szCs w:val="20"/>
              </w:rPr>
            </w:pPr>
            <w:r>
              <w:rPr>
                <w:rFonts w:ascii="Cambria" w:hAnsi="Cambria"/>
                <w:sz w:val="20"/>
              </w:rPr>
              <w:t>February 12, 2021</w:t>
            </w:r>
          </w:p>
        </w:tc>
      </w:tr>
      <w:tr w:rsidR="001E49E7" w:rsidRPr="007B76D3" w14:paraId="599E81FD" w14:textId="77777777" w:rsidTr="009822F6">
        <w:tc>
          <w:tcPr>
            <w:tcW w:w="3600" w:type="dxa"/>
            <w:tcBorders>
              <w:top w:val="single" w:sz="6" w:space="0" w:color="auto"/>
              <w:bottom w:val="single" w:sz="6" w:space="0" w:color="auto"/>
            </w:tcBorders>
            <w:shd w:val="clear" w:color="auto" w:fill="67AE3C"/>
            <w:vAlign w:val="center"/>
          </w:tcPr>
          <w:p w14:paraId="6B5C774A" w14:textId="77777777" w:rsidR="001E49E7" w:rsidRPr="003239B8" w:rsidRDefault="004A6A54" w:rsidP="00DD4AD2">
            <w:pPr>
              <w:jc w:val="center"/>
              <w:rPr>
                <w:rFonts w:ascii="Cambria" w:hAnsi="Cambria"/>
                <w:b/>
                <w:bCs/>
                <w:color w:val="FFFFFF" w:themeColor="background1"/>
                <w:sz w:val="20"/>
                <w:szCs w:val="20"/>
              </w:rPr>
            </w:pPr>
            <w:r>
              <w:rPr>
                <w:rFonts w:ascii="Cambria" w:hAnsi="Cambria"/>
                <w:b/>
                <w:color w:val="FFFFFF" w:themeColor="background1"/>
                <w:sz w:val="20"/>
              </w:rPr>
              <w:t>Warning about possible closing of the case:</w:t>
            </w:r>
          </w:p>
        </w:tc>
        <w:tc>
          <w:tcPr>
            <w:tcW w:w="5760" w:type="dxa"/>
            <w:vAlign w:val="center"/>
          </w:tcPr>
          <w:p w14:paraId="5559304B" w14:textId="77777777" w:rsidR="001E49E7" w:rsidRPr="003239B8" w:rsidRDefault="00756C4B" w:rsidP="002625EA">
            <w:pPr>
              <w:jc w:val="both"/>
              <w:rPr>
                <w:rFonts w:ascii="Cambria" w:hAnsi="Cambria"/>
                <w:bCs/>
                <w:sz w:val="20"/>
                <w:szCs w:val="20"/>
              </w:rPr>
            </w:pPr>
            <w:r>
              <w:rPr>
                <w:rFonts w:ascii="Cambria" w:hAnsi="Cambria"/>
                <w:sz w:val="20"/>
              </w:rPr>
              <w:t>May 1, 2017</w:t>
            </w:r>
          </w:p>
        </w:tc>
      </w:tr>
      <w:tr w:rsidR="001E49E7" w:rsidRPr="000F4990" w14:paraId="6EABC13D" w14:textId="77777777" w:rsidTr="009822F6">
        <w:tc>
          <w:tcPr>
            <w:tcW w:w="3600" w:type="dxa"/>
            <w:tcBorders>
              <w:top w:val="single" w:sz="6" w:space="0" w:color="auto"/>
              <w:bottom w:val="single" w:sz="6" w:space="0" w:color="auto"/>
            </w:tcBorders>
            <w:shd w:val="clear" w:color="auto" w:fill="67AE3C"/>
            <w:vAlign w:val="center"/>
          </w:tcPr>
          <w:p w14:paraId="30EDB176" w14:textId="77777777" w:rsidR="001E49E7" w:rsidRPr="003239B8" w:rsidRDefault="004A6A54" w:rsidP="004A6A54">
            <w:pPr>
              <w:jc w:val="center"/>
              <w:rPr>
                <w:rFonts w:ascii="Cambria" w:hAnsi="Cambria"/>
                <w:b/>
                <w:bCs/>
                <w:color w:val="FFFFFF" w:themeColor="background1"/>
                <w:sz w:val="20"/>
                <w:szCs w:val="20"/>
              </w:rPr>
            </w:pPr>
            <w:r>
              <w:rPr>
                <w:rFonts w:ascii="Cambria" w:hAnsi="Cambria"/>
                <w:b/>
                <w:color w:val="FFFFFF" w:themeColor="background1"/>
                <w:sz w:val="20"/>
              </w:rPr>
              <w:t>Response of the petitioner to the warning about the possible closing of the case:</w:t>
            </w:r>
          </w:p>
        </w:tc>
        <w:tc>
          <w:tcPr>
            <w:tcW w:w="5760" w:type="dxa"/>
            <w:vAlign w:val="center"/>
          </w:tcPr>
          <w:p w14:paraId="29BDBA95" w14:textId="77777777" w:rsidR="001E49E7" w:rsidRPr="003239B8" w:rsidRDefault="00484EBE" w:rsidP="002625EA">
            <w:pPr>
              <w:jc w:val="both"/>
              <w:rPr>
                <w:rFonts w:ascii="Cambria" w:hAnsi="Cambria"/>
                <w:bCs/>
                <w:sz w:val="20"/>
                <w:szCs w:val="20"/>
              </w:rPr>
            </w:pPr>
            <w:r>
              <w:rPr>
                <w:rFonts w:ascii="Cambria" w:hAnsi="Cambria"/>
                <w:sz w:val="20"/>
              </w:rPr>
              <w:t>May 24, 2017</w:t>
            </w:r>
          </w:p>
        </w:tc>
      </w:tr>
    </w:tbl>
    <w:p w14:paraId="4E213C91" w14:textId="77777777" w:rsidR="003239B8" w:rsidRPr="003239B8" w:rsidRDefault="003239B8" w:rsidP="003239B8">
      <w:pPr>
        <w:spacing w:before="240" w:after="240"/>
        <w:ind w:firstLine="720"/>
        <w:jc w:val="both"/>
        <w:rPr>
          <w:rFonts w:asciiTheme="majorHAnsi" w:hAnsiTheme="majorHAnsi"/>
          <w:b/>
          <w:bCs/>
          <w:sz w:val="20"/>
          <w:szCs w:val="20"/>
        </w:rPr>
      </w:pPr>
      <w:r>
        <w:rPr>
          <w:rFonts w:asciiTheme="majorHAnsi" w:hAnsiTheme="majorHAnsi"/>
          <w:b/>
          <w:sz w:val="20"/>
        </w:rPr>
        <w:t xml:space="preserve">III. </w:t>
      </w:r>
      <w:r>
        <w:rPr>
          <w:rFonts w:asciiTheme="majorHAnsi" w:hAnsiTheme="majorHAnsi"/>
          <w:b/>
          <w:sz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2EBD877B" w14:textId="77777777" w:rsidTr="009822F6">
        <w:trPr>
          <w:cantSplit/>
        </w:trPr>
        <w:tc>
          <w:tcPr>
            <w:tcW w:w="3600" w:type="dxa"/>
            <w:tcBorders>
              <w:top w:val="single" w:sz="4" w:space="0" w:color="auto"/>
              <w:bottom w:val="single" w:sz="6" w:space="0" w:color="auto"/>
            </w:tcBorders>
            <w:shd w:val="clear" w:color="auto" w:fill="67AE3C"/>
            <w:vAlign w:val="center"/>
          </w:tcPr>
          <w:p w14:paraId="6C1D66CE" w14:textId="77777777" w:rsidR="003239B8" w:rsidRPr="00B3745F" w:rsidRDefault="003239B8" w:rsidP="008D2290">
            <w:pPr>
              <w:jc w:val="center"/>
              <w:rPr>
                <w:rFonts w:ascii="Cambria" w:hAnsi="Cambria"/>
                <w:b/>
                <w:bCs/>
                <w:i/>
                <w:color w:val="FFFFFF" w:themeColor="background1"/>
                <w:sz w:val="20"/>
                <w:szCs w:val="20"/>
              </w:rPr>
            </w:pPr>
            <w:r>
              <w:rPr>
                <w:rFonts w:ascii="Cambria" w:hAnsi="Cambria"/>
                <w:b/>
                <w:color w:val="FFFFFF" w:themeColor="background1"/>
                <w:sz w:val="20"/>
              </w:rPr>
              <w:t>Competence</w:t>
            </w:r>
            <w:r>
              <w:rPr>
                <w:rFonts w:ascii="Cambria" w:hAnsi="Cambria"/>
                <w:b/>
                <w:i/>
                <w:color w:val="FFFFFF" w:themeColor="background1"/>
                <w:sz w:val="20"/>
              </w:rPr>
              <w:t xml:space="preserve"> Ratione personae:</w:t>
            </w:r>
          </w:p>
        </w:tc>
        <w:tc>
          <w:tcPr>
            <w:tcW w:w="5760" w:type="dxa"/>
            <w:vAlign w:val="center"/>
          </w:tcPr>
          <w:p w14:paraId="3EFDEEC3" w14:textId="77777777" w:rsidR="003239B8" w:rsidRPr="00B3745F" w:rsidRDefault="00D65AF8" w:rsidP="008D2290">
            <w:pPr>
              <w:rPr>
                <w:rFonts w:ascii="Cambria" w:hAnsi="Cambria"/>
                <w:bCs/>
                <w:sz w:val="20"/>
                <w:szCs w:val="20"/>
              </w:rPr>
            </w:pPr>
            <w:r>
              <w:rPr>
                <w:rFonts w:ascii="Cambria" w:hAnsi="Cambria"/>
                <w:sz w:val="20"/>
              </w:rPr>
              <w:t>Yes</w:t>
            </w:r>
          </w:p>
        </w:tc>
      </w:tr>
      <w:tr w:rsidR="003239B8" w:rsidRPr="00540F17" w14:paraId="6D4DD3C0" w14:textId="77777777" w:rsidTr="009822F6">
        <w:trPr>
          <w:cantSplit/>
        </w:trPr>
        <w:tc>
          <w:tcPr>
            <w:tcW w:w="3600" w:type="dxa"/>
            <w:tcBorders>
              <w:top w:val="single" w:sz="6" w:space="0" w:color="auto"/>
              <w:bottom w:val="single" w:sz="6" w:space="0" w:color="auto"/>
            </w:tcBorders>
            <w:shd w:val="clear" w:color="auto" w:fill="67AE3C"/>
            <w:vAlign w:val="center"/>
          </w:tcPr>
          <w:p w14:paraId="38034EF4" w14:textId="77777777" w:rsidR="003239B8" w:rsidRPr="00B3745F" w:rsidRDefault="003239B8" w:rsidP="008D2290">
            <w:pPr>
              <w:jc w:val="center"/>
              <w:rPr>
                <w:rFonts w:ascii="Cambria" w:hAnsi="Cambria"/>
                <w:b/>
                <w:bCs/>
                <w:color w:val="FFFFFF" w:themeColor="background1"/>
                <w:sz w:val="20"/>
                <w:szCs w:val="20"/>
              </w:rPr>
            </w:pPr>
            <w:r>
              <w:rPr>
                <w:rFonts w:ascii="Cambria" w:hAnsi="Cambria"/>
                <w:b/>
                <w:color w:val="FFFFFF" w:themeColor="background1"/>
                <w:sz w:val="20"/>
              </w:rPr>
              <w:t>Competence</w:t>
            </w:r>
            <w:r>
              <w:rPr>
                <w:rFonts w:ascii="Cambria" w:hAnsi="Cambria"/>
                <w:b/>
                <w:i/>
                <w:color w:val="FFFFFF" w:themeColor="background1"/>
                <w:sz w:val="20"/>
              </w:rPr>
              <w:t xml:space="preserve"> Ratione loci</w:t>
            </w:r>
            <w:r>
              <w:rPr>
                <w:rFonts w:ascii="Cambria" w:hAnsi="Cambria"/>
                <w:b/>
                <w:color w:val="FFFFFF" w:themeColor="background1"/>
                <w:sz w:val="20"/>
              </w:rPr>
              <w:t>:</w:t>
            </w:r>
          </w:p>
        </w:tc>
        <w:tc>
          <w:tcPr>
            <w:tcW w:w="5760" w:type="dxa"/>
            <w:vAlign w:val="center"/>
          </w:tcPr>
          <w:p w14:paraId="71F8B53D" w14:textId="77777777" w:rsidR="003239B8" w:rsidRPr="00B3745F" w:rsidRDefault="00D65AF8" w:rsidP="008D2290">
            <w:pPr>
              <w:rPr>
                <w:rFonts w:ascii="Cambria" w:hAnsi="Cambria"/>
                <w:bCs/>
                <w:sz w:val="20"/>
                <w:szCs w:val="20"/>
              </w:rPr>
            </w:pPr>
            <w:r>
              <w:rPr>
                <w:rFonts w:ascii="Cambria" w:hAnsi="Cambria"/>
                <w:sz w:val="20"/>
              </w:rPr>
              <w:t>Yes</w:t>
            </w:r>
          </w:p>
        </w:tc>
      </w:tr>
      <w:tr w:rsidR="003239B8" w:rsidRPr="00540F17" w14:paraId="347F9EA3" w14:textId="77777777" w:rsidTr="009822F6">
        <w:trPr>
          <w:cantSplit/>
        </w:trPr>
        <w:tc>
          <w:tcPr>
            <w:tcW w:w="3600" w:type="dxa"/>
            <w:tcBorders>
              <w:top w:val="single" w:sz="6" w:space="0" w:color="auto"/>
              <w:bottom w:val="single" w:sz="6" w:space="0" w:color="auto"/>
            </w:tcBorders>
            <w:shd w:val="clear" w:color="auto" w:fill="67AE3C"/>
            <w:vAlign w:val="center"/>
          </w:tcPr>
          <w:p w14:paraId="5DC170D9" w14:textId="77777777" w:rsidR="003239B8" w:rsidRPr="00B3745F" w:rsidRDefault="003239B8" w:rsidP="008D2290">
            <w:pPr>
              <w:jc w:val="center"/>
              <w:rPr>
                <w:rFonts w:ascii="Cambria" w:hAnsi="Cambria"/>
                <w:b/>
                <w:bCs/>
                <w:color w:val="FFFFFF" w:themeColor="background1"/>
                <w:sz w:val="20"/>
                <w:szCs w:val="20"/>
              </w:rPr>
            </w:pPr>
            <w:r>
              <w:rPr>
                <w:rFonts w:ascii="Cambria" w:hAnsi="Cambria"/>
                <w:b/>
                <w:color w:val="FFFFFF" w:themeColor="background1"/>
                <w:sz w:val="20"/>
              </w:rPr>
              <w:t>Competence</w:t>
            </w:r>
            <w:r>
              <w:rPr>
                <w:rFonts w:ascii="Cambria" w:hAnsi="Cambria"/>
                <w:b/>
                <w:i/>
                <w:color w:val="FFFFFF" w:themeColor="background1"/>
                <w:sz w:val="20"/>
              </w:rPr>
              <w:t xml:space="preserve"> Ratione temporis:</w:t>
            </w:r>
          </w:p>
        </w:tc>
        <w:tc>
          <w:tcPr>
            <w:tcW w:w="5760" w:type="dxa"/>
            <w:vAlign w:val="center"/>
          </w:tcPr>
          <w:p w14:paraId="611317A9" w14:textId="77777777" w:rsidR="003239B8" w:rsidRPr="00B3745F" w:rsidRDefault="00D65AF8" w:rsidP="008D2290">
            <w:pPr>
              <w:rPr>
                <w:rFonts w:ascii="Cambria" w:hAnsi="Cambria"/>
                <w:bCs/>
                <w:sz w:val="20"/>
                <w:szCs w:val="20"/>
              </w:rPr>
            </w:pPr>
            <w:r>
              <w:rPr>
                <w:rFonts w:ascii="Cambria" w:hAnsi="Cambria"/>
                <w:sz w:val="20"/>
              </w:rPr>
              <w:t>Yes</w:t>
            </w:r>
          </w:p>
        </w:tc>
      </w:tr>
      <w:tr w:rsidR="003239B8" w:rsidRPr="0065494C" w14:paraId="72AF7165" w14:textId="77777777" w:rsidTr="009822F6">
        <w:trPr>
          <w:cantSplit/>
        </w:trPr>
        <w:tc>
          <w:tcPr>
            <w:tcW w:w="3600" w:type="dxa"/>
            <w:tcBorders>
              <w:top w:val="single" w:sz="6" w:space="0" w:color="auto"/>
              <w:bottom w:val="single" w:sz="6" w:space="0" w:color="auto"/>
            </w:tcBorders>
            <w:shd w:val="clear" w:color="auto" w:fill="67AE3C"/>
            <w:vAlign w:val="center"/>
          </w:tcPr>
          <w:p w14:paraId="1EF5B0CD" w14:textId="77777777" w:rsidR="003239B8" w:rsidRPr="00B3745F" w:rsidRDefault="003239B8" w:rsidP="008D2290">
            <w:pPr>
              <w:jc w:val="center"/>
              <w:rPr>
                <w:rFonts w:ascii="Cambria" w:hAnsi="Cambria"/>
                <w:b/>
                <w:bCs/>
                <w:color w:val="FFFFFF" w:themeColor="background1"/>
                <w:sz w:val="20"/>
                <w:szCs w:val="20"/>
              </w:rPr>
            </w:pPr>
            <w:r>
              <w:rPr>
                <w:rFonts w:ascii="Cambria" w:hAnsi="Cambria"/>
                <w:b/>
                <w:color w:val="FFFFFF" w:themeColor="background1"/>
                <w:sz w:val="20"/>
              </w:rPr>
              <w:t>Competence</w:t>
            </w:r>
            <w:r>
              <w:rPr>
                <w:rFonts w:ascii="Cambria" w:hAnsi="Cambria"/>
                <w:b/>
                <w:i/>
                <w:color w:val="FFFFFF" w:themeColor="background1"/>
                <w:sz w:val="20"/>
              </w:rPr>
              <w:t xml:space="preserve"> Ratione materiae</w:t>
            </w:r>
            <w:r>
              <w:rPr>
                <w:rFonts w:ascii="Cambria" w:hAnsi="Cambria"/>
                <w:b/>
                <w:color w:val="FFFFFF" w:themeColor="background1"/>
                <w:sz w:val="20"/>
              </w:rPr>
              <w:t>:</w:t>
            </w:r>
          </w:p>
        </w:tc>
        <w:tc>
          <w:tcPr>
            <w:tcW w:w="5760" w:type="dxa"/>
            <w:vAlign w:val="center"/>
          </w:tcPr>
          <w:p w14:paraId="528C7D4A" w14:textId="77777777" w:rsidR="003239B8" w:rsidRPr="00B3745F" w:rsidRDefault="00D65AF8" w:rsidP="008D2290">
            <w:pPr>
              <w:jc w:val="both"/>
              <w:rPr>
                <w:rFonts w:ascii="Cambria" w:hAnsi="Cambria"/>
                <w:bCs/>
                <w:sz w:val="20"/>
                <w:szCs w:val="20"/>
              </w:rPr>
            </w:pPr>
            <w:r>
              <w:rPr>
                <w:rFonts w:ascii="Cambria" w:hAnsi="Cambria"/>
                <w:sz w:val="20"/>
              </w:rPr>
              <w:t>Yes, the American Convention (deposit of the instrument of accession on March 24, 1981); and Convention of Belém do Pará (deposit of the instrument of ratification on December 11, 1998)</w:t>
            </w:r>
          </w:p>
        </w:tc>
      </w:tr>
    </w:tbl>
    <w:p w14:paraId="4F9E3703" w14:textId="7EFF4A8E" w:rsidR="003239B8" w:rsidRPr="003239B8" w:rsidRDefault="003239B8" w:rsidP="003239B8">
      <w:pPr>
        <w:spacing w:before="240" w:after="240"/>
        <w:ind w:firstLine="720"/>
        <w:jc w:val="both"/>
        <w:rPr>
          <w:rFonts w:asciiTheme="majorHAnsi" w:hAnsiTheme="majorHAnsi"/>
          <w:b/>
          <w:bCs/>
          <w:sz w:val="20"/>
          <w:szCs w:val="20"/>
        </w:rPr>
      </w:pPr>
      <w:r>
        <w:rPr>
          <w:rFonts w:asciiTheme="majorHAnsi" w:hAnsiTheme="majorHAnsi"/>
          <w:b/>
          <w:sz w:val="20"/>
        </w:rPr>
        <w:t xml:space="preserve">IV. </w:t>
      </w:r>
      <w:r>
        <w:rPr>
          <w:rFonts w:asciiTheme="majorHAnsi" w:hAnsiTheme="majorHAnsi"/>
          <w:b/>
          <w:sz w:val="20"/>
        </w:rPr>
        <w:tab/>
        <w:t>DUPLICATION</w:t>
      </w:r>
      <w:r>
        <w:rPr>
          <w:rFonts w:asciiTheme="majorHAnsi" w:hAnsiTheme="majorHAnsi"/>
          <w:b/>
          <w:color w:val="FFFFFF" w:themeColor="background1"/>
          <w:sz w:val="20"/>
        </w:rPr>
        <w:t xml:space="preserve"> </w:t>
      </w:r>
      <w:r>
        <w:rPr>
          <w:rFonts w:asciiTheme="majorHAnsi" w:hAnsiTheme="majorHAnsi"/>
          <w:b/>
          <w:sz w:val="20"/>
        </w:rPr>
        <w:t xml:space="preserve">OF PROCEDURES AND INTERNATIONAL </w:t>
      </w:r>
      <w:r>
        <w:rPr>
          <w:rFonts w:asciiTheme="majorHAnsi" w:hAnsiTheme="majorHAnsi"/>
          <w:b/>
          <w:i/>
          <w:iCs/>
          <w:sz w:val="20"/>
        </w:rPr>
        <w:t>RES JUDICATA</w:t>
      </w:r>
      <w:r>
        <w:rPr>
          <w:rFonts w:asciiTheme="majorHAnsi" w:hAnsiTheme="majorHAnsi"/>
          <w:b/>
          <w:sz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EE00E9" w:rsidRPr="000F4990" w14:paraId="454CAA1E" w14:textId="77777777" w:rsidTr="009822F6">
        <w:trPr>
          <w:cantSplit/>
        </w:trPr>
        <w:tc>
          <w:tcPr>
            <w:tcW w:w="3600" w:type="dxa"/>
            <w:tcBorders>
              <w:top w:val="single" w:sz="4" w:space="0" w:color="auto"/>
              <w:bottom w:val="single" w:sz="6" w:space="0" w:color="auto"/>
            </w:tcBorders>
            <w:shd w:val="clear" w:color="auto" w:fill="67AE3C"/>
            <w:vAlign w:val="center"/>
          </w:tcPr>
          <w:p w14:paraId="03B149BB" w14:textId="77777777" w:rsidR="00EE00E9" w:rsidRPr="00DC24E3" w:rsidRDefault="00EE00E9" w:rsidP="008D2290">
            <w:pPr>
              <w:jc w:val="center"/>
              <w:rPr>
                <w:rFonts w:ascii="Cambria" w:hAnsi="Cambria"/>
                <w:b/>
                <w:bCs/>
                <w:color w:val="FFFFFF" w:themeColor="background1"/>
                <w:sz w:val="20"/>
                <w:szCs w:val="20"/>
              </w:rPr>
            </w:pPr>
            <w:r>
              <w:rPr>
                <w:rFonts w:ascii="Cambria" w:hAnsi="Cambria"/>
                <w:b/>
                <w:color w:val="FFFFFF" w:themeColor="background1"/>
                <w:sz w:val="20"/>
              </w:rPr>
              <w:t xml:space="preserve">Duplication of procedures and international </w:t>
            </w:r>
            <w:r>
              <w:rPr>
                <w:rFonts w:ascii="Cambria" w:hAnsi="Cambria"/>
                <w:b/>
                <w:i/>
                <w:iCs/>
                <w:color w:val="FFFFFF" w:themeColor="background1"/>
                <w:sz w:val="20"/>
              </w:rPr>
              <w:t>res judicata</w:t>
            </w:r>
            <w:r>
              <w:rPr>
                <w:rFonts w:ascii="Cambria" w:hAnsi="Cambria"/>
                <w:b/>
                <w:color w:val="FFFFFF" w:themeColor="background1"/>
                <w:sz w:val="20"/>
              </w:rPr>
              <w:t>:</w:t>
            </w:r>
          </w:p>
        </w:tc>
        <w:tc>
          <w:tcPr>
            <w:tcW w:w="5760" w:type="dxa"/>
            <w:vAlign w:val="center"/>
          </w:tcPr>
          <w:p w14:paraId="43664407" w14:textId="77777777" w:rsidR="00EE00E9" w:rsidRPr="00DC24E3" w:rsidRDefault="00844E7D" w:rsidP="008D2290">
            <w:pPr>
              <w:jc w:val="both"/>
              <w:rPr>
                <w:rFonts w:ascii="Cambria" w:hAnsi="Cambria"/>
                <w:bCs/>
                <w:sz w:val="20"/>
                <w:szCs w:val="20"/>
              </w:rPr>
            </w:pPr>
            <w:r>
              <w:rPr>
                <w:rFonts w:ascii="Cambria" w:hAnsi="Cambria"/>
                <w:sz w:val="20"/>
              </w:rPr>
              <w:t>No</w:t>
            </w:r>
          </w:p>
        </w:tc>
      </w:tr>
      <w:tr w:rsidR="003239B8" w:rsidRPr="0065494C" w14:paraId="14A89A19" w14:textId="77777777" w:rsidTr="009822F6">
        <w:trPr>
          <w:cantSplit/>
        </w:trPr>
        <w:tc>
          <w:tcPr>
            <w:tcW w:w="3600" w:type="dxa"/>
            <w:tcBorders>
              <w:top w:val="single" w:sz="6" w:space="0" w:color="auto"/>
              <w:bottom w:val="single" w:sz="6" w:space="0" w:color="auto"/>
            </w:tcBorders>
            <w:shd w:val="clear" w:color="auto" w:fill="67AE3C"/>
            <w:vAlign w:val="center"/>
          </w:tcPr>
          <w:p w14:paraId="2927181E" w14:textId="77777777" w:rsidR="003239B8" w:rsidRPr="00DC24E3" w:rsidRDefault="003239B8" w:rsidP="008D2290">
            <w:pPr>
              <w:jc w:val="center"/>
              <w:rPr>
                <w:rFonts w:ascii="Cambria" w:hAnsi="Cambria"/>
                <w:b/>
                <w:bCs/>
                <w:i/>
                <w:color w:val="FFFFFF" w:themeColor="background1"/>
                <w:sz w:val="20"/>
                <w:szCs w:val="20"/>
              </w:rPr>
            </w:pPr>
            <w:r>
              <w:rPr>
                <w:rFonts w:ascii="Cambria" w:hAnsi="Cambria"/>
                <w:b/>
                <w:color w:val="FFFFFF" w:themeColor="background1"/>
                <w:sz w:val="20"/>
              </w:rPr>
              <w:t>Rights declared admissible</w:t>
            </w:r>
            <w:r>
              <w:rPr>
                <w:rFonts w:ascii="Cambria" w:hAnsi="Cambria"/>
                <w:b/>
                <w:i/>
                <w:color w:val="FFFFFF" w:themeColor="background1"/>
                <w:sz w:val="20"/>
              </w:rPr>
              <w:t>:</w:t>
            </w:r>
          </w:p>
        </w:tc>
        <w:tc>
          <w:tcPr>
            <w:tcW w:w="5760" w:type="dxa"/>
            <w:vAlign w:val="center"/>
          </w:tcPr>
          <w:p w14:paraId="5BD4FADB" w14:textId="77777777" w:rsidR="003239B8" w:rsidRPr="00844E7D" w:rsidRDefault="00844E7D" w:rsidP="008D2290">
            <w:pPr>
              <w:jc w:val="both"/>
              <w:rPr>
                <w:rFonts w:ascii="Cambria" w:hAnsi="Cambria"/>
                <w:bCs/>
                <w:sz w:val="20"/>
                <w:szCs w:val="20"/>
              </w:rPr>
            </w:pPr>
            <w:r>
              <w:rPr>
                <w:rFonts w:ascii="Cambria" w:hAnsi="Cambria"/>
                <w:sz w:val="20"/>
              </w:rPr>
              <w:t>Articles 4 (right to life), 5 (personal integrity), 7 (personal liberty), 8 (right to a fair trial), 17 (protection to the family), 24 (equality before the law) and 25 (judicial protection) of the American Convention on Human Rights, in relation to Article 1.1 (obligation to respect rights) thereof, and Article 7 of the Convention of Belém do Pará</w:t>
            </w:r>
          </w:p>
        </w:tc>
      </w:tr>
      <w:tr w:rsidR="003239B8" w:rsidRPr="0065494C" w14:paraId="71AD5C40" w14:textId="77777777" w:rsidTr="009822F6">
        <w:trPr>
          <w:cantSplit/>
        </w:trPr>
        <w:tc>
          <w:tcPr>
            <w:tcW w:w="3600" w:type="dxa"/>
            <w:tcBorders>
              <w:top w:val="single" w:sz="6" w:space="0" w:color="auto"/>
              <w:bottom w:val="single" w:sz="6" w:space="0" w:color="auto"/>
            </w:tcBorders>
            <w:shd w:val="clear" w:color="auto" w:fill="67AE3C"/>
            <w:vAlign w:val="center"/>
          </w:tcPr>
          <w:p w14:paraId="232C7232" w14:textId="77777777" w:rsidR="003239B8" w:rsidRPr="00DC24E3" w:rsidRDefault="003239B8" w:rsidP="008D2290">
            <w:pPr>
              <w:jc w:val="center"/>
              <w:rPr>
                <w:rFonts w:ascii="Cambria" w:hAnsi="Cambria"/>
                <w:b/>
                <w:bCs/>
                <w:color w:val="FFFFFF" w:themeColor="background1"/>
                <w:sz w:val="20"/>
                <w:szCs w:val="20"/>
              </w:rPr>
            </w:pPr>
            <w:r>
              <w:rPr>
                <w:rFonts w:ascii="Cambria" w:hAnsi="Cambria"/>
                <w:b/>
                <w:color w:val="FFFFFF" w:themeColor="background1"/>
                <w:sz w:val="20"/>
              </w:rPr>
              <w:lastRenderedPageBreak/>
              <w:t>Exhaustion of domestic remedies or applicability of an exception to the rule:</w:t>
            </w:r>
          </w:p>
        </w:tc>
        <w:tc>
          <w:tcPr>
            <w:tcW w:w="5760" w:type="dxa"/>
            <w:vAlign w:val="center"/>
          </w:tcPr>
          <w:p w14:paraId="7B25BC15" w14:textId="77777777" w:rsidR="003239B8" w:rsidRPr="00DC24E3" w:rsidRDefault="003B148F" w:rsidP="008D2290">
            <w:pPr>
              <w:rPr>
                <w:rFonts w:ascii="Cambria" w:hAnsi="Cambria"/>
                <w:bCs/>
                <w:sz w:val="20"/>
                <w:szCs w:val="20"/>
              </w:rPr>
            </w:pPr>
            <w:r>
              <w:rPr>
                <w:rFonts w:ascii="Cambria" w:hAnsi="Cambria"/>
                <w:sz w:val="20"/>
              </w:rPr>
              <w:t>Yes, under the terms of Section VI.</w:t>
            </w:r>
          </w:p>
        </w:tc>
      </w:tr>
      <w:tr w:rsidR="003239B8" w:rsidRPr="0065494C" w14:paraId="167CEC21" w14:textId="77777777" w:rsidTr="009822F6">
        <w:trPr>
          <w:cantSplit/>
        </w:trPr>
        <w:tc>
          <w:tcPr>
            <w:tcW w:w="3600" w:type="dxa"/>
            <w:tcBorders>
              <w:top w:val="single" w:sz="6" w:space="0" w:color="auto"/>
              <w:bottom w:val="single" w:sz="6" w:space="0" w:color="auto"/>
            </w:tcBorders>
            <w:shd w:val="clear" w:color="auto" w:fill="67AE3C"/>
            <w:vAlign w:val="center"/>
          </w:tcPr>
          <w:p w14:paraId="22B8EF60" w14:textId="77777777" w:rsidR="003239B8" w:rsidRPr="00DC24E3" w:rsidRDefault="003239B8" w:rsidP="008D2290">
            <w:pPr>
              <w:jc w:val="center"/>
              <w:rPr>
                <w:rFonts w:ascii="Cambria" w:hAnsi="Cambria"/>
                <w:b/>
                <w:bCs/>
                <w:color w:val="FFFFFF" w:themeColor="background1"/>
                <w:sz w:val="20"/>
                <w:szCs w:val="20"/>
              </w:rPr>
            </w:pPr>
            <w:r>
              <w:rPr>
                <w:rFonts w:ascii="Cambria" w:hAnsi="Cambria"/>
                <w:b/>
                <w:color w:val="FFFFFF" w:themeColor="background1"/>
                <w:sz w:val="20"/>
              </w:rPr>
              <w:t>Timeliness of the petition:</w:t>
            </w:r>
          </w:p>
        </w:tc>
        <w:tc>
          <w:tcPr>
            <w:tcW w:w="5760" w:type="dxa"/>
            <w:vAlign w:val="center"/>
          </w:tcPr>
          <w:p w14:paraId="2BC3ED8C" w14:textId="77777777" w:rsidR="003239B8" w:rsidRPr="001B1639" w:rsidRDefault="001B1639" w:rsidP="008D2290">
            <w:pPr>
              <w:rPr>
                <w:rFonts w:ascii="Cambria" w:hAnsi="Cambria"/>
                <w:bCs/>
                <w:sz w:val="20"/>
                <w:szCs w:val="20"/>
              </w:rPr>
            </w:pPr>
            <w:r>
              <w:rPr>
                <w:rFonts w:ascii="Cambria" w:hAnsi="Cambria"/>
                <w:sz w:val="20"/>
              </w:rPr>
              <w:t>Yes, under the terms of Section VI.</w:t>
            </w:r>
          </w:p>
        </w:tc>
      </w:tr>
    </w:tbl>
    <w:p w14:paraId="517B606A" w14:textId="77777777" w:rsidR="003239B8" w:rsidRDefault="00223A29" w:rsidP="003239B8">
      <w:pPr>
        <w:spacing w:before="240" w:after="240"/>
        <w:ind w:firstLine="720"/>
        <w:jc w:val="both"/>
        <w:rPr>
          <w:rFonts w:asciiTheme="majorHAnsi" w:hAnsiTheme="majorHAnsi"/>
          <w:b/>
          <w:sz w:val="20"/>
          <w:szCs w:val="20"/>
        </w:rPr>
      </w:pPr>
      <w:r>
        <w:rPr>
          <w:rFonts w:asciiTheme="majorHAnsi" w:hAnsiTheme="majorHAnsi"/>
          <w:b/>
          <w:sz w:val="20"/>
        </w:rPr>
        <w:t>V.</w:t>
      </w:r>
      <w:r>
        <w:rPr>
          <w:rFonts w:asciiTheme="majorHAnsi" w:hAnsiTheme="majorHAnsi"/>
          <w:b/>
          <w:sz w:val="20"/>
        </w:rPr>
        <w:tab/>
        <w:t xml:space="preserve"> FACTS ALLEDGED </w:t>
      </w:r>
    </w:p>
    <w:p w14:paraId="052EA5B7" w14:textId="77777777" w:rsidR="00517016" w:rsidRDefault="00AE25F5" w:rsidP="00D85B15">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r>
        <w:rPr>
          <w:sz w:val="20"/>
        </w:rPr>
        <w:t>1.</w:t>
      </w:r>
      <w:r>
        <w:rPr>
          <w:sz w:val="20"/>
        </w:rPr>
        <w:tab/>
        <w:t>The petitioners allege the kidnapping for ransom of Gemma Mávil Hernández, as well as the lack of due diligence in the investigation of the event, the disappearance of her remains and the impunity for her alleged sexual abuse and subsequent murder.</w:t>
      </w:r>
    </w:p>
    <w:p w14:paraId="699823D6" w14:textId="77777777" w:rsidR="0039274C" w:rsidRDefault="0039274C" w:rsidP="00D85B15">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r>
        <w:rPr>
          <w:sz w:val="20"/>
        </w:rPr>
        <w:t>2.</w:t>
      </w:r>
      <w:r>
        <w:rPr>
          <w:sz w:val="20"/>
        </w:rPr>
        <w:tab/>
        <w:t>The petitioners report that on May 3, 2011, Mr. Pedro Manuel Martínez Mávil received a phone call telling him that his daughter, Gemma Mávil Hernández, had been kidnapped in the state of Veracruz, while she was traveling from the city of Xico to Xalapa to attend an alleged job interview. He was required to pay a million Mexican pesos (around 80,700 US dollars at that time) for the release of the alleged victim. The family then went to the Office of the Public Prosecutor to report the kidnapping. This led to an operation carried out on May 4, 2011, by the Specialized Unit for Counter-Kidnapping, during which three persons who intended to receive the ransom were detained. The petitioners allege that after the operation, the authorities committed a series of irregularities in the investigation of the whereabouts of the alleged victim, since they released a woman who was arrested and a man reportedly died during the questioning. Only the third person was brought before the Office of the Public Prosecutor and was sentenced to twenty-five years in prison for the crime of aggravated kidnapping.</w:t>
      </w:r>
    </w:p>
    <w:p w14:paraId="0CA3B817" w14:textId="3B8D1AC0" w:rsidR="0060650B" w:rsidRDefault="0060650B" w:rsidP="00D85B15">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r>
        <w:rPr>
          <w:sz w:val="20"/>
        </w:rPr>
        <w:t>3.</w:t>
      </w:r>
      <w:r>
        <w:rPr>
          <w:sz w:val="20"/>
        </w:rPr>
        <w:tab/>
        <w:t>Mr. Pedro Mávil states that, although the Specialized Unit for Counter-Kidnapping started prosecution investigation no. 32/UECS-DIM/2011 into the disappearance of Ms. Mávil Hernández, her family decided to investigate her whereabouts on their own. A month and a half after the kidnapping, the family was contacted again with a request for the payment of a new ransom by bank deposit. Mr. Pedro Mávil asked the bank manager for the name of the account holder and discovered that she was a woman with a criminal record. Mr. Pedro Mávil asked the Office of the Public Prosecutor to issue a subpoena to the bank account holder and to conduct an expert inquiry into the audios of the phone calls he had received with regard to his daughter’s kidnapping. The Office of the Public Prosecutor provided no answer. Due to the Office of the Public Prosecutor’s evident omissions and failure to act, Mr. Pedro Mávil submitted two complaints with the State Commission on Human Rights, which led to the issuance of recommendations no. 02 of 2017, and no. 53 of 2019.</w:t>
      </w:r>
    </w:p>
    <w:p w14:paraId="7FD9FAAE" w14:textId="665957DF" w:rsidR="00253013" w:rsidRDefault="00A86E50" w:rsidP="00D85B15">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r>
        <w:rPr>
          <w:sz w:val="20"/>
        </w:rPr>
        <w:t>4.</w:t>
      </w:r>
      <w:r>
        <w:rPr>
          <w:sz w:val="20"/>
        </w:rPr>
        <w:tab/>
        <w:t xml:space="preserve">In October 2016, the family of Ms. Mávil Hernández was informed that in August 2011 the Office of the Public Prosecutor had found the body of a woman whose physical characteristics resembled those of the alleged victim. The public prosecutor of the State of Veracruz opened investigation no. 844/2011, in which the genetic profile of the body was determined. However, the family members of the alleged victim were not informed about this, and no further investigations were conducted. </w:t>
      </w:r>
      <w:r w:rsidR="00B86F10">
        <w:rPr>
          <w:sz w:val="20"/>
        </w:rPr>
        <w:t>In 2016</w:t>
      </w:r>
      <w:r>
        <w:rPr>
          <w:sz w:val="20"/>
        </w:rPr>
        <w:t>, at the request of the victim’s family, the Office of the Public Prosecutor compared the genetic profile of the body with that of Pedro Mávil and that of Gema Hernández Rechy. The test results confirmed that the remains were those of the alleged victim. However, the body of Ms. Mávil Hernández was reportedly buried in a mass grave, and to date it remains disappeared despite exhumation work carried out by the public prosecutor in 2016. The petitioners hold that this proves that there were several irregularities in the burial of corpses, which seriously affects the right to truth of the family members of disappeared persons.</w:t>
      </w:r>
    </w:p>
    <w:p w14:paraId="6872EB7B" w14:textId="15856813" w:rsidR="004967F2" w:rsidRDefault="00F25735" w:rsidP="0098709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r>
        <w:rPr>
          <w:sz w:val="20"/>
        </w:rPr>
        <w:t>5.</w:t>
      </w:r>
      <w:r>
        <w:rPr>
          <w:sz w:val="20"/>
        </w:rPr>
        <w:tab/>
        <w:t xml:space="preserve">Furthermore, the petitioners allege the lack of due diligence and of a gender perspective since the public prosecutor failed to investigate possible sexual violence acts and the murder of Gemma Mávil Hernández, as well as the irregularities in the prosecution of those persons allegedly responsible for the disappearance of the body. The petitioners emphasize that no study was conducted on the possible commission of sexual violence against the alleged victim, since the autopsy only pointed out that the victim had bruises and did not identify the cause of the death of the young woman. The petitioners indicate that 90 percent of kidnapped </w:t>
      </w:r>
      <w:r w:rsidR="00E764A5">
        <w:rPr>
          <w:sz w:val="20"/>
        </w:rPr>
        <w:t xml:space="preserve">women </w:t>
      </w:r>
      <w:r>
        <w:rPr>
          <w:sz w:val="20"/>
        </w:rPr>
        <w:t xml:space="preserve">in Mexico suffer sexual violence, so the public prosecutor had the duty to </w:t>
      </w:r>
      <w:r w:rsidR="00D311FC">
        <w:rPr>
          <w:sz w:val="20"/>
        </w:rPr>
        <w:t>investigate</w:t>
      </w:r>
      <w:r>
        <w:rPr>
          <w:sz w:val="20"/>
        </w:rPr>
        <w:t xml:space="preserve"> with a </w:t>
      </w:r>
      <w:r>
        <w:rPr>
          <w:sz w:val="20"/>
        </w:rPr>
        <w:lastRenderedPageBreak/>
        <w:t>gender perspective if the body of Ms. Mávil presented any signs of this type of violence.</w:t>
      </w:r>
      <w:r w:rsidR="005C0495" w:rsidRPr="005C0495">
        <w:rPr>
          <w:sz w:val="20"/>
        </w:rPr>
        <w:t xml:space="preserve"> </w:t>
      </w:r>
      <w:r w:rsidR="005C0495">
        <w:rPr>
          <w:sz w:val="20"/>
        </w:rPr>
        <w:t>In addition, the petitioners contend that there was no comprehensive administrative reparation for the victim’s family.</w:t>
      </w:r>
    </w:p>
    <w:p w14:paraId="1BC0BAB5" w14:textId="0667BEF2" w:rsidR="00987092" w:rsidRDefault="004967F2" w:rsidP="008D7E89">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r>
        <w:rPr>
          <w:sz w:val="20"/>
        </w:rPr>
        <w:t>6.</w:t>
      </w:r>
      <w:r>
        <w:rPr>
          <w:sz w:val="20"/>
        </w:rPr>
        <w:tab/>
        <w:t xml:space="preserve">The petitioners report that a criminal investigation was initiated against two officials of the Medical Forensic Service who </w:t>
      </w:r>
      <w:r w:rsidR="00E764A5">
        <w:rPr>
          <w:sz w:val="20"/>
        </w:rPr>
        <w:t>oversaw</w:t>
      </w:r>
      <w:r>
        <w:rPr>
          <w:sz w:val="20"/>
        </w:rPr>
        <w:t xml:space="preserve"> </w:t>
      </w:r>
      <w:r w:rsidR="00E764A5">
        <w:rPr>
          <w:sz w:val="20"/>
        </w:rPr>
        <w:t xml:space="preserve">the </w:t>
      </w:r>
      <w:r>
        <w:rPr>
          <w:sz w:val="20"/>
        </w:rPr>
        <w:t>burying of the alleged victim</w:t>
      </w:r>
      <w:r w:rsidR="00E764A5">
        <w:rPr>
          <w:sz w:val="20"/>
        </w:rPr>
        <w:t>’s body</w:t>
      </w:r>
      <w:r>
        <w:rPr>
          <w:sz w:val="20"/>
        </w:rPr>
        <w:t xml:space="preserve">. </w:t>
      </w:r>
      <w:r w:rsidR="00E764A5">
        <w:rPr>
          <w:sz w:val="20"/>
        </w:rPr>
        <w:t>On February 13, 2018, a judge decide</w:t>
      </w:r>
      <w:r w:rsidR="004C691F">
        <w:rPr>
          <w:sz w:val="20"/>
        </w:rPr>
        <w:t>d</w:t>
      </w:r>
      <w:r w:rsidR="00E764A5">
        <w:rPr>
          <w:sz w:val="20"/>
        </w:rPr>
        <w:t xml:space="preserve"> not to proceed with the accusation against them </w:t>
      </w:r>
      <w:r>
        <w:rPr>
          <w:sz w:val="20"/>
        </w:rPr>
        <w:t>due to</w:t>
      </w:r>
      <w:r w:rsidR="00E764A5">
        <w:rPr>
          <w:sz w:val="20"/>
        </w:rPr>
        <w:t xml:space="preserve"> alleged</w:t>
      </w:r>
      <w:r>
        <w:rPr>
          <w:sz w:val="20"/>
        </w:rPr>
        <w:t xml:space="preserve"> lack of evidence. </w:t>
      </w:r>
      <w:r w:rsidR="00E764A5">
        <w:rPr>
          <w:sz w:val="20"/>
        </w:rPr>
        <w:t xml:space="preserve">This decision was upheld </w:t>
      </w:r>
      <w:r>
        <w:rPr>
          <w:sz w:val="20"/>
        </w:rPr>
        <w:t xml:space="preserve">in second instance on August 24, 2018. In addition, on January 31, 2018, the Executive Commission for Victim Assistance initiated an administrative process to provide reparations to the relatives of Ms. Mávil. </w:t>
      </w:r>
      <w:r w:rsidR="003C52EC">
        <w:rPr>
          <w:sz w:val="20"/>
        </w:rPr>
        <w:t xml:space="preserve">With the legal counsel of </w:t>
      </w:r>
      <w:r>
        <w:rPr>
          <w:sz w:val="20"/>
        </w:rPr>
        <w:t xml:space="preserve">the State Human Rights Commission of Veracruz, Mr. Pedro Mávil filed a writ of amparo </w:t>
      </w:r>
      <w:r w:rsidR="00E764A5">
        <w:rPr>
          <w:sz w:val="20"/>
        </w:rPr>
        <w:t xml:space="preserve">because he deemed that </w:t>
      </w:r>
      <w:r>
        <w:rPr>
          <w:sz w:val="20"/>
        </w:rPr>
        <w:t xml:space="preserve">the reparation </w:t>
      </w:r>
      <w:r w:rsidR="003C52EC">
        <w:rPr>
          <w:sz w:val="20"/>
        </w:rPr>
        <w:t>grant</w:t>
      </w:r>
      <w:r w:rsidR="00E764A5">
        <w:rPr>
          <w:sz w:val="20"/>
        </w:rPr>
        <w:t xml:space="preserve">ed to the family </w:t>
      </w:r>
      <w:r>
        <w:rPr>
          <w:sz w:val="20"/>
        </w:rPr>
        <w:t xml:space="preserve">was not comprehensive. The petitioners allege the violation of Mr. Pedro Mávil's right of access to </w:t>
      </w:r>
      <w:r w:rsidR="00D311FC">
        <w:rPr>
          <w:sz w:val="20"/>
        </w:rPr>
        <w:t>justice because</w:t>
      </w:r>
      <w:r>
        <w:rPr>
          <w:sz w:val="20"/>
        </w:rPr>
        <w:t xml:space="preserve"> the judge </w:t>
      </w:r>
      <w:r w:rsidR="00AB5EC4">
        <w:rPr>
          <w:sz w:val="20"/>
        </w:rPr>
        <w:t>considered</w:t>
      </w:r>
      <w:r>
        <w:rPr>
          <w:sz w:val="20"/>
        </w:rPr>
        <w:t xml:space="preserve"> the writ of amparo </w:t>
      </w:r>
      <w:r w:rsidR="00AB5EC4">
        <w:rPr>
          <w:sz w:val="20"/>
        </w:rPr>
        <w:t>as not file</w:t>
      </w:r>
      <w:r>
        <w:rPr>
          <w:sz w:val="20"/>
        </w:rPr>
        <w:t xml:space="preserve">d. They report that on February 23, 2018, the court in charge of resolving the writ of amparo requested the clarification of the writ of amparo. As a result, on February 27, 2018, a judicial official went to </w:t>
      </w:r>
      <w:r w:rsidR="003C52EC">
        <w:rPr>
          <w:sz w:val="20"/>
        </w:rPr>
        <w:t xml:space="preserve">the State Human Rights Commission of Veracruz’s facilities for the service of process of Mr. Mávil’s amparo, </w:t>
      </w:r>
      <w:r>
        <w:rPr>
          <w:sz w:val="20"/>
        </w:rPr>
        <w:t>and decided to close the proceeding</w:t>
      </w:r>
      <w:r w:rsidR="003C52EC">
        <w:rPr>
          <w:sz w:val="20"/>
        </w:rPr>
        <w:t>s</w:t>
      </w:r>
      <w:r>
        <w:rPr>
          <w:sz w:val="20"/>
        </w:rPr>
        <w:t xml:space="preserve"> since the security guard of the State Human Rights Commission of Veracruz told him that he did not know Mr. Pedro Mávil. Mr. Mávil sent an official letter expressing his disagreement with the reparation measures granted to his family. Finally, the petitioners ask the Inter-American Commission to join the stages of admissibility and merits because the exceptions raised by the State are related to the merits of the case and because the parents of the alleged victim are older adults.</w:t>
      </w:r>
    </w:p>
    <w:p w14:paraId="4BC7703E" w14:textId="6D8FEEE5" w:rsidR="001859B9" w:rsidRDefault="00246589" w:rsidP="00D85B15">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r>
        <w:rPr>
          <w:sz w:val="20"/>
        </w:rPr>
        <w:t>7.</w:t>
      </w:r>
      <w:r>
        <w:rPr>
          <w:sz w:val="20"/>
        </w:rPr>
        <w:tab/>
        <w:t>For its part, the Mexican State submitted a summary of the actions taken since the beginning of the investigation of the Office of the Public Prosecutor into the kidnapping of Gemma Mávil Hernández. It states that on May 6, 2011, the State initiated a criminal proceeding plus reparation for damages against two men who allegedly participated in the kidnapping of</w:t>
      </w:r>
      <w:r w:rsidR="003C52EC">
        <w:rPr>
          <w:sz w:val="20"/>
        </w:rPr>
        <w:t xml:space="preserve"> Ms. Mávil Hernández</w:t>
      </w:r>
      <w:r>
        <w:rPr>
          <w:sz w:val="20"/>
        </w:rPr>
        <w:t>, one of whom was later convicted. In November 2012 and June 2013, a formal prison order was issued against one of the defendants, and both were sentenced in</w:t>
      </w:r>
      <w:r w:rsidR="005317EC">
        <w:rPr>
          <w:sz w:val="20"/>
        </w:rPr>
        <w:t xml:space="preserve"> the</w:t>
      </w:r>
      <w:r>
        <w:rPr>
          <w:sz w:val="20"/>
        </w:rPr>
        <w:t xml:space="preserve"> first and second instance in 2014. The defendants filed a writ of amparo against the conviction, which led to the acquittal of one of them. On July 8, 2015, Mr. Pedro Mávil was recognized as an indirect victim of the crime by the court of first instance that was in charge of the criminal proceedings in response to a request filed by Mr. Mávil in June 2015. Nevertheless, this decision was not notified to him, so he filed a writ of amparo, which was dismissed on September 4, 2015, since he had already been recognized as an indirect victim in the proceedings.</w:t>
      </w:r>
    </w:p>
    <w:p w14:paraId="3D29E718" w14:textId="68333F1F" w:rsidR="00EE16CC" w:rsidRDefault="00EE16CC" w:rsidP="00EE16CC">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579"/>
        </w:tabs>
        <w:suppressAutoHyphens/>
        <w:spacing w:after="240"/>
        <w:ind w:left="0" w:firstLine="720"/>
        <w:jc w:val="both"/>
        <w:rPr>
          <w:sz w:val="20"/>
          <w:szCs w:val="20"/>
        </w:rPr>
      </w:pPr>
      <w:r>
        <w:rPr>
          <w:sz w:val="20"/>
        </w:rPr>
        <w:t>8.</w:t>
      </w:r>
      <w:r>
        <w:rPr>
          <w:sz w:val="20"/>
        </w:rPr>
        <w:tab/>
        <w:t>With regard to the disappearance of the alleged victim's body, the State indicates that on June 3, 2016, Mr. Pedro Mávil informed the Office of the Public Prosecutor of a possible link with a body found as part of investigation no. 844/2011, which beg</w:t>
      </w:r>
      <w:r w:rsidR="00144CCA">
        <w:rPr>
          <w:sz w:val="20"/>
        </w:rPr>
        <w:t>a</w:t>
      </w:r>
      <w:r>
        <w:rPr>
          <w:sz w:val="20"/>
        </w:rPr>
        <w:t>n on August 13, 2011. On June 9, 2016, the</w:t>
      </w:r>
      <w:r w:rsidR="00F724A2">
        <w:rPr>
          <w:sz w:val="20"/>
        </w:rPr>
        <w:t xml:space="preserve"> Prosecutor’s office conducted the</w:t>
      </w:r>
      <w:r>
        <w:rPr>
          <w:sz w:val="20"/>
        </w:rPr>
        <w:t xml:space="preserve"> </w:t>
      </w:r>
      <w:r w:rsidR="00F724A2">
        <w:rPr>
          <w:sz w:val="20"/>
        </w:rPr>
        <w:t xml:space="preserve">proceedings of </w:t>
      </w:r>
      <w:r>
        <w:rPr>
          <w:sz w:val="20"/>
        </w:rPr>
        <w:t xml:space="preserve">exhumation of the corpse, </w:t>
      </w:r>
      <w:r w:rsidR="00F724A2">
        <w:rPr>
          <w:sz w:val="20"/>
        </w:rPr>
        <w:t xml:space="preserve">however, </w:t>
      </w:r>
      <w:r>
        <w:rPr>
          <w:sz w:val="20"/>
        </w:rPr>
        <w:t>Ms. Mávil Hernández</w:t>
      </w:r>
      <w:r w:rsidR="00F724A2">
        <w:rPr>
          <w:sz w:val="20"/>
        </w:rPr>
        <w:t>’s body</w:t>
      </w:r>
      <w:r>
        <w:rPr>
          <w:sz w:val="20"/>
        </w:rPr>
        <w:t xml:space="preserve"> </w:t>
      </w:r>
      <w:r w:rsidR="00F724A2">
        <w:rPr>
          <w:sz w:val="20"/>
        </w:rPr>
        <w:t xml:space="preserve">was not found </w:t>
      </w:r>
      <w:r>
        <w:rPr>
          <w:sz w:val="20"/>
        </w:rPr>
        <w:t xml:space="preserve">in the municipal pantheon. On July 21 and September 2, 2016, two exhumation proceedings were carried out with no results on the </w:t>
      </w:r>
      <w:r w:rsidR="00F724A2">
        <w:rPr>
          <w:sz w:val="20"/>
        </w:rPr>
        <w:t xml:space="preserve">location of the </w:t>
      </w:r>
      <w:r>
        <w:rPr>
          <w:sz w:val="20"/>
        </w:rPr>
        <w:t xml:space="preserve">alleged victim’s body. The State stresses that </w:t>
      </w:r>
      <w:r w:rsidR="00F724A2">
        <w:rPr>
          <w:sz w:val="20"/>
        </w:rPr>
        <w:t xml:space="preserve">it complied with </w:t>
      </w:r>
      <w:r>
        <w:rPr>
          <w:sz w:val="20"/>
        </w:rPr>
        <w:t xml:space="preserve">the protocols and </w:t>
      </w:r>
      <w:r w:rsidR="00F724A2">
        <w:rPr>
          <w:sz w:val="20"/>
        </w:rPr>
        <w:t xml:space="preserve">that it ensured </w:t>
      </w:r>
      <w:r>
        <w:rPr>
          <w:sz w:val="20"/>
        </w:rPr>
        <w:t>the proper handling and identification of the corpses during each of the exhumation proceedings. It indicates that on November 7, 2016, Mr. Pedro Mávil filed an indirect writ of amparo due to the fact that his daughter’s body had not been exhumed nor handed over to the family</w:t>
      </w:r>
      <w:r w:rsidR="00F724A2">
        <w:rPr>
          <w:sz w:val="20"/>
        </w:rPr>
        <w:t>. Mr. Mávil’ writ</w:t>
      </w:r>
      <w:r>
        <w:rPr>
          <w:sz w:val="20"/>
        </w:rPr>
        <w:t xml:space="preserve"> was considered extemporaneous and thus dismissed.</w:t>
      </w:r>
    </w:p>
    <w:p w14:paraId="0B936521" w14:textId="1DADE384" w:rsidR="001C5AAA" w:rsidRDefault="00EE16CC" w:rsidP="00D85B15">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r>
        <w:rPr>
          <w:sz w:val="20"/>
        </w:rPr>
        <w:t>9.</w:t>
      </w:r>
      <w:r>
        <w:rPr>
          <w:sz w:val="20"/>
        </w:rPr>
        <w:tab/>
        <w:t xml:space="preserve">The State </w:t>
      </w:r>
      <w:r w:rsidR="00F724A2">
        <w:rPr>
          <w:sz w:val="20"/>
        </w:rPr>
        <w:t xml:space="preserve">contends </w:t>
      </w:r>
      <w:r>
        <w:rPr>
          <w:sz w:val="20"/>
        </w:rPr>
        <w:t xml:space="preserve">that the petition is inadmissible since, in its view, it does not present facts that constitute human rights violations in the context of the criminal proceedings conducted to investigate the kidnapping of Gemma Mávil Hernández. It argues that two persons were convicted for the kidnapping of Ms. Mávil Hernández, although one of them was </w:t>
      </w:r>
      <w:r w:rsidR="009822F6">
        <w:rPr>
          <w:sz w:val="20"/>
        </w:rPr>
        <w:t>later</w:t>
      </w:r>
      <w:r>
        <w:rPr>
          <w:sz w:val="20"/>
        </w:rPr>
        <w:t xml:space="preserve"> acquitted after having presented a writ of amparo. The State </w:t>
      </w:r>
      <w:r w:rsidR="004A6198">
        <w:rPr>
          <w:sz w:val="20"/>
        </w:rPr>
        <w:t>set</w:t>
      </w:r>
      <w:r>
        <w:rPr>
          <w:sz w:val="20"/>
        </w:rPr>
        <w:t>s</w:t>
      </w:r>
      <w:r w:rsidR="004A6198">
        <w:rPr>
          <w:sz w:val="20"/>
        </w:rPr>
        <w:t xml:space="preserve"> forth</w:t>
      </w:r>
      <w:r>
        <w:rPr>
          <w:sz w:val="20"/>
        </w:rPr>
        <w:t xml:space="preserve"> that Mr. Pedro Mávil participated and filed remedies in the criminal proceeding and was recognized as an indirect victim of the crime, so that he could have access to reparation. The State therefore considers that it complied with its human rights obligations under the principle of subsidiarity.</w:t>
      </w:r>
    </w:p>
    <w:p w14:paraId="309B5B8F" w14:textId="52DFDC6B" w:rsidR="00D85B15" w:rsidRPr="001A1F80" w:rsidRDefault="00EE16CC" w:rsidP="001A1F80">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r>
        <w:rPr>
          <w:sz w:val="20"/>
        </w:rPr>
        <w:t>10.</w:t>
      </w:r>
      <w:r>
        <w:rPr>
          <w:sz w:val="20"/>
        </w:rPr>
        <w:tab/>
        <w:t>In addition, the State argues domestic remedies have not been exhausted, since the authorities continue to carry out investigations to find the body of the alleged victim and identify the persons responsible for the crime.</w:t>
      </w:r>
      <w:r w:rsidR="004A6198">
        <w:rPr>
          <w:sz w:val="20"/>
        </w:rPr>
        <w:t xml:space="preserve"> Further</w:t>
      </w:r>
      <w:r>
        <w:rPr>
          <w:sz w:val="20"/>
        </w:rPr>
        <w:t xml:space="preserve">, it </w:t>
      </w:r>
      <w:r w:rsidR="004A6198">
        <w:rPr>
          <w:sz w:val="20"/>
        </w:rPr>
        <w:t xml:space="preserve">emphasizes </w:t>
      </w:r>
      <w:r>
        <w:rPr>
          <w:sz w:val="20"/>
        </w:rPr>
        <w:t>that the petitioners have not exhausted domestic remedies with respect to the search and handing over of Gemma Mávil Hernández’s body.</w:t>
      </w:r>
    </w:p>
    <w:p w14:paraId="53145C1B" w14:textId="77777777" w:rsidR="003239B8" w:rsidRPr="00E64C3D" w:rsidRDefault="003239B8" w:rsidP="003239B8">
      <w:pPr>
        <w:spacing w:before="240" w:after="240"/>
        <w:ind w:firstLine="720"/>
        <w:jc w:val="both"/>
        <w:rPr>
          <w:rFonts w:ascii="Cambria" w:hAnsi="Cambria"/>
          <w:sz w:val="20"/>
          <w:szCs w:val="20"/>
        </w:rPr>
      </w:pPr>
      <w:r>
        <w:rPr>
          <w:rFonts w:asciiTheme="majorHAnsi" w:hAnsiTheme="majorHAnsi"/>
          <w:b/>
          <w:color w:val="000000"/>
          <w:sz w:val="20"/>
          <w:u w:color="000000"/>
        </w:rPr>
        <w:lastRenderedPageBreak/>
        <w:t>VI.</w:t>
      </w:r>
      <w:r>
        <w:rPr>
          <w:rFonts w:asciiTheme="majorHAnsi" w:hAnsiTheme="majorHAnsi"/>
          <w:b/>
          <w:color w:val="000000"/>
          <w:sz w:val="20"/>
          <w:u w:color="000000"/>
        </w:rPr>
        <w:tab/>
      </w:r>
      <w:r>
        <w:rPr>
          <w:rFonts w:asciiTheme="majorHAnsi" w:hAnsiTheme="majorHAnsi"/>
          <w:b/>
          <w:sz w:val="20"/>
        </w:rPr>
        <w:t>ANALYSIS OF EXHAUSTION OF DOMESTIC REMEDIES AND TIMELINESS OF THE PETITION</w:t>
      </w:r>
      <w:r>
        <w:rPr>
          <w:rFonts w:asciiTheme="majorHAnsi" w:hAnsiTheme="majorHAnsi"/>
          <w:b/>
          <w:color w:val="000000"/>
          <w:sz w:val="20"/>
          <w:u w:color="000000"/>
        </w:rPr>
        <w:t xml:space="preserve"> </w:t>
      </w:r>
    </w:p>
    <w:p w14:paraId="4F1E6BDF" w14:textId="5FBEAC74" w:rsidR="00E3515C" w:rsidRDefault="00031C87" w:rsidP="00031C8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rPr>
        <w:tab/>
        <w:t>11.</w:t>
      </w:r>
      <w:r>
        <w:rPr>
          <w:rFonts w:asciiTheme="majorHAnsi" w:hAnsiTheme="majorHAnsi"/>
          <w:sz w:val="20"/>
        </w:rPr>
        <w:tab/>
        <w:t xml:space="preserve">The Commission notes that the petitioners allege the lack of due diligence in the investigation into the kidnapping of the alleged victim; the existence of irregularities in the context of the burial of the corpse and in the criminal proceedings due to the improper handling of the body; and the lack of access to justice and comprehensive reparation for the family members of Gemma Mávil Hernández. The petitioners </w:t>
      </w:r>
      <w:r w:rsidR="000F47A8">
        <w:rPr>
          <w:rFonts w:asciiTheme="majorHAnsi" w:hAnsiTheme="majorHAnsi"/>
          <w:sz w:val="20"/>
        </w:rPr>
        <w:t xml:space="preserve">raise </w:t>
      </w:r>
      <w:r>
        <w:rPr>
          <w:rFonts w:asciiTheme="majorHAnsi" w:hAnsiTheme="majorHAnsi"/>
          <w:sz w:val="20"/>
        </w:rPr>
        <w:t xml:space="preserve">the exception </w:t>
      </w:r>
      <w:r w:rsidR="000F47A8">
        <w:rPr>
          <w:rFonts w:asciiTheme="majorHAnsi" w:hAnsiTheme="majorHAnsi"/>
          <w:sz w:val="20"/>
        </w:rPr>
        <w:t xml:space="preserve">to the exhaustion of domestic remedies </w:t>
      </w:r>
      <w:r>
        <w:rPr>
          <w:rFonts w:asciiTheme="majorHAnsi" w:hAnsiTheme="majorHAnsi"/>
          <w:sz w:val="20"/>
        </w:rPr>
        <w:t xml:space="preserve">of </w:t>
      </w:r>
      <w:r w:rsidR="00B21790">
        <w:rPr>
          <w:rFonts w:asciiTheme="majorHAnsi" w:hAnsiTheme="majorHAnsi"/>
          <w:sz w:val="20"/>
        </w:rPr>
        <w:t xml:space="preserve">unwarranted </w:t>
      </w:r>
      <w:r>
        <w:rPr>
          <w:rFonts w:asciiTheme="majorHAnsi" w:hAnsiTheme="majorHAnsi"/>
          <w:sz w:val="20"/>
        </w:rPr>
        <w:t xml:space="preserve">delay in </w:t>
      </w:r>
      <w:r w:rsidR="000F47A8">
        <w:rPr>
          <w:rFonts w:asciiTheme="majorHAnsi" w:hAnsiTheme="majorHAnsi"/>
          <w:sz w:val="20"/>
        </w:rPr>
        <w:t xml:space="preserve">rending </w:t>
      </w:r>
      <w:r>
        <w:rPr>
          <w:rFonts w:asciiTheme="majorHAnsi" w:hAnsiTheme="majorHAnsi"/>
          <w:sz w:val="20"/>
        </w:rPr>
        <w:t>a</w:t>
      </w:r>
      <w:r w:rsidR="000F47A8">
        <w:rPr>
          <w:rFonts w:asciiTheme="majorHAnsi" w:hAnsiTheme="majorHAnsi"/>
          <w:sz w:val="20"/>
        </w:rPr>
        <w:t xml:space="preserve"> final</w:t>
      </w:r>
      <w:r>
        <w:rPr>
          <w:rFonts w:asciiTheme="majorHAnsi" w:hAnsiTheme="majorHAnsi"/>
          <w:sz w:val="20"/>
        </w:rPr>
        <w:t xml:space="preserve"> </w:t>
      </w:r>
      <w:r w:rsidR="000F47A8">
        <w:rPr>
          <w:rFonts w:asciiTheme="majorHAnsi" w:hAnsiTheme="majorHAnsi"/>
          <w:sz w:val="20"/>
        </w:rPr>
        <w:t>judgement in the criminal proceedings</w:t>
      </w:r>
      <w:r>
        <w:rPr>
          <w:rFonts w:asciiTheme="majorHAnsi" w:hAnsiTheme="majorHAnsi"/>
          <w:sz w:val="20"/>
        </w:rPr>
        <w:t>. The State indicates that the investigations to find the whereabouts of the alleged victim’s body are still ongoing, so that domestic remedies would not have been exhausted.</w:t>
      </w:r>
    </w:p>
    <w:p w14:paraId="5D1D31B6" w14:textId="3AE0433A" w:rsidR="00C40153" w:rsidRDefault="001535B7" w:rsidP="006C7BA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rPr>
        <w:tab/>
        <w:t>12.</w:t>
      </w:r>
      <w:r>
        <w:rPr>
          <w:rFonts w:asciiTheme="majorHAnsi" w:hAnsiTheme="majorHAnsi"/>
          <w:sz w:val="20"/>
        </w:rPr>
        <w:tab/>
        <w:t>In this regard, the Commission recalls that, in cases of serious human rights violations, such as kidnapping or enforced disappearance, the domestic remedies to be taken into account for the purposes of the admissibility of a petition are those related to the criminal proceeding</w:t>
      </w:r>
      <w:r w:rsidR="0025569C">
        <w:rPr>
          <w:rFonts w:asciiTheme="majorHAnsi" w:hAnsiTheme="majorHAnsi"/>
          <w:sz w:val="20"/>
        </w:rPr>
        <w:t>s</w:t>
      </w:r>
      <w:r>
        <w:rPr>
          <w:rFonts w:asciiTheme="majorHAnsi" w:hAnsiTheme="majorHAnsi"/>
          <w:sz w:val="20"/>
        </w:rPr>
        <w:t>, since it is the path</w:t>
      </w:r>
      <w:r w:rsidR="0025569C">
        <w:rPr>
          <w:rFonts w:asciiTheme="majorHAnsi" w:hAnsiTheme="majorHAnsi"/>
          <w:sz w:val="20"/>
        </w:rPr>
        <w:t>way</w:t>
      </w:r>
      <w:r>
        <w:rPr>
          <w:rFonts w:asciiTheme="majorHAnsi" w:hAnsiTheme="majorHAnsi"/>
          <w:sz w:val="20"/>
        </w:rPr>
        <w:t xml:space="preserve"> to clarify the facts and establish the corresponding criminal sanctions, as well as to allow for other forms of pecuniary reparation.</w:t>
      </w:r>
      <w:r w:rsidR="005F4796">
        <w:rPr>
          <w:rStyle w:val="FootnoteReference"/>
          <w:rFonts w:asciiTheme="majorHAnsi" w:hAnsiTheme="majorHAnsi"/>
          <w:sz w:val="20"/>
          <w:szCs w:val="20"/>
          <w:lang w:val="es-ES"/>
        </w:rPr>
        <w:footnoteReference w:id="6"/>
      </w:r>
      <w:r>
        <w:rPr>
          <w:rFonts w:asciiTheme="majorHAnsi" w:hAnsiTheme="majorHAnsi"/>
          <w:sz w:val="20"/>
        </w:rPr>
        <w:t xml:space="preserve"> In this regard, the criminal investigation into the kidnapping of Gemma Mávil Hernández began in May 2011, and after ten years there is only </w:t>
      </w:r>
      <w:r w:rsidR="0025569C">
        <w:rPr>
          <w:rFonts w:asciiTheme="majorHAnsi" w:hAnsiTheme="majorHAnsi"/>
          <w:sz w:val="20"/>
        </w:rPr>
        <w:t xml:space="preserve">one </w:t>
      </w:r>
      <w:r>
        <w:rPr>
          <w:rFonts w:asciiTheme="majorHAnsi" w:hAnsiTheme="majorHAnsi"/>
          <w:sz w:val="20"/>
        </w:rPr>
        <w:t xml:space="preserve">conviction against </w:t>
      </w:r>
      <w:r w:rsidR="004D0738">
        <w:rPr>
          <w:rFonts w:asciiTheme="majorHAnsi" w:hAnsiTheme="majorHAnsi"/>
          <w:sz w:val="20"/>
        </w:rPr>
        <w:t>a man</w:t>
      </w:r>
      <w:r>
        <w:rPr>
          <w:rFonts w:asciiTheme="majorHAnsi" w:hAnsiTheme="majorHAnsi"/>
          <w:sz w:val="20"/>
        </w:rPr>
        <w:t xml:space="preserve"> who confessed to his involvement in the facts. Although the State has identified one of the persons responsible for the facts, there has been an </w:t>
      </w:r>
      <w:r w:rsidR="004D0738">
        <w:rPr>
          <w:rFonts w:asciiTheme="majorHAnsi" w:hAnsiTheme="majorHAnsi"/>
          <w:sz w:val="20"/>
        </w:rPr>
        <w:t xml:space="preserve">unwarranted </w:t>
      </w:r>
      <w:r>
        <w:rPr>
          <w:rFonts w:asciiTheme="majorHAnsi" w:hAnsiTheme="majorHAnsi"/>
          <w:sz w:val="20"/>
        </w:rPr>
        <w:t xml:space="preserve">delay in clarifying the facts in which the alleged victim died and in punishing </w:t>
      </w:r>
      <w:r w:rsidR="004D0738">
        <w:rPr>
          <w:rFonts w:asciiTheme="majorHAnsi" w:hAnsiTheme="majorHAnsi"/>
          <w:sz w:val="20"/>
        </w:rPr>
        <w:t>all of those responsible for the alleged victims’ kidnapping and death</w:t>
      </w:r>
      <w:r>
        <w:rPr>
          <w:rFonts w:asciiTheme="majorHAnsi" w:hAnsiTheme="majorHAnsi"/>
          <w:sz w:val="20"/>
        </w:rPr>
        <w:t>.</w:t>
      </w:r>
    </w:p>
    <w:p w14:paraId="4408FBF1" w14:textId="487FE6A1" w:rsidR="001535B7" w:rsidRDefault="00C40153" w:rsidP="00C4015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rPr>
        <w:t>13.</w:t>
      </w:r>
      <w:r>
        <w:rPr>
          <w:rFonts w:asciiTheme="majorHAnsi" w:hAnsiTheme="majorHAnsi"/>
          <w:sz w:val="20"/>
        </w:rPr>
        <w:tab/>
        <w:t xml:space="preserve">When there are specific elements pointing to partial impunity in cases of serious human rights violations, as in this case, </w:t>
      </w:r>
      <w:r w:rsidR="00EF639D">
        <w:rPr>
          <w:rFonts w:asciiTheme="majorHAnsi" w:hAnsiTheme="majorHAnsi"/>
          <w:sz w:val="20"/>
        </w:rPr>
        <w:t xml:space="preserve">the Commission found </w:t>
      </w:r>
      <w:r>
        <w:rPr>
          <w:rFonts w:asciiTheme="majorHAnsi" w:hAnsiTheme="majorHAnsi"/>
          <w:sz w:val="20"/>
        </w:rPr>
        <w:t>the exception to the exhaustion of domestic remedies provided for in Article 46.2(c) of the American Convention</w:t>
      </w:r>
      <w:r w:rsidR="00EF639D">
        <w:rPr>
          <w:rFonts w:asciiTheme="majorHAnsi" w:hAnsiTheme="majorHAnsi"/>
          <w:sz w:val="20"/>
        </w:rPr>
        <w:t xml:space="preserve"> applicable</w:t>
      </w:r>
      <w:r>
        <w:rPr>
          <w:rFonts w:asciiTheme="majorHAnsi" w:hAnsiTheme="majorHAnsi"/>
          <w:sz w:val="20"/>
        </w:rPr>
        <w:t>.</w:t>
      </w:r>
      <w:r w:rsidR="00BA7A59">
        <w:rPr>
          <w:rStyle w:val="FootnoteReference"/>
          <w:rFonts w:asciiTheme="majorHAnsi" w:hAnsiTheme="majorHAnsi"/>
          <w:sz w:val="20"/>
          <w:szCs w:val="20"/>
          <w:lang w:val="es-ES"/>
        </w:rPr>
        <w:footnoteReference w:id="7"/>
      </w:r>
      <w:r>
        <w:rPr>
          <w:rFonts w:asciiTheme="majorHAnsi" w:hAnsiTheme="majorHAnsi"/>
          <w:sz w:val="20"/>
        </w:rPr>
        <w:t xml:space="preserve"> In addition, the Commission notes that the petitioners argue that there is no investigation into possible sexual violence acts and the murder of the alleged victim. The State has not contested this claim, nor has it provided elements to the Commission that demonstrate that the alleged femicide of Gemma Mávil Hernández is being investigated. </w:t>
      </w:r>
    </w:p>
    <w:p w14:paraId="27B62AD0" w14:textId="6FD57D2A" w:rsidR="00866140" w:rsidRDefault="00037573" w:rsidP="00C4015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rPr>
        <w:t>14.</w:t>
      </w:r>
      <w:r>
        <w:rPr>
          <w:rFonts w:asciiTheme="majorHAnsi" w:hAnsiTheme="majorHAnsi"/>
          <w:sz w:val="20"/>
        </w:rPr>
        <w:tab/>
        <w:t xml:space="preserve">With respect to the allegations of lack of due diligence in the investigation into the disappearance of the alleged victim’s body, the exception of </w:t>
      </w:r>
      <w:r w:rsidR="00D22543">
        <w:rPr>
          <w:rFonts w:asciiTheme="majorHAnsi" w:hAnsiTheme="majorHAnsi"/>
          <w:sz w:val="20"/>
        </w:rPr>
        <w:t xml:space="preserve">unwarranted </w:t>
      </w:r>
      <w:r>
        <w:rPr>
          <w:rFonts w:asciiTheme="majorHAnsi" w:hAnsiTheme="majorHAnsi"/>
          <w:sz w:val="20"/>
        </w:rPr>
        <w:t>delay in the resolution of domestic remedies</w:t>
      </w:r>
      <w:r w:rsidR="00D22543">
        <w:rPr>
          <w:rFonts w:asciiTheme="majorHAnsi" w:hAnsiTheme="majorHAnsi"/>
          <w:sz w:val="20"/>
        </w:rPr>
        <w:t xml:space="preserve"> arises as well</w:t>
      </w:r>
      <w:r>
        <w:rPr>
          <w:rFonts w:asciiTheme="majorHAnsi" w:hAnsiTheme="majorHAnsi"/>
          <w:sz w:val="20"/>
        </w:rPr>
        <w:t xml:space="preserve">. Although the State contends that it is conducting the investigation to find the whereabouts of the body of Ms. Mávil Hernández, it has not specified what steps it has taken since 2016 to find the body and to punish the persons responsible for its disappearance. Therefore, from this perspective, the exception to exhaustion of domestic remedies provided for in Article 46.2(c) of the American Convention </w:t>
      </w:r>
      <w:r w:rsidR="00766FBD">
        <w:rPr>
          <w:rFonts w:asciiTheme="majorHAnsi" w:hAnsiTheme="majorHAnsi"/>
          <w:sz w:val="20"/>
        </w:rPr>
        <w:t xml:space="preserve">is </w:t>
      </w:r>
      <w:r>
        <w:rPr>
          <w:rFonts w:asciiTheme="majorHAnsi" w:hAnsiTheme="majorHAnsi"/>
          <w:sz w:val="20"/>
        </w:rPr>
        <w:t>also</w:t>
      </w:r>
      <w:r w:rsidR="00766FBD">
        <w:rPr>
          <w:rFonts w:asciiTheme="majorHAnsi" w:hAnsiTheme="majorHAnsi"/>
          <w:sz w:val="20"/>
        </w:rPr>
        <w:t xml:space="preserve"> applicable</w:t>
      </w:r>
      <w:r>
        <w:rPr>
          <w:rFonts w:asciiTheme="majorHAnsi" w:hAnsiTheme="majorHAnsi"/>
          <w:sz w:val="20"/>
        </w:rPr>
        <w:t>.</w:t>
      </w:r>
    </w:p>
    <w:p w14:paraId="1295345F" w14:textId="01830AA0" w:rsidR="00037573" w:rsidRDefault="00866140" w:rsidP="00C4015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rPr>
        <w:t>15.</w:t>
      </w:r>
      <w:r>
        <w:rPr>
          <w:rFonts w:asciiTheme="majorHAnsi" w:hAnsiTheme="majorHAnsi"/>
          <w:sz w:val="20"/>
        </w:rPr>
        <w:tab/>
        <w:t>In th</w:t>
      </w:r>
      <w:r w:rsidR="00766FBD">
        <w:rPr>
          <w:rFonts w:asciiTheme="majorHAnsi" w:hAnsiTheme="majorHAnsi"/>
          <w:sz w:val="20"/>
        </w:rPr>
        <w:t>is</w:t>
      </w:r>
      <w:r>
        <w:rPr>
          <w:rFonts w:asciiTheme="majorHAnsi" w:hAnsiTheme="majorHAnsi"/>
          <w:sz w:val="20"/>
        </w:rPr>
        <w:t xml:space="preserve"> case, the petitioners have carried out actions such as the request for genetic matching in 2016, the writ of amparo to request the exhumation and handing over of the body in 2016, the administrative proceeding to request reparation in 2018, and the complaint to the State Commission in 2019. Considering that the alleged facts began to take place in mid-2011; that this petition was filed on March 15, 2013; and that the effects of the alleged violations have extended until the present day, the Commission concludes that this petition was filed within a reasonable period of time </w:t>
      </w:r>
      <w:r w:rsidR="00766FBD">
        <w:rPr>
          <w:rFonts w:asciiTheme="majorHAnsi" w:hAnsiTheme="majorHAnsi"/>
          <w:sz w:val="20"/>
        </w:rPr>
        <w:t xml:space="preserve">in accordance with </w:t>
      </w:r>
      <w:r>
        <w:rPr>
          <w:rFonts w:asciiTheme="majorHAnsi" w:hAnsiTheme="majorHAnsi"/>
          <w:sz w:val="20"/>
        </w:rPr>
        <w:t xml:space="preserve">Article 32.2 of its Rules of Procedure in relation to the above-mentioned claims. </w:t>
      </w:r>
    </w:p>
    <w:p w14:paraId="0106ECF1" w14:textId="77777777" w:rsidR="00676D1B" w:rsidRDefault="0094302B" w:rsidP="000279C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rPr>
        <w:t>16.</w:t>
      </w:r>
      <w:r>
        <w:rPr>
          <w:rFonts w:asciiTheme="majorHAnsi" w:hAnsiTheme="majorHAnsi"/>
          <w:sz w:val="20"/>
        </w:rPr>
        <w:tab/>
        <w:t xml:space="preserve">Moreover, the petitioners allege that reparation was not comprehensive, and that they did not have access to justice through the writ of amparo. Although the appropriate remedy to complaint about impunity in the kidnapping, sexual violence and femicide of the alleged victim is the criminal proceeding, since specific violations concerning the administrative proceeding of reparation to victims and the subsequent writ </w:t>
      </w:r>
      <w:r>
        <w:rPr>
          <w:rFonts w:asciiTheme="majorHAnsi" w:hAnsiTheme="majorHAnsi"/>
          <w:sz w:val="20"/>
        </w:rPr>
        <w:lastRenderedPageBreak/>
        <w:t>of amparo were also alleged, the Commission must evaluate compliance with the admissibility requirements in this petition.</w:t>
      </w:r>
    </w:p>
    <w:p w14:paraId="01BC9785" w14:textId="0A413F50" w:rsidR="000279CB" w:rsidRPr="001A45A3" w:rsidRDefault="00676D1B" w:rsidP="000279C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rPr>
        <w:t>17.</w:t>
      </w:r>
      <w:r>
        <w:rPr>
          <w:rFonts w:asciiTheme="majorHAnsi" w:hAnsiTheme="majorHAnsi"/>
          <w:sz w:val="20"/>
        </w:rPr>
        <w:tab/>
        <w:t xml:space="preserve">The administrative proceeding for reparation for the family of Gemma Mávil Hernández began on January 31, 2018, through an order issued by the Executive Commission for Victim Assistance. On February 21, 2018, Mr. Pedro Mávil filed a writ of amparo against said order because he considered that </w:t>
      </w:r>
      <w:r w:rsidR="00AB5EC4">
        <w:rPr>
          <w:rFonts w:asciiTheme="majorHAnsi" w:hAnsiTheme="majorHAnsi"/>
          <w:sz w:val="20"/>
        </w:rPr>
        <w:t xml:space="preserve">it did </w:t>
      </w:r>
      <w:r>
        <w:rPr>
          <w:rFonts w:asciiTheme="majorHAnsi" w:hAnsiTheme="majorHAnsi"/>
          <w:sz w:val="20"/>
        </w:rPr>
        <w:t xml:space="preserve">not </w:t>
      </w:r>
      <w:r w:rsidR="00766FBD">
        <w:rPr>
          <w:rFonts w:asciiTheme="majorHAnsi" w:hAnsiTheme="majorHAnsi"/>
          <w:sz w:val="20"/>
        </w:rPr>
        <w:t xml:space="preserve">grant </w:t>
      </w:r>
      <w:r w:rsidR="00AB5EC4">
        <w:rPr>
          <w:rFonts w:asciiTheme="majorHAnsi" w:hAnsiTheme="majorHAnsi"/>
          <w:sz w:val="20"/>
        </w:rPr>
        <w:t xml:space="preserve">any </w:t>
      </w:r>
      <w:r>
        <w:rPr>
          <w:rFonts w:asciiTheme="majorHAnsi" w:hAnsiTheme="majorHAnsi"/>
          <w:sz w:val="20"/>
        </w:rPr>
        <w:t xml:space="preserve">reparation to the direct victim and that </w:t>
      </w:r>
      <w:r w:rsidR="00AB5EC4">
        <w:rPr>
          <w:rFonts w:asciiTheme="majorHAnsi" w:hAnsiTheme="majorHAnsi"/>
          <w:sz w:val="20"/>
        </w:rPr>
        <w:t xml:space="preserve">the </w:t>
      </w:r>
      <w:r>
        <w:rPr>
          <w:rFonts w:asciiTheme="majorHAnsi" w:hAnsiTheme="majorHAnsi"/>
          <w:sz w:val="20"/>
        </w:rPr>
        <w:t>reparation</w:t>
      </w:r>
      <w:r w:rsidR="00AB5EC4">
        <w:rPr>
          <w:rFonts w:asciiTheme="majorHAnsi" w:hAnsiTheme="majorHAnsi"/>
          <w:sz w:val="20"/>
        </w:rPr>
        <w:t xml:space="preserve"> </w:t>
      </w:r>
      <w:r w:rsidR="00766FBD">
        <w:rPr>
          <w:rFonts w:asciiTheme="majorHAnsi" w:hAnsiTheme="majorHAnsi"/>
          <w:sz w:val="20"/>
        </w:rPr>
        <w:t xml:space="preserve">measures </w:t>
      </w:r>
      <w:r w:rsidR="00AB5EC4">
        <w:rPr>
          <w:rFonts w:asciiTheme="majorHAnsi" w:hAnsiTheme="majorHAnsi"/>
          <w:sz w:val="20"/>
        </w:rPr>
        <w:t>did</w:t>
      </w:r>
      <w:r>
        <w:rPr>
          <w:rFonts w:asciiTheme="majorHAnsi" w:hAnsiTheme="majorHAnsi"/>
          <w:sz w:val="20"/>
        </w:rPr>
        <w:t xml:space="preserve"> not consider </w:t>
      </w:r>
      <w:r w:rsidR="00AB5EC4">
        <w:rPr>
          <w:rFonts w:asciiTheme="majorHAnsi" w:hAnsiTheme="majorHAnsi"/>
          <w:sz w:val="20"/>
        </w:rPr>
        <w:t xml:space="preserve">the </w:t>
      </w:r>
      <w:r w:rsidR="00766FBD">
        <w:rPr>
          <w:rFonts w:asciiTheme="majorHAnsi" w:hAnsiTheme="majorHAnsi"/>
          <w:sz w:val="20"/>
        </w:rPr>
        <w:t xml:space="preserve">evidence filed by the family regarding </w:t>
      </w:r>
      <w:r>
        <w:rPr>
          <w:rFonts w:asciiTheme="majorHAnsi" w:hAnsiTheme="majorHAnsi"/>
          <w:sz w:val="20"/>
        </w:rPr>
        <w:t>material and equitable damage</w:t>
      </w:r>
      <w:r w:rsidR="00AB5EC4">
        <w:rPr>
          <w:rFonts w:asciiTheme="majorHAnsi" w:hAnsiTheme="majorHAnsi"/>
          <w:sz w:val="20"/>
        </w:rPr>
        <w:t>s</w:t>
      </w:r>
      <w:r>
        <w:rPr>
          <w:rFonts w:asciiTheme="majorHAnsi" w:hAnsiTheme="majorHAnsi"/>
          <w:sz w:val="20"/>
        </w:rPr>
        <w:t xml:space="preserve">. On March 9, 2018, the writ of amparo was considered as if it had </w:t>
      </w:r>
      <w:r w:rsidR="00AB5EC4">
        <w:rPr>
          <w:rFonts w:asciiTheme="majorHAnsi" w:hAnsiTheme="majorHAnsi"/>
          <w:sz w:val="20"/>
        </w:rPr>
        <w:t>not</w:t>
      </w:r>
      <w:r>
        <w:rPr>
          <w:rFonts w:asciiTheme="majorHAnsi" w:hAnsiTheme="majorHAnsi"/>
          <w:sz w:val="20"/>
        </w:rPr>
        <w:t xml:space="preserve"> been submitted, a decision which was confirmed on March 23, 2018. The Commission understands that this decision led to the exhaustion of domestic remedies. As a result, in view of the fact that the petition was lodged on March 15, 2013, it is estimated that it meets the requirements set forth in Articles 46.1(a) and (b) of the American Convention.</w:t>
      </w:r>
    </w:p>
    <w:p w14:paraId="3B0D851C" w14:textId="77777777" w:rsidR="003239B8" w:rsidRPr="00E64C3D" w:rsidRDefault="003239B8" w:rsidP="003239B8">
      <w:pPr>
        <w:pStyle w:val="ListParagraph"/>
        <w:spacing w:before="240" w:after="240"/>
        <w:jc w:val="both"/>
        <w:rPr>
          <w:rFonts w:asciiTheme="majorHAnsi" w:hAnsiTheme="majorHAnsi"/>
          <w:b/>
          <w:sz w:val="20"/>
          <w:szCs w:val="20"/>
        </w:rPr>
      </w:pPr>
      <w:r>
        <w:rPr>
          <w:rFonts w:asciiTheme="majorHAnsi" w:hAnsiTheme="majorHAnsi"/>
          <w:b/>
          <w:sz w:val="20"/>
        </w:rPr>
        <w:t>VII.</w:t>
      </w:r>
      <w:r>
        <w:rPr>
          <w:rFonts w:asciiTheme="majorHAnsi" w:hAnsiTheme="majorHAnsi"/>
          <w:b/>
          <w:sz w:val="20"/>
        </w:rPr>
        <w:tab/>
        <w:t>ANALYSIS OF COLORABLE CLAIM</w:t>
      </w:r>
    </w:p>
    <w:p w14:paraId="10B86691" w14:textId="5A04C3A0" w:rsidR="00582264" w:rsidRDefault="00B61632" w:rsidP="00C7123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rPr>
        <w:t>18.</w:t>
      </w:r>
      <w:r>
        <w:rPr>
          <w:rFonts w:asciiTheme="majorHAnsi" w:hAnsiTheme="majorHAnsi"/>
          <w:sz w:val="20"/>
        </w:rPr>
        <w:tab/>
        <w:t xml:space="preserve">The IACHR notes that the main objective of this petition is to resolve the impunity in the kidnapping and subsequent femicide of Ms. Mávil Hernández, as well as the lack of due diligence during the investigation into her kidnapping and murder, and the subsequent disappearance of her body. On the one </w:t>
      </w:r>
      <w:r w:rsidR="00144CCA">
        <w:rPr>
          <w:rFonts w:asciiTheme="majorHAnsi" w:hAnsiTheme="majorHAnsi"/>
          <w:sz w:val="20"/>
        </w:rPr>
        <w:t>hand</w:t>
      </w:r>
      <w:r>
        <w:rPr>
          <w:rFonts w:asciiTheme="majorHAnsi" w:hAnsiTheme="majorHAnsi"/>
          <w:sz w:val="20"/>
        </w:rPr>
        <w:t xml:space="preserve">, the petitioners also include allegations regarding the lack of impartiality in the criminal proceedings </w:t>
      </w:r>
      <w:r w:rsidR="00766FBD">
        <w:rPr>
          <w:rFonts w:asciiTheme="majorHAnsi" w:hAnsiTheme="majorHAnsi"/>
          <w:sz w:val="20"/>
        </w:rPr>
        <w:t>on</w:t>
      </w:r>
      <w:r>
        <w:rPr>
          <w:rFonts w:asciiTheme="majorHAnsi" w:hAnsiTheme="majorHAnsi"/>
          <w:sz w:val="20"/>
        </w:rPr>
        <w:t xml:space="preserve"> the loss of the body, the violation of the right to personal integrity of the alleged victim’s family members and the lack of access to comprehensive reparation. On the other </w:t>
      </w:r>
      <w:r w:rsidR="00144CCA">
        <w:rPr>
          <w:rFonts w:asciiTheme="majorHAnsi" w:hAnsiTheme="majorHAnsi"/>
          <w:sz w:val="20"/>
        </w:rPr>
        <w:t>hand</w:t>
      </w:r>
      <w:r>
        <w:rPr>
          <w:rFonts w:asciiTheme="majorHAnsi" w:hAnsiTheme="majorHAnsi"/>
          <w:sz w:val="20"/>
        </w:rPr>
        <w:t>, Mexico argues that the petition does not contain human rights violations, since the authorities convicted a person for the kidnapping of the alleged victim; and that the petitioners reportedly had access to and participated in the criminal investigation and obtained administrative reparation.</w:t>
      </w:r>
    </w:p>
    <w:p w14:paraId="0D43764F" w14:textId="47DEFA50" w:rsidR="00DA17B8" w:rsidRDefault="00FD4896" w:rsidP="001518A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rPr>
        <w:t>19.</w:t>
      </w:r>
      <w:r>
        <w:rPr>
          <w:rFonts w:asciiTheme="majorHAnsi" w:hAnsiTheme="majorHAnsi"/>
          <w:sz w:val="20"/>
        </w:rPr>
        <w:tab/>
      </w:r>
      <w:r w:rsidR="00766FBD">
        <w:rPr>
          <w:rFonts w:asciiTheme="majorHAnsi" w:hAnsiTheme="majorHAnsi"/>
          <w:sz w:val="20"/>
        </w:rPr>
        <w:t>T</w:t>
      </w:r>
      <w:r>
        <w:rPr>
          <w:rFonts w:asciiTheme="majorHAnsi" w:hAnsiTheme="majorHAnsi"/>
          <w:sz w:val="20"/>
        </w:rPr>
        <w:t xml:space="preserve">he Commission recalls that States have the duty to investigate </w:t>
      </w:r>
      <w:r>
        <w:rPr>
          <w:rFonts w:asciiTheme="majorHAnsi" w:hAnsiTheme="majorHAnsi"/>
          <w:i/>
          <w:iCs/>
          <w:sz w:val="20"/>
        </w:rPr>
        <w:t>ex officio</w:t>
      </w:r>
      <w:r>
        <w:rPr>
          <w:rFonts w:asciiTheme="majorHAnsi" w:hAnsiTheme="majorHAnsi"/>
          <w:sz w:val="20"/>
        </w:rPr>
        <w:t xml:space="preserve"> any cases of disappearance of persons, as an intrinsic legal obligation, and </w:t>
      </w:r>
      <w:r w:rsidR="00A00987">
        <w:rPr>
          <w:rFonts w:asciiTheme="majorHAnsi" w:hAnsiTheme="majorHAnsi"/>
          <w:sz w:val="20"/>
        </w:rPr>
        <w:t xml:space="preserve">shall </w:t>
      </w:r>
      <w:r>
        <w:rPr>
          <w:rFonts w:asciiTheme="majorHAnsi" w:hAnsiTheme="majorHAnsi"/>
          <w:sz w:val="20"/>
        </w:rPr>
        <w:t>not shift the burden of th</w:t>
      </w:r>
      <w:r w:rsidR="00A00987">
        <w:rPr>
          <w:rFonts w:asciiTheme="majorHAnsi" w:hAnsiTheme="majorHAnsi"/>
          <w:sz w:val="20"/>
        </w:rPr>
        <w:t>is</w:t>
      </w:r>
      <w:r>
        <w:rPr>
          <w:rFonts w:asciiTheme="majorHAnsi" w:hAnsiTheme="majorHAnsi"/>
          <w:sz w:val="20"/>
        </w:rPr>
        <w:t xml:space="preserve"> initiative to the family members.</w:t>
      </w:r>
      <w:r>
        <w:rPr>
          <w:rStyle w:val="FootnoteReference"/>
          <w:rFonts w:asciiTheme="majorHAnsi" w:hAnsiTheme="majorHAnsi"/>
          <w:sz w:val="20"/>
          <w:szCs w:val="20"/>
          <w:lang w:val="es-ES"/>
        </w:rPr>
        <w:footnoteReference w:id="8"/>
      </w:r>
      <w:r>
        <w:rPr>
          <w:rFonts w:asciiTheme="majorHAnsi" w:hAnsiTheme="majorHAnsi"/>
          <w:sz w:val="20"/>
        </w:rPr>
        <w:t xml:space="preserve"> One of the guiding principles of the obligation of due diligence is to follow up on the logical lines of inquiry in any criminal investigations into human rights violations.</w:t>
      </w:r>
      <w:r>
        <w:rPr>
          <w:rStyle w:val="FootnoteReference"/>
          <w:rFonts w:asciiTheme="majorHAnsi" w:hAnsiTheme="majorHAnsi"/>
          <w:sz w:val="20"/>
          <w:szCs w:val="20"/>
          <w:lang w:val="es-ES"/>
        </w:rPr>
        <w:footnoteReference w:id="9"/>
      </w:r>
      <w:r>
        <w:rPr>
          <w:rFonts w:asciiTheme="majorHAnsi" w:hAnsiTheme="majorHAnsi"/>
          <w:sz w:val="20"/>
        </w:rPr>
        <w:t xml:space="preserve"> </w:t>
      </w:r>
    </w:p>
    <w:p w14:paraId="701E7FED" w14:textId="384998D0" w:rsidR="00FD4896" w:rsidRDefault="00DA17B8" w:rsidP="001518A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rPr>
        <w:t>20.</w:t>
      </w:r>
      <w:r>
        <w:rPr>
          <w:rFonts w:asciiTheme="majorHAnsi" w:hAnsiTheme="majorHAnsi"/>
          <w:sz w:val="20"/>
        </w:rPr>
        <w:tab/>
        <w:t xml:space="preserve">In addition, in case of violence against women, the general obligations established in Articles 8 and 25 of the American Convention are </w:t>
      </w:r>
      <w:r w:rsidR="00A00987">
        <w:rPr>
          <w:rFonts w:asciiTheme="majorHAnsi" w:hAnsiTheme="majorHAnsi"/>
          <w:sz w:val="20"/>
        </w:rPr>
        <w:t xml:space="preserve">complemented </w:t>
      </w:r>
      <w:r>
        <w:rPr>
          <w:rFonts w:asciiTheme="majorHAnsi" w:hAnsiTheme="majorHAnsi"/>
          <w:sz w:val="20"/>
        </w:rPr>
        <w:t>and enhanced for the States Parties by the obligations arising from the specific inter-American treaty, the Convention of Belém do Pará. Article 7(b) of this Convention specifically obliges States parties to apply due diligence to prevent, punish and eradicate violence against women.</w:t>
      </w:r>
      <w:r w:rsidR="00FD4896">
        <w:rPr>
          <w:rStyle w:val="FootnoteReference"/>
          <w:rFonts w:asciiTheme="majorHAnsi" w:hAnsiTheme="majorHAnsi"/>
          <w:sz w:val="20"/>
          <w:szCs w:val="20"/>
          <w:lang w:val="es-ES"/>
        </w:rPr>
        <w:footnoteReference w:id="10"/>
      </w:r>
      <w:r>
        <w:rPr>
          <w:rFonts w:asciiTheme="majorHAnsi" w:hAnsiTheme="majorHAnsi"/>
          <w:sz w:val="20"/>
        </w:rPr>
        <w:t xml:space="preserve"> Indeed, the obligation to investiga</w:t>
      </w:r>
      <w:r w:rsidR="00892718">
        <w:rPr>
          <w:rFonts w:asciiTheme="majorHAnsi" w:hAnsiTheme="majorHAnsi"/>
          <w:sz w:val="20"/>
        </w:rPr>
        <w:t xml:space="preserve">te is </w:t>
      </w:r>
      <w:r w:rsidR="00B945A4">
        <w:rPr>
          <w:rFonts w:asciiTheme="majorHAnsi" w:hAnsiTheme="majorHAnsi"/>
          <w:sz w:val="20"/>
        </w:rPr>
        <w:t>reinforc</w:t>
      </w:r>
      <w:r w:rsidR="00892718">
        <w:rPr>
          <w:rFonts w:asciiTheme="majorHAnsi" w:hAnsiTheme="majorHAnsi"/>
          <w:sz w:val="20"/>
        </w:rPr>
        <w:t xml:space="preserve">ed in the case of </w:t>
      </w:r>
      <w:r>
        <w:rPr>
          <w:rFonts w:asciiTheme="majorHAnsi" w:hAnsiTheme="majorHAnsi"/>
          <w:sz w:val="20"/>
        </w:rPr>
        <w:t>a woman who is killed or suffers ill-treatment, or whose personal liberty is violated in a general context of violence against women, since it is required that the State clarify whether the act was perpetrated based on gender.</w:t>
      </w:r>
      <w:r w:rsidR="00FD4896">
        <w:rPr>
          <w:rStyle w:val="FootnoteReference"/>
          <w:rFonts w:asciiTheme="majorHAnsi" w:hAnsiTheme="majorHAnsi"/>
          <w:sz w:val="20"/>
          <w:szCs w:val="20"/>
          <w:lang w:val="es-ES"/>
        </w:rPr>
        <w:footnoteReference w:id="11"/>
      </w:r>
      <w:r>
        <w:rPr>
          <w:rFonts w:asciiTheme="majorHAnsi" w:hAnsiTheme="majorHAnsi"/>
          <w:sz w:val="20"/>
        </w:rPr>
        <w:t xml:space="preserve"> This obligation is particularly important in widespread contexts of violence against women. In this regard, the Commission has found that the forced disappearance of women, girls and adolescents has been a recurrent phenomenon in different parts of Mexico.</w:t>
      </w:r>
      <w:r w:rsidR="00283F6C">
        <w:rPr>
          <w:rStyle w:val="FootnoteReference"/>
          <w:rFonts w:asciiTheme="majorHAnsi" w:hAnsiTheme="majorHAnsi"/>
          <w:sz w:val="20"/>
          <w:szCs w:val="20"/>
          <w:lang w:val="es-ES"/>
        </w:rPr>
        <w:footnoteReference w:id="12"/>
      </w:r>
      <w:r>
        <w:rPr>
          <w:rFonts w:asciiTheme="majorHAnsi" w:hAnsiTheme="majorHAnsi"/>
          <w:sz w:val="20"/>
        </w:rPr>
        <w:t xml:space="preserve"> Thus, although the lack of prevention of enforced disappearance in a generalized context does not imply </w:t>
      </w:r>
      <w:r>
        <w:rPr>
          <w:rFonts w:asciiTheme="majorHAnsi" w:hAnsiTheme="majorHAnsi"/>
          <w:i/>
          <w:iCs/>
          <w:sz w:val="20"/>
        </w:rPr>
        <w:t>per se</w:t>
      </w:r>
      <w:r>
        <w:rPr>
          <w:rFonts w:asciiTheme="majorHAnsi" w:hAnsiTheme="majorHAnsi"/>
          <w:sz w:val="20"/>
        </w:rPr>
        <w:t xml:space="preserve"> the responsibility of the State in a specific case, when the State is aware of an enforced disappearance in this context, it has a reinforced obligation of due diligence since it knows that there is a real and imminent risk that women victims are sexually abused, subjected to ill-treatment and killed. The Inter-American Court of Human Rights has determined that “</w:t>
      </w:r>
      <w:r>
        <w:rPr>
          <w:rFonts w:asciiTheme="majorHAnsi" w:hAnsiTheme="majorHAnsi"/>
          <w:i/>
          <w:sz w:val="20"/>
        </w:rPr>
        <w:t>in this context, an obligation of strict due diligence arises in regard to reports of missing women, with respect to search operations during the first hours and days.</w:t>
      </w:r>
      <w:r>
        <w:rPr>
          <w:rFonts w:asciiTheme="majorHAnsi" w:hAnsiTheme="majorHAnsi"/>
          <w:sz w:val="20"/>
        </w:rPr>
        <w:t>”</w:t>
      </w:r>
      <w:r>
        <w:rPr>
          <w:rStyle w:val="FootnoteReference"/>
          <w:rFonts w:asciiTheme="majorHAnsi" w:hAnsiTheme="majorHAnsi"/>
          <w:sz w:val="20"/>
          <w:szCs w:val="20"/>
          <w:lang w:val="es-ES"/>
        </w:rPr>
        <w:footnoteReference w:id="13"/>
      </w:r>
    </w:p>
    <w:p w14:paraId="5D1E8F06" w14:textId="15005E43" w:rsidR="00CB1527" w:rsidRDefault="00C27843" w:rsidP="00525B9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rPr>
        <w:lastRenderedPageBreak/>
        <w:t>21.</w:t>
      </w:r>
      <w:r>
        <w:rPr>
          <w:rFonts w:asciiTheme="majorHAnsi" w:hAnsiTheme="majorHAnsi"/>
          <w:sz w:val="20"/>
        </w:rPr>
        <w:tab/>
        <w:t xml:space="preserve">In light of these standards, and </w:t>
      </w:r>
      <w:r w:rsidR="00B945A4">
        <w:rPr>
          <w:rFonts w:asciiTheme="majorHAnsi" w:hAnsiTheme="majorHAnsi"/>
          <w:sz w:val="20"/>
        </w:rPr>
        <w:t xml:space="preserve">under the </w:t>
      </w:r>
      <w:r>
        <w:rPr>
          <w:rFonts w:asciiTheme="majorHAnsi" w:hAnsiTheme="majorHAnsi"/>
          <w:i/>
          <w:iCs/>
          <w:sz w:val="20"/>
        </w:rPr>
        <w:t>prima facie</w:t>
      </w:r>
      <w:r>
        <w:rPr>
          <w:rFonts w:asciiTheme="majorHAnsi" w:hAnsiTheme="majorHAnsi"/>
          <w:sz w:val="20"/>
        </w:rPr>
        <w:t xml:space="preserve"> approach inherent to admissibility assessment, the Commission considers that the State failed to undertake essential steps when it could still be assumed that the alleged victim was alive. The Office of the Public Prosecutor released a person who had been detained in the operation carried out after the kidnapping of the alleged victim and did not follow the line of investigation of the bank account holder demanding the ransom. Neither did it carry out expert reports on the audios nor track the phone calls to collect evidence essential to the investigation, despite the requests and efforts made by Mr. Pedro Mávil. </w:t>
      </w:r>
    </w:p>
    <w:p w14:paraId="7861B09E" w14:textId="4A2CEA69" w:rsidR="002B19FA" w:rsidRDefault="003107DC" w:rsidP="008D0D8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rPr>
        <w:t>22.</w:t>
      </w:r>
      <w:r>
        <w:rPr>
          <w:rFonts w:asciiTheme="majorHAnsi" w:hAnsiTheme="majorHAnsi"/>
          <w:sz w:val="20"/>
        </w:rPr>
        <w:tab/>
      </w:r>
      <w:r w:rsidR="00B945A4">
        <w:rPr>
          <w:rFonts w:asciiTheme="majorHAnsi" w:hAnsiTheme="majorHAnsi"/>
          <w:sz w:val="20"/>
        </w:rPr>
        <w:t>Moreover</w:t>
      </w:r>
      <w:r>
        <w:rPr>
          <w:rFonts w:asciiTheme="majorHAnsi" w:hAnsiTheme="majorHAnsi"/>
          <w:sz w:val="20"/>
        </w:rPr>
        <w:t>, once the body of Ms. Gemma Mávil Hernández was recovered by the Office of the Public Prosecutor, said entity had the obligation to identify the alleged victim, determine the cause of death, and find out whether she had been subjected to sexual violence, as well as to preserve and collect relevant physical evidence. The gender perspective in the investigation into what had happened to the alleged victim imposed an obligation on the Office of the Public Prosecutor to clarify whether the facts were perpetrated on the basis of gender and to investigate other specific violations of personal integrity, such as torture, any acts of sexual violence and any possible sexual motive.</w:t>
      </w:r>
      <w:r w:rsidR="00F37B78" w:rsidRPr="00F37B78">
        <w:rPr>
          <w:rFonts w:asciiTheme="majorHAnsi" w:hAnsiTheme="majorHAnsi"/>
          <w:sz w:val="20"/>
          <w:szCs w:val="20"/>
          <w:vertAlign w:val="superscript"/>
          <w:lang w:val="es-ES"/>
        </w:rPr>
        <w:footnoteReference w:id="14"/>
      </w:r>
      <w:r>
        <w:rPr>
          <w:rFonts w:asciiTheme="majorHAnsi" w:hAnsiTheme="majorHAnsi"/>
          <w:sz w:val="20"/>
        </w:rPr>
        <w:t xml:space="preserve"> The Commission considers</w:t>
      </w:r>
      <w:r>
        <w:rPr>
          <w:rFonts w:asciiTheme="majorHAnsi" w:hAnsiTheme="majorHAnsi"/>
          <w:i/>
          <w:sz w:val="20"/>
        </w:rPr>
        <w:t xml:space="preserve"> prima facie</w:t>
      </w:r>
      <w:r>
        <w:rPr>
          <w:rFonts w:asciiTheme="majorHAnsi" w:hAnsiTheme="majorHAnsi"/>
          <w:sz w:val="20"/>
        </w:rPr>
        <w:t xml:space="preserve"> that the alleged improper handling and treatment of the body, and the lack of investigation into possible sexual violence acts and into the cause of the death of the alleged victim could constitute an absence of due diligence in the criminal investigation and a lack of a gender perspective in the clarification of the facts. </w:t>
      </w:r>
    </w:p>
    <w:p w14:paraId="56C19CA0" w14:textId="2D681F5A" w:rsidR="001F34D7" w:rsidRDefault="002E5569" w:rsidP="002E556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Pr>
          <w:rFonts w:asciiTheme="majorHAnsi" w:hAnsiTheme="majorHAnsi"/>
          <w:sz w:val="20"/>
        </w:rPr>
        <w:t>23.</w:t>
      </w:r>
      <w:r>
        <w:rPr>
          <w:rFonts w:asciiTheme="majorHAnsi" w:hAnsiTheme="majorHAnsi"/>
          <w:sz w:val="20"/>
        </w:rPr>
        <w:tab/>
      </w:r>
      <w:r w:rsidR="001908C0">
        <w:rPr>
          <w:rFonts w:asciiTheme="majorHAnsi" w:hAnsiTheme="majorHAnsi"/>
          <w:sz w:val="20"/>
        </w:rPr>
        <w:t>T</w:t>
      </w:r>
      <w:r>
        <w:rPr>
          <w:rFonts w:asciiTheme="majorHAnsi" w:hAnsiTheme="majorHAnsi"/>
          <w:sz w:val="20"/>
        </w:rPr>
        <w:t xml:space="preserve">he petitioners </w:t>
      </w:r>
      <w:r w:rsidR="001908C0">
        <w:rPr>
          <w:rFonts w:asciiTheme="majorHAnsi" w:hAnsiTheme="majorHAnsi"/>
          <w:sz w:val="20"/>
        </w:rPr>
        <w:t xml:space="preserve">further </w:t>
      </w:r>
      <w:r>
        <w:rPr>
          <w:rFonts w:asciiTheme="majorHAnsi" w:hAnsiTheme="majorHAnsi"/>
          <w:sz w:val="20"/>
        </w:rPr>
        <w:t xml:space="preserve">allege that the administrative reparation was not comprehensive and that there was no reparation to Ms. Mávil Hernández as a direct victim. They argue that the reparation failed to </w:t>
      </w:r>
      <w:r w:rsidR="00D311FC">
        <w:rPr>
          <w:rFonts w:asciiTheme="majorHAnsi" w:hAnsiTheme="majorHAnsi"/>
          <w:sz w:val="20"/>
        </w:rPr>
        <w:t>consider</w:t>
      </w:r>
      <w:r>
        <w:rPr>
          <w:rFonts w:asciiTheme="majorHAnsi" w:hAnsiTheme="majorHAnsi"/>
          <w:sz w:val="20"/>
        </w:rPr>
        <w:t xml:space="preserve"> the evidence provided by the family, such as the fact that Mr. Pedro Mávil quit his job, and it was limited to performing a valuation in equity contrary to what had been proven.</w:t>
      </w:r>
    </w:p>
    <w:p w14:paraId="5CA29072" w14:textId="4C6D5942" w:rsidR="002E5569" w:rsidRPr="002E5569" w:rsidRDefault="002E5569" w:rsidP="002E556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rPr>
        <w:tab/>
        <w:t>24.</w:t>
      </w:r>
      <w:r>
        <w:rPr>
          <w:rFonts w:asciiTheme="majorHAnsi" w:hAnsiTheme="majorHAnsi"/>
          <w:sz w:val="20"/>
        </w:rPr>
        <w:tab/>
        <w:t xml:space="preserve">The IACHR also recognizes the investigative work undertaken by Mr. Pedro Mávil and his family in order to locate the whereabouts of Gemma Mávil Hernández, </w:t>
      </w:r>
      <w:r w:rsidR="001908C0">
        <w:rPr>
          <w:rFonts w:asciiTheme="majorHAnsi" w:hAnsiTheme="majorHAnsi"/>
          <w:sz w:val="20"/>
        </w:rPr>
        <w:t xml:space="preserve">and the fact that </w:t>
      </w:r>
      <w:r>
        <w:rPr>
          <w:rFonts w:asciiTheme="majorHAnsi" w:hAnsiTheme="majorHAnsi"/>
          <w:sz w:val="20"/>
        </w:rPr>
        <w:t>Mr. Mávil even quit his job</w:t>
      </w:r>
      <w:r w:rsidR="001908C0">
        <w:rPr>
          <w:rFonts w:asciiTheme="majorHAnsi" w:hAnsiTheme="majorHAnsi"/>
          <w:sz w:val="20"/>
        </w:rPr>
        <w:t xml:space="preserve"> for this reason</w:t>
      </w:r>
      <w:r>
        <w:rPr>
          <w:rFonts w:asciiTheme="majorHAnsi" w:hAnsiTheme="majorHAnsi"/>
          <w:sz w:val="20"/>
        </w:rPr>
        <w:t>. Therefore, the Commission considers</w:t>
      </w:r>
      <w:r>
        <w:rPr>
          <w:rFonts w:asciiTheme="majorHAnsi" w:hAnsiTheme="majorHAnsi"/>
          <w:i/>
          <w:sz w:val="20"/>
        </w:rPr>
        <w:t xml:space="preserve"> prima facie </w:t>
      </w:r>
      <w:r>
        <w:rPr>
          <w:rFonts w:asciiTheme="majorHAnsi" w:hAnsiTheme="majorHAnsi"/>
          <w:sz w:val="20"/>
        </w:rPr>
        <w:t xml:space="preserve">that it is possible to establish a violation of the right to personal integrity and the right of </w:t>
      </w:r>
      <w:r w:rsidR="001908C0">
        <w:rPr>
          <w:rFonts w:asciiTheme="majorHAnsi" w:hAnsiTheme="majorHAnsi"/>
          <w:sz w:val="20"/>
        </w:rPr>
        <w:t xml:space="preserve">the family </w:t>
      </w:r>
      <w:r>
        <w:rPr>
          <w:rFonts w:asciiTheme="majorHAnsi" w:hAnsiTheme="majorHAnsi"/>
          <w:sz w:val="20"/>
        </w:rPr>
        <w:t xml:space="preserve">to the detriment of the victim’s family members in the instant case, for the alleged omissions of the State in the prevention and due investigation of the facts had several impacts on the victim’s family nucleus and on the dynamics of their lives, which were affected by the disappearance of the alleged victim. </w:t>
      </w:r>
    </w:p>
    <w:p w14:paraId="638C5BF3" w14:textId="77777777" w:rsidR="001A520D" w:rsidRPr="00674ED3" w:rsidRDefault="00B334E6" w:rsidP="00674ED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Pr>
          <w:rFonts w:asciiTheme="majorHAnsi" w:hAnsiTheme="majorHAnsi"/>
          <w:sz w:val="20"/>
        </w:rPr>
        <w:t>25.</w:t>
      </w:r>
      <w:r>
        <w:rPr>
          <w:rFonts w:asciiTheme="majorHAnsi" w:hAnsiTheme="majorHAnsi"/>
          <w:sz w:val="20"/>
        </w:rPr>
        <w:tab/>
        <w:t xml:space="preserve"> </w:t>
      </w:r>
      <w:r>
        <w:rPr>
          <w:rFonts w:ascii="Cambria" w:hAnsi="Cambria"/>
          <w:sz w:val="20"/>
        </w:rPr>
        <w:t>In view of these considerations and after examining the elements of fact and law set forth by the parties, the Commission considers that the claims of the petitioners are not unfounded and need to be studied on the merits since the alleged facts, if corroborated, could imply violations of Articles 4 (life), 5 (personal integrity),  7 (personal liberty), 8 (right to a fair trial), 17 (protection of the family), 24 (equality before the law) and 25 (judicial protection) of the American Convention, in relation to Article 1.1 (obligation to respect rights) thereof, and Article 7 of the Convention of Belém do Pará to the detriment of alleged victims established in this report.</w:t>
      </w:r>
    </w:p>
    <w:p w14:paraId="1AB060C2" w14:textId="77777777" w:rsidR="003239B8" w:rsidRPr="0078770A" w:rsidRDefault="003239B8" w:rsidP="003239B8">
      <w:pPr>
        <w:pStyle w:val="ListParagraph"/>
        <w:spacing w:before="240" w:after="240"/>
        <w:jc w:val="both"/>
        <w:rPr>
          <w:rFonts w:asciiTheme="majorHAnsi" w:hAnsiTheme="majorHAnsi"/>
          <w:b/>
          <w:bCs/>
          <w:sz w:val="20"/>
          <w:szCs w:val="20"/>
        </w:rPr>
      </w:pPr>
      <w:r>
        <w:rPr>
          <w:rFonts w:asciiTheme="majorHAnsi" w:hAnsiTheme="majorHAnsi"/>
          <w:b/>
          <w:sz w:val="20"/>
        </w:rPr>
        <w:t xml:space="preserve">VIII. </w:t>
      </w:r>
      <w:r>
        <w:rPr>
          <w:rFonts w:asciiTheme="majorHAnsi" w:hAnsiTheme="majorHAnsi"/>
          <w:b/>
          <w:sz w:val="20"/>
        </w:rPr>
        <w:tab/>
        <w:t>DECISION</w:t>
      </w:r>
    </w:p>
    <w:p w14:paraId="7B7CA008" w14:textId="7DB8E65E" w:rsidR="003239B8" w:rsidRPr="00B86F10" w:rsidRDefault="00144CCA"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B86F10">
        <w:rPr>
          <w:rFonts w:asciiTheme="majorHAnsi" w:hAnsiTheme="majorHAnsi"/>
          <w:sz w:val="20"/>
        </w:rPr>
        <w:t>T</w:t>
      </w:r>
      <w:r w:rsidR="003239B8" w:rsidRPr="00B86F10">
        <w:rPr>
          <w:rFonts w:asciiTheme="majorHAnsi" w:hAnsiTheme="majorHAnsi"/>
          <w:sz w:val="20"/>
        </w:rPr>
        <w:t>o declare this petition admissible in relation to Articles 4, 5, 7, 8, 17, 24 and 25 of the American Convention in accordance with Article 1.1 thereof, and Article 7 of the Convention of Belém do Pará.</w:t>
      </w:r>
    </w:p>
    <w:p w14:paraId="77143D87" w14:textId="55150F12" w:rsidR="00722C9F" w:rsidRPr="004C691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rPr>
        <w:t>To notify the parties of this decision; to proceed with the merits of the case; to publish this decision and include it in its Annual Report to the General Assembly of the Organization of American States.</w:t>
      </w:r>
    </w:p>
    <w:p w14:paraId="681DA893" w14:textId="7AF9D8F0" w:rsidR="004C691F" w:rsidRPr="00DE24D3" w:rsidRDefault="004C691F" w:rsidP="00717311">
      <w:pPr>
        <w:suppressAutoHyphens/>
        <w:ind w:firstLine="720"/>
        <w:jc w:val="both"/>
        <w:rPr>
          <w:rFonts w:asciiTheme="majorHAnsi" w:hAnsiTheme="majorHAnsi"/>
          <w:sz w:val="20"/>
          <w:szCs w:val="20"/>
        </w:rPr>
      </w:pPr>
      <w:bookmarkStart w:id="2" w:name="_Hlk69908510"/>
      <w:r w:rsidRPr="006D25D7">
        <w:rPr>
          <w:rFonts w:ascii="Cambria" w:hAnsi="Cambria"/>
          <w:spacing w:val="-2"/>
          <w:sz w:val="20"/>
        </w:rPr>
        <w:t xml:space="preserve">Approved by the Inter-American Commission on Human Rights on the </w:t>
      </w:r>
      <w:r>
        <w:rPr>
          <w:rFonts w:ascii="Cambria" w:hAnsi="Cambria"/>
          <w:spacing w:val="-2"/>
          <w:sz w:val="20"/>
        </w:rPr>
        <w:t>30</w:t>
      </w:r>
      <w:r w:rsidRPr="004C691F">
        <w:rPr>
          <w:rFonts w:ascii="Cambria" w:hAnsi="Cambria"/>
          <w:spacing w:val="-2"/>
          <w:sz w:val="20"/>
          <w:vertAlign w:val="superscript"/>
        </w:rPr>
        <w:t>th</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 xml:space="preserve">ay of the month of </w:t>
      </w:r>
      <w:proofErr w:type="gramStart"/>
      <w:r>
        <w:rPr>
          <w:rFonts w:ascii="Cambria" w:hAnsi="Cambria"/>
          <w:spacing w:val="-2"/>
          <w:sz w:val="20"/>
        </w:rPr>
        <w:t>August,</w:t>
      </w:r>
      <w:proofErr w:type="gramEnd"/>
      <w:r>
        <w:rPr>
          <w:rFonts w:ascii="Cambria" w:hAnsi="Cambria"/>
          <w:spacing w:val="-2"/>
          <w:sz w:val="20"/>
        </w:rPr>
        <w:t xml:space="preserve"> 2021</w:t>
      </w:r>
      <w:r w:rsidRPr="006D25D7">
        <w:rPr>
          <w:rFonts w:ascii="Cambria" w:hAnsi="Cambria"/>
          <w:spacing w:val="-2"/>
          <w:sz w:val="20"/>
        </w:rPr>
        <w:t xml:space="preserve">. </w:t>
      </w:r>
      <w:r>
        <w:rPr>
          <w:rFonts w:ascii="Cambria" w:hAnsi="Cambria"/>
          <w:spacing w:val="-2"/>
          <w:sz w:val="20"/>
        </w:rPr>
        <w:t xml:space="preserve"> (Signed:) </w:t>
      </w:r>
      <w:r>
        <w:rPr>
          <w:rFonts w:asciiTheme="majorHAnsi" w:hAnsiTheme="majorHAnsi" w:cs="Arial"/>
          <w:noProof/>
          <w:spacing w:val="-2"/>
          <w:sz w:val="20"/>
          <w:szCs w:val="20"/>
        </w:rPr>
        <w:t>Antonia Urrejola</w:t>
      </w:r>
      <w:r w:rsidRPr="006D25D7">
        <w:rPr>
          <w:rFonts w:ascii="Cambria" w:hAnsi="Cambria"/>
          <w:sz w:val="20"/>
        </w:rPr>
        <w:t xml:space="preserve">, President; </w:t>
      </w:r>
      <w:r>
        <w:rPr>
          <w:rFonts w:asciiTheme="majorHAnsi" w:hAnsiTheme="majorHAnsi" w:cs="Arial"/>
          <w:noProof/>
          <w:spacing w:val="-2"/>
          <w:sz w:val="20"/>
          <w:szCs w:val="20"/>
        </w:rPr>
        <w:t>Julissa Mantilla Falcón</w:t>
      </w:r>
      <w:r w:rsidRPr="006D25D7">
        <w:rPr>
          <w:rFonts w:ascii="Cambria" w:hAnsi="Cambria"/>
          <w:sz w:val="20"/>
        </w:rPr>
        <w:t xml:space="preserve">, First Vice President; </w:t>
      </w:r>
      <w:r>
        <w:rPr>
          <w:rFonts w:ascii="Cambria" w:hAnsi="Cambria"/>
          <w:sz w:val="20"/>
          <w:szCs w:val="20"/>
        </w:rPr>
        <w:t>Flávia Piovesan</w:t>
      </w:r>
      <w:r w:rsidRPr="006D25D7">
        <w:rPr>
          <w:rFonts w:ascii="Cambria" w:hAnsi="Cambria"/>
          <w:sz w:val="20"/>
        </w:rPr>
        <w:t>, Second Vice President;</w:t>
      </w:r>
      <w:r w:rsidRPr="00F9365E">
        <w:rPr>
          <w:rFonts w:ascii="Cambria" w:hAnsi="Cambria"/>
          <w:sz w:val="20"/>
        </w:rPr>
        <w:t xml:space="preserve"> Margarette May Macaulay,</w:t>
      </w:r>
      <w:r w:rsidRPr="006D25D7">
        <w:rPr>
          <w:rFonts w:ascii="Cambria" w:hAnsi="Cambria"/>
          <w:sz w:val="20"/>
        </w:rPr>
        <w:t xml:space="preserve"> </w:t>
      </w:r>
      <w:r w:rsidRPr="008E4C59">
        <w:rPr>
          <w:rFonts w:asciiTheme="majorHAnsi" w:hAnsiTheme="majorHAnsi" w:cs="Arial"/>
          <w:noProof/>
          <w:spacing w:val="-2"/>
          <w:sz w:val="20"/>
          <w:szCs w:val="20"/>
        </w:rPr>
        <w:t xml:space="preserve">Esmeralda E. Arosemena Bernal de Troitiño, </w:t>
      </w:r>
      <w:r>
        <w:rPr>
          <w:rFonts w:asciiTheme="majorHAnsi" w:hAnsiTheme="majorHAnsi" w:cs="Arial"/>
          <w:noProof/>
          <w:spacing w:val="-2"/>
          <w:sz w:val="20"/>
          <w:szCs w:val="20"/>
        </w:rPr>
        <w:t>and</w:t>
      </w:r>
      <w:r w:rsidRPr="008E4C59">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w:t>
      </w:r>
      <w:r w:rsidRPr="006D25D7">
        <w:rPr>
          <w:rFonts w:ascii="Cambria" w:hAnsi="Cambria" w:cs="Arial"/>
          <w:noProof/>
          <w:spacing w:val="-2"/>
          <w:sz w:val="20"/>
        </w:rPr>
        <w:t xml:space="preserve"> Commissioners</w:t>
      </w:r>
      <w:r w:rsidRPr="006D25D7">
        <w:rPr>
          <w:rFonts w:ascii="Cambria" w:hAnsi="Cambria"/>
          <w:spacing w:val="-2"/>
          <w:sz w:val="20"/>
        </w:rPr>
        <w:t>.</w:t>
      </w:r>
      <w:bookmarkEnd w:id="2"/>
    </w:p>
    <w:sectPr w:rsidR="004C691F" w:rsidRPr="00DE24D3"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D374D" w14:textId="77777777" w:rsidR="002F1C6A" w:rsidRDefault="002F1C6A">
      <w:r>
        <w:separator/>
      </w:r>
    </w:p>
  </w:endnote>
  <w:endnote w:type="continuationSeparator" w:id="0">
    <w:p w14:paraId="3837D88C" w14:textId="77777777" w:rsidR="002F1C6A" w:rsidRDefault="002F1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57F8B24" w14:textId="31500D90" w:rsidR="0070697F" w:rsidRPr="00934A2C" w:rsidRDefault="0070697F">
        <w:pPr>
          <w:pStyle w:val="Footer"/>
          <w:jc w:val="center"/>
          <w:rPr>
            <w:sz w:val="16"/>
            <w:szCs w:val="22"/>
          </w:rPr>
        </w:pPr>
        <w:r w:rsidRPr="00934A2C">
          <w:rPr>
            <w:sz w:val="16"/>
          </w:rPr>
          <w:fldChar w:fldCharType="begin"/>
        </w:r>
        <w:r w:rsidRPr="00934A2C">
          <w:rPr>
            <w:sz w:val="16"/>
          </w:rPr>
          <w:instrText xml:space="preserve"> PAGE   \* MERGEFORMAT </w:instrText>
        </w:r>
        <w:r w:rsidRPr="00934A2C">
          <w:rPr>
            <w:sz w:val="16"/>
          </w:rPr>
          <w:fldChar w:fldCharType="separate"/>
        </w:r>
        <w:r w:rsidR="00C468FE">
          <w:rPr>
            <w:noProof/>
            <w:sz w:val="16"/>
          </w:rPr>
          <w:t>4</w:t>
        </w:r>
        <w:r w:rsidRPr="00934A2C">
          <w:rPr>
            <w:sz w:val="16"/>
          </w:rPr>
          <w:fldChar w:fldCharType="end"/>
        </w:r>
      </w:p>
    </w:sdtContent>
  </w:sdt>
  <w:p w14:paraId="0909A9B1"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27AE9" w14:textId="77777777" w:rsidR="0070697F" w:rsidRPr="00934A2C" w:rsidRDefault="0070697F">
    <w:pPr>
      <w:pStyle w:val="Footer"/>
      <w:jc w:val="center"/>
      <w:rPr>
        <w:sz w:val="16"/>
        <w:szCs w:val="22"/>
      </w:rPr>
    </w:pPr>
  </w:p>
  <w:p w14:paraId="31F1F272"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EA82E" w14:textId="77777777" w:rsidR="002F1C6A" w:rsidRPr="000F35ED" w:rsidRDefault="002F1C6A">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40E0E79" w14:textId="77777777" w:rsidR="002F1C6A" w:rsidRPr="000F35ED" w:rsidRDefault="002F1C6A" w:rsidP="000F35ED">
      <w:pPr>
        <w:rPr>
          <w:rFonts w:asciiTheme="majorHAnsi" w:hAnsiTheme="majorHAnsi"/>
          <w:sz w:val="16"/>
          <w:szCs w:val="16"/>
        </w:rPr>
      </w:pPr>
      <w:r w:rsidRPr="000F35ED">
        <w:rPr>
          <w:rFonts w:asciiTheme="majorHAnsi" w:hAnsiTheme="majorHAnsi"/>
          <w:sz w:val="16"/>
          <w:szCs w:val="16"/>
        </w:rPr>
        <w:separator/>
      </w:r>
    </w:p>
    <w:p w14:paraId="5A4E1C0F" w14:textId="77777777" w:rsidR="002F1C6A" w:rsidRPr="000F35ED" w:rsidRDefault="002F1C6A"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2726CD12" w14:textId="77777777" w:rsidR="002F1C6A" w:rsidRPr="000F35ED" w:rsidRDefault="002F1C6A"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B2AF00F" w14:textId="77777777" w:rsidR="004A6A54" w:rsidRPr="00306F33" w:rsidRDefault="004A6A54" w:rsidP="00306F33">
      <w:pPr>
        <w:pStyle w:val="FootnoteText"/>
        <w:ind w:firstLine="720"/>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rPr>
        <w:t xml:space="preserve"> In accordance with Article 17.2.a of the Rules of Procedure of the Commission, Commissioner Joel Hernández, a Mexican national, did not participate in the discussion or decision of the present case.</w:t>
      </w:r>
    </w:p>
  </w:footnote>
  <w:footnote w:id="3">
    <w:p w14:paraId="39486191" w14:textId="77777777" w:rsidR="009346B0" w:rsidRPr="004A5DD2" w:rsidRDefault="009346B0" w:rsidP="009346B0">
      <w:pPr>
        <w:pStyle w:val="FootnoteText"/>
        <w:ind w:firstLine="720"/>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rPr>
        <w:t xml:space="preserve"> Hereinafter “the American Convention” or “the Convention.”</w:t>
      </w:r>
    </w:p>
  </w:footnote>
  <w:footnote w:id="4">
    <w:p w14:paraId="28D3C3BB" w14:textId="77777777" w:rsidR="009346B0" w:rsidRPr="004A5DD2" w:rsidRDefault="009346B0" w:rsidP="009346B0">
      <w:pPr>
        <w:pStyle w:val="FootnoteText"/>
        <w:ind w:firstLine="720"/>
      </w:pPr>
      <w:r>
        <w:rPr>
          <w:rStyle w:val="FootnoteReference"/>
          <w:rFonts w:asciiTheme="majorHAnsi" w:hAnsiTheme="majorHAnsi"/>
          <w:sz w:val="16"/>
          <w:szCs w:val="16"/>
        </w:rPr>
        <w:footnoteRef/>
      </w:r>
      <w:r>
        <w:rPr>
          <w:rFonts w:asciiTheme="majorHAnsi" w:hAnsiTheme="majorHAnsi"/>
          <w:sz w:val="16"/>
        </w:rPr>
        <w:t xml:space="preserve"> Hereinafter “the Convention of </w:t>
      </w:r>
      <w:proofErr w:type="spellStart"/>
      <w:r>
        <w:rPr>
          <w:rFonts w:asciiTheme="majorHAnsi" w:hAnsiTheme="majorHAnsi"/>
          <w:sz w:val="16"/>
        </w:rPr>
        <w:t>Belém</w:t>
      </w:r>
      <w:proofErr w:type="spellEnd"/>
      <w:r>
        <w:rPr>
          <w:rFonts w:asciiTheme="majorHAnsi" w:hAnsiTheme="majorHAnsi"/>
          <w:sz w:val="16"/>
        </w:rPr>
        <w:t xml:space="preserve"> do Pará.”</w:t>
      </w:r>
    </w:p>
  </w:footnote>
  <w:footnote w:id="5">
    <w:p w14:paraId="5F089E6B" w14:textId="77777777" w:rsidR="008E3BFE" w:rsidRPr="00306F33" w:rsidRDefault="008E3BFE" w:rsidP="00306F33">
      <w:pPr>
        <w:pStyle w:val="FootnoteText"/>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rPr>
        <w:t xml:space="preserve"> The observations submitted by each party were duly transmitted to the opposing party.</w:t>
      </w:r>
    </w:p>
  </w:footnote>
  <w:footnote w:id="6">
    <w:p w14:paraId="68B265A1" w14:textId="77777777" w:rsidR="005F4796" w:rsidRPr="00BA7A59" w:rsidRDefault="005F4796" w:rsidP="00831531">
      <w:pPr>
        <w:pStyle w:val="FootnoteText"/>
        <w:ind w:firstLine="720"/>
        <w:jc w:val="both"/>
        <w:rPr>
          <w:rFonts w:ascii="Cambria" w:hAnsi="Cambria"/>
        </w:rPr>
      </w:pPr>
      <w:r>
        <w:rPr>
          <w:rStyle w:val="FootnoteReference"/>
          <w:rFonts w:ascii="Cambria" w:hAnsi="Cambria"/>
          <w:sz w:val="16"/>
          <w:szCs w:val="16"/>
        </w:rPr>
        <w:footnoteRef/>
      </w:r>
      <w:r>
        <w:rPr>
          <w:rFonts w:ascii="Cambria" w:hAnsi="Cambria"/>
          <w:sz w:val="16"/>
        </w:rPr>
        <w:t xml:space="preserve">IACHR, Report No. 131/21. Petition 784- 10. Admissibility. </w:t>
      </w:r>
      <w:r w:rsidRPr="00717311">
        <w:rPr>
          <w:rFonts w:ascii="Cambria" w:hAnsi="Cambria"/>
          <w:sz w:val="16"/>
          <w:lang w:val="es-US"/>
        </w:rPr>
        <w:t xml:space="preserve">Wilson Mario Taborda Cardona and </w:t>
      </w:r>
      <w:proofErr w:type="spellStart"/>
      <w:r w:rsidRPr="00717311">
        <w:rPr>
          <w:rFonts w:ascii="Cambria" w:hAnsi="Cambria"/>
          <w:sz w:val="16"/>
          <w:lang w:val="es-US"/>
        </w:rPr>
        <w:t>family</w:t>
      </w:r>
      <w:proofErr w:type="spellEnd"/>
      <w:r w:rsidRPr="00717311">
        <w:rPr>
          <w:rFonts w:ascii="Cambria" w:hAnsi="Cambria"/>
          <w:sz w:val="16"/>
          <w:lang w:val="es-US"/>
        </w:rPr>
        <w:t xml:space="preserve">. Colombia. May 13, 2021; para. </w:t>
      </w:r>
      <w:r>
        <w:rPr>
          <w:rFonts w:ascii="Cambria" w:hAnsi="Cambria"/>
          <w:sz w:val="16"/>
        </w:rPr>
        <w:t>12.</w:t>
      </w:r>
    </w:p>
  </w:footnote>
  <w:footnote w:id="7">
    <w:p w14:paraId="1EF1CDDF" w14:textId="77777777" w:rsidR="00BA7A59" w:rsidRPr="001A4629" w:rsidRDefault="00BA7A59" w:rsidP="00803293">
      <w:pPr>
        <w:pStyle w:val="FootnoteText"/>
        <w:ind w:firstLine="720"/>
        <w:jc w:val="both"/>
        <w:rPr>
          <w:lang w:val="es-ES"/>
        </w:rPr>
      </w:pPr>
      <w:r>
        <w:rPr>
          <w:rStyle w:val="FootnoteReference"/>
          <w:rFonts w:ascii="Cambria" w:hAnsi="Cambria"/>
          <w:sz w:val="16"/>
          <w:szCs w:val="16"/>
        </w:rPr>
        <w:footnoteRef/>
      </w:r>
      <w:r>
        <w:rPr>
          <w:rFonts w:ascii="Cambria" w:hAnsi="Cambria"/>
          <w:sz w:val="16"/>
        </w:rPr>
        <w:t xml:space="preserve">IACHR, Report No. 240/20. Petition 399- 11. Admissibility. </w:t>
      </w:r>
      <w:r w:rsidRPr="00717311">
        <w:rPr>
          <w:rFonts w:ascii="Cambria" w:hAnsi="Cambria"/>
          <w:sz w:val="16"/>
        </w:rPr>
        <w:t xml:space="preserve">Over Jose Quila </w:t>
      </w:r>
      <w:r w:rsidRPr="00717311">
        <w:rPr>
          <w:rFonts w:ascii="Cambria" w:hAnsi="Cambria"/>
          <w:i/>
          <w:iCs/>
          <w:sz w:val="16"/>
        </w:rPr>
        <w:t xml:space="preserve">et al. </w:t>
      </w:r>
      <w:r w:rsidRPr="001A4629">
        <w:rPr>
          <w:rFonts w:ascii="Cambria" w:hAnsi="Cambria"/>
          <w:sz w:val="16"/>
          <w:lang w:val="es-ES"/>
        </w:rPr>
        <w:t xml:space="preserve">(La </w:t>
      </w:r>
      <w:proofErr w:type="spellStart"/>
      <w:r w:rsidRPr="001A4629">
        <w:rPr>
          <w:rFonts w:ascii="Cambria" w:hAnsi="Cambria"/>
          <w:sz w:val="16"/>
          <w:lang w:val="es-ES"/>
        </w:rPr>
        <w:t>Rejoya</w:t>
      </w:r>
      <w:proofErr w:type="spellEnd"/>
      <w:r w:rsidRPr="001A4629">
        <w:rPr>
          <w:rFonts w:ascii="Cambria" w:hAnsi="Cambria"/>
          <w:sz w:val="16"/>
          <w:lang w:val="es-ES"/>
        </w:rPr>
        <w:t xml:space="preserve"> </w:t>
      </w:r>
      <w:proofErr w:type="spellStart"/>
      <w:r w:rsidRPr="001A4629">
        <w:rPr>
          <w:rFonts w:ascii="Cambria" w:hAnsi="Cambria"/>
          <w:sz w:val="16"/>
          <w:lang w:val="es-ES"/>
        </w:rPr>
        <w:t>Massacre</w:t>
      </w:r>
      <w:proofErr w:type="spellEnd"/>
      <w:r w:rsidRPr="001A4629">
        <w:rPr>
          <w:rFonts w:ascii="Cambria" w:hAnsi="Cambria"/>
          <w:sz w:val="16"/>
          <w:lang w:val="es-ES"/>
        </w:rPr>
        <w:t xml:space="preserve">). Colombia. </w:t>
      </w:r>
      <w:proofErr w:type="spellStart"/>
      <w:r w:rsidRPr="001A4629">
        <w:rPr>
          <w:rFonts w:ascii="Cambria" w:hAnsi="Cambria"/>
          <w:sz w:val="16"/>
          <w:lang w:val="es-ES"/>
        </w:rPr>
        <w:t>September</w:t>
      </w:r>
      <w:proofErr w:type="spellEnd"/>
      <w:r w:rsidRPr="001A4629">
        <w:rPr>
          <w:rFonts w:ascii="Cambria" w:hAnsi="Cambria"/>
          <w:sz w:val="16"/>
          <w:lang w:val="es-ES"/>
        </w:rPr>
        <w:t xml:space="preserve"> 6, 2020; para. 12; </w:t>
      </w:r>
      <w:proofErr w:type="spellStart"/>
      <w:r w:rsidRPr="001A4629">
        <w:rPr>
          <w:rFonts w:ascii="Cambria" w:hAnsi="Cambria"/>
          <w:sz w:val="16"/>
          <w:lang w:val="es-ES"/>
        </w:rPr>
        <w:t>Report</w:t>
      </w:r>
      <w:proofErr w:type="spellEnd"/>
      <w:r w:rsidRPr="001A4629">
        <w:rPr>
          <w:rFonts w:ascii="Cambria" w:hAnsi="Cambria"/>
          <w:sz w:val="16"/>
          <w:lang w:val="es-ES"/>
        </w:rPr>
        <w:t xml:space="preserve"> No. 129/18, </w:t>
      </w:r>
      <w:proofErr w:type="spellStart"/>
      <w:r w:rsidRPr="001A4629">
        <w:rPr>
          <w:rFonts w:ascii="Cambria" w:hAnsi="Cambria"/>
          <w:sz w:val="16"/>
          <w:lang w:val="es-ES"/>
        </w:rPr>
        <w:t>Petition</w:t>
      </w:r>
      <w:proofErr w:type="spellEnd"/>
      <w:r w:rsidRPr="001A4629">
        <w:rPr>
          <w:rFonts w:ascii="Cambria" w:hAnsi="Cambria"/>
          <w:sz w:val="16"/>
          <w:lang w:val="es-ES"/>
        </w:rPr>
        <w:t xml:space="preserve"> 1256/ 07. </w:t>
      </w:r>
      <w:proofErr w:type="spellStart"/>
      <w:r w:rsidRPr="001A4629">
        <w:rPr>
          <w:rFonts w:ascii="Cambria" w:hAnsi="Cambria"/>
          <w:sz w:val="16"/>
          <w:lang w:val="es-ES"/>
        </w:rPr>
        <w:t>Admissibility</w:t>
      </w:r>
      <w:proofErr w:type="spellEnd"/>
      <w:r w:rsidRPr="001A4629">
        <w:rPr>
          <w:rFonts w:ascii="Cambria" w:hAnsi="Cambria"/>
          <w:sz w:val="16"/>
          <w:lang w:val="es-ES"/>
        </w:rPr>
        <w:t xml:space="preserve">. Cornelio Antonio Isaza Arango </w:t>
      </w:r>
      <w:r w:rsidRPr="001A4629">
        <w:rPr>
          <w:rFonts w:ascii="Cambria" w:hAnsi="Cambria"/>
          <w:i/>
          <w:iCs/>
          <w:sz w:val="16"/>
          <w:lang w:val="es-ES"/>
        </w:rPr>
        <w:t>et al</w:t>
      </w:r>
      <w:r w:rsidRPr="001A4629">
        <w:rPr>
          <w:rFonts w:ascii="Cambria" w:hAnsi="Cambria"/>
          <w:sz w:val="16"/>
          <w:lang w:val="es-ES"/>
        </w:rPr>
        <w:t xml:space="preserve">. </w:t>
      </w:r>
      <w:r w:rsidRPr="00490D5E">
        <w:rPr>
          <w:rFonts w:ascii="Cambria" w:hAnsi="Cambria"/>
          <w:sz w:val="16"/>
          <w:lang w:val="es-ES"/>
        </w:rPr>
        <w:t>(</w:t>
      </w:r>
      <w:proofErr w:type="spellStart"/>
      <w:r w:rsidRPr="00490D5E">
        <w:rPr>
          <w:rFonts w:ascii="Cambria" w:hAnsi="Cambria"/>
          <w:sz w:val="16"/>
          <w:lang w:val="es-ES"/>
        </w:rPr>
        <w:t>Massacre</w:t>
      </w:r>
      <w:proofErr w:type="spellEnd"/>
      <w:r w:rsidRPr="00490D5E">
        <w:rPr>
          <w:rFonts w:ascii="Cambria" w:hAnsi="Cambria"/>
          <w:sz w:val="16"/>
          <w:lang w:val="es-ES"/>
        </w:rPr>
        <w:t xml:space="preserve"> </w:t>
      </w:r>
      <w:proofErr w:type="spellStart"/>
      <w:r w:rsidRPr="00490D5E">
        <w:rPr>
          <w:rFonts w:ascii="Cambria" w:hAnsi="Cambria"/>
          <w:sz w:val="16"/>
          <w:lang w:val="es-ES"/>
        </w:rPr>
        <w:t>of</w:t>
      </w:r>
      <w:proofErr w:type="spellEnd"/>
      <w:r w:rsidRPr="00490D5E">
        <w:rPr>
          <w:rFonts w:ascii="Cambria" w:hAnsi="Cambria"/>
          <w:sz w:val="16"/>
          <w:lang w:val="es-ES"/>
        </w:rPr>
        <w:t xml:space="preserve"> El Retiro </w:t>
      </w:r>
      <w:proofErr w:type="spellStart"/>
      <w:r w:rsidRPr="00490D5E">
        <w:rPr>
          <w:rFonts w:ascii="Cambria" w:hAnsi="Cambria"/>
          <w:sz w:val="16"/>
          <w:lang w:val="es-ES"/>
        </w:rPr>
        <w:t>Sawmill</w:t>
      </w:r>
      <w:proofErr w:type="spellEnd"/>
      <w:r w:rsidRPr="00490D5E">
        <w:rPr>
          <w:rFonts w:ascii="Cambria" w:hAnsi="Cambria"/>
          <w:sz w:val="16"/>
          <w:lang w:val="es-ES"/>
        </w:rPr>
        <w:t xml:space="preserve">), Colombia, </w:t>
      </w:r>
      <w:proofErr w:type="spellStart"/>
      <w:r w:rsidRPr="00490D5E">
        <w:rPr>
          <w:rFonts w:ascii="Cambria" w:hAnsi="Cambria"/>
          <w:sz w:val="16"/>
          <w:lang w:val="es-ES"/>
        </w:rPr>
        <w:t>November</w:t>
      </w:r>
      <w:proofErr w:type="spellEnd"/>
      <w:r w:rsidRPr="00490D5E">
        <w:rPr>
          <w:rFonts w:ascii="Cambria" w:hAnsi="Cambria"/>
          <w:sz w:val="16"/>
          <w:lang w:val="es-ES"/>
        </w:rPr>
        <w:t xml:space="preserve"> 20, 2018; and </w:t>
      </w:r>
      <w:proofErr w:type="spellStart"/>
      <w:r w:rsidRPr="00490D5E">
        <w:rPr>
          <w:rFonts w:ascii="Cambria" w:hAnsi="Cambria"/>
          <w:sz w:val="16"/>
          <w:lang w:val="es-ES"/>
        </w:rPr>
        <w:t>Report</w:t>
      </w:r>
      <w:proofErr w:type="spellEnd"/>
      <w:r w:rsidRPr="00490D5E">
        <w:rPr>
          <w:rFonts w:ascii="Cambria" w:hAnsi="Cambria"/>
          <w:sz w:val="16"/>
          <w:lang w:val="es-ES"/>
        </w:rPr>
        <w:t xml:space="preserve"> No. 104/18, </w:t>
      </w:r>
      <w:proofErr w:type="spellStart"/>
      <w:r w:rsidRPr="00490D5E">
        <w:rPr>
          <w:rFonts w:ascii="Cambria" w:hAnsi="Cambria"/>
          <w:sz w:val="16"/>
          <w:lang w:val="es-ES"/>
        </w:rPr>
        <w:t>Petition</w:t>
      </w:r>
      <w:proofErr w:type="spellEnd"/>
      <w:r w:rsidRPr="00490D5E">
        <w:rPr>
          <w:rFonts w:ascii="Cambria" w:hAnsi="Cambria"/>
          <w:sz w:val="16"/>
          <w:lang w:val="es-ES"/>
        </w:rPr>
        <w:t xml:space="preserve"> 221/08, </w:t>
      </w:r>
      <w:proofErr w:type="spellStart"/>
      <w:r w:rsidRPr="00490D5E">
        <w:rPr>
          <w:rFonts w:ascii="Cambria" w:hAnsi="Cambria"/>
          <w:sz w:val="16"/>
          <w:lang w:val="es-ES"/>
        </w:rPr>
        <w:t>Admissibility</w:t>
      </w:r>
      <w:proofErr w:type="spellEnd"/>
      <w:r w:rsidRPr="00490D5E">
        <w:rPr>
          <w:rFonts w:ascii="Cambria" w:hAnsi="Cambria"/>
          <w:sz w:val="16"/>
          <w:lang w:val="es-ES"/>
        </w:rPr>
        <w:t xml:space="preserve">. </w:t>
      </w:r>
      <w:r w:rsidRPr="001A4629">
        <w:rPr>
          <w:rFonts w:ascii="Cambria" w:hAnsi="Cambria"/>
          <w:sz w:val="16"/>
          <w:lang w:val="es-ES"/>
        </w:rPr>
        <w:t xml:space="preserve">Delis Palacio Herrón </w:t>
      </w:r>
      <w:r w:rsidRPr="001A4629">
        <w:rPr>
          <w:rFonts w:ascii="Cambria" w:hAnsi="Cambria"/>
          <w:i/>
          <w:iCs/>
          <w:sz w:val="16"/>
          <w:lang w:val="es-ES"/>
        </w:rPr>
        <w:t>et al.</w:t>
      </w:r>
      <w:r w:rsidRPr="001A4629">
        <w:rPr>
          <w:rFonts w:ascii="Cambria" w:hAnsi="Cambria"/>
          <w:sz w:val="16"/>
          <w:lang w:val="es-ES"/>
        </w:rPr>
        <w:t xml:space="preserve"> (Bojayá </w:t>
      </w:r>
      <w:proofErr w:type="spellStart"/>
      <w:r w:rsidRPr="001A4629">
        <w:rPr>
          <w:rFonts w:ascii="Cambria" w:hAnsi="Cambria"/>
          <w:sz w:val="16"/>
          <w:lang w:val="es-ES"/>
        </w:rPr>
        <w:t>Massacre</w:t>
      </w:r>
      <w:proofErr w:type="spellEnd"/>
      <w:r w:rsidRPr="001A4629">
        <w:rPr>
          <w:rFonts w:ascii="Cambria" w:hAnsi="Cambria"/>
          <w:sz w:val="16"/>
          <w:lang w:val="es-ES"/>
        </w:rPr>
        <w:t xml:space="preserve">), Colombia, </w:t>
      </w:r>
      <w:proofErr w:type="spellStart"/>
      <w:r w:rsidRPr="001A4629">
        <w:rPr>
          <w:rFonts w:ascii="Cambria" w:hAnsi="Cambria"/>
          <w:sz w:val="16"/>
          <w:lang w:val="es-ES"/>
        </w:rPr>
        <w:t>September</w:t>
      </w:r>
      <w:proofErr w:type="spellEnd"/>
      <w:r w:rsidRPr="001A4629">
        <w:rPr>
          <w:rFonts w:ascii="Cambria" w:hAnsi="Cambria"/>
          <w:sz w:val="16"/>
          <w:lang w:val="es-ES"/>
        </w:rPr>
        <w:t xml:space="preserve"> 20, 2018.</w:t>
      </w:r>
    </w:p>
  </w:footnote>
  <w:footnote w:id="8">
    <w:p w14:paraId="3D73AB92" w14:textId="77777777" w:rsidR="00FD4896" w:rsidRPr="006D3859" w:rsidRDefault="00FD4896" w:rsidP="00FD4896">
      <w:pPr>
        <w:pStyle w:val="FootnoteText"/>
        <w:ind w:firstLine="720"/>
        <w:jc w:val="both"/>
        <w:rPr>
          <w:rFonts w:ascii="Cambria" w:hAnsi="Cambria"/>
          <w:lang w:val="es-ES"/>
        </w:rPr>
      </w:pPr>
      <w:r>
        <w:rPr>
          <w:rStyle w:val="FootnoteReference"/>
          <w:rFonts w:ascii="Cambria" w:hAnsi="Cambria"/>
          <w:sz w:val="16"/>
          <w:szCs w:val="16"/>
        </w:rPr>
        <w:footnoteRef/>
      </w:r>
      <w:r w:rsidRPr="006D3859">
        <w:rPr>
          <w:rFonts w:ascii="Cambria" w:hAnsi="Cambria"/>
          <w:sz w:val="16"/>
          <w:lang w:val="es-ES"/>
        </w:rPr>
        <w:t xml:space="preserve">IAHR </w:t>
      </w:r>
      <w:proofErr w:type="spellStart"/>
      <w:r w:rsidRPr="006D3859">
        <w:rPr>
          <w:rFonts w:ascii="Cambria" w:hAnsi="Cambria"/>
          <w:sz w:val="16"/>
          <w:lang w:val="es-ES"/>
        </w:rPr>
        <w:t>Court</w:t>
      </w:r>
      <w:proofErr w:type="spellEnd"/>
      <w:r w:rsidRPr="006D3859">
        <w:rPr>
          <w:rFonts w:ascii="Cambria" w:hAnsi="Cambria"/>
          <w:sz w:val="16"/>
          <w:lang w:val="es-ES"/>
        </w:rPr>
        <w:t xml:space="preserve">. </w:t>
      </w:r>
      <w:proofErr w:type="spellStart"/>
      <w:r w:rsidRPr="006D3859">
        <w:rPr>
          <w:rFonts w:ascii="Cambria" w:hAnsi="Cambria"/>
          <w:sz w:val="16"/>
          <w:lang w:val="es-ES"/>
        </w:rPr>
        <w:t>Guachalá</w:t>
      </w:r>
      <w:proofErr w:type="spellEnd"/>
      <w:r w:rsidRPr="006D3859">
        <w:rPr>
          <w:rFonts w:ascii="Cambria" w:hAnsi="Cambria"/>
          <w:sz w:val="16"/>
          <w:lang w:val="es-ES"/>
        </w:rPr>
        <w:t xml:space="preserve"> Chimbo </w:t>
      </w:r>
      <w:r w:rsidRPr="006D3859">
        <w:rPr>
          <w:rFonts w:ascii="Cambria" w:hAnsi="Cambria"/>
          <w:i/>
          <w:iCs/>
          <w:sz w:val="16"/>
          <w:lang w:val="es-ES"/>
        </w:rPr>
        <w:t>et al.</w:t>
      </w:r>
      <w:r w:rsidRPr="006D3859">
        <w:rPr>
          <w:rFonts w:ascii="Cambria" w:hAnsi="Cambria"/>
          <w:sz w:val="16"/>
          <w:lang w:val="es-ES"/>
        </w:rPr>
        <w:t xml:space="preserve"> v. Ecuador. </w:t>
      </w:r>
      <w:r>
        <w:rPr>
          <w:rFonts w:ascii="Cambria" w:hAnsi="Cambria"/>
          <w:sz w:val="16"/>
        </w:rPr>
        <w:t xml:space="preserve">Merits, </w:t>
      </w:r>
      <w:proofErr w:type="gramStart"/>
      <w:r>
        <w:rPr>
          <w:rFonts w:ascii="Cambria" w:hAnsi="Cambria"/>
          <w:sz w:val="16"/>
        </w:rPr>
        <w:t>reparations</w:t>
      </w:r>
      <w:proofErr w:type="gramEnd"/>
      <w:r>
        <w:rPr>
          <w:rFonts w:ascii="Cambria" w:hAnsi="Cambria"/>
          <w:sz w:val="16"/>
        </w:rPr>
        <w:t xml:space="preserve"> and costs. Judgement of March 26, 2021. </w:t>
      </w:r>
      <w:r w:rsidRPr="006D3859">
        <w:rPr>
          <w:rFonts w:ascii="Cambria" w:hAnsi="Cambria"/>
          <w:sz w:val="16"/>
          <w:lang w:val="es-ES"/>
        </w:rPr>
        <w:t>Series C No. 423, para. 200.</w:t>
      </w:r>
    </w:p>
  </w:footnote>
  <w:footnote w:id="9">
    <w:p w14:paraId="1989C56D" w14:textId="77777777" w:rsidR="00FD4896" w:rsidRPr="006D3859" w:rsidRDefault="00FD4896" w:rsidP="00FD4896">
      <w:pPr>
        <w:pStyle w:val="FootnoteText"/>
        <w:ind w:firstLine="720"/>
        <w:rPr>
          <w:rFonts w:ascii="Cambria" w:hAnsi="Cambria"/>
          <w:lang w:val="es-ES"/>
        </w:rPr>
      </w:pPr>
      <w:r>
        <w:rPr>
          <w:rStyle w:val="FootnoteReference"/>
          <w:rFonts w:ascii="Cambria" w:hAnsi="Cambria"/>
          <w:sz w:val="16"/>
          <w:szCs w:val="16"/>
        </w:rPr>
        <w:footnoteRef/>
      </w:r>
      <w:r w:rsidRPr="00490D5E">
        <w:rPr>
          <w:rFonts w:ascii="Cambria" w:hAnsi="Cambria"/>
          <w:sz w:val="16"/>
          <w:lang w:val="es-US"/>
        </w:rPr>
        <w:t xml:space="preserve">IAHR </w:t>
      </w:r>
      <w:proofErr w:type="spellStart"/>
      <w:r w:rsidRPr="00490D5E">
        <w:rPr>
          <w:rFonts w:ascii="Cambria" w:hAnsi="Cambria"/>
          <w:sz w:val="16"/>
          <w:lang w:val="es-US"/>
        </w:rPr>
        <w:t>Court</w:t>
      </w:r>
      <w:proofErr w:type="spellEnd"/>
      <w:r w:rsidRPr="00490D5E">
        <w:rPr>
          <w:rFonts w:ascii="Cambria" w:hAnsi="Cambria"/>
          <w:sz w:val="16"/>
          <w:lang w:val="es-US"/>
        </w:rPr>
        <w:t xml:space="preserve">. Vicky Hernández </w:t>
      </w:r>
      <w:r w:rsidRPr="00490D5E">
        <w:rPr>
          <w:rFonts w:ascii="Cambria" w:hAnsi="Cambria"/>
          <w:i/>
          <w:iCs/>
          <w:sz w:val="16"/>
          <w:lang w:val="es-US"/>
        </w:rPr>
        <w:t>et al.</w:t>
      </w:r>
      <w:r w:rsidRPr="00490D5E">
        <w:rPr>
          <w:rFonts w:ascii="Cambria" w:hAnsi="Cambria"/>
          <w:sz w:val="16"/>
          <w:lang w:val="es-US"/>
        </w:rPr>
        <w:t xml:space="preserve"> v. Honduras. </w:t>
      </w:r>
      <w:r>
        <w:rPr>
          <w:rFonts w:ascii="Cambria" w:hAnsi="Cambria"/>
          <w:sz w:val="16"/>
        </w:rPr>
        <w:t xml:space="preserve">Merits, </w:t>
      </w:r>
      <w:proofErr w:type="gramStart"/>
      <w:r>
        <w:rPr>
          <w:rFonts w:ascii="Cambria" w:hAnsi="Cambria"/>
          <w:sz w:val="16"/>
        </w:rPr>
        <w:t>reparations</w:t>
      </w:r>
      <w:proofErr w:type="gramEnd"/>
      <w:r>
        <w:rPr>
          <w:rFonts w:ascii="Cambria" w:hAnsi="Cambria"/>
          <w:sz w:val="16"/>
        </w:rPr>
        <w:t xml:space="preserve"> and costs. Judgement of March 26, 2021. </w:t>
      </w:r>
      <w:r w:rsidRPr="006D3859">
        <w:rPr>
          <w:rFonts w:ascii="Cambria" w:hAnsi="Cambria"/>
          <w:sz w:val="16"/>
          <w:lang w:val="es-ES"/>
        </w:rPr>
        <w:t>Series C No. 42, para. 106.</w:t>
      </w:r>
    </w:p>
  </w:footnote>
  <w:footnote w:id="10">
    <w:p w14:paraId="5567A1B7" w14:textId="77777777" w:rsidR="00FD4896" w:rsidRPr="00626104" w:rsidRDefault="00FD4896" w:rsidP="00FD4896">
      <w:pPr>
        <w:pStyle w:val="FootnoteText"/>
        <w:ind w:firstLine="720"/>
        <w:rPr>
          <w:rFonts w:ascii="Cambria" w:hAnsi="Cambria"/>
        </w:rPr>
      </w:pPr>
      <w:r>
        <w:rPr>
          <w:rStyle w:val="FootnoteReference"/>
          <w:rFonts w:ascii="Cambria" w:hAnsi="Cambria"/>
          <w:sz w:val="16"/>
          <w:szCs w:val="16"/>
        </w:rPr>
        <w:footnoteRef/>
      </w:r>
      <w:r w:rsidRPr="006D3859">
        <w:rPr>
          <w:rFonts w:ascii="Cambria" w:hAnsi="Cambria"/>
          <w:sz w:val="16"/>
          <w:lang w:val="es-ES"/>
        </w:rPr>
        <w:t xml:space="preserve">IAHR </w:t>
      </w:r>
      <w:proofErr w:type="spellStart"/>
      <w:r w:rsidRPr="006D3859">
        <w:rPr>
          <w:rFonts w:ascii="Cambria" w:hAnsi="Cambria"/>
          <w:sz w:val="16"/>
          <w:lang w:val="es-ES"/>
        </w:rPr>
        <w:t>Court</w:t>
      </w:r>
      <w:proofErr w:type="spellEnd"/>
      <w:r w:rsidRPr="006D3859">
        <w:rPr>
          <w:rFonts w:ascii="Cambria" w:hAnsi="Cambria"/>
          <w:sz w:val="16"/>
          <w:lang w:val="es-ES"/>
        </w:rPr>
        <w:t xml:space="preserve">. Velásquez Paiz </w:t>
      </w:r>
      <w:r w:rsidRPr="006D3859">
        <w:rPr>
          <w:rFonts w:ascii="Cambria" w:hAnsi="Cambria"/>
          <w:i/>
          <w:iCs/>
          <w:sz w:val="16"/>
          <w:lang w:val="es-ES"/>
        </w:rPr>
        <w:t>et al.</w:t>
      </w:r>
      <w:r w:rsidRPr="006D3859">
        <w:rPr>
          <w:rFonts w:ascii="Cambria" w:hAnsi="Cambria"/>
          <w:sz w:val="16"/>
          <w:lang w:val="es-ES"/>
        </w:rPr>
        <w:t xml:space="preserve"> v. Guatemala. </w:t>
      </w:r>
      <w:r>
        <w:rPr>
          <w:rFonts w:ascii="Cambria" w:hAnsi="Cambria"/>
          <w:sz w:val="16"/>
        </w:rPr>
        <w:t xml:space="preserve">Preliminary objections, merits, </w:t>
      </w:r>
      <w:proofErr w:type="gramStart"/>
      <w:r>
        <w:rPr>
          <w:rFonts w:ascii="Cambria" w:hAnsi="Cambria"/>
          <w:sz w:val="16"/>
        </w:rPr>
        <w:t>reparations</w:t>
      </w:r>
      <w:proofErr w:type="gramEnd"/>
      <w:r>
        <w:rPr>
          <w:rFonts w:ascii="Cambria" w:hAnsi="Cambria"/>
          <w:sz w:val="16"/>
        </w:rPr>
        <w:t xml:space="preserve"> and costs. Judgement of November 19, 2015. Series C No. 307, para. 145.</w:t>
      </w:r>
    </w:p>
  </w:footnote>
  <w:footnote w:id="11">
    <w:p w14:paraId="03B3CF63" w14:textId="77777777" w:rsidR="00FD4896" w:rsidRPr="00675EC3" w:rsidRDefault="00FD4896" w:rsidP="00FD4896">
      <w:pPr>
        <w:pStyle w:val="FootnoteText"/>
        <w:ind w:firstLine="720"/>
        <w:jc w:val="both"/>
        <w:rPr>
          <w:rFonts w:ascii="Cambria" w:hAnsi="Cambria"/>
        </w:rPr>
      </w:pPr>
      <w:r>
        <w:rPr>
          <w:rStyle w:val="FootnoteReference"/>
          <w:rFonts w:ascii="Cambria" w:hAnsi="Cambria"/>
          <w:sz w:val="16"/>
          <w:szCs w:val="16"/>
        </w:rPr>
        <w:footnoteRef/>
      </w:r>
      <w:r w:rsidRPr="00490D5E">
        <w:rPr>
          <w:rFonts w:ascii="Cambria" w:hAnsi="Cambria"/>
          <w:sz w:val="16"/>
        </w:rPr>
        <w:t xml:space="preserve">IAHR Court. </w:t>
      </w:r>
      <w:proofErr w:type="spellStart"/>
      <w:r w:rsidRPr="00490D5E">
        <w:rPr>
          <w:rFonts w:ascii="Cambria" w:hAnsi="Cambria"/>
          <w:sz w:val="16"/>
        </w:rPr>
        <w:t>Velásquez</w:t>
      </w:r>
      <w:proofErr w:type="spellEnd"/>
      <w:r w:rsidRPr="00490D5E">
        <w:rPr>
          <w:rFonts w:ascii="Cambria" w:hAnsi="Cambria"/>
          <w:sz w:val="16"/>
        </w:rPr>
        <w:t xml:space="preserve"> </w:t>
      </w:r>
      <w:proofErr w:type="spellStart"/>
      <w:r w:rsidRPr="00490D5E">
        <w:rPr>
          <w:rFonts w:ascii="Cambria" w:hAnsi="Cambria"/>
          <w:sz w:val="16"/>
        </w:rPr>
        <w:t>Paiz</w:t>
      </w:r>
      <w:proofErr w:type="spellEnd"/>
      <w:r w:rsidRPr="00490D5E">
        <w:rPr>
          <w:rFonts w:ascii="Cambria" w:hAnsi="Cambria"/>
          <w:sz w:val="16"/>
        </w:rPr>
        <w:t xml:space="preserve"> </w:t>
      </w:r>
      <w:r w:rsidRPr="00490D5E">
        <w:rPr>
          <w:rFonts w:ascii="Cambria" w:hAnsi="Cambria"/>
          <w:i/>
          <w:iCs/>
          <w:sz w:val="16"/>
        </w:rPr>
        <w:t>et al.</w:t>
      </w:r>
      <w:r w:rsidRPr="00490D5E">
        <w:rPr>
          <w:rFonts w:ascii="Cambria" w:hAnsi="Cambria"/>
          <w:sz w:val="16"/>
        </w:rPr>
        <w:t xml:space="preserve"> v. Guatemala. </w:t>
      </w:r>
      <w:r>
        <w:rPr>
          <w:rFonts w:ascii="Cambria" w:hAnsi="Cambria"/>
          <w:sz w:val="16"/>
        </w:rPr>
        <w:t xml:space="preserve">Preliminary objections, merits, </w:t>
      </w:r>
      <w:proofErr w:type="gramStart"/>
      <w:r>
        <w:rPr>
          <w:rFonts w:ascii="Cambria" w:hAnsi="Cambria"/>
          <w:sz w:val="16"/>
        </w:rPr>
        <w:t>reparations</w:t>
      </w:r>
      <w:proofErr w:type="gramEnd"/>
      <w:r>
        <w:rPr>
          <w:rFonts w:ascii="Cambria" w:hAnsi="Cambria"/>
          <w:sz w:val="16"/>
        </w:rPr>
        <w:t xml:space="preserve"> and costs. Judgement of November 19, 2015. Series C No. 307, para. 146.</w:t>
      </w:r>
    </w:p>
  </w:footnote>
  <w:footnote w:id="12">
    <w:p w14:paraId="2427BDA4" w14:textId="77777777" w:rsidR="00283F6C" w:rsidRPr="00283F6C" w:rsidRDefault="00283F6C" w:rsidP="00576F76">
      <w:pPr>
        <w:pStyle w:val="FootnoteText"/>
        <w:ind w:firstLine="720"/>
        <w:jc w:val="both"/>
        <w:rPr>
          <w:rFonts w:ascii="Cambria" w:hAnsi="Cambria"/>
        </w:rPr>
      </w:pPr>
      <w:r>
        <w:rPr>
          <w:rStyle w:val="FootnoteReference"/>
          <w:rFonts w:ascii="Cambria" w:hAnsi="Cambria"/>
          <w:sz w:val="16"/>
          <w:szCs w:val="16"/>
        </w:rPr>
        <w:footnoteRef/>
      </w:r>
      <w:r>
        <w:t xml:space="preserve"> </w:t>
      </w:r>
      <w:r>
        <w:rPr>
          <w:rFonts w:ascii="Cambria" w:hAnsi="Cambria"/>
          <w:sz w:val="16"/>
        </w:rPr>
        <w:t>IACHR, Situation of Human Rights in Mexico. December 31, 2015. OAS/</w:t>
      </w:r>
      <w:proofErr w:type="spellStart"/>
      <w:r>
        <w:rPr>
          <w:rFonts w:ascii="Cambria" w:hAnsi="Cambria"/>
          <w:sz w:val="16"/>
        </w:rPr>
        <w:t>Ser.L</w:t>
      </w:r>
      <w:proofErr w:type="spellEnd"/>
      <w:r>
        <w:rPr>
          <w:rFonts w:ascii="Cambria" w:hAnsi="Cambria"/>
          <w:sz w:val="16"/>
        </w:rPr>
        <w:t>/V/II., Doc. 44/15, paras. 179 and 180.</w:t>
      </w:r>
    </w:p>
  </w:footnote>
  <w:footnote w:id="13">
    <w:p w14:paraId="23A30AA8" w14:textId="77777777" w:rsidR="00DA17B8" w:rsidRPr="00EC56B6" w:rsidRDefault="00DA17B8" w:rsidP="00DA17B8">
      <w:pPr>
        <w:pStyle w:val="FootnoteText"/>
        <w:ind w:firstLine="720"/>
        <w:rPr>
          <w:rFonts w:ascii="Cambria" w:hAnsi="Cambria"/>
        </w:rPr>
      </w:pPr>
      <w:r>
        <w:rPr>
          <w:rStyle w:val="FootnoteReference"/>
          <w:rFonts w:ascii="Cambria" w:hAnsi="Cambria"/>
          <w:sz w:val="16"/>
          <w:szCs w:val="16"/>
        </w:rPr>
        <w:footnoteRef/>
      </w:r>
      <w:r w:rsidRPr="00717311">
        <w:rPr>
          <w:rFonts w:ascii="Cambria" w:hAnsi="Cambria"/>
          <w:sz w:val="16"/>
        </w:rPr>
        <w:t xml:space="preserve">IAHR Court. González </w:t>
      </w:r>
      <w:r w:rsidRPr="00717311">
        <w:rPr>
          <w:rFonts w:ascii="Cambria" w:hAnsi="Cambria"/>
          <w:i/>
          <w:iCs/>
          <w:sz w:val="16"/>
        </w:rPr>
        <w:t>et al.</w:t>
      </w:r>
      <w:r w:rsidRPr="00717311">
        <w:rPr>
          <w:rFonts w:ascii="Cambria" w:hAnsi="Cambria"/>
          <w:sz w:val="16"/>
        </w:rPr>
        <w:t xml:space="preserve"> </w:t>
      </w:r>
      <w:r>
        <w:rPr>
          <w:rFonts w:ascii="Cambria" w:hAnsi="Cambria"/>
          <w:sz w:val="16"/>
        </w:rPr>
        <w:t>(Cotton Field) v. Mexico. Judgment of November 16, 2009, para. 282 and 283.</w:t>
      </w:r>
    </w:p>
  </w:footnote>
  <w:footnote w:id="14">
    <w:p w14:paraId="40DC8CD9" w14:textId="77777777" w:rsidR="00F37B78" w:rsidRPr="00675EC3" w:rsidRDefault="00F37B78" w:rsidP="00F37B78">
      <w:pPr>
        <w:pStyle w:val="FootnoteText"/>
        <w:ind w:firstLine="720"/>
        <w:jc w:val="both"/>
        <w:rPr>
          <w:rFonts w:ascii="Cambria" w:hAnsi="Cambria"/>
        </w:rPr>
      </w:pPr>
      <w:r>
        <w:rPr>
          <w:rStyle w:val="FootnoteReference"/>
          <w:rFonts w:ascii="Cambria" w:hAnsi="Cambria"/>
          <w:sz w:val="16"/>
          <w:szCs w:val="16"/>
        </w:rPr>
        <w:footnoteRef/>
      </w:r>
      <w:r w:rsidRPr="006D3859">
        <w:rPr>
          <w:rFonts w:ascii="Cambria" w:hAnsi="Cambria"/>
          <w:sz w:val="16"/>
          <w:lang w:val="es-ES"/>
        </w:rPr>
        <w:t xml:space="preserve">IAHR </w:t>
      </w:r>
      <w:proofErr w:type="spellStart"/>
      <w:r w:rsidRPr="006D3859">
        <w:rPr>
          <w:rFonts w:ascii="Cambria" w:hAnsi="Cambria"/>
          <w:sz w:val="16"/>
          <w:lang w:val="es-ES"/>
        </w:rPr>
        <w:t>Court</w:t>
      </w:r>
      <w:proofErr w:type="spellEnd"/>
      <w:r w:rsidRPr="006D3859">
        <w:rPr>
          <w:rFonts w:ascii="Cambria" w:hAnsi="Cambria"/>
          <w:sz w:val="16"/>
          <w:lang w:val="es-ES"/>
        </w:rPr>
        <w:t xml:space="preserve">. Velásquez Paiz </w:t>
      </w:r>
      <w:r w:rsidRPr="006D3859">
        <w:rPr>
          <w:rFonts w:ascii="Cambria" w:hAnsi="Cambria"/>
          <w:i/>
          <w:iCs/>
          <w:sz w:val="16"/>
          <w:lang w:val="es-ES"/>
        </w:rPr>
        <w:t>et al.</w:t>
      </w:r>
      <w:r w:rsidRPr="006D3859">
        <w:rPr>
          <w:rFonts w:ascii="Cambria" w:hAnsi="Cambria"/>
          <w:sz w:val="16"/>
          <w:lang w:val="es-ES"/>
        </w:rPr>
        <w:t xml:space="preserve"> v. Guatemala, </w:t>
      </w:r>
      <w:r w:rsidRPr="006D3859">
        <w:rPr>
          <w:rFonts w:ascii="Cambria" w:hAnsi="Cambria"/>
          <w:i/>
          <w:sz w:val="16"/>
          <w:lang w:val="es-ES"/>
        </w:rPr>
        <w:t>supra</w:t>
      </w:r>
      <w:r w:rsidRPr="006D3859">
        <w:rPr>
          <w:rFonts w:ascii="Cambria" w:hAnsi="Cambria"/>
          <w:sz w:val="16"/>
          <w:lang w:val="es-ES"/>
        </w:rPr>
        <w:t xml:space="preserve"> note 9, paras. </w:t>
      </w:r>
      <w:r>
        <w:rPr>
          <w:rFonts w:ascii="Cambria" w:hAnsi="Cambria"/>
          <w:sz w:val="16"/>
        </w:rPr>
        <w:t>146 and 147.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AAA28"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FAE993F"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4B01A" w14:textId="77777777" w:rsidR="00A50FCF" w:rsidRDefault="00A50FCF" w:rsidP="00A50FCF">
    <w:pPr>
      <w:pStyle w:val="Header"/>
      <w:tabs>
        <w:tab w:val="clear" w:pos="4320"/>
        <w:tab w:val="clear" w:pos="8640"/>
      </w:tabs>
      <w:jc w:val="center"/>
      <w:rPr>
        <w:sz w:val="22"/>
        <w:szCs w:val="22"/>
      </w:rPr>
    </w:pPr>
    <w:r>
      <w:rPr>
        <w:noProof/>
        <w:sz w:val="22"/>
      </w:rPr>
      <w:drawing>
        <wp:inline distT="0" distB="0" distL="0" distR="0" wp14:anchorId="1749DA7F" wp14:editId="3FA0B5F1">
          <wp:extent cx="1972237" cy="10201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
                  <a:stretch>
                    <a:fillRect/>
                  </a:stretch>
                </pic:blipFill>
                <pic:spPr bwMode="auto">
                  <a:xfrm>
                    <a:off x="0" y="0"/>
                    <a:ext cx="1972237" cy="102012"/>
                  </a:xfrm>
                  <a:prstGeom prst="rect">
                    <a:avLst/>
                  </a:prstGeom>
                  <a:noFill/>
                  <a:ln>
                    <a:noFill/>
                  </a:ln>
                </pic:spPr>
              </pic:pic>
            </a:graphicData>
          </a:graphic>
        </wp:inline>
      </w:drawing>
    </w:r>
  </w:p>
  <w:p w14:paraId="4C04C490" w14:textId="77777777" w:rsidR="00040C3A" w:rsidRPr="00EC7D62" w:rsidRDefault="002F1C6A" w:rsidP="00A50FCF">
    <w:pPr>
      <w:pStyle w:val="Header"/>
      <w:tabs>
        <w:tab w:val="clear" w:pos="4320"/>
        <w:tab w:val="clear" w:pos="8640"/>
      </w:tabs>
      <w:jc w:val="center"/>
      <w:rPr>
        <w:sz w:val="22"/>
        <w:szCs w:val="22"/>
      </w:rPr>
    </w:pPr>
    <w:r>
      <w:rPr>
        <w:sz w:val="22"/>
      </w:rPr>
      <w:pict w14:anchorId="1F221FCE">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6E1F"/>
    <w:rsid w:val="000070D7"/>
    <w:rsid w:val="00011213"/>
    <w:rsid w:val="00012703"/>
    <w:rsid w:val="0001788C"/>
    <w:rsid w:val="0002718D"/>
    <w:rsid w:val="000279CB"/>
    <w:rsid w:val="00027B03"/>
    <w:rsid w:val="00031C87"/>
    <w:rsid w:val="000337EF"/>
    <w:rsid w:val="0003425F"/>
    <w:rsid w:val="000365AE"/>
    <w:rsid w:val="00037573"/>
    <w:rsid w:val="00040C3A"/>
    <w:rsid w:val="000419AD"/>
    <w:rsid w:val="000433C9"/>
    <w:rsid w:val="00044317"/>
    <w:rsid w:val="00057F8A"/>
    <w:rsid w:val="00060C24"/>
    <w:rsid w:val="000665D4"/>
    <w:rsid w:val="00071174"/>
    <w:rsid w:val="000716C5"/>
    <w:rsid w:val="0007236A"/>
    <w:rsid w:val="00075E23"/>
    <w:rsid w:val="00081BD9"/>
    <w:rsid w:val="00081C62"/>
    <w:rsid w:val="00082920"/>
    <w:rsid w:val="00083343"/>
    <w:rsid w:val="000902B3"/>
    <w:rsid w:val="00091BCD"/>
    <w:rsid w:val="000924AF"/>
    <w:rsid w:val="0009344A"/>
    <w:rsid w:val="00093D64"/>
    <w:rsid w:val="00094D04"/>
    <w:rsid w:val="00097DCA"/>
    <w:rsid w:val="000A180A"/>
    <w:rsid w:val="000A1C4C"/>
    <w:rsid w:val="000A392E"/>
    <w:rsid w:val="000A575F"/>
    <w:rsid w:val="000A5D39"/>
    <w:rsid w:val="000B4EB0"/>
    <w:rsid w:val="000C1403"/>
    <w:rsid w:val="000C23FD"/>
    <w:rsid w:val="000C6E76"/>
    <w:rsid w:val="000D05CB"/>
    <w:rsid w:val="000D10DB"/>
    <w:rsid w:val="000D6210"/>
    <w:rsid w:val="000E1528"/>
    <w:rsid w:val="000E28C0"/>
    <w:rsid w:val="000E5EB5"/>
    <w:rsid w:val="000F35ED"/>
    <w:rsid w:val="000F47A8"/>
    <w:rsid w:val="000F4990"/>
    <w:rsid w:val="000F574F"/>
    <w:rsid w:val="00102A9E"/>
    <w:rsid w:val="00105561"/>
    <w:rsid w:val="00107131"/>
    <w:rsid w:val="0010736F"/>
    <w:rsid w:val="00113B46"/>
    <w:rsid w:val="00113F73"/>
    <w:rsid w:val="00120AD3"/>
    <w:rsid w:val="00121CC2"/>
    <w:rsid w:val="00126869"/>
    <w:rsid w:val="00127904"/>
    <w:rsid w:val="00131425"/>
    <w:rsid w:val="00133EE5"/>
    <w:rsid w:val="00136DB9"/>
    <w:rsid w:val="00140F4D"/>
    <w:rsid w:val="00144CCA"/>
    <w:rsid w:val="001467BB"/>
    <w:rsid w:val="001518AB"/>
    <w:rsid w:val="00152C9F"/>
    <w:rsid w:val="001535B7"/>
    <w:rsid w:val="00167A34"/>
    <w:rsid w:val="00172B53"/>
    <w:rsid w:val="001733CA"/>
    <w:rsid w:val="00176E86"/>
    <w:rsid w:val="0017764E"/>
    <w:rsid w:val="00180206"/>
    <w:rsid w:val="001805FE"/>
    <w:rsid w:val="0018369C"/>
    <w:rsid w:val="0018540C"/>
    <w:rsid w:val="001859B9"/>
    <w:rsid w:val="001908C0"/>
    <w:rsid w:val="001970AA"/>
    <w:rsid w:val="001A1F80"/>
    <w:rsid w:val="001A45A3"/>
    <w:rsid w:val="001A4629"/>
    <w:rsid w:val="001A520D"/>
    <w:rsid w:val="001A7870"/>
    <w:rsid w:val="001B1639"/>
    <w:rsid w:val="001B1CD3"/>
    <w:rsid w:val="001B3A00"/>
    <w:rsid w:val="001B5178"/>
    <w:rsid w:val="001C1B41"/>
    <w:rsid w:val="001C5AAA"/>
    <w:rsid w:val="001D3E73"/>
    <w:rsid w:val="001D65EF"/>
    <w:rsid w:val="001E1664"/>
    <w:rsid w:val="001E16B1"/>
    <w:rsid w:val="001E49E7"/>
    <w:rsid w:val="001E7C83"/>
    <w:rsid w:val="001F0890"/>
    <w:rsid w:val="001F2013"/>
    <w:rsid w:val="001F34D7"/>
    <w:rsid w:val="001F62DE"/>
    <w:rsid w:val="001F7201"/>
    <w:rsid w:val="002005CB"/>
    <w:rsid w:val="002035A0"/>
    <w:rsid w:val="00203CB2"/>
    <w:rsid w:val="00205087"/>
    <w:rsid w:val="0020703D"/>
    <w:rsid w:val="002103D9"/>
    <w:rsid w:val="0021204F"/>
    <w:rsid w:val="00223A29"/>
    <w:rsid w:val="00224502"/>
    <w:rsid w:val="002250A3"/>
    <w:rsid w:val="0022625A"/>
    <w:rsid w:val="00231487"/>
    <w:rsid w:val="00232A9F"/>
    <w:rsid w:val="00233415"/>
    <w:rsid w:val="00235217"/>
    <w:rsid w:val="00243CD0"/>
    <w:rsid w:val="00244A1F"/>
    <w:rsid w:val="00244CB7"/>
    <w:rsid w:val="002461BA"/>
    <w:rsid w:val="00246589"/>
    <w:rsid w:val="00246D1F"/>
    <w:rsid w:val="00247403"/>
    <w:rsid w:val="00247542"/>
    <w:rsid w:val="0025118F"/>
    <w:rsid w:val="00253013"/>
    <w:rsid w:val="00254DF9"/>
    <w:rsid w:val="002554A3"/>
    <w:rsid w:val="0025569C"/>
    <w:rsid w:val="002568E8"/>
    <w:rsid w:val="0026390E"/>
    <w:rsid w:val="00266B61"/>
    <w:rsid w:val="0026712A"/>
    <w:rsid w:val="002704DB"/>
    <w:rsid w:val="00272509"/>
    <w:rsid w:val="00274F5B"/>
    <w:rsid w:val="00275D9B"/>
    <w:rsid w:val="00282C02"/>
    <w:rsid w:val="00283F6C"/>
    <w:rsid w:val="002858E8"/>
    <w:rsid w:val="00286CF8"/>
    <w:rsid w:val="00287941"/>
    <w:rsid w:val="00287BFC"/>
    <w:rsid w:val="00287DA3"/>
    <w:rsid w:val="002912ED"/>
    <w:rsid w:val="00292198"/>
    <w:rsid w:val="00293461"/>
    <w:rsid w:val="002A0AAE"/>
    <w:rsid w:val="002A5446"/>
    <w:rsid w:val="002A5820"/>
    <w:rsid w:val="002A6833"/>
    <w:rsid w:val="002B19FA"/>
    <w:rsid w:val="002B52A9"/>
    <w:rsid w:val="002B64C5"/>
    <w:rsid w:val="002C1DF5"/>
    <w:rsid w:val="002C28C1"/>
    <w:rsid w:val="002C2DCB"/>
    <w:rsid w:val="002C42CB"/>
    <w:rsid w:val="002C624C"/>
    <w:rsid w:val="002C679A"/>
    <w:rsid w:val="002D1E53"/>
    <w:rsid w:val="002D1EDE"/>
    <w:rsid w:val="002D2B26"/>
    <w:rsid w:val="002D344D"/>
    <w:rsid w:val="002D7EA2"/>
    <w:rsid w:val="002E187C"/>
    <w:rsid w:val="002E2403"/>
    <w:rsid w:val="002E5569"/>
    <w:rsid w:val="002F1C6A"/>
    <w:rsid w:val="002F2FAF"/>
    <w:rsid w:val="003011FC"/>
    <w:rsid w:val="00302733"/>
    <w:rsid w:val="0030543D"/>
    <w:rsid w:val="00305835"/>
    <w:rsid w:val="00306F33"/>
    <w:rsid w:val="003107DC"/>
    <w:rsid w:val="00311FFB"/>
    <w:rsid w:val="00313AF3"/>
    <w:rsid w:val="00314078"/>
    <w:rsid w:val="00314970"/>
    <w:rsid w:val="0031535D"/>
    <w:rsid w:val="003218E2"/>
    <w:rsid w:val="00321EC4"/>
    <w:rsid w:val="003220FD"/>
    <w:rsid w:val="003239B8"/>
    <w:rsid w:val="00331578"/>
    <w:rsid w:val="0033169F"/>
    <w:rsid w:val="00332143"/>
    <w:rsid w:val="003323B1"/>
    <w:rsid w:val="00344977"/>
    <w:rsid w:val="00346C95"/>
    <w:rsid w:val="00356185"/>
    <w:rsid w:val="00360380"/>
    <w:rsid w:val="00364323"/>
    <w:rsid w:val="0037256D"/>
    <w:rsid w:val="00372F50"/>
    <w:rsid w:val="003749D8"/>
    <w:rsid w:val="0037519E"/>
    <w:rsid w:val="003756F2"/>
    <w:rsid w:val="00376B40"/>
    <w:rsid w:val="003774B4"/>
    <w:rsid w:val="00380F6B"/>
    <w:rsid w:val="003841CF"/>
    <w:rsid w:val="00386CF0"/>
    <w:rsid w:val="00390EC1"/>
    <w:rsid w:val="0039274C"/>
    <w:rsid w:val="00393FC6"/>
    <w:rsid w:val="003965AF"/>
    <w:rsid w:val="00396864"/>
    <w:rsid w:val="003974E9"/>
    <w:rsid w:val="003A15DA"/>
    <w:rsid w:val="003A1DB7"/>
    <w:rsid w:val="003B148F"/>
    <w:rsid w:val="003B312D"/>
    <w:rsid w:val="003B32B5"/>
    <w:rsid w:val="003B70FB"/>
    <w:rsid w:val="003B7DA7"/>
    <w:rsid w:val="003C52EC"/>
    <w:rsid w:val="003C676B"/>
    <w:rsid w:val="003C6777"/>
    <w:rsid w:val="003C6B71"/>
    <w:rsid w:val="003C7098"/>
    <w:rsid w:val="003D0EE5"/>
    <w:rsid w:val="003D3BC2"/>
    <w:rsid w:val="003E5024"/>
    <w:rsid w:val="003E6CA1"/>
    <w:rsid w:val="003F3037"/>
    <w:rsid w:val="003F5154"/>
    <w:rsid w:val="003F6F6D"/>
    <w:rsid w:val="00405F9C"/>
    <w:rsid w:val="004065A8"/>
    <w:rsid w:val="004165C2"/>
    <w:rsid w:val="004220FC"/>
    <w:rsid w:val="004228BE"/>
    <w:rsid w:val="0042467F"/>
    <w:rsid w:val="00424934"/>
    <w:rsid w:val="00426EC1"/>
    <w:rsid w:val="0043119A"/>
    <w:rsid w:val="004349F4"/>
    <w:rsid w:val="0043762B"/>
    <w:rsid w:val="00441ECB"/>
    <w:rsid w:val="00445193"/>
    <w:rsid w:val="00445242"/>
    <w:rsid w:val="0045509E"/>
    <w:rsid w:val="00460C41"/>
    <w:rsid w:val="00462C1B"/>
    <w:rsid w:val="00467B7E"/>
    <w:rsid w:val="00473BB4"/>
    <w:rsid w:val="00474DDD"/>
    <w:rsid w:val="00477592"/>
    <w:rsid w:val="00484EBE"/>
    <w:rsid w:val="00486617"/>
    <w:rsid w:val="00486F1C"/>
    <w:rsid w:val="00487155"/>
    <w:rsid w:val="00490D5E"/>
    <w:rsid w:val="00491FB6"/>
    <w:rsid w:val="0049419D"/>
    <w:rsid w:val="0049630E"/>
    <w:rsid w:val="004967F2"/>
    <w:rsid w:val="004A1A16"/>
    <w:rsid w:val="004A458C"/>
    <w:rsid w:val="004A55F3"/>
    <w:rsid w:val="004A6198"/>
    <w:rsid w:val="004A6A54"/>
    <w:rsid w:val="004A7246"/>
    <w:rsid w:val="004B3B5D"/>
    <w:rsid w:val="004B421C"/>
    <w:rsid w:val="004C20D2"/>
    <w:rsid w:val="004C2312"/>
    <w:rsid w:val="004C4B62"/>
    <w:rsid w:val="004C54C9"/>
    <w:rsid w:val="004C691F"/>
    <w:rsid w:val="004D0738"/>
    <w:rsid w:val="004D1C28"/>
    <w:rsid w:val="004D4ABA"/>
    <w:rsid w:val="004D5904"/>
    <w:rsid w:val="004D5F11"/>
    <w:rsid w:val="004D6025"/>
    <w:rsid w:val="004E2649"/>
    <w:rsid w:val="004E27F5"/>
    <w:rsid w:val="004F2886"/>
    <w:rsid w:val="004F626F"/>
    <w:rsid w:val="00501399"/>
    <w:rsid w:val="00503A3F"/>
    <w:rsid w:val="005047ED"/>
    <w:rsid w:val="0050527A"/>
    <w:rsid w:val="0050633D"/>
    <w:rsid w:val="00507BC4"/>
    <w:rsid w:val="005128E4"/>
    <w:rsid w:val="005133DB"/>
    <w:rsid w:val="00514504"/>
    <w:rsid w:val="00517016"/>
    <w:rsid w:val="00521E1F"/>
    <w:rsid w:val="00522D3D"/>
    <w:rsid w:val="00525560"/>
    <w:rsid w:val="00525B99"/>
    <w:rsid w:val="00525CEA"/>
    <w:rsid w:val="005317EC"/>
    <w:rsid w:val="00532A82"/>
    <w:rsid w:val="00536722"/>
    <w:rsid w:val="0054111C"/>
    <w:rsid w:val="00544C49"/>
    <w:rsid w:val="005460FB"/>
    <w:rsid w:val="005516A1"/>
    <w:rsid w:val="0055178C"/>
    <w:rsid w:val="00553C5C"/>
    <w:rsid w:val="005559EF"/>
    <w:rsid w:val="00562A8D"/>
    <w:rsid w:val="00563557"/>
    <w:rsid w:val="0057055A"/>
    <w:rsid w:val="00572D02"/>
    <w:rsid w:val="0057402A"/>
    <w:rsid w:val="00576F76"/>
    <w:rsid w:val="005771D0"/>
    <w:rsid w:val="005814C3"/>
    <w:rsid w:val="0058160C"/>
    <w:rsid w:val="00582264"/>
    <w:rsid w:val="00583E32"/>
    <w:rsid w:val="00586852"/>
    <w:rsid w:val="0059191A"/>
    <w:rsid w:val="005921FF"/>
    <w:rsid w:val="005947E0"/>
    <w:rsid w:val="0059579D"/>
    <w:rsid w:val="005A24ED"/>
    <w:rsid w:val="005A6D0E"/>
    <w:rsid w:val="005B52B0"/>
    <w:rsid w:val="005B6806"/>
    <w:rsid w:val="005B6E84"/>
    <w:rsid w:val="005B7788"/>
    <w:rsid w:val="005C0495"/>
    <w:rsid w:val="005C4225"/>
    <w:rsid w:val="005D06FB"/>
    <w:rsid w:val="005D29E8"/>
    <w:rsid w:val="005D3D1C"/>
    <w:rsid w:val="005D727E"/>
    <w:rsid w:val="005E0B6E"/>
    <w:rsid w:val="005E2385"/>
    <w:rsid w:val="005F0589"/>
    <w:rsid w:val="005F0DAD"/>
    <w:rsid w:val="005F0F33"/>
    <w:rsid w:val="005F2122"/>
    <w:rsid w:val="005F25DB"/>
    <w:rsid w:val="005F4796"/>
    <w:rsid w:val="005F68BC"/>
    <w:rsid w:val="005F6991"/>
    <w:rsid w:val="005F7259"/>
    <w:rsid w:val="00600DEB"/>
    <w:rsid w:val="006017C0"/>
    <w:rsid w:val="006029AE"/>
    <w:rsid w:val="00604E5A"/>
    <w:rsid w:val="006054DA"/>
    <w:rsid w:val="0060650B"/>
    <w:rsid w:val="00613F62"/>
    <w:rsid w:val="00615DC5"/>
    <w:rsid w:val="006170FF"/>
    <w:rsid w:val="00621934"/>
    <w:rsid w:val="006259FC"/>
    <w:rsid w:val="00626104"/>
    <w:rsid w:val="00627C9F"/>
    <w:rsid w:val="006311E9"/>
    <w:rsid w:val="006317E3"/>
    <w:rsid w:val="00632354"/>
    <w:rsid w:val="00632C6A"/>
    <w:rsid w:val="00635421"/>
    <w:rsid w:val="00642810"/>
    <w:rsid w:val="00642D93"/>
    <w:rsid w:val="006457D5"/>
    <w:rsid w:val="00651784"/>
    <w:rsid w:val="00652333"/>
    <w:rsid w:val="0065494C"/>
    <w:rsid w:val="00655C65"/>
    <w:rsid w:val="00660791"/>
    <w:rsid w:val="00664410"/>
    <w:rsid w:val="00664AC0"/>
    <w:rsid w:val="006659E3"/>
    <w:rsid w:val="00670E48"/>
    <w:rsid w:val="00671884"/>
    <w:rsid w:val="006726A3"/>
    <w:rsid w:val="00674ED3"/>
    <w:rsid w:val="00675472"/>
    <w:rsid w:val="00675EC3"/>
    <w:rsid w:val="006766D0"/>
    <w:rsid w:val="00676D1B"/>
    <w:rsid w:val="0068009E"/>
    <w:rsid w:val="006816A9"/>
    <w:rsid w:val="00687811"/>
    <w:rsid w:val="00690BE0"/>
    <w:rsid w:val="00690BE7"/>
    <w:rsid w:val="00692219"/>
    <w:rsid w:val="0069240D"/>
    <w:rsid w:val="006A17D2"/>
    <w:rsid w:val="006A56D5"/>
    <w:rsid w:val="006A73E6"/>
    <w:rsid w:val="006B2D5C"/>
    <w:rsid w:val="006B3CE4"/>
    <w:rsid w:val="006B7D77"/>
    <w:rsid w:val="006C0EB6"/>
    <w:rsid w:val="006C0ECF"/>
    <w:rsid w:val="006C3911"/>
    <w:rsid w:val="006C4EB1"/>
    <w:rsid w:val="006C627D"/>
    <w:rsid w:val="006C7BA4"/>
    <w:rsid w:val="006D3859"/>
    <w:rsid w:val="006D4028"/>
    <w:rsid w:val="006D5BF4"/>
    <w:rsid w:val="006E0166"/>
    <w:rsid w:val="006E2B55"/>
    <w:rsid w:val="006E2FFB"/>
    <w:rsid w:val="006E7B34"/>
    <w:rsid w:val="006F52A5"/>
    <w:rsid w:val="006F6A0E"/>
    <w:rsid w:val="007054AF"/>
    <w:rsid w:val="0070697F"/>
    <w:rsid w:val="00707024"/>
    <w:rsid w:val="00707BBB"/>
    <w:rsid w:val="007103C4"/>
    <w:rsid w:val="00711246"/>
    <w:rsid w:val="00717311"/>
    <w:rsid w:val="007204F0"/>
    <w:rsid w:val="0072066F"/>
    <w:rsid w:val="0072199C"/>
    <w:rsid w:val="00722C9F"/>
    <w:rsid w:val="007253B8"/>
    <w:rsid w:val="00725712"/>
    <w:rsid w:val="00730163"/>
    <w:rsid w:val="007321F6"/>
    <w:rsid w:val="0073741F"/>
    <w:rsid w:val="00737A24"/>
    <w:rsid w:val="00740852"/>
    <w:rsid w:val="007428C7"/>
    <w:rsid w:val="00742F97"/>
    <w:rsid w:val="00743653"/>
    <w:rsid w:val="00747599"/>
    <w:rsid w:val="00750F01"/>
    <w:rsid w:val="00756394"/>
    <w:rsid w:val="007565D0"/>
    <w:rsid w:val="00756C4B"/>
    <w:rsid w:val="00761DDC"/>
    <w:rsid w:val="0076643F"/>
    <w:rsid w:val="00766FBD"/>
    <w:rsid w:val="00777F63"/>
    <w:rsid w:val="00784B80"/>
    <w:rsid w:val="00785EF3"/>
    <w:rsid w:val="00792933"/>
    <w:rsid w:val="00793D4D"/>
    <w:rsid w:val="007A2524"/>
    <w:rsid w:val="007A5817"/>
    <w:rsid w:val="007B052B"/>
    <w:rsid w:val="007B05C4"/>
    <w:rsid w:val="007B27B5"/>
    <w:rsid w:val="007B60E9"/>
    <w:rsid w:val="007B6CC3"/>
    <w:rsid w:val="007B76D3"/>
    <w:rsid w:val="007C30CC"/>
    <w:rsid w:val="007C3334"/>
    <w:rsid w:val="007C3DC9"/>
    <w:rsid w:val="007D2B98"/>
    <w:rsid w:val="007D51FC"/>
    <w:rsid w:val="007E21BC"/>
    <w:rsid w:val="007E3C17"/>
    <w:rsid w:val="007E3E2D"/>
    <w:rsid w:val="007E7C82"/>
    <w:rsid w:val="007F2AA1"/>
    <w:rsid w:val="007F51DA"/>
    <w:rsid w:val="007F54BF"/>
    <w:rsid w:val="007F588D"/>
    <w:rsid w:val="00803293"/>
    <w:rsid w:val="0080383C"/>
    <w:rsid w:val="00803F1C"/>
    <w:rsid w:val="0080600E"/>
    <w:rsid w:val="00814688"/>
    <w:rsid w:val="00817612"/>
    <w:rsid w:val="0082274B"/>
    <w:rsid w:val="00830BD7"/>
    <w:rsid w:val="00831531"/>
    <w:rsid w:val="008338A4"/>
    <w:rsid w:val="00834D49"/>
    <w:rsid w:val="00834ED3"/>
    <w:rsid w:val="00837C45"/>
    <w:rsid w:val="00841FE8"/>
    <w:rsid w:val="008424B6"/>
    <w:rsid w:val="00844730"/>
    <w:rsid w:val="00844E7D"/>
    <w:rsid w:val="00844FFB"/>
    <w:rsid w:val="008457C2"/>
    <w:rsid w:val="008523FF"/>
    <w:rsid w:val="008549BF"/>
    <w:rsid w:val="00854D1F"/>
    <w:rsid w:val="00857A82"/>
    <w:rsid w:val="00864923"/>
    <w:rsid w:val="00865A90"/>
    <w:rsid w:val="00865DAD"/>
    <w:rsid w:val="00866140"/>
    <w:rsid w:val="00873836"/>
    <w:rsid w:val="008760E1"/>
    <w:rsid w:val="00882B1D"/>
    <w:rsid w:val="00884271"/>
    <w:rsid w:val="00885737"/>
    <w:rsid w:val="00886ED2"/>
    <w:rsid w:val="008904C8"/>
    <w:rsid w:val="00890650"/>
    <w:rsid w:val="00892718"/>
    <w:rsid w:val="008944DC"/>
    <w:rsid w:val="00896771"/>
    <w:rsid w:val="00897E12"/>
    <w:rsid w:val="008A4BAA"/>
    <w:rsid w:val="008A5591"/>
    <w:rsid w:val="008A7E0F"/>
    <w:rsid w:val="008B12F5"/>
    <w:rsid w:val="008B2829"/>
    <w:rsid w:val="008B4E03"/>
    <w:rsid w:val="008C18D9"/>
    <w:rsid w:val="008C5E2D"/>
    <w:rsid w:val="008C69BF"/>
    <w:rsid w:val="008C7AFE"/>
    <w:rsid w:val="008D0D84"/>
    <w:rsid w:val="008D2AAC"/>
    <w:rsid w:val="008D768D"/>
    <w:rsid w:val="008D7E89"/>
    <w:rsid w:val="008E3759"/>
    <w:rsid w:val="008E3BFE"/>
    <w:rsid w:val="008E63C0"/>
    <w:rsid w:val="008F07EC"/>
    <w:rsid w:val="008F086B"/>
    <w:rsid w:val="008F1912"/>
    <w:rsid w:val="00900ED4"/>
    <w:rsid w:val="0090270B"/>
    <w:rsid w:val="00903F6E"/>
    <w:rsid w:val="009041DC"/>
    <w:rsid w:val="0091068A"/>
    <w:rsid w:val="00911344"/>
    <w:rsid w:val="00917B5A"/>
    <w:rsid w:val="00920A58"/>
    <w:rsid w:val="00920A8C"/>
    <w:rsid w:val="00920BCE"/>
    <w:rsid w:val="00924CAA"/>
    <w:rsid w:val="00925C3A"/>
    <w:rsid w:val="00925CB1"/>
    <w:rsid w:val="0093107F"/>
    <w:rsid w:val="00932C8F"/>
    <w:rsid w:val="009346B0"/>
    <w:rsid w:val="00934A2C"/>
    <w:rsid w:val="00937C06"/>
    <w:rsid w:val="00940B65"/>
    <w:rsid w:val="0094302B"/>
    <w:rsid w:val="009458EC"/>
    <w:rsid w:val="00961068"/>
    <w:rsid w:val="0096706E"/>
    <w:rsid w:val="009710AB"/>
    <w:rsid w:val="009711BF"/>
    <w:rsid w:val="00974491"/>
    <w:rsid w:val="009747B9"/>
    <w:rsid w:val="00974DA9"/>
    <w:rsid w:val="0097570D"/>
    <w:rsid w:val="00975C4E"/>
    <w:rsid w:val="00980474"/>
    <w:rsid w:val="00981FBA"/>
    <w:rsid w:val="009822F6"/>
    <w:rsid w:val="00987092"/>
    <w:rsid w:val="00992416"/>
    <w:rsid w:val="00997BC5"/>
    <w:rsid w:val="009A34F1"/>
    <w:rsid w:val="009A4F41"/>
    <w:rsid w:val="009B381B"/>
    <w:rsid w:val="009B43D4"/>
    <w:rsid w:val="009B55E4"/>
    <w:rsid w:val="009C15CA"/>
    <w:rsid w:val="009C34BA"/>
    <w:rsid w:val="009C54E7"/>
    <w:rsid w:val="009D0ED4"/>
    <w:rsid w:val="009D1753"/>
    <w:rsid w:val="009D1F86"/>
    <w:rsid w:val="009D4F79"/>
    <w:rsid w:val="009D7611"/>
    <w:rsid w:val="009D795D"/>
    <w:rsid w:val="009E0B61"/>
    <w:rsid w:val="009E4AA0"/>
    <w:rsid w:val="009E53DE"/>
    <w:rsid w:val="009F6D5A"/>
    <w:rsid w:val="00A00987"/>
    <w:rsid w:val="00A049EF"/>
    <w:rsid w:val="00A04F76"/>
    <w:rsid w:val="00A060BF"/>
    <w:rsid w:val="00A11212"/>
    <w:rsid w:val="00A11E44"/>
    <w:rsid w:val="00A159A7"/>
    <w:rsid w:val="00A25221"/>
    <w:rsid w:val="00A255A0"/>
    <w:rsid w:val="00A30100"/>
    <w:rsid w:val="00A30B73"/>
    <w:rsid w:val="00A328B3"/>
    <w:rsid w:val="00A40CF9"/>
    <w:rsid w:val="00A50FCF"/>
    <w:rsid w:val="00A528D1"/>
    <w:rsid w:val="00A5616C"/>
    <w:rsid w:val="00A610CD"/>
    <w:rsid w:val="00A64FD2"/>
    <w:rsid w:val="00A64FEC"/>
    <w:rsid w:val="00A70491"/>
    <w:rsid w:val="00A70E5F"/>
    <w:rsid w:val="00A71E55"/>
    <w:rsid w:val="00A758AA"/>
    <w:rsid w:val="00A811A9"/>
    <w:rsid w:val="00A86E50"/>
    <w:rsid w:val="00A870D6"/>
    <w:rsid w:val="00A910AC"/>
    <w:rsid w:val="00A9504F"/>
    <w:rsid w:val="00A95712"/>
    <w:rsid w:val="00A97391"/>
    <w:rsid w:val="00AA09A2"/>
    <w:rsid w:val="00AA2C9A"/>
    <w:rsid w:val="00AA7996"/>
    <w:rsid w:val="00AA7B78"/>
    <w:rsid w:val="00AB2373"/>
    <w:rsid w:val="00AB367F"/>
    <w:rsid w:val="00AB5EC4"/>
    <w:rsid w:val="00AB7318"/>
    <w:rsid w:val="00AC18EB"/>
    <w:rsid w:val="00AC19CB"/>
    <w:rsid w:val="00AC4A8E"/>
    <w:rsid w:val="00AC5819"/>
    <w:rsid w:val="00AC5AFC"/>
    <w:rsid w:val="00AD0ABB"/>
    <w:rsid w:val="00AE076B"/>
    <w:rsid w:val="00AE25F5"/>
    <w:rsid w:val="00AE5488"/>
    <w:rsid w:val="00AE6F91"/>
    <w:rsid w:val="00AF1888"/>
    <w:rsid w:val="00AF5571"/>
    <w:rsid w:val="00B00805"/>
    <w:rsid w:val="00B00CEF"/>
    <w:rsid w:val="00B05126"/>
    <w:rsid w:val="00B07341"/>
    <w:rsid w:val="00B13BF9"/>
    <w:rsid w:val="00B16958"/>
    <w:rsid w:val="00B20A70"/>
    <w:rsid w:val="00B21790"/>
    <w:rsid w:val="00B22BCB"/>
    <w:rsid w:val="00B2445E"/>
    <w:rsid w:val="00B30539"/>
    <w:rsid w:val="00B314DB"/>
    <w:rsid w:val="00B32157"/>
    <w:rsid w:val="00B334E6"/>
    <w:rsid w:val="00B34438"/>
    <w:rsid w:val="00B35772"/>
    <w:rsid w:val="00B361F2"/>
    <w:rsid w:val="00B3718B"/>
    <w:rsid w:val="00B3745F"/>
    <w:rsid w:val="00B41829"/>
    <w:rsid w:val="00B43DE0"/>
    <w:rsid w:val="00B44A99"/>
    <w:rsid w:val="00B4632A"/>
    <w:rsid w:val="00B47144"/>
    <w:rsid w:val="00B510EC"/>
    <w:rsid w:val="00B52F6A"/>
    <w:rsid w:val="00B530F1"/>
    <w:rsid w:val="00B5767E"/>
    <w:rsid w:val="00B61632"/>
    <w:rsid w:val="00B623AD"/>
    <w:rsid w:val="00B63A36"/>
    <w:rsid w:val="00B63DB4"/>
    <w:rsid w:val="00B7280E"/>
    <w:rsid w:val="00B73BF8"/>
    <w:rsid w:val="00B7477F"/>
    <w:rsid w:val="00B75806"/>
    <w:rsid w:val="00B76406"/>
    <w:rsid w:val="00B777A2"/>
    <w:rsid w:val="00B821EF"/>
    <w:rsid w:val="00B839A0"/>
    <w:rsid w:val="00B869BD"/>
    <w:rsid w:val="00B86AD1"/>
    <w:rsid w:val="00B86F10"/>
    <w:rsid w:val="00B93D7F"/>
    <w:rsid w:val="00B945A4"/>
    <w:rsid w:val="00B96358"/>
    <w:rsid w:val="00B96727"/>
    <w:rsid w:val="00BA276C"/>
    <w:rsid w:val="00BA37B3"/>
    <w:rsid w:val="00BA4089"/>
    <w:rsid w:val="00BA61C6"/>
    <w:rsid w:val="00BA7110"/>
    <w:rsid w:val="00BA7A59"/>
    <w:rsid w:val="00BB019D"/>
    <w:rsid w:val="00BB306F"/>
    <w:rsid w:val="00BB5B6C"/>
    <w:rsid w:val="00BC0AE1"/>
    <w:rsid w:val="00BC3CC3"/>
    <w:rsid w:val="00BD0BAE"/>
    <w:rsid w:val="00BD0FF5"/>
    <w:rsid w:val="00BD4B89"/>
    <w:rsid w:val="00BD5922"/>
    <w:rsid w:val="00BE3AA4"/>
    <w:rsid w:val="00BE4CD6"/>
    <w:rsid w:val="00BE5824"/>
    <w:rsid w:val="00BF02CB"/>
    <w:rsid w:val="00BF21D7"/>
    <w:rsid w:val="00BF2CBF"/>
    <w:rsid w:val="00BF433B"/>
    <w:rsid w:val="00BF6FD8"/>
    <w:rsid w:val="00C033FE"/>
    <w:rsid w:val="00C03680"/>
    <w:rsid w:val="00C04F21"/>
    <w:rsid w:val="00C054DF"/>
    <w:rsid w:val="00C21762"/>
    <w:rsid w:val="00C21FEF"/>
    <w:rsid w:val="00C23BA4"/>
    <w:rsid w:val="00C24543"/>
    <w:rsid w:val="00C24FAF"/>
    <w:rsid w:val="00C256A2"/>
    <w:rsid w:val="00C25ADB"/>
    <w:rsid w:val="00C27843"/>
    <w:rsid w:val="00C40153"/>
    <w:rsid w:val="00C468FE"/>
    <w:rsid w:val="00C47A8F"/>
    <w:rsid w:val="00C51515"/>
    <w:rsid w:val="00C52E94"/>
    <w:rsid w:val="00C5660B"/>
    <w:rsid w:val="00C61C94"/>
    <w:rsid w:val="00C62EF6"/>
    <w:rsid w:val="00C6358A"/>
    <w:rsid w:val="00C66B72"/>
    <w:rsid w:val="00C71234"/>
    <w:rsid w:val="00C73E7B"/>
    <w:rsid w:val="00C773FF"/>
    <w:rsid w:val="00C80EFE"/>
    <w:rsid w:val="00C81888"/>
    <w:rsid w:val="00C870AE"/>
    <w:rsid w:val="00C87AC4"/>
    <w:rsid w:val="00C9276C"/>
    <w:rsid w:val="00C9567A"/>
    <w:rsid w:val="00CA028F"/>
    <w:rsid w:val="00CA2F76"/>
    <w:rsid w:val="00CA35AD"/>
    <w:rsid w:val="00CA6DDC"/>
    <w:rsid w:val="00CB1527"/>
    <w:rsid w:val="00CB212D"/>
    <w:rsid w:val="00CB2660"/>
    <w:rsid w:val="00CB74CF"/>
    <w:rsid w:val="00CB7B97"/>
    <w:rsid w:val="00CC070D"/>
    <w:rsid w:val="00CC5E90"/>
    <w:rsid w:val="00CD046C"/>
    <w:rsid w:val="00CD13F5"/>
    <w:rsid w:val="00CD1EBB"/>
    <w:rsid w:val="00CE076C"/>
    <w:rsid w:val="00CE3E11"/>
    <w:rsid w:val="00CE5199"/>
    <w:rsid w:val="00CE66D5"/>
    <w:rsid w:val="00CF6229"/>
    <w:rsid w:val="00CF637A"/>
    <w:rsid w:val="00D0121A"/>
    <w:rsid w:val="00D059DE"/>
    <w:rsid w:val="00D05ABD"/>
    <w:rsid w:val="00D05C36"/>
    <w:rsid w:val="00D107D0"/>
    <w:rsid w:val="00D13FCE"/>
    <w:rsid w:val="00D178B5"/>
    <w:rsid w:val="00D22386"/>
    <w:rsid w:val="00D22543"/>
    <w:rsid w:val="00D242ED"/>
    <w:rsid w:val="00D26A35"/>
    <w:rsid w:val="00D306D1"/>
    <w:rsid w:val="00D30800"/>
    <w:rsid w:val="00D311FC"/>
    <w:rsid w:val="00D3275A"/>
    <w:rsid w:val="00D34786"/>
    <w:rsid w:val="00D3667B"/>
    <w:rsid w:val="00D37BFC"/>
    <w:rsid w:val="00D4048A"/>
    <w:rsid w:val="00D41F69"/>
    <w:rsid w:val="00D4465C"/>
    <w:rsid w:val="00D4749F"/>
    <w:rsid w:val="00D47A8E"/>
    <w:rsid w:val="00D51AF9"/>
    <w:rsid w:val="00D52D14"/>
    <w:rsid w:val="00D53431"/>
    <w:rsid w:val="00D53B30"/>
    <w:rsid w:val="00D5587D"/>
    <w:rsid w:val="00D61B06"/>
    <w:rsid w:val="00D63B6C"/>
    <w:rsid w:val="00D65AF8"/>
    <w:rsid w:val="00D712D3"/>
    <w:rsid w:val="00D71422"/>
    <w:rsid w:val="00D723F1"/>
    <w:rsid w:val="00D72BB6"/>
    <w:rsid w:val="00D72DC6"/>
    <w:rsid w:val="00D74376"/>
    <w:rsid w:val="00D7558D"/>
    <w:rsid w:val="00D76E3C"/>
    <w:rsid w:val="00D81D92"/>
    <w:rsid w:val="00D85B15"/>
    <w:rsid w:val="00D876F9"/>
    <w:rsid w:val="00DA17B8"/>
    <w:rsid w:val="00DA4026"/>
    <w:rsid w:val="00DA6D81"/>
    <w:rsid w:val="00DA7B5F"/>
    <w:rsid w:val="00DB0504"/>
    <w:rsid w:val="00DB30C3"/>
    <w:rsid w:val="00DB5498"/>
    <w:rsid w:val="00DB667B"/>
    <w:rsid w:val="00DC11E7"/>
    <w:rsid w:val="00DC24E3"/>
    <w:rsid w:val="00DC27B0"/>
    <w:rsid w:val="00DC2DBA"/>
    <w:rsid w:val="00DC54D4"/>
    <w:rsid w:val="00DC7023"/>
    <w:rsid w:val="00DC769A"/>
    <w:rsid w:val="00DD3973"/>
    <w:rsid w:val="00DD3D86"/>
    <w:rsid w:val="00DD4AD2"/>
    <w:rsid w:val="00DE041C"/>
    <w:rsid w:val="00DE24D3"/>
    <w:rsid w:val="00DE2862"/>
    <w:rsid w:val="00DE5575"/>
    <w:rsid w:val="00DE62E4"/>
    <w:rsid w:val="00DE69B1"/>
    <w:rsid w:val="00DF0125"/>
    <w:rsid w:val="00DF0155"/>
    <w:rsid w:val="00DF1EC4"/>
    <w:rsid w:val="00DF7941"/>
    <w:rsid w:val="00E02283"/>
    <w:rsid w:val="00E0340B"/>
    <w:rsid w:val="00E04671"/>
    <w:rsid w:val="00E04A90"/>
    <w:rsid w:val="00E0551F"/>
    <w:rsid w:val="00E06923"/>
    <w:rsid w:val="00E12C25"/>
    <w:rsid w:val="00E14CD1"/>
    <w:rsid w:val="00E17DB7"/>
    <w:rsid w:val="00E219C7"/>
    <w:rsid w:val="00E21B05"/>
    <w:rsid w:val="00E22430"/>
    <w:rsid w:val="00E22D1F"/>
    <w:rsid w:val="00E23CC5"/>
    <w:rsid w:val="00E271BC"/>
    <w:rsid w:val="00E329A9"/>
    <w:rsid w:val="00E3515C"/>
    <w:rsid w:val="00E379A9"/>
    <w:rsid w:val="00E40037"/>
    <w:rsid w:val="00E40CD4"/>
    <w:rsid w:val="00E4118C"/>
    <w:rsid w:val="00E43157"/>
    <w:rsid w:val="00E446E9"/>
    <w:rsid w:val="00E461CE"/>
    <w:rsid w:val="00E512B5"/>
    <w:rsid w:val="00E573E4"/>
    <w:rsid w:val="00E63C79"/>
    <w:rsid w:val="00E64C3D"/>
    <w:rsid w:val="00E66BF5"/>
    <w:rsid w:val="00E7108A"/>
    <w:rsid w:val="00E71269"/>
    <w:rsid w:val="00E720CA"/>
    <w:rsid w:val="00E746CA"/>
    <w:rsid w:val="00E7498F"/>
    <w:rsid w:val="00E74F9E"/>
    <w:rsid w:val="00E75E90"/>
    <w:rsid w:val="00E764A5"/>
    <w:rsid w:val="00E8047E"/>
    <w:rsid w:val="00E820A2"/>
    <w:rsid w:val="00E84EB5"/>
    <w:rsid w:val="00E85662"/>
    <w:rsid w:val="00E8789F"/>
    <w:rsid w:val="00E879A5"/>
    <w:rsid w:val="00E96A28"/>
    <w:rsid w:val="00E97B71"/>
    <w:rsid w:val="00EA3A92"/>
    <w:rsid w:val="00EA3D34"/>
    <w:rsid w:val="00EA4528"/>
    <w:rsid w:val="00EA5BC8"/>
    <w:rsid w:val="00EA6C7B"/>
    <w:rsid w:val="00EB0DD5"/>
    <w:rsid w:val="00EB17F3"/>
    <w:rsid w:val="00EB1AA3"/>
    <w:rsid w:val="00EB454D"/>
    <w:rsid w:val="00EC4264"/>
    <w:rsid w:val="00EC46A9"/>
    <w:rsid w:val="00EC4D3D"/>
    <w:rsid w:val="00EC56B6"/>
    <w:rsid w:val="00EC6493"/>
    <w:rsid w:val="00ED549D"/>
    <w:rsid w:val="00ED5E10"/>
    <w:rsid w:val="00ED76BE"/>
    <w:rsid w:val="00EE00E9"/>
    <w:rsid w:val="00EE0374"/>
    <w:rsid w:val="00EE16CC"/>
    <w:rsid w:val="00EE3791"/>
    <w:rsid w:val="00EE6457"/>
    <w:rsid w:val="00EE7940"/>
    <w:rsid w:val="00EF1AAA"/>
    <w:rsid w:val="00EF37BF"/>
    <w:rsid w:val="00EF4E7C"/>
    <w:rsid w:val="00EF619B"/>
    <w:rsid w:val="00EF639D"/>
    <w:rsid w:val="00EF64BB"/>
    <w:rsid w:val="00EF7D62"/>
    <w:rsid w:val="00F00B55"/>
    <w:rsid w:val="00F013B1"/>
    <w:rsid w:val="00F017CF"/>
    <w:rsid w:val="00F02AD1"/>
    <w:rsid w:val="00F02B82"/>
    <w:rsid w:val="00F03702"/>
    <w:rsid w:val="00F04F51"/>
    <w:rsid w:val="00F1167D"/>
    <w:rsid w:val="00F13E6F"/>
    <w:rsid w:val="00F253CC"/>
    <w:rsid w:val="00F25735"/>
    <w:rsid w:val="00F267DC"/>
    <w:rsid w:val="00F350F4"/>
    <w:rsid w:val="00F37106"/>
    <w:rsid w:val="00F37B78"/>
    <w:rsid w:val="00F402A5"/>
    <w:rsid w:val="00F44E25"/>
    <w:rsid w:val="00F519CF"/>
    <w:rsid w:val="00F51FC1"/>
    <w:rsid w:val="00F56AB3"/>
    <w:rsid w:val="00F56BA5"/>
    <w:rsid w:val="00F605F2"/>
    <w:rsid w:val="00F60E22"/>
    <w:rsid w:val="00F71CEB"/>
    <w:rsid w:val="00F724A2"/>
    <w:rsid w:val="00F73CB5"/>
    <w:rsid w:val="00F76E67"/>
    <w:rsid w:val="00F81395"/>
    <w:rsid w:val="00F81BB8"/>
    <w:rsid w:val="00F8346A"/>
    <w:rsid w:val="00F90C64"/>
    <w:rsid w:val="00F917D1"/>
    <w:rsid w:val="00F925C0"/>
    <w:rsid w:val="00F94BBA"/>
    <w:rsid w:val="00F9653B"/>
    <w:rsid w:val="00F97E40"/>
    <w:rsid w:val="00FA1853"/>
    <w:rsid w:val="00FB21CE"/>
    <w:rsid w:val="00FB62CF"/>
    <w:rsid w:val="00FB6353"/>
    <w:rsid w:val="00FD225A"/>
    <w:rsid w:val="00FD3C3B"/>
    <w:rsid w:val="00FD4896"/>
    <w:rsid w:val="00FD5115"/>
    <w:rsid w:val="00FE07DD"/>
    <w:rsid w:val="00FE0A1D"/>
    <w:rsid w:val="00FE67E8"/>
    <w:rsid w:val="00FE6B45"/>
    <w:rsid w:val="00FE6FCD"/>
    <w:rsid w:val="00FF133A"/>
    <w:rsid w:val="00FF386D"/>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82D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rPr>
  </w:style>
  <w:style w:type="paragraph" w:styleId="ListParagraph">
    <w:name w:val="List Paragraph"/>
    <w:uiPriority w:val="34"/>
    <w:qFormat/>
    <w:pPr>
      <w:ind w:left="720"/>
    </w:pPr>
    <w:rPr>
      <w:rFonts w:ascii="Cambria" w:eastAsia="Cambria" w:hAnsi="Cambria" w:cs="Cambria"/>
      <w:color w:val="000000"/>
      <w:sz w:val="24"/>
      <w:szCs w:val="24"/>
      <w:u w:color="000000"/>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23CC5"/>
    <w:rPr>
      <w:sz w:val="16"/>
      <w:szCs w:val="16"/>
    </w:rPr>
  </w:style>
  <w:style w:type="paragraph" w:styleId="CommentText">
    <w:name w:val="annotation text"/>
    <w:basedOn w:val="Normal"/>
    <w:link w:val="CommentTextChar"/>
    <w:uiPriority w:val="99"/>
    <w:semiHidden/>
    <w:unhideWhenUsed/>
    <w:rsid w:val="00E23CC5"/>
    <w:rPr>
      <w:sz w:val="20"/>
      <w:szCs w:val="20"/>
    </w:rPr>
  </w:style>
  <w:style w:type="character" w:customStyle="1" w:styleId="CommentTextChar">
    <w:name w:val="Comment Text Char"/>
    <w:basedOn w:val="DefaultParagraphFont"/>
    <w:link w:val="CommentText"/>
    <w:uiPriority w:val="99"/>
    <w:semiHidden/>
    <w:rsid w:val="00E23CC5"/>
    <w:rPr>
      <w:lang w:val="en-US" w:eastAsia="en-US"/>
    </w:rPr>
  </w:style>
  <w:style w:type="paragraph" w:styleId="CommentSubject">
    <w:name w:val="annotation subject"/>
    <w:basedOn w:val="CommentText"/>
    <w:next w:val="CommentText"/>
    <w:link w:val="CommentSubjectChar"/>
    <w:uiPriority w:val="99"/>
    <w:semiHidden/>
    <w:unhideWhenUsed/>
    <w:rsid w:val="00E23CC5"/>
    <w:rPr>
      <w:b/>
      <w:bCs/>
    </w:rPr>
  </w:style>
  <w:style w:type="character" w:customStyle="1" w:styleId="CommentSubjectChar">
    <w:name w:val="Comment Subject Char"/>
    <w:basedOn w:val="CommentTextChar"/>
    <w:link w:val="CommentSubject"/>
    <w:uiPriority w:val="99"/>
    <w:semiHidden/>
    <w:rsid w:val="00E23CC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0.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0D9A"/>
    <w:rsid w:val="00200821"/>
    <w:rsid w:val="0021692F"/>
    <w:rsid w:val="0025245B"/>
    <w:rsid w:val="00274C19"/>
    <w:rsid w:val="00294DA2"/>
    <w:rsid w:val="002A3923"/>
    <w:rsid w:val="003108DE"/>
    <w:rsid w:val="00394049"/>
    <w:rsid w:val="003B0C71"/>
    <w:rsid w:val="0042196B"/>
    <w:rsid w:val="00445FF3"/>
    <w:rsid w:val="004B5BBB"/>
    <w:rsid w:val="004F2DF8"/>
    <w:rsid w:val="004F4034"/>
    <w:rsid w:val="00517E2A"/>
    <w:rsid w:val="00582791"/>
    <w:rsid w:val="005A14DA"/>
    <w:rsid w:val="00654EF3"/>
    <w:rsid w:val="006E6095"/>
    <w:rsid w:val="006F24A1"/>
    <w:rsid w:val="007151B9"/>
    <w:rsid w:val="0087345F"/>
    <w:rsid w:val="008F7FFC"/>
    <w:rsid w:val="00906B48"/>
    <w:rsid w:val="00992898"/>
    <w:rsid w:val="009A261B"/>
    <w:rsid w:val="009A446A"/>
    <w:rsid w:val="00A56FBE"/>
    <w:rsid w:val="00A74FDE"/>
    <w:rsid w:val="00AA2E17"/>
    <w:rsid w:val="00AC15A4"/>
    <w:rsid w:val="00AD4CBA"/>
    <w:rsid w:val="00B0336C"/>
    <w:rsid w:val="00BF1032"/>
    <w:rsid w:val="00CA6A8E"/>
    <w:rsid w:val="00CE7507"/>
    <w:rsid w:val="00D241E9"/>
    <w:rsid w:val="00D7750D"/>
    <w:rsid w:val="00DB398C"/>
    <w:rsid w:val="00E621A0"/>
    <w:rsid w:val="00F00D2F"/>
    <w:rsid w:val="00F128DF"/>
    <w:rsid w:val="00FB2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DE095-3227-4C16-A845-BC38E0727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3753</Words>
  <Characters>20304</Characters>
  <Application>Microsoft Office Word</Application>
  <DocSecurity>0</DocSecurity>
  <Lines>369</Lines>
  <Paragraphs>102</Paragraphs>
  <ScaleCrop>false</ScaleCrop>
  <Company/>
  <LinksUpToDate>false</LinksUpToDate>
  <CharactersWithSpaces>23955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187/21</dc:title>
  <dc:creator/>
  <cp:lastModifiedBy/>
  <cp:revision>1</cp:revision>
  <dcterms:created xsi:type="dcterms:W3CDTF">2021-09-23T12:41:00Z</dcterms:created>
  <dcterms:modified xsi:type="dcterms:W3CDTF">2021-09-23T12:41:00Z</dcterms:modified>
</cp:coreProperties>
</file>