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6867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3F6F5E" w:rsidRDefault="003F6F5E">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3F6F5E" w:rsidRDefault="003F6F5E">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624F1E16">
                <wp:simplePos x="0" y="0"/>
                <wp:positionH relativeFrom="column">
                  <wp:posOffset>1209675</wp:posOffset>
                </wp:positionH>
                <wp:positionV relativeFrom="paragraph">
                  <wp:posOffset>78740</wp:posOffset>
                </wp:positionV>
                <wp:extent cx="5105400"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05400"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17FF1EA5" w:rsidR="003F6F5E" w:rsidRPr="004B7EB6" w:rsidRDefault="003F6F5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848A4">
                              <w:rPr>
                                <w:rFonts w:asciiTheme="majorHAnsi" w:hAnsiTheme="majorHAnsi" w:cs="Arial"/>
                                <w:b/>
                                <w:bCs/>
                                <w:color w:val="0D0D0D" w:themeColor="text1" w:themeTint="F2"/>
                                <w:sz w:val="36"/>
                                <w:szCs w:val="40"/>
                              </w:rPr>
                              <w:t>90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2857F468" w14:textId="5FF4AD55" w:rsidR="003F6F5E" w:rsidRPr="004B7EB6" w:rsidRDefault="003F6F5E"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2011-13</w:t>
                            </w:r>
                          </w:p>
                          <w:p w14:paraId="51480B27" w14:textId="1F0FD76A" w:rsidR="003F6F5E" w:rsidRPr="004B7EB6" w:rsidRDefault="003F6F5E"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3F6F5E" w:rsidRPr="004B7EB6" w:rsidRDefault="003F6F5E" w:rsidP="00261E08">
                            <w:pPr>
                              <w:spacing w:line="276" w:lineRule="auto"/>
                              <w:rPr>
                                <w:rFonts w:asciiTheme="majorHAnsi" w:hAnsiTheme="majorHAnsi" w:cs="Arial"/>
                                <w:color w:val="0D0D0D" w:themeColor="text1" w:themeTint="F2"/>
                                <w:szCs w:val="22"/>
                              </w:rPr>
                            </w:pPr>
                          </w:p>
                          <w:p w14:paraId="2FD51F76" w14:textId="77777777" w:rsidR="00D848A4" w:rsidRPr="000C6946" w:rsidRDefault="003F6F5E" w:rsidP="00D848A4">
                            <w:pPr>
                              <w:spacing w:line="276" w:lineRule="auto"/>
                              <w:rPr>
                                <w:rFonts w:asciiTheme="majorHAnsi" w:hAnsiTheme="majorHAnsi" w:cs="Arial"/>
                                <w:color w:val="0D0D0D" w:themeColor="text1" w:themeTint="F2"/>
                                <w:szCs w:val="22"/>
                                <w:lang w:val="es-US"/>
                              </w:rPr>
                            </w:pPr>
                            <w:r w:rsidRPr="000C6946">
                              <w:rPr>
                                <w:rFonts w:asciiTheme="majorHAnsi" w:hAnsiTheme="majorHAnsi" w:cs="Arial"/>
                                <w:color w:val="0D0D0D" w:themeColor="text1" w:themeTint="F2"/>
                                <w:szCs w:val="22"/>
                                <w:lang w:val="es-US"/>
                              </w:rPr>
                              <w:t>ALEXANDRA BENADO VERGARA</w:t>
                            </w:r>
                            <w:r w:rsidR="00D848A4" w:rsidRPr="000C6946">
                              <w:rPr>
                                <w:rFonts w:asciiTheme="majorHAnsi" w:hAnsiTheme="majorHAnsi" w:cs="Arial"/>
                                <w:color w:val="0D0D0D" w:themeColor="text1" w:themeTint="F2"/>
                                <w:szCs w:val="22"/>
                                <w:lang w:val="es-US"/>
                              </w:rPr>
                              <w:t xml:space="preserve">, </w:t>
                            </w:r>
                            <w:r w:rsidRPr="000C6946">
                              <w:rPr>
                                <w:rFonts w:asciiTheme="majorHAnsi" w:hAnsiTheme="majorHAnsi" w:cs="Arial"/>
                                <w:color w:val="0D0D0D" w:themeColor="text1" w:themeTint="F2"/>
                                <w:szCs w:val="22"/>
                                <w:lang w:val="es-US"/>
                              </w:rPr>
                              <w:t>ALEJANDRA GALLO POBLETE</w:t>
                            </w:r>
                            <w:r w:rsidR="00D848A4" w:rsidRPr="000C6946">
                              <w:rPr>
                                <w:rFonts w:asciiTheme="majorHAnsi" w:hAnsiTheme="majorHAnsi" w:cs="Arial"/>
                                <w:color w:val="0D0D0D" w:themeColor="text1" w:themeTint="F2"/>
                                <w:szCs w:val="22"/>
                                <w:lang w:val="es-US"/>
                              </w:rPr>
                              <w:t xml:space="preserve"> ET AL.</w:t>
                            </w:r>
                          </w:p>
                          <w:p w14:paraId="67476ECA" w14:textId="5F5DE2DD" w:rsidR="003F6F5E" w:rsidRPr="00D848A4" w:rsidRDefault="003F6F5E" w:rsidP="00D848A4">
                            <w:pPr>
                              <w:spacing w:line="276" w:lineRule="auto"/>
                              <w:rPr>
                                <w:rFonts w:asciiTheme="majorHAnsi" w:hAnsiTheme="majorHAnsi" w:cs="Arial"/>
                                <w:color w:val="0D0D0D" w:themeColor="text1" w:themeTint="F2"/>
                                <w:szCs w:val="22"/>
                              </w:rPr>
                            </w:pPr>
                            <w:r w:rsidRPr="00D848A4">
                              <w:rPr>
                                <w:rFonts w:asciiTheme="majorHAnsi" w:hAnsiTheme="majorHAnsi" w:cs="Arial"/>
                                <w:color w:val="0D0D0D" w:themeColor="text1" w:themeTint="F2"/>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6.2pt;width:402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" filled="f" stroked="f" strokeweight=".5pt">
                <v:textbox>
                  <w:txbxContent>
                    <w:p w14:paraId="5E98D609" w14:textId="17FF1EA5" w:rsidR="003F6F5E" w:rsidRPr="004B7EB6" w:rsidRDefault="003F6F5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848A4">
                        <w:rPr>
                          <w:rFonts w:asciiTheme="majorHAnsi" w:hAnsiTheme="majorHAnsi" w:cs="Arial"/>
                          <w:b/>
                          <w:bCs/>
                          <w:color w:val="0D0D0D" w:themeColor="text1" w:themeTint="F2"/>
                          <w:sz w:val="36"/>
                          <w:szCs w:val="40"/>
                        </w:rPr>
                        <w:t>90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2857F468" w14:textId="5FF4AD55" w:rsidR="003F6F5E" w:rsidRPr="004B7EB6" w:rsidRDefault="003F6F5E"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2011-13</w:t>
                      </w:r>
                    </w:p>
                    <w:p w14:paraId="51480B27" w14:textId="1F0FD76A" w:rsidR="003F6F5E" w:rsidRPr="004B7EB6" w:rsidRDefault="003F6F5E"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3F6F5E" w:rsidRPr="004B7EB6" w:rsidRDefault="003F6F5E" w:rsidP="00261E08">
                      <w:pPr>
                        <w:spacing w:line="276" w:lineRule="auto"/>
                        <w:rPr>
                          <w:rFonts w:asciiTheme="majorHAnsi" w:hAnsiTheme="majorHAnsi" w:cs="Arial"/>
                          <w:color w:val="0D0D0D" w:themeColor="text1" w:themeTint="F2"/>
                          <w:szCs w:val="22"/>
                        </w:rPr>
                      </w:pPr>
                    </w:p>
                    <w:p w14:paraId="2FD51F76" w14:textId="77777777" w:rsidR="00D848A4" w:rsidRPr="000C6946" w:rsidRDefault="003F6F5E" w:rsidP="00D848A4">
                      <w:pPr>
                        <w:spacing w:line="276" w:lineRule="auto"/>
                        <w:rPr>
                          <w:rFonts w:asciiTheme="majorHAnsi" w:hAnsiTheme="majorHAnsi" w:cs="Arial"/>
                          <w:color w:val="0D0D0D" w:themeColor="text1" w:themeTint="F2"/>
                          <w:szCs w:val="22"/>
                          <w:lang w:val="es-US"/>
                        </w:rPr>
                      </w:pPr>
                      <w:r w:rsidRPr="000C6946">
                        <w:rPr>
                          <w:rFonts w:asciiTheme="majorHAnsi" w:hAnsiTheme="majorHAnsi" w:cs="Arial"/>
                          <w:color w:val="0D0D0D" w:themeColor="text1" w:themeTint="F2"/>
                          <w:szCs w:val="22"/>
                          <w:lang w:val="es-US"/>
                        </w:rPr>
                        <w:t>ALEXANDRA BENADO VERGARA</w:t>
                      </w:r>
                      <w:r w:rsidR="00D848A4" w:rsidRPr="000C6946">
                        <w:rPr>
                          <w:rFonts w:asciiTheme="majorHAnsi" w:hAnsiTheme="majorHAnsi" w:cs="Arial"/>
                          <w:color w:val="0D0D0D" w:themeColor="text1" w:themeTint="F2"/>
                          <w:szCs w:val="22"/>
                          <w:lang w:val="es-US"/>
                        </w:rPr>
                        <w:t xml:space="preserve">, </w:t>
                      </w:r>
                      <w:r w:rsidRPr="000C6946">
                        <w:rPr>
                          <w:rFonts w:asciiTheme="majorHAnsi" w:hAnsiTheme="majorHAnsi" w:cs="Arial"/>
                          <w:color w:val="0D0D0D" w:themeColor="text1" w:themeTint="F2"/>
                          <w:szCs w:val="22"/>
                          <w:lang w:val="es-US"/>
                        </w:rPr>
                        <w:t>ALEJANDRA GALLO POBLETE</w:t>
                      </w:r>
                      <w:r w:rsidR="00D848A4" w:rsidRPr="000C6946">
                        <w:rPr>
                          <w:rFonts w:asciiTheme="majorHAnsi" w:hAnsiTheme="majorHAnsi" w:cs="Arial"/>
                          <w:color w:val="0D0D0D" w:themeColor="text1" w:themeTint="F2"/>
                          <w:szCs w:val="22"/>
                          <w:lang w:val="es-US"/>
                        </w:rPr>
                        <w:t xml:space="preserve"> ET AL.</w:t>
                      </w:r>
                    </w:p>
                    <w:p w14:paraId="67476ECA" w14:textId="5F5DE2DD" w:rsidR="003F6F5E" w:rsidRPr="00D848A4" w:rsidRDefault="003F6F5E" w:rsidP="00D848A4">
                      <w:pPr>
                        <w:spacing w:line="276" w:lineRule="auto"/>
                        <w:rPr>
                          <w:rFonts w:asciiTheme="majorHAnsi" w:hAnsiTheme="majorHAnsi" w:cs="Arial"/>
                          <w:color w:val="0D0D0D" w:themeColor="text1" w:themeTint="F2"/>
                          <w:szCs w:val="22"/>
                        </w:rPr>
                      </w:pPr>
                      <w:r w:rsidRPr="00D848A4">
                        <w:rPr>
                          <w:rFonts w:asciiTheme="majorHAnsi" w:hAnsiTheme="majorHAnsi" w:cs="Arial"/>
                          <w:color w:val="0D0D0D" w:themeColor="text1" w:themeTint="F2"/>
                          <w:szCs w:val="22"/>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53120820" w:rsidR="003F6F5E" w:rsidRPr="00D848A4" w:rsidRDefault="003F6F5E" w:rsidP="009E566A">
                            <w:pPr>
                              <w:jc w:val="right"/>
                              <w:rPr>
                                <w:rFonts w:asciiTheme="minorHAnsi" w:hAnsiTheme="minorHAnsi"/>
                                <w:color w:val="FFFFFF" w:themeColor="background1"/>
                                <w:sz w:val="22"/>
                                <w:lang w:val="es-419"/>
                              </w:rPr>
                            </w:pPr>
                            <w:r w:rsidRPr="00D848A4">
                              <w:rPr>
                                <w:rFonts w:asciiTheme="minorHAnsi" w:hAnsiTheme="minorHAnsi"/>
                                <w:color w:val="FFFFFF" w:themeColor="background1"/>
                                <w:sz w:val="22"/>
                                <w:lang w:val="es-419"/>
                              </w:rPr>
                              <w:t>OEA/</w:t>
                            </w:r>
                            <w:proofErr w:type="spellStart"/>
                            <w:r w:rsidRPr="00D848A4">
                              <w:rPr>
                                <w:rFonts w:asciiTheme="minorHAnsi" w:hAnsiTheme="minorHAnsi"/>
                                <w:color w:val="FFFFFF" w:themeColor="background1"/>
                                <w:sz w:val="22"/>
                                <w:lang w:val="es-419"/>
                              </w:rPr>
                              <w:t>Ser.L</w:t>
                            </w:r>
                            <w:proofErr w:type="spellEnd"/>
                            <w:r w:rsidRPr="00D848A4">
                              <w:rPr>
                                <w:rFonts w:asciiTheme="minorHAnsi" w:hAnsiTheme="minorHAnsi"/>
                                <w:color w:val="FFFFFF" w:themeColor="background1"/>
                                <w:sz w:val="22"/>
                                <w:lang w:val="es-419"/>
                              </w:rPr>
                              <w:t xml:space="preserve">/V/II </w:t>
                            </w:r>
                          </w:p>
                          <w:p w14:paraId="2B86BB36" w14:textId="6BE5E981" w:rsidR="003F6F5E" w:rsidRPr="00D848A4" w:rsidRDefault="003F6F5E" w:rsidP="009E566A">
                            <w:pPr>
                              <w:jc w:val="right"/>
                              <w:rPr>
                                <w:rFonts w:asciiTheme="minorHAnsi" w:hAnsiTheme="minorHAnsi"/>
                                <w:color w:val="FFFFFF" w:themeColor="background1"/>
                                <w:sz w:val="22"/>
                                <w:lang w:val="pt-BR"/>
                              </w:rPr>
                            </w:pPr>
                            <w:r w:rsidRPr="00D848A4">
                              <w:rPr>
                                <w:rFonts w:asciiTheme="minorHAnsi" w:hAnsiTheme="minorHAnsi"/>
                                <w:color w:val="FFFFFF" w:themeColor="background1"/>
                                <w:sz w:val="22"/>
                                <w:lang w:val="pt-BR"/>
                              </w:rPr>
                              <w:t xml:space="preserve">Doc. </w:t>
                            </w:r>
                            <w:r w:rsidR="00D848A4">
                              <w:rPr>
                                <w:rFonts w:asciiTheme="minorHAnsi" w:hAnsiTheme="minorHAnsi"/>
                                <w:color w:val="FFFFFF" w:themeColor="background1"/>
                                <w:sz w:val="22"/>
                                <w:lang w:val="pt-BR"/>
                              </w:rPr>
                              <w:t>95</w:t>
                            </w:r>
                          </w:p>
                          <w:p w14:paraId="6AC8D657" w14:textId="34431804" w:rsidR="003F6F5E" w:rsidRPr="00D848A4" w:rsidRDefault="003F6F5E" w:rsidP="009E566A">
                            <w:pPr>
                              <w:jc w:val="right"/>
                              <w:rPr>
                                <w:rFonts w:asciiTheme="minorHAnsi" w:hAnsiTheme="minorHAnsi"/>
                                <w:color w:val="FFFFFF" w:themeColor="background1"/>
                                <w:sz w:val="22"/>
                              </w:rPr>
                            </w:pPr>
                            <w:r w:rsidRPr="00D848A4">
                              <w:rPr>
                                <w:rFonts w:asciiTheme="minorHAnsi" w:hAnsiTheme="minorHAnsi"/>
                                <w:color w:val="FFFFFF" w:themeColor="background1"/>
                                <w:sz w:val="22"/>
                                <w:lang w:val="pt-BR"/>
                              </w:rPr>
                              <w:t xml:space="preserve"> </w:t>
                            </w:r>
                            <w:r w:rsidR="00D848A4">
                              <w:rPr>
                                <w:rFonts w:asciiTheme="minorHAnsi" w:hAnsiTheme="minorHAnsi"/>
                                <w:color w:val="FFFFFF" w:themeColor="background1"/>
                                <w:sz w:val="22"/>
                              </w:rPr>
                              <w:t>29 April</w:t>
                            </w:r>
                            <w:r w:rsidRPr="00D848A4">
                              <w:rPr>
                                <w:rFonts w:asciiTheme="minorHAnsi" w:hAnsiTheme="minorHAnsi"/>
                                <w:color w:val="FFFFFF" w:themeColor="background1"/>
                                <w:sz w:val="22"/>
                              </w:rPr>
                              <w:t xml:space="preserve"> 2021</w:t>
                            </w:r>
                          </w:p>
                          <w:p w14:paraId="35D3ABA3" w14:textId="4D5A616E" w:rsidR="003F6F5E" w:rsidRPr="004B7EB6" w:rsidRDefault="003F6F5E" w:rsidP="009E566A">
                            <w:pPr>
                              <w:jc w:val="right"/>
                              <w:rPr>
                                <w:rFonts w:asciiTheme="minorHAnsi" w:hAnsiTheme="minorHAnsi"/>
                                <w:color w:val="FFFFFF" w:themeColor="background1"/>
                                <w:sz w:val="22"/>
                              </w:rPr>
                            </w:pPr>
                            <w:r w:rsidRPr="00D848A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53120820" w:rsidR="003F6F5E" w:rsidRPr="00D848A4" w:rsidRDefault="003F6F5E" w:rsidP="009E566A">
                      <w:pPr>
                        <w:jc w:val="right"/>
                        <w:rPr>
                          <w:rFonts w:asciiTheme="minorHAnsi" w:hAnsiTheme="minorHAnsi"/>
                          <w:color w:val="FFFFFF" w:themeColor="background1"/>
                          <w:sz w:val="22"/>
                          <w:lang w:val="es-419"/>
                        </w:rPr>
                      </w:pPr>
                      <w:r w:rsidRPr="00D848A4">
                        <w:rPr>
                          <w:rFonts w:asciiTheme="minorHAnsi" w:hAnsiTheme="minorHAnsi"/>
                          <w:color w:val="FFFFFF" w:themeColor="background1"/>
                          <w:sz w:val="22"/>
                          <w:lang w:val="es-419"/>
                        </w:rPr>
                        <w:t>OEA/</w:t>
                      </w:r>
                      <w:proofErr w:type="spellStart"/>
                      <w:r w:rsidRPr="00D848A4">
                        <w:rPr>
                          <w:rFonts w:asciiTheme="minorHAnsi" w:hAnsiTheme="minorHAnsi"/>
                          <w:color w:val="FFFFFF" w:themeColor="background1"/>
                          <w:sz w:val="22"/>
                          <w:lang w:val="es-419"/>
                        </w:rPr>
                        <w:t>Ser.L</w:t>
                      </w:r>
                      <w:proofErr w:type="spellEnd"/>
                      <w:r w:rsidRPr="00D848A4">
                        <w:rPr>
                          <w:rFonts w:asciiTheme="minorHAnsi" w:hAnsiTheme="minorHAnsi"/>
                          <w:color w:val="FFFFFF" w:themeColor="background1"/>
                          <w:sz w:val="22"/>
                          <w:lang w:val="es-419"/>
                        </w:rPr>
                        <w:t xml:space="preserve">/V/II </w:t>
                      </w:r>
                    </w:p>
                    <w:p w14:paraId="2B86BB36" w14:textId="6BE5E981" w:rsidR="003F6F5E" w:rsidRPr="00D848A4" w:rsidRDefault="003F6F5E" w:rsidP="009E566A">
                      <w:pPr>
                        <w:jc w:val="right"/>
                        <w:rPr>
                          <w:rFonts w:asciiTheme="minorHAnsi" w:hAnsiTheme="minorHAnsi"/>
                          <w:color w:val="FFFFFF" w:themeColor="background1"/>
                          <w:sz w:val="22"/>
                          <w:lang w:val="pt-BR"/>
                        </w:rPr>
                      </w:pPr>
                      <w:r w:rsidRPr="00D848A4">
                        <w:rPr>
                          <w:rFonts w:asciiTheme="minorHAnsi" w:hAnsiTheme="minorHAnsi"/>
                          <w:color w:val="FFFFFF" w:themeColor="background1"/>
                          <w:sz w:val="22"/>
                          <w:lang w:val="pt-BR"/>
                        </w:rPr>
                        <w:t xml:space="preserve">Doc. </w:t>
                      </w:r>
                      <w:r w:rsidR="00D848A4">
                        <w:rPr>
                          <w:rFonts w:asciiTheme="minorHAnsi" w:hAnsiTheme="minorHAnsi"/>
                          <w:color w:val="FFFFFF" w:themeColor="background1"/>
                          <w:sz w:val="22"/>
                          <w:lang w:val="pt-BR"/>
                        </w:rPr>
                        <w:t>95</w:t>
                      </w:r>
                    </w:p>
                    <w:p w14:paraId="6AC8D657" w14:textId="34431804" w:rsidR="003F6F5E" w:rsidRPr="00D848A4" w:rsidRDefault="003F6F5E" w:rsidP="009E566A">
                      <w:pPr>
                        <w:jc w:val="right"/>
                        <w:rPr>
                          <w:rFonts w:asciiTheme="minorHAnsi" w:hAnsiTheme="minorHAnsi"/>
                          <w:color w:val="FFFFFF" w:themeColor="background1"/>
                          <w:sz w:val="22"/>
                        </w:rPr>
                      </w:pPr>
                      <w:r w:rsidRPr="00D848A4">
                        <w:rPr>
                          <w:rFonts w:asciiTheme="minorHAnsi" w:hAnsiTheme="minorHAnsi"/>
                          <w:color w:val="FFFFFF" w:themeColor="background1"/>
                          <w:sz w:val="22"/>
                          <w:lang w:val="pt-BR"/>
                        </w:rPr>
                        <w:t xml:space="preserve"> </w:t>
                      </w:r>
                      <w:r w:rsidR="00D848A4">
                        <w:rPr>
                          <w:rFonts w:asciiTheme="minorHAnsi" w:hAnsiTheme="minorHAnsi"/>
                          <w:color w:val="FFFFFF" w:themeColor="background1"/>
                          <w:sz w:val="22"/>
                        </w:rPr>
                        <w:t>29 April</w:t>
                      </w:r>
                      <w:r w:rsidRPr="00D848A4">
                        <w:rPr>
                          <w:rFonts w:asciiTheme="minorHAnsi" w:hAnsiTheme="minorHAnsi"/>
                          <w:color w:val="FFFFFF" w:themeColor="background1"/>
                          <w:sz w:val="22"/>
                        </w:rPr>
                        <w:t xml:space="preserve"> 2021</w:t>
                      </w:r>
                    </w:p>
                    <w:p w14:paraId="35D3ABA3" w14:textId="4D5A616E" w:rsidR="003F6F5E" w:rsidRPr="004B7EB6" w:rsidRDefault="003F6F5E" w:rsidP="009E566A">
                      <w:pPr>
                        <w:jc w:val="right"/>
                        <w:rPr>
                          <w:rFonts w:asciiTheme="minorHAnsi" w:hAnsiTheme="minorHAnsi"/>
                          <w:color w:val="FFFFFF" w:themeColor="background1"/>
                          <w:sz w:val="22"/>
                        </w:rPr>
                      </w:pPr>
                      <w:r w:rsidRPr="00D848A4">
                        <w:rPr>
                          <w:rFonts w:asciiTheme="minorHAnsi" w:hAnsiTheme="minorHAnsi"/>
                          <w:color w:val="FFFFFF" w:themeColor="background1"/>
                          <w:sz w:val="22"/>
                        </w:rPr>
                        <w:t>Original: 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032F7928" w:rsidR="003F6F5E" w:rsidRPr="009B306D" w:rsidRDefault="00D848A4"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3F6F5E">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April 29, 2021.</w:t>
                            </w:r>
                            <w:r w:rsidR="003F6F5E">
                              <w:rPr>
                                <w:rFonts w:asciiTheme="majorHAnsi" w:hAnsiTheme="majorHAnsi"/>
                                <w:color w:val="0D0D0D" w:themeColor="text1" w:themeTint="F2"/>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032F7928" w:rsidR="003F6F5E" w:rsidRPr="009B306D" w:rsidRDefault="00D848A4"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3F6F5E">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April 29, 2021.</w:t>
                      </w:r>
                      <w:r w:rsidR="003F6F5E">
                        <w:rPr>
                          <w:rFonts w:asciiTheme="majorHAnsi" w:hAnsiTheme="majorHAnsi"/>
                          <w:color w:val="0D0D0D" w:themeColor="text1" w:themeTint="F2"/>
                          <w:sz w:val="20"/>
                        </w:rPr>
                        <w:t xml:space="preserve"> </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66F3C7DA" w:rsidR="003F6F5E" w:rsidRPr="0022721E" w:rsidRDefault="003F6F5E"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D848A4">
                              <w:rPr>
                                <w:rFonts w:asciiTheme="majorHAnsi" w:hAnsiTheme="majorHAnsi"/>
                                <w:color w:val="595959" w:themeColor="text1" w:themeTint="A6"/>
                                <w:sz w:val="18"/>
                              </w:rPr>
                              <w:t xml:space="preserve">Report No. </w:t>
                            </w:r>
                            <w:r w:rsidR="00D848A4" w:rsidRPr="000C6946">
                              <w:rPr>
                                <w:rFonts w:asciiTheme="majorHAnsi" w:hAnsiTheme="majorHAnsi"/>
                                <w:color w:val="595959" w:themeColor="text1" w:themeTint="A6"/>
                                <w:sz w:val="18"/>
                              </w:rPr>
                              <w:t>90</w:t>
                            </w:r>
                            <w:r w:rsidRPr="000C6946">
                              <w:rPr>
                                <w:rFonts w:asciiTheme="majorHAnsi" w:hAnsiTheme="majorHAnsi"/>
                                <w:color w:val="595959" w:themeColor="text1" w:themeTint="A6"/>
                                <w:sz w:val="18"/>
                              </w:rPr>
                              <w:t xml:space="preserve">/21, Petition 2011-13. </w:t>
                            </w:r>
                            <w:proofErr w:type="spellStart"/>
                            <w:r w:rsidRPr="00D848A4">
                              <w:rPr>
                                <w:rFonts w:asciiTheme="majorHAnsi" w:hAnsiTheme="majorHAnsi"/>
                                <w:color w:val="595959" w:themeColor="text1" w:themeTint="A6"/>
                                <w:sz w:val="18"/>
                                <w:lang w:val="es-ES"/>
                              </w:rPr>
                              <w:t>Admissibility</w:t>
                            </w:r>
                            <w:proofErr w:type="spellEnd"/>
                            <w:r w:rsidRPr="00D848A4">
                              <w:rPr>
                                <w:rFonts w:asciiTheme="majorHAnsi" w:hAnsiTheme="majorHAnsi"/>
                                <w:color w:val="595959" w:themeColor="text1" w:themeTint="A6"/>
                                <w:sz w:val="18"/>
                                <w:lang w:val="es-ES"/>
                              </w:rPr>
                              <w:t xml:space="preserve">. Alexandra </w:t>
                            </w:r>
                            <w:proofErr w:type="spellStart"/>
                            <w:r w:rsidRPr="00D848A4">
                              <w:rPr>
                                <w:rFonts w:asciiTheme="majorHAnsi" w:hAnsiTheme="majorHAnsi"/>
                                <w:color w:val="595959" w:themeColor="text1" w:themeTint="A6"/>
                                <w:sz w:val="18"/>
                                <w:lang w:val="es-ES"/>
                              </w:rPr>
                              <w:t>Benado</w:t>
                            </w:r>
                            <w:proofErr w:type="spellEnd"/>
                            <w:r w:rsidRPr="00D848A4">
                              <w:rPr>
                                <w:rFonts w:asciiTheme="majorHAnsi" w:hAnsiTheme="majorHAnsi"/>
                                <w:color w:val="595959" w:themeColor="text1" w:themeTint="A6"/>
                                <w:sz w:val="18"/>
                                <w:lang w:val="es-ES"/>
                              </w:rPr>
                              <w:t xml:space="preserve"> Vergara, Alejandra Gallo Poblete et al. Chile. </w:t>
                            </w:r>
                            <w:r w:rsidR="00D848A4">
                              <w:rPr>
                                <w:rFonts w:asciiTheme="majorHAnsi" w:hAnsiTheme="majorHAnsi"/>
                                <w:color w:val="595959" w:themeColor="text1" w:themeTint="A6"/>
                                <w:sz w:val="18"/>
                                <w:lang w:val="es-ES"/>
                              </w:rPr>
                              <w:t>April 29, 2021</w:t>
                            </w:r>
                            <w:r w:rsidRPr="00D848A4">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66F3C7DA" w:rsidR="003F6F5E" w:rsidRPr="0022721E" w:rsidRDefault="003F6F5E"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D848A4">
                        <w:rPr>
                          <w:rFonts w:asciiTheme="majorHAnsi" w:hAnsiTheme="majorHAnsi"/>
                          <w:color w:val="595959" w:themeColor="text1" w:themeTint="A6"/>
                          <w:sz w:val="18"/>
                        </w:rPr>
                        <w:t xml:space="preserve">Report No. </w:t>
                      </w:r>
                      <w:r w:rsidR="00D848A4" w:rsidRPr="000C6946">
                        <w:rPr>
                          <w:rFonts w:asciiTheme="majorHAnsi" w:hAnsiTheme="majorHAnsi"/>
                          <w:color w:val="595959" w:themeColor="text1" w:themeTint="A6"/>
                          <w:sz w:val="18"/>
                        </w:rPr>
                        <w:t>90</w:t>
                      </w:r>
                      <w:r w:rsidRPr="000C6946">
                        <w:rPr>
                          <w:rFonts w:asciiTheme="majorHAnsi" w:hAnsiTheme="majorHAnsi"/>
                          <w:color w:val="595959" w:themeColor="text1" w:themeTint="A6"/>
                          <w:sz w:val="18"/>
                        </w:rPr>
                        <w:t xml:space="preserve">/21, Petition 2011-13. </w:t>
                      </w:r>
                      <w:proofErr w:type="spellStart"/>
                      <w:r w:rsidRPr="00D848A4">
                        <w:rPr>
                          <w:rFonts w:asciiTheme="majorHAnsi" w:hAnsiTheme="majorHAnsi"/>
                          <w:color w:val="595959" w:themeColor="text1" w:themeTint="A6"/>
                          <w:sz w:val="18"/>
                          <w:lang w:val="es-ES"/>
                        </w:rPr>
                        <w:t>Admissibility</w:t>
                      </w:r>
                      <w:proofErr w:type="spellEnd"/>
                      <w:r w:rsidRPr="00D848A4">
                        <w:rPr>
                          <w:rFonts w:asciiTheme="majorHAnsi" w:hAnsiTheme="majorHAnsi"/>
                          <w:color w:val="595959" w:themeColor="text1" w:themeTint="A6"/>
                          <w:sz w:val="18"/>
                          <w:lang w:val="es-ES"/>
                        </w:rPr>
                        <w:t xml:space="preserve">. Alexandra </w:t>
                      </w:r>
                      <w:proofErr w:type="spellStart"/>
                      <w:r w:rsidRPr="00D848A4">
                        <w:rPr>
                          <w:rFonts w:asciiTheme="majorHAnsi" w:hAnsiTheme="majorHAnsi"/>
                          <w:color w:val="595959" w:themeColor="text1" w:themeTint="A6"/>
                          <w:sz w:val="18"/>
                          <w:lang w:val="es-ES"/>
                        </w:rPr>
                        <w:t>Benado</w:t>
                      </w:r>
                      <w:proofErr w:type="spellEnd"/>
                      <w:r w:rsidRPr="00D848A4">
                        <w:rPr>
                          <w:rFonts w:asciiTheme="majorHAnsi" w:hAnsiTheme="majorHAnsi"/>
                          <w:color w:val="595959" w:themeColor="text1" w:themeTint="A6"/>
                          <w:sz w:val="18"/>
                          <w:lang w:val="es-ES"/>
                        </w:rPr>
                        <w:t xml:space="preserve"> Vergara, Alejandra Gallo Poblete et al. Chile. </w:t>
                      </w:r>
                      <w:r w:rsidR="00D848A4">
                        <w:rPr>
                          <w:rFonts w:asciiTheme="majorHAnsi" w:hAnsiTheme="majorHAnsi"/>
                          <w:color w:val="595959" w:themeColor="text1" w:themeTint="A6"/>
                          <w:sz w:val="18"/>
                          <w:lang w:val="es-ES"/>
                        </w:rPr>
                        <w:t>April 29, 2021</w:t>
                      </w:r>
                      <w:r w:rsidRPr="00D848A4">
                        <w:rPr>
                          <w:rFonts w:asciiTheme="majorHAnsi" w:hAnsiTheme="majorHAnsi"/>
                          <w:color w:val="595959" w:themeColor="text1" w:themeTint="A6"/>
                          <w:sz w:val="18"/>
                          <w:lang w:val="es-ES"/>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783C1424"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F6F5E" w:rsidRDefault="003F6F5E">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F6F5E" w:rsidRDefault="003F6F5E">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511D65">
        <w:rPr>
          <w:rFonts w:ascii="Cambria" w:eastAsia="Cambria" w:hAnsi="Cambria" w:cs="Cambria"/>
          <w:noProof/>
          <w:sz w:val="22"/>
          <w:szCs w:val="22"/>
        </w:rPr>
        <mc:AlternateContent>
          <mc:Choice Requires="wps">
            <w:drawing>
              <wp:anchor distT="0" distB="0" distL="0" distR="0" simplePos="0" relativeHeight="251686912" behindDoc="0" locked="0" layoutInCell="1" allowOverlap="1" wp14:anchorId="33DDA490" wp14:editId="58FEE8F9">
                <wp:simplePos x="0" y="0"/>
                <wp:positionH relativeFrom="column">
                  <wp:posOffset>-298450</wp:posOffset>
                </wp:positionH>
                <wp:positionV relativeFrom="line">
                  <wp:posOffset>823595</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14:paraId="4D9F6D97" w14:textId="77777777" w:rsidR="00511D65" w:rsidRDefault="00511D65" w:rsidP="00511D65">
                            <w:pPr>
                              <w:pStyle w:val="Body"/>
                              <w:jc w:val="center"/>
                            </w:pPr>
                            <w:r>
                              <w:rPr>
                                <w:rFonts w:ascii="Calibri" w:eastAsia="Calibri" w:hAnsi="Calibri" w:cs="Calibri"/>
                                <w:b/>
                                <w:bCs/>
                                <w:color w:val="FFFFFF"/>
                                <w:u w:color="FFFFFF"/>
                                <w:lang w:val="pt-PT"/>
                              </w:rPr>
                              <w:t>www.iachr.org</w:t>
                            </w:r>
                          </w:p>
                        </w:txbxContent>
                      </wps:txbx>
                      <wps:bodyPr wrap="square" lIns="45719" tIns="45719" rIns="45719" bIns="45719" numCol="1" anchor="t">
                        <a:noAutofit/>
                      </wps:bodyPr>
                    </wps:wsp>
                  </a:graphicData>
                </a:graphic>
              </wp:anchor>
            </w:drawing>
          </mc:Choice>
          <mc:Fallback>
            <w:pict>
              <v:rect w14:anchorId="33DDA490" id="officeArt object" o:spid="_x0000_s1032" style="position:absolute;left:0;text-align:left;margin-left:-23.5pt;margin-top:64.85pt;width:93pt;height:26.2pt;z-index:2516869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" filled="f" stroked="f" strokeweight="1pt">
                <v:stroke miterlimit="4"/>
                <v:textbox inset="1.27mm,1.27mm,1.27mm,1.27mm">
                  <w:txbxContent>
                    <w:p w14:paraId="4D9F6D97" w14:textId="77777777" w:rsidR="00511D65" w:rsidRDefault="00511D65" w:rsidP="00511D65">
                      <w:pPr>
                        <w:pStyle w:val="Body"/>
                        <w:jc w:val="center"/>
                      </w:pPr>
                      <w:r>
                        <w:rPr>
                          <w:rFonts w:ascii="Calibri" w:eastAsia="Calibri" w:hAnsi="Calibri" w:cs="Calibri"/>
                          <w:b/>
                          <w:bCs/>
                          <w:color w:val="FFFFFF"/>
                          <w:u w:color="FFFFFF"/>
                          <w:lang w:val="pt-PT"/>
                        </w:rPr>
                        <w:t>www.iachr.org</w:t>
                      </w:r>
                    </w:p>
                  </w:txbxContent>
                </v:textbox>
                <w10:wrap anchory="line"/>
              </v:rect>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AE007A" w14:paraId="0D1CC739" w14:textId="77777777" w:rsidTr="000F326B">
        <w:tc>
          <w:tcPr>
            <w:tcW w:w="3573" w:type="dxa"/>
            <w:tcBorders>
              <w:top w:val="single" w:sz="4" w:space="0" w:color="auto"/>
              <w:bottom w:val="single" w:sz="6" w:space="0" w:color="auto"/>
            </w:tcBorders>
            <w:shd w:val="clear" w:color="auto" w:fill="67AE3C"/>
            <w:vAlign w:val="center"/>
          </w:tcPr>
          <w:p w14:paraId="3914A250" w14:textId="7B7204F8"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Petitioner</w:t>
            </w:r>
            <w:r w:rsidR="00466CAD" w:rsidRPr="00AB2A8D">
              <w:rPr>
                <w:rFonts w:asciiTheme="majorHAnsi" w:hAnsiTheme="majorHAnsi"/>
                <w:b/>
                <w:color w:val="FFFFFF" w:themeColor="background1"/>
                <w:sz w:val="20"/>
                <w:szCs w:val="20"/>
              </w:rPr>
              <w:t>s</w:t>
            </w:r>
            <w:r w:rsidR="00B77DBF">
              <w:rPr>
                <w:rFonts w:asciiTheme="majorHAnsi" w:hAnsiTheme="majorHAnsi"/>
                <w:b/>
                <w:color w:val="FFFFFF" w:themeColor="background1"/>
                <w:sz w:val="20"/>
                <w:szCs w:val="20"/>
              </w:rPr>
              <w:t>:</w:t>
            </w:r>
          </w:p>
        </w:tc>
        <w:tc>
          <w:tcPr>
            <w:tcW w:w="5787" w:type="dxa"/>
          </w:tcPr>
          <w:p w14:paraId="67A3AC7B" w14:textId="51456CDE" w:rsidR="00261E08" w:rsidRPr="00AE007A" w:rsidRDefault="00AE007A" w:rsidP="003F6F5E">
            <w:pPr>
              <w:jc w:val="both"/>
              <w:rPr>
                <w:rFonts w:asciiTheme="majorHAnsi" w:hAnsiTheme="majorHAnsi"/>
                <w:bCs/>
                <w:sz w:val="20"/>
                <w:szCs w:val="20"/>
                <w:lang w:val="en-GB"/>
              </w:rPr>
            </w:pPr>
            <w:r>
              <w:rPr>
                <w:rFonts w:asciiTheme="majorHAnsi" w:hAnsiTheme="majorHAnsi"/>
                <w:bCs/>
                <w:i/>
                <w:iCs/>
                <w:sz w:val="20"/>
                <w:szCs w:val="20"/>
                <w:lang w:val="en-GB"/>
              </w:rPr>
              <w:t xml:space="preserve">Corporación </w:t>
            </w:r>
            <w:r w:rsidRPr="00AE007A">
              <w:rPr>
                <w:rFonts w:asciiTheme="majorHAnsi" w:hAnsiTheme="majorHAnsi"/>
                <w:bCs/>
                <w:i/>
                <w:iCs/>
                <w:sz w:val="20"/>
                <w:szCs w:val="20"/>
                <w:lang w:val="en-GB"/>
              </w:rPr>
              <w:t>Humanas</w:t>
            </w:r>
            <w:r>
              <w:rPr>
                <w:rFonts w:asciiTheme="majorHAnsi" w:hAnsiTheme="majorHAnsi"/>
                <w:bCs/>
                <w:sz w:val="20"/>
                <w:szCs w:val="20"/>
                <w:lang w:val="en-GB"/>
              </w:rPr>
              <w:t>-</w:t>
            </w:r>
            <w:r w:rsidRPr="00AE007A">
              <w:rPr>
                <w:rFonts w:asciiTheme="majorHAnsi" w:hAnsiTheme="majorHAnsi"/>
                <w:bCs/>
                <w:sz w:val="20"/>
                <w:szCs w:val="20"/>
                <w:lang w:val="en-GB"/>
              </w:rPr>
              <w:t xml:space="preserve">Regional Center for Human Rights and Gender Justice </w:t>
            </w:r>
            <w:r w:rsidR="00455465" w:rsidRPr="00AE007A">
              <w:rPr>
                <w:rFonts w:asciiTheme="majorHAnsi" w:hAnsiTheme="majorHAnsi"/>
                <w:bCs/>
                <w:sz w:val="20"/>
                <w:szCs w:val="20"/>
                <w:lang w:val="en-GB"/>
              </w:rPr>
              <w:t xml:space="preserve">and </w:t>
            </w:r>
            <w:r w:rsidRPr="00AE007A">
              <w:rPr>
                <w:rFonts w:asciiTheme="majorHAnsi" w:hAnsiTheme="majorHAnsi"/>
                <w:bCs/>
                <w:sz w:val="20"/>
                <w:szCs w:val="20"/>
                <w:lang w:val="en-GB"/>
              </w:rPr>
              <w:t>Public Interest</w:t>
            </w:r>
            <w:r>
              <w:rPr>
                <w:rFonts w:asciiTheme="majorHAnsi" w:hAnsiTheme="majorHAnsi"/>
                <w:bCs/>
                <w:sz w:val="20"/>
                <w:szCs w:val="20"/>
                <w:lang w:val="en-GB"/>
              </w:rPr>
              <w:t xml:space="preserve"> Clinic</w:t>
            </w:r>
            <w:r w:rsidRPr="00AE007A">
              <w:rPr>
                <w:rFonts w:asciiTheme="majorHAnsi" w:hAnsiTheme="majorHAnsi"/>
                <w:bCs/>
                <w:sz w:val="20"/>
                <w:szCs w:val="20"/>
                <w:lang w:val="en-GB"/>
              </w:rPr>
              <w:t xml:space="preserve"> of the Human Rights Center </w:t>
            </w:r>
            <w:r>
              <w:rPr>
                <w:rFonts w:asciiTheme="majorHAnsi" w:hAnsiTheme="majorHAnsi"/>
                <w:bCs/>
                <w:sz w:val="20"/>
                <w:szCs w:val="20"/>
                <w:lang w:val="en-GB"/>
              </w:rPr>
              <w:t>at</w:t>
            </w:r>
            <w:r w:rsidR="00455465" w:rsidRPr="00AE007A">
              <w:rPr>
                <w:rFonts w:asciiTheme="majorHAnsi" w:hAnsiTheme="majorHAnsi"/>
                <w:bCs/>
                <w:sz w:val="20"/>
                <w:szCs w:val="20"/>
                <w:lang w:val="en-GB"/>
              </w:rPr>
              <w:t xml:space="preserve"> Diego Portales</w:t>
            </w:r>
            <w:r w:rsidRPr="00AE007A">
              <w:rPr>
                <w:rFonts w:asciiTheme="majorHAnsi" w:hAnsiTheme="majorHAnsi"/>
                <w:bCs/>
                <w:sz w:val="20"/>
                <w:szCs w:val="20"/>
                <w:lang w:val="en-GB"/>
              </w:rPr>
              <w:t xml:space="preserve"> University</w:t>
            </w:r>
          </w:p>
        </w:tc>
      </w:tr>
      <w:tr w:rsidR="00261E08" w:rsidRPr="000C6946" w14:paraId="4A730984" w14:textId="77777777" w:rsidTr="000F326B">
        <w:tc>
          <w:tcPr>
            <w:tcW w:w="3573" w:type="dxa"/>
            <w:tcBorders>
              <w:top w:val="single" w:sz="6" w:space="0" w:color="auto"/>
              <w:bottom w:val="single" w:sz="6" w:space="0" w:color="auto"/>
            </w:tcBorders>
            <w:shd w:val="clear" w:color="auto" w:fill="67AE3C"/>
            <w:vAlign w:val="center"/>
          </w:tcPr>
          <w:p w14:paraId="241395B3" w14:textId="6035A3D7"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Alleged victim</w:t>
            </w:r>
            <w:r w:rsidR="00B77DBF">
              <w:rPr>
                <w:rFonts w:asciiTheme="majorHAnsi" w:hAnsiTheme="majorHAnsi"/>
                <w:b/>
                <w:color w:val="FFFFFF" w:themeColor="background1"/>
                <w:sz w:val="20"/>
                <w:szCs w:val="20"/>
              </w:rPr>
              <w:t>:</w:t>
            </w:r>
          </w:p>
        </w:tc>
        <w:tc>
          <w:tcPr>
            <w:tcW w:w="5787" w:type="dxa"/>
          </w:tcPr>
          <w:p w14:paraId="1E62AC27" w14:textId="4452A1F4" w:rsidR="00261E08" w:rsidRPr="00455465" w:rsidRDefault="00455465" w:rsidP="003F6F5E">
            <w:pPr>
              <w:jc w:val="both"/>
              <w:rPr>
                <w:rFonts w:asciiTheme="majorHAnsi" w:hAnsiTheme="majorHAnsi"/>
                <w:bCs/>
                <w:sz w:val="20"/>
                <w:szCs w:val="20"/>
                <w:lang w:val="es-ES"/>
              </w:rPr>
            </w:pPr>
            <w:r w:rsidRPr="00455465">
              <w:rPr>
                <w:rFonts w:asciiTheme="majorHAnsi" w:hAnsiTheme="majorHAnsi"/>
                <w:bCs/>
                <w:sz w:val="20"/>
                <w:szCs w:val="20"/>
                <w:lang w:val="es-ES"/>
              </w:rPr>
              <w:t>Alexandra Benado Vergara, Alejandra G</w:t>
            </w:r>
            <w:r>
              <w:rPr>
                <w:rFonts w:asciiTheme="majorHAnsi" w:hAnsiTheme="majorHAnsi"/>
                <w:bCs/>
                <w:sz w:val="20"/>
                <w:szCs w:val="20"/>
                <w:lang w:val="es-ES"/>
              </w:rPr>
              <w:t>allo Poblete, and others</w:t>
            </w:r>
            <w:r w:rsidR="003839E8">
              <w:rPr>
                <w:rStyle w:val="FootnoteReference"/>
                <w:rFonts w:asciiTheme="majorHAnsi" w:hAnsiTheme="majorHAnsi"/>
                <w:bCs/>
                <w:sz w:val="20"/>
                <w:szCs w:val="20"/>
                <w:lang w:val="es-ES"/>
              </w:rPr>
              <w:footnoteReference w:id="2"/>
            </w:r>
          </w:p>
        </w:tc>
      </w:tr>
      <w:tr w:rsidR="00261E08" w:rsidRPr="003A5566" w14:paraId="03D81EE5" w14:textId="77777777" w:rsidTr="000F326B">
        <w:tc>
          <w:tcPr>
            <w:tcW w:w="3573" w:type="dxa"/>
            <w:tcBorders>
              <w:top w:val="single" w:sz="6" w:space="0" w:color="auto"/>
              <w:bottom w:val="single" w:sz="6" w:space="0" w:color="auto"/>
            </w:tcBorders>
            <w:shd w:val="clear" w:color="auto" w:fill="67AE3C"/>
            <w:vAlign w:val="center"/>
          </w:tcPr>
          <w:p w14:paraId="3A40F361" w14:textId="04DB51CA"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Respondent State</w:t>
            </w:r>
            <w:r w:rsidR="00B77DBF">
              <w:rPr>
                <w:rFonts w:asciiTheme="majorHAnsi" w:hAnsiTheme="majorHAnsi"/>
                <w:b/>
                <w:color w:val="FFFFFF" w:themeColor="background1"/>
                <w:sz w:val="20"/>
                <w:szCs w:val="20"/>
              </w:rPr>
              <w:t>:</w:t>
            </w:r>
          </w:p>
        </w:tc>
        <w:tc>
          <w:tcPr>
            <w:tcW w:w="5787" w:type="dxa"/>
          </w:tcPr>
          <w:p w14:paraId="68C5B5B0" w14:textId="124BB9BD" w:rsidR="00261E08" w:rsidRPr="00964B3C" w:rsidRDefault="00455465" w:rsidP="003F6F5E">
            <w:pPr>
              <w:jc w:val="both"/>
              <w:rPr>
                <w:rFonts w:asciiTheme="majorHAnsi" w:hAnsiTheme="majorHAnsi"/>
                <w:bCs/>
                <w:sz w:val="20"/>
                <w:szCs w:val="20"/>
              </w:rPr>
            </w:pPr>
            <w:r>
              <w:rPr>
                <w:rFonts w:asciiTheme="majorHAnsi" w:hAnsiTheme="majorHAnsi"/>
                <w:bCs/>
                <w:sz w:val="20"/>
                <w:szCs w:val="20"/>
              </w:rPr>
              <w:t>Chile</w:t>
            </w:r>
            <w:r>
              <w:rPr>
                <w:rStyle w:val="FootnoteReference"/>
                <w:rFonts w:asciiTheme="majorHAnsi" w:hAnsiTheme="majorHAnsi"/>
                <w:bCs/>
                <w:sz w:val="20"/>
                <w:szCs w:val="20"/>
              </w:rPr>
              <w:footnoteReference w:id="3"/>
            </w:r>
          </w:p>
        </w:tc>
      </w:tr>
      <w:tr w:rsidR="00261E08" w:rsidRPr="003A5566" w14:paraId="61049B38" w14:textId="77777777" w:rsidTr="000F326B">
        <w:tc>
          <w:tcPr>
            <w:tcW w:w="3573" w:type="dxa"/>
            <w:tcBorders>
              <w:top w:val="single" w:sz="6" w:space="0" w:color="auto"/>
              <w:bottom w:val="single" w:sz="6" w:space="0" w:color="auto"/>
            </w:tcBorders>
            <w:shd w:val="clear" w:color="auto" w:fill="67AE3C"/>
            <w:vAlign w:val="center"/>
          </w:tcPr>
          <w:p w14:paraId="1525F7A2" w14:textId="6CDD6E53"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Rights invoked</w:t>
            </w:r>
            <w:r w:rsidR="00B77DBF">
              <w:rPr>
                <w:rFonts w:asciiTheme="majorHAnsi" w:hAnsiTheme="majorHAnsi"/>
                <w:b/>
                <w:color w:val="FFFFFF" w:themeColor="background1"/>
                <w:sz w:val="20"/>
                <w:szCs w:val="20"/>
              </w:rPr>
              <w:t>:</w:t>
            </w:r>
          </w:p>
        </w:tc>
        <w:tc>
          <w:tcPr>
            <w:tcW w:w="5787" w:type="dxa"/>
          </w:tcPr>
          <w:p w14:paraId="6C99BD6B" w14:textId="6AE0FCF0" w:rsidR="00261E08" w:rsidRPr="00964B3C" w:rsidRDefault="00455465" w:rsidP="00261E08">
            <w:pPr>
              <w:jc w:val="both"/>
              <w:rPr>
                <w:rFonts w:asciiTheme="majorHAnsi" w:hAnsiTheme="majorHAnsi"/>
                <w:bCs/>
                <w:sz w:val="20"/>
                <w:szCs w:val="20"/>
              </w:rPr>
            </w:pPr>
            <w:r>
              <w:rPr>
                <w:rFonts w:asciiTheme="majorHAnsi" w:hAnsiTheme="majorHAnsi"/>
                <w:bCs/>
                <w:sz w:val="20"/>
                <w:szCs w:val="20"/>
              </w:rPr>
              <w:t>Articles 3 (right to juridical personality), 5 (</w:t>
            </w:r>
            <w:r w:rsidR="006552C4">
              <w:rPr>
                <w:rFonts w:asciiTheme="majorHAnsi" w:hAnsiTheme="majorHAnsi"/>
                <w:bCs/>
                <w:sz w:val="20"/>
                <w:szCs w:val="20"/>
              </w:rPr>
              <w:t xml:space="preserve">right to </w:t>
            </w:r>
            <w:r>
              <w:rPr>
                <w:rFonts w:asciiTheme="majorHAnsi" w:hAnsiTheme="majorHAnsi"/>
                <w:bCs/>
                <w:sz w:val="20"/>
                <w:szCs w:val="20"/>
              </w:rPr>
              <w:t xml:space="preserve">humane treatment), 8 (right to a fair trial), 11 (right to privacy), 17 (rights of the family), 19 (rights of the child), 24 (right to equal protection), </w:t>
            </w:r>
            <w:r w:rsidR="00A50778">
              <w:rPr>
                <w:rFonts w:asciiTheme="majorHAnsi" w:hAnsiTheme="majorHAnsi"/>
                <w:bCs/>
                <w:sz w:val="20"/>
                <w:szCs w:val="20"/>
              </w:rPr>
              <w:t xml:space="preserve">and </w:t>
            </w:r>
            <w:r>
              <w:rPr>
                <w:rFonts w:asciiTheme="majorHAnsi" w:hAnsiTheme="majorHAnsi"/>
                <w:bCs/>
                <w:sz w:val="20"/>
                <w:szCs w:val="20"/>
              </w:rPr>
              <w:t>25 (right to judicial protection) of the American Convention on Human Rights,</w:t>
            </w:r>
            <w:r>
              <w:rPr>
                <w:rStyle w:val="FootnoteReference"/>
                <w:rFonts w:asciiTheme="majorHAnsi" w:hAnsiTheme="majorHAnsi"/>
                <w:bCs/>
                <w:sz w:val="20"/>
                <w:szCs w:val="20"/>
              </w:rPr>
              <w:footnoteReference w:id="4"/>
            </w:r>
            <w:r>
              <w:rPr>
                <w:rFonts w:asciiTheme="majorHAnsi" w:hAnsiTheme="majorHAnsi"/>
                <w:bCs/>
                <w:sz w:val="20"/>
                <w:szCs w:val="20"/>
              </w:rPr>
              <w:t xml:space="preserve"> in connection with Articles 1.1 (</w:t>
            </w:r>
            <w:r w:rsidR="000D13B8">
              <w:rPr>
                <w:rFonts w:asciiTheme="majorHAnsi" w:hAnsiTheme="majorHAnsi"/>
                <w:bCs/>
                <w:sz w:val="20"/>
                <w:szCs w:val="20"/>
              </w:rPr>
              <w:t>obligation to respect rights) and 2 (domestic legal effects)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3A5566" w14:paraId="6DA75E12" w14:textId="77777777" w:rsidTr="000F326B">
        <w:tc>
          <w:tcPr>
            <w:tcW w:w="3573" w:type="dxa"/>
            <w:tcBorders>
              <w:top w:val="single" w:sz="6" w:space="0" w:color="auto"/>
              <w:bottom w:val="single" w:sz="6" w:space="0" w:color="auto"/>
            </w:tcBorders>
            <w:shd w:val="clear" w:color="auto" w:fill="67AE3C"/>
            <w:vAlign w:val="center"/>
          </w:tcPr>
          <w:p w14:paraId="534AFBE1" w14:textId="5987CD57" w:rsidR="00261E08" w:rsidRPr="00AB2A8D" w:rsidRDefault="00B77DBF" w:rsidP="0022721E">
            <w:pPr>
              <w:rPr>
                <w:rFonts w:asciiTheme="majorHAnsi" w:hAnsiTheme="majorHAnsi"/>
                <w:b/>
                <w:color w:val="FFFFFF" w:themeColor="background1"/>
                <w:sz w:val="20"/>
                <w:szCs w:val="20"/>
              </w:rPr>
            </w:pPr>
            <w:r>
              <w:rPr>
                <w:rFonts w:asciiTheme="majorHAnsi" w:hAnsiTheme="majorHAnsi"/>
                <w:b/>
                <w:color w:val="FFFFFF" w:themeColor="background1"/>
                <w:sz w:val="20"/>
                <w:szCs w:val="20"/>
              </w:rPr>
              <w:t>F</w:t>
            </w:r>
            <w:r w:rsidR="006E270D" w:rsidRPr="00AB2A8D">
              <w:rPr>
                <w:rFonts w:asciiTheme="majorHAnsi" w:hAnsiTheme="majorHAnsi"/>
                <w:b/>
                <w:color w:val="FFFFFF" w:themeColor="background1"/>
                <w:sz w:val="20"/>
                <w:szCs w:val="20"/>
              </w:rPr>
              <w:t>iling</w:t>
            </w:r>
            <w:r>
              <w:rPr>
                <w:rFonts w:asciiTheme="majorHAnsi" w:hAnsiTheme="majorHAnsi"/>
                <w:b/>
                <w:color w:val="FFFFFF" w:themeColor="background1"/>
                <w:sz w:val="20"/>
                <w:szCs w:val="20"/>
              </w:rPr>
              <w:t xml:space="preserve"> of the petition:</w:t>
            </w:r>
          </w:p>
        </w:tc>
        <w:tc>
          <w:tcPr>
            <w:tcW w:w="5787" w:type="dxa"/>
            <w:vAlign w:val="center"/>
          </w:tcPr>
          <w:p w14:paraId="7EADD3E8" w14:textId="6168B900" w:rsidR="00261E08" w:rsidRPr="00964B3C" w:rsidRDefault="000D13B8" w:rsidP="003F6F5E">
            <w:pPr>
              <w:jc w:val="both"/>
              <w:rPr>
                <w:rFonts w:asciiTheme="majorHAnsi" w:hAnsiTheme="majorHAnsi"/>
                <w:bCs/>
                <w:sz w:val="20"/>
                <w:szCs w:val="20"/>
              </w:rPr>
            </w:pPr>
            <w:r>
              <w:rPr>
                <w:rFonts w:asciiTheme="majorHAnsi" w:hAnsiTheme="majorHAnsi"/>
                <w:bCs/>
                <w:sz w:val="20"/>
                <w:szCs w:val="20"/>
              </w:rPr>
              <w:t>December 4, 2013</w:t>
            </w:r>
          </w:p>
        </w:tc>
      </w:tr>
      <w:tr w:rsidR="00261E08" w:rsidRPr="003A5566" w14:paraId="070BC314" w14:textId="77777777" w:rsidTr="000F326B">
        <w:tc>
          <w:tcPr>
            <w:tcW w:w="3573" w:type="dxa"/>
            <w:tcBorders>
              <w:top w:val="single" w:sz="6" w:space="0" w:color="auto"/>
              <w:bottom w:val="single" w:sz="6" w:space="0" w:color="auto"/>
            </w:tcBorders>
            <w:shd w:val="clear" w:color="auto" w:fill="67AE3C"/>
            <w:vAlign w:val="center"/>
          </w:tcPr>
          <w:p w14:paraId="1B91C5C6" w14:textId="6DB51B85"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Notification of the petition</w:t>
            </w:r>
            <w:r w:rsidR="00B77DBF">
              <w:rPr>
                <w:rFonts w:asciiTheme="majorHAnsi" w:hAnsiTheme="majorHAnsi"/>
                <w:b/>
                <w:color w:val="FFFFFF" w:themeColor="background1"/>
                <w:sz w:val="20"/>
                <w:szCs w:val="20"/>
              </w:rPr>
              <w:t xml:space="preserve"> </w:t>
            </w:r>
            <w:r w:rsidR="00B77DBF">
              <w:rPr>
                <w:rFonts w:asciiTheme="majorHAnsi" w:hAnsiTheme="majorHAnsi"/>
                <w:b/>
                <w:color w:val="FFFFFF" w:themeColor="background1"/>
                <w:sz w:val="20"/>
                <w:szCs w:val="20"/>
              </w:rPr>
              <w:br/>
              <w:t>to the State:</w:t>
            </w:r>
          </w:p>
        </w:tc>
        <w:tc>
          <w:tcPr>
            <w:tcW w:w="5787" w:type="dxa"/>
            <w:vAlign w:val="center"/>
          </w:tcPr>
          <w:p w14:paraId="425D0EC0" w14:textId="395FEECC" w:rsidR="00261E08" w:rsidRPr="00964B3C" w:rsidRDefault="000D13B8" w:rsidP="003F6F5E">
            <w:pPr>
              <w:jc w:val="both"/>
              <w:rPr>
                <w:rFonts w:asciiTheme="majorHAnsi" w:hAnsiTheme="majorHAnsi"/>
                <w:bCs/>
                <w:sz w:val="20"/>
                <w:szCs w:val="20"/>
              </w:rPr>
            </w:pPr>
            <w:r>
              <w:rPr>
                <w:rFonts w:asciiTheme="majorHAnsi" w:hAnsiTheme="majorHAnsi"/>
                <w:bCs/>
                <w:sz w:val="20"/>
                <w:szCs w:val="20"/>
              </w:rPr>
              <w:t>November 12, 2018</w:t>
            </w:r>
          </w:p>
        </w:tc>
      </w:tr>
      <w:tr w:rsidR="00261E08" w:rsidRPr="003A5566" w14:paraId="3063240C" w14:textId="77777777" w:rsidTr="000F326B">
        <w:trPr>
          <w:trHeight w:val="264"/>
        </w:trPr>
        <w:tc>
          <w:tcPr>
            <w:tcW w:w="3573" w:type="dxa"/>
            <w:tcBorders>
              <w:top w:val="single" w:sz="6" w:space="0" w:color="auto"/>
              <w:bottom w:val="single" w:sz="6" w:space="0" w:color="auto"/>
            </w:tcBorders>
            <w:shd w:val="clear" w:color="auto" w:fill="67AE3C"/>
            <w:vAlign w:val="center"/>
          </w:tcPr>
          <w:p w14:paraId="69479C3F" w14:textId="3F813C2C"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State’s first response</w:t>
            </w:r>
            <w:r w:rsidR="00B77DBF">
              <w:rPr>
                <w:rFonts w:asciiTheme="majorHAnsi" w:hAnsiTheme="majorHAnsi"/>
                <w:b/>
                <w:color w:val="FFFFFF" w:themeColor="background1"/>
                <w:sz w:val="20"/>
                <w:szCs w:val="20"/>
              </w:rPr>
              <w:t>:</w:t>
            </w:r>
          </w:p>
        </w:tc>
        <w:tc>
          <w:tcPr>
            <w:tcW w:w="5787" w:type="dxa"/>
            <w:vAlign w:val="center"/>
          </w:tcPr>
          <w:p w14:paraId="7B420FC0" w14:textId="18CF3B79" w:rsidR="00261E08" w:rsidRPr="00964B3C" w:rsidRDefault="000D13B8" w:rsidP="003F6F5E">
            <w:pPr>
              <w:jc w:val="both"/>
              <w:rPr>
                <w:rFonts w:asciiTheme="majorHAnsi" w:hAnsiTheme="majorHAnsi"/>
                <w:bCs/>
                <w:sz w:val="20"/>
                <w:szCs w:val="20"/>
              </w:rPr>
            </w:pPr>
            <w:r>
              <w:rPr>
                <w:rFonts w:asciiTheme="majorHAnsi" w:hAnsiTheme="majorHAnsi"/>
                <w:bCs/>
                <w:sz w:val="20"/>
                <w:szCs w:val="20"/>
              </w:rPr>
              <w:t>April 16, 2020</w:t>
            </w:r>
          </w:p>
        </w:tc>
      </w:tr>
      <w:tr w:rsidR="00261E08" w:rsidRPr="003A5566" w14:paraId="158C8FCC" w14:textId="77777777" w:rsidTr="000F326B">
        <w:tc>
          <w:tcPr>
            <w:tcW w:w="3573" w:type="dxa"/>
            <w:tcBorders>
              <w:top w:val="single" w:sz="6" w:space="0" w:color="auto"/>
              <w:bottom w:val="single" w:sz="6" w:space="0" w:color="auto"/>
            </w:tcBorders>
            <w:shd w:val="clear" w:color="auto" w:fill="67AE3C"/>
            <w:vAlign w:val="center"/>
          </w:tcPr>
          <w:p w14:paraId="666ABE64" w14:textId="40BD636E"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Additional observations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from the petitioner</w:t>
            </w:r>
            <w:r w:rsidR="00B77DBF">
              <w:rPr>
                <w:rFonts w:asciiTheme="majorHAnsi" w:hAnsiTheme="majorHAnsi"/>
                <w:b/>
                <w:color w:val="FFFFFF" w:themeColor="background1"/>
                <w:sz w:val="20"/>
                <w:szCs w:val="20"/>
              </w:rPr>
              <w:t>:</w:t>
            </w:r>
          </w:p>
        </w:tc>
        <w:tc>
          <w:tcPr>
            <w:tcW w:w="5787" w:type="dxa"/>
            <w:vAlign w:val="center"/>
          </w:tcPr>
          <w:p w14:paraId="281700F5" w14:textId="5A049D77" w:rsidR="00261E08" w:rsidRPr="00964B3C" w:rsidRDefault="007F237C" w:rsidP="003F6F5E">
            <w:pPr>
              <w:jc w:val="both"/>
              <w:rPr>
                <w:rFonts w:asciiTheme="majorHAnsi" w:hAnsiTheme="majorHAnsi"/>
                <w:bCs/>
                <w:sz w:val="20"/>
                <w:szCs w:val="20"/>
              </w:rPr>
            </w:pPr>
            <w:r>
              <w:rPr>
                <w:rFonts w:asciiTheme="majorHAnsi" w:hAnsiTheme="majorHAnsi"/>
                <w:bCs/>
                <w:sz w:val="20"/>
                <w:szCs w:val="20"/>
              </w:rPr>
              <w:t>June 20</w:t>
            </w:r>
            <w:r w:rsidR="000D13B8">
              <w:rPr>
                <w:rFonts w:asciiTheme="majorHAnsi" w:hAnsiTheme="majorHAnsi"/>
                <w:bCs/>
                <w:sz w:val="20"/>
                <w:szCs w:val="20"/>
              </w:rPr>
              <w:t>, 2020</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684F4233" w14:textId="77777777" w:rsidTr="000F326B">
        <w:trPr>
          <w:cantSplit/>
        </w:trPr>
        <w:tc>
          <w:tcPr>
            <w:tcW w:w="3573" w:type="dxa"/>
            <w:tcBorders>
              <w:top w:val="single" w:sz="4" w:space="0" w:color="auto"/>
              <w:bottom w:val="single" w:sz="6" w:space="0" w:color="auto"/>
            </w:tcBorders>
            <w:shd w:val="clear" w:color="auto" w:fill="67AE3C"/>
            <w:vAlign w:val="center"/>
          </w:tcPr>
          <w:p w14:paraId="60150448" w14:textId="24C7BB88" w:rsidR="00261E08" w:rsidRPr="00AB2A8D" w:rsidRDefault="00B77DBF" w:rsidP="0022721E">
            <w:pPr>
              <w:rPr>
                <w:rFonts w:asciiTheme="majorHAnsi" w:hAnsiTheme="majorHAnsi"/>
                <w:b/>
                <w:i/>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personae</w:t>
            </w:r>
            <w:r w:rsidRPr="00B77DBF">
              <w:rPr>
                <w:rFonts w:asciiTheme="majorHAnsi" w:hAnsiTheme="majorHAnsi"/>
                <w:b/>
                <w:iCs/>
                <w:color w:val="FFFFFF" w:themeColor="background1"/>
                <w:sz w:val="20"/>
                <w:szCs w:val="20"/>
              </w:rPr>
              <w:t>:</w:t>
            </w:r>
          </w:p>
        </w:tc>
        <w:tc>
          <w:tcPr>
            <w:tcW w:w="5812" w:type="dxa"/>
            <w:vAlign w:val="center"/>
          </w:tcPr>
          <w:p w14:paraId="21522B2E" w14:textId="4E373AA7" w:rsidR="00261E08" w:rsidRPr="00964B3C" w:rsidRDefault="00455465" w:rsidP="003F6F5E">
            <w:pPr>
              <w:rPr>
                <w:rFonts w:asciiTheme="majorHAnsi" w:hAnsiTheme="majorHAnsi"/>
                <w:bCs/>
                <w:sz w:val="20"/>
                <w:szCs w:val="20"/>
              </w:rPr>
            </w:pPr>
            <w:r>
              <w:rPr>
                <w:rFonts w:asciiTheme="majorHAnsi" w:hAnsiTheme="majorHAnsi"/>
                <w:bCs/>
                <w:sz w:val="20"/>
                <w:szCs w:val="20"/>
              </w:rPr>
              <w:t>Yes</w:t>
            </w:r>
          </w:p>
        </w:tc>
      </w:tr>
      <w:tr w:rsidR="00261E08" w:rsidRPr="003A5566" w14:paraId="6438DD58" w14:textId="77777777" w:rsidTr="000F326B">
        <w:trPr>
          <w:cantSplit/>
        </w:trPr>
        <w:tc>
          <w:tcPr>
            <w:tcW w:w="3573" w:type="dxa"/>
            <w:tcBorders>
              <w:top w:val="single" w:sz="6" w:space="0" w:color="auto"/>
              <w:bottom w:val="single" w:sz="6" w:space="0" w:color="auto"/>
            </w:tcBorders>
            <w:shd w:val="clear" w:color="auto" w:fill="67AE3C"/>
            <w:vAlign w:val="center"/>
          </w:tcPr>
          <w:p w14:paraId="43AB8B19" w14:textId="1D72144B" w:rsidR="00261E08" w:rsidRPr="00AB2A8D" w:rsidRDefault="00B77DBF" w:rsidP="0022721E">
            <w:pP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loci</w:t>
            </w:r>
            <w:r w:rsidRPr="00B77DBF">
              <w:rPr>
                <w:rFonts w:asciiTheme="majorHAnsi" w:hAnsiTheme="majorHAnsi"/>
                <w:b/>
                <w:iCs/>
                <w:color w:val="FFFFFF" w:themeColor="background1"/>
                <w:sz w:val="20"/>
                <w:szCs w:val="20"/>
              </w:rPr>
              <w:t>:</w:t>
            </w:r>
          </w:p>
        </w:tc>
        <w:tc>
          <w:tcPr>
            <w:tcW w:w="5812" w:type="dxa"/>
            <w:vAlign w:val="center"/>
          </w:tcPr>
          <w:p w14:paraId="27041F7E" w14:textId="627296C6" w:rsidR="00261E08" w:rsidRPr="00964B3C" w:rsidRDefault="00455465" w:rsidP="003F6F5E">
            <w:pPr>
              <w:rPr>
                <w:rFonts w:asciiTheme="majorHAnsi" w:hAnsiTheme="majorHAnsi"/>
                <w:bCs/>
                <w:sz w:val="20"/>
                <w:szCs w:val="20"/>
              </w:rPr>
            </w:pPr>
            <w:r>
              <w:rPr>
                <w:rFonts w:asciiTheme="majorHAnsi" w:hAnsiTheme="majorHAnsi"/>
                <w:bCs/>
                <w:sz w:val="20"/>
                <w:szCs w:val="20"/>
              </w:rPr>
              <w:t>Yes</w:t>
            </w:r>
          </w:p>
        </w:tc>
      </w:tr>
      <w:tr w:rsidR="00261E08" w:rsidRPr="003A5566" w14:paraId="5140C2B6" w14:textId="77777777" w:rsidTr="000F326B">
        <w:trPr>
          <w:cantSplit/>
        </w:trPr>
        <w:tc>
          <w:tcPr>
            <w:tcW w:w="3573" w:type="dxa"/>
            <w:tcBorders>
              <w:top w:val="single" w:sz="6" w:space="0" w:color="auto"/>
              <w:bottom w:val="single" w:sz="6" w:space="0" w:color="auto"/>
            </w:tcBorders>
            <w:shd w:val="clear" w:color="auto" w:fill="67AE3C"/>
            <w:vAlign w:val="center"/>
          </w:tcPr>
          <w:p w14:paraId="74905820" w14:textId="3C814A74" w:rsidR="00261E08" w:rsidRPr="00AB2A8D" w:rsidRDefault="00B77DBF" w:rsidP="0022721E">
            <w:pP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temporis</w:t>
            </w:r>
            <w:r w:rsidRPr="00B77DBF">
              <w:rPr>
                <w:rFonts w:asciiTheme="majorHAnsi" w:hAnsiTheme="majorHAnsi"/>
                <w:b/>
                <w:iCs/>
                <w:color w:val="FFFFFF" w:themeColor="background1"/>
                <w:sz w:val="20"/>
                <w:szCs w:val="20"/>
              </w:rPr>
              <w:t>:</w:t>
            </w:r>
          </w:p>
        </w:tc>
        <w:tc>
          <w:tcPr>
            <w:tcW w:w="5812" w:type="dxa"/>
            <w:vAlign w:val="center"/>
          </w:tcPr>
          <w:p w14:paraId="6091B7B0" w14:textId="610F17B3" w:rsidR="00261E08" w:rsidRPr="00964B3C" w:rsidRDefault="00455465" w:rsidP="003F6F5E">
            <w:pPr>
              <w:rPr>
                <w:rFonts w:asciiTheme="majorHAnsi" w:hAnsiTheme="majorHAnsi"/>
                <w:bCs/>
                <w:sz w:val="20"/>
                <w:szCs w:val="20"/>
              </w:rPr>
            </w:pPr>
            <w:r>
              <w:rPr>
                <w:rFonts w:asciiTheme="majorHAnsi" w:hAnsiTheme="majorHAnsi"/>
                <w:bCs/>
                <w:sz w:val="20"/>
                <w:szCs w:val="20"/>
              </w:rPr>
              <w:t>Yes</w:t>
            </w:r>
          </w:p>
        </w:tc>
      </w:tr>
      <w:tr w:rsidR="00261E08" w:rsidRPr="003A5566" w14:paraId="33238134" w14:textId="77777777" w:rsidTr="000F326B">
        <w:trPr>
          <w:cantSplit/>
        </w:trPr>
        <w:tc>
          <w:tcPr>
            <w:tcW w:w="3573" w:type="dxa"/>
            <w:tcBorders>
              <w:top w:val="single" w:sz="6" w:space="0" w:color="auto"/>
              <w:bottom w:val="single" w:sz="6" w:space="0" w:color="auto"/>
            </w:tcBorders>
            <w:shd w:val="clear" w:color="auto" w:fill="67AE3C"/>
            <w:vAlign w:val="center"/>
          </w:tcPr>
          <w:p w14:paraId="3C7AAFE9" w14:textId="47120960" w:rsidR="00261E08" w:rsidRPr="00AB2A8D" w:rsidRDefault="00B77DBF" w:rsidP="0022721E">
            <w:pP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materiae</w:t>
            </w:r>
            <w:r w:rsidRPr="00B77DBF">
              <w:rPr>
                <w:rFonts w:asciiTheme="majorHAnsi" w:hAnsiTheme="majorHAnsi"/>
                <w:b/>
                <w:iCs/>
                <w:color w:val="FFFFFF" w:themeColor="background1"/>
                <w:sz w:val="20"/>
                <w:szCs w:val="20"/>
              </w:rPr>
              <w:t>:</w:t>
            </w:r>
          </w:p>
        </w:tc>
        <w:tc>
          <w:tcPr>
            <w:tcW w:w="5812" w:type="dxa"/>
            <w:vAlign w:val="center"/>
          </w:tcPr>
          <w:p w14:paraId="49BB57C8" w14:textId="35BFEAF3" w:rsidR="00261E08" w:rsidRPr="00964B3C" w:rsidRDefault="00455465" w:rsidP="003F6F5E">
            <w:pPr>
              <w:jc w:val="both"/>
              <w:rPr>
                <w:rFonts w:asciiTheme="majorHAnsi" w:hAnsiTheme="majorHAnsi"/>
                <w:bCs/>
                <w:sz w:val="20"/>
                <w:szCs w:val="20"/>
              </w:rPr>
            </w:pPr>
            <w:r>
              <w:rPr>
                <w:rFonts w:asciiTheme="majorHAnsi" w:hAnsiTheme="majorHAnsi"/>
                <w:bCs/>
                <w:sz w:val="20"/>
                <w:szCs w:val="20"/>
              </w:rPr>
              <w:t>Yes, American Convention (instrument of ratification deposited 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47EC0E6D" w14:textId="77777777" w:rsidTr="000F326B">
        <w:trPr>
          <w:cantSplit/>
        </w:trPr>
        <w:tc>
          <w:tcPr>
            <w:tcW w:w="3573" w:type="dxa"/>
            <w:tcBorders>
              <w:top w:val="single" w:sz="4" w:space="0" w:color="auto"/>
              <w:bottom w:val="single" w:sz="6" w:space="0" w:color="auto"/>
            </w:tcBorders>
            <w:shd w:val="clear" w:color="auto" w:fill="67AE3C"/>
            <w:vAlign w:val="center"/>
          </w:tcPr>
          <w:p w14:paraId="1B9411D6" w14:textId="52D1A604"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Duplication of procedures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 xml:space="preserve">and international </w:t>
            </w:r>
            <w:r w:rsidRPr="00AB2A8D">
              <w:rPr>
                <w:rFonts w:asciiTheme="majorHAnsi" w:hAnsiTheme="majorHAnsi"/>
                <w:b/>
                <w:i/>
                <w:color w:val="FFFFFF" w:themeColor="background1"/>
                <w:sz w:val="20"/>
                <w:szCs w:val="20"/>
              </w:rPr>
              <w:t>res judicata</w:t>
            </w:r>
            <w:r w:rsidR="00B77DBF" w:rsidRPr="00B77DBF">
              <w:rPr>
                <w:rFonts w:asciiTheme="majorHAnsi" w:hAnsiTheme="majorHAnsi"/>
                <w:b/>
                <w:iCs/>
                <w:color w:val="FFFFFF" w:themeColor="background1"/>
                <w:sz w:val="20"/>
                <w:szCs w:val="20"/>
              </w:rPr>
              <w:t>:</w:t>
            </w:r>
          </w:p>
        </w:tc>
        <w:tc>
          <w:tcPr>
            <w:tcW w:w="5812" w:type="dxa"/>
            <w:vAlign w:val="center"/>
          </w:tcPr>
          <w:p w14:paraId="1A7CFC69" w14:textId="45221ED2" w:rsidR="00261E08" w:rsidRPr="00964B3C" w:rsidRDefault="00126316" w:rsidP="003F6F5E">
            <w:pPr>
              <w:jc w:val="both"/>
              <w:rPr>
                <w:rFonts w:asciiTheme="majorHAnsi" w:hAnsiTheme="majorHAnsi"/>
                <w:bCs/>
                <w:sz w:val="20"/>
                <w:szCs w:val="20"/>
              </w:rPr>
            </w:pPr>
            <w:r>
              <w:rPr>
                <w:rFonts w:asciiTheme="majorHAnsi" w:hAnsiTheme="majorHAnsi"/>
                <w:bCs/>
                <w:sz w:val="20"/>
                <w:szCs w:val="20"/>
              </w:rPr>
              <w:t>No</w:t>
            </w:r>
          </w:p>
        </w:tc>
      </w:tr>
      <w:tr w:rsidR="00261E08" w:rsidRPr="003A5566" w14:paraId="2E3D009A" w14:textId="77777777" w:rsidTr="000F326B">
        <w:trPr>
          <w:cantSplit/>
        </w:trPr>
        <w:tc>
          <w:tcPr>
            <w:tcW w:w="3573" w:type="dxa"/>
            <w:tcBorders>
              <w:top w:val="single" w:sz="6" w:space="0" w:color="auto"/>
              <w:bottom w:val="single" w:sz="6" w:space="0" w:color="auto"/>
            </w:tcBorders>
            <w:shd w:val="clear" w:color="auto" w:fill="67AE3C"/>
            <w:vAlign w:val="center"/>
          </w:tcPr>
          <w:p w14:paraId="45F253F9" w14:textId="77777777" w:rsidR="00261E08" w:rsidRPr="00AB2A8D" w:rsidRDefault="00261E08" w:rsidP="0022721E">
            <w:pPr>
              <w:rPr>
                <w:rFonts w:asciiTheme="majorHAnsi" w:hAnsiTheme="majorHAnsi"/>
                <w:b/>
                <w:i/>
                <w:color w:val="FFFFFF" w:themeColor="background1"/>
                <w:sz w:val="20"/>
                <w:szCs w:val="20"/>
              </w:rPr>
            </w:pPr>
            <w:r w:rsidRPr="00AB2A8D">
              <w:rPr>
                <w:rFonts w:asciiTheme="majorHAnsi" w:hAnsiTheme="majorHAnsi"/>
                <w:b/>
                <w:color w:val="FFFFFF" w:themeColor="background1"/>
                <w:sz w:val="20"/>
                <w:szCs w:val="20"/>
              </w:rPr>
              <w:t>Rights declared admissible</w:t>
            </w:r>
          </w:p>
        </w:tc>
        <w:tc>
          <w:tcPr>
            <w:tcW w:w="5812" w:type="dxa"/>
            <w:vAlign w:val="center"/>
          </w:tcPr>
          <w:p w14:paraId="7C8C5244" w14:textId="4332EE81" w:rsidR="00261E08" w:rsidRPr="00964B3C" w:rsidRDefault="00A50778" w:rsidP="003F6F5E">
            <w:pPr>
              <w:jc w:val="both"/>
              <w:rPr>
                <w:rFonts w:asciiTheme="majorHAnsi" w:hAnsiTheme="majorHAnsi"/>
                <w:bCs/>
                <w:sz w:val="20"/>
                <w:szCs w:val="20"/>
              </w:rPr>
            </w:pPr>
            <w:r>
              <w:rPr>
                <w:rFonts w:asciiTheme="majorHAnsi" w:hAnsiTheme="majorHAnsi"/>
                <w:bCs/>
                <w:sz w:val="20"/>
                <w:szCs w:val="20"/>
              </w:rPr>
              <w:t>Articles 3 (right to juridical personality), 8 (right to a fair trial), 11 (right to privacy), 17 (rights of the family), 19 (rights of the child), 24 (right to equal protection), and 25 (right to judicial protection) of the American Convention, in connection with Articles 1.1 (obligation to respect rights) and 2 (domestic legal effects) thereof</w:t>
            </w:r>
          </w:p>
        </w:tc>
      </w:tr>
      <w:tr w:rsidR="00261E08" w:rsidRPr="003A5566" w14:paraId="77899B94" w14:textId="77777777" w:rsidTr="000F326B">
        <w:trPr>
          <w:cantSplit/>
        </w:trPr>
        <w:tc>
          <w:tcPr>
            <w:tcW w:w="3573" w:type="dxa"/>
            <w:tcBorders>
              <w:top w:val="single" w:sz="6" w:space="0" w:color="auto"/>
              <w:bottom w:val="single" w:sz="6" w:space="0" w:color="auto"/>
            </w:tcBorders>
            <w:shd w:val="clear" w:color="auto" w:fill="67AE3C"/>
            <w:vAlign w:val="center"/>
          </w:tcPr>
          <w:p w14:paraId="754CDE32" w14:textId="16476B25"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Exhaustion or exception</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 xml:space="preserve"> to the exhaustion of remedies</w:t>
            </w:r>
            <w:r w:rsidR="00B77DBF">
              <w:rPr>
                <w:rFonts w:asciiTheme="majorHAnsi" w:hAnsiTheme="majorHAnsi"/>
                <w:b/>
                <w:color w:val="FFFFFF" w:themeColor="background1"/>
                <w:sz w:val="20"/>
                <w:szCs w:val="20"/>
              </w:rPr>
              <w:t>:</w:t>
            </w:r>
            <w:r w:rsidRPr="00AB2A8D">
              <w:rPr>
                <w:rFonts w:asciiTheme="majorHAnsi" w:hAnsiTheme="majorHAnsi"/>
                <w:b/>
                <w:color w:val="FFFFFF" w:themeColor="background1"/>
                <w:sz w:val="20"/>
                <w:szCs w:val="20"/>
              </w:rPr>
              <w:t xml:space="preserve"> </w:t>
            </w:r>
          </w:p>
        </w:tc>
        <w:tc>
          <w:tcPr>
            <w:tcW w:w="5812" w:type="dxa"/>
            <w:vAlign w:val="center"/>
          </w:tcPr>
          <w:p w14:paraId="20F52498" w14:textId="42F3FC5B" w:rsidR="00261E08" w:rsidRPr="00964B3C" w:rsidRDefault="00126316" w:rsidP="003F6F5E">
            <w:pPr>
              <w:rPr>
                <w:rFonts w:asciiTheme="majorHAnsi" w:hAnsiTheme="majorHAnsi"/>
                <w:bCs/>
                <w:sz w:val="20"/>
                <w:szCs w:val="20"/>
              </w:rPr>
            </w:pPr>
            <w:r>
              <w:rPr>
                <w:rFonts w:asciiTheme="majorHAnsi" w:hAnsiTheme="majorHAnsi"/>
                <w:bCs/>
                <w:sz w:val="20"/>
                <w:szCs w:val="20"/>
              </w:rPr>
              <w:t xml:space="preserve">Yes, according to </w:t>
            </w:r>
            <w:r w:rsidR="00DE7A36">
              <w:rPr>
                <w:rFonts w:asciiTheme="majorHAnsi" w:hAnsiTheme="majorHAnsi"/>
                <w:bCs/>
                <w:sz w:val="20"/>
                <w:szCs w:val="20"/>
              </w:rPr>
              <w:t>S</w:t>
            </w:r>
            <w:r>
              <w:rPr>
                <w:rFonts w:asciiTheme="majorHAnsi" w:hAnsiTheme="majorHAnsi"/>
                <w:bCs/>
                <w:sz w:val="20"/>
                <w:szCs w:val="20"/>
              </w:rPr>
              <w:t>ection VI</w:t>
            </w:r>
          </w:p>
        </w:tc>
      </w:tr>
      <w:tr w:rsidR="00261E08" w:rsidRPr="003A5566" w14:paraId="4F59B7C5" w14:textId="77777777" w:rsidTr="000F326B">
        <w:trPr>
          <w:cantSplit/>
        </w:trPr>
        <w:tc>
          <w:tcPr>
            <w:tcW w:w="3573" w:type="dxa"/>
            <w:tcBorders>
              <w:top w:val="single" w:sz="6" w:space="0" w:color="auto"/>
              <w:bottom w:val="single" w:sz="6" w:space="0" w:color="auto"/>
            </w:tcBorders>
            <w:shd w:val="clear" w:color="auto" w:fill="67AE3C"/>
            <w:vAlign w:val="center"/>
          </w:tcPr>
          <w:p w14:paraId="75227E17" w14:textId="4CE62B1B" w:rsidR="00261E08" w:rsidRPr="00AB2A8D" w:rsidRDefault="00261E08" w:rsidP="0022721E">
            <w:pP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Timeliness of the petition</w:t>
            </w:r>
            <w:r w:rsidR="00B77DBF">
              <w:rPr>
                <w:rFonts w:asciiTheme="majorHAnsi" w:hAnsiTheme="majorHAnsi"/>
                <w:b/>
                <w:color w:val="FFFFFF" w:themeColor="background1"/>
                <w:sz w:val="20"/>
                <w:szCs w:val="20"/>
              </w:rPr>
              <w:t>:</w:t>
            </w:r>
          </w:p>
        </w:tc>
        <w:tc>
          <w:tcPr>
            <w:tcW w:w="5812" w:type="dxa"/>
            <w:vAlign w:val="center"/>
          </w:tcPr>
          <w:p w14:paraId="474C25FA" w14:textId="5FAD4AFB" w:rsidR="00261E08" w:rsidRPr="00964B3C" w:rsidRDefault="00126316" w:rsidP="003F6F5E">
            <w:pPr>
              <w:rPr>
                <w:rFonts w:asciiTheme="majorHAnsi" w:hAnsiTheme="majorHAnsi"/>
                <w:bCs/>
                <w:sz w:val="20"/>
                <w:szCs w:val="20"/>
              </w:rPr>
            </w:pPr>
            <w:r>
              <w:rPr>
                <w:rFonts w:asciiTheme="majorHAnsi" w:hAnsiTheme="majorHAnsi"/>
                <w:bCs/>
                <w:sz w:val="20"/>
                <w:szCs w:val="20"/>
              </w:rPr>
              <w:t xml:space="preserve">Yes, according to </w:t>
            </w:r>
            <w:r w:rsidR="00DE7A36">
              <w:rPr>
                <w:rFonts w:asciiTheme="majorHAnsi" w:hAnsiTheme="majorHAnsi"/>
                <w:bCs/>
                <w:sz w:val="20"/>
                <w:szCs w:val="20"/>
              </w:rPr>
              <w:t>S</w:t>
            </w:r>
            <w:r>
              <w:rPr>
                <w:rFonts w:asciiTheme="majorHAnsi" w:hAnsiTheme="majorHAnsi"/>
                <w:bCs/>
                <w:sz w:val="20"/>
                <w:szCs w:val="20"/>
              </w:rPr>
              <w:t>ection VI</w:t>
            </w:r>
          </w:p>
        </w:tc>
      </w:tr>
    </w:tbl>
    <w:p w14:paraId="52B5DFD3" w14:textId="77777777" w:rsidR="00AE007A" w:rsidRDefault="00AE007A" w:rsidP="00C355B4">
      <w:pPr>
        <w:spacing w:before="120" w:after="120"/>
        <w:ind w:firstLine="720"/>
        <w:jc w:val="both"/>
        <w:rPr>
          <w:rFonts w:asciiTheme="majorHAnsi" w:hAnsiTheme="majorHAnsi"/>
          <w:b/>
          <w:sz w:val="20"/>
          <w:szCs w:val="20"/>
        </w:rPr>
      </w:pPr>
    </w:p>
    <w:p w14:paraId="2E817925" w14:textId="77777777" w:rsidR="00AE007A" w:rsidRDefault="00AE007A">
      <w:pPr>
        <w:rPr>
          <w:rFonts w:asciiTheme="majorHAnsi" w:hAnsiTheme="majorHAnsi"/>
          <w:b/>
          <w:sz w:val="20"/>
          <w:szCs w:val="20"/>
        </w:rPr>
      </w:pPr>
      <w:r>
        <w:rPr>
          <w:rFonts w:asciiTheme="majorHAnsi" w:hAnsiTheme="majorHAnsi"/>
          <w:b/>
          <w:sz w:val="20"/>
          <w:szCs w:val="20"/>
        </w:rPr>
        <w:br w:type="page"/>
      </w:r>
    </w:p>
    <w:p w14:paraId="3FEBD323" w14:textId="26588F62"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8C2373" w:rsidRPr="000B6B7A">
        <w:rPr>
          <w:rFonts w:asciiTheme="majorHAnsi" w:hAnsiTheme="majorHAnsi"/>
          <w:b/>
          <w:sz w:val="20"/>
          <w:szCs w:val="20"/>
        </w:rPr>
        <w:t>ALLEGED</w:t>
      </w:r>
    </w:p>
    <w:p w14:paraId="2C8A0247" w14:textId="19EF3993" w:rsidR="00AE2B10" w:rsidRPr="00054FFA" w:rsidRDefault="00AE2B10" w:rsidP="00AE2B10">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rPr>
      </w:pPr>
      <w:r>
        <w:rPr>
          <w:rFonts w:asciiTheme="majorHAnsi" w:hAnsiTheme="majorHAnsi"/>
          <w:sz w:val="20"/>
          <w:szCs w:val="20"/>
          <w:lang w:val="en"/>
        </w:rPr>
        <w:t>The petitioners claim that the State infringed the rights of the alleged victims (hereinafter “Ms. Benado and Ms. Gallo”) to equal protection, the protection of the family, and judicial protection, among others, in two legal actions</w:t>
      </w:r>
      <w:r w:rsidR="00CD549A">
        <w:rPr>
          <w:rFonts w:asciiTheme="majorHAnsi" w:hAnsiTheme="majorHAnsi"/>
          <w:sz w:val="20"/>
          <w:szCs w:val="20"/>
          <w:lang w:val="en"/>
        </w:rPr>
        <w:t>—</w:t>
      </w:r>
      <w:r>
        <w:rPr>
          <w:rFonts w:asciiTheme="majorHAnsi" w:hAnsiTheme="majorHAnsi"/>
          <w:sz w:val="20"/>
          <w:szCs w:val="20"/>
          <w:lang w:val="en"/>
        </w:rPr>
        <w:t xml:space="preserve">one </w:t>
      </w:r>
      <w:r w:rsidR="00CD549A">
        <w:rPr>
          <w:rFonts w:asciiTheme="majorHAnsi" w:hAnsiTheme="majorHAnsi"/>
          <w:sz w:val="20"/>
          <w:szCs w:val="20"/>
          <w:lang w:val="en"/>
        </w:rPr>
        <w:t>was</w:t>
      </w:r>
      <w:r>
        <w:rPr>
          <w:rFonts w:asciiTheme="majorHAnsi" w:hAnsiTheme="majorHAnsi"/>
          <w:sz w:val="20"/>
          <w:szCs w:val="20"/>
          <w:lang w:val="en"/>
        </w:rPr>
        <w:t xml:space="preserve"> an administrative </w:t>
      </w:r>
      <w:r w:rsidR="00CD549A">
        <w:rPr>
          <w:rFonts w:asciiTheme="majorHAnsi" w:hAnsiTheme="majorHAnsi"/>
          <w:sz w:val="20"/>
          <w:szCs w:val="20"/>
          <w:lang w:val="en"/>
        </w:rPr>
        <w:t>action and the other a judicial one</w:t>
      </w:r>
      <w:r>
        <w:rPr>
          <w:rFonts w:asciiTheme="majorHAnsi" w:hAnsiTheme="majorHAnsi"/>
          <w:sz w:val="20"/>
          <w:szCs w:val="20"/>
          <w:lang w:val="en"/>
        </w:rPr>
        <w:t xml:space="preserve">. They complain that the alleged victims were discriminated against </w:t>
      </w:r>
      <w:r w:rsidR="003B29F6">
        <w:rPr>
          <w:rFonts w:asciiTheme="majorHAnsi" w:hAnsiTheme="majorHAnsi"/>
          <w:sz w:val="20"/>
          <w:szCs w:val="20"/>
          <w:lang w:val="en"/>
        </w:rPr>
        <w:t>based on</w:t>
      </w:r>
      <w:r>
        <w:rPr>
          <w:rFonts w:asciiTheme="majorHAnsi" w:hAnsiTheme="majorHAnsi"/>
          <w:sz w:val="20"/>
          <w:szCs w:val="20"/>
          <w:lang w:val="en"/>
        </w:rPr>
        <w:t xml:space="preserve"> their sex and their sexual orientation, that the state authorities </w:t>
      </w:r>
      <w:r w:rsidR="00CD549A">
        <w:rPr>
          <w:rFonts w:asciiTheme="majorHAnsi" w:hAnsiTheme="majorHAnsi"/>
          <w:sz w:val="20"/>
          <w:szCs w:val="20"/>
          <w:lang w:val="en"/>
        </w:rPr>
        <w:t>denied</w:t>
      </w:r>
      <w:r>
        <w:rPr>
          <w:rFonts w:asciiTheme="majorHAnsi" w:hAnsiTheme="majorHAnsi"/>
          <w:sz w:val="20"/>
          <w:szCs w:val="20"/>
          <w:lang w:val="en"/>
        </w:rPr>
        <w:t xml:space="preserve"> Ms. Benado</w:t>
      </w:r>
      <w:r w:rsidR="00CD549A">
        <w:rPr>
          <w:rFonts w:asciiTheme="majorHAnsi" w:hAnsiTheme="majorHAnsi"/>
          <w:sz w:val="20"/>
          <w:szCs w:val="20"/>
          <w:lang w:val="en"/>
        </w:rPr>
        <w:t>’s legal registration</w:t>
      </w:r>
      <w:r>
        <w:rPr>
          <w:rFonts w:asciiTheme="majorHAnsi" w:hAnsiTheme="majorHAnsi"/>
          <w:sz w:val="20"/>
          <w:szCs w:val="20"/>
          <w:lang w:val="en"/>
        </w:rPr>
        <w:t xml:space="preserve"> as the mother of D.G.B. and C.G.B.—</w:t>
      </w:r>
      <w:r w:rsidR="00CD549A">
        <w:rPr>
          <w:rFonts w:asciiTheme="majorHAnsi" w:hAnsiTheme="majorHAnsi"/>
          <w:sz w:val="20"/>
          <w:szCs w:val="20"/>
          <w:lang w:val="en"/>
        </w:rPr>
        <w:t>which</w:t>
      </w:r>
      <w:r>
        <w:rPr>
          <w:rFonts w:asciiTheme="majorHAnsi" w:hAnsiTheme="majorHAnsi"/>
          <w:sz w:val="20"/>
          <w:szCs w:val="20"/>
          <w:lang w:val="en"/>
        </w:rPr>
        <w:t xml:space="preserve"> deprived the children of the right to filiation—</w:t>
      </w:r>
      <w:r w:rsidR="00CD549A">
        <w:rPr>
          <w:rFonts w:asciiTheme="majorHAnsi" w:hAnsiTheme="majorHAnsi"/>
          <w:sz w:val="20"/>
          <w:szCs w:val="20"/>
          <w:lang w:val="en"/>
        </w:rPr>
        <w:t>;</w:t>
      </w:r>
      <w:r>
        <w:rPr>
          <w:rFonts w:asciiTheme="majorHAnsi" w:hAnsiTheme="majorHAnsi"/>
          <w:sz w:val="20"/>
          <w:szCs w:val="20"/>
          <w:lang w:val="en"/>
        </w:rPr>
        <w:t xml:space="preserve"> that filiation established by assisted reproducti</w:t>
      </w:r>
      <w:r w:rsidR="00CD549A">
        <w:rPr>
          <w:rFonts w:asciiTheme="majorHAnsi" w:hAnsiTheme="majorHAnsi"/>
          <w:sz w:val="20"/>
          <w:szCs w:val="20"/>
          <w:lang w:val="en"/>
        </w:rPr>
        <w:t>ve</w:t>
      </w:r>
      <w:r>
        <w:rPr>
          <w:rFonts w:asciiTheme="majorHAnsi" w:hAnsiTheme="majorHAnsi"/>
          <w:sz w:val="20"/>
          <w:szCs w:val="20"/>
          <w:lang w:val="en"/>
        </w:rPr>
        <w:t xml:space="preserve"> procedures, which works differently for heterosexual couples, entails unequal treatment; that the state authorities did not address their claims. </w:t>
      </w:r>
    </w:p>
    <w:p w14:paraId="45862C8B" w14:textId="54501744" w:rsidR="00AE2B10" w:rsidRPr="00662555" w:rsidRDefault="00AE2B10" w:rsidP="00AE2B10">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rPr>
      </w:pPr>
      <w:r>
        <w:rPr>
          <w:rFonts w:asciiTheme="majorHAnsi" w:hAnsiTheme="majorHAnsi"/>
          <w:sz w:val="20"/>
          <w:szCs w:val="20"/>
          <w:lang w:val="en"/>
        </w:rPr>
        <w:t>By way of context, the</w:t>
      </w:r>
      <w:r w:rsidR="00CD549A">
        <w:rPr>
          <w:rFonts w:asciiTheme="majorHAnsi" w:hAnsiTheme="majorHAnsi"/>
          <w:sz w:val="20"/>
          <w:szCs w:val="20"/>
          <w:lang w:val="en"/>
        </w:rPr>
        <w:t xml:space="preserve"> petitioners</w:t>
      </w:r>
      <w:r>
        <w:rPr>
          <w:rFonts w:asciiTheme="majorHAnsi" w:hAnsiTheme="majorHAnsi"/>
          <w:sz w:val="20"/>
          <w:szCs w:val="20"/>
          <w:lang w:val="en"/>
        </w:rPr>
        <w:t xml:space="preserve"> say that </w:t>
      </w:r>
      <w:r w:rsidR="000B18D3">
        <w:rPr>
          <w:rFonts w:asciiTheme="majorHAnsi" w:hAnsiTheme="majorHAnsi"/>
          <w:sz w:val="20"/>
          <w:szCs w:val="20"/>
          <w:lang w:val="en"/>
        </w:rPr>
        <w:t>under</w:t>
      </w:r>
      <w:r>
        <w:rPr>
          <w:rFonts w:asciiTheme="majorHAnsi" w:hAnsiTheme="majorHAnsi"/>
          <w:sz w:val="20"/>
          <w:szCs w:val="20"/>
          <w:lang w:val="en"/>
        </w:rPr>
        <w:t xml:space="preserve"> the National Law on Assisted Fertilization, the man and the woman that undergo together an assisted reproductive treatment will be recognized as the father and mother, which creates all types of legal effects, including the rights and obligations proper of the filial relationship. Moreover, they explain that the concept of filiation is protected by Title VII of the Chilean Civil Code</w:t>
      </w:r>
      <w:r w:rsidR="000B18D3">
        <w:rPr>
          <w:rFonts w:asciiTheme="majorHAnsi" w:hAnsiTheme="majorHAnsi"/>
          <w:sz w:val="20"/>
          <w:szCs w:val="20"/>
          <w:lang w:val="en"/>
        </w:rPr>
        <w:t xml:space="preserve"> and</w:t>
      </w:r>
      <w:r>
        <w:rPr>
          <w:rFonts w:asciiTheme="majorHAnsi" w:hAnsiTheme="majorHAnsi"/>
          <w:sz w:val="20"/>
          <w:szCs w:val="20"/>
          <w:lang w:val="en"/>
        </w:rPr>
        <w:t>,</w:t>
      </w:r>
      <w:r w:rsidR="000B18D3">
        <w:rPr>
          <w:rFonts w:asciiTheme="majorHAnsi" w:hAnsiTheme="majorHAnsi"/>
          <w:sz w:val="20"/>
          <w:szCs w:val="20"/>
          <w:lang w:val="en"/>
        </w:rPr>
        <w:t xml:space="preserve"> more precisely</w:t>
      </w:r>
      <w:r>
        <w:rPr>
          <w:rFonts w:asciiTheme="majorHAnsi" w:hAnsiTheme="majorHAnsi"/>
          <w:sz w:val="20"/>
          <w:szCs w:val="20"/>
          <w:lang w:val="en"/>
        </w:rPr>
        <w:t xml:space="preserve"> </w:t>
      </w:r>
      <w:r w:rsidR="000B18D3">
        <w:rPr>
          <w:rFonts w:asciiTheme="majorHAnsi" w:hAnsiTheme="majorHAnsi"/>
          <w:sz w:val="20"/>
          <w:szCs w:val="20"/>
          <w:lang w:val="en"/>
        </w:rPr>
        <w:t>through</w:t>
      </w:r>
      <w:r>
        <w:rPr>
          <w:rFonts w:asciiTheme="majorHAnsi" w:hAnsiTheme="majorHAnsi"/>
          <w:sz w:val="20"/>
          <w:szCs w:val="20"/>
          <w:lang w:val="en"/>
        </w:rPr>
        <w:t xml:space="preserve"> articles 182, 186, and 187 of this code.</w:t>
      </w:r>
      <w:r>
        <w:rPr>
          <w:rStyle w:val="FootnoteReference"/>
          <w:rFonts w:asciiTheme="majorHAnsi" w:eastAsia="Arial Unicode MS" w:hAnsiTheme="majorHAnsi" w:cs="Calibri"/>
          <w:sz w:val="20"/>
          <w:szCs w:val="20"/>
          <w:lang w:val="en"/>
        </w:rPr>
        <w:footnoteReference w:id="6"/>
      </w:r>
    </w:p>
    <w:p w14:paraId="4767A6AA" w14:textId="7E2635AD" w:rsidR="00AE2B10" w:rsidRPr="00B22F1C" w:rsidRDefault="00AE2B10" w:rsidP="00AE2B10">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rPr>
      </w:pPr>
      <w:r>
        <w:rPr>
          <w:rFonts w:asciiTheme="majorHAnsi" w:hAnsiTheme="majorHAnsi"/>
          <w:sz w:val="20"/>
          <w:szCs w:val="20"/>
          <w:lang w:val="en"/>
        </w:rPr>
        <w:t xml:space="preserve">The petitioners </w:t>
      </w:r>
      <w:r w:rsidR="003B29F6">
        <w:rPr>
          <w:rFonts w:asciiTheme="majorHAnsi" w:hAnsiTheme="majorHAnsi"/>
          <w:sz w:val="20"/>
          <w:szCs w:val="20"/>
          <w:lang w:val="en"/>
        </w:rPr>
        <w:t>say</w:t>
      </w:r>
      <w:r>
        <w:rPr>
          <w:rFonts w:asciiTheme="majorHAnsi" w:hAnsiTheme="majorHAnsi"/>
          <w:sz w:val="20"/>
          <w:szCs w:val="20"/>
          <w:lang w:val="en"/>
        </w:rPr>
        <w:t xml:space="preserve"> that Ms. Benado and Ms. Gallo are a lesbian couple who, </w:t>
      </w:r>
      <w:r w:rsidR="00D12F20">
        <w:rPr>
          <w:rFonts w:asciiTheme="majorHAnsi" w:hAnsiTheme="majorHAnsi"/>
          <w:sz w:val="20"/>
          <w:szCs w:val="20"/>
          <w:lang w:val="en"/>
        </w:rPr>
        <w:t>using</w:t>
      </w:r>
      <w:r>
        <w:rPr>
          <w:rFonts w:asciiTheme="majorHAnsi" w:hAnsiTheme="majorHAnsi"/>
          <w:sz w:val="20"/>
          <w:szCs w:val="20"/>
          <w:lang w:val="en"/>
        </w:rPr>
        <w:t xml:space="preserve"> assisted reproductive procedures, had their children, D.G.B. and C.G.B. Nevertheless, the petitioners declare that</w:t>
      </w:r>
      <w:r w:rsidR="000B18D3">
        <w:rPr>
          <w:rFonts w:asciiTheme="majorHAnsi" w:hAnsiTheme="majorHAnsi"/>
          <w:sz w:val="20"/>
          <w:szCs w:val="20"/>
          <w:lang w:val="en"/>
        </w:rPr>
        <w:t>,</w:t>
      </w:r>
      <w:r>
        <w:rPr>
          <w:rFonts w:asciiTheme="majorHAnsi" w:hAnsiTheme="majorHAnsi"/>
          <w:sz w:val="20"/>
          <w:szCs w:val="20"/>
          <w:lang w:val="en"/>
        </w:rPr>
        <w:t xml:space="preserve"> initially</w:t>
      </w:r>
      <w:r w:rsidR="000B18D3">
        <w:rPr>
          <w:rFonts w:asciiTheme="majorHAnsi" w:hAnsiTheme="majorHAnsi"/>
          <w:sz w:val="20"/>
          <w:szCs w:val="20"/>
          <w:lang w:val="en"/>
        </w:rPr>
        <w:t>,</w:t>
      </w:r>
      <w:r>
        <w:rPr>
          <w:rFonts w:asciiTheme="majorHAnsi" w:hAnsiTheme="majorHAnsi"/>
          <w:sz w:val="20"/>
          <w:szCs w:val="20"/>
          <w:lang w:val="en"/>
        </w:rPr>
        <w:t xml:space="preserve"> only Ms. Gallo appeared as the legal mother of the children since she </w:t>
      </w:r>
      <w:r w:rsidR="000B18D3">
        <w:rPr>
          <w:rFonts w:asciiTheme="majorHAnsi" w:hAnsiTheme="majorHAnsi"/>
          <w:sz w:val="20"/>
          <w:szCs w:val="20"/>
          <w:lang w:val="en"/>
        </w:rPr>
        <w:t>delivered</w:t>
      </w:r>
      <w:r>
        <w:rPr>
          <w:rFonts w:asciiTheme="majorHAnsi" w:hAnsiTheme="majorHAnsi"/>
          <w:sz w:val="20"/>
          <w:szCs w:val="20"/>
          <w:lang w:val="en"/>
        </w:rPr>
        <w:t xml:space="preserve"> them. Thus, on March 26, 2013, when D.G.B. and C.G.B. were three years of age, the alleged victims </w:t>
      </w:r>
      <w:r w:rsidR="007E2D52">
        <w:rPr>
          <w:rFonts w:asciiTheme="majorHAnsi" w:hAnsiTheme="majorHAnsi"/>
          <w:sz w:val="20"/>
          <w:szCs w:val="20"/>
          <w:lang w:val="en"/>
        </w:rPr>
        <w:t>applied</w:t>
      </w:r>
      <w:r>
        <w:rPr>
          <w:rFonts w:asciiTheme="majorHAnsi" w:hAnsiTheme="majorHAnsi"/>
          <w:sz w:val="20"/>
          <w:szCs w:val="20"/>
          <w:lang w:val="en"/>
        </w:rPr>
        <w:t xml:space="preserve"> with the Civil Registry Office of Santiago </w:t>
      </w:r>
      <w:r w:rsidR="007E2D52">
        <w:rPr>
          <w:rFonts w:asciiTheme="majorHAnsi" w:hAnsiTheme="majorHAnsi"/>
          <w:sz w:val="20"/>
          <w:szCs w:val="20"/>
          <w:lang w:val="en"/>
        </w:rPr>
        <w:t>for</w:t>
      </w:r>
      <w:r>
        <w:rPr>
          <w:rFonts w:asciiTheme="majorHAnsi" w:hAnsiTheme="majorHAnsi"/>
          <w:sz w:val="20"/>
          <w:szCs w:val="20"/>
          <w:lang w:val="en"/>
        </w:rPr>
        <w:t xml:space="preserve"> Ms. Benado’s maternity </w:t>
      </w:r>
      <w:r w:rsidR="007E2D52">
        <w:rPr>
          <w:rFonts w:asciiTheme="majorHAnsi" w:hAnsiTheme="majorHAnsi"/>
          <w:sz w:val="20"/>
          <w:szCs w:val="20"/>
          <w:lang w:val="en"/>
        </w:rPr>
        <w:t xml:space="preserve">to </w:t>
      </w:r>
      <w:r>
        <w:rPr>
          <w:rFonts w:asciiTheme="majorHAnsi" w:hAnsiTheme="majorHAnsi"/>
          <w:sz w:val="20"/>
          <w:szCs w:val="20"/>
          <w:lang w:val="en"/>
        </w:rPr>
        <w:t>be legally recognized. They allege that, however, the Civil Registry (</w:t>
      </w:r>
      <w:r>
        <w:rPr>
          <w:rFonts w:asciiTheme="majorHAnsi" w:hAnsiTheme="majorHAnsi"/>
          <w:i/>
          <w:iCs/>
          <w:sz w:val="20"/>
          <w:szCs w:val="20"/>
          <w:lang w:val="en"/>
        </w:rPr>
        <w:t>Oficina Civil Subrogante del Registro Civil</w:t>
      </w:r>
      <w:r>
        <w:rPr>
          <w:rFonts w:asciiTheme="majorHAnsi" w:hAnsiTheme="majorHAnsi"/>
          <w:sz w:val="20"/>
          <w:szCs w:val="20"/>
          <w:lang w:val="en"/>
        </w:rPr>
        <w:t xml:space="preserve">) told them that it was impossible to register the applicant because she was of the female sex. </w:t>
      </w:r>
    </w:p>
    <w:p w14:paraId="6E719D40" w14:textId="3FA1AFE4" w:rsidR="00AE2B10" w:rsidRDefault="00AE2B10" w:rsidP="00AE2B10">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rPr>
      </w:pPr>
      <w:r>
        <w:rPr>
          <w:rFonts w:asciiTheme="majorHAnsi" w:eastAsia="Arial Unicode MS" w:hAnsiTheme="majorHAnsi" w:cs="Calibri"/>
          <w:sz w:val="20"/>
          <w:szCs w:val="20"/>
          <w:lang w:val="en"/>
        </w:rPr>
        <w:t xml:space="preserve">Therefore, on April 12, 2013, Ms. Benado and Ms. Gallo filed an appeal for legal protection claiming that the above decision infringed their and their children’s rights to non-discrimination, family and private life, mental integrity, and to have one’s honor respected. However, on April 15, 2013, the First Chamber of the Court of Appeals found this remedy inadmissible </w:t>
      </w:r>
      <w:r w:rsidR="00376D1F">
        <w:rPr>
          <w:rFonts w:asciiTheme="majorHAnsi" w:eastAsia="Arial Unicode MS" w:hAnsiTheme="majorHAnsi" w:cs="Calibri"/>
          <w:sz w:val="20"/>
          <w:szCs w:val="20"/>
          <w:lang w:val="en"/>
        </w:rPr>
        <w:t>on considering that</w:t>
      </w:r>
      <w:r>
        <w:rPr>
          <w:rFonts w:asciiTheme="majorHAnsi" w:eastAsia="Arial Unicode MS" w:hAnsiTheme="majorHAnsi" w:cs="Calibri"/>
          <w:sz w:val="20"/>
          <w:szCs w:val="20"/>
          <w:lang w:val="en"/>
        </w:rPr>
        <w:t xml:space="preserve"> the alleged victims sought to change the filiation rules in force by turning to a court of law without </w:t>
      </w:r>
      <w:r w:rsidR="00376D1F">
        <w:rPr>
          <w:rFonts w:asciiTheme="majorHAnsi" w:eastAsia="Arial Unicode MS" w:hAnsiTheme="majorHAnsi" w:cs="Calibri"/>
          <w:sz w:val="20"/>
          <w:szCs w:val="20"/>
          <w:lang w:val="en"/>
        </w:rPr>
        <w:t>anything</w:t>
      </w:r>
      <w:r>
        <w:rPr>
          <w:rFonts w:asciiTheme="majorHAnsi" w:eastAsia="Arial Unicode MS" w:hAnsiTheme="majorHAnsi" w:cs="Calibri"/>
          <w:sz w:val="20"/>
          <w:szCs w:val="20"/>
          <w:lang w:val="en"/>
        </w:rPr>
        <w:t xml:space="preserve"> </w:t>
      </w:r>
      <w:r w:rsidR="00376D1F">
        <w:rPr>
          <w:rFonts w:asciiTheme="majorHAnsi" w:eastAsia="Arial Unicode MS" w:hAnsiTheme="majorHAnsi" w:cs="Calibri"/>
          <w:sz w:val="20"/>
          <w:szCs w:val="20"/>
          <w:lang w:val="en"/>
        </w:rPr>
        <w:t xml:space="preserve">to </w:t>
      </w:r>
      <w:r>
        <w:rPr>
          <w:rFonts w:asciiTheme="majorHAnsi" w:eastAsia="Arial Unicode MS" w:hAnsiTheme="majorHAnsi" w:cs="Calibri"/>
          <w:sz w:val="20"/>
          <w:szCs w:val="20"/>
          <w:lang w:val="en"/>
        </w:rPr>
        <w:t>establish an illegal act. Given this resolution, on April 18, 2013, Ms. Benado and Ms. Gallo submitted a petition for rehearing, which was rejected by the Court of Appeals on April 19, 2013, on considering that the applicants did not disprove the grounds of the appealed decision.</w:t>
      </w:r>
      <w:r w:rsidR="00376D1F">
        <w:rPr>
          <w:rFonts w:asciiTheme="majorHAnsi" w:eastAsia="Arial Unicode MS" w:hAnsiTheme="majorHAnsi" w:cs="Calibri"/>
          <w:sz w:val="20"/>
          <w:szCs w:val="20"/>
          <w:lang w:val="en"/>
        </w:rPr>
        <w:t xml:space="preserve"> </w:t>
      </w:r>
    </w:p>
    <w:p w14:paraId="17AA83C2" w14:textId="16B81242" w:rsidR="00AE2B10" w:rsidRPr="000A63A1"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Calibri"/>
          <w:sz w:val="20"/>
          <w:szCs w:val="20"/>
        </w:rPr>
      </w:pPr>
      <w:r>
        <w:rPr>
          <w:rFonts w:asciiTheme="majorHAnsi" w:eastAsia="Arial Unicode MS" w:hAnsiTheme="majorHAnsi" w:cs="Calibri"/>
          <w:sz w:val="20"/>
          <w:szCs w:val="20"/>
          <w:lang w:val="en"/>
        </w:rPr>
        <w:t xml:space="preserve">Subsequently, on April 25, 2013, the alleged victims filed an appeal </w:t>
      </w:r>
      <w:r w:rsidR="00376D1F">
        <w:rPr>
          <w:rFonts w:asciiTheme="majorHAnsi" w:eastAsia="Arial Unicode MS" w:hAnsiTheme="majorHAnsi" w:cs="Calibri"/>
          <w:sz w:val="20"/>
          <w:szCs w:val="20"/>
          <w:lang w:val="en"/>
        </w:rPr>
        <w:t>against refusal to accept appeal</w:t>
      </w:r>
      <w:r>
        <w:rPr>
          <w:rFonts w:asciiTheme="majorHAnsi" w:eastAsia="Arial Unicode MS" w:hAnsiTheme="majorHAnsi" w:cs="Calibri"/>
          <w:sz w:val="20"/>
          <w:szCs w:val="20"/>
          <w:lang w:val="en"/>
        </w:rPr>
        <w:t xml:space="preserve">. Nevertheless, on May 16, 2013, the Supreme Court of Justice dismissed </w:t>
      </w:r>
      <w:r w:rsidR="00376D1F">
        <w:rPr>
          <w:rFonts w:asciiTheme="majorHAnsi" w:eastAsia="Arial Unicode MS" w:hAnsiTheme="majorHAnsi" w:cs="Calibri"/>
          <w:sz w:val="20"/>
          <w:szCs w:val="20"/>
          <w:lang w:val="en"/>
        </w:rPr>
        <w:t>it claiming</w:t>
      </w:r>
      <w:r>
        <w:rPr>
          <w:rFonts w:asciiTheme="majorHAnsi" w:eastAsia="Arial Unicode MS" w:hAnsiTheme="majorHAnsi" w:cs="Calibri"/>
          <w:sz w:val="20"/>
          <w:szCs w:val="20"/>
          <w:lang w:val="en"/>
        </w:rPr>
        <w:t xml:space="preserve"> th</w:t>
      </w:r>
      <w:r w:rsidR="00376D1F">
        <w:rPr>
          <w:rFonts w:asciiTheme="majorHAnsi" w:eastAsia="Arial Unicode MS" w:hAnsiTheme="majorHAnsi" w:cs="Calibri"/>
          <w:sz w:val="20"/>
          <w:szCs w:val="20"/>
          <w:lang w:val="en"/>
        </w:rPr>
        <w:t>e</w:t>
      </w:r>
      <w:r>
        <w:rPr>
          <w:rFonts w:asciiTheme="majorHAnsi" w:eastAsia="Arial Unicode MS" w:hAnsiTheme="majorHAnsi" w:cs="Calibri"/>
          <w:sz w:val="20"/>
          <w:szCs w:val="20"/>
          <w:lang w:val="en"/>
        </w:rPr>
        <w:t xml:space="preserve"> remedy</w:t>
      </w:r>
      <w:r w:rsidR="00376D1F">
        <w:rPr>
          <w:rFonts w:asciiTheme="majorHAnsi" w:eastAsia="Arial Unicode MS" w:hAnsiTheme="majorHAnsi" w:cs="Calibri"/>
          <w:sz w:val="20"/>
          <w:szCs w:val="20"/>
          <w:lang w:val="en"/>
        </w:rPr>
        <w:t>’s</w:t>
      </w:r>
      <w:r>
        <w:rPr>
          <w:rFonts w:asciiTheme="majorHAnsi" w:eastAsia="Arial Unicode MS" w:hAnsiTheme="majorHAnsi" w:cs="Calibri"/>
          <w:sz w:val="20"/>
          <w:szCs w:val="20"/>
          <w:lang w:val="en"/>
        </w:rPr>
        <w:t xml:space="preserve"> inadmissib</w:t>
      </w:r>
      <w:r w:rsidR="00376D1F">
        <w:rPr>
          <w:rFonts w:asciiTheme="majorHAnsi" w:eastAsia="Arial Unicode MS" w:hAnsiTheme="majorHAnsi" w:cs="Calibri"/>
          <w:sz w:val="20"/>
          <w:szCs w:val="20"/>
          <w:lang w:val="en"/>
        </w:rPr>
        <w:t>ility</w:t>
      </w:r>
      <w:r>
        <w:rPr>
          <w:rFonts w:asciiTheme="majorHAnsi" w:eastAsia="Arial Unicode MS" w:hAnsiTheme="majorHAnsi" w:cs="Calibri"/>
          <w:sz w:val="20"/>
          <w:szCs w:val="20"/>
          <w:lang w:val="en"/>
        </w:rPr>
        <w:t xml:space="preserve"> regarding the nature of the appealed decision. On May 23, 2013, Ms. Benado and Ms. Gallo filed a petition for rehearing, but on June 6, 2013, the Supreme Court of Justice rejected it flatly </w:t>
      </w:r>
      <w:r w:rsidR="00376D1F">
        <w:rPr>
          <w:rFonts w:asciiTheme="majorHAnsi" w:eastAsia="Arial Unicode MS" w:hAnsiTheme="majorHAnsi" w:cs="Calibri"/>
          <w:sz w:val="20"/>
          <w:szCs w:val="20"/>
          <w:lang w:val="en"/>
        </w:rPr>
        <w:t>under</w:t>
      </w:r>
      <w:r>
        <w:rPr>
          <w:rFonts w:asciiTheme="majorHAnsi" w:eastAsia="Arial Unicode MS" w:hAnsiTheme="majorHAnsi" w:cs="Calibri"/>
          <w:sz w:val="20"/>
          <w:szCs w:val="20"/>
          <w:lang w:val="en"/>
        </w:rPr>
        <w:t xml:space="preserve"> </w:t>
      </w:r>
      <w:r>
        <w:rPr>
          <w:rFonts w:asciiTheme="majorHAnsi" w:eastAsia="Arial Unicode MS" w:hAnsiTheme="majorHAnsi" w:cs="Calibri"/>
          <w:color w:val="000000" w:themeColor="text1"/>
          <w:sz w:val="20"/>
          <w:szCs w:val="20"/>
          <w:lang w:val="en"/>
        </w:rPr>
        <w:t>article 97 of the Organic Code of Courts.</w:t>
      </w:r>
      <w:r>
        <w:rPr>
          <w:rStyle w:val="FootnoteReference"/>
          <w:rFonts w:asciiTheme="majorHAnsi" w:eastAsia="Arial Unicode MS" w:hAnsiTheme="majorHAnsi" w:cs="Calibri"/>
          <w:color w:val="000000" w:themeColor="text1"/>
          <w:sz w:val="20"/>
          <w:szCs w:val="20"/>
          <w:lang w:val="en"/>
        </w:rPr>
        <w:footnoteReference w:id="7"/>
      </w:r>
      <w:r>
        <w:rPr>
          <w:rFonts w:asciiTheme="majorHAnsi" w:eastAsia="Arial Unicode MS" w:hAnsiTheme="majorHAnsi" w:cs="Calibri"/>
          <w:color w:val="000000" w:themeColor="text1"/>
          <w:sz w:val="20"/>
          <w:szCs w:val="20"/>
          <w:lang w:val="en"/>
        </w:rPr>
        <w:t xml:space="preserve"> The petitioners claim that </w:t>
      </w:r>
      <w:r>
        <w:rPr>
          <w:rFonts w:asciiTheme="majorHAnsi" w:eastAsia="Arial Unicode MS" w:hAnsiTheme="majorHAnsi" w:cs="Calibri"/>
          <w:sz w:val="20"/>
          <w:szCs w:val="20"/>
          <w:lang w:val="en"/>
        </w:rPr>
        <w:t>this decision, which was notified to them on June 6, 2013, exhausted the domestic remedies.</w:t>
      </w:r>
      <w:r w:rsidR="00376D1F">
        <w:rPr>
          <w:rFonts w:asciiTheme="majorHAnsi" w:eastAsia="Arial Unicode MS" w:hAnsiTheme="majorHAnsi" w:cs="Calibri"/>
          <w:sz w:val="20"/>
          <w:szCs w:val="20"/>
          <w:lang w:val="en"/>
        </w:rPr>
        <w:t xml:space="preserve"> </w:t>
      </w:r>
    </w:p>
    <w:p w14:paraId="038D6559" w14:textId="245FFB29" w:rsidR="00AE2B10" w:rsidRPr="000A63A1"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rPr>
      </w:pPr>
      <w:r>
        <w:rPr>
          <w:rFonts w:asciiTheme="majorHAnsi" w:hAnsiTheme="majorHAnsi"/>
          <w:sz w:val="20"/>
          <w:szCs w:val="20"/>
          <w:lang w:val="en"/>
        </w:rPr>
        <w:t xml:space="preserve">Due to the above considerations, the petitioners complain that the State discriminated </w:t>
      </w:r>
      <w:r w:rsidR="00376D1F">
        <w:rPr>
          <w:rFonts w:asciiTheme="majorHAnsi" w:hAnsiTheme="majorHAnsi"/>
          <w:sz w:val="20"/>
          <w:szCs w:val="20"/>
          <w:lang w:val="en"/>
        </w:rPr>
        <w:lastRenderedPageBreak/>
        <w:t xml:space="preserve">against </w:t>
      </w:r>
      <w:r>
        <w:rPr>
          <w:rFonts w:asciiTheme="majorHAnsi" w:hAnsiTheme="majorHAnsi"/>
          <w:sz w:val="20"/>
          <w:szCs w:val="20"/>
          <w:lang w:val="en"/>
        </w:rPr>
        <w:t xml:space="preserve">the alleged victims </w:t>
      </w:r>
      <w:r w:rsidR="00376D1F">
        <w:rPr>
          <w:rFonts w:asciiTheme="majorHAnsi" w:hAnsiTheme="majorHAnsi"/>
          <w:sz w:val="20"/>
          <w:szCs w:val="20"/>
          <w:lang w:val="en"/>
        </w:rPr>
        <w:t>based on</w:t>
      </w:r>
      <w:r>
        <w:rPr>
          <w:rFonts w:asciiTheme="majorHAnsi" w:hAnsiTheme="majorHAnsi"/>
          <w:sz w:val="20"/>
          <w:szCs w:val="20"/>
          <w:lang w:val="en"/>
        </w:rPr>
        <w:t xml:space="preserve"> their sex and their sexual orientation, as their application was rejected </w:t>
      </w:r>
      <w:r w:rsidR="00376D1F">
        <w:rPr>
          <w:rFonts w:asciiTheme="majorHAnsi" w:hAnsiTheme="majorHAnsi"/>
          <w:sz w:val="20"/>
          <w:szCs w:val="20"/>
          <w:lang w:val="en"/>
        </w:rPr>
        <w:t>for</w:t>
      </w:r>
      <w:r>
        <w:rPr>
          <w:rFonts w:asciiTheme="majorHAnsi" w:hAnsiTheme="majorHAnsi"/>
          <w:sz w:val="20"/>
          <w:szCs w:val="20"/>
          <w:lang w:val="en"/>
        </w:rPr>
        <w:t xml:space="preserve"> the sole reason that they are a female same-sex couple. The petitioners allege that the impossibility to have Ms. Benado’s and Ms. Gallo’s maternity legally recognized is rooted in a traditional, conservative, and discriminatory understanding of the concept of family </w:t>
      </w:r>
      <w:r w:rsidR="0012124B">
        <w:rPr>
          <w:rFonts w:asciiTheme="majorHAnsi" w:hAnsiTheme="majorHAnsi"/>
          <w:sz w:val="20"/>
          <w:szCs w:val="20"/>
          <w:lang w:val="en"/>
        </w:rPr>
        <w:t>given the State’s</w:t>
      </w:r>
      <w:r>
        <w:rPr>
          <w:rFonts w:asciiTheme="majorHAnsi" w:hAnsiTheme="majorHAnsi"/>
          <w:sz w:val="20"/>
          <w:szCs w:val="20"/>
          <w:lang w:val="en"/>
        </w:rPr>
        <w:t xml:space="preserve"> appli</w:t>
      </w:r>
      <w:r w:rsidR="0012124B">
        <w:rPr>
          <w:rFonts w:asciiTheme="majorHAnsi" w:hAnsiTheme="majorHAnsi"/>
          <w:sz w:val="20"/>
          <w:szCs w:val="20"/>
          <w:lang w:val="en"/>
        </w:rPr>
        <w:t>cation of</w:t>
      </w:r>
      <w:r>
        <w:rPr>
          <w:rFonts w:asciiTheme="majorHAnsi" w:hAnsiTheme="majorHAnsi"/>
          <w:sz w:val="20"/>
          <w:szCs w:val="20"/>
          <w:lang w:val="en"/>
        </w:rPr>
        <w:t xml:space="preserve"> the concept of family that applies only to families made by a man and a woman. They stress that, to date, D.G.B. and C.G.B. </w:t>
      </w:r>
      <w:r w:rsidR="0012124B">
        <w:rPr>
          <w:rFonts w:asciiTheme="majorHAnsi" w:hAnsiTheme="majorHAnsi"/>
          <w:sz w:val="20"/>
          <w:szCs w:val="20"/>
          <w:lang w:val="en"/>
        </w:rPr>
        <w:t>are deprived of</w:t>
      </w:r>
      <w:r>
        <w:rPr>
          <w:rFonts w:asciiTheme="majorHAnsi" w:hAnsiTheme="majorHAnsi"/>
          <w:sz w:val="20"/>
          <w:szCs w:val="20"/>
          <w:lang w:val="en"/>
        </w:rPr>
        <w:t xml:space="preserve"> the rights they are entitled to as children regarding their other mother, Ms. Benado. </w:t>
      </w:r>
    </w:p>
    <w:p w14:paraId="6275BFD4" w14:textId="4DEF3960" w:rsidR="00AE2B10" w:rsidRPr="009A162B"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rPr>
      </w:pPr>
      <w:r>
        <w:rPr>
          <w:rFonts w:asciiTheme="majorHAnsi" w:eastAsia="Arial Unicode MS" w:hAnsiTheme="majorHAnsi" w:cs="Calibri"/>
          <w:sz w:val="20"/>
          <w:szCs w:val="20"/>
          <w:lang w:val="en"/>
        </w:rPr>
        <w:t xml:space="preserve">Finally, the petitioners </w:t>
      </w:r>
      <w:r w:rsidR="0012124B">
        <w:rPr>
          <w:rFonts w:asciiTheme="majorHAnsi" w:eastAsia="Arial Unicode MS" w:hAnsiTheme="majorHAnsi" w:cs="Calibri"/>
          <w:sz w:val="20"/>
          <w:szCs w:val="20"/>
          <w:lang w:val="en"/>
        </w:rPr>
        <w:t>inform</w:t>
      </w:r>
      <w:r>
        <w:rPr>
          <w:rFonts w:asciiTheme="majorHAnsi" w:eastAsia="Arial Unicode MS" w:hAnsiTheme="majorHAnsi" w:cs="Calibri"/>
          <w:sz w:val="20"/>
          <w:szCs w:val="20"/>
          <w:lang w:val="en"/>
        </w:rPr>
        <w:t xml:space="preserve"> that</w:t>
      </w:r>
      <w:r w:rsidR="003B29F6">
        <w:rPr>
          <w:rFonts w:asciiTheme="majorHAnsi" w:eastAsia="Arial Unicode MS" w:hAnsiTheme="majorHAnsi" w:cs="Calibri"/>
          <w:sz w:val="20"/>
          <w:szCs w:val="20"/>
          <w:lang w:val="en"/>
        </w:rPr>
        <w:t>,</w:t>
      </w:r>
      <w:r>
        <w:rPr>
          <w:rFonts w:asciiTheme="majorHAnsi" w:eastAsia="Arial Unicode MS" w:hAnsiTheme="majorHAnsi" w:cs="Calibri"/>
          <w:sz w:val="20"/>
          <w:szCs w:val="20"/>
          <w:lang w:val="en"/>
        </w:rPr>
        <w:t xml:space="preserve"> currently, a bill on the filiation rights of children with same-sex parents is being discussed in Chile. They point out that this initiative has been a matter of legislative discussion since April 2016 and </w:t>
      </w:r>
      <w:r w:rsidR="003B29F6">
        <w:rPr>
          <w:rFonts w:asciiTheme="majorHAnsi" w:eastAsia="Arial Unicode MS" w:hAnsiTheme="majorHAnsi" w:cs="Calibri"/>
          <w:sz w:val="20"/>
          <w:szCs w:val="20"/>
          <w:lang w:val="en"/>
        </w:rPr>
        <w:t xml:space="preserve">that it </w:t>
      </w:r>
      <w:r>
        <w:rPr>
          <w:rFonts w:asciiTheme="majorHAnsi" w:eastAsia="Arial Unicode MS" w:hAnsiTheme="majorHAnsi" w:cs="Calibri"/>
          <w:sz w:val="20"/>
          <w:szCs w:val="20"/>
          <w:lang w:val="en"/>
        </w:rPr>
        <w:t>still has to be discussed by the Senate of the Republic, and that the Government has not furthered its processing.</w:t>
      </w:r>
      <w:r>
        <w:rPr>
          <w:rStyle w:val="FootnoteReference"/>
          <w:rFonts w:asciiTheme="majorHAnsi" w:eastAsia="Arial Unicode MS" w:hAnsiTheme="majorHAnsi" w:cs="Calibri"/>
          <w:sz w:val="20"/>
          <w:szCs w:val="20"/>
          <w:lang w:val="en"/>
        </w:rPr>
        <w:footnoteReference w:id="8"/>
      </w:r>
      <w:r>
        <w:rPr>
          <w:rFonts w:asciiTheme="majorHAnsi" w:eastAsia="Arial Unicode MS" w:hAnsiTheme="majorHAnsi" w:cs="Calibri"/>
          <w:sz w:val="20"/>
          <w:szCs w:val="20"/>
          <w:lang w:val="en"/>
        </w:rPr>
        <w:t xml:space="preserve"> </w:t>
      </w:r>
    </w:p>
    <w:p w14:paraId="5A4D0034" w14:textId="45DA4490" w:rsidR="00AE2B10" w:rsidRPr="00A4201C"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color w:val="000000" w:themeColor="text1"/>
          <w:sz w:val="20"/>
          <w:szCs w:val="20"/>
        </w:rPr>
      </w:pPr>
      <w:r>
        <w:rPr>
          <w:rFonts w:asciiTheme="majorHAnsi" w:hAnsiTheme="majorHAnsi"/>
          <w:sz w:val="20"/>
          <w:szCs w:val="20"/>
          <w:lang w:val="en"/>
        </w:rPr>
        <w:t>For its part, the State contends that this petition is inadmissible since the facts alleged do not constitute human rights violations. It affirms that the Civil Registry Office did not commit any illegal act because</w:t>
      </w:r>
      <w:r w:rsidR="003B29F6">
        <w:rPr>
          <w:rFonts w:asciiTheme="majorHAnsi" w:hAnsiTheme="majorHAnsi"/>
          <w:sz w:val="20"/>
          <w:szCs w:val="20"/>
          <w:lang w:val="en"/>
        </w:rPr>
        <w:t>,</w:t>
      </w:r>
      <w:r>
        <w:rPr>
          <w:rFonts w:asciiTheme="majorHAnsi" w:hAnsiTheme="majorHAnsi"/>
          <w:sz w:val="20"/>
          <w:szCs w:val="20"/>
          <w:lang w:val="en"/>
        </w:rPr>
        <w:t xml:space="preserve"> in refusing to amend the birth certificates of children D.G.B. and C.G.B., this body acted within its competencies and in conformity with the rules in force. In this regard, the State points out that the domestic legal framework does not allow for a person to be acknowledged by two mothers </w:t>
      </w:r>
      <w:r w:rsidR="003B29F6">
        <w:rPr>
          <w:rFonts w:asciiTheme="majorHAnsi" w:hAnsiTheme="majorHAnsi"/>
          <w:sz w:val="20"/>
          <w:szCs w:val="20"/>
          <w:lang w:val="en"/>
        </w:rPr>
        <w:t>because</w:t>
      </w:r>
      <w:r>
        <w:rPr>
          <w:rFonts w:asciiTheme="majorHAnsi" w:hAnsiTheme="majorHAnsi"/>
          <w:sz w:val="20"/>
          <w:szCs w:val="20"/>
          <w:lang w:val="en"/>
        </w:rPr>
        <w:t xml:space="preserve"> </w:t>
      </w:r>
      <w:r>
        <w:rPr>
          <w:rFonts w:asciiTheme="majorHAnsi" w:hAnsiTheme="majorHAnsi"/>
          <w:color w:val="000000" w:themeColor="text1"/>
          <w:sz w:val="20"/>
          <w:szCs w:val="20"/>
          <w:lang w:val="en"/>
        </w:rPr>
        <w:t>maternity is established by the act of birth, under article 31 No. 4 of Law No.</w:t>
      </w:r>
      <w:r>
        <w:rPr>
          <w:rFonts w:asciiTheme="majorHAnsi" w:hAnsiTheme="majorHAnsi"/>
          <w:color w:val="000000" w:themeColor="text1"/>
          <w:sz w:val="18"/>
          <w:szCs w:val="18"/>
          <w:lang w:val="en"/>
        </w:rPr>
        <w:t xml:space="preserve"> </w:t>
      </w:r>
      <w:r>
        <w:rPr>
          <w:rFonts w:asciiTheme="majorHAnsi" w:hAnsiTheme="majorHAnsi"/>
          <w:color w:val="000000" w:themeColor="text1"/>
          <w:sz w:val="20"/>
          <w:szCs w:val="20"/>
          <w:lang w:val="en"/>
        </w:rPr>
        <w:t xml:space="preserve">4.808 on the Civil Registry Office and article </w:t>
      </w:r>
      <w:r w:rsidR="003F6F5E">
        <w:rPr>
          <w:rFonts w:asciiTheme="majorHAnsi" w:hAnsiTheme="majorHAnsi"/>
          <w:color w:val="000000" w:themeColor="text1"/>
          <w:sz w:val="20"/>
          <w:szCs w:val="20"/>
          <w:lang w:val="en"/>
        </w:rPr>
        <w:t>113 1 and 5 of Decree-Law No. 2.</w:t>
      </w:r>
      <w:r>
        <w:rPr>
          <w:rFonts w:asciiTheme="majorHAnsi" w:hAnsiTheme="majorHAnsi"/>
          <w:color w:val="000000" w:themeColor="text1"/>
          <w:sz w:val="20"/>
          <w:szCs w:val="20"/>
          <w:lang w:val="en"/>
        </w:rPr>
        <w:t>128, by which the Organic Rules of the Civil Registry Service was approved.</w:t>
      </w:r>
      <w:r>
        <w:rPr>
          <w:rStyle w:val="FootnoteReference"/>
          <w:rFonts w:asciiTheme="majorHAnsi" w:hAnsiTheme="majorHAnsi"/>
          <w:color w:val="000000" w:themeColor="text1"/>
          <w:sz w:val="20"/>
          <w:szCs w:val="20"/>
          <w:lang w:val="en"/>
        </w:rPr>
        <w:footnoteReference w:id="9"/>
      </w:r>
      <w:r>
        <w:rPr>
          <w:rFonts w:asciiTheme="majorHAnsi" w:hAnsiTheme="majorHAnsi"/>
          <w:color w:val="000000" w:themeColor="text1"/>
          <w:sz w:val="20"/>
          <w:szCs w:val="20"/>
          <w:lang w:val="en"/>
        </w:rPr>
        <w:t xml:space="preserve"> </w:t>
      </w:r>
    </w:p>
    <w:p w14:paraId="570DC313" w14:textId="1ACE72AA" w:rsidR="00AE2B10" w:rsidRPr="00A4201C"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color w:val="000000" w:themeColor="text1"/>
          <w:sz w:val="20"/>
          <w:szCs w:val="20"/>
        </w:rPr>
      </w:pPr>
      <w:r>
        <w:rPr>
          <w:rFonts w:asciiTheme="majorHAnsi" w:hAnsiTheme="majorHAnsi"/>
          <w:color w:val="000000" w:themeColor="text1"/>
          <w:sz w:val="20"/>
          <w:szCs w:val="20"/>
          <w:lang w:val="en"/>
        </w:rPr>
        <w:t xml:space="preserve">The State emphasizes that the alleged victims had the opportunity to turn to the domestic courts to submit their claims, regarding which the authorities issued well-founded decisions following legal proceedings held with due judicial guarantees. Accordingly, </w:t>
      </w:r>
      <w:r>
        <w:rPr>
          <w:color w:val="000000" w:themeColor="text1"/>
          <w:sz w:val="20"/>
          <w:szCs w:val="20"/>
          <w:lang w:val="en"/>
        </w:rPr>
        <w:t xml:space="preserve">the State requests that the petition be declared inadmissible in accordance with Article 47 (b) of the American Convention, as the State considers that the petitioners </w:t>
      </w:r>
      <w:r w:rsidR="003B29F6">
        <w:rPr>
          <w:color w:val="000000" w:themeColor="text1"/>
          <w:sz w:val="20"/>
          <w:szCs w:val="20"/>
          <w:lang w:val="en"/>
        </w:rPr>
        <w:t>want</w:t>
      </w:r>
      <w:r>
        <w:rPr>
          <w:color w:val="000000" w:themeColor="text1"/>
          <w:sz w:val="20"/>
          <w:szCs w:val="20"/>
          <w:lang w:val="en"/>
        </w:rPr>
        <w:t xml:space="preserve"> that the Commission work as a court of appeals, in contravention of its subsidiary nature.</w:t>
      </w:r>
    </w:p>
    <w:p w14:paraId="4601973A" w14:textId="77777777" w:rsidR="00AE2B10" w:rsidRPr="00A4201C" w:rsidRDefault="00AE2B10" w:rsidP="003F6F5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ind w:left="0" w:firstLine="709"/>
        <w:jc w:val="both"/>
        <w:rPr>
          <w:rFonts w:asciiTheme="majorHAnsi" w:eastAsia="Times New Roman" w:hAnsiTheme="majorHAnsi" w:cs="Times New Roman"/>
          <w:sz w:val="20"/>
          <w:szCs w:val="20"/>
        </w:rPr>
      </w:pPr>
      <w:r>
        <w:rPr>
          <w:rFonts w:asciiTheme="majorHAnsi" w:hAnsiTheme="majorHAnsi"/>
          <w:b/>
          <w:bCs/>
          <w:sz w:val="20"/>
          <w:szCs w:val="20"/>
          <w:lang w:val="en"/>
        </w:rPr>
        <w:t>VI.</w:t>
      </w:r>
      <w:r>
        <w:rPr>
          <w:rFonts w:asciiTheme="majorHAnsi" w:hAnsiTheme="majorHAnsi"/>
          <w:b/>
          <w:bCs/>
          <w:sz w:val="20"/>
          <w:szCs w:val="20"/>
          <w:lang w:val="en"/>
        </w:rPr>
        <w:tab/>
        <w:t>ANALYSIS OF EXHAUSTION OF DOMESTIC REMEDIES AND TIMELINESS OF THE PETITION</w:t>
      </w:r>
    </w:p>
    <w:p w14:paraId="4613786B" w14:textId="77777777" w:rsidR="00AE2B10" w:rsidRPr="00983D42"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rPr>
      </w:pPr>
      <w:r>
        <w:rPr>
          <w:rFonts w:asciiTheme="majorHAnsi" w:hAnsiTheme="majorHAnsi"/>
          <w:sz w:val="20"/>
          <w:szCs w:val="20"/>
          <w:lang w:val="en"/>
        </w:rPr>
        <w:t xml:space="preserve">The petitioners argue that the alleged victims exhausted the domestic remedies with the resolution by the Supreme Court of Justice, of which they were notified on June 6, 2013. </w:t>
      </w:r>
      <w:r>
        <w:rPr>
          <w:sz w:val="20"/>
          <w:szCs w:val="20"/>
          <w:lang w:val="en"/>
        </w:rPr>
        <w:t xml:space="preserve">For its part, the State </w:t>
      </w:r>
      <w:r>
        <w:rPr>
          <w:sz w:val="20"/>
          <w:szCs w:val="20"/>
          <w:bdr w:val="none" w:sz="0" w:space="0" w:color="auto"/>
          <w:lang w:val="en"/>
        </w:rPr>
        <w:t xml:space="preserve">has not disputed the exhaustion of domestic remedies nor referred to the timeliness of the petition. Considering the above and the information on the record, the Commission concludes that this petition meets the requirement on the exhaustion of domestic remedies and timeliness outlined in Article 46.1(a) and (b) of the American Convention. </w:t>
      </w:r>
    </w:p>
    <w:p w14:paraId="73FF6D5F" w14:textId="77777777" w:rsidR="00AE2B10" w:rsidRPr="00983D42" w:rsidRDefault="00AE2B10" w:rsidP="00AE2B10">
      <w:pPr>
        <w:spacing w:before="240" w:after="240"/>
        <w:ind w:firstLine="709"/>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COMPETENCE AND COLORABLE CLAIM</w:t>
      </w:r>
      <w:r>
        <w:rPr>
          <w:rFonts w:asciiTheme="majorHAnsi" w:hAnsiTheme="majorHAnsi"/>
          <w:sz w:val="20"/>
          <w:szCs w:val="20"/>
          <w:lang w:val="en"/>
        </w:rPr>
        <w:t xml:space="preserve"> </w:t>
      </w:r>
    </w:p>
    <w:p w14:paraId="2913C0D0" w14:textId="63B60529" w:rsidR="00AE2B10" w:rsidRPr="00D33AC3"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rPr>
      </w:pPr>
      <w:r>
        <w:rPr>
          <w:rFonts w:asciiTheme="majorHAnsi" w:hAnsiTheme="majorHAnsi"/>
          <w:sz w:val="20"/>
          <w:szCs w:val="20"/>
          <w:lang w:val="en"/>
        </w:rPr>
        <w:t xml:space="preserve">The IACHR deems that the allegations of a purported act of discrimination </w:t>
      </w:r>
      <w:r w:rsidR="003B29F6">
        <w:rPr>
          <w:rFonts w:asciiTheme="majorHAnsi" w:hAnsiTheme="majorHAnsi"/>
          <w:sz w:val="20"/>
          <w:szCs w:val="20"/>
          <w:lang w:val="en"/>
        </w:rPr>
        <w:t>based on</w:t>
      </w:r>
      <w:r>
        <w:rPr>
          <w:rFonts w:asciiTheme="majorHAnsi" w:hAnsiTheme="majorHAnsi"/>
          <w:sz w:val="20"/>
          <w:szCs w:val="20"/>
          <w:lang w:val="en"/>
        </w:rPr>
        <w:t xml:space="preserve"> gender and sexual orientation, given the non-recognition of the filial relationship between </w:t>
      </w:r>
      <w:r w:rsidR="003B29F6">
        <w:rPr>
          <w:rFonts w:asciiTheme="majorHAnsi" w:hAnsiTheme="majorHAnsi"/>
          <w:sz w:val="20"/>
          <w:szCs w:val="20"/>
          <w:lang w:val="en"/>
        </w:rPr>
        <w:t xml:space="preserve">the </w:t>
      </w:r>
      <w:r>
        <w:rPr>
          <w:rFonts w:asciiTheme="majorHAnsi" w:hAnsiTheme="majorHAnsi"/>
          <w:sz w:val="20"/>
          <w:szCs w:val="20"/>
          <w:lang w:val="en"/>
        </w:rPr>
        <w:t>mothers and their children conceived through assisted procreation, are not manifestly groundless and</w:t>
      </w:r>
      <w:r w:rsidR="003B29F6">
        <w:rPr>
          <w:rFonts w:asciiTheme="majorHAnsi" w:hAnsiTheme="majorHAnsi"/>
          <w:sz w:val="20"/>
          <w:szCs w:val="20"/>
          <w:lang w:val="en"/>
        </w:rPr>
        <w:t xml:space="preserve"> that</w:t>
      </w:r>
      <w:r>
        <w:rPr>
          <w:rFonts w:asciiTheme="majorHAnsi" w:hAnsiTheme="majorHAnsi"/>
          <w:sz w:val="20"/>
          <w:szCs w:val="20"/>
          <w:lang w:val="en"/>
        </w:rPr>
        <w:t>, on the contrary,</w:t>
      </w:r>
      <w:r w:rsidR="003B29F6">
        <w:rPr>
          <w:rFonts w:asciiTheme="majorHAnsi" w:hAnsiTheme="majorHAnsi"/>
          <w:sz w:val="20"/>
          <w:szCs w:val="20"/>
          <w:lang w:val="en"/>
        </w:rPr>
        <w:t xml:space="preserve"> they</w:t>
      </w:r>
      <w:r>
        <w:rPr>
          <w:rFonts w:asciiTheme="majorHAnsi" w:hAnsiTheme="majorHAnsi"/>
          <w:sz w:val="20"/>
          <w:szCs w:val="20"/>
          <w:lang w:val="en"/>
        </w:rPr>
        <w:t xml:space="preserve"> represent issues that require an analysis on the merits given their complex legal nature. Therefore, the IACHR considers that, if proved to be true, the allegations may establish violations of Articles 3 (right to juridical personality), 8 (right to a fair trial), 11 (right to privacy), 17 (</w:t>
      </w:r>
      <w:r w:rsidR="006552C4">
        <w:rPr>
          <w:rFonts w:asciiTheme="majorHAnsi" w:hAnsiTheme="majorHAnsi"/>
          <w:sz w:val="20"/>
          <w:szCs w:val="20"/>
          <w:lang w:val="en"/>
        </w:rPr>
        <w:t>rights</w:t>
      </w:r>
      <w:r>
        <w:rPr>
          <w:rFonts w:asciiTheme="majorHAnsi" w:hAnsiTheme="majorHAnsi"/>
          <w:sz w:val="20"/>
          <w:szCs w:val="20"/>
          <w:lang w:val="en"/>
        </w:rPr>
        <w:t xml:space="preserve"> of the family), 19 (rights of the child), 24 (right to equal protection), and 25 (judicial protection) of the American Convention, in connection with Articles 1.1 (obligation to respect rights) and 2 (domestic legal effects) thereof, to the detriment of Ms. Benado and Ms. Gallo and their children, D.G.B. and C.G.B. </w:t>
      </w:r>
    </w:p>
    <w:p w14:paraId="4C01E856" w14:textId="77777777" w:rsidR="00D33AC3" w:rsidRPr="00983D42" w:rsidRDefault="00D33AC3" w:rsidP="00D33AC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709"/>
        <w:jc w:val="both"/>
        <w:rPr>
          <w:rFonts w:asciiTheme="majorHAnsi" w:eastAsia="Arial Unicode MS" w:hAnsiTheme="majorHAnsi" w:cs="Times Roman"/>
          <w:sz w:val="20"/>
          <w:szCs w:val="20"/>
        </w:rPr>
      </w:pPr>
    </w:p>
    <w:p w14:paraId="75D8A33B" w14:textId="39C5DAE7" w:rsidR="00AE2B10" w:rsidRPr="00983D42"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rPr>
      </w:pPr>
      <w:r>
        <w:rPr>
          <w:rFonts w:asciiTheme="majorHAnsi" w:hAnsiTheme="majorHAnsi"/>
          <w:sz w:val="20"/>
          <w:szCs w:val="20"/>
          <w:lang w:val="en"/>
        </w:rPr>
        <w:lastRenderedPageBreak/>
        <w:t xml:space="preserve">As for the alleged violation of Article 5 (right to humane treatment) of the American Convention, the Commission believes that the petitioners have not presented claims or evidence that allow it to determine, </w:t>
      </w:r>
      <w:r>
        <w:rPr>
          <w:rFonts w:asciiTheme="majorHAnsi" w:hAnsiTheme="majorHAnsi"/>
          <w:i/>
          <w:iCs/>
          <w:sz w:val="20"/>
          <w:szCs w:val="20"/>
          <w:lang w:val="en"/>
        </w:rPr>
        <w:t>prima facie</w:t>
      </w:r>
      <w:r>
        <w:rPr>
          <w:rFonts w:asciiTheme="majorHAnsi" w:hAnsiTheme="majorHAnsi"/>
          <w:sz w:val="20"/>
          <w:szCs w:val="20"/>
          <w:lang w:val="en"/>
        </w:rPr>
        <w:t>, a possible violation.</w:t>
      </w:r>
    </w:p>
    <w:p w14:paraId="12FB0D11" w14:textId="77777777" w:rsidR="00AE2B10" w:rsidRPr="00983D42" w:rsidRDefault="00AE2B10" w:rsidP="00AE2B10">
      <w:pPr>
        <w:pStyle w:val="ListParagraph"/>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rPr>
      </w:pPr>
      <w:r>
        <w:rPr>
          <w:rFonts w:asciiTheme="majorHAnsi" w:hAnsiTheme="majorHAnsi"/>
          <w:sz w:val="20"/>
          <w:szCs w:val="20"/>
          <w:lang w:val="en"/>
        </w:rPr>
        <w:t>Regarding the State’s claim about the fourth-instance formula, the Commission reiterates that, under its mandate, the IACHR is competent to declare a petition admissible when this concerns domestic proceedings that may be contrary to the rights protected by the American Convention.</w:t>
      </w:r>
    </w:p>
    <w:p w14:paraId="4430F7C1" w14:textId="77777777" w:rsidR="00AE2B10" w:rsidRPr="00235D93" w:rsidRDefault="00AE2B10" w:rsidP="00AE2B10">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259D71E5" w14:textId="53422376" w:rsidR="00AE2B10" w:rsidRPr="00C54D62" w:rsidRDefault="00AE2B10" w:rsidP="00AE2B1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this petition admissible regarding Articles 3, 8, 11, 17, 19, 24, </w:t>
      </w:r>
      <w:r w:rsidR="007E35CE">
        <w:rPr>
          <w:rFonts w:asciiTheme="majorHAnsi" w:hAnsiTheme="majorHAnsi"/>
          <w:sz w:val="20"/>
          <w:szCs w:val="20"/>
          <w:lang w:val="en"/>
        </w:rPr>
        <w:t>and 25</w:t>
      </w:r>
      <w:r>
        <w:rPr>
          <w:rFonts w:asciiTheme="majorHAnsi" w:hAnsiTheme="majorHAnsi"/>
          <w:sz w:val="20"/>
          <w:szCs w:val="20"/>
          <w:lang w:val="en"/>
        </w:rPr>
        <w:t xml:space="preserve"> of the American Convention on Human Rights, in connection with Articles 1.1 and 2 thereof; </w:t>
      </w:r>
    </w:p>
    <w:p w14:paraId="24271C4F" w14:textId="2C995AB9" w:rsidR="00AE2B10" w:rsidRPr="00A4201C" w:rsidRDefault="00AE2B10" w:rsidP="00AE2B10">
      <w:pPr>
        <w:pStyle w:val="ListParagraph"/>
        <w:numPr>
          <w:ilvl w:val="0"/>
          <w:numId w:val="105"/>
        </w:numPr>
        <w:jc w:val="both"/>
        <w:rPr>
          <w:rFonts w:asciiTheme="majorHAnsi" w:eastAsia="Arial Unicode MS" w:hAnsiTheme="majorHAnsi" w:cs="Times New Roman"/>
          <w:color w:val="auto"/>
          <w:sz w:val="20"/>
          <w:szCs w:val="20"/>
        </w:rPr>
      </w:pPr>
      <w:r>
        <w:rPr>
          <w:rFonts w:asciiTheme="majorHAnsi" w:hAnsiTheme="majorHAnsi"/>
          <w:color w:val="auto"/>
          <w:sz w:val="20"/>
          <w:szCs w:val="20"/>
          <w:lang w:val="en"/>
        </w:rPr>
        <w:t xml:space="preserve">To declare this petition inadmissible regarding Article 5 </w:t>
      </w:r>
      <w:r>
        <w:rPr>
          <w:rFonts w:asciiTheme="majorHAnsi" w:hAnsiTheme="majorHAnsi"/>
          <w:sz w:val="20"/>
          <w:szCs w:val="20"/>
          <w:lang w:val="en"/>
        </w:rPr>
        <w:t>of the American Convention</w:t>
      </w:r>
      <w:r>
        <w:rPr>
          <w:rFonts w:asciiTheme="majorHAnsi" w:hAnsiTheme="majorHAnsi"/>
          <w:color w:val="auto"/>
          <w:sz w:val="20"/>
          <w:szCs w:val="20"/>
          <w:lang w:val="en"/>
        </w:rPr>
        <w:t>; and</w:t>
      </w:r>
    </w:p>
    <w:p w14:paraId="0B75CC6F" w14:textId="77777777" w:rsidR="00AE2B10" w:rsidRPr="009621B1" w:rsidRDefault="00AE2B10" w:rsidP="00AE2B10">
      <w:pPr>
        <w:pStyle w:val="ListParagraph"/>
        <w:jc w:val="both"/>
        <w:rPr>
          <w:rFonts w:asciiTheme="majorHAnsi" w:eastAsia="Arial Unicode MS" w:hAnsiTheme="majorHAnsi" w:cs="Times New Roman"/>
          <w:color w:val="auto"/>
          <w:sz w:val="20"/>
          <w:szCs w:val="20"/>
        </w:rPr>
      </w:pPr>
    </w:p>
    <w:p w14:paraId="4130679C" w14:textId="17824418" w:rsidR="00AE2B10" w:rsidRPr="00235D93" w:rsidRDefault="00AE2B10" w:rsidP="00AE2B1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rPr>
      </w:pPr>
      <w:r>
        <w:rPr>
          <w:rFonts w:asciiTheme="majorHAnsi" w:hAnsiTheme="majorHAnsi"/>
          <w:sz w:val="20"/>
          <w:szCs w:val="20"/>
          <w:lang w:val="en"/>
        </w:rPr>
        <w:t xml:space="preserve">To notify the parties of this decision; to continue with the analysis on the merits, and to publish this decision and include it in its Annual Report to the General Assembly of the Organization of American States. </w:t>
      </w:r>
    </w:p>
    <w:p w14:paraId="0E183FF0" w14:textId="31BCCD3B" w:rsidR="00D848A4" w:rsidRDefault="00D848A4" w:rsidP="00D848A4">
      <w:pPr>
        <w:suppressAutoHyphens/>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29</w:t>
      </w:r>
      <w:r w:rsidRPr="00D848A4">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April,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00063613" w:rsidRPr="00063613">
        <w:rPr>
          <w:rFonts w:asciiTheme="majorHAnsi" w:hAnsiTheme="majorHAnsi" w:cs="Arial"/>
          <w:noProof/>
          <w:spacing w:val="-2"/>
          <w:sz w:val="20"/>
          <w:szCs w:val="20"/>
        </w:rPr>
        <w:t>dissenting opinion</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535F5BF9" w14:textId="63DEAF26" w:rsidR="003053BF" w:rsidRPr="003053BF" w:rsidRDefault="003053BF" w:rsidP="00AE2B1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9C9191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13931" w14:textId="77777777" w:rsidR="00E2541C" w:rsidRDefault="00E2541C" w:rsidP="00036A8A">
      <w:r>
        <w:separator/>
      </w:r>
    </w:p>
  </w:endnote>
  <w:endnote w:type="continuationSeparator" w:id="0">
    <w:p w14:paraId="57D84C48" w14:textId="77777777" w:rsidR="00E2541C" w:rsidRDefault="00E2541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2840" w14:textId="77777777" w:rsidR="00DF533E" w:rsidRDefault="00DF5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3F6F5E" w:rsidRPr="006311DA" w:rsidRDefault="003F6F5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F533E">
          <w:rPr>
            <w:noProof/>
            <w:sz w:val="16"/>
          </w:rPr>
          <w:t>3</w:t>
        </w:r>
        <w:r w:rsidRPr="006311DA">
          <w:rPr>
            <w:noProof/>
            <w:sz w:val="16"/>
          </w:rPr>
          <w:fldChar w:fldCharType="end"/>
        </w:r>
      </w:p>
    </w:sdtContent>
  </w:sdt>
  <w:p w14:paraId="2D483621" w14:textId="77777777" w:rsidR="003F6F5E" w:rsidRDefault="003F6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3F6F5E" w:rsidRDefault="003F6F5E">
    <w:pPr>
      <w:pStyle w:val="Footer"/>
      <w:jc w:val="center"/>
    </w:pPr>
  </w:p>
  <w:p w14:paraId="1AB4180C" w14:textId="77777777" w:rsidR="003F6F5E" w:rsidRDefault="003F6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5F654" w14:textId="77777777" w:rsidR="00E2541C" w:rsidRPr="00036A8A" w:rsidRDefault="00E2541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2072C80" w14:textId="77777777" w:rsidR="00E2541C" w:rsidRPr="00036A8A" w:rsidRDefault="00E2541C" w:rsidP="00036A8A">
      <w:pPr>
        <w:rPr>
          <w:rFonts w:asciiTheme="majorHAnsi" w:hAnsiTheme="majorHAnsi"/>
          <w:sz w:val="16"/>
          <w:szCs w:val="16"/>
        </w:rPr>
      </w:pPr>
      <w:r w:rsidRPr="00036A8A">
        <w:rPr>
          <w:rFonts w:asciiTheme="majorHAnsi" w:hAnsiTheme="majorHAnsi"/>
          <w:sz w:val="16"/>
          <w:szCs w:val="16"/>
        </w:rPr>
        <w:separator/>
      </w:r>
    </w:p>
    <w:p w14:paraId="48431785" w14:textId="77777777" w:rsidR="00E2541C" w:rsidRPr="00036A8A" w:rsidRDefault="00E2541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2FA1431" w14:textId="77777777" w:rsidR="00E2541C" w:rsidRPr="0093441A" w:rsidRDefault="00E2541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11BEB27" w14:textId="3083E3EE" w:rsidR="003F6F5E" w:rsidRPr="00AD477F" w:rsidRDefault="003F6F5E" w:rsidP="00376D1F">
      <w:pPr>
        <w:pStyle w:val="FootnoteText"/>
        <w:ind w:firstLine="709"/>
        <w:jc w:val="both"/>
        <w:rPr>
          <w:rFonts w:asciiTheme="majorHAnsi" w:hAnsiTheme="majorHAnsi"/>
          <w:sz w:val="16"/>
          <w:szCs w:val="16"/>
        </w:rPr>
      </w:pPr>
      <w:r w:rsidRPr="00AD477F">
        <w:rPr>
          <w:rStyle w:val="FootnoteReference"/>
          <w:rFonts w:asciiTheme="majorHAnsi" w:hAnsiTheme="majorHAnsi"/>
          <w:sz w:val="16"/>
          <w:szCs w:val="16"/>
        </w:rPr>
        <w:footnoteRef/>
      </w:r>
      <w:r w:rsidRPr="00AD477F">
        <w:rPr>
          <w:rFonts w:asciiTheme="majorHAnsi" w:hAnsiTheme="majorHAnsi"/>
          <w:sz w:val="16"/>
          <w:szCs w:val="16"/>
        </w:rPr>
        <w:t xml:space="preserve"> </w:t>
      </w:r>
      <w:r>
        <w:rPr>
          <w:rFonts w:asciiTheme="majorHAnsi" w:hAnsiTheme="majorHAnsi"/>
          <w:sz w:val="16"/>
          <w:szCs w:val="16"/>
        </w:rPr>
        <w:t>The petition refers to</w:t>
      </w:r>
      <w:r w:rsidRPr="00AD477F">
        <w:rPr>
          <w:rFonts w:asciiTheme="majorHAnsi" w:hAnsiTheme="majorHAnsi"/>
          <w:sz w:val="16"/>
          <w:szCs w:val="16"/>
        </w:rPr>
        <w:t xml:space="preserve"> D.G.B. and L.G.B. as alleged victims </w:t>
      </w:r>
      <w:r>
        <w:rPr>
          <w:rFonts w:asciiTheme="majorHAnsi" w:hAnsiTheme="majorHAnsi"/>
          <w:sz w:val="16"/>
          <w:szCs w:val="16"/>
        </w:rPr>
        <w:t>with</w:t>
      </w:r>
      <w:r w:rsidRPr="00AD477F">
        <w:rPr>
          <w:rFonts w:asciiTheme="majorHAnsi" w:hAnsiTheme="majorHAnsi"/>
          <w:sz w:val="16"/>
          <w:szCs w:val="16"/>
        </w:rPr>
        <w:t xml:space="preserve"> confidential</w:t>
      </w:r>
      <w:r>
        <w:rPr>
          <w:rFonts w:asciiTheme="majorHAnsi" w:hAnsiTheme="majorHAnsi"/>
          <w:sz w:val="16"/>
          <w:szCs w:val="16"/>
        </w:rPr>
        <w:t xml:space="preserve"> identity</w:t>
      </w:r>
      <w:r w:rsidRPr="00AD477F">
        <w:rPr>
          <w:rFonts w:asciiTheme="majorHAnsi" w:hAnsiTheme="majorHAnsi"/>
          <w:sz w:val="16"/>
          <w:szCs w:val="16"/>
        </w:rPr>
        <w:t xml:space="preserve"> because </w:t>
      </w:r>
      <w:r>
        <w:rPr>
          <w:rFonts w:asciiTheme="majorHAnsi" w:hAnsiTheme="majorHAnsi"/>
          <w:sz w:val="16"/>
          <w:szCs w:val="16"/>
        </w:rPr>
        <w:t>of their minority of age</w:t>
      </w:r>
      <w:r w:rsidRPr="00AD477F">
        <w:rPr>
          <w:rFonts w:asciiTheme="majorHAnsi" w:hAnsiTheme="majorHAnsi"/>
          <w:sz w:val="16"/>
          <w:szCs w:val="16"/>
        </w:rPr>
        <w:t>.</w:t>
      </w:r>
    </w:p>
  </w:footnote>
  <w:footnote w:id="3">
    <w:p w14:paraId="7E215223" w14:textId="3FD8B1BD" w:rsidR="003F6F5E" w:rsidRPr="00AD477F" w:rsidRDefault="003F6F5E" w:rsidP="00376D1F">
      <w:pPr>
        <w:pStyle w:val="FootnoteText"/>
        <w:ind w:firstLine="709"/>
        <w:jc w:val="both"/>
        <w:rPr>
          <w:rFonts w:asciiTheme="majorHAnsi" w:hAnsiTheme="majorHAnsi"/>
          <w:sz w:val="16"/>
          <w:szCs w:val="16"/>
        </w:rPr>
      </w:pPr>
      <w:r w:rsidRPr="00AD477F">
        <w:rPr>
          <w:rStyle w:val="FootnoteReference"/>
          <w:rFonts w:asciiTheme="majorHAnsi" w:hAnsiTheme="majorHAnsi"/>
          <w:sz w:val="16"/>
          <w:szCs w:val="16"/>
        </w:rPr>
        <w:footnoteRef/>
      </w:r>
      <w:r w:rsidRPr="00AD477F">
        <w:rPr>
          <w:rFonts w:asciiTheme="majorHAnsi" w:hAnsiTheme="majorHAnsi"/>
          <w:sz w:val="16"/>
          <w:szCs w:val="16"/>
        </w:rPr>
        <w:t xml:space="preserve"> Under the provision of Article 17.2.a of the IACHR Rules of Procedure, Commissioner Antonia Urrejola Noguera, a Chilean national, did not participate in the discussion or the decision on this matter.</w:t>
      </w:r>
    </w:p>
  </w:footnote>
  <w:footnote w:id="4">
    <w:p w14:paraId="6660A3C4" w14:textId="20736FD8" w:rsidR="003F6F5E" w:rsidRPr="00AD477F" w:rsidRDefault="003F6F5E" w:rsidP="00376D1F">
      <w:pPr>
        <w:pStyle w:val="FootnoteText"/>
        <w:ind w:firstLine="709"/>
        <w:jc w:val="both"/>
        <w:rPr>
          <w:rFonts w:asciiTheme="majorHAnsi" w:hAnsiTheme="majorHAnsi"/>
          <w:sz w:val="16"/>
          <w:szCs w:val="16"/>
        </w:rPr>
      </w:pPr>
      <w:r w:rsidRPr="00AD477F">
        <w:rPr>
          <w:rStyle w:val="FootnoteReference"/>
          <w:rFonts w:asciiTheme="majorHAnsi" w:hAnsiTheme="majorHAnsi"/>
          <w:sz w:val="16"/>
          <w:szCs w:val="16"/>
        </w:rPr>
        <w:footnoteRef/>
      </w:r>
      <w:r w:rsidRPr="00AD477F">
        <w:rPr>
          <w:rFonts w:asciiTheme="majorHAnsi" w:hAnsiTheme="majorHAnsi"/>
          <w:sz w:val="16"/>
          <w:szCs w:val="16"/>
        </w:rPr>
        <w:t xml:space="preserve"> Hereinafter “the Convention” or “the American Convention.”</w:t>
      </w:r>
    </w:p>
  </w:footnote>
  <w:footnote w:id="5">
    <w:p w14:paraId="55774E34" w14:textId="77777777" w:rsidR="003F6F5E" w:rsidRPr="00AD477F" w:rsidRDefault="003F6F5E" w:rsidP="00376D1F">
      <w:pPr>
        <w:pStyle w:val="FootnoteText"/>
        <w:ind w:firstLine="709"/>
        <w:jc w:val="both"/>
        <w:rPr>
          <w:rFonts w:asciiTheme="majorHAnsi" w:hAnsiTheme="majorHAnsi"/>
          <w:sz w:val="16"/>
          <w:szCs w:val="16"/>
        </w:rPr>
      </w:pPr>
      <w:r w:rsidRPr="00AD477F">
        <w:rPr>
          <w:rStyle w:val="FootnoteReference"/>
          <w:rFonts w:asciiTheme="majorHAnsi" w:hAnsiTheme="majorHAnsi"/>
          <w:sz w:val="16"/>
          <w:szCs w:val="16"/>
        </w:rPr>
        <w:footnoteRef/>
      </w:r>
      <w:r w:rsidRPr="00AD477F">
        <w:rPr>
          <w:rFonts w:asciiTheme="majorHAnsi" w:hAnsiTheme="majorHAnsi"/>
          <w:sz w:val="16"/>
          <w:szCs w:val="16"/>
        </w:rPr>
        <w:t xml:space="preserve"> The observations submitted by each party were duly transmitted to the opposing party.</w:t>
      </w:r>
    </w:p>
  </w:footnote>
  <w:footnote w:id="6">
    <w:p w14:paraId="7903A8BB" w14:textId="6D8496AB" w:rsidR="003F6F5E" w:rsidRPr="000A63A1" w:rsidRDefault="003F6F5E" w:rsidP="00376D1F">
      <w:pPr>
        <w:widowControl w:val="0"/>
        <w:autoSpaceDE w:val="0"/>
        <w:autoSpaceDN w:val="0"/>
        <w:adjustRightInd w:val="0"/>
        <w:ind w:firstLine="720"/>
        <w:jc w:val="both"/>
        <w:rPr>
          <w:rFonts w:ascii="Cambria" w:hAnsi="Cambria" w:cs="Times Roman"/>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182: The father and the mother of a child conceived by the application of assisted reproductive procedures are the man and the woman that undergo such treatment. Filiation established by the preceding rule cannot be disproved or replaced by another form of filiation. Article 186: Non-marital filiation shall be legally determined by the father’s, the mother’s, or both parents’ acknowledgement or the final resolution in filiation proceedings.” Article 187: A child shall be acknowledged through a declaration made for this specific purpose by the father, the mother, or both, as appropriate: (1) before the clerk of the Civil Registry Office when the birth of the child </w:t>
      </w:r>
      <w:r>
        <w:rPr>
          <w:rFonts w:ascii="Cambria" w:hAnsi="Cambria"/>
          <w:sz w:val="16"/>
          <w:szCs w:val="16"/>
          <w:lang w:val="en"/>
        </w:rPr>
        <w:t xml:space="preserve">is being registered or at the civil marriage ceremony of the parents; (2) in a record submitted at any time, before any clerk of the Civil Registry Office; (3) through a public deed; (4) in a will. When it is only one of the parents that acknowledges the child, mention of the other parent will not be compulsory. The acknowledgement that is not on the birth certificate of the child shall be written in the margin thereof. </w:t>
      </w:r>
    </w:p>
  </w:footnote>
  <w:footnote w:id="7">
    <w:p w14:paraId="1C6CFEB4" w14:textId="77777777" w:rsidR="003F6F5E" w:rsidRPr="000A63A1" w:rsidRDefault="003F6F5E" w:rsidP="00376D1F">
      <w:pPr>
        <w:pStyle w:val="FootnoteText"/>
        <w:ind w:firstLine="720"/>
        <w:jc w:val="both"/>
      </w:pPr>
      <w:r>
        <w:rPr>
          <w:rStyle w:val="FootnoteReference"/>
          <w:rFonts w:ascii="Cambria" w:hAnsi="Cambria"/>
          <w:sz w:val="16"/>
          <w:szCs w:val="16"/>
          <w:lang w:val="en"/>
        </w:rPr>
        <w:footnoteRef/>
      </w:r>
      <w:r>
        <w:rPr>
          <w:rFonts w:ascii="Cambria" w:hAnsi="Cambria"/>
          <w:sz w:val="16"/>
          <w:szCs w:val="16"/>
          <w:lang w:val="en"/>
        </w:rPr>
        <w:t xml:space="preserve"> Organic Code of Courts. Article 97. Judgments issued by the Supreme Court in </w:t>
      </w:r>
      <w:r>
        <w:rPr>
          <w:rFonts w:ascii="Cambria" w:hAnsi="Cambria"/>
          <w:color w:val="000000" w:themeColor="text1"/>
          <w:sz w:val="16"/>
          <w:szCs w:val="16"/>
          <w:lang w:val="en"/>
        </w:rPr>
        <w:t>appeals on procedural or substantive grounds, for nullification in criminal matters, against refusal to accept appeal, for protection, for constitutional protection, and for rehearing of final decision are not subject to any appeal whatsoever, except for decisions in appeals for clarification, correction, or amendment as established in Article 182 of the Code of Civil Procedure. Appeals for the rehearing or review of the decisions referred to above shall be declared inadmissible and rejected flatly by the President of the Court, unless rehearing under articles 778, 781, and 782 of the Code of Civil Procedure is involved.</w:t>
      </w:r>
    </w:p>
  </w:footnote>
  <w:footnote w:id="8">
    <w:p w14:paraId="1C74011B" w14:textId="77777777" w:rsidR="003F6F5E" w:rsidRPr="00820240" w:rsidRDefault="003F6F5E" w:rsidP="00376D1F">
      <w:pPr>
        <w:widowControl w:val="0"/>
        <w:autoSpaceDE w:val="0"/>
        <w:autoSpaceDN w:val="0"/>
        <w:adjustRightInd w:val="0"/>
        <w:ind w:firstLine="720"/>
        <w:jc w:val="both"/>
        <w:rPr>
          <w:rFonts w:asciiTheme="majorHAnsi" w:hAnsiTheme="majorHAnsi" w:cs="Times Roman"/>
          <w:color w:val="000000"/>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color w:val="000000"/>
          <w:sz w:val="16"/>
          <w:szCs w:val="16"/>
          <w:lang w:val="en"/>
        </w:rPr>
        <w:t xml:space="preserve">A bill to regulate the filiation right of sons and daughters of same-sex parents, parliamentary motion submitted by senators Isabel Allende Bussi, Alfonso de Urresti Longton, Felipe Harboe Bascuñán, Ricardo Lagos Weber, and Adriana Muñoz D’Albora; April 22, 2016; Legislative Gazette No. 10.626-07. </w:t>
      </w:r>
    </w:p>
  </w:footnote>
  <w:footnote w:id="9">
    <w:p w14:paraId="295B27C0" w14:textId="77777777" w:rsidR="003F6F5E" w:rsidRPr="00820240" w:rsidRDefault="003F6F5E" w:rsidP="00376D1F">
      <w:pPr>
        <w:pStyle w:val="FootnoteText"/>
        <w:ind w:firstLine="720"/>
        <w:jc w:val="both"/>
        <w:rPr>
          <w:rFonts w:asciiTheme="majorHAnsi" w:hAnsiTheme="majorHAnsi"/>
          <w:sz w:val="16"/>
          <w:szCs w:val="16"/>
        </w:rPr>
      </w:pPr>
      <w:r>
        <w:rPr>
          <w:lang w:val="en"/>
        </w:rPr>
        <w:t xml:space="preserve"> </w:t>
      </w: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113. The following persons are required to file a declaration of birth: (1) The father, if he is known and can do this; and (5) the mother, as soon as she can make this declaration.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3F6F5E" w:rsidRDefault="003F6F5E" w:rsidP="003F6F5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3F6F5E" w:rsidRDefault="003F6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3F6F5E" w:rsidRDefault="003F6F5E"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3F6F5E" w:rsidRPr="00EC7D62" w:rsidRDefault="00E2541C"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E8AD" w14:textId="77777777" w:rsidR="00DF533E" w:rsidRDefault="00DF5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jQxtDQ1MjcwMDFR0lEKTi0uzszPAykwqgUA7YFbCywAAAA="/>
  </w:docVars>
  <w:rsids>
    <w:rsidRoot w:val="006B2D5C"/>
    <w:rsid w:val="0000036F"/>
    <w:rsid w:val="00000CDA"/>
    <w:rsid w:val="00001756"/>
    <w:rsid w:val="000070D7"/>
    <w:rsid w:val="000111A8"/>
    <w:rsid w:val="0001788C"/>
    <w:rsid w:val="00022CF5"/>
    <w:rsid w:val="00036A8A"/>
    <w:rsid w:val="00037DD4"/>
    <w:rsid w:val="00040C3A"/>
    <w:rsid w:val="000460CA"/>
    <w:rsid w:val="00063613"/>
    <w:rsid w:val="000639C0"/>
    <w:rsid w:val="00070F3A"/>
    <w:rsid w:val="000716C5"/>
    <w:rsid w:val="00075E23"/>
    <w:rsid w:val="00092F32"/>
    <w:rsid w:val="0009344A"/>
    <w:rsid w:val="000A575F"/>
    <w:rsid w:val="000B18D3"/>
    <w:rsid w:val="000C4365"/>
    <w:rsid w:val="000C6946"/>
    <w:rsid w:val="000D10DB"/>
    <w:rsid w:val="000D13B8"/>
    <w:rsid w:val="000F326B"/>
    <w:rsid w:val="00113A4F"/>
    <w:rsid w:val="00115F41"/>
    <w:rsid w:val="0012124B"/>
    <w:rsid w:val="00124116"/>
    <w:rsid w:val="00126316"/>
    <w:rsid w:val="00126E08"/>
    <w:rsid w:val="0013104F"/>
    <w:rsid w:val="00137EBA"/>
    <w:rsid w:val="00145EDC"/>
    <w:rsid w:val="00153084"/>
    <w:rsid w:val="00167A34"/>
    <w:rsid w:val="001714B4"/>
    <w:rsid w:val="0018037F"/>
    <w:rsid w:val="00193D82"/>
    <w:rsid w:val="001A5F27"/>
    <w:rsid w:val="001A65E4"/>
    <w:rsid w:val="001A7870"/>
    <w:rsid w:val="001C1B41"/>
    <w:rsid w:val="001D3804"/>
    <w:rsid w:val="001E366B"/>
    <w:rsid w:val="001F1902"/>
    <w:rsid w:val="002043E0"/>
    <w:rsid w:val="00210E0E"/>
    <w:rsid w:val="00210F4B"/>
    <w:rsid w:val="0022721E"/>
    <w:rsid w:val="00230163"/>
    <w:rsid w:val="0023127D"/>
    <w:rsid w:val="0023351C"/>
    <w:rsid w:val="002401AD"/>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D7EA2"/>
    <w:rsid w:val="002E15DF"/>
    <w:rsid w:val="002E187C"/>
    <w:rsid w:val="002E6E57"/>
    <w:rsid w:val="002F2697"/>
    <w:rsid w:val="00301075"/>
    <w:rsid w:val="00302733"/>
    <w:rsid w:val="003053BF"/>
    <w:rsid w:val="00306265"/>
    <w:rsid w:val="00311A4F"/>
    <w:rsid w:val="00314078"/>
    <w:rsid w:val="00315387"/>
    <w:rsid w:val="00321AFD"/>
    <w:rsid w:val="00322450"/>
    <w:rsid w:val="003246B5"/>
    <w:rsid w:val="0033169F"/>
    <w:rsid w:val="003414AC"/>
    <w:rsid w:val="00356185"/>
    <w:rsid w:val="00360380"/>
    <w:rsid w:val="00373516"/>
    <w:rsid w:val="00376D1F"/>
    <w:rsid w:val="003771A3"/>
    <w:rsid w:val="003839E8"/>
    <w:rsid w:val="00386CF0"/>
    <w:rsid w:val="003A4348"/>
    <w:rsid w:val="003A5566"/>
    <w:rsid w:val="003B29F6"/>
    <w:rsid w:val="003C32BC"/>
    <w:rsid w:val="003D1E33"/>
    <w:rsid w:val="003D6EE0"/>
    <w:rsid w:val="003E1CF5"/>
    <w:rsid w:val="003E3E03"/>
    <w:rsid w:val="003F1BBF"/>
    <w:rsid w:val="003F6F5E"/>
    <w:rsid w:val="004162B1"/>
    <w:rsid w:val="004165C2"/>
    <w:rsid w:val="00433117"/>
    <w:rsid w:val="0043489C"/>
    <w:rsid w:val="004434A5"/>
    <w:rsid w:val="00450A4A"/>
    <w:rsid w:val="00455465"/>
    <w:rsid w:val="004666FB"/>
    <w:rsid w:val="00466CAD"/>
    <w:rsid w:val="00466D0B"/>
    <w:rsid w:val="00467B7E"/>
    <w:rsid w:val="0049419D"/>
    <w:rsid w:val="004A7BA7"/>
    <w:rsid w:val="004B2762"/>
    <w:rsid w:val="004B7EB6"/>
    <w:rsid w:val="004C41DE"/>
    <w:rsid w:val="004C4B62"/>
    <w:rsid w:val="004D6025"/>
    <w:rsid w:val="004D72BC"/>
    <w:rsid w:val="004E2F2B"/>
    <w:rsid w:val="004F6B67"/>
    <w:rsid w:val="00501399"/>
    <w:rsid w:val="00507BC4"/>
    <w:rsid w:val="00511D65"/>
    <w:rsid w:val="005128E4"/>
    <w:rsid w:val="005243C2"/>
    <w:rsid w:val="00525560"/>
    <w:rsid w:val="005357A6"/>
    <w:rsid w:val="00544C49"/>
    <w:rsid w:val="0057402A"/>
    <w:rsid w:val="005771D0"/>
    <w:rsid w:val="005816E5"/>
    <w:rsid w:val="005863D1"/>
    <w:rsid w:val="0059191A"/>
    <w:rsid w:val="005921FF"/>
    <w:rsid w:val="00592718"/>
    <w:rsid w:val="005A6D0E"/>
    <w:rsid w:val="005B222D"/>
    <w:rsid w:val="005B52B0"/>
    <w:rsid w:val="005B6806"/>
    <w:rsid w:val="005C00F9"/>
    <w:rsid w:val="005C4225"/>
    <w:rsid w:val="005D2EF7"/>
    <w:rsid w:val="005F0F33"/>
    <w:rsid w:val="005F3E64"/>
    <w:rsid w:val="00600DEB"/>
    <w:rsid w:val="00605E0B"/>
    <w:rsid w:val="00613027"/>
    <w:rsid w:val="00616FFA"/>
    <w:rsid w:val="00627C9F"/>
    <w:rsid w:val="006311DA"/>
    <w:rsid w:val="006311E9"/>
    <w:rsid w:val="006318B2"/>
    <w:rsid w:val="00632354"/>
    <w:rsid w:val="00642810"/>
    <w:rsid w:val="00652333"/>
    <w:rsid w:val="00653EA6"/>
    <w:rsid w:val="006552C4"/>
    <w:rsid w:val="0068009E"/>
    <w:rsid w:val="006A17D2"/>
    <w:rsid w:val="006A73E6"/>
    <w:rsid w:val="006B2D5C"/>
    <w:rsid w:val="006C4EB1"/>
    <w:rsid w:val="006D4707"/>
    <w:rsid w:val="006E0166"/>
    <w:rsid w:val="006E270D"/>
    <w:rsid w:val="006E7B34"/>
    <w:rsid w:val="00701B24"/>
    <w:rsid w:val="00706858"/>
    <w:rsid w:val="00713AED"/>
    <w:rsid w:val="0071495F"/>
    <w:rsid w:val="0073798E"/>
    <w:rsid w:val="00740872"/>
    <w:rsid w:val="00745899"/>
    <w:rsid w:val="00752D34"/>
    <w:rsid w:val="007607C4"/>
    <w:rsid w:val="0076643F"/>
    <w:rsid w:val="00781653"/>
    <w:rsid w:val="007A2082"/>
    <w:rsid w:val="007A2F70"/>
    <w:rsid w:val="007C3334"/>
    <w:rsid w:val="007C52BB"/>
    <w:rsid w:val="007D2B98"/>
    <w:rsid w:val="007E2D52"/>
    <w:rsid w:val="007E35CE"/>
    <w:rsid w:val="007F04A7"/>
    <w:rsid w:val="007F237C"/>
    <w:rsid w:val="007F6DE9"/>
    <w:rsid w:val="007F7980"/>
    <w:rsid w:val="00803F1C"/>
    <w:rsid w:val="0080600E"/>
    <w:rsid w:val="00817612"/>
    <w:rsid w:val="008258D7"/>
    <w:rsid w:val="00837C45"/>
    <w:rsid w:val="00853419"/>
    <w:rsid w:val="008546E5"/>
    <w:rsid w:val="008801F8"/>
    <w:rsid w:val="00897E12"/>
    <w:rsid w:val="008A0F36"/>
    <w:rsid w:val="008C2373"/>
    <w:rsid w:val="008D43BA"/>
    <w:rsid w:val="008D722F"/>
    <w:rsid w:val="008E3759"/>
    <w:rsid w:val="008E40F5"/>
    <w:rsid w:val="008E4EEF"/>
    <w:rsid w:val="008F17F1"/>
    <w:rsid w:val="009041DC"/>
    <w:rsid w:val="009104B4"/>
    <w:rsid w:val="009228DA"/>
    <w:rsid w:val="00925FCD"/>
    <w:rsid w:val="0093441A"/>
    <w:rsid w:val="00936805"/>
    <w:rsid w:val="00954BF7"/>
    <w:rsid w:val="00964B3C"/>
    <w:rsid w:val="0096706E"/>
    <w:rsid w:val="00981FBA"/>
    <w:rsid w:val="0098783D"/>
    <w:rsid w:val="009B306D"/>
    <w:rsid w:val="009B381B"/>
    <w:rsid w:val="009D59D2"/>
    <w:rsid w:val="009D7611"/>
    <w:rsid w:val="009E516F"/>
    <w:rsid w:val="009E53DE"/>
    <w:rsid w:val="009E566A"/>
    <w:rsid w:val="00A02D0B"/>
    <w:rsid w:val="00A0523B"/>
    <w:rsid w:val="00A12DBC"/>
    <w:rsid w:val="00A2467F"/>
    <w:rsid w:val="00A43458"/>
    <w:rsid w:val="00A50778"/>
    <w:rsid w:val="00A528D1"/>
    <w:rsid w:val="00A66BE5"/>
    <w:rsid w:val="00AB2A8D"/>
    <w:rsid w:val="00AB4FA4"/>
    <w:rsid w:val="00AD37C1"/>
    <w:rsid w:val="00AD477F"/>
    <w:rsid w:val="00AE007A"/>
    <w:rsid w:val="00AE2B10"/>
    <w:rsid w:val="00AE2C03"/>
    <w:rsid w:val="00AE66EC"/>
    <w:rsid w:val="00AE6F91"/>
    <w:rsid w:val="00AF5571"/>
    <w:rsid w:val="00B06BB7"/>
    <w:rsid w:val="00B06F3D"/>
    <w:rsid w:val="00B167E9"/>
    <w:rsid w:val="00B179ED"/>
    <w:rsid w:val="00B314DB"/>
    <w:rsid w:val="00B31EBE"/>
    <w:rsid w:val="00B3718B"/>
    <w:rsid w:val="00B44B23"/>
    <w:rsid w:val="00B4632A"/>
    <w:rsid w:val="00B77DBF"/>
    <w:rsid w:val="00B92E49"/>
    <w:rsid w:val="00BA276C"/>
    <w:rsid w:val="00BB306F"/>
    <w:rsid w:val="00BD232B"/>
    <w:rsid w:val="00BD2E42"/>
    <w:rsid w:val="00BD4B89"/>
    <w:rsid w:val="00BE6657"/>
    <w:rsid w:val="00C02721"/>
    <w:rsid w:val="00C21762"/>
    <w:rsid w:val="00C24543"/>
    <w:rsid w:val="00C256A2"/>
    <w:rsid w:val="00C3492D"/>
    <w:rsid w:val="00C355B4"/>
    <w:rsid w:val="00C42E4D"/>
    <w:rsid w:val="00C55560"/>
    <w:rsid w:val="00C66B72"/>
    <w:rsid w:val="00C77713"/>
    <w:rsid w:val="00C87C57"/>
    <w:rsid w:val="00C9567A"/>
    <w:rsid w:val="00C962B2"/>
    <w:rsid w:val="00CA6577"/>
    <w:rsid w:val="00CB2660"/>
    <w:rsid w:val="00CC5E90"/>
    <w:rsid w:val="00CD046C"/>
    <w:rsid w:val="00CD549A"/>
    <w:rsid w:val="00CE5199"/>
    <w:rsid w:val="00CE66D5"/>
    <w:rsid w:val="00D12F20"/>
    <w:rsid w:val="00D219EA"/>
    <w:rsid w:val="00D33AC3"/>
    <w:rsid w:val="00D34786"/>
    <w:rsid w:val="00D40A1E"/>
    <w:rsid w:val="00D533C0"/>
    <w:rsid w:val="00D66D3C"/>
    <w:rsid w:val="00D707F4"/>
    <w:rsid w:val="00D712D3"/>
    <w:rsid w:val="00D71422"/>
    <w:rsid w:val="00D7145E"/>
    <w:rsid w:val="00D75084"/>
    <w:rsid w:val="00D7558D"/>
    <w:rsid w:val="00D81D92"/>
    <w:rsid w:val="00D848A4"/>
    <w:rsid w:val="00D93446"/>
    <w:rsid w:val="00DA7B5F"/>
    <w:rsid w:val="00DC7B91"/>
    <w:rsid w:val="00DE7A36"/>
    <w:rsid w:val="00DF078B"/>
    <w:rsid w:val="00DF350D"/>
    <w:rsid w:val="00DF533E"/>
    <w:rsid w:val="00E227C1"/>
    <w:rsid w:val="00E2541C"/>
    <w:rsid w:val="00E43157"/>
    <w:rsid w:val="00E47F3D"/>
    <w:rsid w:val="00E533FF"/>
    <w:rsid w:val="00E709B3"/>
    <w:rsid w:val="00E7588C"/>
    <w:rsid w:val="00E76E74"/>
    <w:rsid w:val="00E7797F"/>
    <w:rsid w:val="00E850B6"/>
    <w:rsid w:val="00E8789F"/>
    <w:rsid w:val="00E97B71"/>
    <w:rsid w:val="00EB454D"/>
    <w:rsid w:val="00ED0D1B"/>
    <w:rsid w:val="00ED5FB1"/>
    <w:rsid w:val="00EE3522"/>
    <w:rsid w:val="00EF0C24"/>
    <w:rsid w:val="00EF619B"/>
    <w:rsid w:val="00F00B55"/>
    <w:rsid w:val="00F1380F"/>
    <w:rsid w:val="00F14F0E"/>
    <w:rsid w:val="00F15A3B"/>
    <w:rsid w:val="00F24C29"/>
    <w:rsid w:val="00F253CC"/>
    <w:rsid w:val="00F42B71"/>
    <w:rsid w:val="00F455FB"/>
    <w:rsid w:val="00F56BA5"/>
    <w:rsid w:val="00F621C3"/>
    <w:rsid w:val="00F644E6"/>
    <w:rsid w:val="00F9653B"/>
    <w:rsid w:val="00FB2DCE"/>
    <w:rsid w:val="00FB62CF"/>
    <w:rsid w:val="00FC3EB4"/>
    <w:rsid w:val="00FC6C58"/>
    <w:rsid w:val="00FE6B45"/>
    <w:rsid w:val="00FF152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customStyle="1" w:styleId="Body">
    <w:name w:val="Body"/>
    <w:rsid w:val="00511D65"/>
    <w:rPr>
      <w:rFonts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5929-425B-4AD4-A1CE-97AFBCB6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9513</Characters>
  <Application>Microsoft Office Word</Application>
  <DocSecurity>0</DocSecurity>
  <Lines>226</Lines>
  <Paragraphs>144</Paragraphs>
  <ScaleCrop>false</ScaleCrop>
  <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90/21</dc:title>
  <dc:creator/>
  <cp:lastModifiedBy/>
  <cp:revision>1</cp:revision>
  <dcterms:created xsi:type="dcterms:W3CDTF">2021-06-04T16:40:00Z</dcterms:created>
  <dcterms:modified xsi:type="dcterms:W3CDTF">2021-06-04T16:40:00Z</dcterms:modified>
</cp:coreProperties>
</file>