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AE4A1" w14:textId="77777777" w:rsidR="00040C3A" w:rsidRPr="00327C05" w:rsidRDefault="006311DA" w:rsidP="001E4D7D">
      <w:pPr>
        <w:jc w:val="both"/>
        <w:rPr>
          <w:rFonts w:asciiTheme="majorHAnsi" w:hAnsiTheme="majorHAnsi" w:cs="Univers"/>
          <w:b/>
          <w:bCs/>
          <w:sz w:val="22"/>
          <w:szCs w:val="22"/>
          <w:lang w:val="es-ES_tradnl"/>
        </w:rPr>
      </w:pPr>
      <w:r w:rsidRPr="00327C05">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099FFF1" wp14:editId="3EFC92D3">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7AB54"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" fillcolor="#67ae3c" stroked="f" strokeweight="2pt"/>
            </w:pict>
          </mc:Fallback>
        </mc:AlternateContent>
      </w:r>
      <w:r w:rsidR="00B31EBE" w:rsidRPr="00327C05">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96D0F" wp14:editId="6AF9D26E">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0F758F" w14:textId="77777777" w:rsidR="0090268A" w:rsidRDefault="0090268A">
                            <w:r>
                              <w:rPr>
                                <w:noProof/>
                              </w:rPr>
                              <w:drawing>
                                <wp:inline distT="0" distB="0" distL="0" distR="0" wp14:anchorId="23153237" wp14:editId="7F3433E1">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96D0F"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450F758F" w14:textId="77777777" w:rsidR="0090268A" w:rsidRDefault="0090268A">
                      <w:r>
                        <w:rPr>
                          <w:noProof/>
                        </w:rPr>
                        <w:drawing>
                          <wp:inline distT="0" distB="0" distL="0" distR="0" wp14:anchorId="23153237" wp14:editId="7F3433E1">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2C11F657" w14:textId="77777777" w:rsidR="00040C3A" w:rsidRPr="00327C05" w:rsidRDefault="00040C3A" w:rsidP="00040C3A">
      <w:pPr>
        <w:tabs>
          <w:tab w:val="center" w:pos="5400"/>
        </w:tabs>
        <w:suppressAutoHyphens/>
        <w:jc w:val="both"/>
        <w:rPr>
          <w:rFonts w:asciiTheme="majorHAnsi" w:hAnsiTheme="majorHAnsi"/>
          <w:sz w:val="22"/>
          <w:szCs w:val="22"/>
          <w:lang w:val="es-ES"/>
        </w:rPr>
      </w:pPr>
    </w:p>
    <w:p w14:paraId="48243934" w14:textId="77777777" w:rsidR="00040C3A" w:rsidRPr="00327C05" w:rsidRDefault="00040C3A" w:rsidP="00040C3A">
      <w:pPr>
        <w:tabs>
          <w:tab w:val="center" w:pos="5400"/>
        </w:tabs>
        <w:suppressAutoHyphens/>
        <w:jc w:val="both"/>
        <w:rPr>
          <w:rFonts w:asciiTheme="majorHAnsi" w:hAnsiTheme="majorHAnsi"/>
          <w:sz w:val="22"/>
          <w:szCs w:val="22"/>
          <w:lang w:val="es-ES"/>
        </w:rPr>
      </w:pPr>
    </w:p>
    <w:p w14:paraId="30B35250" w14:textId="77777777" w:rsidR="005128E4" w:rsidRPr="00327C05" w:rsidRDefault="005128E4" w:rsidP="00040C3A">
      <w:pPr>
        <w:tabs>
          <w:tab w:val="center" w:pos="5400"/>
        </w:tabs>
        <w:suppressAutoHyphens/>
        <w:rPr>
          <w:rFonts w:asciiTheme="majorHAnsi" w:hAnsiTheme="majorHAnsi"/>
          <w:sz w:val="22"/>
          <w:szCs w:val="22"/>
          <w:lang w:val="es-ES_tradnl"/>
        </w:rPr>
      </w:pPr>
    </w:p>
    <w:p w14:paraId="6A699968" w14:textId="77777777" w:rsidR="005128E4" w:rsidRPr="00327C05" w:rsidRDefault="005128E4" w:rsidP="00040C3A">
      <w:pPr>
        <w:tabs>
          <w:tab w:val="center" w:pos="5400"/>
        </w:tabs>
        <w:suppressAutoHyphens/>
        <w:rPr>
          <w:rFonts w:asciiTheme="majorHAnsi" w:hAnsiTheme="majorHAnsi"/>
          <w:sz w:val="22"/>
          <w:szCs w:val="22"/>
          <w:lang w:val="es-ES_tradnl"/>
        </w:rPr>
      </w:pPr>
    </w:p>
    <w:p w14:paraId="702F1C85" w14:textId="77777777" w:rsidR="005128E4" w:rsidRPr="00327C05" w:rsidRDefault="005128E4" w:rsidP="00040C3A">
      <w:pPr>
        <w:tabs>
          <w:tab w:val="center" w:pos="5400"/>
        </w:tabs>
        <w:suppressAutoHyphens/>
        <w:rPr>
          <w:rFonts w:asciiTheme="majorHAnsi" w:hAnsiTheme="majorHAnsi"/>
          <w:sz w:val="22"/>
          <w:szCs w:val="22"/>
          <w:lang w:val="es-ES_tradnl"/>
        </w:rPr>
      </w:pPr>
    </w:p>
    <w:p w14:paraId="5A66102D" w14:textId="77777777" w:rsidR="00040C3A" w:rsidRPr="00327C05" w:rsidRDefault="00040C3A" w:rsidP="005128E4">
      <w:pPr>
        <w:tabs>
          <w:tab w:val="center" w:pos="5400"/>
        </w:tabs>
        <w:suppressAutoHyphens/>
        <w:jc w:val="center"/>
        <w:rPr>
          <w:rFonts w:asciiTheme="majorHAnsi" w:hAnsiTheme="majorHAnsi"/>
          <w:sz w:val="22"/>
          <w:szCs w:val="22"/>
          <w:lang w:val="es-ES_tradnl"/>
        </w:rPr>
      </w:pPr>
    </w:p>
    <w:p w14:paraId="188783EA" w14:textId="77777777" w:rsidR="00040C3A" w:rsidRPr="00327C05" w:rsidRDefault="00DA1520" w:rsidP="005128E4">
      <w:pPr>
        <w:tabs>
          <w:tab w:val="center" w:pos="5400"/>
        </w:tabs>
        <w:suppressAutoHyphens/>
        <w:jc w:val="center"/>
        <w:rPr>
          <w:rFonts w:asciiTheme="majorHAnsi" w:hAnsiTheme="majorHAnsi"/>
          <w:sz w:val="22"/>
          <w:szCs w:val="22"/>
          <w:lang w:val="es-ES_tradnl"/>
        </w:rPr>
      </w:pPr>
      <w:r w:rsidRPr="00327C05">
        <w:rPr>
          <w:rFonts w:asciiTheme="majorHAnsi" w:hAnsiTheme="majorHAnsi"/>
          <w:noProof/>
          <w:sz w:val="22"/>
          <w:szCs w:val="22"/>
        </w:rPr>
        <mc:AlternateContent>
          <mc:Choice Requires="wps">
            <w:drawing>
              <wp:anchor distT="0" distB="0" distL="114300" distR="114300" simplePos="0" relativeHeight="251657216" behindDoc="0" locked="0" layoutInCell="1" allowOverlap="1" wp14:anchorId="0D0ABB14" wp14:editId="4FE2C0C5">
                <wp:simplePos x="0" y="0"/>
                <wp:positionH relativeFrom="column">
                  <wp:posOffset>1078173</wp:posOffset>
                </wp:positionH>
                <wp:positionV relativeFrom="paragraph">
                  <wp:posOffset>88947</wp:posOffset>
                </wp:positionV>
                <wp:extent cx="4333875" cy="3678072"/>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36780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5ACC58" w14:textId="77777777" w:rsidR="0090268A" w:rsidRDefault="0090268A" w:rsidP="004B7EB6">
                            <w:pPr>
                              <w:spacing w:line="276" w:lineRule="auto"/>
                              <w:rPr>
                                <w:rFonts w:asciiTheme="majorHAnsi" w:hAnsiTheme="majorHAnsi" w:cs="Arial"/>
                                <w:b/>
                                <w:bCs/>
                                <w:color w:val="0D0D0D" w:themeColor="text1" w:themeTint="F2"/>
                                <w:sz w:val="36"/>
                                <w:szCs w:val="40"/>
                              </w:rPr>
                            </w:pPr>
                          </w:p>
                          <w:p w14:paraId="565E219C" w14:textId="77777777" w:rsidR="0090268A" w:rsidRDefault="0090268A" w:rsidP="004B7EB6">
                            <w:pPr>
                              <w:spacing w:line="276" w:lineRule="auto"/>
                              <w:rPr>
                                <w:rFonts w:asciiTheme="majorHAnsi" w:hAnsiTheme="majorHAnsi" w:cs="Arial"/>
                                <w:b/>
                                <w:bCs/>
                                <w:color w:val="0D0D0D" w:themeColor="text1" w:themeTint="F2"/>
                                <w:sz w:val="36"/>
                                <w:szCs w:val="40"/>
                              </w:rPr>
                            </w:pPr>
                          </w:p>
                          <w:p w14:paraId="490A3103" w14:textId="77777777" w:rsidR="0090268A" w:rsidRDefault="0090268A" w:rsidP="004B7EB6">
                            <w:pPr>
                              <w:spacing w:line="276" w:lineRule="auto"/>
                              <w:rPr>
                                <w:rFonts w:asciiTheme="majorHAnsi" w:hAnsiTheme="majorHAnsi" w:cs="Arial"/>
                                <w:b/>
                                <w:bCs/>
                                <w:color w:val="0D0D0D" w:themeColor="text1" w:themeTint="F2"/>
                                <w:sz w:val="36"/>
                                <w:szCs w:val="40"/>
                              </w:rPr>
                            </w:pPr>
                          </w:p>
                          <w:p w14:paraId="16C8D6B1" w14:textId="77777777" w:rsidR="0090268A" w:rsidRDefault="0090268A" w:rsidP="004B7EB6">
                            <w:pPr>
                              <w:spacing w:line="276" w:lineRule="auto"/>
                              <w:rPr>
                                <w:rFonts w:asciiTheme="majorHAnsi" w:hAnsiTheme="majorHAnsi" w:cs="Arial"/>
                                <w:b/>
                                <w:bCs/>
                                <w:color w:val="0D0D0D" w:themeColor="text1" w:themeTint="F2"/>
                                <w:sz w:val="36"/>
                                <w:szCs w:val="40"/>
                              </w:rPr>
                            </w:pPr>
                          </w:p>
                          <w:p w14:paraId="7CA81830" w14:textId="2A90AF7A" w:rsidR="0090268A" w:rsidRPr="004B7EB6" w:rsidRDefault="00D51D69"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1751D2">
                              <w:rPr>
                                <w:rFonts w:asciiTheme="majorHAnsi" w:hAnsiTheme="majorHAnsi" w:cs="Arial"/>
                                <w:b/>
                                <w:bCs/>
                                <w:color w:val="0D0D0D" w:themeColor="text1" w:themeTint="F2"/>
                                <w:sz w:val="36"/>
                                <w:szCs w:val="40"/>
                              </w:rPr>
                              <w:t>460</w:t>
                            </w:r>
                            <w:r w:rsidR="0090268A" w:rsidRPr="004B7EB6">
                              <w:rPr>
                                <w:rFonts w:asciiTheme="majorHAnsi" w:hAnsiTheme="majorHAnsi" w:cs="Arial"/>
                                <w:b/>
                                <w:bCs/>
                                <w:color w:val="0D0D0D" w:themeColor="text1" w:themeTint="F2"/>
                                <w:sz w:val="36"/>
                                <w:szCs w:val="40"/>
                              </w:rPr>
                              <w:t>/</w:t>
                            </w:r>
                            <w:r w:rsidR="0061314B">
                              <w:rPr>
                                <w:rFonts w:asciiTheme="majorHAnsi" w:hAnsiTheme="majorHAnsi" w:cs="Arial"/>
                                <w:b/>
                                <w:bCs/>
                                <w:color w:val="0D0D0D" w:themeColor="text1" w:themeTint="F2"/>
                                <w:sz w:val="36"/>
                                <w:szCs w:val="40"/>
                              </w:rPr>
                              <w:t>21</w:t>
                            </w:r>
                          </w:p>
                          <w:p w14:paraId="57B4E73E" w14:textId="1CF0E0DF" w:rsidR="0090268A" w:rsidRPr="004B7EB6" w:rsidRDefault="0090268A"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12</w:t>
                            </w:r>
                            <w:r w:rsidRPr="004B7EB6">
                              <w:rPr>
                                <w:rFonts w:asciiTheme="majorHAnsi" w:hAnsiTheme="majorHAnsi" w:cs="Arial"/>
                                <w:b/>
                                <w:bCs/>
                                <w:color w:val="0D0D0D" w:themeColor="text1" w:themeTint="F2"/>
                                <w:sz w:val="36"/>
                                <w:szCs w:val="40"/>
                              </w:rPr>
                              <w:t>.</w:t>
                            </w:r>
                            <w:r w:rsidR="00704058">
                              <w:rPr>
                                <w:rFonts w:asciiTheme="majorHAnsi" w:hAnsiTheme="majorHAnsi" w:cs="Arial"/>
                                <w:b/>
                                <w:bCs/>
                                <w:color w:val="0D0D0D" w:themeColor="text1" w:themeTint="F2"/>
                                <w:sz w:val="36"/>
                                <w:szCs w:val="40"/>
                              </w:rPr>
                              <w:t>721</w:t>
                            </w:r>
                          </w:p>
                          <w:p w14:paraId="52180E76" w14:textId="590162C5" w:rsidR="0090268A" w:rsidRPr="004B7EB6" w:rsidRDefault="0090268A" w:rsidP="00F45EBF">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Pr>
                                <w:rFonts w:asciiTheme="majorHAnsi" w:hAnsiTheme="majorHAnsi" w:cs="Arial"/>
                                <w:color w:val="0D0D0D" w:themeColor="text1" w:themeTint="F2"/>
                                <w:szCs w:val="22"/>
                              </w:rPr>
                              <w:t xml:space="preserve">THE </w:t>
                            </w:r>
                            <w:r w:rsidRPr="004B7EB6">
                              <w:rPr>
                                <w:rFonts w:asciiTheme="majorHAnsi" w:hAnsiTheme="majorHAnsi" w:cs="Arial"/>
                                <w:color w:val="0D0D0D" w:themeColor="text1" w:themeTint="F2"/>
                                <w:szCs w:val="22"/>
                              </w:rPr>
                              <w:t xml:space="preserve">MERITS </w:t>
                            </w:r>
                            <w:r w:rsidR="0061314B">
                              <w:rPr>
                                <w:rFonts w:asciiTheme="majorHAnsi" w:hAnsiTheme="majorHAnsi" w:cs="Arial"/>
                                <w:color w:val="0D0D0D" w:themeColor="text1" w:themeTint="F2"/>
                                <w:szCs w:val="22"/>
                              </w:rPr>
                              <w:t>(</w:t>
                            </w:r>
                            <w:r w:rsidR="00F4506C" w:rsidRPr="001751D2">
                              <w:rPr>
                                <w:rFonts w:asciiTheme="majorHAnsi" w:hAnsiTheme="majorHAnsi" w:cs="Arial"/>
                                <w:color w:val="0D0D0D" w:themeColor="text1" w:themeTint="F2"/>
                                <w:szCs w:val="22"/>
                              </w:rPr>
                              <w:t>PUBLICATION</w:t>
                            </w:r>
                            <w:r w:rsidR="0061314B" w:rsidRPr="001751D2">
                              <w:rPr>
                                <w:rFonts w:asciiTheme="majorHAnsi" w:hAnsiTheme="majorHAnsi" w:cs="Arial"/>
                                <w:color w:val="0D0D0D" w:themeColor="text1" w:themeTint="F2"/>
                                <w:szCs w:val="22"/>
                              </w:rPr>
                              <w:t>)</w:t>
                            </w:r>
                          </w:p>
                          <w:p w14:paraId="7FEFB601" w14:textId="77777777" w:rsidR="0090268A" w:rsidRPr="004B7EB6" w:rsidRDefault="0090268A" w:rsidP="004B7EB6">
                            <w:pPr>
                              <w:spacing w:line="276" w:lineRule="auto"/>
                              <w:rPr>
                                <w:rFonts w:asciiTheme="majorHAnsi" w:hAnsiTheme="majorHAnsi" w:cs="Arial"/>
                                <w:color w:val="0D0D0D" w:themeColor="text1" w:themeTint="F2"/>
                                <w:szCs w:val="22"/>
                              </w:rPr>
                            </w:pPr>
                          </w:p>
                          <w:p w14:paraId="6DC91520" w14:textId="6B4AA0A8" w:rsidR="0090268A" w:rsidRPr="00704058" w:rsidRDefault="002C731C" w:rsidP="004B7EB6">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ÁNGEL PEDRO FALANGA</w:t>
                            </w:r>
                          </w:p>
                          <w:p w14:paraId="1AB96E10" w14:textId="7032B913" w:rsidR="0090268A" w:rsidRPr="00704058" w:rsidRDefault="00704058" w:rsidP="004B7EB6">
                            <w:pPr>
                              <w:spacing w:line="276" w:lineRule="auto"/>
                              <w:rPr>
                                <w:rFonts w:asciiTheme="majorHAnsi" w:hAnsiTheme="majorHAnsi" w:cs="Arial"/>
                                <w:color w:val="0D0D0D" w:themeColor="text1" w:themeTint="F2"/>
                                <w:szCs w:val="22"/>
                                <w:lang w:val="pt-BR"/>
                              </w:rPr>
                            </w:pPr>
                            <w:r w:rsidRPr="00704058">
                              <w:rPr>
                                <w:rFonts w:asciiTheme="majorHAnsi" w:hAnsiTheme="majorHAnsi" w:cs="Arial"/>
                                <w:color w:val="0D0D0D" w:themeColor="text1" w:themeTint="F2"/>
                                <w:szCs w:val="22"/>
                                <w:lang w:val="pt-BR"/>
                              </w:rPr>
                              <w:t>ARGENTINA</w:t>
                            </w:r>
                          </w:p>
                          <w:p w14:paraId="181E86CB" w14:textId="6625C534" w:rsidR="0090268A" w:rsidRPr="00704058" w:rsidRDefault="0090268A" w:rsidP="004B7EB6">
                            <w:pPr>
                              <w:spacing w:line="276" w:lineRule="auto"/>
                              <w:rPr>
                                <w:rFonts w:asciiTheme="majorHAnsi" w:hAnsiTheme="majorHAnsi" w:cs="Arial"/>
                                <w:color w:val="0D0D0D" w:themeColor="text1" w:themeTint="F2"/>
                                <w:szCs w:val="22"/>
                                <w:lang w:val="pt-BR"/>
                              </w:rPr>
                            </w:pPr>
                          </w:p>
                          <w:p w14:paraId="748AE7AA" w14:textId="38AC7863" w:rsidR="0090268A" w:rsidRPr="00704058" w:rsidRDefault="0090268A" w:rsidP="004B7EB6">
                            <w:pPr>
                              <w:spacing w:line="276" w:lineRule="auto"/>
                              <w:rPr>
                                <w:rFonts w:asciiTheme="majorHAnsi" w:hAnsiTheme="majorHAnsi"/>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ABB14" id="Text Box 5" o:spid="_x0000_s1027" type="#_x0000_t202" style="position:absolute;left:0;text-align:left;margin-left:84.9pt;margin-top:7pt;width:341.25pt;height:28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" filled="f" stroked="f" strokeweight=".5pt">
                <v:textbox>
                  <w:txbxContent>
                    <w:p w14:paraId="205ACC58" w14:textId="77777777" w:rsidR="0090268A" w:rsidRDefault="0090268A" w:rsidP="004B7EB6">
                      <w:pPr>
                        <w:spacing w:line="276" w:lineRule="auto"/>
                        <w:rPr>
                          <w:rFonts w:asciiTheme="majorHAnsi" w:hAnsiTheme="majorHAnsi" w:cs="Arial"/>
                          <w:b/>
                          <w:bCs/>
                          <w:color w:val="0D0D0D" w:themeColor="text1" w:themeTint="F2"/>
                          <w:sz w:val="36"/>
                          <w:szCs w:val="40"/>
                        </w:rPr>
                      </w:pPr>
                    </w:p>
                    <w:p w14:paraId="565E219C" w14:textId="77777777" w:rsidR="0090268A" w:rsidRDefault="0090268A" w:rsidP="004B7EB6">
                      <w:pPr>
                        <w:spacing w:line="276" w:lineRule="auto"/>
                        <w:rPr>
                          <w:rFonts w:asciiTheme="majorHAnsi" w:hAnsiTheme="majorHAnsi" w:cs="Arial"/>
                          <w:b/>
                          <w:bCs/>
                          <w:color w:val="0D0D0D" w:themeColor="text1" w:themeTint="F2"/>
                          <w:sz w:val="36"/>
                          <w:szCs w:val="40"/>
                        </w:rPr>
                      </w:pPr>
                    </w:p>
                    <w:p w14:paraId="490A3103" w14:textId="77777777" w:rsidR="0090268A" w:rsidRDefault="0090268A" w:rsidP="004B7EB6">
                      <w:pPr>
                        <w:spacing w:line="276" w:lineRule="auto"/>
                        <w:rPr>
                          <w:rFonts w:asciiTheme="majorHAnsi" w:hAnsiTheme="majorHAnsi" w:cs="Arial"/>
                          <w:b/>
                          <w:bCs/>
                          <w:color w:val="0D0D0D" w:themeColor="text1" w:themeTint="F2"/>
                          <w:sz w:val="36"/>
                          <w:szCs w:val="40"/>
                        </w:rPr>
                      </w:pPr>
                    </w:p>
                    <w:p w14:paraId="16C8D6B1" w14:textId="77777777" w:rsidR="0090268A" w:rsidRDefault="0090268A" w:rsidP="004B7EB6">
                      <w:pPr>
                        <w:spacing w:line="276" w:lineRule="auto"/>
                        <w:rPr>
                          <w:rFonts w:asciiTheme="majorHAnsi" w:hAnsiTheme="majorHAnsi" w:cs="Arial"/>
                          <w:b/>
                          <w:bCs/>
                          <w:color w:val="0D0D0D" w:themeColor="text1" w:themeTint="F2"/>
                          <w:sz w:val="36"/>
                          <w:szCs w:val="40"/>
                        </w:rPr>
                      </w:pPr>
                    </w:p>
                    <w:p w14:paraId="7CA81830" w14:textId="2A90AF7A" w:rsidR="0090268A" w:rsidRPr="004B7EB6" w:rsidRDefault="00D51D69"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1751D2">
                        <w:rPr>
                          <w:rFonts w:asciiTheme="majorHAnsi" w:hAnsiTheme="majorHAnsi" w:cs="Arial"/>
                          <w:b/>
                          <w:bCs/>
                          <w:color w:val="0D0D0D" w:themeColor="text1" w:themeTint="F2"/>
                          <w:sz w:val="36"/>
                          <w:szCs w:val="40"/>
                        </w:rPr>
                        <w:t>460</w:t>
                      </w:r>
                      <w:r w:rsidR="0090268A" w:rsidRPr="004B7EB6">
                        <w:rPr>
                          <w:rFonts w:asciiTheme="majorHAnsi" w:hAnsiTheme="majorHAnsi" w:cs="Arial"/>
                          <w:b/>
                          <w:bCs/>
                          <w:color w:val="0D0D0D" w:themeColor="text1" w:themeTint="F2"/>
                          <w:sz w:val="36"/>
                          <w:szCs w:val="40"/>
                        </w:rPr>
                        <w:t>/</w:t>
                      </w:r>
                      <w:r w:rsidR="0061314B">
                        <w:rPr>
                          <w:rFonts w:asciiTheme="majorHAnsi" w:hAnsiTheme="majorHAnsi" w:cs="Arial"/>
                          <w:b/>
                          <w:bCs/>
                          <w:color w:val="0D0D0D" w:themeColor="text1" w:themeTint="F2"/>
                          <w:sz w:val="36"/>
                          <w:szCs w:val="40"/>
                        </w:rPr>
                        <w:t>21</w:t>
                      </w:r>
                    </w:p>
                    <w:p w14:paraId="57B4E73E" w14:textId="1CF0E0DF" w:rsidR="0090268A" w:rsidRPr="004B7EB6" w:rsidRDefault="0090268A"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12</w:t>
                      </w:r>
                      <w:r w:rsidRPr="004B7EB6">
                        <w:rPr>
                          <w:rFonts w:asciiTheme="majorHAnsi" w:hAnsiTheme="majorHAnsi" w:cs="Arial"/>
                          <w:b/>
                          <w:bCs/>
                          <w:color w:val="0D0D0D" w:themeColor="text1" w:themeTint="F2"/>
                          <w:sz w:val="36"/>
                          <w:szCs w:val="40"/>
                        </w:rPr>
                        <w:t>.</w:t>
                      </w:r>
                      <w:r w:rsidR="00704058">
                        <w:rPr>
                          <w:rFonts w:asciiTheme="majorHAnsi" w:hAnsiTheme="majorHAnsi" w:cs="Arial"/>
                          <w:b/>
                          <w:bCs/>
                          <w:color w:val="0D0D0D" w:themeColor="text1" w:themeTint="F2"/>
                          <w:sz w:val="36"/>
                          <w:szCs w:val="40"/>
                        </w:rPr>
                        <w:t>721</w:t>
                      </w:r>
                    </w:p>
                    <w:p w14:paraId="52180E76" w14:textId="590162C5" w:rsidR="0090268A" w:rsidRPr="004B7EB6" w:rsidRDefault="0090268A" w:rsidP="00F45EBF">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Pr>
                          <w:rFonts w:asciiTheme="majorHAnsi" w:hAnsiTheme="majorHAnsi" w:cs="Arial"/>
                          <w:color w:val="0D0D0D" w:themeColor="text1" w:themeTint="F2"/>
                          <w:szCs w:val="22"/>
                        </w:rPr>
                        <w:t xml:space="preserve">THE </w:t>
                      </w:r>
                      <w:r w:rsidRPr="004B7EB6">
                        <w:rPr>
                          <w:rFonts w:asciiTheme="majorHAnsi" w:hAnsiTheme="majorHAnsi" w:cs="Arial"/>
                          <w:color w:val="0D0D0D" w:themeColor="text1" w:themeTint="F2"/>
                          <w:szCs w:val="22"/>
                        </w:rPr>
                        <w:t xml:space="preserve">MERITS </w:t>
                      </w:r>
                      <w:r w:rsidR="0061314B">
                        <w:rPr>
                          <w:rFonts w:asciiTheme="majorHAnsi" w:hAnsiTheme="majorHAnsi" w:cs="Arial"/>
                          <w:color w:val="0D0D0D" w:themeColor="text1" w:themeTint="F2"/>
                          <w:szCs w:val="22"/>
                        </w:rPr>
                        <w:t>(</w:t>
                      </w:r>
                      <w:r w:rsidR="00F4506C" w:rsidRPr="001751D2">
                        <w:rPr>
                          <w:rFonts w:asciiTheme="majorHAnsi" w:hAnsiTheme="majorHAnsi" w:cs="Arial"/>
                          <w:color w:val="0D0D0D" w:themeColor="text1" w:themeTint="F2"/>
                          <w:szCs w:val="22"/>
                        </w:rPr>
                        <w:t>PUBLICATION</w:t>
                      </w:r>
                      <w:r w:rsidR="0061314B" w:rsidRPr="001751D2">
                        <w:rPr>
                          <w:rFonts w:asciiTheme="majorHAnsi" w:hAnsiTheme="majorHAnsi" w:cs="Arial"/>
                          <w:color w:val="0D0D0D" w:themeColor="text1" w:themeTint="F2"/>
                          <w:szCs w:val="22"/>
                        </w:rPr>
                        <w:t>)</w:t>
                      </w:r>
                    </w:p>
                    <w:p w14:paraId="7FEFB601" w14:textId="77777777" w:rsidR="0090268A" w:rsidRPr="004B7EB6" w:rsidRDefault="0090268A" w:rsidP="004B7EB6">
                      <w:pPr>
                        <w:spacing w:line="276" w:lineRule="auto"/>
                        <w:rPr>
                          <w:rFonts w:asciiTheme="majorHAnsi" w:hAnsiTheme="majorHAnsi" w:cs="Arial"/>
                          <w:color w:val="0D0D0D" w:themeColor="text1" w:themeTint="F2"/>
                          <w:szCs w:val="22"/>
                        </w:rPr>
                      </w:pPr>
                    </w:p>
                    <w:p w14:paraId="6DC91520" w14:textId="6B4AA0A8" w:rsidR="0090268A" w:rsidRPr="00704058" w:rsidRDefault="002C731C" w:rsidP="004B7EB6">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ÁNGEL PEDRO FALANGA</w:t>
                      </w:r>
                    </w:p>
                    <w:p w14:paraId="1AB96E10" w14:textId="7032B913" w:rsidR="0090268A" w:rsidRPr="00704058" w:rsidRDefault="00704058" w:rsidP="004B7EB6">
                      <w:pPr>
                        <w:spacing w:line="276" w:lineRule="auto"/>
                        <w:rPr>
                          <w:rFonts w:asciiTheme="majorHAnsi" w:hAnsiTheme="majorHAnsi" w:cs="Arial"/>
                          <w:color w:val="0D0D0D" w:themeColor="text1" w:themeTint="F2"/>
                          <w:szCs w:val="22"/>
                          <w:lang w:val="pt-BR"/>
                        </w:rPr>
                      </w:pPr>
                      <w:r w:rsidRPr="00704058">
                        <w:rPr>
                          <w:rFonts w:asciiTheme="majorHAnsi" w:hAnsiTheme="majorHAnsi" w:cs="Arial"/>
                          <w:color w:val="0D0D0D" w:themeColor="text1" w:themeTint="F2"/>
                          <w:szCs w:val="22"/>
                          <w:lang w:val="pt-BR"/>
                        </w:rPr>
                        <w:t>ARGENTINA</w:t>
                      </w:r>
                    </w:p>
                    <w:p w14:paraId="181E86CB" w14:textId="6625C534" w:rsidR="0090268A" w:rsidRPr="00704058" w:rsidRDefault="0090268A" w:rsidP="004B7EB6">
                      <w:pPr>
                        <w:spacing w:line="276" w:lineRule="auto"/>
                        <w:rPr>
                          <w:rFonts w:asciiTheme="majorHAnsi" w:hAnsiTheme="majorHAnsi" w:cs="Arial"/>
                          <w:color w:val="0D0D0D" w:themeColor="text1" w:themeTint="F2"/>
                          <w:szCs w:val="22"/>
                          <w:lang w:val="pt-BR"/>
                        </w:rPr>
                      </w:pPr>
                    </w:p>
                    <w:p w14:paraId="748AE7AA" w14:textId="38AC7863" w:rsidR="0090268A" w:rsidRPr="00704058" w:rsidRDefault="0090268A" w:rsidP="004B7EB6">
                      <w:pPr>
                        <w:spacing w:line="276" w:lineRule="auto"/>
                        <w:rPr>
                          <w:rFonts w:asciiTheme="majorHAnsi" w:hAnsiTheme="majorHAnsi"/>
                          <w:color w:val="0D0D0D" w:themeColor="text1" w:themeTint="F2"/>
                          <w:lang w:val="pt-BR"/>
                        </w:rPr>
                      </w:pPr>
                    </w:p>
                  </w:txbxContent>
                </v:textbox>
              </v:shape>
            </w:pict>
          </mc:Fallback>
        </mc:AlternateContent>
      </w:r>
    </w:p>
    <w:p w14:paraId="21DC5B43" w14:textId="77777777" w:rsidR="005B52B0" w:rsidRPr="00327C05" w:rsidRDefault="005B52B0" w:rsidP="005128E4">
      <w:pPr>
        <w:tabs>
          <w:tab w:val="center" w:pos="5400"/>
        </w:tabs>
        <w:suppressAutoHyphens/>
        <w:jc w:val="center"/>
        <w:rPr>
          <w:rFonts w:asciiTheme="majorHAnsi" w:hAnsiTheme="majorHAnsi"/>
          <w:sz w:val="22"/>
          <w:szCs w:val="22"/>
          <w:lang w:val="es-ES_tradnl"/>
        </w:rPr>
      </w:pPr>
    </w:p>
    <w:p w14:paraId="1DA5D61C" w14:textId="77777777" w:rsidR="005B52B0" w:rsidRPr="00327C05" w:rsidRDefault="005B52B0" w:rsidP="005128E4">
      <w:pPr>
        <w:tabs>
          <w:tab w:val="center" w:pos="5400"/>
        </w:tabs>
        <w:suppressAutoHyphens/>
        <w:jc w:val="center"/>
        <w:rPr>
          <w:rFonts w:asciiTheme="majorHAnsi" w:hAnsiTheme="majorHAnsi"/>
          <w:sz w:val="22"/>
          <w:szCs w:val="22"/>
          <w:lang w:val="es-ES_tradnl"/>
        </w:rPr>
      </w:pPr>
    </w:p>
    <w:p w14:paraId="7E13AF8F" w14:textId="77777777" w:rsidR="005B52B0" w:rsidRPr="00327C05" w:rsidRDefault="005B52B0" w:rsidP="005128E4">
      <w:pPr>
        <w:tabs>
          <w:tab w:val="center" w:pos="5400"/>
        </w:tabs>
        <w:suppressAutoHyphens/>
        <w:jc w:val="center"/>
        <w:rPr>
          <w:rFonts w:asciiTheme="majorHAnsi" w:hAnsiTheme="majorHAnsi"/>
          <w:sz w:val="22"/>
          <w:szCs w:val="22"/>
          <w:lang w:val="es-ES_tradnl"/>
        </w:rPr>
      </w:pPr>
    </w:p>
    <w:p w14:paraId="5442F46A" w14:textId="77777777" w:rsidR="00040C3A" w:rsidRPr="00327C05" w:rsidRDefault="00040C3A" w:rsidP="00040C3A">
      <w:pPr>
        <w:tabs>
          <w:tab w:val="center" w:pos="5400"/>
        </w:tabs>
        <w:suppressAutoHyphens/>
        <w:jc w:val="center"/>
        <w:rPr>
          <w:rFonts w:asciiTheme="majorHAnsi" w:hAnsiTheme="majorHAnsi"/>
          <w:sz w:val="22"/>
          <w:szCs w:val="22"/>
          <w:lang w:val="es-ES_tradnl"/>
        </w:rPr>
      </w:pPr>
    </w:p>
    <w:p w14:paraId="27A75CE7" w14:textId="77777777" w:rsidR="00040C3A" w:rsidRPr="00327C05" w:rsidRDefault="00040C3A" w:rsidP="00040C3A">
      <w:pPr>
        <w:tabs>
          <w:tab w:val="center" w:pos="5400"/>
        </w:tabs>
        <w:suppressAutoHyphens/>
        <w:jc w:val="center"/>
        <w:rPr>
          <w:rFonts w:asciiTheme="majorHAnsi" w:hAnsiTheme="majorHAnsi"/>
          <w:sz w:val="22"/>
          <w:szCs w:val="22"/>
          <w:lang w:val="es-ES_tradnl"/>
        </w:rPr>
      </w:pPr>
    </w:p>
    <w:p w14:paraId="5AA3CDF4" w14:textId="77777777" w:rsidR="00040C3A" w:rsidRPr="00327C05" w:rsidRDefault="00040C3A" w:rsidP="00040C3A">
      <w:pPr>
        <w:tabs>
          <w:tab w:val="center" w:pos="5400"/>
        </w:tabs>
        <w:suppressAutoHyphens/>
        <w:jc w:val="center"/>
        <w:rPr>
          <w:rFonts w:asciiTheme="majorHAnsi" w:hAnsiTheme="majorHAnsi"/>
          <w:sz w:val="22"/>
          <w:szCs w:val="22"/>
          <w:lang w:val="es-ES_tradnl"/>
        </w:rPr>
      </w:pPr>
    </w:p>
    <w:p w14:paraId="5920E0C8" w14:textId="34A61229" w:rsidR="00040C3A" w:rsidRPr="00327C05" w:rsidRDefault="00040C3A" w:rsidP="00040C3A">
      <w:pPr>
        <w:tabs>
          <w:tab w:val="center" w:pos="5400"/>
        </w:tabs>
        <w:suppressAutoHyphens/>
        <w:jc w:val="center"/>
        <w:rPr>
          <w:rFonts w:asciiTheme="majorHAnsi" w:hAnsiTheme="majorHAnsi"/>
          <w:sz w:val="22"/>
          <w:szCs w:val="22"/>
          <w:lang w:val="es-ES_tradnl"/>
        </w:rPr>
      </w:pPr>
    </w:p>
    <w:p w14:paraId="5D5C3C02" w14:textId="621386B5" w:rsidR="00040C3A" w:rsidRPr="00327C05" w:rsidRDefault="00A84A45" w:rsidP="00040C3A">
      <w:pPr>
        <w:tabs>
          <w:tab w:val="center" w:pos="5400"/>
        </w:tabs>
        <w:suppressAutoHyphens/>
        <w:jc w:val="center"/>
        <w:rPr>
          <w:rFonts w:asciiTheme="majorHAnsi" w:hAnsiTheme="majorHAnsi"/>
          <w:sz w:val="22"/>
          <w:szCs w:val="22"/>
          <w:lang w:val="es-ES_tradnl"/>
        </w:rPr>
      </w:pPr>
      <w:r w:rsidRPr="00327C05">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23ACDE6" wp14:editId="39EC1AF2">
                <wp:simplePos x="0" y="0"/>
                <wp:positionH relativeFrom="column">
                  <wp:posOffset>-369988</wp:posOffset>
                </wp:positionH>
                <wp:positionV relativeFrom="paragraph">
                  <wp:posOffset>43250</wp:posOffset>
                </wp:positionV>
                <wp:extent cx="1334135" cy="835117"/>
                <wp:effectExtent l="0" t="0" r="0" b="3175"/>
                <wp:wrapNone/>
                <wp:docPr id="8" name="Text Box 8"/>
                <wp:cNvGraphicFramePr/>
                <a:graphic xmlns:a="http://schemas.openxmlformats.org/drawingml/2006/main">
                  <a:graphicData uri="http://schemas.microsoft.com/office/word/2010/wordprocessingShape">
                    <wps:wsp>
                      <wps:cNvSpPr txBox="1"/>
                      <wps:spPr>
                        <a:xfrm>
                          <a:off x="0" y="0"/>
                          <a:ext cx="1334135" cy="8351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9BC11E" w14:textId="640C36A4" w:rsidR="0090268A" w:rsidRPr="004B7EB6" w:rsidRDefault="0090268A"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p>
                          <w:p w14:paraId="124C66AE" w14:textId="69EFEC0C" w:rsidR="0090268A" w:rsidRPr="004B7EB6" w:rsidRDefault="0090268A"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Doc.</w:t>
                            </w:r>
                            <w:r w:rsidR="00D51D69">
                              <w:rPr>
                                <w:rFonts w:asciiTheme="minorHAnsi" w:hAnsiTheme="minorHAnsi"/>
                                <w:color w:val="FFFFFF" w:themeColor="background1"/>
                                <w:sz w:val="22"/>
                                <w:lang w:val="pt-BR"/>
                              </w:rPr>
                              <w:t xml:space="preserve"> </w:t>
                            </w:r>
                            <w:r w:rsidR="0061314B">
                              <w:rPr>
                                <w:rFonts w:asciiTheme="minorHAnsi" w:hAnsiTheme="minorHAnsi"/>
                                <w:color w:val="FFFFFF" w:themeColor="background1"/>
                                <w:sz w:val="22"/>
                                <w:lang w:val="pt-BR"/>
                              </w:rPr>
                              <w:t>XX</w:t>
                            </w:r>
                          </w:p>
                          <w:p w14:paraId="180BDF54" w14:textId="3233447F" w:rsidR="0090268A" w:rsidRPr="004B7EB6" w:rsidRDefault="00327C05" w:rsidP="002C1641">
                            <w:pPr>
                              <w:jc w:val="right"/>
                              <w:rPr>
                                <w:rFonts w:asciiTheme="minorHAnsi" w:hAnsiTheme="minorHAnsi"/>
                                <w:color w:val="FFFFFF" w:themeColor="background1"/>
                                <w:sz w:val="22"/>
                              </w:rPr>
                            </w:pPr>
                            <w:r>
                              <w:rPr>
                                <w:rFonts w:asciiTheme="minorHAnsi" w:hAnsiTheme="minorHAnsi"/>
                                <w:color w:val="FFFFFF" w:themeColor="background1"/>
                                <w:sz w:val="22"/>
                              </w:rPr>
                              <w:t>31</w:t>
                            </w:r>
                            <w:r w:rsidR="00E9077F">
                              <w:rPr>
                                <w:rFonts w:asciiTheme="minorHAnsi" w:hAnsiTheme="minorHAnsi"/>
                                <w:color w:val="FFFFFF" w:themeColor="background1"/>
                                <w:sz w:val="22"/>
                              </w:rPr>
                              <w:t xml:space="preserve"> </w:t>
                            </w:r>
                            <w:r w:rsidR="00F4506C">
                              <w:rPr>
                                <w:rFonts w:asciiTheme="minorHAnsi" w:hAnsiTheme="minorHAnsi"/>
                                <w:color w:val="FFFFFF" w:themeColor="background1"/>
                                <w:sz w:val="22"/>
                              </w:rPr>
                              <w:t>Dec</w:t>
                            </w:r>
                            <w:r w:rsidR="0061314B">
                              <w:rPr>
                                <w:rFonts w:asciiTheme="minorHAnsi" w:hAnsiTheme="minorHAnsi"/>
                                <w:color w:val="FFFFFF" w:themeColor="background1"/>
                                <w:sz w:val="22"/>
                              </w:rPr>
                              <w:t>ember</w:t>
                            </w:r>
                            <w:r w:rsidR="00D51D69">
                              <w:rPr>
                                <w:rFonts w:asciiTheme="minorHAnsi" w:hAnsiTheme="minorHAnsi"/>
                                <w:color w:val="FFFFFF" w:themeColor="background1"/>
                                <w:sz w:val="22"/>
                              </w:rPr>
                              <w:t xml:space="preserve"> 20</w:t>
                            </w:r>
                            <w:r w:rsidR="0061314B">
                              <w:rPr>
                                <w:rFonts w:asciiTheme="minorHAnsi" w:hAnsiTheme="minorHAnsi"/>
                                <w:color w:val="FFFFFF" w:themeColor="background1"/>
                                <w:sz w:val="22"/>
                              </w:rPr>
                              <w:t>21</w:t>
                            </w:r>
                            <w:r w:rsidR="0090268A">
                              <w:rPr>
                                <w:rFonts w:asciiTheme="minorHAnsi" w:hAnsiTheme="minorHAnsi"/>
                                <w:color w:val="FFFFFF" w:themeColor="background1"/>
                                <w:sz w:val="22"/>
                              </w:rPr>
                              <w:t xml:space="preserve"> </w:t>
                            </w:r>
                          </w:p>
                          <w:p w14:paraId="1A83633F" w14:textId="51FFEF26" w:rsidR="0090268A" w:rsidRPr="004B7EB6" w:rsidRDefault="0090268A"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ACDE6" id="Text Box 8" o:spid="_x0000_s1028" type="#_x0000_t202" style="position:absolute;left:0;text-align:left;margin-left:-29.15pt;margin-top:3.4pt;width:105.05pt;height:6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" filled="f" stroked="f" strokeweight=".5pt">
                <v:textbox>
                  <w:txbxContent>
                    <w:p w14:paraId="209BC11E" w14:textId="640C36A4" w:rsidR="0090268A" w:rsidRPr="004B7EB6" w:rsidRDefault="0090268A"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p>
                    <w:p w14:paraId="124C66AE" w14:textId="69EFEC0C" w:rsidR="0090268A" w:rsidRPr="004B7EB6" w:rsidRDefault="0090268A"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Doc.</w:t>
                      </w:r>
                      <w:r w:rsidR="00D51D69">
                        <w:rPr>
                          <w:rFonts w:asciiTheme="minorHAnsi" w:hAnsiTheme="minorHAnsi"/>
                          <w:color w:val="FFFFFF" w:themeColor="background1"/>
                          <w:sz w:val="22"/>
                          <w:lang w:val="pt-BR"/>
                        </w:rPr>
                        <w:t xml:space="preserve"> </w:t>
                      </w:r>
                      <w:r w:rsidR="0061314B">
                        <w:rPr>
                          <w:rFonts w:asciiTheme="minorHAnsi" w:hAnsiTheme="minorHAnsi"/>
                          <w:color w:val="FFFFFF" w:themeColor="background1"/>
                          <w:sz w:val="22"/>
                          <w:lang w:val="pt-BR"/>
                        </w:rPr>
                        <w:t>XX</w:t>
                      </w:r>
                    </w:p>
                    <w:p w14:paraId="180BDF54" w14:textId="3233447F" w:rsidR="0090268A" w:rsidRPr="004B7EB6" w:rsidRDefault="00327C05" w:rsidP="002C1641">
                      <w:pPr>
                        <w:jc w:val="right"/>
                        <w:rPr>
                          <w:rFonts w:asciiTheme="minorHAnsi" w:hAnsiTheme="minorHAnsi"/>
                          <w:color w:val="FFFFFF" w:themeColor="background1"/>
                          <w:sz w:val="22"/>
                        </w:rPr>
                      </w:pPr>
                      <w:r>
                        <w:rPr>
                          <w:rFonts w:asciiTheme="minorHAnsi" w:hAnsiTheme="minorHAnsi"/>
                          <w:color w:val="FFFFFF" w:themeColor="background1"/>
                          <w:sz w:val="22"/>
                        </w:rPr>
                        <w:t>31</w:t>
                      </w:r>
                      <w:r w:rsidR="00E9077F">
                        <w:rPr>
                          <w:rFonts w:asciiTheme="minorHAnsi" w:hAnsiTheme="minorHAnsi"/>
                          <w:color w:val="FFFFFF" w:themeColor="background1"/>
                          <w:sz w:val="22"/>
                        </w:rPr>
                        <w:t xml:space="preserve"> </w:t>
                      </w:r>
                      <w:r w:rsidR="00F4506C">
                        <w:rPr>
                          <w:rFonts w:asciiTheme="minorHAnsi" w:hAnsiTheme="minorHAnsi"/>
                          <w:color w:val="FFFFFF" w:themeColor="background1"/>
                          <w:sz w:val="22"/>
                        </w:rPr>
                        <w:t>Dec</w:t>
                      </w:r>
                      <w:r w:rsidR="0061314B">
                        <w:rPr>
                          <w:rFonts w:asciiTheme="minorHAnsi" w:hAnsiTheme="minorHAnsi"/>
                          <w:color w:val="FFFFFF" w:themeColor="background1"/>
                          <w:sz w:val="22"/>
                        </w:rPr>
                        <w:t>ember</w:t>
                      </w:r>
                      <w:r w:rsidR="00D51D69">
                        <w:rPr>
                          <w:rFonts w:asciiTheme="minorHAnsi" w:hAnsiTheme="minorHAnsi"/>
                          <w:color w:val="FFFFFF" w:themeColor="background1"/>
                          <w:sz w:val="22"/>
                        </w:rPr>
                        <w:t xml:space="preserve"> 20</w:t>
                      </w:r>
                      <w:r w:rsidR="0061314B">
                        <w:rPr>
                          <w:rFonts w:asciiTheme="minorHAnsi" w:hAnsiTheme="minorHAnsi"/>
                          <w:color w:val="FFFFFF" w:themeColor="background1"/>
                          <w:sz w:val="22"/>
                        </w:rPr>
                        <w:t>21</w:t>
                      </w:r>
                      <w:r w:rsidR="0090268A">
                        <w:rPr>
                          <w:rFonts w:asciiTheme="minorHAnsi" w:hAnsiTheme="minorHAnsi"/>
                          <w:color w:val="FFFFFF" w:themeColor="background1"/>
                          <w:sz w:val="22"/>
                        </w:rPr>
                        <w:t xml:space="preserve"> </w:t>
                      </w:r>
                    </w:p>
                    <w:p w14:paraId="1A83633F" w14:textId="51FFEF26" w:rsidR="0090268A" w:rsidRPr="004B7EB6" w:rsidRDefault="0090268A"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mc:Fallback>
        </mc:AlternateContent>
      </w:r>
    </w:p>
    <w:p w14:paraId="36771363" w14:textId="77777777" w:rsidR="00040C3A" w:rsidRPr="00327C05" w:rsidRDefault="00040C3A" w:rsidP="00040C3A">
      <w:pPr>
        <w:tabs>
          <w:tab w:val="center" w:pos="5400"/>
        </w:tabs>
        <w:suppressAutoHyphens/>
        <w:jc w:val="center"/>
        <w:rPr>
          <w:rFonts w:asciiTheme="majorHAnsi" w:hAnsiTheme="majorHAnsi" w:cs="Arial"/>
          <w:sz w:val="22"/>
          <w:szCs w:val="22"/>
          <w:lang w:val="es-ES_tradnl"/>
        </w:rPr>
      </w:pPr>
    </w:p>
    <w:p w14:paraId="112F7DB5" w14:textId="77777777" w:rsidR="00040C3A" w:rsidRPr="00327C05" w:rsidRDefault="00040C3A" w:rsidP="00040C3A">
      <w:pPr>
        <w:tabs>
          <w:tab w:val="center" w:pos="5400"/>
        </w:tabs>
        <w:suppressAutoHyphens/>
        <w:jc w:val="center"/>
        <w:rPr>
          <w:rFonts w:asciiTheme="majorHAnsi" w:hAnsiTheme="majorHAnsi"/>
          <w:sz w:val="22"/>
          <w:szCs w:val="22"/>
          <w:lang w:val="es-ES_tradnl"/>
        </w:rPr>
      </w:pPr>
    </w:p>
    <w:p w14:paraId="65F639D4" w14:textId="77777777" w:rsidR="00040C3A" w:rsidRPr="00327C05" w:rsidRDefault="00040C3A" w:rsidP="00040C3A">
      <w:pPr>
        <w:tabs>
          <w:tab w:val="center" w:pos="5400"/>
        </w:tabs>
        <w:suppressAutoHyphens/>
        <w:jc w:val="center"/>
        <w:rPr>
          <w:rFonts w:asciiTheme="majorHAnsi" w:hAnsiTheme="majorHAnsi"/>
          <w:sz w:val="22"/>
          <w:szCs w:val="22"/>
          <w:lang w:val="es-ES_tradnl"/>
        </w:rPr>
      </w:pPr>
    </w:p>
    <w:p w14:paraId="3215793F" w14:textId="77777777" w:rsidR="00040C3A" w:rsidRPr="00327C05" w:rsidRDefault="00040C3A" w:rsidP="00040C3A">
      <w:pPr>
        <w:tabs>
          <w:tab w:val="center" w:pos="5400"/>
        </w:tabs>
        <w:suppressAutoHyphens/>
        <w:jc w:val="center"/>
        <w:rPr>
          <w:rFonts w:asciiTheme="majorHAnsi" w:hAnsiTheme="majorHAnsi"/>
          <w:sz w:val="22"/>
          <w:szCs w:val="22"/>
          <w:lang w:val="es-ES_tradnl"/>
        </w:rPr>
      </w:pPr>
    </w:p>
    <w:p w14:paraId="7CD929B2" w14:textId="77777777" w:rsidR="00040C3A" w:rsidRPr="00327C05" w:rsidRDefault="00040C3A" w:rsidP="00040C3A">
      <w:pPr>
        <w:tabs>
          <w:tab w:val="center" w:pos="5400"/>
        </w:tabs>
        <w:suppressAutoHyphens/>
        <w:jc w:val="center"/>
        <w:rPr>
          <w:rFonts w:asciiTheme="majorHAnsi" w:hAnsiTheme="majorHAnsi"/>
          <w:sz w:val="22"/>
          <w:szCs w:val="22"/>
          <w:lang w:val="es-ES_tradnl"/>
        </w:rPr>
      </w:pPr>
    </w:p>
    <w:p w14:paraId="32217A44" w14:textId="77777777" w:rsidR="005128E4" w:rsidRPr="00327C05" w:rsidRDefault="005128E4" w:rsidP="00040C3A">
      <w:pPr>
        <w:tabs>
          <w:tab w:val="center" w:pos="5400"/>
        </w:tabs>
        <w:suppressAutoHyphens/>
        <w:jc w:val="center"/>
        <w:rPr>
          <w:rFonts w:asciiTheme="majorHAnsi" w:hAnsiTheme="majorHAnsi"/>
          <w:sz w:val="22"/>
          <w:szCs w:val="22"/>
          <w:lang w:val="es-ES_tradnl"/>
        </w:rPr>
      </w:pPr>
    </w:p>
    <w:p w14:paraId="495C4C0F" w14:textId="77777777" w:rsidR="00040C3A" w:rsidRPr="00327C05" w:rsidRDefault="00040C3A" w:rsidP="00040C3A">
      <w:pPr>
        <w:tabs>
          <w:tab w:val="center" w:pos="5400"/>
        </w:tabs>
        <w:suppressAutoHyphens/>
        <w:jc w:val="center"/>
        <w:rPr>
          <w:rFonts w:asciiTheme="majorHAnsi" w:hAnsiTheme="majorHAnsi"/>
          <w:sz w:val="22"/>
          <w:szCs w:val="22"/>
          <w:lang w:val="es-ES_tradnl"/>
        </w:rPr>
      </w:pPr>
    </w:p>
    <w:p w14:paraId="74DEAE9E" w14:textId="77777777" w:rsidR="005128E4" w:rsidRPr="00327C05" w:rsidRDefault="005128E4" w:rsidP="00040C3A">
      <w:pPr>
        <w:tabs>
          <w:tab w:val="center" w:pos="5400"/>
        </w:tabs>
        <w:suppressAutoHyphens/>
        <w:jc w:val="center"/>
        <w:rPr>
          <w:rFonts w:asciiTheme="majorHAnsi" w:hAnsiTheme="majorHAnsi"/>
          <w:sz w:val="22"/>
          <w:szCs w:val="22"/>
          <w:lang w:val="es-ES_tradnl"/>
        </w:rPr>
      </w:pPr>
    </w:p>
    <w:p w14:paraId="1DDDD511" w14:textId="77777777" w:rsidR="005128E4" w:rsidRPr="00327C05" w:rsidRDefault="005128E4" w:rsidP="00040C3A">
      <w:pPr>
        <w:tabs>
          <w:tab w:val="center" w:pos="5400"/>
        </w:tabs>
        <w:suppressAutoHyphens/>
        <w:jc w:val="center"/>
        <w:rPr>
          <w:rFonts w:asciiTheme="majorHAnsi" w:hAnsiTheme="majorHAnsi"/>
          <w:sz w:val="22"/>
          <w:szCs w:val="22"/>
          <w:lang w:val="es-ES_tradnl"/>
        </w:rPr>
      </w:pPr>
    </w:p>
    <w:p w14:paraId="6243B5C8" w14:textId="77777777" w:rsidR="005128E4" w:rsidRPr="00327C05" w:rsidRDefault="005128E4" w:rsidP="00040C3A">
      <w:pPr>
        <w:tabs>
          <w:tab w:val="center" w:pos="5400"/>
        </w:tabs>
        <w:suppressAutoHyphens/>
        <w:jc w:val="center"/>
        <w:rPr>
          <w:rFonts w:asciiTheme="majorHAnsi" w:hAnsiTheme="majorHAnsi"/>
          <w:sz w:val="22"/>
          <w:szCs w:val="22"/>
          <w:lang w:val="es-ES_tradnl"/>
        </w:rPr>
      </w:pPr>
    </w:p>
    <w:p w14:paraId="5AA193DE" w14:textId="77777777" w:rsidR="00040C3A" w:rsidRPr="00327C05" w:rsidRDefault="00040C3A" w:rsidP="00040C3A">
      <w:pPr>
        <w:tabs>
          <w:tab w:val="center" w:pos="5400"/>
        </w:tabs>
        <w:suppressAutoHyphens/>
        <w:jc w:val="center"/>
        <w:rPr>
          <w:rFonts w:asciiTheme="majorHAnsi" w:hAnsiTheme="majorHAnsi"/>
          <w:sz w:val="22"/>
          <w:szCs w:val="22"/>
          <w:lang w:val="es-ES_tradnl"/>
        </w:rPr>
      </w:pPr>
    </w:p>
    <w:p w14:paraId="03B2A02A" w14:textId="77777777" w:rsidR="00040C3A" w:rsidRPr="00327C05" w:rsidRDefault="00040C3A" w:rsidP="00040C3A">
      <w:pPr>
        <w:tabs>
          <w:tab w:val="center" w:pos="5400"/>
        </w:tabs>
        <w:suppressAutoHyphens/>
        <w:jc w:val="center"/>
        <w:rPr>
          <w:rFonts w:asciiTheme="majorHAnsi" w:hAnsiTheme="majorHAnsi"/>
          <w:sz w:val="22"/>
          <w:szCs w:val="22"/>
          <w:lang w:val="es-ES_tradnl"/>
        </w:rPr>
      </w:pPr>
    </w:p>
    <w:p w14:paraId="76B7300A" w14:textId="77777777" w:rsidR="002C1641" w:rsidRPr="00327C05" w:rsidRDefault="002C1641" w:rsidP="00040C3A">
      <w:pPr>
        <w:tabs>
          <w:tab w:val="center" w:pos="5400"/>
        </w:tabs>
        <w:suppressAutoHyphens/>
        <w:jc w:val="center"/>
        <w:rPr>
          <w:rFonts w:asciiTheme="majorHAnsi" w:hAnsiTheme="majorHAnsi"/>
          <w:sz w:val="18"/>
          <w:szCs w:val="22"/>
          <w:lang w:val="es-ES_tradnl"/>
        </w:rPr>
      </w:pPr>
    </w:p>
    <w:p w14:paraId="6CBAE618" w14:textId="77777777" w:rsidR="002C1641" w:rsidRPr="00327C05" w:rsidRDefault="002C1641" w:rsidP="00040C3A">
      <w:pPr>
        <w:tabs>
          <w:tab w:val="center" w:pos="5400"/>
        </w:tabs>
        <w:suppressAutoHyphens/>
        <w:jc w:val="center"/>
        <w:rPr>
          <w:rFonts w:asciiTheme="majorHAnsi" w:hAnsiTheme="majorHAnsi"/>
          <w:sz w:val="18"/>
          <w:szCs w:val="22"/>
          <w:lang w:val="es-ES_tradnl"/>
        </w:rPr>
      </w:pPr>
    </w:p>
    <w:p w14:paraId="591A074D" w14:textId="77777777" w:rsidR="002C1641" w:rsidRPr="00327C05" w:rsidRDefault="002C1641" w:rsidP="00040C3A">
      <w:pPr>
        <w:tabs>
          <w:tab w:val="center" w:pos="5400"/>
        </w:tabs>
        <w:suppressAutoHyphens/>
        <w:jc w:val="center"/>
        <w:rPr>
          <w:rFonts w:asciiTheme="majorHAnsi" w:hAnsiTheme="majorHAnsi"/>
          <w:sz w:val="18"/>
          <w:szCs w:val="22"/>
          <w:lang w:val="es-ES_tradnl"/>
        </w:rPr>
      </w:pPr>
    </w:p>
    <w:p w14:paraId="5696F40E" w14:textId="77777777" w:rsidR="002C1641" w:rsidRPr="00327C05" w:rsidRDefault="002C1641" w:rsidP="00040C3A">
      <w:pPr>
        <w:tabs>
          <w:tab w:val="center" w:pos="5400"/>
        </w:tabs>
        <w:suppressAutoHyphens/>
        <w:jc w:val="center"/>
        <w:rPr>
          <w:rFonts w:asciiTheme="majorHAnsi" w:hAnsiTheme="majorHAnsi"/>
          <w:sz w:val="18"/>
          <w:szCs w:val="22"/>
          <w:lang w:val="es-ES_tradnl"/>
        </w:rPr>
      </w:pPr>
    </w:p>
    <w:p w14:paraId="781DAA2E" w14:textId="77777777" w:rsidR="002C1641" w:rsidRPr="00327C05" w:rsidRDefault="002C1641" w:rsidP="00040C3A">
      <w:pPr>
        <w:tabs>
          <w:tab w:val="center" w:pos="5400"/>
        </w:tabs>
        <w:suppressAutoHyphens/>
        <w:jc w:val="center"/>
        <w:rPr>
          <w:rFonts w:asciiTheme="majorHAnsi" w:hAnsiTheme="majorHAnsi"/>
          <w:sz w:val="18"/>
          <w:szCs w:val="22"/>
          <w:lang w:val="es-ES_tradnl"/>
        </w:rPr>
      </w:pPr>
    </w:p>
    <w:p w14:paraId="25169289" w14:textId="77777777" w:rsidR="002C1641" w:rsidRPr="00327C05" w:rsidRDefault="002C1641" w:rsidP="00040C3A">
      <w:pPr>
        <w:tabs>
          <w:tab w:val="center" w:pos="5400"/>
        </w:tabs>
        <w:suppressAutoHyphens/>
        <w:jc w:val="center"/>
        <w:rPr>
          <w:rFonts w:asciiTheme="majorHAnsi" w:hAnsiTheme="majorHAnsi"/>
          <w:sz w:val="18"/>
          <w:szCs w:val="22"/>
          <w:lang w:val="es-ES_tradnl"/>
        </w:rPr>
      </w:pPr>
    </w:p>
    <w:p w14:paraId="6E0053EE" w14:textId="77777777" w:rsidR="002C1641" w:rsidRPr="00327C05" w:rsidRDefault="002C1641" w:rsidP="00040C3A">
      <w:pPr>
        <w:tabs>
          <w:tab w:val="center" w:pos="5400"/>
        </w:tabs>
        <w:suppressAutoHyphens/>
        <w:jc w:val="center"/>
        <w:rPr>
          <w:rFonts w:asciiTheme="majorHAnsi" w:hAnsiTheme="majorHAnsi"/>
          <w:sz w:val="18"/>
          <w:szCs w:val="22"/>
          <w:lang w:val="es-ES_tradnl"/>
        </w:rPr>
      </w:pPr>
    </w:p>
    <w:p w14:paraId="1DA0BA37" w14:textId="77777777" w:rsidR="002C1641" w:rsidRPr="00327C05" w:rsidRDefault="002C1641" w:rsidP="00040C3A">
      <w:pPr>
        <w:tabs>
          <w:tab w:val="center" w:pos="5400"/>
        </w:tabs>
        <w:suppressAutoHyphens/>
        <w:jc w:val="center"/>
        <w:rPr>
          <w:rFonts w:asciiTheme="majorHAnsi" w:hAnsiTheme="majorHAnsi"/>
          <w:sz w:val="18"/>
          <w:szCs w:val="22"/>
          <w:lang w:val="es-ES_tradnl"/>
        </w:rPr>
      </w:pPr>
    </w:p>
    <w:p w14:paraId="3A14810F" w14:textId="77777777" w:rsidR="002C1641" w:rsidRPr="00327C05" w:rsidRDefault="002C1641" w:rsidP="00040C3A">
      <w:pPr>
        <w:tabs>
          <w:tab w:val="center" w:pos="5400"/>
        </w:tabs>
        <w:suppressAutoHyphens/>
        <w:jc w:val="center"/>
        <w:rPr>
          <w:rFonts w:asciiTheme="majorHAnsi" w:hAnsiTheme="majorHAnsi"/>
          <w:sz w:val="18"/>
          <w:szCs w:val="22"/>
          <w:lang w:val="es-ES_tradnl"/>
        </w:rPr>
      </w:pPr>
    </w:p>
    <w:p w14:paraId="3FA7F551" w14:textId="77777777" w:rsidR="002C1641" w:rsidRPr="00327C05" w:rsidRDefault="002C1641" w:rsidP="00040C3A">
      <w:pPr>
        <w:tabs>
          <w:tab w:val="center" w:pos="5400"/>
        </w:tabs>
        <w:suppressAutoHyphens/>
        <w:jc w:val="center"/>
        <w:rPr>
          <w:rFonts w:asciiTheme="majorHAnsi" w:hAnsiTheme="majorHAnsi"/>
          <w:sz w:val="18"/>
          <w:szCs w:val="22"/>
          <w:lang w:val="es-ES_tradnl"/>
        </w:rPr>
      </w:pPr>
    </w:p>
    <w:p w14:paraId="297AE83D" w14:textId="77777777" w:rsidR="002C1641" w:rsidRPr="00327C05" w:rsidRDefault="002C1641" w:rsidP="00040C3A">
      <w:pPr>
        <w:tabs>
          <w:tab w:val="center" w:pos="5400"/>
        </w:tabs>
        <w:suppressAutoHyphens/>
        <w:jc w:val="center"/>
        <w:rPr>
          <w:rFonts w:asciiTheme="majorHAnsi" w:hAnsiTheme="majorHAnsi"/>
          <w:sz w:val="18"/>
          <w:szCs w:val="22"/>
          <w:lang w:val="es-ES_tradnl"/>
        </w:rPr>
      </w:pPr>
    </w:p>
    <w:p w14:paraId="6B2C2E65" w14:textId="77777777" w:rsidR="002C1641" w:rsidRPr="00327C05" w:rsidRDefault="002C1641" w:rsidP="00040C3A">
      <w:pPr>
        <w:tabs>
          <w:tab w:val="center" w:pos="5400"/>
        </w:tabs>
        <w:suppressAutoHyphens/>
        <w:jc w:val="center"/>
        <w:rPr>
          <w:rFonts w:asciiTheme="majorHAnsi" w:hAnsiTheme="majorHAnsi"/>
          <w:sz w:val="18"/>
          <w:szCs w:val="22"/>
          <w:lang w:val="es-ES_tradnl"/>
        </w:rPr>
      </w:pPr>
    </w:p>
    <w:p w14:paraId="18FCC86A" w14:textId="77777777" w:rsidR="002C1641" w:rsidRPr="00327C05" w:rsidRDefault="003C32BC" w:rsidP="00040C3A">
      <w:pPr>
        <w:tabs>
          <w:tab w:val="center" w:pos="5400"/>
        </w:tabs>
        <w:suppressAutoHyphens/>
        <w:jc w:val="center"/>
        <w:rPr>
          <w:rFonts w:asciiTheme="majorHAnsi" w:hAnsiTheme="majorHAnsi"/>
          <w:sz w:val="18"/>
          <w:szCs w:val="22"/>
          <w:lang w:val="es-ES_tradnl"/>
        </w:rPr>
      </w:pPr>
      <w:r w:rsidRPr="00327C05">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4708A66" wp14:editId="3C7A1EC1">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65FD4" w14:textId="121D64CB" w:rsidR="0090268A" w:rsidRPr="003C32BC" w:rsidRDefault="0090268A"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61314B">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on </w:t>
                            </w:r>
                            <w:r w:rsidR="00F4506C">
                              <w:rPr>
                                <w:rFonts w:asciiTheme="majorHAnsi" w:hAnsiTheme="majorHAnsi"/>
                                <w:color w:val="0D0D0D" w:themeColor="text1" w:themeTint="F2"/>
                                <w:sz w:val="18"/>
                                <w:szCs w:val="20"/>
                              </w:rPr>
                              <w:t>Dec</w:t>
                            </w:r>
                            <w:r w:rsidR="0061314B">
                              <w:rPr>
                                <w:rFonts w:asciiTheme="majorHAnsi" w:hAnsiTheme="majorHAnsi"/>
                                <w:color w:val="0D0D0D" w:themeColor="text1" w:themeTint="F2"/>
                                <w:sz w:val="18"/>
                                <w:szCs w:val="20"/>
                              </w:rPr>
                              <w:t>ember</w:t>
                            </w:r>
                            <w:r w:rsidR="00D51D69">
                              <w:rPr>
                                <w:rFonts w:asciiTheme="majorHAnsi" w:hAnsiTheme="majorHAnsi"/>
                                <w:color w:val="0D0D0D" w:themeColor="text1" w:themeTint="F2"/>
                                <w:sz w:val="18"/>
                                <w:szCs w:val="20"/>
                              </w:rPr>
                              <w:t xml:space="preserve"> </w:t>
                            </w:r>
                            <w:r w:rsidR="001751D2">
                              <w:rPr>
                                <w:rFonts w:asciiTheme="majorHAnsi" w:hAnsiTheme="majorHAnsi"/>
                                <w:color w:val="0D0D0D" w:themeColor="text1" w:themeTint="F2"/>
                                <w:sz w:val="18"/>
                                <w:szCs w:val="20"/>
                              </w:rPr>
                              <w:t>31</w:t>
                            </w:r>
                            <w:r>
                              <w:rPr>
                                <w:rFonts w:asciiTheme="majorHAnsi" w:hAnsiTheme="majorHAnsi"/>
                                <w:color w:val="0D0D0D" w:themeColor="text1" w:themeTint="F2"/>
                                <w:sz w:val="18"/>
                                <w:szCs w:val="20"/>
                              </w:rPr>
                              <w:t>, 20</w:t>
                            </w:r>
                            <w:r w:rsidR="0061314B">
                              <w:rPr>
                                <w:rFonts w:asciiTheme="majorHAnsi" w:hAnsiTheme="majorHAnsi"/>
                                <w:color w:val="0D0D0D" w:themeColor="text1" w:themeTint="F2"/>
                                <w:sz w:val="18"/>
                                <w:szCs w:val="20"/>
                              </w:rPr>
                              <w:t>21</w:t>
                            </w:r>
                            <w:r w:rsidR="00327C05">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08A66"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6DF65FD4" w14:textId="121D64CB" w:rsidR="0090268A" w:rsidRPr="003C32BC" w:rsidRDefault="0090268A"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61314B">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on </w:t>
                      </w:r>
                      <w:r w:rsidR="00F4506C">
                        <w:rPr>
                          <w:rFonts w:asciiTheme="majorHAnsi" w:hAnsiTheme="majorHAnsi"/>
                          <w:color w:val="0D0D0D" w:themeColor="text1" w:themeTint="F2"/>
                          <w:sz w:val="18"/>
                          <w:szCs w:val="20"/>
                        </w:rPr>
                        <w:t>Dec</w:t>
                      </w:r>
                      <w:r w:rsidR="0061314B">
                        <w:rPr>
                          <w:rFonts w:asciiTheme="majorHAnsi" w:hAnsiTheme="majorHAnsi"/>
                          <w:color w:val="0D0D0D" w:themeColor="text1" w:themeTint="F2"/>
                          <w:sz w:val="18"/>
                          <w:szCs w:val="20"/>
                        </w:rPr>
                        <w:t>ember</w:t>
                      </w:r>
                      <w:r w:rsidR="00D51D69">
                        <w:rPr>
                          <w:rFonts w:asciiTheme="majorHAnsi" w:hAnsiTheme="majorHAnsi"/>
                          <w:color w:val="0D0D0D" w:themeColor="text1" w:themeTint="F2"/>
                          <w:sz w:val="18"/>
                          <w:szCs w:val="20"/>
                        </w:rPr>
                        <w:t xml:space="preserve"> </w:t>
                      </w:r>
                      <w:r w:rsidR="001751D2">
                        <w:rPr>
                          <w:rFonts w:asciiTheme="majorHAnsi" w:hAnsiTheme="majorHAnsi"/>
                          <w:color w:val="0D0D0D" w:themeColor="text1" w:themeTint="F2"/>
                          <w:sz w:val="18"/>
                          <w:szCs w:val="20"/>
                        </w:rPr>
                        <w:t>31</w:t>
                      </w:r>
                      <w:r>
                        <w:rPr>
                          <w:rFonts w:asciiTheme="majorHAnsi" w:hAnsiTheme="majorHAnsi"/>
                          <w:color w:val="0D0D0D" w:themeColor="text1" w:themeTint="F2"/>
                          <w:sz w:val="18"/>
                          <w:szCs w:val="20"/>
                        </w:rPr>
                        <w:t>, 20</w:t>
                      </w:r>
                      <w:r w:rsidR="0061314B">
                        <w:rPr>
                          <w:rFonts w:asciiTheme="majorHAnsi" w:hAnsiTheme="majorHAnsi"/>
                          <w:color w:val="0D0D0D" w:themeColor="text1" w:themeTint="F2"/>
                          <w:sz w:val="18"/>
                          <w:szCs w:val="20"/>
                        </w:rPr>
                        <w:t>21</w:t>
                      </w:r>
                      <w:r w:rsidR="00327C05">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p>
                  </w:txbxContent>
                </v:textbox>
              </v:shape>
            </w:pict>
          </mc:Fallback>
        </mc:AlternateContent>
      </w:r>
    </w:p>
    <w:p w14:paraId="34A13764" w14:textId="77777777" w:rsidR="002C1641" w:rsidRPr="00327C05" w:rsidRDefault="002C1641" w:rsidP="00040C3A">
      <w:pPr>
        <w:tabs>
          <w:tab w:val="center" w:pos="5400"/>
        </w:tabs>
        <w:suppressAutoHyphens/>
        <w:jc w:val="center"/>
        <w:rPr>
          <w:rFonts w:asciiTheme="majorHAnsi" w:hAnsiTheme="majorHAnsi"/>
          <w:sz w:val="18"/>
          <w:szCs w:val="22"/>
          <w:lang w:val="es-ES_tradnl"/>
        </w:rPr>
      </w:pPr>
    </w:p>
    <w:p w14:paraId="27D6C99A" w14:textId="77777777" w:rsidR="002C1641" w:rsidRPr="00327C05" w:rsidRDefault="002C1641" w:rsidP="00040C3A">
      <w:pPr>
        <w:tabs>
          <w:tab w:val="center" w:pos="5400"/>
        </w:tabs>
        <w:suppressAutoHyphens/>
        <w:jc w:val="center"/>
        <w:rPr>
          <w:rFonts w:asciiTheme="majorHAnsi" w:hAnsiTheme="majorHAnsi"/>
          <w:sz w:val="18"/>
          <w:szCs w:val="22"/>
          <w:lang w:val="es-ES_tradnl"/>
        </w:rPr>
      </w:pPr>
    </w:p>
    <w:p w14:paraId="7600DD5A" w14:textId="77777777" w:rsidR="002C1641" w:rsidRPr="00327C05" w:rsidRDefault="002C1641" w:rsidP="00040C3A">
      <w:pPr>
        <w:tabs>
          <w:tab w:val="center" w:pos="5400"/>
        </w:tabs>
        <w:suppressAutoHyphens/>
        <w:jc w:val="center"/>
        <w:rPr>
          <w:rFonts w:asciiTheme="majorHAnsi" w:hAnsiTheme="majorHAnsi"/>
          <w:sz w:val="18"/>
          <w:szCs w:val="22"/>
          <w:lang w:val="es-ES_tradnl"/>
        </w:rPr>
      </w:pPr>
    </w:p>
    <w:p w14:paraId="1A38BFAE" w14:textId="77777777" w:rsidR="002C1641" w:rsidRPr="00327C05" w:rsidRDefault="002C1641" w:rsidP="00040C3A">
      <w:pPr>
        <w:tabs>
          <w:tab w:val="center" w:pos="5400"/>
        </w:tabs>
        <w:suppressAutoHyphens/>
        <w:jc w:val="center"/>
        <w:rPr>
          <w:rFonts w:asciiTheme="majorHAnsi" w:hAnsiTheme="majorHAnsi"/>
          <w:sz w:val="18"/>
          <w:szCs w:val="22"/>
          <w:lang w:val="es-ES_tradnl"/>
        </w:rPr>
      </w:pPr>
    </w:p>
    <w:p w14:paraId="0E1E44F7" w14:textId="77777777" w:rsidR="002C1641" w:rsidRPr="00327C05" w:rsidRDefault="003C32BC" w:rsidP="00040C3A">
      <w:pPr>
        <w:tabs>
          <w:tab w:val="center" w:pos="5400"/>
        </w:tabs>
        <w:suppressAutoHyphens/>
        <w:jc w:val="center"/>
        <w:rPr>
          <w:rFonts w:asciiTheme="majorHAnsi" w:hAnsiTheme="majorHAnsi"/>
          <w:sz w:val="18"/>
          <w:szCs w:val="22"/>
          <w:lang w:val="es-ES_tradnl"/>
        </w:rPr>
      </w:pPr>
      <w:r w:rsidRPr="00327C05">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33FAB8B1" wp14:editId="348C2B54">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DA38BB" w14:textId="19084213" w:rsidR="0090268A" w:rsidRPr="00704058" w:rsidRDefault="0090268A" w:rsidP="00F45EBF">
                            <w:pPr>
                              <w:spacing w:line="276" w:lineRule="auto"/>
                              <w:jc w:val="both"/>
                              <w:rPr>
                                <w:rFonts w:asciiTheme="majorHAnsi" w:hAnsiTheme="majorHAnsi"/>
                                <w:color w:val="595959" w:themeColor="text1" w:themeTint="A6"/>
                                <w:sz w:val="18"/>
                                <w:lang w:val="pt-BR"/>
                              </w:rPr>
                            </w:pPr>
                            <w:r w:rsidRPr="003C32BC">
                              <w:rPr>
                                <w:rFonts w:asciiTheme="majorHAnsi" w:hAnsiTheme="majorHAnsi"/>
                                <w:b/>
                                <w:color w:val="595959" w:themeColor="text1" w:themeTint="A6"/>
                                <w:sz w:val="18"/>
                              </w:rPr>
                              <w:t xml:space="preserve">Cite as: </w:t>
                            </w:r>
                            <w:r w:rsidRPr="008F34F5">
                              <w:rPr>
                                <w:rFonts w:asciiTheme="majorHAnsi" w:hAnsiTheme="majorHAnsi"/>
                                <w:color w:val="595959" w:themeColor="text1" w:themeTint="A6"/>
                                <w:sz w:val="18"/>
                              </w:rPr>
                              <w:t xml:space="preserve">IACHR, Report No. </w:t>
                            </w:r>
                            <w:r w:rsidR="001751D2">
                              <w:rPr>
                                <w:rFonts w:asciiTheme="majorHAnsi" w:hAnsiTheme="majorHAnsi"/>
                                <w:color w:val="595959" w:themeColor="text1" w:themeTint="A6"/>
                                <w:sz w:val="18"/>
                              </w:rPr>
                              <w:t>460</w:t>
                            </w:r>
                            <w:r w:rsidR="005D6EE5" w:rsidRPr="00D51D69">
                              <w:rPr>
                                <w:rFonts w:asciiTheme="majorHAnsi" w:hAnsiTheme="majorHAnsi"/>
                                <w:color w:val="595959" w:themeColor="text1" w:themeTint="A6"/>
                                <w:sz w:val="18"/>
                              </w:rPr>
                              <w:t>/</w:t>
                            </w:r>
                            <w:r w:rsidR="0061314B">
                              <w:rPr>
                                <w:rFonts w:asciiTheme="majorHAnsi" w:hAnsiTheme="majorHAnsi"/>
                                <w:color w:val="595959" w:themeColor="text1" w:themeTint="A6"/>
                                <w:sz w:val="18"/>
                              </w:rPr>
                              <w:t>21</w:t>
                            </w:r>
                            <w:r w:rsidR="005D6EE5" w:rsidRPr="00D51D69">
                              <w:rPr>
                                <w:rFonts w:asciiTheme="majorHAnsi" w:hAnsiTheme="majorHAnsi"/>
                                <w:color w:val="595959" w:themeColor="text1" w:themeTint="A6"/>
                                <w:sz w:val="18"/>
                              </w:rPr>
                              <w:t>.</w:t>
                            </w:r>
                            <w:r w:rsidR="00704058" w:rsidRPr="00D51D69">
                              <w:rPr>
                                <w:rFonts w:asciiTheme="majorHAnsi" w:hAnsiTheme="majorHAnsi"/>
                                <w:color w:val="595959" w:themeColor="text1" w:themeTint="A6"/>
                                <w:sz w:val="18"/>
                              </w:rPr>
                              <w:t xml:space="preserve"> Case 12.721</w:t>
                            </w:r>
                            <w:r w:rsidRPr="00D51D69">
                              <w:rPr>
                                <w:rFonts w:asciiTheme="majorHAnsi" w:hAnsiTheme="majorHAnsi"/>
                                <w:color w:val="595959" w:themeColor="text1" w:themeTint="A6"/>
                                <w:sz w:val="18"/>
                              </w:rPr>
                              <w:t xml:space="preserve">. </w:t>
                            </w:r>
                            <w:r w:rsidRPr="00704058">
                              <w:rPr>
                                <w:rFonts w:asciiTheme="majorHAnsi" w:hAnsiTheme="majorHAnsi"/>
                                <w:color w:val="595959" w:themeColor="text1" w:themeTint="A6"/>
                                <w:sz w:val="18"/>
                                <w:lang w:val="pt-BR"/>
                              </w:rPr>
                              <w:t>Merits</w:t>
                            </w:r>
                            <w:r w:rsidR="0061314B">
                              <w:rPr>
                                <w:rFonts w:asciiTheme="majorHAnsi" w:hAnsiTheme="majorHAnsi"/>
                                <w:color w:val="595959" w:themeColor="text1" w:themeTint="A6"/>
                                <w:sz w:val="18"/>
                                <w:lang w:val="pt-BR"/>
                              </w:rPr>
                              <w:t xml:space="preserve"> (</w:t>
                            </w:r>
                            <w:r w:rsidR="00F4506C">
                              <w:rPr>
                                <w:rFonts w:asciiTheme="majorHAnsi" w:hAnsiTheme="majorHAnsi"/>
                                <w:color w:val="595959" w:themeColor="text1" w:themeTint="A6"/>
                                <w:sz w:val="18"/>
                                <w:lang w:val="pt-BR"/>
                              </w:rPr>
                              <w:t>Publication</w:t>
                            </w:r>
                            <w:r w:rsidR="0061314B">
                              <w:rPr>
                                <w:rFonts w:asciiTheme="majorHAnsi" w:hAnsiTheme="majorHAnsi"/>
                                <w:color w:val="595959" w:themeColor="text1" w:themeTint="A6"/>
                                <w:sz w:val="18"/>
                                <w:lang w:val="pt-BR"/>
                              </w:rPr>
                              <w:t>)</w:t>
                            </w:r>
                            <w:r w:rsidRPr="00704058">
                              <w:rPr>
                                <w:rFonts w:asciiTheme="majorHAnsi" w:hAnsiTheme="majorHAnsi"/>
                                <w:color w:val="595959" w:themeColor="text1" w:themeTint="A6"/>
                                <w:sz w:val="18"/>
                                <w:lang w:val="pt-BR"/>
                              </w:rPr>
                              <w:t>. A</w:t>
                            </w:r>
                            <w:r w:rsidR="00704058" w:rsidRPr="00704058">
                              <w:rPr>
                                <w:rFonts w:asciiTheme="majorHAnsi" w:hAnsiTheme="majorHAnsi"/>
                                <w:color w:val="595959" w:themeColor="text1" w:themeTint="A6"/>
                                <w:sz w:val="18"/>
                                <w:lang w:val="pt-BR"/>
                              </w:rPr>
                              <w:t>ngel Pedro Falanga</w:t>
                            </w:r>
                            <w:r w:rsidRPr="00704058">
                              <w:rPr>
                                <w:rFonts w:asciiTheme="majorHAnsi" w:hAnsiTheme="majorHAnsi"/>
                                <w:color w:val="595959" w:themeColor="text1" w:themeTint="A6"/>
                                <w:sz w:val="18"/>
                                <w:lang w:val="pt-BR"/>
                              </w:rPr>
                              <w:t>.</w:t>
                            </w:r>
                            <w:r w:rsidR="00704058" w:rsidRPr="00704058">
                              <w:rPr>
                                <w:rFonts w:asciiTheme="majorHAnsi" w:hAnsiTheme="majorHAnsi"/>
                                <w:color w:val="595959" w:themeColor="text1" w:themeTint="A6"/>
                                <w:sz w:val="18"/>
                                <w:lang w:val="pt-BR"/>
                              </w:rPr>
                              <w:t xml:space="preserve"> A</w:t>
                            </w:r>
                            <w:r w:rsidR="00704058">
                              <w:rPr>
                                <w:rFonts w:asciiTheme="majorHAnsi" w:hAnsiTheme="majorHAnsi"/>
                                <w:color w:val="595959" w:themeColor="text1" w:themeTint="A6"/>
                                <w:sz w:val="18"/>
                                <w:lang w:val="pt-BR"/>
                              </w:rPr>
                              <w:t>rgentina.</w:t>
                            </w:r>
                            <w:r w:rsidRPr="00704058">
                              <w:rPr>
                                <w:rFonts w:asciiTheme="majorHAnsi" w:hAnsiTheme="majorHAnsi"/>
                                <w:color w:val="595959" w:themeColor="text1" w:themeTint="A6"/>
                                <w:sz w:val="18"/>
                                <w:lang w:val="pt-BR"/>
                              </w:rPr>
                              <w:t xml:space="preserve"> </w:t>
                            </w:r>
                            <w:r w:rsidR="00F4506C">
                              <w:rPr>
                                <w:rFonts w:asciiTheme="majorHAnsi" w:hAnsiTheme="majorHAnsi"/>
                                <w:color w:val="595959" w:themeColor="text1" w:themeTint="A6"/>
                                <w:sz w:val="18"/>
                                <w:lang w:val="pt-BR"/>
                              </w:rPr>
                              <w:t>Dec</w:t>
                            </w:r>
                            <w:r w:rsidR="0061314B">
                              <w:rPr>
                                <w:rFonts w:asciiTheme="majorHAnsi" w:hAnsiTheme="majorHAnsi"/>
                                <w:color w:val="595959" w:themeColor="text1" w:themeTint="A6"/>
                                <w:sz w:val="18"/>
                                <w:lang w:val="pt-BR"/>
                              </w:rPr>
                              <w:t>ember</w:t>
                            </w:r>
                            <w:r w:rsidR="00D51D69">
                              <w:rPr>
                                <w:rFonts w:asciiTheme="majorHAnsi" w:hAnsiTheme="majorHAnsi"/>
                                <w:color w:val="595959" w:themeColor="text1" w:themeTint="A6"/>
                                <w:sz w:val="18"/>
                                <w:lang w:val="pt-BR"/>
                              </w:rPr>
                              <w:t xml:space="preserve"> </w:t>
                            </w:r>
                            <w:r w:rsidR="001751D2">
                              <w:rPr>
                                <w:rFonts w:asciiTheme="majorHAnsi" w:hAnsiTheme="majorHAnsi"/>
                                <w:color w:val="595959" w:themeColor="text1" w:themeTint="A6"/>
                                <w:sz w:val="18"/>
                                <w:lang w:val="pt-BR"/>
                              </w:rPr>
                              <w:t>31</w:t>
                            </w:r>
                            <w:r w:rsidR="00704058">
                              <w:rPr>
                                <w:rFonts w:asciiTheme="majorHAnsi" w:hAnsiTheme="majorHAnsi"/>
                                <w:color w:val="595959" w:themeColor="text1" w:themeTint="A6"/>
                                <w:sz w:val="18"/>
                                <w:lang w:val="pt-BR"/>
                              </w:rPr>
                              <w:t>, 20</w:t>
                            </w:r>
                            <w:r w:rsidR="0061314B">
                              <w:rPr>
                                <w:rFonts w:asciiTheme="majorHAnsi" w:hAnsiTheme="majorHAnsi"/>
                                <w:color w:val="595959" w:themeColor="text1" w:themeTint="A6"/>
                                <w:sz w:val="18"/>
                                <w:lang w:val="pt-BR"/>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AB8B1"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38DA38BB" w14:textId="19084213" w:rsidR="0090268A" w:rsidRPr="00704058" w:rsidRDefault="0090268A" w:rsidP="00F45EBF">
                      <w:pPr>
                        <w:spacing w:line="276" w:lineRule="auto"/>
                        <w:jc w:val="both"/>
                        <w:rPr>
                          <w:rFonts w:asciiTheme="majorHAnsi" w:hAnsiTheme="majorHAnsi"/>
                          <w:color w:val="595959" w:themeColor="text1" w:themeTint="A6"/>
                          <w:sz w:val="18"/>
                          <w:lang w:val="pt-BR"/>
                        </w:rPr>
                      </w:pPr>
                      <w:r w:rsidRPr="003C32BC">
                        <w:rPr>
                          <w:rFonts w:asciiTheme="majorHAnsi" w:hAnsiTheme="majorHAnsi"/>
                          <w:b/>
                          <w:color w:val="595959" w:themeColor="text1" w:themeTint="A6"/>
                          <w:sz w:val="18"/>
                        </w:rPr>
                        <w:t xml:space="preserve">Cite as: </w:t>
                      </w:r>
                      <w:r w:rsidRPr="008F34F5">
                        <w:rPr>
                          <w:rFonts w:asciiTheme="majorHAnsi" w:hAnsiTheme="majorHAnsi"/>
                          <w:color w:val="595959" w:themeColor="text1" w:themeTint="A6"/>
                          <w:sz w:val="18"/>
                        </w:rPr>
                        <w:t xml:space="preserve">IACHR, Report No. </w:t>
                      </w:r>
                      <w:r w:rsidR="001751D2">
                        <w:rPr>
                          <w:rFonts w:asciiTheme="majorHAnsi" w:hAnsiTheme="majorHAnsi"/>
                          <w:color w:val="595959" w:themeColor="text1" w:themeTint="A6"/>
                          <w:sz w:val="18"/>
                        </w:rPr>
                        <w:t>460</w:t>
                      </w:r>
                      <w:r w:rsidR="005D6EE5" w:rsidRPr="00D51D69">
                        <w:rPr>
                          <w:rFonts w:asciiTheme="majorHAnsi" w:hAnsiTheme="majorHAnsi"/>
                          <w:color w:val="595959" w:themeColor="text1" w:themeTint="A6"/>
                          <w:sz w:val="18"/>
                        </w:rPr>
                        <w:t>/</w:t>
                      </w:r>
                      <w:r w:rsidR="0061314B">
                        <w:rPr>
                          <w:rFonts w:asciiTheme="majorHAnsi" w:hAnsiTheme="majorHAnsi"/>
                          <w:color w:val="595959" w:themeColor="text1" w:themeTint="A6"/>
                          <w:sz w:val="18"/>
                        </w:rPr>
                        <w:t>21</w:t>
                      </w:r>
                      <w:r w:rsidR="005D6EE5" w:rsidRPr="00D51D69">
                        <w:rPr>
                          <w:rFonts w:asciiTheme="majorHAnsi" w:hAnsiTheme="majorHAnsi"/>
                          <w:color w:val="595959" w:themeColor="text1" w:themeTint="A6"/>
                          <w:sz w:val="18"/>
                        </w:rPr>
                        <w:t>.</w:t>
                      </w:r>
                      <w:r w:rsidR="00704058" w:rsidRPr="00D51D69">
                        <w:rPr>
                          <w:rFonts w:asciiTheme="majorHAnsi" w:hAnsiTheme="majorHAnsi"/>
                          <w:color w:val="595959" w:themeColor="text1" w:themeTint="A6"/>
                          <w:sz w:val="18"/>
                        </w:rPr>
                        <w:t xml:space="preserve"> Case 12.721</w:t>
                      </w:r>
                      <w:r w:rsidRPr="00D51D69">
                        <w:rPr>
                          <w:rFonts w:asciiTheme="majorHAnsi" w:hAnsiTheme="majorHAnsi"/>
                          <w:color w:val="595959" w:themeColor="text1" w:themeTint="A6"/>
                          <w:sz w:val="18"/>
                        </w:rPr>
                        <w:t xml:space="preserve">. </w:t>
                      </w:r>
                      <w:r w:rsidRPr="00704058">
                        <w:rPr>
                          <w:rFonts w:asciiTheme="majorHAnsi" w:hAnsiTheme="majorHAnsi"/>
                          <w:color w:val="595959" w:themeColor="text1" w:themeTint="A6"/>
                          <w:sz w:val="18"/>
                          <w:lang w:val="pt-BR"/>
                        </w:rPr>
                        <w:t>Merits</w:t>
                      </w:r>
                      <w:r w:rsidR="0061314B">
                        <w:rPr>
                          <w:rFonts w:asciiTheme="majorHAnsi" w:hAnsiTheme="majorHAnsi"/>
                          <w:color w:val="595959" w:themeColor="text1" w:themeTint="A6"/>
                          <w:sz w:val="18"/>
                          <w:lang w:val="pt-BR"/>
                        </w:rPr>
                        <w:t xml:space="preserve"> (</w:t>
                      </w:r>
                      <w:r w:rsidR="00F4506C">
                        <w:rPr>
                          <w:rFonts w:asciiTheme="majorHAnsi" w:hAnsiTheme="majorHAnsi"/>
                          <w:color w:val="595959" w:themeColor="text1" w:themeTint="A6"/>
                          <w:sz w:val="18"/>
                          <w:lang w:val="pt-BR"/>
                        </w:rPr>
                        <w:t>Publication</w:t>
                      </w:r>
                      <w:r w:rsidR="0061314B">
                        <w:rPr>
                          <w:rFonts w:asciiTheme="majorHAnsi" w:hAnsiTheme="majorHAnsi"/>
                          <w:color w:val="595959" w:themeColor="text1" w:themeTint="A6"/>
                          <w:sz w:val="18"/>
                          <w:lang w:val="pt-BR"/>
                        </w:rPr>
                        <w:t>)</w:t>
                      </w:r>
                      <w:r w:rsidRPr="00704058">
                        <w:rPr>
                          <w:rFonts w:asciiTheme="majorHAnsi" w:hAnsiTheme="majorHAnsi"/>
                          <w:color w:val="595959" w:themeColor="text1" w:themeTint="A6"/>
                          <w:sz w:val="18"/>
                          <w:lang w:val="pt-BR"/>
                        </w:rPr>
                        <w:t>. A</w:t>
                      </w:r>
                      <w:r w:rsidR="00704058" w:rsidRPr="00704058">
                        <w:rPr>
                          <w:rFonts w:asciiTheme="majorHAnsi" w:hAnsiTheme="majorHAnsi"/>
                          <w:color w:val="595959" w:themeColor="text1" w:themeTint="A6"/>
                          <w:sz w:val="18"/>
                          <w:lang w:val="pt-BR"/>
                        </w:rPr>
                        <w:t>ngel Pedro Falanga</w:t>
                      </w:r>
                      <w:r w:rsidRPr="00704058">
                        <w:rPr>
                          <w:rFonts w:asciiTheme="majorHAnsi" w:hAnsiTheme="majorHAnsi"/>
                          <w:color w:val="595959" w:themeColor="text1" w:themeTint="A6"/>
                          <w:sz w:val="18"/>
                          <w:lang w:val="pt-BR"/>
                        </w:rPr>
                        <w:t>.</w:t>
                      </w:r>
                      <w:r w:rsidR="00704058" w:rsidRPr="00704058">
                        <w:rPr>
                          <w:rFonts w:asciiTheme="majorHAnsi" w:hAnsiTheme="majorHAnsi"/>
                          <w:color w:val="595959" w:themeColor="text1" w:themeTint="A6"/>
                          <w:sz w:val="18"/>
                          <w:lang w:val="pt-BR"/>
                        </w:rPr>
                        <w:t xml:space="preserve"> A</w:t>
                      </w:r>
                      <w:r w:rsidR="00704058">
                        <w:rPr>
                          <w:rFonts w:asciiTheme="majorHAnsi" w:hAnsiTheme="majorHAnsi"/>
                          <w:color w:val="595959" w:themeColor="text1" w:themeTint="A6"/>
                          <w:sz w:val="18"/>
                          <w:lang w:val="pt-BR"/>
                        </w:rPr>
                        <w:t>rgentina.</w:t>
                      </w:r>
                      <w:r w:rsidRPr="00704058">
                        <w:rPr>
                          <w:rFonts w:asciiTheme="majorHAnsi" w:hAnsiTheme="majorHAnsi"/>
                          <w:color w:val="595959" w:themeColor="text1" w:themeTint="A6"/>
                          <w:sz w:val="18"/>
                          <w:lang w:val="pt-BR"/>
                        </w:rPr>
                        <w:t xml:space="preserve"> </w:t>
                      </w:r>
                      <w:r w:rsidR="00F4506C">
                        <w:rPr>
                          <w:rFonts w:asciiTheme="majorHAnsi" w:hAnsiTheme="majorHAnsi"/>
                          <w:color w:val="595959" w:themeColor="text1" w:themeTint="A6"/>
                          <w:sz w:val="18"/>
                          <w:lang w:val="pt-BR"/>
                        </w:rPr>
                        <w:t>Dec</w:t>
                      </w:r>
                      <w:r w:rsidR="0061314B">
                        <w:rPr>
                          <w:rFonts w:asciiTheme="majorHAnsi" w:hAnsiTheme="majorHAnsi"/>
                          <w:color w:val="595959" w:themeColor="text1" w:themeTint="A6"/>
                          <w:sz w:val="18"/>
                          <w:lang w:val="pt-BR"/>
                        </w:rPr>
                        <w:t>ember</w:t>
                      </w:r>
                      <w:r w:rsidR="00D51D69">
                        <w:rPr>
                          <w:rFonts w:asciiTheme="majorHAnsi" w:hAnsiTheme="majorHAnsi"/>
                          <w:color w:val="595959" w:themeColor="text1" w:themeTint="A6"/>
                          <w:sz w:val="18"/>
                          <w:lang w:val="pt-BR"/>
                        </w:rPr>
                        <w:t xml:space="preserve"> </w:t>
                      </w:r>
                      <w:r w:rsidR="001751D2">
                        <w:rPr>
                          <w:rFonts w:asciiTheme="majorHAnsi" w:hAnsiTheme="majorHAnsi"/>
                          <w:color w:val="595959" w:themeColor="text1" w:themeTint="A6"/>
                          <w:sz w:val="18"/>
                          <w:lang w:val="pt-BR"/>
                        </w:rPr>
                        <w:t>31</w:t>
                      </w:r>
                      <w:r w:rsidR="00704058">
                        <w:rPr>
                          <w:rFonts w:asciiTheme="majorHAnsi" w:hAnsiTheme="majorHAnsi"/>
                          <w:color w:val="595959" w:themeColor="text1" w:themeTint="A6"/>
                          <w:sz w:val="18"/>
                          <w:lang w:val="pt-BR"/>
                        </w:rPr>
                        <w:t>, 20</w:t>
                      </w:r>
                      <w:r w:rsidR="0061314B">
                        <w:rPr>
                          <w:rFonts w:asciiTheme="majorHAnsi" w:hAnsiTheme="majorHAnsi"/>
                          <w:color w:val="595959" w:themeColor="text1" w:themeTint="A6"/>
                          <w:sz w:val="18"/>
                          <w:lang w:val="pt-BR"/>
                        </w:rPr>
                        <w:t>21.</w:t>
                      </w:r>
                    </w:p>
                  </w:txbxContent>
                </v:textbox>
              </v:shape>
            </w:pict>
          </mc:Fallback>
        </mc:AlternateContent>
      </w:r>
    </w:p>
    <w:p w14:paraId="3A486789" w14:textId="77777777" w:rsidR="002C1641" w:rsidRPr="00327C05" w:rsidRDefault="002C1641" w:rsidP="00040C3A">
      <w:pPr>
        <w:tabs>
          <w:tab w:val="center" w:pos="5400"/>
        </w:tabs>
        <w:suppressAutoHyphens/>
        <w:jc w:val="center"/>
        <w:rPr>
          <w:rFonts w:asciiTheme="majorHAnsi" w:hAnsiTheme="majorHAnsi"/>
          <w:sz w:val="18"/>
          <w:szCs w:val="22"/>
          <w:lang w:val="es-ES_tradnl"/>
        </w:rPr>
      </w:pPr>
    </w:p>
    <w:p w14:paraId="06B8C844" w14:textId="77777777" w:rsidR="002C1641" w:rsidRPr="00327C05" w:rsidRDefault="002C1641" w:rsidP="00040C3A">
      <w:pPr>
        <w:tabs>
          <w:tab w:val="center" w:pos="5400"/>
        </w:tabs>
        <w:suppressAutoHyphens/>
        <w:jc w:val="center"/>
        <w:rPr>
          <w:rFonts w:asciiTheme="majorHAnsi" w:hAnsiTheme="majorHAnsi"/>
          <w:sz w:val="18"/>
          <w:szCs w:val="22"/>
          <w:lang w:val="es-ES_tradnl"/>
        </w:rPr>
      </w:pPr>
    </w:p>
    <w:p w14:paraId="79E795D7" w14:textId="77777777" w:rsidR="003C32BC" w:rsidRPr="00327C05" w:rsidRDefault="003C32BC" w:rsidP="003C32BC">
      <w:pPr>
        <w:tabs>
          <w:tab w:val="center" w:pos="5400"/>
        </w:tabs>
        <w:suppressAutoHyphens/>
        <w:jc w:val="center"/>
        <w:rPr>
          <w:rFonts w:asciiTheme="majorHAnsi" w:hAnsiTheme="majorHAnsi"/>
          <w:sz w:val="18"/>
          <w:szCs w:val="22"/>
        </w:rPr>
      </w:pPr>
    </w:p>
    <w:p w14:paraId="446C61B3" w14:textId="77777777" w:rsidR="003C32BC" w:rsidRPr="00327C05" w:rsidRDefault="006311DA" w:rsidP="003C32BC">
      <w:pPr>
        <w:tabs>
          <w:tab w:val="center" w:pos="5400"/>
        </w:tabs>
        <w:suppressAutoHyphens/>
        <w:jc w:val="center"/>
        <w:rPr>
          <w:rFonts w:asciiTheme="majorHAnsi" w:hAnsiTheme="majorHAnsi"/>
          <w:sz w:val="18"/>
          <w:szCs w:val="22"/>
        </w:rPr>
      </w:pPr>
      <w:r w:rsidRPr="00327C05">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006704DE" wp14:editId="0B3279D7">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8344D1" w14:textId="77777777" w:rsidR="0090268A" w:rsidRPr="004B7EB6" w:rsidRDefault="0090268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704D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128344D1" w14:textId="77777777" w:rsidR="0090268A" w:rsidRPr="004B7EB6" w:rsidRDefault="0090268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27C05">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2A78E1A2" wp14:editId="4B257B68">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49F17E" w14:textId="25276B4B" w:rsidR="0090268A" w:rsidRDefault="00327C05">
                            <w:r>
                              <w:rPr>
                                <w:noProof/>
                              </w:rPr>
                              <w:drawing>
                                <wp:inline distT="0" distB="0" distL="0" distR="0" wp14:anchorId="744BD9E9" wp14:editId="26291BD4">
                                  <wp:extent cx="1519555" cy="387985"/>
                                  <wp:effectExtent l="0" t="0" r="4445"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8E1A2"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3449F17E" w14:textId="25276B4B" w:rsidR="0090268A" w:rsidRDefault="00327C05">
                      <w:r>
                        <w:rPr>
                          <w:noProof/>
                        </w:rPr>
                        <w:drawing>
                          <wp:inline distT="0" distB="0" distL="0" distR="0" wp14:anchorId="744BD9E9" wp14:editId="26291BD4">
                            <wp:extent cx="1519555" cy="387985"/>
                            <wp:effectExtent l="0" t="0" r="4445"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0CECEEF7" w14:textId="77777777" w:rsidR="007607C4" w:rsidRPr="00327C05" w:rsidRDefault="007607C4" w:rsidP="003C32BC">
      <w:pPr>
        <w:tabs>
          <w:tab w:val="center" w:pos="5400"/>
        </w:tabs>
        <w:suppressAutoHyphens/>
        <w:jc w:val="center"/>
        <w:rPr>
          <w:rFonts w:asciiTheme="majorHAnsi" w:hAnsiTheme="majorHAnsi"/>
          <w:sz w:val="18"/>
          <w:szCs w:val="22"/>
        </w:rPr>
        <w:sectPr w:rsidR="007607C4" w:rsidRPr="00327C05"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sdt>
      <w:sdtPr>
        <w:rPr>
          <w:rFonts w:asciiTheme="majorHAnsi" w:hAnsiTheme="majorHAnsi"/>
          <w:b/>
          <w:bCs/>
        </w:rPr>
        <w:id w:val="2056961279"/>
        <w:docPartObj>
          <w:docPartGallery w:val="Table of Contents"/>
          <w:docPartUnique/>
        </w:docPartObj>
      </w:sdtPr>
      <w:sdtEndPr>
        <w:rPr>
          <w:b w:val="0"/>
          <w:bCs w:val="0"/>
          <w:noProof/>
          <w:sz w:val="20"/>
          <w:szCs w:val="20"/>
        </w:rPr>
      </w:sdtEndPr>
      <w:sdtContent>
        <w:p w14:paraId="27112701" w14:textId="26671F68" w:rsidR="002C731C" w:rsidRPr="00327C05" w:rsidRDefault="00327C05" w:rsidP="00327C05">
          <w:pPr>
            <w:tabs>
              <w:tab w:val="center" w:pos="5400"/>
            </w:tabs>
            <w:suppressAutoHyphens/>
            <w:spacing w:line="276" w:lineRule="auto"/>
            <w:jc w:val="center"/>
            <w:rPr>
              <w:rFonts w:asciiTheme="majorHAnsi" w:hAnsiTheme="majorHAnsi"/>
              <w:sz w:val="18"/>
              <w:szCs w:val="18"/>
              <w:lang w:val="pt-BR"/>
            </w:rPr>
          </w:pPr>
          <w:r>
            <w:rPr>
              <w:rFonts w:asciiTheme="majorHAnsi" w:hAnsiTheme="majorHAnsi"/>
              <w:b/>
              <w:bCs/>
            </w:rPr>
            <w:t>INDEX</w:t>
          </w:r>
        </w:p>
        <w:p w14:paraId="494A8209" w14:textId="4E41944E" w:rsidR="0090268A" w:rsidRPr="00327C05" w:rsidRDefault="0090268A">
          <w:pPr>
            <w:pStyle w:val="TOCHeading"/>
            <w:rPr>
              <w:sz w:val="20"/>
              <w:szCs w:val="20"/>
            </w:rPr>
          </w:pPr>
        </w:p>
        <w:p w14:paraId="4F6DA8E0" w14:textId="1B7AEC3F" w:rsidR="000E47E2" w:rsidRPr="000E47E2" w:rsidRDefault="0090268A" w:rsidP="000E47E2">
          <w:pPr>
            <w:pStyle w:val="TOC1"/>
            <w:ind w:hanging="720"/>
            <w:rPr>
              <w:rFonts w:eastAsiaTheme="minorEastAsia" w:cstheme="minorBidi"/>
              <w:bdr w:val="none" w:sz="0" w:space="0" w:color="auto"/>
              <w:lang w:val="en-US"/>
            </w:rPr>
          </w:pPr>
          <w:r w:rsidRPr="000E47E2">
            <w:fldChar w:fldCharType="begin"/>
          </w:r>
          <w:r w:rsidRPr="000E47E2">
            <w:instrText xml:space="preserve"> TOC \o "1-3" \h \z \u </w:instrText>
          </w:r>
          <w:r w:rsidRPr="000E47E2">
            <w:fldChar w:fldCharType="separate"/>
          </w:r>
          <w:hyperlink w:anchor="_Toc99959785" w:history="1">
            <w:r w:rsidR="000E47E2" w:rsidRPr="000E47E2">
              <w:rPr>
                <w:rStyle w:val="Hyperlink"/>
              </w:rPr>
              <w:t>I.</w:t>
            </w:r>
            <w:r w:rsidR="000E47E2" w:rsidRPr="000E47E2">
              <w:rPr>
                <w:rFonts w:eastAsiaTheme="minorEastAsia" w:cstheme="minorBidi"/>
                <w:bdr w:val="none" w:sz="0" w:space="0" w:color="auto"/>
                <w:lang w:val="en-US"/>
              </w:rPr>
              <w:tab/>
            </w:r>
            <w:r w:rsidR="000E47E2" w:rsidRPr="000E47E2">
              <w:rPr>
                <w:rStyle w:val="Hyperlink"/>
              </w:rPr>
              <w:t>INTRODUCTION</w:t>
            </w:r>
            <w:r w:rsidR="000E47E2" w:rsidRPr="000E47E2">
              <w:rPr>
                <w:webHidden/>
              </w:rPr>
              <w:tab/>
            </w:r>
            <w:r w:rsidR="000E47E2" w:rsidRPr="000E47E2">
              <w:rPr>
                <w:webHidden/>
              </w:rPr>
              <w:fldChar w:fldCharType="begin"/>
            </w:r>
            <w:r w:rsidR="000E47E2" w:rsidRPr="000E47E2">
              <w:rPr>
                <w:webHidden/>
              </w:rPr>
              <w:instrText xml:space="preserve"> PAGEREF _Toc99959785 \h </w:instrText>
            </w:r>
            <w:r w:rsidR="000E47E2" w:rsidRPr="000E47E2">
              <w:rPr>
                <w:webHidden/>
              </w:rPr>
            </w:r>
            <w:r w:rsidR="000E47E2" w:rsidRPr="000E47E2">
              <w:rPr>
                <w:webHidden/>
              </w:rPr>
              <w:fldChar w:fldCharType="separate"/>
            </w:r>
            <w:r w:rsidR="000E47E2" w:rsidRPr="000E47E2">
              <w:rPr>
                <w:webHidden/>
              </w:rPr>
              <w:t>1</w:t>
            </w:r>
            <w:r w:rsidR="000E47E2" w:rsidRPr="000E47E2">
              <w:rPr>
                <w:webHidden/>
              </w:rPr>
              <w:fldChar w:fldCharType="end"/>
            </w:r>
          </w:hyperlink>
        </w:p>
        <w:p w14:paraId="3CF46C8C" w14:textId="32BD4D73" w:rsidR="000E47E2" w:rsidRPr="000E47E2" w:rsidRDefault="000E47E2" w:rsidP="000E47E2">
          <w:pPr>
            <w:pStyle w:val="TOC1"/>
            <w:ind w:hanging="720"/>
            <w:rPr>
              <w:rFonts w:eastAsiaTheme="minorEastAsia" w:cstheme="minorBidi"/>
              <w:bdr w:val="none" w:sz="0" w:space="0" w:color="auto"/>
              <w:lang w:val="en-US"/>
            </w:rPr>
          </w:pPr>
          <w:hyperlink w:anchor="_Toc99959786" w:history="1">
            <w:r w:rsidRPr="000E47E2">
              <w:rPr>
                <w:rStyle w:val="Hyperlink"/>
                <w:rFonts w:eastAsia="Times New Roman"/>
                <w:bdr w:val="none" w:sz="0" w:space="0" w:color="auto" w:frame="1"/>
              </w:rPr>
              <w:t>II.</w:t>
            </w:r>
            <w:r w:rsidRPr="000E47E2">
              <w:rPr>
                <w:rFonts w:eastAsiaTheme="minorEastAsia" w:cstheme="minorBidi"/>
                <w:bdr w:val="none" w:sz="0" w:space="0" w:color="auto"/>
                <w:lang w:val="en-US"/>
              </w:rPr>
              <w:tab/>
            </w:r>
            <w:r w:rsidRPr="000E47E2">
              <w:rPr>
                <w:rStyle w:val="Hyperlink"/>
                <w:rFonts w:eastAsia="Times New Roman"/>
                <w:bdr w:val="none" w:sz="0" w:space="0" w:color="auto" w:frame="1"/>
                <w:lang w:val="en"/>
              </w:rPr>
              <w:t>POSITIONS OF THE PARTIES</w:t>
            </w:r>
            <w:r w:rsidRPr="000E47E2">
              <w:rPr>
                <w:webHidden/>
              </w:rPr>
              <w:tab/>
            </w:r>
            <w:r w:rsidRPr="000E47E2">
              <w:rPr>
                <w:webHidden/>
              </w:rPr>
              <w:fldChar w:fldCharType="begin"/>
            </w:r>
            <w:r w:rsidRPr="000E47E2">
              <w:rPr>
                <w:webHidden/>
              </w:rPr>
              <w:instrText xml:space="preserve"> PAGEREF _Toc99959786 \h </w:instrText>
            </w:r>
            <w:r w:rsidRPr="000E47E2">
              <w:rPr>
                <w:webHidden/>
              </w:rPr>
            </w:r>
            <w:r w:rsidRPr="000E47E2">
              <w:rPr>
                <w:webHidden/>
              </w:rPr>
              <w:fldChar w:fldCharType="separate"/>
            </w:r>
            <w:r w:rsidRPr="000E47E2">
              <w:rPr>
                <w:webHidden/>
              </w:rPr>
              <w:t>1</w:t>
            </w:r>
            <w:r w:rsidRPr="000E47E2">
              <w:rPr>
                <w:webHidden/>
              </w:rPr>
              <w:fldChar w:fldCharType="end"/>
            </w:r>
          </w:hyperlink>
        </w:p>
        <w:p w14:paraId="07F5022B" w14:textId="66613508" w:rsidR="000E47E2" w:rsidRPr="000E47E2" w:rsidRDefault="000E47E2" w:rsidP="000E47E2">
          <w:pPr>
            <w:pStyle w:val="TOC2"/>
            <w:ind w:hanging="720"/>
            <w:rPr>
              <w:rFonts w:asciiTheme="majorHAnsi" w:eastAsiaTheme="minorEastAsia" w:hAnsiTheme="majorHAnsi" w:cstheme="minorBidi"/>
              <w:noProof/>
              <w:sz w:val="20"/>
              <w:szCs w:val="20"/>
              <w:bdr w:val="none" w:sz="0" w:space="0" w:color="auto"/>
            </w:rPr>
          </w:pPr>
          <w:hyperlink w:anchor="_Toc99959787" w:history="1">
            <w:r w:rsidRPr="000E47E2">
              <w:rPr>
                <w:rStyle w:val="Hyperlink"/>
                <w:rFonts w:asciiTheme="majorHAnsi" w:hAnsiTheme="majorHAnsi"/>
                <w:noProof/>
                <w:sz w:val="20"/>
                <w:szCs w:val="20"/>
              </w:rPr>
              <w:t>A.</w:t>
            </w:r>
            <w:r w:rsidRPr="000E47E2">
              <w:rPr>
                <w:rFonts w:asciiTheme="majorHAnsi" w:eastAsiaTheme="minorEastAsia" w:hAnsiTheme="majorHAnsi" w:cstheme="minorBidi"/>
                <w:noProof/>
                <w:sz w:val="20"/>
                <w:szCs w:val="20"/>
                <w:bdr w:val="none" w:sz="0" w:space="0" w:color="auto"/>
              </w:rPr>
              <w:tab/>
            </w:r>
            <w:r w:rsidRPr="000E47E2">
              <w:rPr>
                <w:rStyle w:val="Hyperlink"/>
                <w:rFonts w:asciiTheme="majorHAnsi" w:hAnsiTheme="majorHAnsi"/>
                <w:noProof/>
                <w:sz w:val="20"/>
                <w:szCs w:val="20"/>
                <w:lang w:val="en"/>
              </w:rPr>
              <w:t>Petitioner</w:t>
            </w:r>
            <w:r w:rsidRPr="000E47E2">
              <w:rPr>
                <w:rFonts w:asciiTheme="majorHAnsi" w:hAnsiTheme="majorHAnsi"/>
                <w:noProof/>
                <w:webHidden/>
                <w:sz w:val="20"/>
                <w:szCs w:val="20"/>
              </w:rPr>
              <w:tab/>
            </w:r>
            <w:r w:rsidRPr="000E47E2">
              <w:rPr>
                <w:rFonts w:asciiTheme="majorHAnsi" w:hAnsiTheme="majorHAnsi"/>
                <w:noProof/>
                <w:webHidden/>
                <w:sz w:val="20"/>
                <w:szCs w:val="20"/>
              </w:rPr>
              <w:fldChar w:fldCharType="begin"/>
            </w:r>
            <w:r w:rsidRPr="000E47E2">
              <w:rPr>
                <w:rFonts w:asciiTheme="majorHAnsi" w:hAnsiTheme="majorHAnsi"/>
                <w:noProof/>
                <w:webHidden/>
                <w:sz w:val="20"/>
                <w:szCs w:val="20"/>
              </w:rPr>
              <w:instrText xml:space="preserve"> PAGEREF _Toc99959787 \h </w:instrText>
            </w:r>
            <w:r w:rsidRPr="000E47E2">
              <w:rPr>
                <w:rFonts w:asciiTheme="majorHAnsi" w:hAnsiTheme="majorHAnsi"/>
                <w:noProof/>
                <w:webHidden/>
                <w:sz w:val="20"/>
                <w:szCs w:val="20"/>
              </w:rPr>
            </w:r>
            <w:r w:rsidRPr="000E47E2">
              <w:rPr>
                <w:rFonts w:asciiTheme="majorHAnsi" w:hAnsiTheme="majorHAnsi"/>
                <w:noProof/>
                <w:webHidden/>
                <w:sz w:val="20"/>
                <w:szCs w:val="20"/>
              </w:rPr>
              <w:fldChar w:fldCharType="separate"/>
            </w:r>
            <w:r w:rsidRPr="000E47E2">
              <w:rPr>
                <w:rFonts w:asciiTheme="majorHAnsi" w:hAnsiTheme="majorHAnsi"/>
                <w:noProof/>
                <w:webHidden/>
                <w:sz w:val="20"/>
                <w:szCs w:val="20"/>
              </w:rPr>
              <w:t>1</w:t>
            </w:r>
            <w:r w:rsidRPr="000E47E2">
              <w:rPr>
                <w:rFonts w:asciiTheme="majorHAnsi" w:hAnsiTheme="majorHAnsi"/>
                <w:noProof/>
                <w:webHidden/>
                <w:sz w:val="20"/>
                <w:szCs w:val="20"/>
              </w:rPr>
              <w:fldChar w:fldCharType="end"/>
            </w:r>
          </w:hyperlink>
        </w:p>
        <w:p w14:paraId="5D60CDC9" w14:textId="0C1D644E" w:rsidR="000E47E2" w:rsidRPr="000E47E2" w:rsidRDefault="000E47E2" w:rsidP="000E47E2">
          <w:pPr>
            <w:pStyle w:val="TOC2"/>
            <w:ind w:hanging="720"/>
            <w:rPr>
              <w:rFonts w:asciiTheme="majorHAnsi" w:eastAsiaTheme="minorEastAsia" w:hAnsiTheme="majorHAnsi" w:cstheme="minorBidi"/>
              <w:noProof/>
              <w:sz w:val="20"/>
              <w:szCs w:val="20"/>
              <w:bdr w:val="none" w:sz="0" w:space="0" w:color="auto"/>
            </w:rPr>
          </w:pPr>
          <w:hyperlink w:anchor="_Toc99959788" w:history="1">
            <w:r w:rsidRPr="000E47E2">
              <w:rPr>
                <w:rStyle w:val="Hyperlink"/>
                <w:rFonts w:asciiTheme="majorHAnsi" w:hAnsiTheme="majorHAnsi"/>
                <w:noProof/>
                <w:sz w:val="20"/>
                <w:szCs w:val="20"/>
              </w:rPr>
              <w:t>B.</w:t>
            </w:r>
            <w:r w:rsidRPr="000E47E2">
              <w:rPr>
                <w:rFonts w:asciiTheme="majorHAnsi" w:eastAsiaTheme="minorEastAsia" w:hAnsiTheme="majorHAnsi" w:cstheme="minorBidi"/>
                <w:noProof/>
                <w:sz w:val="20"/>
                <w:szCs w:val="20"/>
                <w:bdr w:val="none" w:sz="0" w:space="0" w:color="auto"/>
              </w:rPr>
              <w:tab/>
            </w:r>
            <w:r w:rsidRPr="000E47E2">
              <w:rPr>
                <w:rStyle w:val="Hyperlink"/>
                <w:rFonts w:asciiTheme="majorHAnsi" w:hAnsiTheme="majorHAnsi"/>
                <w:noProof/>
                <w:sz w:val="20"/>
                <w:szCs w:val="20"/>
                <w:lang w:val="en"/>
              </w:rPr>
              <w:t>Position of the State</w:t>
            </w:r>
            <w:r w:rsidRPr="000E47E2">
              <w:rPr>
                <w:rFonts w:asciiTheme="majorHAnsi" w:hAnsiTheme="majorHAnsi"/>
                <w:noProof/>
                <w:webHidden/>
                <w:sz w:val="20"/>
                <w:szCs w:val="20"/>
              </w:rPr>
              <w:tab/>
            </w:r>
            <w:r w:rsidRPr="000E47E2">
              <w:rPr>
                <w:rFonts w:asciiTheme="majorHAnsi" w:hAnsiTheme="majorHAnsi"/>
                <w:noProof/>
                <w:webHidden/>
                <w:sz w:val="20"/>
                <w:szCs w:val="20"/>
              </w:rPr>
              <w:fldChar w:fldCharType="begin"/>
            </w:r>
            <w:r w:rsidRPr="000E47E2">
              <w:rPr>
                <w:rFonts w:asciiTheme="majorHAnsi" w:hAnsiTheme="majorHAnsi"/>
                <w:noProof/>
                <w:webHidden/>
                <w:sz w:val="20"/>
                <w:szCs w:val="20"/>
              </w:rPr>
              <w:instrText xml:space="preserve"> PAGEREF _Toc99959788 \h </w:instrText>
            </w:r>
            <w:r w:rsidRPr="000E47E2">
              <w:rPr>
                <w:rFonts w:asciiTheme="majorHAnsi" w:hAnsiTheme="majorHAnsi"/>
                <w:noProof/>
                <w:webHidden/>
                <w:sz w:val="20"/>
                <w:szCs w:val="20"/>
              </w:rPr>
            </w:r>
            <w:r w:rsidRPr="000E47E2">
              <w:rPr>
                <w:rFonts w:asciiTheme="majorHAnsi" w:hAnsiTheme="majorHAnsi"/>
                <w:noProof/>
                <w:webHidden/>
                <w:sz w:val="20"/>
                <w:szCs w:val="20"/>
              </w:rPr>
              <w:fldChar w:fldCharType="separate"/>
            </w:r>
            <w:r w:rsidRPr="000E47E2">
              <w:rPr>
                <w:rFonts w:asciiTheme="majorHAnsi" w:hAnsiTheme="majorHAnsi"/>
                <w:noProof/>
                <w:webHidden/>
                <w:sz w:val="20"/>
                <w:szCs w:val="20"/>
              </w:rPr>
              <w:t>2</w:t>
            </w:r>
            <w:r w:rsidRPr="000E47E2">
              <w:rPr>
                <w:rFonts w:asciiTheme="majorHAnsi" w:hAnsiTheme="majorHAnsi"/>
                <w:noProof/>
                <w:webHidden/>
                <w:sz w:val="20"/>
                <w:szCs w:val="20"/>
              </w:rPr>
              <w:fldChar w:fldCharType="end"/>
            </w:r>
          </w:hyperlink>
        </w:p>
        <w:p w14:paraId="65C391A0" w14:textId="5EB2B287" w:rsidR="000E47E2" w:rsidRPr="000E47E2" w:rsidRDefault="000E47E2" w:rsidP="000E47E2">
          <w:pPr>
            <w:pStyle w:val="TOC1"/>
            <w:ind w:hanging="720"/>
            <w:rPr>
              <w:rFonts w:eastAsiaTheme="minorEastAsia" w:cstheme="minorBidi"/>
              <w:bdr w:val="none" w:sz="0" w:space="0" w:color="auto"/>
              <w:lang w:val="en-US"/>
            </w:rPr>
          </w:pPr>
          <w:hyperlink w:anchor="_Toc99959789" w:history="1">
            <w:r w:rsidRPr="000E47E2">
              <w:rPr>
                <w:rStyle w:val="Hyperlink"/>
                <w:rFonts w:eastAsia="Times New Roman"/>
                <w:bdr w:val="none" w:sz="0" w:space="0" w:color="auto" w:frame="1"/>
              </w:rPr>
              <w:t>III.</w:t>
            </w:r>
            <w:r w:rsidRPr="000E47E2">
              <w:rPr>
                <w:rFonts w:eastAsiaTheme="minorEastAsia" w:cstheme="minorBidi"/>
                <w:bdr w:val="none" w:sz="0" w:space="0" w:color="auto"/>
                <w:lang w:val="en-US"/>
              </w:rPr>
              <w:tab/>
            </w:r>
            <w:r w:rsidRPr="000E47E2">
              <w:rPr>
                <w:rStyle w:val="Hyperlink"/>
                <w:rFonts w:eastAsia="Times New Roman"/>
                <w:bdr w:val="none" w:sz="0" w:space="0" w:color="auto" w:frame="1"/>
                <w:lang w:val="en"/>
              </w:rPr>
              <w:t>ESTABLISHED FACTS</w:t>
            </w:r>
            <w:r w:rsidRPr="000E47E2">
              <w:rPr>
                <w:webHidden/>
              </w:rPr>
              <w:tab/>
            </w:r>
            <w:r w:rsidRPr="000E47E2">
              <w:rPr>
                <w:webHidden/>
              </w:rPr>
              <w:fldChar w:fldCharType="begin"/>
            </w:r>
            <w:r w:rsidRPr="000E47E2">
              <w:rPr>
                <w:webHidden/>
              </w:rPr>
              <w:instrText xml:space="preserve"> PAGEREF _Toc99959789 \h </w:instrText>
            </w:r>
            <w:r w:rsidRPr="000E47E2">
              <w:rPr>
                <w:webHidden/>
              </w:rPr>
            </w:r>
            <w:r w:rsidRPr="000E47E2">
              <w:rPr>
                <w:webHidden/>
              </w:rPr>
              <w:fldChar w:fldCharType="separate"/>
            </w:r>
            <w:r w:rsidRPr="000E47E2">
              <w:rPr>
                <w:webHidden/>
              </w:rPr>
              <w:t>3</w:t>
            </w:r>
            <w:r w:rsidRPr="000E47E2">
              <w:rPr>
                <w:webHidden/>
              </w:rPr>
              <w:fldChar w:fldCharType="end"/>
            </w:r>
          </w:hyperlink>
        </w:p>
        <w:p w14:paraId="1AB69FC3" w14:textId="2EF9C6FB" w:rsidR="000E47E2" w:rsidRPr="000E47E2" w:rsidRDefault="000E47E2" w:rsidP="000E47E2">
          <w:pPr>
            <w:pStyle w:val="TOC2"/>
            <w:ind w:hanging="720"/>
            <w:rPr>
              <w:rFonts w:asciiTheme="majorHAnsi" w:eastAsiaTheme="minorEastAsia" w:hAnsiTheme="majorHAnsi" w:cstheme="minorBidi"/>
              <w:noProof/>
              <w:sz w:val="20"/>
              <w:szCs w:val="20"/>
              <w:bdr w:val="none" w:sz="0" w:space="0" w:color="auto"/>
            </w:rPr>
          </w:pPr>
          <w:hyperlink w:anchor="_Toc99959790" w:history="1">
            <w:r w:rsidRPr="000E47E2">
              <w:rPr>
                <w:rStyle w:val="Hyperlink"/>
                <w:rFonts w:asciiTheme="majorHAnsi" w:hAnsiTheme="majorHAnsi"/>
                <w:noProof/>
                <w:sz w:val="20"/>
                <w:szCs w:val="20"/>
              </w:rPr>
              <w:t>1.</w:t>
            </w:r>
            <w:r w:rsidRPr="000E47E2">
              <w:rPr>
                <w:rFonts w:asciiTheme="majorHAnsi" w:eastAsiaTheme="minorEastAsia" w:hAnsiTheme="majorHAnsi" w:cstheme="minorBidi"/>
                <w:noProof/>
                <w:sz w:val="20"/>
                <w:szCs w:val="20"/>
                <w:bdr w:val="none" w:sz="0" w:space="0" w:color="auto"/>
              </w:rPr>
              <w:tab/>
            </w:r>
            <w:r w:rsidRPr="000E47E2">
              <w:rPr>
                <w:rStyle w:val="Hyperlink"/>
                <w:rFonts w:asciiTheme="majorHAnsi" w:hAnsiTheme="majorHAnsi"/>
                <w:noProof/>
                <w:sz w:val="20"/>
                <w:szCs w:val="20"/>
                <w:lang w:val="en"/>
              </w:rPr>
              <w:t>Relevant legal framework</w:t>
            </w:r>
            <w:r w:rsidRPr="000E47E2">
              <w:rPr>
                <w:rFonts w:asciiTheme="majorHAnsi" w:hAnsiTheme="majorHAnsi"/>
                <w:noProof/>
                <w:webHidden/>
                <w:sz w:val="20"/>
                <w:szCs w:val="20"/>
              </w:rPr>
              <w:tab/>
            </w:r>
            <w:r w:rsidRPr="000E47E2">
              <w:rPr>
                <w:rFonts w:asciiTheme="majorHAnsi" w:hAnsiTheme="majorHAnsi"/>
                <w:noProof/>
                <w:webHidden/>
                <w:sz w:val="20"/>
                <w:szCs w:val="20"/>
              </w:rPr>
              <w:fldChar w:fldCharType="begin"/>
            </w:r>
            <w:r w:rsidRPr="000E47E2">
              <w:rPr>
                <w:rFonts w:asciiTheme="majorHAnsi" w:hAnsiTheme="majorHAnsi"/>
                <w:noProof/>
                <w:webHidden/>
                <w:sz w:val="20"/>
                <w:szCs w:val="20"/>
              </w:rPr>
              <w:instrText xml:space="preserve"> PAGEREF _Toc99959790 \h </w:instrText>
            </w:r>
            <w:r w:rsidRPr="000E47E2">
              <w:rPr>
                <w:rFonts w:asciiTheme="majorHAnsi" w:hAnsiTheme="majorHAnsi"/>
                <w:noProof/>
                <w:webHidden/>
                <w:sz w:val="20"/>
                <w:szCs w:val="20"/>
              </w:rPr>
            </w:r>
            <w:r w:rsidRPr="000E47E2">
              <w:rPr>
                <w:rFonts w:asciiTheme="majorHAnsi" w:hAnsiTheme="majorHAnsi"/>
                <w:noProof/>
                <w:webHidden/>
                <w:sz w:val="20"/>
                <w:szCs w:val="20"/>
              </w:rPr>
              <w:fldChar w:fldCharType="separate"/>
            </w:r>
            <w:r w:rsidRPr="000E47E2">
              <w:rPr>
                <w:rFonts w:asciiTheme="majorHAnsi" w:hAnsiTheme="majorHAnsi"/>
                <w:noProof/>
                <w:webHidden/>
                <w:sz w:val="20"/>
                <w:szCs w:val="20"/>
              </w:rPr>
              <w:t>3</w:t>
            </w:r>
            <w:r w:rsidRPr="000E47E2">
              <w:rPr>
                <w:rFonts w:asciiTheme="majorHAnsi" w:hAnsiTheme="majorHAnsi"/>
                <w:noProof/>
                <w:webHidden/>
                <w:sz w:val="20"/>
                <w:szCs w:val="20"/>
              </w:rPr>
              <w:fldChar w:fldCharType="end"/>
            </w:r>
          </w:hyperlink>
        </w:p>
        <w:p w14:paraId="6B1BC03F" w14:textId="0B3FA04F" w:rsidR="000E47E2" w:rsidRPr="000E47E2" w:rsidRDefault="000E47E2" w:rsidP="000E47E2">
          <w:pPr>
            <w:pStyle w:val="TOC2"/>
            <w:ind w:hanging="720"/>
            <w:rPr>
              <w:rFonts w:asciiTheme="majorHAnsi" w:eastAsiaTheme="minorEastAsia" w:hAnsiTheme="majorHAnsi" w:cstheme="minorBidi"/>
              <w:noProof/>
              <w:sz w:val="20"/>
              <w:szCs w:val="20"/>
              <w:bdr w:val="none" w:sz="0" w:space="0" w:color="auto"/>
            </w:rPr>
          </w:pPr>
          <w:hyperlink w:anchor="_Toc99959791" w:history="1">
            <w:r w:rsidRPr="000E47E2">
              <w:rPr>
                <w:rStyle w:val="Hyperlink"/>
                <w:rFonts w:asciiTheme="majorHAnsi" w:hAnsiTheme="majorHAnsi"/>
                <w:noProof/>
                <w:sz w:val="20"/>
                <w:szCs w:val="20"/>
              </w:rPr>
              <w:t>2.</w:t>
            </w:r>
            <w:r w:rsidRPr="000E47E2">
              <w:rPr>
                <w:rFonts w:asciiTheme="majorHAnsi" w:eastAsiaTheme="minorEastAsia" w:hAnsiTheme="majorHAnsi" w:cstheme="minorBidi"/>
                <w:noProof/>
                <w:sz w:val="20"/>
                <w:szCs w:val="20"/>
                <w:bdr w:val="none" w:sz="0" w:space="0" w:color="auto"/>
              </w:rPr>
              <w:tab/>
            </w:r>
            <w:r w:rsidRPr="000E47E2">
              <w:rPr>
                <w:rStyle w:val="Hyperlink"/>
                <w:rFonts w:asciiTheme="majorHAnsi" w:hAnsiTheme="majorHAnsi"/>
                <w:noProof/>
                <w:sz w:val="20"/>
                <w:szCs w:val="20"/>
                <w:lang w:val="en"/>
              </w:rPr>
              <w:t>Criminal process for the crime of monopoly</w:t>
            </w:r>
            <w:r w:rsidRPr="000E47E2">
              <w:rPr>
                <w:rFonts w:asciiTheme="majorHAnsi" w:hAnsiTheme="majorHAnsi"/>
                <w:noProof/>
                <w:webHidden/>
                <w:sz w:val="20"/>
                <w:szCs w:val="20"/>
              </w:rPr>
              <w:tab/>
            </w:r>
            <w:r w:rsidRPr="000E47E2">
              <w:rPr>
                <w:rFonts w:asciiTheme="majorHAnsi" w:hAnsiTheme="majorHAnsi"/>
                <w:noProof/>
                <w:webHidden/>
                <w:sz w:val="20"/>
                <w:szCs w:val="20"/>
              </w:rPr>
              <w:fldChar w:fldCharType="begin"/>
            </w:r>
            <w:r w:rsidRPr="000E47E2">
              <w:rPr>
                <w:rFonts w:asciiTheme="majorHAnsi" w:hAnsiTheme="majorHAnsi"/>
                <w:noProof/>
                <w:webHidden/>
                <w:sz w:val="20"/>
                <w:szCs w:val="20"/>
              </w:rPr>
              <w:instrText xml:space="preserve"> PAGEREF _Toc99959791 \h </w:instrText>
            </w:r>
            <w:r w:rsidRPr="000E47E2">
              <w:rPr>
                <w:rFonts w:asciiTheme="majorHAnsi" w:hAnsiTheme="majorHAnsi"/>
                <w:noProof/>
                <w:webHidden/>
                <w:sz w:val="20"/>
                <w:szCs w:val="20"/>
              </w:rPr>
            </w:r>
            <w:r w:rsidRPr="000E47E2">
              <w:rPr>
                <w:rFonts w:asciiTheme="majorHAnsi" w:hAnsiTheme="majorHAnsi"/>
                <w:noProof/>
                <w:webHidden/>
                <w:sz w:val="20"/>
                <w:szCs w:val="20"/>
              </w:rPr>
              <w:fldChar w:fldCharType="separate"/>
            </w:r>
            <w:r w:rsidRPr="000E47E2">
              <w:rPr>
                <w:rFonts w:asciiTheme="majorHAnsi" w:hAnsiTheme="majorHAnsi"/>
                <w:noProof/>
                <w:webHidden/>
                <w:sz w:val="20"/>
                <w:szCs w:val="20"/>
              </w:rPr>
              <w:t>4</w:t>
            </w:r>
            <w:r w:rsidRPr="000E47E2">
              <w:rPr>
                <w:rFonts w:asciiTheme="majorHAnsi" w:hAnsiTheme="majorHAnsi"/>
                <w:noProof/>
                <w:webHidden/>
                <w:sz w:val="20"/>
                <w:szCs w:val="20"/>
              </w:rPr>
              <w:fldChar w:fldCharType="end"/>
            </w:r>
          </w:hyperlink>
        </w:p>
        <w:p w14:paraId="22AB2ADF" w14:textId="02699392" w:rsidR="000E47E2" w:rsidRPr="000E47E2" w:rsidRDefault="000E47E2" w:rsidP="000E47E2">
          <w:pPr>
            <w:pStyle w:val="TOC2"/>
            <w:ind w:hanging="720"/>
            <w:rPr>
              <w:rFonts w:asciiTheme="majorHAnsi" w:eastAsiaTheme="minorEastAsia" w:hAnsiTheme="majorHAnsi" w:cstheme="minorBidi"/>
              <w:noProof/>
              <w:sz w:val="20"/>
              <w:szCs w:val="20"/>
              <w:bdr w:val="none" w:sz="0" w:space="0" w:color="auto"/>
            </w:rPr>
          </w:pPr>
          <w:hyperlink w:anchor="_Toc99959792" w:history="1">
            <w:r w:rsidRPr="000E47E2">
              <w:rPr>
                <w:rStyle w:val="Hyperlink"/>
                <w:rFonts w:asciiTheme="majorHAnsi" w:hAnsiTheme="majorHAnsi"/>
                <w:noProof/>
                <w:sz w:val="20"/>
                <w:szCs w:val="20"/>
                <w:lang w:val="en"/>
              </w:rPr>
              <w:t>3.</w:t>
            </w:r>
            <w:r w:rsidRPr="000E47E2">
              <w:rPr>
                <w:rFonts w:asciiTheme="majorHAnsi" w:eastAsiaTheme="minorEastAsia" w:hAnsiTheme="majorHAnsi" w:cstheme="minorBidi"/>
                <w:noProof/>
                <w:sz w:val="20"/>
                <w:szCs w:val="20"/>
                <w:bdr w:val="none" w:sz="0" w:space="0" w:color="auto"/>
              </w:rPr>
              <w:tab/>
            </w:r>
            <w:r w:rsidRPr="000E47E2">
              <w:rPr>
                <w:rStyle w:val="Hyperlink"/>
                <w:rFonts w:asciiTheme="majorHAnsi" w:hAnsiTheme="majorHAnsi"/>
                <w:noProof/>
                <w:sz w:val="20"/>
                <w:szCs w:val="20"/>
                <w:lang w:val="en"/>
              </w:rPr>
              <w:t>Criminal process for the crime of economic subversion</w:t>
            </w:r>
            <w:r w:rsidRPr="000E47E2">
              <w:rPr>
                <w:rFonts w:asciiTheme="majorHAnsi" w:hAnsiTheme="majorHAnsi"/>
                <w:noProof/>
                <w:webHidden/>
                <w:sz w:val="20"/>
                <w:szCs w:val="20"/>
              </w:rPr>
              <w:tab/>
            </w:r>
            <w:r w:rsidRPr="000E47E2">
              <w:rPr>
                <w:rFonts w:asciiTheme="majorHAnsi" w:hAnsiTheme="majorHAnsi"/>
                <w:noProof/>
                <w:webHidden/>
                <w:sz w:val="20"/>
                <w:szCs w:val="20"/>
              </w:rPr>
              <w:fldChar w:fldCharType="begin"/>
            </w:r>
            <w:r w:rsidRPr="000E47E2">
              <w:rPr>
                <w:rFonts w:asciiTheme="majorHAnsi" w:hAnsiTheme="majorHAnsi"/>
                <w:noProof/>
                <w:webHidden/>
                <w:sz w:val="20"/>
                <w:szCs w:val="20"/>
              </w:rPr>
              <w:instrText xml:space="preserve"> PAGEREF _Toc99959792 \h </w:instrText>
            </w:r>
            <w:r w:rsidRPr="000E47E2">
              <w:rPr>
                <w:rFonts w:asciiTheme="majorHAnsi" w:hAnsiTheme="majorHAnsi"/>
                <w:noProof/>
                <w:webHidden/>
                <w:sz w:val="20"/>
                <w:szCs w:val="20"/>
              </w:rPr>
            </w:r>
            <w:r w:rsidRPr="000E47E2">
              <w:rPr>
                <w:rFonts w:asciiTheme="majorHAnsi" w:hAnsiTheme="majorHAnsi"/>
                <w:noProof/>
                <w:webHidden/>
                <w:sz w:val="20"/>
                <w:szCs w:val="20"/>
              </w:rPr>
              <w:fldChar w:fldCharType="separate"/>
            </w:r>
            <w:r w:rsidRPr="000E47E2">
              <w:rPr>
                <w:rFonts w:asciiTheme="majorHAnsi" w:hAnsiTheme="majorHAnsi"/>
                <w:noProof/>
                <w:webHidden/>
                <w:sz w:val="20"/>
                <w:szCs w:val="20"/>
              </w:rPr>
              <w:t>7</w:t>
            </w:r>
            <w:r w:rsidRPr="000E47E2">
              <w:rPr>
                <w:rFonts w:asciiTheme="majorHAnsi" w:hAnsiTheme="majorHAnsi"/>
                <w:noProof/>
                <w:webHidden/>
                <w:sz w:val="20"/>
                <w:szCs w:val="20"/>
              </w:rPr>
              <w:fldChar w:fldCharType="end"/>
            </w:r>
          </w:hyperlink>
        </w:p>
        <w:p w14:paraId="1B987BC4" w14:textId="295C1EDF" w:rsidR="000E47E2" w:rsidRPr="000E47E2" w:rsidRDefault="000E47E2" w:rsidP="000E47E2">
          <w:pPr>
            <w:pStyle w:val="TOC2"/>
            <w:ind w:hanging="720"/>
            <w:rPr>
              <w:rFonts w:asciiTheme="majorHAnsi" w:eastAsiaTheme="minorEastAsia" w:hAnsiTheme="majorHAnsi" w:cstheme="minorBidi"/>
              <w:noProof/>
              <w:sz w:val="20"/>
              <w:szCs w:val="20"/>
              <w:bdr w:val="none" w:sz="0" w:space="0" w:color="auto"/>
            </w:rPr>
          </w:pPr>
          <w:hyperlink w:anchor="_Toc99959793" w:history="1">
            <w:r w:rsidRPr="000E47E2">
              <w:rPr>
                <w:rStyle w:val="Hyperlink"/>
                <w:rFonts w:asciiTheme="majorHAnsi" w:hAnsiTheme="majorHAnsi"/>
                <w:noProof/>
                <w:sz w:val="20"/>
                <w:szCs w:val="20"/>
                <w:lang w:val="en"/>
              </w:rPr>
              <w:t>4.</w:t>
            </w:r>
            <w:r w:rsidRPr="000E47E2">
              <w:rPr>
                <w:rFonts w:asciiTheme="majorHAnsi" w:eastAsiaTheme="minorEastAsia" w:hAnsiTheme="majorHAnsi" w:cstheme="minorBidi"/>
                <w:noProof/>
                <w:sz w:val="20"/>
                <w:szCs w:val="20"/>
                <w:bdr w:val="none" w:sz="0" w:space="0" w:color="auto"/>
              </w:rPr>
              <w:tab/>
            </w:r>
            <w:r w:rsidRPr="000E47E2">
              <w:rPr>
                <w:rStyle w:val="Hyperlink"/>
                <w:rFonts w:asciiTheme="majorHAnsi" w:hAnsiTheme="majorHAnsi"/>
                <w:noProof/>
                <w:sz w:val="20"/>
                <w:szCs w:val="20"/>
                <w:lang w:val="en"/>
              </w:rPr>
              <w:t>Writ of habeas corpus</w:t>
            </w:r>
            <w:r w:rsidRPr="000E47E2">
              <w:rPr>
                <w:rFonts w:asciiTheme="majorHAnsi" w:hAnsiTheme="majorHAnsi"/>
                <w:noProof/>
                <w:webHidden/>
                <w:sz w:val="20"/>
                <w:szCs w:val="20"/>
              </w:rPr>
              <w:tab/>
            </w:r>
            <w:r w:rsidRPr="000E47E2">
              <w:rPr>
                <w:rFonts w:asciiTheme="majorHAnsi" w:hAnsiTheme="majorHAnsi"/>
                <w:noProof/>
                <w:webHidden/>
                <w:sz w:val="20"/>
                <w:szCs w:val="20"/>
              </w:rPr>
              <w:fldChar w:fldCharType="begin"/>
            </w:r>
            <w:r w:rsidRPr="000E47E2">
              <w:rPr>
                <w:rFonts w:asciiTheme="majorHAnsi" w:hAnsiTheme="majorHAnsi"/>
                <w:noProof/>
                <w:webHidden/>
                <w:sz w:val="20"/>
                <w:szCs w:val="20"/>
              </w:rPr>
              <w:instrText xml:space="preserve"> PAGEREF _Toc99959793 \h </w:instrText>
            </w:r>
            <w:r w:rsidRPr="000E47E2">
              <w:rPr>
                <w:rFonts w:asciiTheme="majorHAnsi" w:hAnsiTheme="majorHAnsi"/>
                <w:noProof/>
                <w:webHidden/>
                <w:sz w:val="20"/>
                <w:szCs w:val="20"/>
              </w:rPr>
            </w:r>
            <w:r w:rsidRPr="000E47E2">
              <w:rPr>
                <w:rFonts w:asciiTheme="majorHAnsi" w:hAnsiTheme="majorHAnsi"/>
                <w:noProof/>
                <w:webHidden/>
                <w:sz w:val="20"/>
                <w:szCs w:val="20"/>
              </w:rPr>
              <w:fldChar w:fldCharType="separate"/>
            </w:r>
            <w:r w:rsidRPr="000E47E2">
              <w:rPr>
                <w:rFonts w:asciiTheme="majorHAnsi" w:hAnsiTheme="majorHAnsi"/>
                <w:noProof/>
                <w:webHidden/>
                <w:sz w:val="20"/>
                <w:szCs w:val="20"/>
              </w:rPr>
              <w:t>7</w:t>
            </w:r>
            <w:r w:rsidRPr="000E47E2">
              <w:rPr>
                <w:rFonts w:asciiTheme="majorHAnsi" w:hAnsiTheme="majorHAnsi"/>
                <w:noProof/>
                <w:webHidden/>
                <w:sz w:val="20"/>
                <w:szCs w:val="20"/>
              </w:rPr>
              <w:fldChar w:fldCharType="end"/>
            </w:r>
          </w:hyperlink>
        </w:p>
        <w:p w14:paraId="43D0BE02" w14:textId="61D0AAAE" w:rsidR="000E47E2" w:rsidRPr="000E47E2" w:rsidRDefault="000E47E2" w:rsidP="000E47E2">
          <w:pPr>
            <w:pStyle w:val="TOC2"/>
            <w:ind w:hanging="720"/>
            <w:rPr>
              <w:rFonts w:asciiTheme="majorHAnsi" w:eastAsiaTheme="minorEastAsia" w:hAnsiTheme="majorHAnsi" w:cstheme="minorBidi"/>
              <w:noProof/>
              <w:sz w:val="20"/>
              <w:szCs w:val="20"/>
              <w:bdr w:val="none" w:sz="0" w:space="0" w:color="auto"/>
            </w:rPr>
          </w:pPr>
          <w:hyperlink w:anchor="_Toc99959794" w:history="1">
            <w:r w:rsidRPr="000E47E2">
              <w:rPr>
                <w:rStyle w:val="Hyperlink"/>
                <w:rFonts w:asciiTheme="majorHAnsi" w:hAnsiTheme="majorHAnsi"/>
                <w:noProof/>
                <w:sz w:val="20"/>
                <w:szCs w:val="20"/>
                <w:lang w:val="en"/>
              </w:rPr>
              <w:t>5.</w:t>
            </w:r>
            <w:r w:rsidRPr="000E47E2">
              <w:rPr>
                <w:rFonts w:asciiTheme="majorHAnsi" w:eastAsiaTheme="minorEastAsia" w:hAnsiTheme="majorHAnsi" w:cstheme="minorBidi"/>
                <w:noProof/>
                <w:sz w:val="20"/>
                <w:szCs w:val="20"/>
                <w:bdr w:val="none" w:sz="0" w:space="0" w:color="auto"/>
              </w:rPr>
              <w:tab/>
            </w:r>
            <w:r w:rsidRPr="000E47E2">
              <w:rPr>
                <w:rStyle w:val="Hyperlink"/>
                <w:rFonts w:asciiTheme="majorHAnsi" w:hAnsiTheme="majorHAnsi"/>
                <w:noProof/>
                <w:sz w:val="20"/>
                <w:szCs w:val="20"/>
                <w:lang w:val="en"/>
              </w:rPr>
              <w:t>Restrictions on liberty in the framework of the criminal processes</w:t>
            </w:r>
            <w:r w:rsidRPr="000E47E2">
              <w:rPr>
                <w:rFonts w:asciiTheme="majorHAnsi" w:hAnsiTheme="majorHAnsi"/>
                <w:noProof/>
                <w:webHidden/>
                <w:sz w:val="20"/>
                <w:szCs w:val="20"/>
              </w:rPr>
              <w:tab/>
            </w:r>
            <w:r w:rsidRPr="000E47E2">
              <w:rPr>
                <w:rFonts w:asciiTheme="majorHAnsi" w:hAnsiTheme="majorHAnsi"/>
                <w:noProof/>
                <w:webHidden/>
                <w:sz w:val="20"/>
                <w:szCs w:val="20"/>
              </w:rPr>
              <w:fldChar w:fldCharType="begin"/>
            </w:r>
            <w:r w:rsidRPr="000E47E2">
              <w:rPr>
                <w:rFonts w:asciiTheme="majorHAnsi" w:hAnsiTheme="majorHAnsi"/>
                <w:noProof/>
                <w:webHidden/>
                <w:sz w:val="20"/>
                <w:szCs w:val="20"/>
              </w:rPr>
              <w:instrText xml:space="preserve"> PAGEREF _Toc99959794 \h </w:instrText>
            </w:r>
            <w:r w:rsidRPr="000E47E2">
              <w:rPr>
                <w:rFonts w:asciiTheme="majorHAnsi" w:hAnsiTheme="majorHAnsi"/>
                <w:noProof/>
                <w:webHidden/>
                <w:sz w:val="20"/>
                <w:szCs w:val="20"/>
              </w:rPr>
            </w:r>
            <w:r w:rsidRPr="000E47E2">
              <w:rPr>
                <w:rFonts w:asciiTheme="majorHAnsi" w:hAnsiTheme="majorHAnsi"/>
                <w:noProof/>
                <w:webHidden/>
                <w:sz w:val="20"/>
                <w:szCs w:val="20"/>
              </w:rPr>
              <w:fldChar w:fldCharType="separate"/>
            </w:r>
            <w:r w:rsidRPr="000E47E2">
              <w:rPr>
                <w:rFonts w:asciiTheme="majorHAnsi" w:hAnsiTheme="majorHAnsi"/>
                <w:noProof/>
                <w:webHidden/>
                <w:sz w:val="20"/>
                <w:szCs w:val="20"/>
              </w:rPr>
              <w:t>8</w:t>
            </w:r>
            <w:r w:rsidRPr="000E47E2">
              <w:rPr>
                <w:rFonts w:asciiTheme="majorHAnsi" w:hAnsiTheme="majorHAnsi"/>
                <w:noProof/>
                <w:webHidden/>
                <w:sz w:val="20"/>
                <w:szCs w:val="20"/>
              </w:rPr>
              <w:fldChar w:fldCharType="end"/>
            </w:r>
          </w:hyperlink>
        </w:p>
        <w:p w14:paraId="3A162838" w14:textId="3E798141" w:rsidR="000E47E2" w:rsidRPr="000E47E2" w:rsidRDefault="000E47E2" w:rsidP="000E47E2">
          <w:pPr>
            <w:pStyle w:val="TOC1"/>
            <w:ind w:hanging="720"/>
            <w:rPr>
              <w:rFonts w:eastAsiaTheme="minorEastAsia" w:cstheme="minorBidi"/>
              <w:bdr w:val="none" w:sz="0" w:space="0" w:color="auto"/>
              <w:lang w:val="en-US"/>
            </w:rPr>
          </w:pPr>
          <w:hyperlink w:anchor="_Toc99959795" w:history="1">
            <w:r w:rsidRPr="000E47E2">
              <w:rPr>
                <w:rStyle w:val="Hyperlink"/>
              </w:rPr>
              <w:t>IV.</w:t>
            </w:r>
            <w:r w:rsidRPr="000E47E2">
              <w:rPr>
                <w:rFonts w:eastAsiaTheme="minorEastAsia" w:cstheme="minorBidi"/>
                <w:bdr w:val="none" w:sz="0" w:space="0" w:color="auto"/>
                <w:lang w:val="en-US"/>
              </w:rPr>
              <w:tab/>
            </w:r>
            <w:r w:rsidRPr="000E47E2">
              <w:rPr>
                <w:rStyle w:val="Hyperlink"/>
                <w:rFonts w:eastAsia="Times New Roman"/>
                <w:bdr w:val="none" w:sz="0" w:space="0" w:color="auto" w:frame="1"/>
                <w:lang w:val="en"/>
              </w:rPr>
              <w:t>CONSIDERATIONS OF LAW</w:t>
            </w:r>
            <w:r w:rsidRPr="000E47E2">
              <w:rPr>
                <w:webHidden/>
              </w:rPr>
              <w:tab/>
            </w:r>
            <w:r w:rsidRPr="000E47E2">
              <w:rPr>
                <w:webHidden/>
              </w:rPr>
              <w:fldChar w:fldCharType="begin"/>
            </w:r>
            <w:r w:rsidRPr="000E47E2">
              <w:rPr>
                <w:webHidden/>
              </w:rPr>
              <w:instrText xml:space="preserve"> PAGEREF _Toc99959795 \h </w:instrText>
            </w:r>
            <w:r w:rsidRPr="000E47E2">
              <w:rPr>
                <w:webHidden/>
              </w:rPr>
            </w:r>
            <w:r w:rsidRPr="000E47E2">
              <w:rPr>
                <w:webHidden/>
              </w:rPr>
              <w:fldChar w:fldCharType="separate"/>
            </w:r>
            <w:r w:rsidRPr="000E47E2">
              <w:rPr>
                <w:webHidden/>
              </w:rPr>
              <w:t>9</w:t>
            </w:r>
            <w:r w:rsidRPr="000E47E2">
              <w:rPr>
                <w:webHidden/>
              </w:rPr>
              <w:fldChar w:fldCharType="end"/>
            </w:r>
          </w:hyperlink>
        </w:p>
        <w:p w14:paraId="7F11CFD8" w14:textId="27EC8EAF" w:rsidR="000E47E2" w:rsidRPr="000E47E2" w:rsidRDefault="000E47E2" w:rsidP="000E47E2">
          <w:pPr>
            <w:pStyle w:val="TOC2"/>
            <w:ind w:hanging="720"/>
            <w:rPr>
              <w:rFonts w:asciiTheme="majorHAnsi" w:eastAsiaTheme="minorEastAsia" w:hAnsiTheme="majorHAnsi" w:cstheme="minorBidi"/>
              <w:noProof/>
              <w:sz w:val="20"/>
              <w:szCs w:val="20"/>
              <w:bdr w:val="none" w:sz="0" w:space="0" w:color="auto"/>
            </w:rPr>
          </w:pPr>
          <w:hyperlink w:anchor="_Toc99959796" w:history="1">
            <w:r w:rsidRPr="000E47E2">
              <w:rPr>
                <w:rStyle w:val="Hyperlink"/>
                <w:rFonts w:asciiTheme="majorHAnsi" w:hAnsiTheme="majorHAnsi"/>
                <w:noProof/>
                <w:sz w:val="20"/>
                <w:szCs w:val="20"/>
              </w:rPr>
              <w:t>A.</w:t>
            </w:r>
            <w:r w:rsidRPr="000E47E2">
              <w:rPr>
                <w:rFonts w:asciiTheme="majorHAnsi" w:eastAsiaTheme="minorEastAsia" w:hAnsiTheme="majorHAnsi" w:cstheme="minorBidi"/>
                <w:noProof/>
                <w:sz w:val="20"/>
                <w:szCs w:val="20"/>
                <w:bdr w:val="none" w:sz="0" w:space="0" w:color="auto"/>
              </w:rPr>
              <w:tab/>
            </w:r>
            <w:r w:rsidRPr="000E47E2">
              <w:rPr>
                <w:rStyle w:val="Hyperlink"/>
                <w:rFonts w:asciiTheme="majorHAnsi" w:hAnsiTheme="majorHAnsi"/>
                <w:noProof/>
                <w:sz w:val="20"/>
                <w:szCs w:val="20"/>
                <w:lang w:val="en"/>
              </w:rPr>
              <w:t>The right to a reasonable period of time</w:t>
            </w:r>
            <w:r w:rsidRPr="000E47E2">
              <w:rPr>
                <w:rFonts w:asciiTheme="majorHAnsi" w:hAnsiTheme="majorHAnsi"/>
                <w:noProof/>
                <w:webHidden/>
                <w:sz w:val="20"/>
                <w:szCs w:val="20"/>
              </w:rPr>
              <w:tab/>
            </w:r>
            <w:r w:rsidRPr="000E47E2">
              <w:rPr>
                <w:rFonts w:asciiTheme="majorHAnsi" w:hAnsiTheme="majorHAnsi"/>
                <w:noProof/>
                <w:webHidden/>
                <w:sz w:val="20"/>
                <w:szCs w:val="20"/>
              </w:rPr>
              <w:fldChar w:fldCharType="begin"/>
            </w:r>
            <w:r w:rsidRPr="000E47E2">
              <w:rPr>
                <w:rFonts w:asciiTheme="majorHAnsi" w:hAnsiTheme="majorHAnsi"/>
                <w:noProof/>
                <w:webHidden/>
                <w:sz w:val="20"/>
                <w:szCs w:val="20"/>
              </w:rPr>
              <w:instrText xml:space="preserve"> PAGEREF _Toc99959796 \h </w:instrText>
            </w:r>
            <w:r w:rsidRPr="000E47E2">
              <w:rPr>
                <w:rFonts w:asciiTheme="majorHAnsi" w:hAnsiTheme="majorHAnsi"/>
                <w:noProof/>
                <w:webHidden/>
                <w:sz w:val="20"/>
                <w:szCs w:val="20"/>
              </w:rPr>
            </w:r>
            <w:r w:rsidRPr="000E47E2">
              <w:rPr>
                <w:rFonts w:asciiTheme="majorHAnsi" w:hAnsiTheme="majorHAnsi"/>
                <w:noProof/>
                <w:webHidden/>
                <w:sz w:val="20"/>
                <w:szCs w:val="20"/>
              </w:rPr>
              <w:fldChar w:fldCharType="separate"/>
            </w:r>
            <w:r w:rsidRPr="000E47E2">
              <w:rPr>
                <w:rFonts w:asciiTheme="majorHAnsi" w:hAnsiTheme="majorHAnsi"/>
                <w:noProof/>
                <w:webHidden/>
                <w:sz w:val="20"/>
                <w:szCs w:val="20"/>
              </w:rPr>
              <w:t>9</w:t>
            </w:r>
            <w:r w:rsidRPr="000E47E2">
              <w:rPr>
                <w:rFonts w:asciiTheme="majorHAnsi" w:hAnsiTheme="majorHAnsi"/>
                <w:noProof/>
                <w:webHidden/>
                <w:sz w:val="20"/>
                <w:szCs w:val="20"/>
              </w:rPr>
              <w:fldChar w:fldCharType="end"/>
            </w:r>
          </w:hyperlink>
        </w:p>
        <w:p w14:paraId="695F9A10" w14:textId="25AAE1C9" w:rsidR="000E47E2" w:rsidRPr="000E47E2" w:rsidRDefault="000E47E2" w:rsidP="000E47E2">
          <w:pPr>
            <w:pStyle w:val="TOC2"/>
            <w:ind w:hanging="720"/>
            <w:rPr>
              <w:rFonts w:asciiTheme="majorHAnsi" w:eastAsiaTheme="minorEastAsia" w:hAnsiTheme="majorHAnsi" w:cstheme="minorBidi"/>
              <w:noProof/>
              <w:sz w:val="20"/>
              <w:szCs w:val="20"/>
              <w:bdr w:val="none" w:sz="0" w:space="0" w:color="auto"/>
            </w:rPr>
          </w:pPr>
          <w:hyperlink w:anchor="_Toc99959797" w:history="1">
            <w:r w:rsidRPr="000E47E2">
              <w:rPr>
                <w:rStyle w:val="Hyperlink"/>
                <w:rFonts w:asciiTheme="majorHAnsi" w:hAnsiTheme="majorHAnsi"/>
                <w:noProof/>
                <w:sz w:val="20"/>
                <w:szCs w:val="20"/>
                <w:lang w:val="en"/>
              </w:rPr>
              <w:t>B.</w:t>
            </w:r>
            <w:r w:rsidRPr="000E47E2">
              <w:rPr>
                <w:rFonts w:asciiTheme="majorHAnsi" w:eastAsiaTheme="minorEastAsia" w:hAnsiTheme="majorHAnsi" w:cstheme="minorBidi"/>
                <w:noProof/>
                <w:sz w:val="20"/>
                <w:szCs w:val="20"/>
                <w:bdr w:val="none" w:sz="0" w:space="0" w:color="auto"/>
              </w:rPr>
              <w:tab/>
            </w:r>
            <w:r w:rsidRPr="000E47E2">
              <w:rPr>
                <w:rStyle w:val="Hyperlink"/>
                <w:rFonts w:asciiTheme="majorHAnsi" w:hAnsiTheme="majorHAnsi"/>
                <w:noProof/>
                <w:sz w:val="20"/>
                <w:szCs w:val="20"/>
                <w:lang w:val="en"/>
              </w:rPr>
              <w:t>The right to personal liberty, the right to movement and residency, and the principle of presumption of innocence</w:t>
            </w:r>
            <w:r w:rsidRPr="000E47E2">
              <w:rPr>
                <w:rFonts w:asciiTheme="majorHAnsi" w:hAnsiTheme="majorHAnsi"/>
                <w:noProof/>
                <w:webHidden/>
                <w:sz w:val="20"/>
                <w:szCs w:val="20"/>
              </w:rPr>
              <w:tab/>
            </w:r>
            <w:r w:rsidRPr="000E47E2">
              <w:rPr>
                <w:rFonts w:asciiTheme="majorHAnsi" w:hAnsiTheme="majorHAnsi"/>
                <w:noProof/>
                <w:webHidden/>
                <w:sz w:val="20"/>
                <w:szCs w:val="20"/>
              </w:rPr>
              <w:fldChar w:fldCharType="begin"/>
            </w:r>
            <w:r w:rsidRPr="000E47E2">
              <w:rPr>
                <w:rFonts w:asciiTheme="majorHAnsi" w:hAnsiTheme="majorHAnsi"/>
                <w:noProof/>
                <w:webHidden/>
                <w:sz w:val="20"/>
                <w:szCs w:val="20"/>
              </w:rPr>
              <w:instrText xml:space="preserve"> PAGEREF _Toc99959797 \h </w:instrText>
            </w:r>
            <w:r w:rsidRPr="000E47E2">
              <w:rPr>
                <w:rFonts w:asciiTheme="majorHAnsi" w:hAnsiTheme="majorHAnsi"/>
                <w:noProof/>
                <w:webHidden/>
                <w:sz w:val="20"/>
                <w:szCs w:val="20"/>
              </w:rPr>
            </w:r>
            <w:r w:rsidRPr="000E47E2">
              <w:rPr>
                <w:rFonts w:asciiTheme="majorHAnsi" w:hAnsiTheme="majorHAnsi"/>
                <w:noProof/>
                <w:webHidden/>
                <w:sz w:val="20"/>
                <w:szCs w:val="20"/>
              </w:rPr>
              <w:fldChar w:fldCharType="separate"/>
            </w:r>
            <w:r w:rsidRPr="000E47E2">
              <w:rPr>
                <w:rFonts w:asciiTheme="majorHAnsi" w:hAnsiTheme="majorHAnsi"/>
                <w:noProof/>
                <w:webHidden/>
                <w:sz w:val="20"/>
                <w:szCs w:val="20"/>
              </w:rPr>
              <w:t>10</w:t>
            </w:r>
            <w:r w:rsidRPr="000E47E2">
              <w:rPr>
                <w:rFonts w:asciiTheme="majorHAnsi" w:hAnsiTheme="majorHAnsi"/>
                <w:noProof/>
                <w:webHidden/>
                <w:sz w:val="20"/>
                <w:szCs w:val="20"/>
              </w:rPr>
              <w:fldChar w:fldCharType="end"/>
            </w:r>
          </w:hyperlink>
        </w:p>
        <w:p w14:paraId="13A636C0" w14:textId="2B1E90A2" w:rsidR="000E47E2" w:rsidRPr="000E47E2" w:rsidRDefault="000E47E2" w:rsidP="000E47E2">
          <w:pPr>
            <w:pStyle w:val="TOC2"/>
            <w:ind w:hanging="720"/>
            <w:rPr>
              <w:rFonts w:asciiTheme="majorHAnsi" w:eastAsiaTheme="minorEastAsia" w:hAnsiTheme="majorHAnsi" w:cstheme="minorBidi"/>
              <w:noProof/>
              <w:sz w:val="20"/>
              <w:szCs w:val="20"/>
              <w:bdr w:val="none" w:sz="0" w:space="0" w:color="auto"/>
            </w:rPr>
          </w:pPr>
          <w:hyperlink w:anchor="_Toc99959798" w:history="1">
            <w:r w:rsidRPr="000E47E2">
              <w:rPr>
                <w:rStyle w:val="Hyperlink"/>
                <w:rFonts w:asciiTheme="majorHAnsi" w:hAnsiTheme="majorHAnsi"/>
                <w:noProof/>
                <w:sz w:val="20"/>
                <w:szCs w:val="20"/>
                <w:lang w:val="en"/>
              </w:rPr>
              <w:t>C.</w:t>
            </w:r>
            <w:r w:rsidRPr="000E47E2">
              <w:rPr>
                <w:rFonts w:asciiTheme="majorHAnsi" w:eastAsiaTheme="minorEastAsia" w:hAnsiTheme="majorHAnsi" w:cstheme="minorBidi"/>
                <w:noProof/>
                <w:sz w:val="20"/>
                <w:szCs w:val="20"/>
                <w:bdr w:val="none" w:sz="0" w:space="0" w:color="auto"/>
              </w:rPr>
              <w:tab/>
            </w:r>
            <w:r w:rsidRPr="000E47E2">
              <w:rPr>
                <w:rStyle w:val="Hyperlink"/>
                <w:rFonts w:asciiTheme="majorHAnsi" w:hAnsiTheme="majorHAnsi"/>
                <w:noProof/>
                <w:sz w:val="20"/>
                <w:szCs w:val="20"/>
                <w:lang w:val="en"/>
              </w:rPr>
              <w:t>Principles of legality and favorability</w:t>
            </w:r>
            <w:r w:rsidRPr="000E47E2">
              <w:rPr>
                <w:rFonts w:asciiTheme="majorHAnsi" w:hAnsiTheme="majorHAnsi"/>
                <w:noProof/>
                <w:webHidden/>
                <w:sz w:val="20"/>
                <w:szCs w:val="20"/>
              </w:rPr>
              <w:tab/>
            </w:r>
            <w:r w:rsidRPr="000E47E2">
              <w:rPr>
                <w:rFonts w:asciiTheme="majorHAnsi" w:hAnsiTheme="majorHAnsi"/>
                <w:noProof/>
                <w:webHidden/>
                <w:sz w:val="20"/>
                <w:szCs w:val="20"/>
              </w:rPr>
              <w:fldChar w:fldCharType="begin"/>
            </w:r>
            <w:r w:rsidRPr="000E47E2">
              <w:rPr>
                <w:rFonts w:asciiTheme="majorHAnsi" w:hAnsiTheme="majorHAnsi"/>
                <w:noProof/>
                <w:webHidden/>
                <w:sz w:val="20"/>
                <w:szCs w:val="20"/>
              </w:rPr>
              <w:instrText xml:space="preserve"> PAGEREF _Toc99959798 \h </w:instrText>
            </w:r>
            <w:r w:rsidRPr="000E47E2">
              <w:rPr>
                <w:rFonts w:asciiTheme="majorHAnsi" w:hAnsiTheme="majorHAnsi"/>
                <w:noProof/>
                <w:webHidden/>
                <w:sz w:val="20"/>
                <w:szCs w:val="20"/>
              </w:rPr>
            </w:r>
            <w:r w:rsidRPr="000E47E2">
              <w:rPr>
                <w:rFonts w:asciiTheme="majorHAnsi" w:hAnsiTheme="majorHAnsi"/>
                <w:noProof/>
                <w:webHidden/>
                <w:sz w:val="20"/>
                <w:szCs w:val="20"/>
              </w:rPr>
              <w:fldChar w:fldCharType="separate"/>
            </w:r>
            <w:r w:rsidRPr="000E47E2">
              <w:rPr>
                <w:rFonts w:asciiTheme="majorHAnsi" w:hAnsiTheme="majorHAnsi"/>
                <w:noProof/>
                <w:webHidden/>
                <w:sz w:val="20"/>
                <w:szCs w:val="20"/>
              </w:rPr>
              <w:t>12</w:t>
            </w:r>
            <w:r w:rsidRPr="000E47E2">
              <w:rPr>
                <w:rFonts w:asciiTheme="majorHAnsi" w:hAnsiTheme="majorHAnsi"/>
                <w:noProof/>
                <w:webHidden/>
                <w:sz w:val="20"/>
                <w:szCs w:val="20"/>
              </w:rPr>
              <w:fldChar w:fldCharType="end"/>
            </w:r>
          </w:hyperlink>
        </w:p>
        <w:p w14:paraId="6A8F1C8B" w14:textId="3EDD5917" w:rsidR="000E47E2" w:rsidRPr="000E47E2" w:rsidRDefault="000E47E2" w:rsidP="000E47E2">
          <w:pPr>
            <w:pStyle w:val="TOC1"/>
            <w:ind w:hanging="720"/>
            <w:rPr>
              <w:rFonts w:eastAsiaTheme="minorEastAsia" w:cstheme="minorBidi"/>
              <w:bdr w:val="none" w:sz="0" w:space="0" w:color="auto"/>
              <w:lang w:val="en-US"/>
            </w:rPr>
          </w:pPr>
          <w:hyperlink w:anchor="_Toc99959799" w:history="1">
            <w:r w:rsidRPr="000E47E2">
              <w:rPr>
                <w:rStyle w:val="Hyperlink"/>
                <w:lang w:val="en"/>
              </w:rPr>
              <w:t>V.</w:t>
            </w:r>
            <w:r w:rsidRPr="000E47E2">
              <w:rPr>
                <w:rFonts w:eastAsiaTheme="minorEastAsia" w:cstheme="minorBidi"/>
                <w:bdr w:val="none" w:sz="0" w:space="0" w:color="auto"/>
                <w:lang w:val="en-US"/>
              </w:rPr>
              <w:tab/>
            </w:r>
            <w:r w:rsidRPr="000E47E2">
              <w:rPr>
                <w:rStyle w:val="Hyperlink"/>
                <w:lang w:val="en"/>
              </w:rPr>
              <w:t>PROCEEDINGS SUBSEQUENT TO REPORT No. 53/19</w:t>
            </w:r>
            <w:r w:rsidRPr="000E47E2">
              <w:rPr>
                <w:webHidden/>
              </w:rPr>
              <w:tab/>
            </w:r>
            <w:r w:rsidRPr="000E47E2">
              <w:rPr>
                <w:webHidden/>
              </w:rPr>
              <w:fldChar w:fldCharType="begin"/>
            </w:r>
            <w:r w:rsidRPr="000E47E2">
              <w:rPr>
                <w:webHidden/>
              </w:rPr>
              <w:instrText xml:space="preserve"> PAGEREF _Toc99959799 \h </w:instrText>
            </w:r>
            <w:r w:rsidRPr="000E47E2">
              <w:rPr>
                <w:webHidden/>
              </w:rPr>
            </w:r>
            <w:r w:rsidRPr="000E47E2">
              <w:rPr>
                <w:webHidden/>
              </w:rPr>
              <w:fldChar w:fldCharType="separate"/>
            </w:r>
            <w:r w:rsidRPr="000E47E2">
              <w:rPr>
                <w:webHidden/>
              </w:rPr>
              <w:t>12</w:t>
            </w:r>
            <w:r w:rsidRPr="000E47E2">
              <w:rPr>
                <w:webHidden/>
              </w:rPr>
              <w:fldChar w:fldCharType="end"/>
            </w:r>
          </w:hyperlink>
        </w:p>
        <w:p w14:paraId="0F46F490" w14:textId="2939C8B6" w:rsidR="000E47E2" w:rsidRPr="000E47E2" w:rsidRDefault="000E47E2" w:rsidP="000E47E2">
          <w:pPr>
            <w:pStyle w:val="TOC1"/>
            <w:ind w:hanging="720"/>
            <w:rPr>
              <w:rFonts w:eastAsiaTheme="minorEastAsia" w:cstheme="minorBidi"/>
              <w:bdr w:val="none" w:sz="0" w:space="0" w:color="auto"/>
              <w:lang w:val="en-US"/>
            </w:rPr>
          </w:pPr>
          <w:hyperlink w:anchor="_Toc99959800" w:history="1">
            <w:r w:rsidRPr="000E47E2">
              <w:rPr>
                <w:rStyle w:val="Hyperlink"/>
                <w:lang w:val="en"/>
              </w:rPr>
              <w:t>VI.</w:t>
            </w:r>
            <w:r w:rsidRPr="000E47E2">
              <w:rPr>
                <w:rFonts w:eastAsiaTheme="minorEastAsia" w:cstheme="minorBidi"/>
                <w:bdr w:val="none" w:sz="0" w:space="0" w:color="auto"/>
                <w:lang w:val="en-US"/>
              </w:rPr>
              <w:tab/>
            </w:r>
            <w:r w:rsidRPr="000E47E2">
              <w:rPr>
                <w:rStyle w:val="Hyperlink"/>
                <w:lang w:val="en"/>
              </w:rPr>
              <w:t>ANALYSIS OF COMPLIANCE WITH RECOMMENDATIONS</w:t>
            </w:r>
            <w:r w:rsidRPr="000E47E2">
              <w:rPr>
                <w:webHidden/>
              </w:rPr>
              <w:tab/>
            </w:r>
            <w:r w:rsidRPr="000E47E2">
              <w:rPr>
                <w:webHidden/>
              </w:rPr>
              <w:fldChar w:fldCharType="begin"/>
            </w:r>
            <w:r w:rsidRPr="000E47E2">
              <w:rPr>
                <w:webHidden/>
              </w:rPr>
              <w:instrText xml:space="preserve"> PAGEREF _Toc99959800 \h </w:instrText>
            </w:r>
            <w:r w:rsidRPr="000E47E2">
              <w:rPr>
                <w:webHidden/>
              </w:rPr>
            </w:r>
            <w:r w:rsidRPr="000E47E2">
              <w:rPr>
                <w:webHidden/>
              </w:rPr>
              <w:fldChar w:fldCharType="separate"/>
            </w:r>
            <w:r w:rsidRPr="000E47E2">
              <w:rPr>
                <w:webHidden/>
              </w:rPr>
              <w:t>13</w:t>
            </w:r>
            <w:r w:rsidRPr="000E47E2">
              <w:rPr>
                <w:webHidden/>
              </w:rPr>
              <w:fldChar w:fldCharType="end"/>
            </w:r>
          </w:hyperlink>
        </w:p>
        <w:p w14:paraId="3020F9A7" w14:textId="2F33CDFA" w:rsidR="000E47E2" w:rsidRPr="000E47E2" w:rsidRDefault="000E47E2" w:rsidP="000E47E2">
          <w:pPr>
            <w:pStyle w:val="TOC1"/>
            <w:ind w:hanging="720"/>
            <w:rPr>
              <w:rFonts w:eastAsiaTheme="minorEastAsia" w:cstheme="minorBidi"/>
              <w:bdr w:val="none" w:sz="0" w:space="0" w:color="auto"/>
              <w:lang w:val="en-US"/>
            </w:rPr>
          </w:pPr>
          <w:hyperlink w:anchor="_Toc99959801" w:history="1">
            <w:r w:rsidRPr="000E47E2">
              <w:rPr>
                <w:rStyle w:val="Hyperlink"/>
                <w:lang w:val="en"/>
              </w:rPr>
              <w:t>VI.</w:t>
            </w:r>
            <w:r w:rsidRPr="000E47E2">
              <w:rPr>
                <w:rFonts w:eastAsiaTheme="minorEastAsia" w:cstheme="minorBidi"/>
                <w:bdr w:val="none" w:sz="0" w:space="0" w:color="auto"/>
                <w:lang w:val="en-US"/>
              </w:rPr>
              <w:tab/>
            </w:r>
            <w:r w:rsidRPr="000E47E2">
              <w:rPr>
                <w:rStyle w:val="Hyperlink"/>
                <w:lang w:val="en"/>
              </w:rPr>
              <w:t>PROCEEDINGS SUBSEQUENT TO REPORT No. 326/21 AND INFORMATION ABOUT COMPLIANCE</w:t>
            </w:r>
            <w:r w:rsidRPr="000E47E2">
              <w:rPr>
                <w:webHidden/>
              </w:rPr>
              <w:tab/>
            </w:r>
            <w:r w:rsidRPr="000E47E2">
              <w:rPr>
                <w:webHidden/>
              </w:rPr>
              <w:fldChar w:fldCharType="begin"/>
            </w:r>
            <w:r w:rsidRPr="000E47E2">
              <w:rPr>
                <w:webHidden/>
              </w:rPr>
              <w:instrText xml:space="preserve"> PAGEREF _Toc99959801 \h </w:instrText>
            </w:r>
            <w:r w:rsidRPr="000E47E2">
              <w:rPr>
                <w:webHidden/>
              </w:rPr>
            </w:r>
            <w:r w:rsidRPr="000E47E2">
              <w:rPr>
                <w:webHidden/>
              </w:rPr>
              <w:fldChar w:fldCharType="separate"/>
            </w:r>
            <w:r w:rsidRPr="000E47E2">
              <w:rPr>
                <w:webHidden/>
              </w:rPr>
              <w:t>13</w:t>
            </w:r>
            <w:r w:rsidRPr="000E47E2">
              <w:rPr>
                <w:webHidden/>
              </w:rPr>
              <w:fldChar w:fldCharType="end"/>
            </w:r>
          </w:hyperlink>
        </w:p>
        <w:p w14:paraId="7C163E20" w14:textId="6CF38670" w:rsidR="000E47E2" w:rsidRPr="000E47E2" w:rsidRDefault="000E47E2" w:rsidP="000E47E2">
          <w:pPr>
            <w:pStyle w:val="TOC1"/>
            <w:ind w:hanging="720"/>
            <w:rPr>
              <w:rFonts w:eastAsiaTheme="minorEastAsia" w:cstheme="minorBidi"/>
              <w:bdr w:val="none" w:sz="0" w:space="0" w:color="auto"/>
              <w:lang w:val="en-US"/>
            </w:rPr>
          </w:pPr>
          <w:hyperlink w:anchor="_Toc99959802" w:history="1">
            <w:r w:rsidRPr="000E47E2">
              <w:rPr>
                <w:rStyle w:val="Hyperlink"/>
              </w:rPr>
              <w:t>VII.</w:t>
            </w:r>
            <w:r w:rsidRPr="000E47E2">
              <w:rPr>
                <w:rFonts w:eastAsiaTheme="minorEastAsia" w:cstheme="minorBidi"/>
                <w:bdr w:val="none" w:sz="0" w:space="0" w:color="auto"/>
                <w:lang w:val="en-US"/>
              </w:rPr>
              <w:tab/>
            </w:r>
            <w:r w:rsidRPr="000E47E2">
              <w:rPr>
                <w:rStyle w:val="Hyperlink"/>
                <w:lang w:val="en"/>
              </w:rPr>
              <w:t>FINAL CONCLUSIONS AND RECOMMENDATIONS</w:t>
            </w:r>
            <w:r w:rsidRPr="000E47E2">
              <w:rPr>
                <w:webHidden/>
              </w:rPr>
              <w:tab/>
            </w:r>
            <w:r w:rsidRPr="000E47E2">
              <w:rPr>
                <w:webHidden/>
              </w:rPr>
              <w:fldChar w:fldCharType="begin"/>
            </w:r>
            <w:r w:rsidRPr="000E47E2">
              <w:rPr>
                <w:webHidden/>
              </w:rPr>
              <w:instrText xml:space="preserve"> PAGEREF _Toc99959802 \h </w:instrText>
            </w:r>
            <w:r w:rsidRPr="000E47E2">
              <w:rPr>
                <w:webHidden/>
              </w:rPr>
            </w:r>
            <w:r w:rsidRPr="000E47E2">
              <w:rPr>
                <w:webHidden/>
              </w:rPr>
              <w:fldChar w:fldCharType="separate"/>
            </w:r>
            <w:r w:rsidRPr="000E47E2">
              <w:rPr>
                <w:webHidden/>
              </w:rPr>
              <w:t>14</w:t>
            </w:r>
            <w:r w:rsidRPr="000E47E2">
              <w:rPr>
                <w:webHidden/>
              </w:rPr>
              <w:fldChar w:fldCharType="end"/>
            </w:r>
          </w:hyperlink>
        </w:p>
        <w:p w14:paraId="7C5A563F" w14:textId="37A3822A" w:rsidR="000E47E2" w:rsidRPr="000E47E2" w:rsidRDefault="000E47E2" w:rsidP="000E47E2">
          <w:pPr>
            <w:pStyle w:val="TOC1"/>
            <w:ind w:hanging="720"/>
            <w:rPr>
              <w:rFonts w:eastAsiaTheme="minorEastAsia" w:cstheme="minorBidi"/>
              <w:bdr w:val="none" w:sz="0" w:space="0" w:color="auto"/>
              <w:lang w:val="en-US"/>
            </w:rPr>
          </w:pPr>
          <w:hyperlink w:anchor="_Toc99959803" w:history="1">
            <w:r w:rsidRPr="000E47E2">
              <w:rPr>
                <w:rStyle w:val="Hyperlink"/>
                <w:lang w:val="en"/>
              </w:rPr>
              <w:t>VIII.</w:t>
            </w:r>
            <w:r w:rsidRPr="000E47E2">
              <w:rPr>
                <w:rFonts w:eastAsiaTheme="minorEastAsia" w:cstheme="minorBidi"/>
                <w:bdr w:val="none" w:sz="0" w:space="0" w:color="auto"/>
                <w:lang w:val="en-US"/>
              </w:rPr>
              <w:tab/>
            </w:r>
            <w:r w:rsidRPr="000E47E2">
              <w:rPr>
                <w:rStyle w:val="Hyperlink"/>
                <w:lang w:val="en"/>
              </w:rPr>
              <w:t>PUBLICATION</w:t>
            </w:r>
            <w:r w:rsidRPr="000E47E2">
              <w:rPr>
                <w:webHidden/>
              </w:rPr>
              <w:tab/>
            </w:r>
            <w:r w:rsidRPr="000E47E2">
              <w:rPr>
                <w:webHidden/>
              </w:rPr>
              <w:fldChar w:fldCharType="begin"/>
            </w:r>
            <w:r w:rsidRPr="000E47E2">
              <w:rPr>
                <w:webHidden/>
              </w:rPr>
              <w:instrText xml:space="preserve"> PAGEREF _Toc99959803 \h </w:instrText>
            </w:r>
            <w:r w:rsidRPr="000E47E2">
              <w:rPr>
                <w:webHidden/>
              </w:rPr>
            </w:r>
            <w:r w:rsidRPr="000E47E2">
              <w:rPr>
                <w:webHidden/>
              </w:rPr>
              <w:fldChar w:fldCharType="separate"/>
            </w:r>
            <w:r w:rsidRPr="000E47E2">
              <w:rPr>
                <w:webHidden/>
              </w:rPr>
              <w:t>14</w:t>
            </w:r>
            <w:r w:rsidRPr="000E47E2">
              <w:rPr>
                <w:webHidden/>
              </w:rPr>
              <w:fldChar w:fldCharType="end"/>
            </w:r>
          </w:hyperlink>
        </w:p>
        <w:p w14:paraId="4A6B6F5B" w14:textId="30AB9C35" w:rsidR="0090268A" w:rsidRPr="000E47E2" w:rsidRDefault="0090268A">
          <w:pPr>
            <w:rPr>
              <w:rFonts w:asciiTheme="majorHAnsi" w:hAnsiTheme="majorHAnsi"/>
              <w:sz w:val="20"/>
              <w:szCs w:val="20"/>
            </w:rPr>
          </w:pPr>
          <w:r w:rsidRPr="000E47E2">
            <w:rPr>
              <w:rFonts w:asciiTheme="majorHAnsi" w:hAnsiTheme="majorHAnsi"/>
              <w:b/>
              <w:bCs/>
              <w:noProof/>
              <w:sz w:val="20"/>
              <w:szCs w:val="20"/>
            </w:rPr>
            <w:fldChar w:fldCharType="end"/>
          </w:r>
        </w:p>
      </w:sdtContent>
    </w:sdt>
    <w:p w14:paraId="66BFC51E" w14:textId="77777777" w:rsidR="0090268A" w:rsidRPr="00327C05" w:rsidRDefault="0090268A" w:rsidP="0090268A">
      <w:pPr>
        <w:pStyle w:val="Heading1"/>
        <w:numPr>
          <w:ilvl w:val="0"/>
          <w:numId w:val="0"/>
        </w:numPr>
        <w:spacing w:before="0"/>
        <w:ind w:left="720"/>
        <w:rPr>
          <w:color w:val="auto"/>
          <w:sz w:val="20"/>
          <w:szCs w:val="20"/>
          <w:lang w:val="es-VE"/>
        </w:rPr>
      </w:pPr>
    </w:p>
    <w:p w14:paraId="65F9F427" w14:textId="77777777" w:rsidR="0090268A" w:rsidRPr="00327C05" w:rsidRDefault="0090268A" w:rsidP="0090268A">
      <w:pPr>
        <w:rPr>
          <w:rFonts w:asciiTheme="majorHAnsi" w:hAnsiTheme="majorHAnsi"/>
          <w:lang w:val="es-VE"/>
        </w:rPr>
      </w:pPr>
    </w:p>
    <w:p w14:paraId="4118575B" w14:textId="77777777" w:rsidR="0090268A" w:rsidRPr="00327C05" w:rsidRDefault="0090268A" w:rsidP="0090268A">
      <w:pPr>
        <w:rPr>
          <w:rFonts w:asciiTheme="majorHAnsi" w:hAnsiTheme="majorHAnsi"/>
          <w:lang w:val="es-VE"/>
        </w:rPr>
      </w:pPr>
    </w:p>
    <w:p w14:paraId="6BA3CC91" w14:textId="77777777" w:rsidR="002C731C" w:rsidRPr="00327C05" w:rsidRDefault="002C731C" w:rsidP="0090268A">
      <w:pPr>
        <w:rPr>
          <w:rFonts w:asciiTheme="majorHAnsi" w:hAnsiTheme="majorHAnsi"/>
          <w:lang w:val="es-VE"/>
        </w:rPr>
        <w:sectPr w:rsidR="002C731C" w:rsidRPr="00327C05" w:rsidSect="00A00EED">
          <w:headerReference w:type="first" r:id="rId14"/>
          <w:pgSz w:w="12240" w:h="15840"/>
          <w:pgMar w:top="1440" w:right="1440" w:bottom="1260" w:left="1440" w:header="720" w:footer="720" w:gutter="0"/>
          <w:pgNumType w:start="1"/>
          <w:cols w:space="720"/>
          <w:titlePg/>
          <w:docGrid w:linePitch="326"/>
        </w:sectPr>
      </w:pPr>
    </w:p>
    <w:p w14:paraId="0C831F53" w14:textId="1048B0B4" w:rsidR="00A00EED" w:rsidRPr="00327C05" w:rsidRDefault="006976DF" w:rsidP="0090268A">
      <w:pPr>
        <w:pStyle w:val="Heading1"/>
        <w:spacing w:before="0"/>
        <w:ind w:left="0" w:firstLine="0"/>
        <w:rPr>
          <w:color w:val="auto"/>
          <w:sz w:val="20"/>
          <w:szCs w:val="20"/>
        </w:rPr>
      </w:pPr>
      <w:bookmarkStart w:id="0" w:name="_Toc99959785"/>
      <w:r w:rsidRPr="00327C05">
        <w:rPr>
          <w:color w:val="auto"/>
          <w:sz w:val="20"/>
          <w:szCs w:val="20"/>
        </w:rPr>
        <w:lastRenderedPageBreak/>
        <w:t>INTRODUCTION</w:t>
      </w:r>
      <w:bookmarkEnd w:id="0"/>
    </w:p>
    <w:p w14:paraId="2C426D0E" w14:textId="77777777" w:rsidR="00704058" w:rsidRPr="00327C05" w:rsidRDefault="00704058" w:rsidP="0070405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eastAsia="Calibri" w:hAnsiTheme="majorHAnsi"/>
          <w:sz w:val="20"/>
          <w:szCs w:val="20"/>
        </w:rPr>
      </w:pPr>
    </w:p>
    <w:p w14:paraId="0B5E74ED"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eastAsia="Calibri" w:hAnsiTheme="majorHAnsi"/>
          <w:sz w:val="20"/>
          <w:szCs w:val="20"/>
        </w:rPr>
      </w:pPr>
      <w:r w:rsidRPr="00327C05">
        <w:rPr>
          <w:rFonts w:asciiTheme="majorHAnsi" w:eastAsia="Calibri" w:hAnsiTheme="majorHAnsi"/>
          <w:sz w:val="20"/>
          <w:szCs w:val="20"/>
          <w:lang w:val="en"/>
        </w:rPr>
        <w:t xml:space="preserve">On April 2, 2001, the Inter-American Commission on Human Rights (hereinafter "the IACHR," "the Commission," or "the Inter-American Commission") received a petition presented by Diego Jorge </w:t>
      </w:r>
      <w:proofErr w:type="spellStart"/>
      <w:r w:rsidRPr="00327C05">
        <w:rPr>
          <w:rFonts w:asciiTheme="majorHAnsi" w:eastAsia="Calibri" w:hAnsiTheme="majorHAnsi"/>
          <w:sz w:val="20"/>
          <w:szCs w:val="20"/>
          <w:lang w:val="en"/>
        </w:rPr>
        <w:t>Lavado</w:t>
      </w:r>
      <w:proofErr w:type="spellEnd"/>
      <w:r w:rsidRPr="00327C05">
        <w:rPr>
          <w:rFonts w:asciiTheme="majorHAnsi" w:eastAsia="Calibri" w:hAnsiTheme="majorHAnsi"/>
          <w:sz w:val="20"/>
          <w:szCs w:val="20"/>
          <w:lang w:val="en"/>
        </w:rPr>
        <w:t xml:space="preserve">, Carlos Eduardo Varela Álvarez, and Alejandro </w:t>
      </w:r>
      <w:proofErr w:type="spellStart"/>
      <w:r w:rsidRPr="00327C05">
        <w:rPr>
          <w:rFonts w:asciiTheme="majorHAnsi" w:eastAsia="Calibri" w:hAnsiTheme="majorHAnsi"/>
          <w:sz w:val="20"/>
          <w:szCs w:val="20"/>
          <w:lang w:val="en"/>
        </w:rPr>
        <w:t>Giménez</w:t>
      </w:r>
      <w:proofErr w:type="spellEnd"/>
      <w:r w:rsidRPr="00327C05">
        <w:rPr>
          <w:rFonts w:asciiTheme="majorHAnsi" w:eastAsia="Calibri" w:hAnsiTheme="majorHAnsi"/>
          <w:sz w:val="20"/>
          <w:szCs w:val="20"/>
          <w:lang w:val="en"/>
        </w:rPr>
        <w:t xml:space="preserve"> </w:t>
      </w:r>
      <w:proofErr w:type="spellStart"/>
      <w:r w:rsidRPr="00327C05">
        <w:rPr>
          <w:rFonts w:asciiTheme="majorHAnsi" w:eastAsia="Calibri" w:hAnsiTheme="majorHAnsi"/>
          <w:sz w:val="20"/>
          <w:szCs w:val="20"/>
          <w:lang w:val="en"/>
        </w:rPr>
        <w:t>Puga</w:t>
      </w:r>
      <w:proofErr w:type="spellEnd"/>
      <w:r w:rsidRPr="00327C05">
        <w:rPr>
          <w:rFonts w:asciiTheme="majorHAnsi" w:eastAsia="Calibri" w:hAnsiTheme="majorHAnsi"/>
          <w:sz w:val="20"/>
          <w:szCs w:val="20"/>
          <w:lang w:val="en"/>
        </w:rPr>
        <w:t xml:space="preserve"> (hereinafter "the petitioner") alleging that the Argentine Republic (hereinafter also "Argentina," "the State," or "the Argentine State") was responsible for violating a number of rights enshrined in the American Convention on Human Rights (hereinafter also "the American Convention" or "the Convention"), to the detriment of </w:t>
      </w:r>
      <w:proofErr w:type="spellStart"/>
      <w:r w:rsidRPr="00327C05">
        <w:rPr>
          <w:rFonts w:asciiTheme="majorHAnsi" w:eastAsia="Calibri" w:hAnsiTheme="majorHAnsi"/>
          <w:sz w:val="20"/>
          <w:szCs w:val="20"/>
          <w:lang w:val="en"/>
        </w:rPr>
        <w:t>Ángel</w:t>
      </w:r>
      <w:proofErr w:type="spellEnd"/>
      <w:r w:rsidRPr="00327C05">
        <w:rPr>
          <w:rFonts w:asciiTheme="majorHAnsi" w:eastAsia="Calibri" w:hAnsiTheme="majorHAnsi"/>
          <w:sz w:val="20"/>
          <w:szCs w:val="20"/>
          <w:lang w:val="en"/>
        </w:rPr>
        <w:t xml:space="preserve"> Pedro </w:t>
      </w:r>
      <w:proofErr w:type="spellStart"/>
      <w:r w:rsidRPr="00327C05">
        <w:rPr>
          <w:rFonts w:asciiTheme="majorHAnsi" w:eastAsia="Calibri" w:hAnsiTheme="majorHAnsi"/>
          <w:sz w:val="20"/>
          <w:szCs w:val="20"/>
          <w:lang w:val="en"/>
        </w:rPr>
        <w:t>Falanga</w:t>
      </w:r>
      <w:proofErr w:type="spellEnd"/>
      <w:r w:rsidRPr="00327C05">
        <w:rPr>
          <w:rFonts w:asciiTheme="majorHAnsi" w:eastAsia="Calibri" w:hAnsiTheme="majorHAnsi"/>
          <w:sz w:val="20"/>
          <w:szCs w:val="20"/>
          <w:lang w:val="en"/>
        </w:rPr>
        <w:t xml:space="preserve"> in the context of criminal processes brought against him for the offenses of monopoly and economic subversion. </w:t>
      </w:r>
    </w:p>
    <w:p w14:paraId="41B85C79" w14:textId="77777777" w:rsidR="00704058" w:rsidRPr="00327C05" w:rsidRDefault="00704058" w:rsidP="0070405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eastAsia="Calibri" w:hAnsiTheme="majorHAnsi"/>
          <w:sz w:val="20"/>
          <w:szCs w:val="20"/>
        </w:rPr>
      </w:pPr>
    </w:p>
    <w:p w14:paraId="58C06685"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eastAsia="Calibri" w:hAnsiTheme="majorHAnsi"/>
          <w:sz w:val="20"/>
          <w:szCs w:val="20"/>
        </w:rPr>
      </w:pPr>
      <w:r w:rsidRPr="00327C05">
        <w:rPr>
          <w:rFonts w:asciiTheme="majorHAnsi" w:hAnsiTheme="majorHAnsi"/>
          <w:sz w:val="20"/>
          <w:szCs w:val="20"/>
          <w:lang w:val="en"/>
        </w:rPr>
        <w:t>The Commission approved admissibility report 87/09 on August 7, 2009.</w:t>
      </w:r>
      <w:r w:rsidRPr="00327C05">
        <w:rPr>
          <w:rStyle w:val="FootnoteReference"/>
          <w:rFonts w:asciiTheme="majorHAnsi" w:hAnsiTheme="majorHAnsi"/>
          <w:sz w:val="20"/>
          <w:szCs w:val="20"/>
          <w:lang w:val="en"/>
        </w:rPr>
        <w:footnoteReference w:id="2"/>
      </w:r>
      <w:r w:rsidRPr="00327C05">
        <w:rPr>
          <w:rFonts w:asciiTheme="majorHAnsi" w:hAnsiTheme="majorHAnsi"/>
          <w:sz w:val="20"/>
          <w:szCs w:val="20"/>
          <w:lang w:val="en"/>
        </w:rPr>
        <w:t xml:space="preserve"> On August 14, 2009, the Commission notified the parties of the report and made itself available to help them reach a friendly settlement, but the conditions were not met for resolving the case using that process. The parties were given the time provided for in the Rules of Procedure to submit additional comments on the merits. All the information received was duly transferred between the parties.</w:t>
      </w:r>
    </w:p>
    <w:p w14:paraId="6829F0FA" w14:textId="77777777" w:rsidR="00704058" w:rsidRPr="00327C05" w:rsidRDefault="00704058" w:rsidP="0070405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eastAsia="Calibri" w:hAnsiTheme="majorHAnsi"/>
          <w:sz w:val="20"/>
          <w:szCs w:val="20"/>
        </w:rPr>
      </w:pPr>
      <w:r w:rsidRPr="00327C05">
        <w:rPr>
          <w:rFonts w:asciiTheme="majorHAnsi" w:hAnsiTheme="majorHAnsi"/>
          <w:sz w:val="20"/>
          <w:szCs w:val="20"/>
          <w:lang w:val="en"/>
        </w:rPr>
        <w:t xml:space="preserve"> </w:t>
      </w:r>
    </w:p>
    <w:p w14:paraId="2C0E9FE8" w14:textId="77777777" w:rsidR="00704058" w:rsidRPr="00327C05" w:rsidRDefault="00704058" w:rsidP="00704058">
      <w:pPr>
        <w:pStyle w:val="Heading1"/>
        <w:spacing w:before="0"/>
        <w:ind w:hanging="540"/>
        <w:rPr>
          <w:rFonts w:eastAsia="Times New Roman"/>
          <w:color w:val="auto"/>
          <w:sz w:val="20"/>
          <w:szCs w:val="20"/>
          <w:bdr w:val="none" w:sz="0" w:space="0" w:color="auto" w:frame="1"/>
        </w:rPr>
      </w:pPr>
      <w:bookmarkStart w:id="1" w:name="_Toc6206750"/>
      <w:bookmarkStart w:id="2" w:name="_Toc5369466"/>
      <w:bookmarkStart w:id="3" w:name="_Toc476142709"/>
      <w:bookmarkStart w:id="4" w:name="_Toc99959786"/>
      <w:r w:rsidRPr="00327C05">
        <w:rPr>
          <w:rFonts w:eastAsia="Times New Roman"/>
          <w:color w:val="auto"/>
          <w:sz w:val="20"/>
          <w:szCs w:val="20"/>
          <w:bdr w:val="none" w:sz="0" w:space="0" w:color="auto" w:frame="1"/>
          <w:lang w:val="en"/>
        </w:rPr>
        <w:t>POSITIONS OF THE PARTIES</w:t>
      </w:r>
      <w:bookmarkEnd w:id="1"/>
      <w:bookmarkEnd w:id="2"/>
      <w:bookmarkEnd w:id="3"/>
      <w:bookmarkEnd w:id="4"/>
    </w:p>
    <w:p w14:paraId="48194F23" w14:textId="77777777" w:rsidR="00704058" w:rsidRPr="00327C05" w:rsidRDefault="00704058" w:rsidP="00704058">
      <w:pPr>
        <w:tabs>
          <w:tab w:val="left" w:pos="1440"/>
        </w:tabs>
        <w:jc w:val="both"/>
        <w:rPr>
          <w:rFonts w:asciiTheme="majorHAnsi" w:hAnsiTheme="majorHAnsi"/>
          <w:sz w:val="20"/>
          <w:szCs w:val="20"/>
        </w:rPr>
      </w:pPr>
    </w:p>
    <w:p w14:paraId="0DFDD2FA" w14:textId="6FB931EC" w:rsidR="00704058" w:rsidRPr="00327C05" w:rsidRDefault="00704058" w:rsidP="00C238F0">
      <w:pPr>
        <w:pStyle w:val="Heading2"/>
        <w:keepLines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before="0"/>
        <w:ind w:left="540" w:hanging="540"/>
        <w:jc w:val="both"/>
        <w:rPr>
          <w:color w:val="auto"/>
          <w:sz w:val="20"/>
          <w:szCs w:val="20"/>
        </w:rPr>
      </w:pPr>
      <w:bookmarkStart w:id="5" w:name="_Toc476142710"/>
      <w:bookmarkStart w:id="6" w:name="_Toc441166728"/>
      <w:bookmarkStart w:id="7" w:name="_Toc423514408"/>
      <w:bookmarkStart w:id="8" w:name="_Toc6206751"/>
      <w:bookmarkStart w:id="9" w:name="_Toc5369467"/>
      <w:bookmarkStart w:id="10" w:name="_Toc99959787"/>
      <w:bookmarkEnd w:id="5"/>
      <w:bookmarkEnd w:id="6"/>
      <w:bookmarkEnd w:id="7"/>
      <w:r w:rsidRPr="00327C05">
        <w:rPr>
          <w:color w:val="auto"/>
          <w:sz w:val="20"/>
          <w:szCs w:val="20"/>
          <w:lang w:val="en"/>
        </w:rPr>
        <w:t>Petitioner</w:t>
      </w:r>
      <w:bookmarkEnd w:id="8"/>
      <w:bookmarkEnd w:id="9"/>
      <w:bookmarkEnd w:id="10"/>
    </w:p>
    <w:p w14:paraId="5D936B74" w14:textId="77777777" w:rsidR="00704058" w:rsidRPr="00327C05" w:rsidRDefault="00704058" w:rsidP="00704058">
      <w:pPr>
        <w:tabs>
          <w:tab w:val="left" w:pos="1440"/>
        </w:tabs>
        <w:jc w:val="both"/>
        <w:rPr>
          <w:rFonts w:asciiTheme="majorHAnsi" w:hAnsiTheme="majorHAnsi"/>
          <w:sz w:val="20"/>
          <w:szCs w:val="20"/>
        </w:rPr>
      </w:pPr>
    </w:p>
    <w:p w14:paraId="7B8E288A"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 xml:space="preserve">The petitioner stated that in June 1980, the military government led by Jorge Rafael </w:t>
      </w:r>
      <w:proofErr w:type="spellStart"/>
      <w:r w:rsidRPr="00327C05">
        <w:rPr>
          <w:rFonts w:asciiTheme="majorHAnsi" w:hAnsiTheme="majorHAnsi"/>
          <w:sz w:val="20"/>
          <w:szCs w:val="20"/>
          <w:lang w:val="en"/>
        </w:rPr>
        <w:t>Videla</w:t>
      </w:r>
      <w:proofErr w:type="spellEnd"/>
      <w:r w:rsidRPr="00327C05">
        <w:rPr>
          <w:rFonts w:asciiTheme="majorHAnsi" w:hAnsiTheme="majorHAnsi"/>
          <w:sz w:val="20"/>
          <w:szCs w:val="20"/>
          <w:lang w:val="en"/>
        </w:rPr>
        <w:t xml:space="preserve"> passed </w:t>
      </w:r>
      <w:r w:rsidRPr="00327C05">
        <w:rPr>
          <w:rFonts w:asciiTheme="majorHAnsi" w:hAnsiTheme="majorHAnsi"/>
          <w:i/>
          <w:iCs/>
          <w:sz w:val="20"/>
          <w:szCs w:val="20"/>
          <w:lang w:val="en"/>
        </w:rPr>
        <w:t>de facto</w:t>
      </w:r>
      <w:r w:rsidRPr="00327C05">
        <w:rPr>
          <w:rFonts w:asciiTheme="majorHAnsi" w:hAnsiTheme="majorHAnsi"/>
          <w:sz w:val="20"/>
          <w:szCs w:val="20"/>
          <w:lang w:val="en"/>
        </w:rPr>
        <w:t xml:space="preserve"> laws 22,229 and 23,334 blocking the owners of the so-called "Greco Business Group" from managing their corporations. </w:t>
      </w:r>
    </w:p>
    <w:p w14:paraId="17B62973" w14:textId="77777777" w:rsidR="00704058" w:rsidRPr="00327C05" w:rsidRDefault="00704058" w:rsidP="00704058">
      <w:pPr>
        <w:rPr>
          <w:rFonts w:asciiTheme="majorHAnsi" w:hAnsiTheme="majorHAnsi"/>
          <w:sz w:val="20"/>
          <w:szCs w:val="20"/>
        </w:rPr>
      </w:pPr>
    </w:p>
    <w:p w14:paraId="4260E93C"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 xml:space="preserve">It stated that in April 1980, on charges filed by the Prosecutor of the Federal Appeals Chamber of Mendoza, an investigation was launched into the members of the Greco Business Group and all the members of its leadership were ordered arrested—including Mr. </w:t>
      </w:r>
      <w:proofErr w:type="spellStart"/>
      <w:r w:rsidRPr="00327C05">
        <w:rPr>
          <w:rFonts w:asciiTheme="majorHAnsi" w:hAnsiTheme="majorHAnsi"/>
          <w:sz w:val="20"/>
          <w:szCs w:val="20"/>
          <w:lang w:val="en"/>
        </w:rPr>
        <w:t>Ángel</w:t>
      </w:r>
      <w:proofErr w:type="spellEnd"/>
      <w:r w:rsidRPr="00327C05">
        <w:rPr>
          <w:rFonts w:asciiTheme="majorHAnsi" w:hAnsiTheme="majorHAnsi"/>
          <w:sz w:val="20"/>
          <w:szCs w:val="20"/>
          <w:lang w:val="en"/>
        </w:rPr>
        <w:t xml:space="preserve"> Pedro </w:t>
      </w:r>
      <w:proofErr w:type="spellStart"/>
      <w:r w:rsidRPr="00327C05">
        <w:rPr>
          <w:rFonts w:asciiTheme="majorHAnsi" w:hAnsiTheme="majorHAnsi"/>
          <w:sz w:val="20"/>
          <w:szCs w:val="20"/>
          <w:lang w:val="en"/>
        </w:rPr>
        <w:t>Falanga</w:t>
      </w:r>
      <w:proofErr w:type="spellEnd"/>
      <w:r w:rsidRPr="00327C05">
        <w:rPr>
          <w:rFonts w:asciiTheme="majorHAnsi" w:hAnsiTheme="majorHAnsi"/>
          <w:sz w:val="20"/>
          <w:szCs w:val="20"/>
          <w:lang w:val="en"/>
        </w:rPr>
        <w:t>—for the offenses of monopoly and economic subversion, as set forth in laws 12,906 and 20,840, respectively.</w:t>
      </w:r>
    </w:p>
    <w:p w14:paraId="1AE06F14" w14:textId="77777777" w:rsidR="00704058" w:rsidRPr="00327C05" w:rsidRDefault="00704058" w:rsidP="00704058">
      <w:pPr>
        <w:pStyle w:val="ListParagraph"/>
        <w:rPr>
          <w:rFonts w:asciiTheme="majorHAnsi" w:hAnsiTheme="majorHAnsi"/>
          <w:sz w:val="20"/>
          <w:szCs w:val="20"/>
        </w:rPr>
      </w:pPr>
    </w:p>
    <w:p w14:paraId="2F12024C"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 xml:space="preserve">It stated that Mr. </w:t>
      </w:r>
      <w:proofErr w:type="spellStart"/>
      <w:r w:rsidRPr="00327C05">
        <w:rPr>
          <w:rFonts w:asciiTheme="majorHAnsi" w:hAnsiTheme="majorHAnsi"/>
          <w:sz w:val="20"/>
          <w:szCs w:val="20"/>
          <w:lang w:val="en"/>
        </w:rPr>
        <w:t>Falanga</w:t>
      </w:r>
      <w:proofErr w:type="spellEnd"/>
      <w:r w:rsidRPr="00327C05">
        <w:rPr>
          <w:rFonts w:asciiTheme="majorHAnsi" w:hAnsiTheme="majorHAnsi"/>
          <w:sz w:val="20"/>
          <w:szCs w:val="20"/>
          <w:lang w:val="en"/>
        </w:rPr>
        <w:t xml:space="preserve"> lived outside the country for five years, but on December 11, 1985, he voluntarily turned himself in to the Federal Judge of Mendoza and was placed in pretrial detention until April 7, 1986, at which point he was released on bail while the legal proceedings brought against him continued. </w:t>
      </w:r>
    </w:p>
    <w:p w14:paraId="60EEE1A5" w14:textId="77777777" w:rsidR="00704058" w:rsidRPr="00327C05" w:rsidRDefault="00704058" w:rsidP="00704058">
      <w:pPr>
        <w:pStyle w:val="ListParagraph"/>
        <w:rPr>
          <w:rFonts w:asciiTheme="majorHAnsi" w:hAnsiTheme="majorHAnsi"/>
          <w:sz w:val="20"/>
          <w:szCs w:val="20"/>
        </w:rPr>
      </w:pPr>
    </w:p>
    <w:p w14:paraId="47534E15"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 xml:space="preserve">It stated that on May 17, 1993, the Lower Federal Court convicted Mr. </w:t>
      </w:r>
      <w:proofErr w:type="spellStart"/>
      <w:r w:rsidRPr="00327C05">
        <w:rPr>
          <w:rFonts w:asciiTheme="majorHAnsi" w:hAnsiTheme="majorHAnsi"/>
          <w:sz w:val="20"/>
          <w:szCs w:val="20"/>
          <w:lang w:val="en"/>
        </w:rPr>
        <w:t>Falanga</w:t>
      </w:r>
      <w:proofErr w:type="spellEnd"/>
      <w:r w:rsidRPr="00327C05">
        <w:rPr>
          <w:rFonts w:asciiTheme="majorHAnsi" w:hAnsiTheme="majorHAnsi"/>
          <w:sz w:val="20"/>
          <w:szCs w:val="20"/>
          <w:lang w:val="en"/>
        </w:rPr>
        <w:t xml:space="preserve"> of the crime of monopoly and sentenced him to three years in prison (suspended), a ban on engaging in commerce, and a fine. It stated that on appeal, on November 7, 1995, the Federal Appeals Chamber of Mendoza change the sentence to one year and six months of prison, a ban on engaging in commerce, and a fine.</w:t>
      </w:r>
    </w:p>
    <w:p w14:paraId="61E75EFB" w14:textId="77777777" w:rsidR="00704058" w:rsidRPr="00327C05" w:rsidRDefault="00704058" w:rsidP="00704058">
      <w:pPr>
        <w:pStyle w:val="ListParagraph"/>
        <w:rPr>
          <w:rFonts w:asciiTheme="majorHAnsi" w:hAnsiTheme="majorHAnsi"/>
          <w:sz w:val="20"/>
          <w:szCs w:val="20"/>
        </w:rPr>
      </w:pPr>
    </w:p>
    <w:p w14:paraId="0433BDD8"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 xml:space="preserve">It also stated that on February 17, 1997, the Federal Trial Judge convicted the alleged victim of economic subversion and sentenced him to three years of imprisonment, a ban on engaging in commerce, and a fine. The petitioner noted that the Office of the Public Prosecutor appealed the decision, and in response to the appeal, on March 17, 1999, the Federal Appeals Chamber increased the prison sentence to four years. </w:t>
      </w:r>
    </w:p>
    <w:p w14:paraId="5006C835" w14:textId="77777777" w:rsidR="00704058" w:rsidRPr="00327C05" w:rsidRDefault="00704058" w:rsidP="0070405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rPr>
      </w:pPr>
    </w:p>
    <w:p w14:paraId="2F3B70B2"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 xml:space="preserve">It indicated that in the same decision, the Federal Appeals Chamber joined both the sentences to establish a single sentence of four years and six months in prison, a five-year ban on participating in commerce, and the payment of a fine of US$160,000. It noted that in response to this sentence, the alleged victim filed for a writ of </w:t>
      </w:r>
      <w:r w:rsidRPr="00327C05">
        <w:rPr>
          <w:rFonts w:asciiTheme="majorHAnsi" w:hAnsiTheme="majorHAnsi"/>
          <w:i/>
          <w:iCs/>
          <w:sz w:val="20"/>
          <w:szCs w:val="20"/>
          <w:lang w:val="en"/>
        </w:rPr>
        <w:t xml:space="preserve">habeas corpus </w:t>
      </w:r>
      <w:r w:rsidRPr="00327C05">
        <w:rPr>
          <w:rFonts w:asciiTheme="majorHAnsi" w:hAnsiTheme="majorHAnsi"/>
          <w:sz w:val="20"/>
          <w:szCs w:val="20"/>
          <w:lang w:val="en"/>
        </w:rPr>
        <w:t xml:space="preserve">to prevent it from being executed. </w:t>
      </w:r>
    </w:p>
    <w:p w14:paraId="165F3588" w14:textId="77777777" w:rsidR="00704058" w:rsidRPr="00327C05" w:rsidRDefault="00704058" w:rsidP="00704058">
      <w:pPr>
        <w:pStyle w:val="ListParagraph"/>
        <w:rPr>
          <w:rFonts w:asciiTheme="majorHAnsi" w:hAnsiTheme="majorHAnsi"/>
          <w:sz w:val="20"/>
          <w:szCs w:val="20"/>
        </w:rPr>
      </w:pPr>
    </w:p>
    <w:p w14:paraId="5D956637"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 xml:space="preserve">It noted that the ruling by the Federal Appeals Chamber resulted in the detention of the alleged victim from March 17 until November 5, 1999, when he was once again released after the Supreme Court of Justice granted an extraordinary remedy sought by his defense attorney. </w:t>
      </w:r>
    </w:p>
    <w:p w14:paraId="477F3495" w14:textId="77777777" w:rsidR="00704058" w:rsidRPr="00327C05" w:rsidRDefault="00704058" w:rsidP="00704058">
      <w:pPr>
        <w:pStyle w:val="ListParagraph"/>
        <w:rPr>
          <w:rFonts w:asciiTheme="majorHAnsi" w:hAnsiTheme="majorHAnsi"/>
          <w:sz w:val="20"/>
          <w:szCs w:val="20"/>
        </w:rPr>
      </w:pPr>
    </w:p>
    <w:p w14:paraId="7611017B"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lastRenderedPageBreak/>
        <w:t>It stated that this second release was granted with restrictions on his movement requiring him to appear before the Federal Appeals Chamber of Mendoza every Wednesday and ordering him not to leave his home for more than 24 hours without informing the competent authority.</w:t>
      </w:r>
    </w:p>
    <w:p w14:paraId="0572C539" w14:textId="77777777" w:rsidR="00704058" w:rsidRPr="00327C05" w:rsidRDefault="00704058" w:rsidP="00704058">
      <w:pPr>
        <w:pStyle w:val="ListParagraph"/>
        <w:rPr>
          <w:rFonts w:asciiTheme="majorHAnsi" w:hAnsiTheme="majorHAnsi"/>
          <w:sz w:val="20"/>
          <w:szCs w:val="20"/>
        </w:rPr>
      </w:pPr>
    </w:p>
    <w:p w14:paraId="1F04C0A6"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It stated that the alleged victim was held in pretrial detention twice: first, starting on December 11, 1985, for four months; and second, for eight months as a result of the guilty verdict issued by the Federal Chamber of Mendoza on April 17, 1999.</w:t>
      </w:r>
    </w:p>
    <w:p w14:paraId="145F68D7" w14:textId="77777777" w:rsidR="00704058" w:rsidRPr="00327C05" w:rsidRDefault="00704058" w:rsidP="00704058">
      <w:pPr>
        <w:pStyle w:val="ListParagraph"/>
        <w:rPr>
          <w:rFonts w:asciiTheme="majorHAnsi" w:hAnsiTheme="majorHAnsi"/>
          <w:sz w:val="20"/>
          <w:szCs w:val="20"/>
        </w:rPr>
      </w:pPr>
    </w:p>
    <w:p w14:paraId="2B45ACFD"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 xml:space="preserve">It alleged that the first process involving the crime of monopoly lasted more than nine and a half years, from the moment he turned himself in until the decision on the appeal; and the second for the crime of economic subversion lasted more than 13 years, from the moment he turned himself in until the higher court ruling. </w:t>
      </w:r>
    </w:p>
    <w:p w14:paraId="2B0A382F" w14:textId="77777777" w:rsidR="00704058" w:rsidRPr="00327C05" w:rsidRDefault="00704058" w:rsidP="00704058">
      <w:pPr>
        <w:pStyle w:val="ListParagraph"/>
        <w:rPr>
          <w:rFonts w:asciiTheme="majorHAnsi" w:hAnsiTheme="majorHAnsi"/>
          <w:sz w:val="20"/>
          <w:szCs w:val="20"/>
        </w:rPr>
      </w:pPr>
    </w:p>
    <w:p w14:paraId="421A277C"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 xml:space="preserve">It stated that the law codifying the offense of monopoly under which Mr. </w:t>
      </w:r>
      <w:proofErr w:type="spellStart"/>
      <w:r w:rsidRPr="00327C05">
        <w:rPr>
          <w:rFonts w:asciiTheme="majorHAnsi" w:hAnsiTheme="majorHAnsi"/>
          <w:sz w:val="20"/>
          <w:szCs w:val="20"/>
          <w:lang w:val="en"/>
        </w:rPr>
        <w:t>Falanga</w:t>
      </w:r>
      <w:proofErr w:type="spellEnd"/>
      <w:r w:rsidRPr="00327C05">
        <w:rPr>
          <w:rFonts w:asciiTheme="majorHAnsi" w:hAnsiTheme="majorHAnsi"/>
          <w:sz w:val="20"/>
          <w:szCs w:val="20"/>
          <w:lang w:val="en"/>
        </w:rPr>
        <w:t xml:space="preserve"> was convicted was repealed by the same military government that had enacted it and replaced by a less harsh law. However, this law was not applied to the benefit of the victim. It also stated that the conduct defined as the offense of economic subversion for which the alleged victim was convicted was decriminalized in 2002.</w:t>
      </w:r>
    </w:p>
    <w:p w14:paraId="006993AC" w14:textId="77777777" w:rsidR="00704058" w:rsidRPr="00327C05" w:rsidRDefault="00704058" w:rsidP="00704058">
      <w:pPr>
        <w:pStyle w:val="ListParagraph"/>
        <w:rPr>
          <w:rFonts w:asciiTheme="majorHAnsi" w:hAnsiTheme="majorHAnsi"/>
          <w:sz w:val="20"/>
          <w:szCs w:val="20"/>
        </w:rPr>
      </w:pPr>
    </w:p>
    <w:p w14:paraId="6D52D5DE"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 xml:space="preserve">With regard to rights, it alleged violation of the rights to </w:t>
      </w:r>
      <w:r w:rsidRPr="00327C05">
        <w:rPr>
          <w:rFonts w:asciiTheme="majorHAnsi" w:hAnsiTheme="majorHAnsi"/>
          <w:b/>
          <w:bCs/>
          <w:sz w:val="20"/>
          <w:szCs w:val="20"/>
          <w:lang w:val="en"/>
        </w:rPr>
        <w:t>fair trial</w:t>
      </w:r>
      <w:r w:rsidRPr="00327C05">
        <w:rPr>
          <w:rFonts w:asciiTheme="majorHAnsi" w:hAnsiTheme="majorHAnsi"/>
          <w:sz w:val="20"/>
          <w:szCs w:val="20"/>
          <w:lang w:val="en"/>
        </w:rPr>
        <w:t xml:space="preserve">, </w:t>
      </w:r>
      <w:r w:rsidRPr="00327C05">
        <w:rPr>
          <w:rFonts w:asciiTheme="majorHAnsi" w:hAnsiTheme="majorHAnsi"/>
          <w:b/>
          <w:bCs/>
          <w:sz w:val="20"/>
          <w:szCs w:val="20"/>
          <w:lang w:val="en"/>
        </w:rPr>
        <w:t>judicial protection</w:t>
      </w:r>
      <w:r w:rsidRPr="00327C05">
        <w:rPr>
          <w:rFonts w:asciiTheme="majorHAnsi" w:hAnsiTheme="majorHAnsi"/>
          <w:sz w:val="20"/>
          <w:szCs w:val="20"/>
          <w:lang w:val="en"/>
        </w:rPr>
        <w:t xml:space="preserve">, and </w:t>
      </w:r>
      <w:r w:rsidRPr="00327C05">
        <w:rPr>
          <w:rFonts w:asciiTheme="majorHAnsi" w:hAnsiTheme="majorHAnsi"/>
          <w:b/>
          <w:bCs/>
          <w:sz w:val="20"/>
          <w:szCs w:val="20"/>
          <w:lang w:val="en"/>
        </w:rPr>
        <w:t>personal liberty</w:t>
      </w:r>
      <w:r w:rsidRPr="00327C05">
        <w:rPr>
          <w:rFonts w:asciiTheme="majorHAnsi" w:hAnsiTheme="majorHAnsi"/>
          <w:sz w:val="20"/>
          <w:szCs w:val="20"/>
          <w:lang w:val="en"/>
        </w:rPr>
        <w:t xml:space="preserve">. Regarding the rights to fair trial and judicial protection, it stated that the competent authorities were not diligent in pursuing the process brought against Mr. </w:t>
      </w:r>
      <w:proofErr w:type="spellStart"/>
      <w:r w:rsidRPr="00327C05">
        <w:rPr>
          <w:rFonts w:asciiTheme="majorHAnsi" w:hAnsiTheme="majorHAnsi"/>
          <w:sz w:val="20"/>
          <w:szCs w:val="20"/>
          <w:lang w:val="en"/>
        </w:rPr>
        <w:t>Falanga</w:t>
      </w:r>
      <w:proofErr w:type="spellEnd"/>
      <w:r w:rsidRPr="00327C05">
        <w:rPr>
          <w:rFonts w:asciiTheme="majorHAnsi" w:hAnsiTheme="majorHAnsi"/>
          <w:sz w:val="20"/>
          <w:szCs w:val="20"/>
          <w:lang w:val="en"/>
        </w:rPr>
        <w:t xml:space="preserve">, having violated the reasonable period of time requirement established in Article 8(1) of the American Convention due to the excessive duration of the process, which, in its opinion, is not justified based on inter-American standards. It stated that the Federal Appeals Chamber of Mendoza indicated that "The pleading charging violation of the Pact of San Jose, Costa Rica, with respect to the inordinate length of the judicial proceeding from initiation to conviction, is found to be formally acceptable.” It added that being subjected to a criminal process for an unreasonable period of time also violated the principle of presumption of innocence. </w:t>
      </w:r>
    </w:p>
    <w:p w14:paraId="1DE3A22F" w14:textId="77777777" w:rsidR="00704058" w:rsidRPr="00327C05" w:rsidRDefault="00704058" w:rsidP="00704058">
      <w:pPr>
        <w:pStyle w:val="ListParagraph"/>
        <w:rPr>
          <w:rFonts w:asciiTheme="majorHAnsi" w:hAnsiTheme="majorHAnsi"/>
          <w:sz w:val="20"/>
          <w:szCs w:val="20"/>
        </w:rPr>
      </w:pPr>
    </w:p>
    <w:p w14:paraId="40D1A297"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 xml:space="preserve">Regarding </w:t>
      </w:r>
      <w:r w:rsidRPr="00327C05">
        <w:rPr>
          <w:rFonts w:asciiTheme="majorHAnsi" w:hAnsiTheme="majorHAnsi"/>
          <w:b/>
          <w:bCs/>
          <w:sz w:val="20"/>
          <w:szCs w:val="20"/>
          <w:lang w:val="en"/>
        </w:rPr>
        <w:t>personal liberty</w:t>
      </w:r>
      <w:r w:rsidRPr="00327C05">
        <w:rPr>
          <w:rFonts w:asciiTheme="majorHAnsi" w:hAnsiTheme="majorHAnsi"/>
          <w:sz w:val="20"/>
          <w:szCs w:val="20"/>
          <w:lang w:val="en"/>
        </w:rPr>
        <w:t xml:space="preserve">, it argued that this right was violated by the measures restricting the alleged victim's freedom of movement during a lengthy period of time, measures that affected his ability to travel within and outside the country.  In this regard, it noted that a restriction on liberty—even in the context of conditional release—that is prolonged without justification is indeed equivalent to preemptive punishment. </w:t>
      </w:r>
    </w:p>
    <w:p w14:paraId="45575991" w14:textId="77777777" w:rsidR="00704058" w:rsidRPr="00327C05" w:rsidRDefault="00704058" w:rsidP="00704058">
      <w:pPr>
        <w:jc w:val="both"/>
        <w:rPr>
          <w:rFonts w:asciiTheme="majorHAnsi" w:hAnsiTheme="majorHAnsi"/>
          <w:sz w:val="20"/>
          <w:szCs w:val="20"/>
        </w:rPr>
      </w:pPr>
    </w:p>
    <w:p w14:paraId="4313D9EE" w14:textId="77777777" w:rsidR="00704058" w:rsidRPr="00327C05" w:rsidRDefault="00704058" w:rsidP="00C238F0">
      <w:pPr>
        <w:pStyle w:val="Heading2"/>
        <w:keepLines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before="0"/>
        <w:ind w:left="540" w:hanging="540"/>
        <w:jc w:val="both"/>
        <w:rPr>
          <w:color w:val="auto"/>
          <w:sz w:val="20"/>
          <w:szCs w:val="20"/>
        </w:rPr>
      </w:pPr>
      <w:bookmarkStart w:id="11" w:name="_Toc6206752"/>
      <w:bookmarkStart w:id="12" w:name="_Toc5369468"/>
      <w:bookmarkStart w:id="13" w:name="_Toc476142711"/>
      <w:bookmarkStart w:id="14" w:name="_Toc99959788"/>
      <w:r w:rsidRPr="00327C05">
        <w:rPr>
          <w:color w:val="auto"/>
          <w:sz w:val="20"/>
          <w:szCs w:val="20"/>
          <w:lang w:val="en"/>
        </w:rPr>
        <w:t>Position of the State</w:t>
      </w:r>
      <w:bookmarkEnd w:id="11"/>
      <w:bookmarkEnd w:id="12"/>
      <w:bookmarkEnd w:id="13"/>
      <w:bookmarkEnd w:id="14"/>
    </w:p>
    <w:p w14:paraId="6B9C5986" w14:textId="77777777" w:rsidR="00704058" w:rsidRPr="00327C05" w:rsidRDefault="00704058" w:rsidP="00704058">
      <w:pPr>
        <w:rPr>
          <w:rFonts w:asciiTheme="majorHAnsi" w:hAnsiTheme="majorHAnsi"/>
          <w:sz w:val="20"/>
          <w:szCs w:val="20"/>
        </w:rPr>
      </w:pPr>
    </w:p>
    <w:p w14:paraId="68235041"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 xml:space="preserve">The State indicated that on March 31, 1980, the Federal Appeals Prosecutor of Mendoza filed a complaint against the executives of the "Greco Economic Group" for the crimes of monopoly and economic subversion.  It stated that in the context of that investigation, the alleged victim was ordered detained along with other individuals. Likewise, the </w:t>
      </w:r>
      <w:r w:rsidRPr="00327C05">
        <w:rPr>
          <w:rFonts w:asciiTheme="majorHAnsi" w:hAnsiTheme="majorHAnsi"/>
          <w:i/>
          <w:iCs/>
          <w:sz w:val="20"/>
          <w:szCs w:val="20"/>
          <w:lang w:val="en"/>
        </w:rPr>
        <w:t xml:space="preserve">de facto </w:t>
      </w:r>
      <w:r w:rsidRPr="00327C05">
        <w:rPr>
          <w:rFonts w:asciiTheme="majorHAnsi" w:hAnsiTheme="majorHAnsi"/>
          <w:sz w:val="20"/>
          <w:szCs w:val="20"/>
          <w:lang w:val="en"/>
        </w:rPr>
        <w:t>military government ordered the take-over of several companies in the "Greco Economic Group” through laws 22,229 and 22,334.</w:t>
      </w:r>
    </w:p>
    <w:p w14:paraId="2DCAC114" w14:textId="77777777" w:rsidR="00704058" w:rsidRPr="00327C05" w:rsidRDefault="00704058" w:rsidP="0070405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rPr>
      </w:pPr>
    </w:p>
    <w:p w14:paraId="565DF295"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 xml:space="preserve">The State described the criminal process in similar terms as the petitioner, with the exception of several details described hereinafter. It said that in response to this process, Mr. </w:t>
      </w:r>
      <w:proofErr w:type="spellStart"/>
      <w:r w:rsidRPr="00327C05">
        <w:rPr>
          <w:rFonts w:asciiTheme="majorHAnsi" w:hAnsiTheme="majorHAnsi"/>
          <w:sz w:val="20"/>
          <w:szCs w:val="20"/>
          <w:lang w:val="en"/>
        </w:rPr>
        <w:t>Falanga</w:t>
      </w:r>
      <w:proofErr w:type="spellEnd"/>
      <w:r w:rsidRPr="00327C05">
        <w:rPr>
          <w:rFonts w:asciiTheme="majorHAnsi" w:hAnsiTheme="majorHAnsi"/>
          <w:sz w:val="20"/>
          <w:szCs w:val="20"/>
          <w:lang w:val="en"/>
        </w:rPr>
        <w:t xml:space="preserve"> fled the country, and therefore, an international warrant was issued for his arrest. It stated that this situation persisted for five years, until December 11, 1985, when the alleged victim turned himself in to the Federal Judge of Mendoza, who ordered him placed in pretrial detention. This pretrial detention remained in force until April 7, 1986, when he was granted release.</w:t>
      </w:r>
    </w:p>
    <w:p w14:paraId="6D30218E" w14:textId="77777777" w:rsidR="00704058" w:rsidRPr="00327C05" w:rsidRDefault="00704058" w:rsidP="00704058">
      <w:pPr>
        <w:pStyle w:val="ListParagraph"/>
        <w:rPr>
          <w:rFonts w:asciiTheme="majorHAnsi" w:hAnsiTheme="majorHAnsi"/>
          <w:sz w:val="20"/>
          <w:szCs w:val="20"/>
        </w:rPr>
      </w:pPr>
    </w:p>
    <w:p w14:paraId="6A844636"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 xml:space="preserve">It stated that on July 19, 1988, the Prosecutor filed formal charges against Mr. </w:t>
      </w:r>
      <w:proofErr w:type="spellStart"/>
      <w:r w:rsidRPr="00327C05">
        <w:rPr>
          <w:rFonts w:asciiTheme="majorHAnsi" w:hAnsiTheme="majorHAnsi"/>
          <w:sz w:val="20"/>
          <w:szCs w:val="20"/>
          <w:lang w:val="en"/>
        </w:rPr>
        <w:t>Falanga</w:t>
      </w:r>
      <w:proofErr w:type="spellEnd"/>
      <w:r w:rsidRPr="00327C05">
        <w:rPr>
          <w:rFonts w:asciiTheme="majorHAnsi" w:hAnsiTheme="majorHAnsi"/>
          <w:sz w:val="20"/>
          <w:szCs w:val="20"/>
          <w:lang w:val="en"/>
        </w:rPr>
        <w:t xml:space="preserve"> for the crime of monopoly, as in his capacity as an accountant, he handled the Greco Group’s finances in Mendoza. It stated that according to the Prosecutor, the alleged victim used his position to conduct financial transactions with the various enterprises of the Greco group to distort prices in the domestic wine market and crush the competition from other companies.</w:t>
      </w:r>
    </w:p>
    <w:p w14:paraId="6F866898" w14:textId="77777777" w:rsidR="00704058" w:rsidRPr="00327C05" w:rsidRDefault="00704058" w:rsidP="00704058">
      <w:pPr>
        <w:pStyle w:val="ListParagraph"/>
        <w:rPr>
          <w:rFonts w:asciiTheme="majorHAnsi" w:hAnsiTheme="majorHAnsi"/>
          <w:sz w:val="20"/>
          <w:szCs w:val="20"/>
        </w:rPr>
      </w:pPr>
    </w:p>
    <w:p w14:paraId="12678D67"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It stated that on May 17, 1993, the Lower Federal Court convicted the alleged victim of the crime of monopoly and sentenced him to three years in prison (suspended), banned him from engaging in commerce for three years, and ordered him to pay a fine. It stated that this judgment was amended on November 7, 1995, by the Federal Appeals Chamber of Mendoza, which reduced the prison term to one year and six months, but upheld the ban on engaging in commerce and the fine.</w:t>
      </w:r>
    </w:p>
    <w:p w14:paraId="29A85766" w14:textId="77777777" w:rsidR="00704058" w:rsidRPr="00327C05" w:rsidRDefault="00704058" w:rsidP="00704058">
      <w:pPr>
        <w:pStyle w:val="ListParagraph"/>
        <w:rPr>
          <w:rFonts w:asciiTheme="majorHAnsi" w:hAnsiTheme="majorHAnsi"/>
          <w:sz w:val="20"/>
          <w:szCs w:val="20"/>
        </w:rPr>
      </w:pPr>
    </w:p>
    <w:p w14:paraId="3A2DB9A0"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 xml:space="preserve">It stated that parallel to this process, another process was carried out against the alleged victim for the crime of economic subversion. It also stated that on February 17, 1997, Mr. </w:t>
      </w:r>
      <w:proofErr w:type="spellStart"/>
      <w:r w:rsidRPr="00327C05">
        <w:rPr>
          <w:rFonts w:asciiTheme="majorHAnsi" w:hAnsiTheme="majorHAnsi"/>
          <w:sz w:val="20"/>
          <w:szCs w:val="20"/>
          <w:lang w:val="en"/>
        </w:rPr>
        <w:t>Falanga</w:t>
      </w:r>
      <w:proofErr w:type="spellEnd"/>
      <w:r w:rsidRPr="00327C05">
        <w:rPr>
          <w:rFonts w:asciiTheme="majorHAnsi" w:hAnsiTheme="majorHAnsi"/>
          <w:sz w:val="20"/>
          <w:szCs w:val="20"/>
          <w:lang w:val="en"/>
        </w:rPr>
        <w:t xml:space="preserve"> was convicted of economic subversion and sentenced him to three years of imprisonment, a ban from engaging in trade, and a fine. It stated that the Office of the Public Prosecutor appealed the decision, and on March 17, 1999, the Federal Appeals Chamber increased the prison sentence to four years. </w:t>
      </w:r>
    </w:p>
    <w:p w14:paraId="0736F33D" w14:textId="77777777" w:rsidR="00704058" w:rsidRPr="00327C05" w:rsidRDefault="00704058" w:rsidP="00704058">
      <w:pPr>
        <w:pStyle w:val="ListParagraph"/>
        <w:rPr>
          <w:rFonts w:asciiTheme="majorHAnsi" w:hAnsiTheme="majorHAnsi"/>
          <w:sz w:val="20"/>
          <w:szCs w:val="20"/>
        </w:rPr>
      </w:pPr>
    </w:p>
    <w:p w14:paraId="621E22E8"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 xml:space="preserve">It noted that in the context of this latter process, the Federal Chamber moved to combine Mr. </w:t>
      </w:r>
      <w:proofErr w:type="spellStart"/>
      <w:r w:rsidRPr="00327C05">
        <w:rPr>
          <w:rFonts w:asciiTheme="majorHAnsi" w:hAnsiTheme="majorHAnsi"/>
          <w:sz w:val="20"/>
          <w:szCs w:val="20"/>
          <w:lang w:val="en"/>
        </w:rPr>
        <w:t>Falanga’s</w:t>
      </w:r>
      <w:proofErr w:type="spellEnd"/>
      <w:r w:rsidRPr="00327C05">
        <w:rPr>
          <w:rFonts w:asciiTheme="majorHAnsi" w:hAnsiTheme="majorHAnsi"/>
          <w:sz w:val="20"/>
          <w:szCs w:val="20"/>
          <w:lang w:val="en"/>
        </w:rPr>
        <w:t xml:space="preserve"> two sentences into a single sentence of four years and six months in prison, five years banned from participating in commerce, and the payment of a fine. It stated that the Chamber ordered that the sentence be effectively served as a consequence of the alleged victim’s having been a fugitive for a long period of time. The alleged victim’s conditional release was therefore canceled, and he was ordered immediately detained.</w:t>
      </w:r>
    </w:p>
    <w:p w14:paraId="392DFD84" w14:textId="77777777" w:rsidR="00704058" w:rsidRPr="00327C05" w:rsidRDefault="00704058" w:rsidP="00704058">
      <w:pPr>
        <w:pStyle w:val="ListParagraph"/>
        <w:rPr>
          <w:rFonts w:asciiTheme="majorHAnsi" w:hAnsiTheme="majorHAnsi"/>
          <w:sz w:val="20"/>
          <w:szCs w:val="20"/>
        </w:rPr>
      </w:pPr>
    </w:p>
    <w:p w14:paraId="346385A0"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It stated that the alleged victim was held until November 5, 1999, when the Federal Chamber of Mendoza granted him release on the effective suspension of execution of the prison term as a result of the granting of an extraordinary remedy pending resolution by the Supreme Court of Justice of the Nation. It stated that the remedy was rejected by the Supreme Court on February 20, 2001, meaning the sentence was final.</w:t>
      </w:r>
    </w:p>
    <w:p w14:paraId="690A0857" w14:textId="77777777" w:rsidR="00704058" w:rsidRPr="00327C05" w:rsidRDefault="00704058" w:rsidP="00704058">
      <w:pPr>
        <w:pStyle w:val="ListParagraph"/>
        <w:rPr>
          <w:rFonts w:asciiTheme="majorHAnsi" w:hAnsiTheme="majorHAnsi"/>
          <w:sz w:val="20"/>
          <w:szCs w:val="20"/>
        </w:rPr>
      </w:pPr>
    </w:p>
    <w:p w14:paraId="40EEDACE"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 xml:space="preserve">It indicated that following the rejection of the remedy, on March 27, 2001, the alleged victim filed for a writ of </w:t>
      </w:r>
      <w:r w:rsidRPr="00327C05">
        <w:rPr>
          <w:rFonts w:asciiTheme="majorHAnsi" w:hAnsiTheme="majorHAnsi"/>
          <w:i/>
          <w:iCs/>
          <w:sz w:val="20"/>
          <w:szCs w:val="20"/>
          <w:lang w:val="en"/>
        </w:rPr>
        <w:t xml:space="preserve">habeas corpus </w:t>
      </w:r>
      <w:r w:rsidRPr="00327C05">
        <w:rPr>
          <w:rFonts w:asciiTheme="majorHAnsi" w:hAnsiTheme="majorHAnsi"/>
          <w:sz w:val="20"/>
          <w:szCs w:val="20"/>
          <w:lang w:val="en"/>
        </w:rPr>
        <w:t xml:space="preserve">before the Federal Court of Mendoza with the aim of blocking execution of his sentence and asking that any future measure ordering execution of the sentence be declared unconstitutional. </w:t>
      </w:r>
    </w:p>
    <w:p w14:paraId="264CEB93" w14:textId="77777777" w:rsidR="00704058" w:rsidRPr="00327C05" w:rsidRDefault="00704058" w:rsidP="00704058">
      <w:pPr>
        <w:pStyle w:val="ListParagraph"/>
        <w:rPr>
          <w:rFonts w:asciiTheme="majorHAnsi" w:hAnsiTheme="majorHAnsi"/>
          <w:sz w:val="20"/>
          <w:szCs w:val="20"/>
        </w:rPr>
      </w:pPr>
    </w:p>
    <w:p w14:paraId="6FF63EF7"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 xml:space="preserve">It added that on April 24, 2001, the Federal Court found the detention and imprisonment of the alleged victim to be unconstitutional, as it violated the Constitution and international instruments. It stated that the Office of the Public Prosecutor filed a motion to appeal, which was denied by the Federal Chamber. It also filed an extraordinary federal appeal, which was rejected by the Supreme Court of Justice of the Nation on September 5, 2006. </w:t>
      </w:r>
    </w:p>
    <w:p w14:paraId="54DA7E65" w14:textId="77777777" w:rsidR="00704058" w:rsidRPr="00327C05" w:rsidRDefault="00704058" w:rsidP="00704058">
      <w:pPr>
        <w:pStyle w:val="ListParagraph"/>
        <w:rPr>
          <w:rFonts w:asciiTheme="majorHAnsi" w:hAnsiTheme="majorHAnsi"/>
          <w:sz w:val="20"/>
          <w:szCs w:val="20"/>
        </w:rPr>
      </w:pPr>
    </w:p>
    <w:p w14:paraId="5D2FBB7C"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b/>
          <w:sz w:val="20"/>
          <w:szCs w:val="20"/>
        </w:rPr>
      </w:pPr>
      <w:r w:rsidRPr="00327C05">
        <w:rPr>
          <w:rFonts w:asciiTheme="majorHAnsi" w:hAnsiTheme="majorHAnsi"/>
          <w:sz w:val="20"/>
          <w:szCs w:val="20"/>
          <w:lang w:val="en"/>
        </w:rPr>
        <w:t xml:space="preserve">With regard to his rights, the State argued that it is not responsible for violating the rights to </w:t>
      </w:r>
      <w:r w:rsidRPr="00327C05">
        <w:rPr>
          <w:rFonts w:asciiTheme="majorHAnsi" w:hAnsiTheme="majorHAnsi"/>
          <w:b/>
          <w:bCs/>
          <w:sz w:val="20"/>
          <w:szCs w:val="20"/>
          <w:lang w:val="en"/>
        </w:rPr>
        <w:t xml:space="preserve">fair trial </w:t>
      </w:r>
      <w:r w:rsidRPr="00327C05">
        <w:rPr>
          <w:rFonts w:asciiTheme="majorHAnsi" w:hAnsiTheme="majorHAnsi"/>
          <w:sz w:val="20"/>
          <w:szCs w:val="20"/>
          <w:lang w:val="en"/>
        </w:rPr>
        <w:t xml:space="preserve">and </w:t>
      </w:r>
      <w:r w:rsidRPr="00327C05">
        <w:rPr>
          <w:rFonts w:asciiTheme="majorHAnsi" w:hAnsiTheme="majorHAnsi"/>
          <w:b/>
          <w:bCs/>
          <w:sz w:val="20"/>
          <w:szCs w:val="20"/>
          <w:lang w:val="en"/>
        </w:rPr>
        <w:t>personal liberty</w:t>
      </w:r>
      <w:r w:rsidRPr="00327C05">
        <w:rPr>
          <w:rFonts w:asciiTheme="majorHAnsi" w:hAnsiTheme="majorHAnsi"/>
          <w:sz w:val="20"/>
          <w:szCs w:val="20"/>
          <w:lang w:val="en"/>
        </w:rPr>
        <w:t>.</w:t>
      </w:r>
      <w:r w:rsidRPr="00327C05">
        <w:rPr>
          <w:rFonts w:asciiTheme="majorHAnsi" w:hAnsiTheme="majorHAnsi"/>
          <w:b/>
          <w:bCs/>
          <w:sz w:val="20"/>
          <w:szCs w:val="20"/>
          <w:lang w:val="en"/>
        </w:rPr>
        <w:t xml:space="preserve">  </w:t>
      </w:r>
      <w:r w:rsidRPr="00327C05">
        <w:rPr>
          <w:rFonts w:asciiTheme="majorHAnsi" w:hAnsiTheme="majorHAnsi"/>
          <w:sz w:val="20"/>
          <w:szCs w:val="20"/>
          <w:lang w:val="en"/>
        </w:rPr>
        <w:t xml:space="preserve">In this regard, it argued that the allegations of the alleged victim have become abstractions, considering that he was released in November 1999 after the Federal Chamber of Mendoza determined that the length of the process was a violation of the American Convention. Also, the writ of </w:t>
      </w:r>
      <w:r w:rsidRPr="00327C05">
        <w:rPr>
          <w:rFonts w:asciiTheme="majorHAnsi" w:hAnsiTheme="majorHAnsi"/>
          <w:i/>
          <w:iCs/>
          <w:sz w:val="20"/>
          <w:szCs w:val="20"/>
          <w:lang w:val="en"/>
        </w:rPr>
        <w:t xml:space="preserve">habeas corpus </w:t>
      </w:r>
      <w:r w:rsidRPr="00327C05">
        <w:rPr>
          <w:rFonts w:asciiTheme="majorHAnsi" w:hAnsiTheme="majorHAnsi"/>
          <w:sz w:val="20"/>
          <w:szCs w:val="20"/>
          <w:lang w:val="en"/>
        </w:rPr>
        <w:t xml:space="preserve">was granted, and in that decision, his detention was declared unconstitutional, for which reason the prison sentence was never executed. The State also argued that the alleged victim had effective access to justice and a good quality public defender, who filed the corresponding appeals.  </w:t>
      </w:r>
    </w:p>
    <w:p w14:paraId="0B38793D" w14:textId="77777777" w:rsidR="00704058" w:rsidRPr="00327C05" w:rsidRDefault="00704058" w:rsidP="00704058">
      <w:pPr>
        <w:pStyle w:val="ListParagraph"/>
        <w:rPr>
          <w:rFonts w:asciiTheme="majorHAnsi" w:hAnsiTheme="majorHAnsi"/>
          <w:b/>
          <w:sz w:val="20"/>
          <w:szCs w:val="20"/>
        </w:rPr>
      </w:pPr>
    </w:p>
    <w:p w14:paraId="7828D531" w14:textId="7DCDAE3A"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b/>
          <w:sz w:val="20"/>
          <w:szCs w:val="20"/>
        </w:rPr>
      </w:pPr>
      <w:r w:rsidRPr="00327C05">
        <w:rPr>
          <w:rFonts w:asciiTheme="majorHAnsi" w:hAnsiTheme="majorHAnsi"/>
          <w:sz w:val="20"/>
          <w:szCs w:val="20"/>
          <w:lang w:val="en"/>
        </w:rPr>
        <w:t xml:space="preserve">Regarding </w:t>
      </w:r>
      <w:r w:rsidRPr="00327C05">
        <w:rPr>
          <w:rFonts w:asciiTheme="majorHAnsi" w:hAnsiTheme="majorHAnsi"/>
          <w:b/>
          <w:bCs/>
          <w:sz w:val="20"/>
          <w:szCs w:val="20"/>
          <w:lang w:val="en"/>
        </w:rPr>
        <w:t>judicial protection</w:t>
      </w:r>
      <w:r w:rsidRPr="00327C05">
        <w:rPr>
          <w:rFonts w:asciiTheme="majorHAnsi" w:hAnsiTheme="majorHAnsi"/>
          <w:sz w:val="20"/>
          <w:szCs w:val="20"/>
          <w:lang w:val="en"/>
        </w:rPr>
        <w:t xml:space="preserve">, it argued that this right had not been violated considering that the alleged victim had access to remedies under domestic jurisdiction, including </w:t>
      </w:r>
      <w:r w:rsidRPr="00327C05">
        <w:rPr>
          <w:rFonts w:asciiTheme="majorHAnsi" w:hAnsiTheme="majorHAnsi"/>
          <w:i/>
          <w:iCs/>
          <w:sz w:val="20"/>
          <w:szCs w:val="20"/>
          <w:lang w:val="en"/>
        </w:rPr>
        <w:t>habeas corpus</w:t>
      </w:r>
      <w:r w:rsidRPr="00327C05">
        <w:rPr>
          <w:rFonts w:asciiTheme="majorHAnsi" w:hAnsiTheme="majorHAnsi"/>
          <w:sz w:val="20"/>
          <w:szCs w:val="20"/>
          <w:lang w:val="en"/>
        </w:rPr>
        <w:t>, the result of which was that his sentence was declared unconstitutional.</w:t>
      </w:r>
      <w:r w:rsidRPr="00327C05">
        <w:rPr>
          <w:rFonts w:asciiTheme="majorHAnsi" w:hAnsiTheme="majorHAnsi"/>
          <w:b/>
          <w:bCs/>
          <w:sz w:val="20"/>
          <w:szCs w:val="20"/>
          <w:lang w:val="en"/>
        </w:rPr>
        <w:t xml:space="preserve">  </w:t>
      </w:r>
      <w:r w:rsidRPr="00327C05">
        <w:rPr>
          <w:rFonts w:asciiTheme="majorHAnsi" w:hAnsiTheme="majorHAnsi"/>
          <w:sz w:val="20"/>
          <w:szCs w:val="20"/>
          <w:lang w:val="en"/>
        </w:rPr>
        <w:t>Domestically, the alleged victim also had access to civil action for damages to obtain financial redress for the harm caused by the unreasonable length of the criminal process brought against him.</w:t>
      </w:r>
    </w:p>
    <w:p w14:paraId="56A1D1EB" w14:textId="77777777" w:rsidR="00327C05" w:rsidRPr="00327C05" w:rsidRDefault="00327C05" w:rsidP="00327C0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b/>
          <w:sz w:val="20"/>
          <w:szCs w:val="20"/>
        </w:rPr>
      </w:pPr>
    </w:p>
    <w:p w14:paraId="5187C30B" w14:textId="77777777" w:rsidR="00704058" w:rsidRPr="00327C05" w:rsidRDefault="00704058" w:rsidP="00704058">
      <w:pPr>
        <w:pStyle w:val="Heading1"/>
        <w:spacing w:before="0"/>
        <w:ind w:hanging="540"/>
        <w:rPr>
          <w:rFonts w:eastAsia="Times New Roman"/>
          <w:color w:val="auto"/>
          <w:sz w:val="20"/>
          <w:szCs w:val="20"/>
          <w:bdr w:val="none" w:sz="0" w:space="0" w:color="auto" w:frame="1"/>
        </w:rPr>
      </w:pPr>
      <w:bookmarkStart w:id="15" w:name="_Toc6206753"/>
      <w:bookmarkStart w:id="16" w:name="_Toc5369469"/>
      <w:bookmarkStart w:id="17" w:name="_Toc99959789"/>
      <w:r w:rsidRPr="00327C05">
        <w:rPr>
          <w:rFonts w:eastAsia="Times New Roman"/>
          <w:color w:val="auto"/>
          <w:sz w:val="20"/>
          <w:szCs w:val="20"/>
          <w:bdr w:val="none" w:sz="0" w:space="0" w:color="auto" w:frame="1"/>
          <w:lang w:val="en"/>
        </w:rPr>
        <w:t>ESTABLISHED FACTS</w:t>
      </w:r>
      <w:bookmarkStart w:id="18" w:name="_Toc423514424"/>
      <w:bookmarkStart w:id="19" w:name="_Toc441166736"/>
      <w:bookmarkStart w:id="20" w:name="_Toc476142728"/>
      <w:bookmarkEnd w:id="15"/>
      <w:bookmarkEnd w:id="16"/>
      <w:bookmarkEnd w:id="17"/>
    </w:p>
    <w:p w14:paraId="60525BC7" w14:textId="77777777" w:rsidR="00704058" w:rsidRPr="00327C05" w:rsidRDefault="00704058" w:rsidP="00704058">
      <w:pPr>
        <w:rPr>
          <w:rFonts w:asciiTheme="majorHAnsi" w:hAnsiTheme="majorHAnsi"/>
        </w:rPr>
      </w:pPr>
    </w:p>
    <w:p w14:paraId="5297D8E1" w14:textId="37295C53" w:rsidR="00704058" w:rsidRPr="00327C05" w:rsidRDefault="00704058" w:rsidP="00404500">
      <w:pPr>
        <w:pStyle w:val="Heading2"/>
        <w:keepLines w:val="0"/>
        <w:numPr>
          <w:ilvl w:val="1"/>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0"/>
        <w:ind w:left="540" w:hanging="540"/>
        <w:rPr>
          <w:color w:val="auto"/>
          <w:sz w:val="20"/>
          <w:szCs w:val="20"/>
        </w:rPr>
      </w:pPr>
      <w:bookmarkStart w:id="21" w:name="_Toc6206754"/>
      <w:bookmarkStart w:id="22" w:name="_Toc5369470"/>
      <w:bookmarkStart w:id="23" w:name="_Toc99959790"/>
      <w:r w:rsidRPr="00327C05">
        <w:rPr>
          <w:color w:val="auto"/>
          <w:sz w:val="20"/>
          <w:szCs w:val="20"/>
          <w:lang w:val="en"/>
        </w:rPr>
        <w:t>Relevant legal framework</w:t>
      </w:r>
      <w:bookmarkEnd w:id="21"/>
      <w:bookmarkEnd w:id="22"/>
      <w:bookmarkEnd w:id="23"/>
    </w:p>
    <w:p w14:paraId="266805AF" w14:textId="77777777" w:rsidR="00704058" w:rsidRPr="00327C05" w:rsidRDefault="00704058" w:rsidP="00704058">
      <w:pPr>
        <w:rPr>
          <w:rFonts w:asciiTheme="majorHAnsi" w:hAnsiTheme="majorHAnsi"/>
        </w:rPr>
      </w:pPr>
    </w:p>
    <w:p w14:paraId="7FAECB29"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The alleged victim was prosecuted for the crimes of monopoly and economic subversion, established in laws 12,906 and 20,840, respectively.</w:t>
      </w:r>
    </w:p>
    <w:p w14:paraId="6FB4D3C3" w14:textId="77777777" w:rsidR="00704058" w:rsidRPr="00327C05" w:rsidRDefault="00704058" w:rsidP="0070405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rPr>
      </w:pPr>
    </w:p>
    <w:p w14:paraId="072CC107"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The pertinent part of Law 12.906 established as follows:</w:t>
      </w:r>
    </w:p>
    <w:p w14:paraId="5AF5CD48" w14:textId="77777777" w:rsidR="00704058" w:rsidRPr="00327C05" w:rsidRDefault="00704058" w:rsidP="002C731C">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720" w:right="720"/>
        <w:jc w:val="both"/>
        <w:rPr>
          <w:rFonts w:asciiTheme="majorHAnsi" w:eastAsia="Cambria" w:hAnsiTheme="majorHAnsi" w:cs="Cambria"/>
          <w:color w:val="000000"/>
          <w:sz w:val="20"/>
          <w:szCs w:val="20"/>
          <w:u w:color="000000"/>
        </w:rPr>
      </w:pPr>
    </w:p>
    <w:p w14:paraId="22D135A6" w14:textId="77777777" w:rsidR="00704058" w:rsidRPr="00327C05" w:rsidRDefault="00704058" w:rsidP="00327C0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18"/>
          <w:szCs w:val="18"/>
        </w:rPr>
      </w:pPr>
      <w:r w:rsidRPr="00327C05">
        <w:rPr>
          <w:rFonts w:asciiTheme="majorHAnsi" w:hAnsiTheme="majorHAnsi"/>
          <w:sz w:val="18"/>
          <w:szCs w:val="18"/>
          <w:lang w:val="en"/>
        </w:rPr>
        <w:t xml:space="preserve">Article 1. Those who participate directly or through a third party in a consortium, pact, coalition, combination, fusion, or merger of capital aimed at establishing or maintaining a monopoly and profiting from it in one or more sectors of industry; ground, air, river, or maritime transportation; or domestic or foreign commerce, throughout the country or in one or more parts of it, will be sanctioned under this law for the sole fact of participation. </w:t>
      </w:r>
    </w:p>
    <w:p w14:paraId="4F03E9C2" w14:textId="77777777" w:rsidR="00704058" w:rsidRPr="00327C05" w:rsidRDefault="00704058" w:rsidP="00327C0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18"/>
          <w:szCs w:val="18"/>
        </w:rPr>
      </w:pPr>
    </w:p>
    <w:p w14:paraId="642BAA1D" w14:textId="77777777" w:rsidR="00704058" w:rsidRPr="00327C05" w:rsidRDefault="00704058" w:rsidP="00327C0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18"/>
          <w:szCs w:val="18"/>
        </w:rPr>
      </w:pPr>
      <w:r w:rsidRPr="00327C05">
        <w:rPr>
          <w:rFonts w:asciiTheme="majorHAnsi" w:hAnsiTheme="majorHAnsi"/>
          <w:sz w:val="18"/>
          <w:szCs w:val="18"/>
          <w:lang w:val="en"/>
        </w:rPr>
        <w:t>Article 2. For the purposes of the sanctions established in this law, the following will especially be considered acts of monopoly or tending toward it:</w:t>
      </w:r>
    </w:p>
    <w:p w14:paraId="7A2A174A" w14:textId="77777777" w:rsidR="00704058" w:rsidRPr="00327C05" w:rsidRDefault="00704058" w:rsidP="00327C0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18"/>
          <w:szCs w:val="18"/>
        </w:rPr>
      </w:pPr>
    </w:p>
    <w:p w14:paraId="3BCC5C48" w14:textId="77777777" w:rsidR="00704058" w:rsidRPr="00327C05" w:rsidRDefault="00704058" w:rsidP="00327C0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18"/>
          <w:szCs w:val="18"/>
        </w:rPr>
      </w:pPr>
      <w:r w:rsidRPr="00327C05">
        <w:rPr>
          <w:rFonts w:asciiTheme="majorHAnsi" w:hAnsiTheme="majorHAnsi"/>
          <w:sz w:val="18"/>
          <w:szCs w:val="18"/>
          <w:lang w:val="en"/>
        </w:rPr>
        <w:t>(...) l) the involvement of the same physical or legal person in the leadership, management, or administration of different companies or corporations, or the administration or management of one and the leadership of one or others, when the connection could lead to monopoly, restricting or suppressing competition, or eliminating fair and competitive prices for consumers or users.</w:t>
      </w:r>
    </w:p>
    <w:p w14:paraId="29FD0D4D" w14:textId="77777777" w:rsidR="00704058" w:rsidRPr="00327C05" w:rsidRDefault="00704058" w:rsidP="00327C0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18"/>
          <w:szCs w:val="18"/>
        </w:rPr>
      </w:pPr>
      <w:r w:rsidRPr="00327C05">
        <w:rPr>
          <w:rFonts w:asciiTheme="majorHAnsi" w:hAnsiTheme="majorHAnsi"/>
          <w:sz w:val="18"/>
          <w:szCs w:val="18"/>
          <w:lang w:val="en"/>
        </w:rPr>
        <w:t xml:space="preserve"> </w:t>
      </w:r>
    </w:p>
    <w:p w14:paraId="6BF3FFF6" w14:textId="77777777" w:rsidR="00704058" w:rsidRPr="00327C05" w:rsidRDefault="00704058" w:rsidP="00327C0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18"/>
          <w:szCs w:val="18"/>
        </w:rPr>
      </w:pPr>
      <w:r w:rsidRPr="00327C05">
        <w:rPr>
          <w:rFonts w:asciiTheme="majorHAnsi" w:hAnsiTheme="majorHAnsi"/>
          <w:sz w:val="18"/>
          <w:szCs w:val="18"/>
          <w:lang w:val="en"/>
        </w:rPr>
        <w:t>m) the direct or indirect acquisition by a physical or legal person of all or part of the shares or stock of another legal person when the objective of the acquisition is to build a monopoly, restrict or suppress competition, or eliminate fair and competitive prices for consumers or users.</w:t>
      </w:r>
      <w:r w:rsidRPr="00327C05">
        <w:rPr>
          <w:rStyle w:val="FootnoteReference"/>
          <w:rFonts w:asciiTheme="majorHAnsi" w:hAnsiTheme="majorHAnsi"/>
          <w:sz w:val="18"/>
          <w:szCs w:val="18"/>
          <w:lang w:val="en"/>
        </w:rPr>
        <w:footnoteReference w:id="3"/>
      </w:r>
      <w:r w:rsidRPr="00327C05">
        <w:rPr>
          <w:rFonts w:asciiTheme="majorHAnsi" w:hAnsiTheme="majorHAnsi"/>
          <w:sz w:val="18"/>
          <w:szCs w:val="18"/>
          <w:lang w:val="en"/>
        </w:rPr>
        <w:t xml:space="preserve"> </w:t>
      </w:r>
    </w:p>
    <w:p w14:paraId="0AAF7B07" w14:textId="77777777" w:rsidR="00704058" w:rsidRPr="00327C05" w:rsidRDefault="00704058" w:rsidP="00704058">
      <w:pPr>
        <w:rPr>
          <w:rFonts w:asciiTheme="majorHAnsi" w:hAnsiTheme="majorHAnsi"/>
          <w:sz w:val="20"/>
          <w:szCs w:val="20"/>
        </w:rPr>
      </w:pPr>
    </w:p>
    <w:p w14:paraId="090F7C5C"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This law was repealed and replaced by Law 22,262 of August 1, 1980.  The part of Law 22.262 pertinent to this case read as follows:</w:t>
      </w:r>
    </w:p>
    <w:p w14:paraId="32228D78" w14:textId="77777777" w:rsidR="00704058" w:rsidRPr="00327C05" w:rsidRDefault="00704058" w:rsidP="0070405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rPr>
      </w:pPr>
    </w:p>
    <w:p w14:paraId="729A0956" w14:textId="77777777" w:rsidR="00704058" w:rsidRPr="00327C05" w:rsidRDefault="00704058" w:rsidP="00327C0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20"/>
          <w:szCs w:val="20"/>
        </w:rPr>
      </w:pPr>
      <w:r w:rsidRPr="00327C05">
        <w:rPr>
          <w:rFonts w:asciiTheme="majorHAnsi" w:hAnsiTheme="majorHAnsi"/>
          <w:sz w:val="20"/>
          <w:szCs w:val="20"/>
          <w:lang w:val="en"/>
        </w:rPr>
        <w:t>Article 1. Acts or conduct related to the production and exchange of goods or services that limit, restrict, or distort competition or constitute abuse of a dominant market position that could harm the general economic interest are prohibited and shall be sanctioned pursuant to the provisions of this law.</w:t>
      </w:r>
    </w:p>
    <w:p w14:paraId="1A6512CB" w14:textId="77777777" w:rsidR="00704058" w:rsidRPr="00327C05" w:rsidRDefault="00704058" w:rsidP="00327C0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20"/>
          <w:szCs w:val="20"/>
        </w:rPr>
      </w:pPr>
    </w:p>
    <w:p w14:paraId="328EB476" w14:textId="77777777" w:rsidR="00704058" w:rsidRPr="00327C05" w:rsidRDefault="00704058" w:rsidP="00327C0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20"/>
          <w:szCs w:val="20"/>
        </w:rPr>
      </w:pPr>
      <w:r w:rsidRPr="00327C05">
        <w:rPr>
          <w:rFonts w:asciiTheme="majorHAnsi" w:hAnsiTheme="majorHAnsi"/>
          <w:sz w:val="20"/>
          <w:szCs w:val="20"/>
          <w:lang w:val="en"/>
        </w:rPr>
        <w:t>Article 2. For the purposes of this law:</w:t>
      </w:r>
    </w:p>
    <w:p w14:paraId="27ADEDFB" w14:textId="77777777" w:rsidR="00704058" w:rsidRPr="00327C05" w:rsidRDefault="00704058" w:rsidP="00327C0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20"/>
          <w:szCs w:val="20"/>
        </w:rPr>
      </w:pPr>
    </w:p>
    <w:p w14:paraId="568F8B3A" w14:textId="77777777" w:rsidR="00704058" w:rsidRPr="00327C05" w:rsidRDefault="00704058" w:rsidP="00327C0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20"/>
          <w:szCs w:val="20"/>
        </w:rPr>
      </w:pPr>
      <w:r w:rsidRPr="00327C05">
        <w:rPr>
          <w:rFonts w:asciiTheme="majorHAnsi" w:hAnsiTheme="majorHAnsi"/>
          <w:sz w:val="20"/>
          <w:szCs w:val="20"/>
          <w:lang w:val="en"/>
        </w:rPr>
        <w:t>a) a person enjoys a dominant market position when, for a certain product or service, the person is the only buyer or seller domestically, or, if not the only one, is not exposed to substantial competition.</w:t>
      </w:r>
    </w:p>
    <w:p w14:paraId="5BDD1021" w14:textId="77777777" w:rsidR="00704058" w:rsidRPr="00327C05" w:rsidRDefault="00704058" w:rsidP="00327C0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20"/>
          <w:szCs w:val="20"/>
        </w:rPr>
      </w:pPr>
    </w:p>
    <w:p w14:paraId="4AC09695" w14:textId="77777777" w:rsidR="00704058" w:rsidRPr="00327C05" w:rsidRDefault="00704058" w:rsidP="00327C0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20"/>
          <w:szCs w:val="20"/>
        </w:rPr>
      </w:pPr>
      <w:r w:rsidRPr="00327C05">
        <w:rPr>
          <w:rFonts w:asciiTheme="majorHAnsi" w:hAnsiTheme="majorHAnsi"/>
          <w:sz w:val="20"/>
          <w:szCs w:val="20"/>
          <w:lang w:val="en"/>
        </w:rPr>
        <w:t>b) two or more people enjoy a dominant market position when, for certain product or service, they do not effectively compete with each other and do not face substantial competition from third parties throughout the domestic market or in a segment thereof.</w:t>
      </w:r>
      <w:r w:rsidRPr="00327C05">
        <w:rPr>
          <w:rStyle w:val="FootnoteReference"/>
          <w:rFonts w:asciiTheme="majorHAnsi" w:hAnsiTheme="majorHAnsi"/>
          <w:sz w:val="20"/>
          <w:szCs w:val="20"/>
          <w:lang w:val="en"/>
        </w:rPr>
        <w:footnoteReference w:id="4"/>
      </w:r>
    </w:p>
    <w:p w14:paraId="595DAEBD" w14:textId="77777777" w:rsidR="00704058" w:rsidRPr="00327C05" w:rsidRDefault="00704058" w:rsidP="00327C0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20"/>
          <w:szCs w:val="20"/>
        </w:rPr>
      </w:pPr>
    </w:p>
    <w:p w14:paraId="7A0575FA" w14:textId="77777777" w:rsidR="00704058" w:rsidRPr="00327C05" w:rsidRDefault="00704058" w:rsidP="00327C0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20"/>
          <w:szCs w:val="20"/>
        </w:rPr>
      </w:pPr>
      <w:r w:rsidRPr="00327C05">
        <w:rPr>
          <w:rFonts w:asciiTheme="majorHAnsi" w:hAnsiTheme="majorHAnsi"/>
          <w:sz w:val="20"/>
          <w:szCs w:val="20"/>
          <w:lang w:val="en"/>
        </w:rPr>
        <w:t xml:space="preserve">Article 46 Law 12,906 is hereby repealed. The cases in progress before administrative or judicial bodies as of the entry into force of this law will remain subject to Law 12,906. </w:t>
      </w:r>
    </w:p>
    <w:p w14:paraId="3E8BF88C" w14:textId="77777777" w:rsidR="00704058" w:rsidRPr="00327C05" w:rsidRDefault="00704058" w:rsidP="0070405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rPr>
      </w:pPr>
    </w:p>
    <w:p w14:paraId="1ACAEEF3"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 xml:space="preserve">For its part, Law 20,840 codified the crime of economic subversion in its Article 6 as follows: </w:t>
      </w:r>
    </w:p>
    <w:p w14:paraId="763D9CD1" w14:textId="77777777" w:rsidR="00704058" w:rsidRPr="00327C05" w:rsidRDefault="00704058" w:rsidP="0070405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rPr>
      </w:pPr>
    </w:p>
    <w:p w14:paraId="34B5F523" w14:textId="77777777" w:rsidR="00704058" w:rsidRPr="00327C05" w:rsidRDefault="00704058" w:rsidP="00327C0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color w:val="000000"/>
          <w:sz w:val="20"/>
          <w:szCs w:val="20"/>
        </w:rPr>
      </w:pPr>
      <w:r w:rsidRPr="00327C05">
        <w:rPr>
          <w:rFonts w:asciiTheme="majorHAnsi" w:hAnsiTheme="majorHAnsi"/>
          <w:color w:val="000000"/>
          <w:sz w:val="20"/>
          <w:szCs w:val="20"/>
          <w:lang w:val="en"/>
        </w:rPr>
        <w:t>Article 6. Those who improperly relocate, destroy, damage, disappear, hide, or fraudulently lower the value of raw materials, products of any kind, machinery, equipment, or other capital goods or jeopardize, without justification, their asset value, either maliciously or with a profit motive, thereby endangering the normal operation of a commercial, industrial, agricultural, mining, or service establishment, shall be punished with two to six years in prison and a fine of between seventy-five thousand and five million pesos, in the absence of an offense with a more severe punishment (...).</w:t>
      </w:r>
      <w:r w:rsidRPr="00327C05">
        <w:rPr>
          <w:rStyle w:val="FootnoteReference"/>
          <w:rFonts w:asciiTheme="majorHAnsi" w:hAnsiTheme="majorHAnsi"/>
          <w:sz w:val="20"/>
          <w:szCs w:val="20"/>
          <w:lang w:val="en"/>
        </w:rPr>
        <w:footnoteReference w:id="5"/>
      </w:r>
    </w:p>
    <w:p w14:paraId="438A1941" w14:textId="77777777" w:rsidR="00704058" w:rsidRPr="00327C05" w:rsidRDefault="00704058" w:rsidP="0070405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color w:val="000000"/>
          <w:sz w:val="20"/>
          <w:szCs w:val="20"/>
        </w:rPr>
      </w:pPr>
    </w:p>
    <w:p w14:paraId="23F7AEC7" w14:textId="77777777" w:rsidR="00704058" w:rsidRPr="00327C05" w:rsidRDefault="00704058" w:rsidP="00404500">
      <w:pPr>
        <w:pStyle w:val="Heading2"/>
        <w:keepLines w:val="0"/>
        <w:numPr>
          <w:ilvl w:val="1"/>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0"/>
        <w:ind w:left="540" w:hanging="540"/>
        <w:rPr>
          <w:color w:val="auto"/>
          <w:sz w:val="20"/>
          <w:szCs w:val="20"/>
        </w:rPr>
      </w:pPr>
      <w:bookmarkStart w:id="24" w:name="_Toc6206755"/>
      <w:bookmarkStart w:id="25" w:name="_Toc5369471"/>
      <w:bookmarkStart w:id="26" w:name="_Toc99959791"/>
      <w:r w:rsidRPr="00327C05">
        <w:rPr>
          <w:color w:val="auto"/>
          <w:sz w:val="20"/>
          <w:szCs w:val="20"/>
          <w:lang w:val="en"/>
        </w:rPr>
        <w:t>Criminal process for the crime of monopoly</w:t>
      </w:r>
      <w:bookmarkEnd w:id="24"/>
      <w:bookmarkEnd w:id="25"/>
      <w:bookmarkEnd w:id="26"/>
    </w:p>
    <w:p w14:paraId="6FF8CBCD" w14:textId="77777777" w:rsidR="00704058" w:rsidRPr="00327C05" w:rsidRDefault="00704058" w:rsidP="0070405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rPr>
      </w:pPr>
    </w:p>
    <w:p w14:paraId="36AF6A90"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 xml:space="preserve">On October 5, 1987, the Central Bank of the Argentine Republic filed a criminal complaint against the alleged victim, arguing that "the accused played a central and essential role in the management of the economic group with the necessary and sufficient decision-making authority and the consequent knowledge of the actions taken (…) the actions of which </w:t>
      </w:r>
      <w:proofErr w:type="spellStart"/>
      <w:r w:rsidRPr="00327C05">
        <w:rPr>
          <w:rFonts w:asciiTheme="majorHAnsi" w:hAnsiTheme="majorHAnsi"/>
          <w:sz w:val="20"/>
          <w:szCs w:val="20"/>
          <w:lang w:val="en"/>
        </w:rPr>
        <w:t>Falanga</w:t>
      </w:r>
      <w:proofErr w:type="spellEnd"/>
      <w:r w:rsidRPr="00327C05">
        <w:rPr>
          <w:rFonts w:asciiTheme="majorHAnsi" w:hAnsiTheme="majorHAnsi"/>
          <w:sz w:val="20"/>
          <w:szCs w:val="20"/>
          <w:lang w:val="en"/>
        </w:rPr>
        <w:t xml:space="preserve"> is accused clearly fall under Article 6 of law 20,840, the criminal offense of economic subversion (...).”</w:t>
      </w:r>
      <w:r w:rsidRPr="00327C05">
        <w:rPr>
          <w:rStyle w:val="FootnoteReference"/>
          <w:rFonts w:asciiTheme="majorHAnsi" w:hAnsiTheme="majorHAnsi"/>
          <w:sz w:val="20"/>
          <w:szCs w:val="20"/>
          <w:lang w:val="en"/>
        </w:rPr>
        <w:footnoteReference w:id="6"/>
      </w:r>
      <w:r w:rsidRPr="00327C05">
        <w:rPr>
          <w:rFonts w:asciiTheme="majorHAnsi" w:hAnsiTheme="majorHAnsi"/>
          <w:sz w:val="20"/>
          <w:szCs w:val="20"/>
          <w:lang w:val="en"/>
        </w:rPr>
        <w:t xml:space="preserve"> The information submitted by the parties indicates that in April 1980, the investigation was launched into both the crime of economic subversion—described later in this report—and the crime of monopoly, described in this section.  </w:t>
      </w:r>
    </w:p>
    <w:p w14:paraId="0297F028" w14:textId="77777777" w:rsidR="00704058" w:rsidRPr="00327C05" w:rsidRDefault="00704058" w:rsidP="0070405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rPr>
      </w:pPr>
    </w:p>
    <w:p w14:paraId="19E4D9D8"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On July 19, 1988, the Federal Prosecutor filed charges against the alleged victim for the crime of monopoly established in Article 2, subparagraphs (l) and (m) of Law 12,906, which “punishes the involvement of the same person—physical or legal—in the leadership, management or the administration or management of one and the leadership of one or others, when the connection could lead to monopoly or the restriction or suppression of competition, or the elimination of fair and competitive prices for consumers or users.”</w:t>
      </w:r>
      <w:r w:rsidRPr="00327C05">
        <w:rPr>
          <w:rStyle w:val="FootnoteReference"/>
          <w:rFonts w:asciiTheme="majorHAnsi" w:hAnsiTheme="majorHAnsi"/>
          <w:sz w:val="20"/>
          <w:szCs w:val="20"/>
          <w:lang w:val="en"/>
        </w:rPr>
        <w:footnoteReference w:id="7"/>
      </w:r>
      <w:r w:rsidRPr="00327C05">
        <w:rPr>
          <w:rFonts w:asciiTheme="majorHAnsi" w:hAnsiTheme="majorHAnsi"/>
          <w:sz w:val="20"/>
          <w:szCs w:val="20"/>
          <w:lang w:val="en"/>
        </w:rPr>
        <w:t xml:space="preserve"> </w:t>
      </w:r>
    </w:p>
    <w:p w14:paraId="7B85E67E" w14:textId="77777777" w:rsidR="00704058" w:rsidRPr="00327C05" w:rsidRDefault="00704058" w:rsidP="0070405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rPr>
      </w:pPr>
    </w:p>
    <w:p w14:paraId="5AE87B5D"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In 1988, the judge in the case ruled to partially and provisionally dismiss the criminal process against the alleged victim for the crime of monopoly because "there was not sufficient evidence, at least on the face, to indicate that the accused (</w:t>
      </w:r>
      <w:proofErr w:type="spellStart"/>
      <w:r w:rsidRPr="00327C05">
        <w:rPr>
          <w:rFonts w:asciiTheme="majorHAnsi" w:hAnsiTheme="majorHAnsi"/>
          <w:sz w:val="20"/>
          <w:szCs w:val="20"/>
          <w:lang w:val="en"/>
        </w:rPr>
        <w:t>Ángel</w:t>
      </w:r>
      <w:proofErr w:type="spellEnd"/>
      <w:r w:rsidRPr="00327C05">
        <w:rPr>
          <w:rFonts w:asciiTheme="majorHAnsi" w:hAnsiTheme="majorHAnsi"/>
          <w:sz w:val="20"/>
          <w:szCs w:val="20"/>
          <w:lang w:val="en"/>
        </w:rPr>
        <w:t xml:space="preserve"> Pedro </w:t>
      </w:r>
      <w:proofErr w:type="spellStart"/>
      <w:r w:rsidRPr="00327C05">
        <w:rPr>
          <w:rFonts w:asciiTheme="majorHAnsi" w:hAnsiTheme="majorHAnsi"/>
          <w:sz w:val="20"/>
          <w:szCs w:val="20"/>
          <w:lang w:val="en"/>
        </w:rPr>
        <w:t>Falanga</w:t>
      </w:r>
      <w:proofErr w:type="spellEnd"/>
      <w:r w:rsidRPr="00327C05">
        <w:rPr>
          <w:rFonts w:asciiTheme="majorHAnsi" w:hAnsiTheme="majorHAnsi"/>
          <w:sz w:val="20"/>
          <w:szCs w:val="20"/>
          <w:lang w:val="en"/>
        </w:rPr>
        <w:t>) had decision-making authority or direct knowledge of the monopolistic practices investigated.”</w:t>
      </w:r>
      <w:r w:rsidRPr="00327C05">
        <w:rPr>
          <w:rStyle w:val="FootnoteReference"/>
          <w:rFonts w:asciiTheme="majorHAnsi" w:hAnsiTheme="majorHAnsi"/>
          <w:sz w:val="20"/>
          <w:szCs w:val="20"/>
          <w:lang w:val="en"/>
        </w:rPr>
        <w:footnoteReference w:id="8"/>
      </w:r>
      <w:r w:rsidRPr="00327C05">
        <w:rPr>
          <w:rFonts w:asciiTheme="majorHAnsi" w:hAnsiTheme="majorHAnsi"/>
          <w:sz w:val="20"/>
          <w:szCs w:val="20"/>
          <w:lang w:val="en"/>
        </w:rPr>
        <w:t xml:space="preserve"> </w:t>
      </w:r>
    </w:p>
    <w:p w14:paraId="23D187E9" w14:textId="77777777" w:rsidR="00704058" w:rsidRPr="00327C05" w:rsidRDefault="00704058" w:rsidP="0070405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rPr>
      </w:pPr>
    </w:p>
    <w:p w14:paraId="3857C96A"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This decision was appealed by the prosecutor. On May 10, 1988, the Federal Appeals Chamber revoked the decision to dismiss the charges and ordered the alleged victim be placed in pretrial detention. The decision stated:</w:t>
      </w:r>
    </w:p>
    <w:p w14:paraId="1AD6C432" w14:textId="77777777" w:rsidR="00704058" w:rsidRPr="00327C05" w:rsidRDefault="00704058" w:rsidP="0070405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rPr>
      </w:pPr>
    </w:p>
    <w:p w14:paraId="3C318017" w14:textId="77777777" w:rsidR="00704058" w:rsidRPr="00327C05" w:rsidRDefault="00704058" w:rsidP="00327C0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20"/>
          <w:szCs w:val="20"/>
        </w:rPr>
      </w:pPr>
      <w:r w:rsidRPr="00327C05">
        <w:rPr>
          <w:rFonts w:asciiTheme="majorHAnsi" w:hAnsiTheme="majorHAnsi"/>
          <w:sz w:val="20"/>
          <w:szCs w:val="20"/>
          <w:lang w:val="en"/>
        </w:rPr>
        <w:t xml:space="preserve">(...) that all these elements allow for the conclusion that </w:t>
      </w:r>
      <w:proofErr w:type="spellStart"/>
      <w:r w:rsidRPr="00327C05">
        <w:rPr>
          <w:rFonts w:asciiTheme="majorHAnsi" w:hAnsiTheme="majorHAnsi"/>
          <w:sz w:val="20"/>
          <w:szCs w:val="20"/>
          <w:lang w:val="en"/>
        </w:rPr>
        <w:t>Falanga</w:t>
      </w:r>
      <w:proofErr w:type="spellEnd"/>
      <w:r w:rsidRPr="00327C05">
        <w:rPr>
          <w:rFonts w:asciiTheme="majorHAnsi" w:hAnsiTheme="majorHAnsi"/>
          <w:sz w:val="20"/>
          <w:szCs w:val="20"/>
          <w:lang w:val="en"/>
        </w:rPr>
        <w:t xml:space="preserve"> could not ignore the operations, methodology, objectives, etc. employed by Héctor Greco and the other individuals prosecuted in this case with regard to aspects of “monopoly.”</w:t>
      </w:r>
    </w:p>
    <w:p w14:paraId="520BC899" w14:textId="77777777" w:rsidR="00704058" w:rsidRPr="00327C05" w:rsidRDefault="00704058" w:rsidP="00327C0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20"/>
          <w:szCs w:val="20"/>
        </w:rPr>
      </w:pPr>
    </w:p>
    <w:p w14:paraId="291B720C" w14:textId="3F447528" w:rsidR="00704058" w:rsidRPr="00327C05" w:rsidRDefault="00704058" w:rsidP="00327C0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20"/>
          <w:szCs w:val="20"/>
        </w:rPr>
      </w:pPr>
      <w:r w:rsidRPr="00327C05">
        <w:rPr>
          <w:rFonts w:asciiTheme="majorHAnsi" w:hAnsiTheme="majorHAnsi"/>
          <w:sz w:val="20"/>
          <w:szCs w:val="20"/>
          <w:lang w:val="en"/>
        </w:rPr>
        <w:t>(...) The interpretation of Law 12,906 must be expansive: that is, it must be possible to broaden the concept from the letter of the law to match its spirit and will (...) the law itself is intended to apply the same punishment in situations analogous to those spelled out and for the list of criminal offenses to not be exhaustive or exclusive but rather a guide, with responsibility falling to the judge to assess the specific characteristics of a case (...) this general consideration is put forth to note that pursuant to the procedural status of t</w:t>
      </w:r>
      <w:r w:rsidR="00404500" w:rsidRPr="00327C05">
        <w:rPr>
          <w:rFonts w:asciiTheme="majorHAnsi" w:hAnsiTheme="majorHAnsi"/>
          <w:sz w:val="20"/>
          <w:szCs w:val="20"/>
          <w:lang w:val="en"/>
        </w:rPr>
        <w:t>his case, it would be incorrect</w:t>
      </w:r>
      <w:r w:rsidRPr="00327C05">
        <w:rPr>
          <w:rFonts w:asciiTheme="majorHAnsi" w:hAnsiTheme="majorHAnsi"/>
          <w:sz w:val="20"/>
          <w:szCs w:val="20"/>
          <w:lang w:val="en"/>
        </w:rPr>
        <w:t xml:space="preserve"> to exclude individuals who have actively participated in the administration of companies that have violated the law.</w:t>
      </w:r>
      <w:r w:rsidRPr="00327C05">
        <w:rPr>
          <w:rStyle w:val="FootnoteReference"/>
          <w:rFonts w:asciiTheme="majorHAnsi" w:hAnsiTheme="majorHAnsi"/>
          <w:sz w:val="20"/>
          <w:szCs w:val="20"/>
          <w:lang w:val="en"/>
        </w:rPr>
        <w:footnoteReference w:id="9"/>
      </w:r>
      <w:r w:rsidRPr="00327C05">
        <w:rPr>
          <w:rFonts w:asciiTheme="majorHAnsi" w:hAnsiTheme="majorHAnsi"/>
          <w:sz w:val="20"/>
          <w:szCs w:val="20"/>
          <w:lang w:val="en"/>
        </w:rPr>
        <w:t xml:space="preserve"> </w:t>
      </w:r>
    </w:p>
    <w:p w14:paraId="1CF2EF62" w14:textId="77777777" w:rsidR="00704058" w:rsidRPr="00327C05" w:rsidRDefault="00704058" w:rsidP="0070405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rPr>
      </w:pPr>
    </w:p>
    <w:p w14:paraId="2ED63ED8"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The Commission notes that in 1991, one of the owners of the Greco group being co-prosecuted with the alleged victim was pardoned by the President of the Republic, permanently dismissing the process brought against him.</w:t>
      </w:r>
      <w:r w:rsidRPr="00327C05">
        <w:rPr>
          <w:rStyle w:val="FootnoteReference"/>
          <w:rFonts w:asciiTheme="majorHAnsi" w:hAnsiTheme="majorHAnsi"/>
          <w:sz w:val="20"/>
          <w:szCs w:val="20"/>
          <w:lang w:val="en"/>
        </w:rPr>
        <w:footnoteReference w:id="10"/>
      </w:r>
      <w:r w:rsidRPr="00327C05">
        <w:rPr>
          <w:rFonts w:asciiTheme="majorHAnsi" w:hAnsiTheme="majorHAnsi"/>
          <w:sz w:val="20"/>
          <w:szCs w:val="20"/>
          <w:lang w:val="en"/>
        </w:rPr>
        <w:t xml:space="preserve"> Based on this, on February 16, 1991, Mr. </w:t>
      </w:r>
      <w:proofErr w:type="spellStart"/>
      <w:r w:rsidRPr="00327C05">
        <w:rPr>
          <w:rFonts w:asciiTheme="majorHAnsi" w:hAnsiTheme="majorHAnsi"/>
          <w:sz w:val="20"/>
          <w:szCs w:val="20"/>
          <w:lang w:val="en"/>
        </w:rPr>
        <w:t>Falanga</w:t>
      </w:r>
      <w:proofErr w:type="spellEnd"/>
      <w:r w:rsidRPr="00327C05">
        <w:rPr>
          <w:rFonts w:asciiTheme="majorHAnsi" w:hAnsiTheme="majorHAnsi"/>
          <w:sz w:val="20"/>
          <w:szCs w:val="20"/>
          <w:lang w:val="en"/>
        </w:rPr>
        <w:t xml:space="preserve"> asked the National Executive Ranch for pardon, arguing that "a pardon is justifiable in the cases in which the principal actors have been pardoned, as the same should be granted to their underlings,"</w:t>
      </w:r>
      <w:r w:rsidRPr="00327C05">
        <w:rPr>
          <w:rStyle w:val="FootnoteReference"/>
          <w:rFonts w:asciiTheme="majorHAnsi" w:hAnsiTheme="majorHAnsi"/>
          <w:sz w:val="20"/>
          <w:szCs w:val="20"/>
          <w:lang w:val="en"/>
        </w:rPr>
        <w:footnoteReference w:id="11"/>
      </w:r>
      <w:r w:rsidRPr="00327C05">
        <w:rPr>
          <w:rFonts w:asciiTheme="majorHAnsi" w:hAnsiTheme="majorHAnsi"/>
          <w:sz w:val="20"/>
          <w:szCs w:val="20"/>
          <w:lang w:val="en"/>
        </w:rPr>
        <w:t xml:space="preserve"> and requested a meeting with the President of the Republic. The Commission does not have the response to the request for a pardon, but a series of responses are on the record stating it would be impossible to grant him the meeting.</w:t>
      </w:r>
      <w:r w:rsidRPr="00327C05">
        <w:rPr>
          <w:rStyle w:val="FootnoteReference"/>
          <w:rFonts w:asciiTheme="majorHAnsi" w:hAnsiTheme="majorHAnsi"/>
          <w:sz w:val="20"/>
          <w:szCs w:val="20"/>
          <w:lang w:val="en"/>
        </w:rPr>
        <w:footnoteReference w:id="12"/>
      </w:r>
      <w:r w:rsidRPr="00327C05">
        <w:rPr>
          <w:rFonts w:asciiTheme="majorHAnsi" w:hAnsiTheme="majorHAnsi"/>
          <w:sz w:val="20"/>
          <w:szCs w:val="20"/>
          <w:lang w:val="en"/>
        </w:rPr>
        <w:t xml:space="preserve"> </w:t>
      </w:r>
    </w:p>
    <w:p w14:paraId="6C35BFCE" w14:textId="77777777" w:rsidR="00704058" w:rsidRPr="00327C05" w:rsidRDefault="00704058" w:rsidP="0070405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rPr>
      </w:pPr>
    </w:p>
    <w:p w14:paraId="650C2BC8"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On May 17, 1993, the Federal Trial Court found the alleged victim guilty and sentenced him to three years in prison for the crime of monopoly pursuant to Article 2, sections l) and m) of Law 12,906, and banned him from participating in commerce, pursuant to Article 7, section d) of that law.   The ruling stated:</w:t>
      </w:r>
    </w:p>
    <w:p w14:paraId="1EF891B7" w14:textId="77777777" w:rsidR="00704058" w:rsidRPr="00327C05" w:rsidRDefault="00704058" w:rsidP="0070405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rPr>
      </w:pPr>
    </w:p>
    <w:p w14:paraId="40FAEF33" w14:textId="77777777" w:rsidR="00704058" w:rsidRPr="00327C05" w:rsidRDefault="00704058" w:rsidP="00327C0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20"/>
          <w:szCs w:val="20"/>
        </w:rPr>
      </w:pPr>
      <w:r w:rsidRPr="00327C05">
        <w:rPr>
          <w:rFonts w:asciiTheme="majorHAnsi" w:hAnsiTheme="majorHAnsi"/>
          <w:sz w:val="20"/>
          <w:szCs w:val="20"/>
          <w:lang w:val="en"/>
        </w:rPr>
        <w:t xml:space="preserve">(...) regarding </w:t>
      </w:r>
      <w:proofErr w:type="spellStart"/>
      <w:r w:rsidRPr="00327C05">
        <w:rPr>
          <w:rFonts w:asciiTheme="majorHAnsi" w:hAnsiTheme="majorHAnsi"/>
          <w:sz w:val="20"/>
          <w:szCs w:val="20"/>
          <w:lang w:val="en"/>
        </w:rPr>
        <w:t>Ángel</w:t>
      </w:r>
      <w:proofErr w:type="spellEnd"/>
      <w:r w:rsidRPr="00327C05">
        <w:rPr>
          <w:rFonts w:asciiTheme="majorHAnsi" w:hAnsiTheme="majorHAnsi"/>
          <w:sz w:val="20"/>
          <w:szCs w:val="20"/>
          <w:lang w:val="en"/>
        </w:rPr>
        <w:t xml:space="preserve"> Pedro </w:t>
      </w:r>
      <w:proofErr w:type="spellStart"/>
      <w:r w:rsidRPr="00327C05">
        <w:rPr>
          <w:rFonts w:asciiTheme="majorHAnsi" w:hAnsiTheme="majorHAnsi"/>
          <w:sz w:val="20"/>
          <w:szCs w:val="20"/>
          <w:lang w:val="en"/>
        </w:rPr>
        <w:t>Falanga</w:t>
      </w:r>
      <w:proofErr w:type="spellEnd"/>
      <w:r w:rsidRPr="00327C05">
        <w:rPr>
          <w:rFonts w:asciiTheme="majorHAnsi" w:hAnsiTheme="majorHAnsi"/>
          <w:sz w:val="20"/>
          <w:szCs w:val="20"/>
          <w:lang w:val="en"/>
        </w:rPr>
        <w:t>, due to his profession as a certified public accountant, his history, and his specific activity within the bank, they cannot fail to recognize from any perspective, that through the manipulation carried out by the management itself and by Banco de los Andes officials, through the use of that lending institution to collect savings from the public and channel those resources to the companies of the dominant group, which enabled a consolidation of companies—controlled by the dominant group—and associated with the main phases of wine production, it can easily be concluded that the aforementioned banking entity acted as a financier in this consolidation process, with the consequences already discussed.</w:t>
      </w:r>
      <w:r w:rsidRPr="00327C05">
        <w:rPr>
          <w:rStyle w:val="FootnoteReference"/>
          <w:rFonts w:asciiTheme="majorHAnsi" w:hAnsiTheme="majorHAnsi"/>
          <w:sz w:val="20"/>
          <w:szCs w:val="20"/>
          <w:lang w:val="en"/>
        </w:rPr>
        <w:footnoteReference w:id="13"/>
      </w:r>
      <w:r w:rsidRPr="00327C05">
        <w:rPr>
          <w:rFonts w:asciiTheme="majorHAnsi" w:hAnsiTheme="majorHAnsi"/>
          <w:sz w:val="20"/>
          <w:szCs w:val="20"/>
          <w:lang w:val="en"/>
        </w:rPr>
        <w:t xml:space="preserve"> </w:t>
      </w:r>
    </w:p>
    <w:p w14:paraId="75B74992" w14:textId="77777777" w:rsidR="00704058" w:rsidRPr="00327C05" w:rsidRDefault="00704058" w:rsidP="0070405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rPr>
      </w:pPr>
      <w:r w:rsidRPr="00327C05">
        <w:rPr>
          <w:rFonts w:asciiTheme="majorHAnsi" w:hAnsiTheme="majorHAnsi"/>
          <w:sz w:val="20"/>
          <w:szCs w:val="20"/>
          <w:lang w:val="en"/>
        </w:rPr>
        <w:t xml:space="preserve"> </w:t>
      </w:r>
    </w:p>
    <w:p w14:paraId="138E6246"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The decision noted for the record that the alleged victim and his co-defendants requested application of the new, less-harsh law as follows: “(...) as regards law 22,262, they state that it is less harsh than law 12,906 because its Article 1 requires potential harm, as well as coordination, which have not been proven in this case (…) as they were not exposed to substantial competition, nor has it been proven that, from a dominant position, partnerships were formed with two or more people, from which it can be concluded that with the application of the substantive elements of the current law, the defendants would not be convicted."</w:t>
      </w:r>
      <w:r w:rsidRPr="00327C05">
        <w:rPr>
          <w:rStyle w:val="FootnoteReference"/>
          <w:rFonts w:asciiTheme="majorHAnsi" w:hAnsiTheme="majorHAnsi"/>
          <w:sz w:val="20"/>
          <w:szCs w:val="20"/>
          <w:lang w:val="en"/>
        </w:rPr>
        <w:footnoteReference w:id="14"/>
      </w:r>
      <w:r w:rsidRPr="00327C05">
        <w:rPr>
          <w:rFonts w:asciiTheme="majorHAnsi" w:hAnsiTheme="majorHAnsi"/>
          <w:sz w:val="20"/>
          <w:szCs w:val="20"/>
          <w:lang w:val="en"/>
        </w:rPr>
        <w:t xml:space="preserve"> </w:t>
      </w:r>
    </w:p>
    <w:p w14:paraId="585CD10C" w14:textId="77777777" w:rsidR="00704058" w:rsidRPr="00327C05" w:rsidRDefault="00704058" w:rsidP="0070405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rPr>
      </w:pPr>
    </w:p>
    <w:p w14:paraId="7BCCAD58"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Regarding this pleading, the court stated:</w:t>
      </w:r>
    </w:p>
    <w:p w14:paraId="76231010" w14:textId="77777777" w:rsidR="00704058" w:rsidRPr="00327C05" w:rsidRDefault="00704058" w:rsidP="00704058">
      <w:pPr>
        <w:pStyle w:val="ListParagraph"/>
        <w:rPr>
          <w:rFonts w:asciiTheme="majorHAnsi" w:hAnsiTheme="majorHAnsi"/>
          <w:sz w:val="20"/>
          <w:szCs w:val="20"/>
        </w:rPr>
      </w:pPr>
    </w:p>
    <w:p w14:paraId="3A2C22D5" w14:textId="77777777" w:rsidR="00704058" w:rsidRPr="00327C05" w:rsidRDefault="00704058" w:rsidP="00327C0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20"/>
          <w:szCs w:val="20"/>
        </w:rPr>
      </w:pPr>
      <w:r w:rsidRPr="00327C05">
        <w:rPr>
          <w:rFonts w:asciiTheme="majorHAnsi" w:hAnsiTheme="majorHAnsi"/>
          <w:sz w:val="20"/>
          <w:szCs w:val="20"/>
          <w:lang w:val="en"/>
        </w:rPr>
        <w:t>(…) although Law 22,262 is in force, its Article 46 explicitly establishes as follows: “repeal Law 12,906 – The cases in progress before administrative or judicial bodies as of the entry into force of this law will remain subject to Law 12,906.” Thus, as we will see later on, the criminal conduct of the defendants is punished by the new law, in its broadest wording in articles 1 and 41, and thus the previous law, 12,906, shall be applied as provided for under this new law (...).</w:t>
      </w:r>
      <w:r w:rsidRPr="00327C05">
        <w:rPr>
          <w:rStyle w:val="FootnoteReference"/>
          <w:rFonts w:asciiTheme="majorHAnsi" w:hAnsiTheme="majorHAnsi"/>
          <w:sz w:val="20"/>
          <w:szCs w:val="20"/>
          <w:lang w:val="en"/>
        </w:rPr>
        <w:footnoteReference w:id="15"/>
      </w:r>
    </w:p>
    <w:p w14:paraId="4A412A4F" w14:textId="77777777" w:rsidR="00704058" w:rsidRPr="00327C05" w:rsidRDefault="00704058" w:rsidP="0070405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rPr>
      </w:pPr>
    </w:p>
    <w:p w14:paraId="4100E5E0"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Subsequently, both the Prosecutor and the alleged victim and the other convicted parties filed appeals and motions of nullification.  The Prosecutor argued, among other things, that the punishment “is not in accordance with the magnitude of the harm caused.”  The alleged victim alleged a series of due process violations and underscored that because Law 22,262 was less harsh and "based on the provisions of the Pact of San José, Costa Rica (Article 9), the aforementioned legal provision should be applied (Law 22,262); and if not, its Article 46 should be considered to refer to the procedure that must be followed in processing cases already launched under Law 12,906 (...).”</w:t>
      </w:r>
      <w:r w:rsidRPr="00327C05">
        <w:rPr>
          <w:rStyle w:val="FootnoteReference"/>
          <w:rFonts w:asciiTheme="majorHAnsi" w:hAnsiTheme="majorHAnsi"/>
          <w:sz w:val="20"/>
          <w:szCs w:val="20"/>
          <w:lang w:val="en"/>
        </w:rPr>
        <w:footnoteReference w:id="16"/>
      </w:r>
      <w:r w:rsidRPr="00327C05">
        <w:rPr>
          <w:rFonts w:asciiTheme="majorHAnsi" w:hAnsiTheme="majorHAnsi"/>
          <w:sz w:val="20"/>
          <w:szCs w:val="20"/>
          <w:lang w:val="en"/>
        </w:rPr>
        <w:t xml:space="preserve"> </w:t>
      </w:r>
    </w:p>
    <w:p w14:paraId="5A7F9FA9" w14:textId="77777777" w:rsidR="00704058" w:rsidRPr="00327C05" w:rsidRDefault="00704058" w:rsidP="0070405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rPr>
      </w:pPr>
    </w:p>
    <w:p w14:paraId="6D1CF5B3"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On November 7, 1995, Court B of the Federal Appeals Chamber of Mendoza dismissed the appeal and motion of nullification. However, it reduced the sentence of the alleged victim to one year and six months in prison, suspended.</w:t>
      </w:r>
      <w:r w:rsidRPr="00327C05">
        <w:rPr>
          <w:rStyle w:val="FootnoteReference"/>
          <w:rFonts w:asciiTheme="majorHAnsi" w:hAnsiTheme="majorHAnsi"/>
          <w:sz w:val="20"/>
          <w:szCs w:val="20"/>
          <w:lang w:val="en"/>
        </w:rPr>
        <w:footnoteReference w:id="17"/>
      </w:r>
      <w:r w:rsidRPr="00327C05">
        <w:rPr>
          <w:rFonts w:asciiTheme="majorHAnsi" w:hAnsiTheme="majorHAnsi"/>
          <w:sz w:val="20"/>
          <w:szCs w:val="20"/>
          <w:lang w:val="en"/>
        </w:rPr>
        <w:t xml:space="preserve">  The court found:</w:t>
      </w:r>
    </w:p>
    <w:p w14:paraId="0B0AD608" w14:textId="77777777" w:rsidR="00704058" w:rsidRPr="00327C05" w:rsidRDefault="00704058" w:rsidP="0070405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rPr>
      </w:pPr>
    </w:p>
    <w:p w14:paraId="39C1AA14" w14:textId="77777777" w:rsidR="00704058" w:rsidRPr="00327C05" w:rsidRDefault="00704058" w:rsidP="00327C0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20"/>
          <w:szCs w:val="20"/>
        </w:rPr>
      </w:pPr>
      <w:r w:rsidRPr="00327C05">
        <w:rPr>
          <w:rFonts w:asciiTheme="majorHAnsi" w:eastAsia="Cambria" w:hAnsiTheme="majorHAnsi" w:cs="Cambria"/>
          <w:color w:val="000000"/>
          <w:sz w:val="20"/>
          <w:szCs w:val="20"/>
          <w:u w:color="000000"/>
          <w:lang w:val="en"/>
        </w:rPr>
        <w:t xml:space="preserve">(...) Law 22,262 does not offer treatment that could be classified in this case—and based on its circumstances—as more benevolent for the situation under investigation (...) there is no indication that the provisions of articles 1 and 2 of Law 22,262 would be substantially less harsh than those of Law 12,906, as the element of “coordination” that, according to the appellant, must be present in the case under the new law is only applicable in the case of subsection b) of Article 2, as under subsection a), the criminal conduct is possible from a single individual, with no coordination. </w:t>
      </w:r>
    </w:p>
    <w:p w14:paraId="55A68B72" w14:textId="77777777" w:rsidR="00704058" w:rsidRPr="00327C05" w:rsidRDefault="00704058" w:rsidP="002C731C">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720" w:right="720"/>
        <w:jc w:val="both"/>
        <w:rPr>
          <w:rFonts w:asciiTheme="majorHAnsi" w:hAnsiTheme="majorHAnsi"/>
          <w:sz w:val="20"/>
          <w:szCs w:val="20"/>
        </w:rPr>
      </w:pPr>
    </w:p>
    <w:p w14:paraId="71406782" w14:textId="77777777" w:rsidR="00704058" w:rsidRPr="00327C05" w:rsidRDefault="00704058" w:rsidP="00327C0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20"/>
          <w:szCs w:val="20"/>
        </w:rPr>
      </w:pPr>
      <w:r w:rsidRPr="00327C05">
        <w:rPr>
          <w:rFonts w:asciiTheme="majorHAnsi" w:hAnsiTheme="majorHAnsi"/>
          <w:sz w:val="20"/>
          <w:szCs w:val="20"/>
          <w:lang w:val="en"/>
        </w:rPr>
        <w:t xml:space="preserve">(...) it would be almost naive to believe that </w:t>
      </w:r>
      <w:proofErr w:type="spellStart"/>
      <w:r w:rsidRPr="00327C05">
        <w:rPr>
          <w:rFonts w:asciiTheme="majorHAnsi" w:hAnsiTheme="majorHAnsi"/>
          <w:sz w:val="20"/>
          <w:szCs w:val="20"/>
          <w:lang w:val="en"/>
        </w:rPr>
        <w:t>Falanga</w:t>
      </w:r>
      <w:proofErr w:type="spellEnd"/>
      <w:r w:rsidRPr="00327C05">
        <w:rPr>
          <w:rFonts w:asciiTheme="majorHAnsi" w:hAnsiTheme="majorHAnsi"/>
          <w:sz w:val="20"/>
          <w:szCs w:val="20"/>
          <w:lang w:val="en"/>
        </w:rPr>
        <w:t xml:space="preserve"> only provided technical support as part of his profession (...) and that his accounting support was intended to protect or ensure the legality of the financial manipulations carried out by the Group.</w:t>
      </w:r>
      <w:r w:rsidRPr="00327C05">
        <w:rPr>
          <w:rStyle w:val="FootnoteReference"/>
          <w:rFonts w:asciiTheme="majorHAnsi" w:hAnsiTheme="majorHAnsi"/>
          <w:sz w:val="20"/>
          <w:szCs w:val="20"/>
          <w:lang w:val="en"/>
        </w:rPr>
        <w:footnoteReference w:id="18"/>
      </w:r>
    </w:p>
    <w:p w14:paraId="7CCF04EC" w14:textId="77777777" w:rsidR="00327C05" w:rsidRPr="00327C05" w:rsidRDefault="00327C05" w:rsidP="00327C0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rPr>
      </w:pPr>
    </w:p>
    <w:p w14:paraId="55D7FF6D" w14:textId="77777777" w:rsidR="00327C05" w:rsidRDefault="00327C05">
      <w:pPr>
        <w:rPr>
          <w:rFonts w:asciiTheme="majorHAnsi" w:hAnsiTheme="majorHAnsi"/>
          <w:sz w:val="20"/>
          <w:szCs w:val="20"/>
          <w:lang w:val="en"/>
        </w:rPr>
      </w:pPr>
      <w:r>
        <w:rPr>
          <w:rFonts w:asciiTheme="majorHAnsi" w:hAnsiTheme="majorHAnsi"/>
          <w:sz w:val="20"/>
          <w:szCs w:val="20"/>
          <w:lang w:val="en"/>
        </w:rPr>
        <w:br w:type="page"/>
      </w:r>
    </w:p>
    <w:p w14:paraId="158EE0C1" w14:textId="7B4309B3"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Regarding the punishments, it stated that:</w:t>
      </w:r>
    </w:p>
    <w:p w14:paraId="2550F89F" w14:textId="77777777" w:rsidR="00704058" w:rsidRPr="00327C05" w:rsidRDefault="00704058" w:rsidP="0070405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rPr>
      </w:pPr>
    </w:p>
    <w:p w14:paraId="2E5EC18E" w14:textId="77777777" w:rsidR="00704058" w:rsidRPr="00327C05" w:rsidRDefault="00704058" w:rsidP="00327C0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20"/>
          <w:szCs w:val="20"/>
        </w:rPr>
      </w:pPr>
      <w:r w:rsidRPr="00327C05">
        <w:rPr>
          <w:rFonts w:asciiTheme="majorHAnsi" w:hAnsiTheme="majorHAnsi"/>
          <w:sz w:val="20"/>
          <w:szCs w:val="20"/>
          <w:lang w:val="en"/>
        </w:rPr>
        <w:t xml:space="preserve">(...) based on an overall assessment of the case, not only should the prosecutor’s pleadings be dismissed, but the sentence issued to both co-defendants should be reduced. (...) with regard to Mr. </w:t>
      </w:r>
      <w:proofErr w:type="spellStart"/>
      <w:r w:rsidRPr="00327C05">
        <w:rPr>
          <w:rFonts w:asciiTheme="majorHAnsi" w:hAnsiTheme="majorHAnsi"/>
          <w:sz w:val="20"/>
          <w:szCs w:val="20"/>
          <w:lang w:val="en"/>
        </w:rPr>
        <w:t>Falanga</w:t>
      </w:r>
      <w:proofErr w:type="spellEnd"/>
      <w:r w:rsidRPr="00327C05">
        <w:rPr>
          <w:rFonts w:asciiTheme="majorHAnsi" w:hAnsiTheme="majorHAnsi"/>
          <w:sz w:val="20"/>
          <w:szCs w:val="20"/>
          <w:lang w:val="en"/>
        </w:rPr>
        <w:t xml:space="preserve">, I conclude it would be just to reduce his sentence to one year and six months in prison, suspended (Article 26, Penal Code). Although Mr. </w:t>
      </w:r>
      <w:proofErr w:type="spellStart"/>
      <w:r w:rsidRPr="00327C05">
        <w:rPr>
          <w:rFonts w:asciiTheme="majorHAnsi" w:hAnsiTheme="majorHAnsi"/>
          <w:sz w:val="20"/>
          <w:szCs w:val="20"/>
          <w:lang w:val="en"/>
        </w:rPr>
        <w:t>Falanga</w:t>
      </w:r>
      <w:proofErr w:type="spellEnd"/>
      <w:r w:rsidRPr="00327C05">
        <w:rPr>
          <w:rFonts w:asciiTheme="majorHAnsi" w:hAnsiTheme="majorHAnsi"/>
          <w:sz w:val="20"/>
          <w:szCs w:val="20"/>
          <w:lang w:val="en"/>
        </w:rPr>
        <w:t xml:space="preserve"> acted and collaborated on the execution and planning of the manipulation carried out, he did not have ownership of the capital in question, nor can he be described as the mastermind or fundamental actor behind the Group’s economic impacts.</w:t>
      </w:r>
      <w:r w:rsidRPr="00327C05">
        <w:rPr>
          <w:rStyle w:val="FootnoteReference"/>
          <w:rFonts w:asciiTheme="majorHAnsi" w:hAnsiTheme="majorHAnsi"/>
          <w:sz w:val="20"/>
          <w:szCs w:val="20"/>
          <w:lang w:val="en"/>
        </w:rPr>
        <w:footnoteReference w:id="19"/>
      </w:r>
    </w:p>
    <w:p w14:paraId="04343D9B" w14:textId="77777777" w:rsidR="00704058" w:rsidRPr="00327C05" w:rsidRDefault="00704058" w:rsidP="0070405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rPr>
      </w:pPr>
    </w:p>
    <w:p w14:paraId="632C0EB1" w14:textId="77777777" w:rsidR="00704058" w:rsidRPr="00327C05" w:rsidRDefault="00704058" w:rsidP="00404500">
      <w:pPr>
        <w:pStyle w:val="Heading2"/>
        <w:keepLines w:val="0"/>
        <w:numPr>
          <w:ilvl w:val="1"/>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0"/>
        <w:ind w:left="540" w:hanging="540"/>
        <w:rPr>
          <w:color w:val="auto"/>
          <w:sz w:val="20"/>
          <w:szCs w:val="20"/>
          <w:lang w:val="en"/>
        </w:rPr>
      </w:pPr>
      <w:bookmarkStart w:id="27" w:name="_Toc6206756"/>
      <w:bookmarkStart w:id="28" w:name="_Toc5369472"/>
      <w:bookmarkStart w:id="29" w:name="_Toc99959792"/>
      <w:r w:rsidRPr="00327C05">
        <w:rPr>
          <w:color w:val="auto"/>
          <w:sz w:val="20"/>
          <w:szCs w:val="20"/>
          <w:lang w:val="en"/>
        </w:rPr>
        <w:t>Criminal process for the crime of economic subversion</w:t>
      </w:r>
      <w:bookmarkEnd w:id="27"/>
      <w:bookmarkEnd w:id="28"/>
      <w:bookmarkEnd w:id="29"/>
    </w:p>
    <w:p w14:paraId="2C3C7CA9" w14:textId="77777777" w:rsidR="00704058" w:rsidRPr="00327C05" w:rsidRDefault="00704058" w:rsidP="00704058">
      <w:pPr>
        <w:rPr>
          <w:rFonts w:asciiTheme="majorHAnsi" w:hAnsiTheme="majorHAnsi"/>
        </w:rPr>
      </w:pPr>
    </w:p>
    <w:p w14:paraId="27872980"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 xml:space="preserve">In April 1980, on charges filed by the Prosecutor of the Federal Appeals Chamber of Mendoza, an investigation was launched into the members of the Greco Business Group for the commission of the crime of economic subversion, and all the members of its leadership were ordered arrested, including Mr. </w:t>
      </w:r>
      <w:proofErr w:type="spellStart"/>
      <w:r w:rsidRPr="00327C05">
        <w:rPr>
          <w:rFonts w:asciiTheme="majorHAnsi" w:hAnsiTheme="majorHAnsi"/>
          <w:sz w:val="20"/>
          <w:szCs w:val="20"/>
          <w:lang w:val="en"/>
        </w:rPr>
        <w:t>Ángel</w:t>
      </w:r>
      <w:proofErr w:type="spellEnd"/>
      <w:r w:rsidRPr="00327C05">
        <w:rPr>
          <w:rFonts w:asciiTheme="majorHAnsi" w:hAnsiTheme="majorHAnsi"/>
          <w:sz w:val="20"/>
          <w:szCs w:val="20"/>
          <w:lang w:val="en"/>
        </w:rPr>
        <w:t xml:space="preserve"> Pedro </w:t>
      </w:r>
      <w:proofErr w:type="spellStart"/>
      <w:r w:rsidRPr="00327C05">
        <w:rPr>
          <w:rFonts w:asciiTheme="majorHAnsi" w:hAnsiTheme="majorHAnsi"/>
          <w:sz w:val="20"/>
          <w:szCs w:val="20"/>
          <w:lang w:val="en"/>
        </w:rPr>
        <w:t>Falanga</w:t>
      </w:r>
      <w:proofErr w:type="spellEnd"/>
      <w:r w:rsidRPr="00327C05">
        <w:rPr>
          <w:rFonts w:asciiTheme="majorHAnsi" w:hAnsiTheme="majorHAnsi"/>
          <w:sz w:val="20"/>
          <w:szCs w:val="20"/>
          <w:lang w:val="en"/>
        </w:rPr>
        <w:t>.</w:t>
      </w:r>
      <w:r w:rsidRPr="00327C05">
        <w:rPr>
          <w:rStyle w:val="FootnoteReference"/>
          <w:rFonts w:asciiTheme="majorHAnsi" w:hAnsiTheme="majorHAnsi"/>
          <w:sz w:val="20"/>
          <w:szCs w:val="20"/>
          <w:lang w:val="en"/>
        </w:rPr>
        <w:footnoteReference w:id="20"/>
      </w:r>
    </w:p>
    <w:p w14:paraId="074FDFA2" w14:textId="77777777" w:rsidR="00704058" w:rsidRPr="00327C05" w:rsidRDefault="00704058" w:rsidP="00704058">
      <w:pPr>
        <w:pStyle w:val="ListParagraph"/>
        <w:rPr>
          <w:rFonts w:asciiTheme="majorHAnsi" w:hAnsiTheme="majorHAnsi"/>
          <w:sz w:val="20"/>
          <w:szCs w:val="20"/>
        </w:rPr>
      </w:pPr>
    </w:p>
    <w:p w14:paraId="1E42EBF2"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 xml:space="preserve">On February 17, 1997, the Federal Trial Court convicted Mr. </w:t>
      </w:r>
      <w:proofErr w:type="spellStart"/>
      <w:r w:rsidRPr="00327C05">
        <w:rPr>
          <w:rFonts w:asciiTheme="majorHAnsi" w:hAnsiTheme="majorHAnsi"/>
          <w:sz w:val="20"/>
          <w:szCs w:val="20"/>
          <w:lang w:val="en"/>
        </w:rPr>
        <w:t>Falanga</w:t>
      </w:r>
      <w:proofErr w:type="spellEnd"/>
      <w:r w:rsidRPr="00327C05">
        <w:rPr>
          <w:rFonts w:asciiTheme="majorHAnsi" w:hAnsiTheme="majorHAnsi"/>
          <w:sz w:val="20"/>
          <w:szCs w:val="20"/>
          <w:lang w:val="en"/>
        </w:rPr>
        <w:t xml:space="preserve"> of the crime of economic subversion codified in Article 6 of Law 20,840 and sentenced him to three years in prison (suspended), a ban on engaging in commerce, and a fine.</w:t>
      </w:r>
      <w:r w:rsidRPr="00327C05">
        <w:rPr>
          <w:rStyle w:val="FootnoteReference"/>
          <w:rFonts w:asciiTheme="majorHAnsi" w:hAnsiTheme="majorHAnsi"/>
          <w:sz w:val="20"/>
          <w:szCs w:val="20"/>
          <w:lang w:val="en"/>
        </w:rPr>
        <w:footnoteReference w:id="21"/>
      </w:r>
      <w:r w:rsidRPr="00327C05">
        <w:rPr>
          <w:rFonts w:asciiTheme="majorHAnsi" w:hAnsiTheme="majorHAnsi"/>
          <w:sz w:val="20"/>
          <w:szCs w:val="20"/>
          <w:lang w:val="en"/>
        </w:rPr>
        <w:t xml:space="preserve"> This decision was appealed by the parties. </w:t>
      </w:r>
    </w:p>
    <w:p w14:paraId="08626F32" w14:textId="77777777" w:rsidR="00704058" w:rsidRPr="00327C05" w:rsidRDefault="00704058" w:rsidP="00704058">
      <w:pPr>
        <w:jc w:val="both"/>
        <w:rPr>
          <w:rFonts w:asciiTheme="majorHAnsi" w:hAnsiTheme="majorHAnsi"/>
          <w:b/>
          <w:sz w:val="20"/>
          <w:szCs w:val="20"/>
        </w:rPr>
      </w:pPr>
    </w:p>
    <w:p w14:paraId="43508131"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On March 17, 1999, the members of Court B of the Federal Appeals Chamber of Mendoza upheld the conviction of the alleged victim for the crime of economic subversion, but amended and joined the sentence with the sentence from the conviction for the crime of monopoly, handing down a combined sentence of four years and six months in prison, a five-year ban on commercial activity, and the payment of a fine.</w:t>
      </w:r>
      <w:r w:rsidRPr="00327C05">
        <w:rPr>
          <w:rStyle w:val="FootnoteReference"/>
          <w:rFonts w:asciiTheme="majorHAnsi" w:hAnsiTheme="majorHAnsi"/>
          <w:sz w:val="20"/>
          <w:szCs w:val="20"/>
          <w:lang w:val="en"/>
        </w:rPr>
        <w:footnoteReference w:id="22"/>
      </w:r>
      <w:r w:rsidRPr="00327C05">
        <w:rPr>
          <w:rFonts w:asciiTheme="majorHAnsi" w:hAnsiTheme="majorHAnsi"/>
          <w:sz w:val="20"/>
          <w:szCs w:val="20"/>
          <w:lang w:val="en"/>
        </w:rPr>
        <w:t xml:space="preserve"> The decision ruled to “end the conditional release granted to </w:t>
      </w:r>
      <w:proofErr w:type="spellStart"/>
      <w:r w:rsidRPr="00327C05">
        <w:rPr>
          <w:rFonts w:asciiTheme="majorHAnsi" w:hAnsiTheme="majorHAnsi"/>
          <w:sz w:val="20"/>
          <w:szCs w:val="20"/>
          <w:lang w:val="en"/>
        </w:rPr>
        <w:t>Ángel</w:t>
      </w:r>
      <w:proofErr w:type="spellEnd"/>
      <w:r w:rsidRPr="00327C05">
        <w:rPr>
          <w:rFonts w:asciiTheme="majorHAnsi" w:hAnsiTheme="majorHAnsi"/>
          <w:sz w:val="20"/>
          <w:szCs w:val="20"/>
          <w:lang w:val="en"/>
        </w:rPr>
        <w:t xml:space="preserve"> Pedro </w:t>
      </w:r>
      <w:proofErr w:type="spellStart"/>
      <w:r w:rsidRPr="00327C05">
        <w:rPr>
          <w:rFonts w:asciiTheme="majorHAnsi" w:hAnsiTheme="majorHAnsi"/>
          <w:sz w:val="20"/>
          <w:szCs w:val="20"/>
          <w:lang w:val="en"/>
        </w:rPr>
        <w:t>Falanga</w:t>
      </w:r>
      <w:proofErr w:type="spellEnd"/>
      <w:r w:rsidRPr="00327C05">
        <w:rPr>
          <w:rFonts w:asciiTheme="majorHAnsi" w:hAnsiTheme="majorHAnsi"/>
          <w:sz w:val="20"/>
          <w:szCs w:val="20"/>
          <w:lang w:val="en"/>
        </w:rPr>
        <w:t xml:space="preserve"> (…) and order his immediate detention."</w:t>
      </w:r>
      <w:r w:rsidRPr="00327C05">
        <w:rPr>
          <w:rStyle w:val="FootnoteReference"/>
          <w:rFonts w:asciiTheme="majorHAnsi" w:hAnsiTheme="majorHAnsi"/>
          <w:sz w:val="20"/>
          <w:szCs w:val="20"/>
          <w:lang w:val="en"/>
        </w:rPr>
        <w:footnoteReference w:id="23"/>
      </w:r>
      <w:r w:rsidRPr="00327C05">
        <w:rPr>
          <w:rFonts w:asciiTheme="majorHAnsi" w:hAnsiTheme="majorHAnsi"/>
          <w:sz w:val="20"/>
          <w:szCs w:val="20"/>
          <w:lang w:val="en"/>
        </w:rPr>
        <w:t xml:space="preserve"> </w:t>
      </w:r>
    </w:p>
    <w:p w14:paraId="02791F34" w14:textId="77777777" w:rsidR="00704058" w:rsidRPr="00327C05" w:rsidRDefault="00704058" w:rsidP="00704058">
      <w:pPr>
        <w:pStyle w:val="ListParagraph"/>
        <w:rPr>
          <w:rFonts w:asciiTheme="majorHAnsi" w:hAnsiTheme="majorHAnsi"/>
          <w:sz w:val="20"/>
          <w:szCs w:val="20"/>
        </w:rPr>
      </w:pPr>
    </w:p>
    <w:p w14:paraId="7BAEBEAA"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This decision was appealed by the alleged victim.  Finally, on February 20, 2001, the Supreme Court of Justice of the Nation denied the extraordinary remedy requested, making the decision described in the above paragraph final.  In its decision, the Supreme Court found that "the extraordinary remedies granted (pages 6984/6989) are not admissible (Article 280 of the Civil and Commercial Procedural Code of the Nation). Therefore, the extraordinary resources requested are denied. Let it be known and returned to the requesters.”</w:t>
      </w:r>
      <w:r w:rsidRPr="00327C05">
        <w:rPr>
          <w:rStyle w:val="FootnoteReference"/>
          <w:rFonts w:asciiTheme="majorHAnsi" w:hAnsiTheme="majorHAnsi"/>
          <w:sz w:val="20"/>
          <w:szCs w:val="20"/>
          <w:lang w:val="en"/>
        </w:rPr>
        <w:footnoteReference w:id="24"/>
      </w:r>
    </w:p>
    <w:p w14:paraId="79D5897A" w14:textId="77777777" w:rsidR="00704058" w:rsidRPr="00327C05" w:rsidRDefault="00704058" w:rsidP="0070405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rPr>
      </w:pPr>
      <w:r w:rsidRPr="00327C05">
        <w:rPr>
          <w:rFonts w:asciiTheme="majorHAnsi" w:hAnsiTheme="majorHAnsi"/>
          <w:sz w:val="20"/>
          <w:szCs w:val="20"/>
          <w:lang w:val="en"/>
        </w:rPr>
        <w:t xml:space="preserve"> </w:t>
      </w:r>
    </w:p>
    <w:p w14:paraId="1007F88C" w14:textId="77777777" w:rsidR="00704058" w:rsidRPr="00327C05" w:rsidRDefault="00704058" w:rsidP="00404500">
      <w:pPr>
        <w:pStyle w:val="Heading2"/>
        <w:keepLines w:val="0"/>
        <w:numPr>
          <w:ilvl w:val="1"/>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0"/>
        <w:ind w:left="540" w:hanging="540"/>
        <w:rPr>
          <w:color w:val="auto"/>
          <w:sz w:val="20"/>
          <w:szCs w:val="20"/>
          <w:lang w:val="en"/>
        </w:rPr>
      </w:pPr>
      <w:bookmarkStart w:id="30" w:name="_Toc6206757"/>
      <w:bookmarkStart w:id="31" w:name="_Toc5369473"/>
      <w:bookmarkStart w:id="32" w:name="_Toc99959793"/>
      <w:r w:rsidRPr="00327C05">
        <w:rPr>
          <w:color w:val="auto"/>
          <w:sz w:val="20"/>
          <w:szCs w:val="20"/>
          <w:lang w:val="en"/>
        </w:rPr>
        <w:t>Writ of habeas corpus</w:t>
      </w:r>
      <w:bookmarkEnd w:id="30"/>
      <w:bookmarkEnd w:id="31"/>
      <w:bookmarkEnd w:id="32"/>
    </w:p>
    <w:p w14:paraId="1CD6C3A4" w14:textId="77777777" w:rsidR="00704058" w:rsidRPr="00327C05" w:rsidRDefault="00704058" w:rsidP="0070405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rPr>
      </w:pPr>
    </w:p>
    <w:p w14:paraId="761C2791"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 xml:space="preserve">On March 27, 2001, the alleged victim filed for a writ of </w:t>
      </w:r>
      <w:r w:rsidRPr="00327C05">
        <w:rPr>
          <w:rFonts w:asciiTheme="majorHAnsi" w:hAnsiTheme="majorHAnsi"/>
          <w:i/>
          <w:iCs/>
          <w:sz w:val="20"/>
          <w:szCs w:val="20"/>
          <w:lang w:val="en"/>
        </w:rPr>
        <w:t xml:space="preserve">habeas corpus </w:t>
      </w:r>
      <w:r w:rsidRPr="00327C05">
        <w:rPr>
          <w:rFonts w:asciiTheme="majorHAnsi" w:hAnsiTheme="majorHAnsi"/>
          <w:sz w:val="20"/>
          <w:szCs w:val="20"/>
          <w:lang w:val="en"/>
        </w:rPr>
        <w:t>"asking that future decisions ordering the execution of the judgment to deprive me of my personal liberty be declared unconstitutional." In this regard, he argued that "despite the amount of time that has passed, the jail time I have served, and other harms, as well as not having been able to have my property restored to me, my situation remains uncertain, as after a process lasting 21 years, the courts seek to execute a sentence against me in flagrant violation of the guarantees protected by the Constitution and by the international treaties in force.”</w:t>
      </w:r>
      <w:r w:rsidRPr="00327C05">
        <w:rPr>
          <w:rStyle w:val="FootnoteReference"/>
          <w:rFonts w:asciiTheme="majorHAnsi" w:hAnsiTheme="majorHAnsi"/>
          <w:sz w:val="20"/>
          <w:szCs w:val="20"/>
          <w:lang w:val="en"/>
        </w:rPr>
        <w:footnoteReference w:id="25"/>
      </w:r>
      <w:r w:rsidRPr="00327C05">
        <w:rPr>
          <w:rFonts w:asciiTheme="majorHAnsi" w:hAnsiTheme="majorHAnsi"/>
          <w:sz w:val="20"/>
          <w:szCs w:val="20"/>
          <w:lang w:val="en"/>
        </w:rPr>
        <w:t xml:space="preserve"> </w:t>
      </w:r>
    </w:p>
    <w:p w14:paraId="3126E056" w14:textId="77777777" w:rsidR="00704058" w:rsidRPr="00327C05" w:rsidRDefault="00704058" w:rsidP="0070405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rPr>
      </w:pPr>
    </w:p>
    <w:p w14:paraId="3B79040E"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 xml:space="preserve">On April 24, 2001, the Federal Judge in charge of the case admitted the writ of </w:t>
      </w:r>
      <w:r w:rsidRPr="00327C05">
        <w:rPr>
          <w:rFonts w:asciiTheme="majorHAnsi" w:hAnsiTheme="majorHAnsi"/>
          <w:i/>
          <w:iCs/>
          <w:sz w:val="20"/>
          <w:szCs w:val="20"/>
          <w:lang w:val="en"/>
        </w:rPr>
        <w:t xml:space="preserve">habeas corpus </w:t>
      </w:r>
      <w:r w:rsidRPr="00327C05">
        <w:rPr>
          <w:rFonts w:asciiTheme="majorHAnsi" w:hAnsiTheme="majorHAnsi"/>
          <w:sz w:val="20"/>
          <w:szCs w:val="20"/>
          <w:lang w:val="en"/>
        </w:rPr>
        <w:t xml:space="preserve">and found that effective compliance by the alleged victim with the sentence was unconstitutional, and thereby ordered the Acting Judge of the First Federal Court of Mendoza in case 40.07-B to suspend execution of Mr. </w:t>
      </w:r>
      <w:proofErr w:type="spellStart"/>
      <w:r w:rsidRPr="00327C05">
        <w:rPr>
          <w:rFonts w:asciiTheme="majorHAnsi" w:hAnsiTheme="majorHAnsi"/>
          <w:sz w:val="20"/>
          <w:szCs w:val="20"/>
          <w:lang w:val="en"/>
        </w:rPr>
        <w:t>Falanga’s</w:t>
      </w:r>
      <w:proofErr w:type="spellEnd"/>
      <w:r w:rsidRPr="00327C05">
        <w:rPr>
          <w:rFonts w:asciiTheme="majorHAnsi" w:hAnsiTheme="majorHAnsi"/>
          <w:sz w:val="20"/>
          <w:szCs w:val="20"/>
          <w:lang w:val="en"/>
        </w:rPr>
        <w:t xml:space="preserve"> sentence.  The Judge reasoned that:</w:t>
      </w:r>
    </w:p>
    <w:p w14:paraId="2C9D6B7F" w14:textId="77777777" w:rsidR="00704058" w:rsidRPr="00327C05" w:rsidRDefault="00704058" w:rsidP="00704058">
      <w:pPr>
        <w:rPr>
          <w:rFonts w:asciiTheme="majorHAnsi" w:hAnsiTheme="majorHAnsi"/>
          <w:sz w:val="20"/>
          <w:szCs w:val="20"/>
        </w:rPr>
      </w:pPr>
    </w:p>
    <w:p w14:paraId="2E31BBE2" w14:textId="77777777" w:rsidR="00704058" w:rsidRPr="00327C05" w:rsidRDefault="00704058" w:rsidP="00327C05">
      <w:pPr>
        <w:ind w:left="360" w:right="360"/>
        <w:jc w:val="both"/>
        <w:rPr>
          <w:rFonts w:asciiTheme="majorHAnsi" w:hAnsiTheme="majorHAnsi"/>
          <w:sz w:val="20"/>
          <w:szCs w:val="20"/>
        </w:rPr>
      </w:pPr>
      <w:r w:rsidRPr="00327C05">
        <w:rPr>
          <w:rFonts w:asciiTheme="majorHAnsi" w:hAnsiTheme="majorHAnsi"/>
          <w:sz w:val="20"/>
          <w:szCs w:val="20"/>
          <w:lang w:val="en"/>
        </w:rPr>
        <w:t xml:space="preserve">(...) I have a deep personal conviction—and objective information indicates—that </w:t>
      </w:r>
      <w:proofErr w:type="spellStart"/>
      <w:r w:rsidRPr="00327C05">
        <w:rPr>
          <w:rFonts w:asciiTheme="majorHAnsi" w:hAnsiTheme="majorHAnsi"/>
          <w:sz w:val="20"/>
          <w:szCs w:val="20"/>
          <w:lang w:val="en"/>
        </w:rPr>
        <w:t>Falanga</w:t>
      </w:r>
      <w:proofErr w:type="spellEnd"/>
      <w:r w:rsidRPr="00327C05">
        <w:rPr>
          <w:rFonts w:asciiTheme="majorHAnsi" w:hAnsiTheme="majorHAnsi"/>
          <w:sz w:val="20"/>
          <w:szCs w:val="20"/>
          <w:lang w:val="en"/>
        </w:rPr>
        <w:t xml:space="preserve"> is an individual who has reintegrated himself into society. In this situation, imprisoning him in the penitentiary makes no sense; in fact, I have no doubt that it would be counterproductive. </w:t>
      </w:r>
    </w:p>
    <w:p w14:paraId="45019149" w14:textId="77777777" w:rsidR="00704058" w:rsidRPr="00327C05" w:rsidRDefault="00704058" w:rsidP="00327C05">
      <w:pPr>
        <w:ind w:left="360" w:right="360"/>
        <w:jc w:val="both"/>
        <w:rPr>
          <w:rFonts w:asciiTheme="majorHAnsi" w:hAnsiTheme="majorHAnsi"/>
          <w:sz w:val="20"/>
          <w:szCs w:val="20"/>
        </w:rPr>
      </w:pPr>
    </w:p>
    <w:p w14:paraId="682F8298" w14:textId="77777777" w:rsidR="00704058" w:rsidRPr="00327C05" w:rsidRDefault="00704058" w:rsidP="00327C05">
      <w:pPr>
        <w:ind w:left="360" w:right="360"/>
        <w:jc w:val="both"/>
        <w:rPr>
          <w:rFonts w:asciiTheme="majorHAnsi" w:hAnsiTheme="majorHAnsi"/>
          <w:sz w:val="20"/>
          <w:szCs w:val="20"/>
        </w:rPr>
      </w:pPr>
      <w:r w:rsidRPr="00327C05">
        <w:rPr>
          <w:rFonts w:asciiTheme="majorHAnsi" w:hAnsiTheme="majorHAnsi"/>
          <w:sz w:val="20"/>
          <w:szCs w:val="20"/>
          <w:lang w:val="en"/>
        </w:rPr>
        <w:t xml:space="preserve">(...) The extensive period during which this process has lasted (more than 20 years) is the direct cause for which the order to execute the sentence is baseless. It is precisely the passage of the years that has made the general and specific prevention measures effective.  </w:t>
      </w:r>
    </w:p>
    <w:p w14:paraId="01B202B3" w14:textId="77777777" w:rsidR="00704058" w:rsidRPr="00327C05" w:rsidRDefault="00704058" w:rsidP="00327C05">
      <w:pPr>
        <w:ind w:left="360" w:right="360"/>
        <w:jc w:val="both"/>
        <w:rPr>
          <w:rFonts w:asciiTheme="majorHAnsi" w:hAnsiTheme="majorHAnsi"/>
          <w:sz w:val="20"/>
          <w:szCs w:val="20"/>
        </w:rPr>
      </w:pPr>
    </w:p>
    <w:p w14:paraId="251E3BB6" w14:textId="6AB3145E" w:rsidR="00704058" w:rsidRPr="00327C05" w:rsidRDefault="00704058" w:rsidP="00327C05">
      <w:pPr>
        <w:ind w:left="360" w:right="360"/>
        <w:jc w:val="both"/>
        <w:rPr>
          <w:rFonts w:asciiTheme="majorHAnsi" w:hAnsiTheme="majorHAnsi"/>
          <w:sz w:val="20"/>
          <w:szCs w:val="20"/>
        </w:rPr>
      </w:pPr>
      <w:r w:rsidRPr="00327C05">
        <w:rPr>
          <w:rFonts w:asciiTheme="majorHAnsi" w:hAnsiTheme="majorHAnsi"/>
          <w:sz w:val="20"/>
          <w:szCs w:val="20"/>
          <w:lang w:val="en"/>
        </w:rPr>
        <w:t xml:space="preserve">Based on the foregoing, I conclude that, in compliance with the final judgment in case file 40107-B, pages 6770/6806, the detention of </w:t>
      </w:r>
      <w:proofErr w:type="spellStart"/>
      <w:r w:rsidRPr="00327C05">
        <w:rPr>
          <w:rFonts w:asciiTheme="majorHAnsi" w:hAnsiTheme="majorHAnsi"/>
          <w:sz w:val="20"/>
          <w:szCs w:val="20"/>
          <w:lang w:val="en"/>
        </w:rPr>
        <w:t>Ángel</w:t>
      </w:r>
      <w:proofErr w:type="spellEnd"/>
      <w:r w:rsidRPr="00327C05">
        <w:rPr>
          <w:rFonts w:asciiTheme="majorHAnsi" w:hAnsiTheme="majorHAnsi"/>
          <w:sz w:val="20"/>
          <w:szCs w:val="20"/>
          <w:lang w:val="en"/>
        </w:rPr>
        <w:t xml:space="preserve"> Pedro </w:t>
      </w:r>
      <w:proofErr w:type="spellStart"/>
      <w:r w:rsidRPr="00327C05">
        <w:rPr>
          <w:rFonts w:asciiTheme="majorHAnsi" w:hAnsiTheme="majorHAnsi"/>
          <w:sz w:val="20"/>
          <w:szCs w:val="20"/>
          <w:lang w:val="en"/>
        </w:rPr>
        <w:t>Falanga</w:t>
      </w:r>
      <w:proofErr w:type="spellEnd"/>
      <w:r w:rsidRPr="00327C05">
        <w:rPr>
          <w:rFonts w:asciiTheme="majorHAnsi" w:hAnsiTheme="majorHAnsi"/>
          <w:sz w:val="20"/>
          <w:szCs w:val="20"/>
          <w:lang w:val="en"/>
        </w:rPr>
        <w:t xml:space="preserve"> is baseless as it fails to comply with the special and general aims of the punishment, which are considered to be its essence. (...)</w:t>
      </w:r>
      <w:r w:rsidR="005D6EE5" w:rsidRPr="00327C05">
        <w:rPr>
          <w:rFonts w:asciiTheme="majorHAnsi" w:hAnsiTheme="majorHAnsi"/>
          <w:sz w:val="20"/>
          <w:szCs w:val="20"/>
          <w:lang w:val="en"/>
        </w:rPr>
        <w:t>.</w:t>
      </w:r>
      <w:r w:rsidRPr="00327C05">
        <w:rPr>
          <w:rStyle w:val="FootnoteReference"/>
          <w:rFonts w:asciiTheme="majorHAnsi" w:hAnsiTheme="majorHAnsi"/>
          <w:sz w:val="20"/>
          <w:szCs w:val="20"/>
          <w:lang w:val="en"/>
        </w:rPr>
        <w:footnoteReference w:id="26"/>
      </w:r>
      <w:r w:rsidRPr="00327C05">
        <w:rPr>
          <w:rFonts w:asciiTheme="majorHAnsi" w:hAnsiTheme="majorHAnsi"/>
          <w:sz w:val="20"/>
          <w:szCs w:val="20"/>
          <w:lang w:val="en"/>
        </w:rPr>
        <w:t xml:space="preserve"> </w:t>
      </w:r>
    </w:p>
    <w:p w14:paraId="13E56ED1" w14:textId="77777777" w:rsidR="00704058" w:rsidRPr="00327C05" w:rsidRDefault="00704058" w:rsidP="0070405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rPr>
      </w:pPr>
    </w:p>
    <w:p w14:paraId="63D90D28"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 xml:space="preserve">On April 25, 2001, the Office of the Public Prosecutor of the Nation appealed the decision, arguing that “under no circumstance can a lower court judge review, via a writ of </w:t>
      </w:r>
      <w:r w:rsidRPr="00327C05">
        <w:rPr>
          <w:rFonts w:asciiTheme="majorHAnsi" w:hAnsiTheme="majorHAnsi"/>
          <w:i/>
          <w:iCs/>
          <w:sz w:val="20"/>
          <w:szCs w:val="20"/>
          <w:lang w:val="en"/>
        </w:rPr>
        <w:t>habeas corpus</w:t>
      </w:r>
      <w:r w:rsidRPr="00327C05">
        <w:rPr>
          <w:rFonts w:asciiTheme="majorHAnsi" w:hAnsiTheme="majorHAnsi"/>
          <w:sz w:val="20"/>
          <w:szCs w:val="20"/>
          <w:lang w:val="en"/>
        </w:rPr>
        <w:t>, the execution of a final judgment with the status of Res Judicata, and thus the remedy sought must be dismissed.”</w:t>
      </w:r>
      <w:r w:rsidRPr="00327C05">
        <w:rPr>
          <w:rStyle w:val="FootnoteReference"/>
          <w:rFonts w:asciiTheme="majorHAnsi" w:hAnsiTheme="majorHAnsi"/>
          <w:sz w:val="20"/>
          <w:szCs w:val="20"/>
          <w:lang w:val="en"/>
        </w:rPr>
        <w:footnoteReference w:id="27"/>
      </w:r>
      <w:r w:rsidRPr="00327C05">
        <w:rPr>
          <w:rFonts w:asciiTheme="majorHAnsi" w:hAnsiTheme="majorHAnsi"/>
          <w:sz w:val="20"/>
          <w:szCs w:val="20"/>
          <w:lang w:val="en"/>
        </w:rPr>
        <w:t xml:space="preserve">  Based on this, the legal process was forwarded to the Federal Appeals Chamber of Mendoza.</w:t>
      </w:r>
      <w:r w:rsidRPr="00327C05">
        <w:rPr>
          <w:rStyle w:val="FootnoteReference"/>
          <w:rFonts w:asciiTheme="majorHAnsi" w:hAnsiTheme="majorHAnsi"/>
          <w:sz w:val="20"/>
          <w:szCs w:val="20"/>
          <w:lang w:val="en"/>
        </w:rPr>
        <w:footnoteReference w:id="28"/>
      </w:r>
      <w:r w:rsidRPr="00327C05">
        <w:rPr>
          <w:rFonts w:asciiTheme="majorHAnsi" w:hAnsiTheme="majorHAnsi"/>
          <w:sz w:val="20"/>
          <w:szCs w:val="20"/>
          <w:lang w:val="en"/>
        </w:rPr>
        <w:t xml:space="preserve"> </w:t>
      </w:r>
    </w:p>
    <w:p w14:paraId="18DAB171" w14:textId="77777777" w:rsidR="00704058" w:rsidRPr="00327C05" w:rsidRDefault="00704058" w:rsidP="0070405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rPr>
      </w:pPr>
    </w:p>
    <w:p w14:paraId="18D603D6"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 xml:space="preserve">The Federal Appeals Chamber of Mendoza upheld the decision to admit the writ of </w:t>
      </w:r>
      <w:r w:rsidRPr="00327C05">
        <w:rPr>
          <w:rFonts w:asciiTheme="majorHAnsi" w:hAnsiTheme="majorHAnsi"/>
          <w:i/>
          <w:iCs/>
          <w:sz w:val="20"/>
          <w:szCs w:val="20"/>
          <w:lang w:val="en"/>
        </w:rPr>
        <w:t>habeas corpus</w:t>
      </w:r>
      <w:r w:rsidRPr="00327C05">
        <w:rPr>
          <w:rFonts w:asciiTheme="majorHAnsi" w:hAnsiTheme="majorHAnsi"/>
          <w:sz w:val="20"/>
          <w:szCs w:val="20"/>
          <w:lang w:val="en"/>
        </w:rPr>
        <w:t>, so on September 11, 2002, the Office of the Public Prosecutor filed for an extraordinary remedy. In the filing, it indicated that “the sentence under review fails to include a substantial examination of the rights invoked in a timely fashion by this office and does not reach a well-founded conclusion supported by current law. Rather, on the contrary, it departs from constitutional and legal precedent to reach a solution based only on the opinion of the judges that, as demonstrated, includes extremely grave omissions and errors.”</w:t>
      </w:r>
      <w:r w:rsidRPr="00327C05">
        <w:rPr>
          <w:rStyle w:val="FootnoteReference"/>
          <w:rFonts w:asciiTheme="majorHAnsi" w:hAnsiTheme="majorHAnsi"/>
          <w:sz w:val="20"/>
          <w:szCs w:val="20"/>
          <w:lang w:val="en"/>
        </w:rPr>
        <w:footnoteReference w:id="29"/>
      </w:r>
      <w:r w:rsidRPr="00327C05">
        <w:rPr>
          <w:rFonts w:asciiTheme="majorHAnsi" w:hAnsiTheme="majorHAnsi"/>
          <w:sz w:val="20"/>
          <w:szCs w:val="20"/>
          <w:lang w:val="en"/>
        </w:rPr>
        <w:t xml:space="preserve"> According to the State, this remedy was rejected by the Supreme Court of Justice of the Nation on September 5, 2006.</w:t>
      </w:r>
    </w:p>
    <w:p w14:paraId="5CE7613D" w14:textId="45116652" w:rsidR="00704058" w:rsidRPr="00327C05" w:rsidRDefault="00704058" w:rsidP="00704058">
      <w:pPr>
        <w:rPr>
          <w:rFonts w:asciiTheme="majorHAnsi" w:eastAsia="Times New Roman" w:hAnsiTheme="majorHAnsi" w:cs="Arial"/>
          <w:b/>
          <w:bCs/>
          <w:iCs/>
          <w:sz w:val="20"/>
          <w:szCs w:val="18"/>
          <w:bdr w:val="none" w:sz="0" w:space="0" w:color="auto"/>
        </w:rPr>
      </w:pPr>
      <w:bookmarkStart w:id="33" w:name="_Toc5369474"/>
    </w:p>
    <w:p w14:paraId="338A4830" w14:textId="77777777" w:rsidR="00704058" w:rsidRPr="00327C05" w:rsidRDefault="00704058" w:rsidP="00404500">
      <w:pPr>
        <w:pStyle w:val="Heading2"/>
        <w:keepLines w:val="0"/>
        <w:numPr>
          <w:ilvl w:val="1"/>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0"/>
        <w:ind w:left="540" w:hanging="540"/>
        <w:rPr>
          <w:color w:val="auto"/>
          <w:sz w:val="20"/>
          <w:szCs w:val="20"/>
          <w:lang w:val="en"/>
        </w:rPr>
      </w:pPr>
      <w:bookmarkStart w:id="34" w:name="_Toc6206758"/>
      <w:bookmarkStart w:id="35" w:name="_Toc99959794"/>
      <w:r w:rsidRPr="00327C05">
        <w:rPr>
          <w:color w:val="auto"/>
          <w:sz w:val="20"/>
          <w:szCs w:val="20"/>
          <w:lang w:val="en"/>
        </w:rPr>
        <w:t>Restrictions on liberty in the framework of the criminal processes</w:t>
      </w:r>
      <w:bookmarkEnd w:id="33"/>
      <w:bookmarkEnd w:id="34"/>
      <w:bookmarkEnd w:id="35"/>
      <w:r w:rsidRPr="00327C05">
        <w:rPr>
          <w:color w:val="auto"/>
          <w:sz w:val="20"/>
          <w:szCs w:val="20"/>
          <w:lang w:val="en"/>
        </w:rPr>
        <w:t xml:space="preserve"> </w:t>
      </w:r>
    </w:p>
    <w:p w14:paraId="5B0029E9" w14:textId="77777777" w:rsidR="00704058" w:rsidRPr="00327C05" w:rsidRDefault="00704058" w:rsidP="00404500">
      <w:pPr>
        <w:jc w:val="both"/>
        <w:rPr>
          <w:rFonts w:asciiTheme="majorHAnsi" w:hAnsiTheme="majorHAnsi"/>
          <w:b/>
          <w:sz w:val="20"/>
          <w:szCs w:val="20"/>
        </w:rPr>
      </w:pPr>
    </w:p>
    <w:p w14:paraId="3054ACA2"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 xml:space="preserve">The Commission underscores that during the processing of the criminal prosecution of the alleged victim, which took place over the course of more than 20 years, he was subjected to a series of regimens restricting his personal liberty and freedom of movement. </w:t>
      </w:r>
    </w:p>
    <w:p w14:paraId="3B6F864A" w14:textId="77777777" w:rsidR="00704058" w:rsidRPr="00327C05" w:rsidRDefault="00704058" w:rsidP="0070405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rPr>
      </w:pPr>
    </w:p>
    <w:p w14:paraId="407F8AA4"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 xml:space="preserve">Specifically, Mr. </w:t>
      </w:r>
      <w:proofErr w:type="spellStart"/>
      <w:r w:rsidRPr="00327C05">
        <w:rPr>
          <w:rFonts w:asciiTheme="majorHAnsi" w:hAnsiTheme="majorHAnsi"/>
          <w:sz w:val="20"/>
          <w:szCs w:val="20"/>
          <w:lang w:val="en"/>
        </w:rPr>
        <w:t>Falanga</w:t>
      </w:r>
      <w:proofErr w:type="spellEnd"/>
      <w:r w:rsidRPr="00327C05">
        <w:rPr>
          <w:rFonts w:asciiTheme="majorHAnsi" w:hAnsiTheme="majorHAnsi"/>
          <w:sz w:val="20"/>
          <w:szCs w:val="20"/>
          <w:lang w:val="en"/>
        </w:rPr>
        <w:t xml:space="preserve"> was deprived of liberty from December 11, 1985, until April 7, 1986, after turning himself in to the Federal Judge of Mendoza.</w:t>
      </w:r>
      <w:r w:rsidRPr="00327C05">
        <w:rPr>
          <w:rStyle w:val="FootnoteReference"/>
          <w:rFonts w:asciiTheme="majorHAnsi" w:hAnsiTheme="majorHAnsi"/>
          <w:sz w:val="20"/>
          <w:szCs w:val="20"/>
          <w:lang w:val="en"/>
        </w:rPr>
        <w:footnoteReference w:id="30"/>
      </w:r>
      <w:r w:rsidRPr="00327C05">
        <w:rPr>
          <w:rFonts w:asciiTheme="majorHAnsi" w:hAnsiTheme="majorHAnsi"/>
          <w:sz w:val="20"/>
          <w:szCs w:val="20"/>
          <w:lang w:val="en"/>
        </w:rPr>
        <w:t xml:space="preserve"> He was also deprived of liberty again between March 17, 1999—when his conviction for the crime of economic subversion was upheld—and November 5, 1999.</w:t>
      </w:r>
      <w:r w:rsidRPr="00327C05">
        <w:rPr>
          <w:rStyle w:val="FootnoteReference"/>
          <w:rFonts w:asciiTheme="majorHAnsi" w:hAnsiTheme="majorHAnsi"/>
          <w:sz w:val="20"/>
          <w:szCs w:val="20"/>
          <w:lang w:val="en"/>
        </w:rPr>
        <w:footnoteReference w:id="31"/>
      </w:r>
    </w:p>
    <w:p w14:paraId="77F69389" w14:textId="77777777" w:rsidR="00704058" w:rsidRPr="00327C05" w:rsidRDefault="00704058" w:rsidP="00704058">
      <w:pPr>
        <w:pStyle w:val="ListParagraph"/>
        <w:rPr>
          <w:rFonts w:asciiTheme="majorHAnsi" w:hAnsiTheme="majorHAnsi"/>
          <w:sz w:val="20"/>
          <w:szCs w:val="20"/>
        </w:rPr>
      </w:pPr>
    </w:p>
    <w:p w14:paraId="4986E66E"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On November 5, 1999, he was granted conditional release, but was banned from leaving the country and required to appear before the Federal Appeals Chamber of Mendoza every Wednesday. He was also ordered not to leave his home for more than 24 hours without informing the competent authority.</w:t>
      </w:r>
    </w:p>
    <w:p w14:paraId="5742E6F2" w14:textId="77777777" w:rsidR="00704058" w:rsidRPr="00327C05" w:rsidRDefault="00704058" w:rsidP="00704058">
      <w:pPr>
        <w:rPr>
          <w:rFonts w:asciiTheme="majorHAnsi" w:hAnsiTheme="majorHAnsi"/>
          <w:sz w:val="20"/>
          <w:szCs w:val="20"/>
        </w:rPr>
      </w:pPr>
    </w:p>
    <w:p w14:paraId="3CA2BBB7"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Additionally, during his prosecution, the victim was prohibited from leaving the country, and if he wanted to do so, he had to request authorization and post bond. According to the case file, the alleged victim asked for and obtained authorization to leave the country on bond at least 15 times on the following dates: March 22, 1989, December 4, 1989, February 12, 1991, July 12, 1994, March 1, 1995, May 1, 1995, July 6, 1995, October 14, 1995, August 13, 1996, April 25, 1997, December 20, 1997, March 18, 1998, November 19, 1998, December 14, 1999, and December 22, 2000.</w:t>
      </w:r>
      <w:r w:rsidRPr="00327C05">
        <w:rPr>
          <w:rStyle w:val="FootnoteReference"/>
          <w:rFonts w:asciiTheme="majorHAnsi" w:hAnsiTheme="majorHAnsi"/>
          <w:sz w:val="20"/>
          <w:szCs w:val="20"/>
          <w:lang w:val="en"/>
        </w:rPr>
        <w:footnoteReference w:id="32"/>
      </w:r>
      <w:r w:rsidRPr="00327C05">
        <w:rPr>
          <w:rFonts w:asciiTheme="majorHAnsi" w:hAnsiTheme="majorHAnsi"/>
          <w:sz w:val="20"/>
          <w:szCs w:val="20"/>
          <w:lang w:val="en"/>
        </w:rPr>
        <w:t xml:space="preserve"> </w:t>
      </w:r>
    </w:p>
    <w:p w14:paraId="4A08213D" w14:textId="77777777" w:rsidR="00704058" w:rsidRPr="00327C05" w:rsidRDefault="00704058" w:rsidP="0070405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rPr>
      </w:pPr>
    </w:p>
    <w:p w14:paraId="34EFFF1F"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 xml:space="preserve">On July 6, 2001, in response to a request by the alleged victim for the certification indicating that he was not restricted from temporarily leaving the country, the Federal Ad-Hoc Judge found that the preventative </w:t>
      </w:r>
      <w:r w:rsidRPr="00327C05">
        <w:rPr>
          <w:rFonts w:asciiTheme="majorHAnsi" w:hAnsiTheme="majorHAnsi"/>
          <w:i/>
          <w:iCs/>
          <w:sz w:val="20"/>
          <w:szCs w:val="20"/>
          <w:lang w:val="en"/>
        </w:rPr>
        <w:t xml:space="preserve">habeas corpus </w:t>
      </w:r>
      <w:r w:rsidRPr="00327C05">
        <w:rPr>
          <w:rFonts w:asciiTheme="majorHAnsi" w:hAnsiTheme="majorHAnsi"/>
          <w:sz w:val="20"/>
          <w:szCs w:val="20"/>
          <w:lang w:val="en"/>
        </w:rPr>
        <w:t>that had been granted was under appeal before the Federal Appeals Chamber, for which reason "this individual cannot be authorized to leave the country, as his procedural status is now different than the one he had when previous authorizations were granted (…)."</w:t>
      </w:r>
      <w:r w:rsidRPr="00327C05">
        <w:rPr>
          <w:rStyle w:val="FootnoteReference"/>
          <w:rFonts w:asciiTheme="majorHAnsi" w:hAnsiTheme="majorHAnsi"/>
          <w:sz w:val="20"/>
          <w:szCs w:val="20"/>
          <w:lang w:val="en"/>
        </w:rPr>
        <w:footnoteReference w:id="33"/>
      </w:r>
      <w:r w:rsidRPr="00327C05">
        <w:rPr>
          <w:rFonts w:asciiTheme="majorHAnsi" w:hAnsiTheme="majorHAnsi"/>
          <w:sz w:val="20"/>
          <w:szCs w:val="20"/>
          <w:lang w:val="en"/>
        </w:rPr>
        <w:t xml:space="preserve"> </w:t>
      </w:r>
    </w:p>
    <w:p w14:paraId="761B198E" w14:textId="77777777" w:rsidR="00704058" w:rsidRPr="00327C05" w:rsidRDefault="00704058" w:rsidP="00704058">
      <w:pPr>
        <w:rPr>
          <w:rFonts w:asciiTheme="majorHAnsi" w:hAnsiTheme="majorHAnsi"/>
          <w:sz w:val="20"/>
          <w:szCs w:val="20"/>
        </w:rPr>
      </w:pPr>
    </w:p>
    <w:p w14:paraId="08B05FDD"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According to the information available, on January 29, 2012, the alleged victim tried to leave the country. However, the General Office on Migratory Movement refused to allow him to leave, as a ban on him leaving the country was in place and "there is no record that the interdiction (prohibition of exit) on him has been lifted."</w:t>
      </w:r>
      <w:r w:rsidRPr="00327C05">
        <w:rPr>
          <w:rStyle w:val="FootnoteReference"/>
          <w:rFonts w:asciiTheme="majorHAnsi" w:hAnsiTheme="majorHAnsi"/>
          <w:sz w:val="20"/>
          <w:szCs w:val="20"/>
          <w:lang w:val="en"/>
        </w:rPr>
        <w:footnoteReference w:id="34"/>
      </w:r>
      <w:r w:rsidRPr="00327C05">
        <w:rPr>
          <w:rFonts w:asciiTheme="majorHAnsi" w:hAnsiTheme="majorHAnsi"/>
          <w:sz w:val="20"/>
          <w:szCs w:val="20"/>
          <w:lang w:val="en"/>
        </w:rPr>
        <w:t xml:space="preserve"> The office indicated that the travel ban was related to the judgment of the Federal Court of Mendoza of June 20, 2001.</w:t>
      </w:r>
      <w:r w:rsidRPr="00327C05">
        <w:rPr>
          <w:rStyle w:val="FootnoteReference"/>
          <w:rFonts w:asciiTheme="majorHAnsi" w:hAnsiTheme="majorHAnsi"/>
          <w:sz w:val="20"/>
          <w:szCs w:val="20"/>
          <w:lang w:val="en"/>
        </w:rPr>
        <w:footnoteReference w:id="35"/>
      </w:r>
    </w:p>
    <w:p w14:paraId="715A5DC0" w14:textId="77777777" w:rsidR="00704058" w:rsidRPr="00327C05" w:rsidRDefault="00704058" w:rsidP="0070405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rPr>
      </w:pPr>
    </w:p>
    <w:p w14:paraId="43D3B3DC" w14:textId="332E49FB" w:rsidR="00704058" w:rsidRPr="00327C05" w:rsidRDefault="00704058" w:rsidP="0070405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 xml:space="preserve">In addition to the limitations described in the above paragraphs, the IACHR notes that Mr. </w:t>
      </w:r>
      <w:proofErr w:type="spellStart"/>
      <w:r w:rsidRPr="00327C05">
        <w:rPr>
          <w:rFonts w:asciiTheme="majorHAnsi" w:hAnsiTheme="majorHAnsi"/>
          <w:sz w:val="20"/>
          <w:szCs w:val="20"/>
          <w:lang w:val="en"/>
        </w:rPr>
        <w:t>Falanga</w:t>
      </w:r>
      <w:proofErr w:type="spellEnd"/>
      <w:r w:rsidRPr="00327C05">
        <w:rPr>
          <w:rFonts w:asciiTheme="majorHAnsi" w:hAnsiTheme="majorHAnsi"/>
          <w:sz w:val="20"/>
          <w:szCs w:val="20"/>
          <w:lang w:val="en"/>
        </w:rPr>
        <w:t xml:space="preserve"> was also required to appear at different times throughout the processes and while serving the sentence.</w:t>
      </w:r>
      <w:r w:rsidRPr="00327C05">
        <w:rPr>
          <w:rStyle w:val="FootnoteReference"/>
          <w:rFonts w:asciiTheme="majorHAnsi" w:hAnsiTheme="majorHAnsi"/>
          <w:sz w:val="20"/>
          <w:szCs w:val="20"/>
          <w:lang w:val="en"/>
        </w:rPr>
        <w:footnoteReference w:id="36"/>
      </w:r>
    </w:p>
    <w:p w14:paraId="48AB85B1" w14:textId="77777777" w:rsidR="0000148A" w:rsidRPr="00327C05" w:rsidRDefault="0000148A" w:rsidP="0070405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rPr>
      </w:pPr>
    </w:p>
    <w:p w14:paraId="2BA7D3BE" w14:textId="77777777" w:rsidR="00704058" w:rsidRPr="00327C05" w:rsidRDefault="00704058" w:rsidP="00704058">
      <w:pPr>
        <w:pStyle w:val="Heading1"/>
        <w:spacing w:before="0"/>
        <w:ind w:hanging="540"/>
        <w:rPr>
          <w:color w:val="auto"/>
          <w:sz w:val="20"/>
          <w:szCs w:val="20"/>
        </w:rPr>
      </w:pPr>
      <w:bookmarkStart w:id="36" w:name="_Toc6206759"/>
      <w:bookmarkStart w:id="37" w:name="_Toc5369475"/>
      <w:bookmarkStart w:id="38" w:name="_Toc99959795"/>
      <w:bookmarkEnd w:id="18"/>
      <w:bookmarkEnd w:id="19"/>
      <w:bookmarkEnd w:id="20"/>
      <w:r w:rsidRPr="00327C05">
        <w:rPr>
          <w:rFonts w:eastAsia="Times New Roman"/>
          <w:color w:val="auto"/>
          <w:sz w:val="20"/>
          <w:szCs w:val="20"/>
          <w:bdr w:val="none" w:sz="0" w:space="0" w:color="auto" w:frame="1"/>
          <w:lang w:val="en"/>
        </w:rPr>
        <w:t>CONSIDERATIONS OF LAW</w:t>
      </w:r>
      <w:bookmarkEnd w:id="36"/>
      <w:bookmarkEnd w:id="37"/>
      <w:bookmarkEnd w:id="38"/>
    </w:p>
    <w:p w14:paraId="6072EB2D" w14:textId="77777777" w:rsidR="00704058" w:rsidRPr="00327C05" w:rsidRDefault="00704058" w:rsidP="00704058">
      <w:pPr>
        <w:jc w:val="both"/>
        <w:rPr>
          <w:rFonts w:asciiTheme="majorHAnsi" w:hAnsiTheme="majorHAnsi" w:cs="Arial"/>
          <w:sz w:val="20"/>
          <w:szCs w:val="20"/>
        </w:rPr>
      </w:pPr>
    </w:p>
    <w:p w14:paraId="33B4FE4E" w14:textId="77777777" w:rsidR="00704058" w:rsidRPr="00327C05" w:rsidRDefault="00704058" w:rsidP="00C238F0">
      <w:pPr>
        <w:pStyle w:val="Heading2"/>
        <w:keepLines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before="0"/>
        <w:ind w:left="540" w:hanging="540"/>
        <w:jc w:val="both"/>
        <w:rPr>
          <w:color w:val="auto"/>
          <w:sz w:val="20"/>
          <w:szCs w:val="20"/>
        </w:rPr>
      </w:pPr>
      <w:bookmarkStart w:id="39" w:name="_Toc6206760"/>
      <w:bookmarkStart w:id="40" w:name="_Toc5369476"/>
      <w:bookmarkStart w:id="41" w:name="_Toc4595242"/>
      <w:bookmarkStart w:id="42" w:name="_Toc3453786"/>
      <w:bookmarkStart w:id="43" w:name="_Toc99959796"/>
      <w:r w:rsidRPr="00327C05">
        <w:rPr>
          <w:color w:val="auto"/>
          <w:sz w:val="20"/>
          <w:szCs w:val="20"/>
          <w:lang w:val="en"/>
        </w:rPr>
        <w:t>The right to a reasonable period of time</w:t>
      </w:r>
      <w:r w:rsidRPr="00327C05">
        <w:rPr>
          <w:color w:val="auto"/>
          <w:sz w:val="20"/>
          <w:szCs w:val="20"/>
          <w:vertAlign w:val="superscript"/>
          <w:lang w:val="en"/>
        </w:rPr>
        <w:footnoteReference w:id="37"/>
      </w:r>
      <w:bookmarkEnd w:id="39"/>
      <w:bookmarkEnd w:id="40"/>
      <w:bookmarkEnd w:id="41"/>
      <w:bookmarkEnd w:id="42"/>
      <w:bookmarkEnd w:id="43"/>
    </w:p>
    <w:p w14:paraId="418CD1D3" w14:textId="77777777" w:rsidR="00704058" w:rsidRPr="00327C05" w:rsidRDefault="00704058" w:rsidP="00704058">
      <w:pPr>
        <w:jc w:val="both"/>
        <w:rPr>
          <w:rFonts w:asciiTheme="majorHAnsi" w:hAnsiTheme="majorHAnsi" w:cs="Arial"/>
          <w:sz w:val="20"/>
          <w:szCs w:val="20"/>
        </w:rPr>
      </w:pPr>
    </w:p>
    <w:p w14:paraId="525A5D2C"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The IACHR recalls that Article 8(1) of the American Convention stipulates that all individuals have the right to be heard within a reasonable time period and with all due guarantees.  The Inter-American Court has found that evaluation of the reasonable period of time must be conducted for each specific case with regard to the total length of the process, from the first procedural action until the issuance of the final judgment.</w:t>
      </w:r>
      <w:r w:rsidRPr="00327C05">
        <w:rPr>
          <w:rStyle w:val="FootnoteReference"/>
          <w:rFonts w:asciiTheme="majorHAnsi" w:hAnsiTheme="majorHAnsi"/>
          <w:sz w:val="20"/>
          <w:szCs w:val="20"/>
          <w:lang w:val="en"/>
        </w:rPr>
        <w:footnoteReference w:id="38"/>
      </w:r>
      <w:r w:rsidRPr="00327C05">
        <w:rPr>
          <w:rFonts w:asciiTheme="majorHAnsi" w:hAnsiTheme="majorHAnsi"/>
          <w:sz w:val="20"/>
          <w:szCs w:val="20"/>
          <w:lang w:val="en"/>
        </w:rPr>
        <w:t xml:space="preserve"> </w:t>
      </w:r>
    </w:p>
    <w:p w14:paraId="6FB552CC" w14:textId="77777777" w:rsidR="00704058" w:rsidRPr="00327C05" w:rsidRDefault="00704058" w:rsidP="0070405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rPr>
      </w:pPr>
    </w:p>
    <w:p w14:paraId="1A3658F1"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The Commission recalls that for the purposes of determining the reasonableness of the period of time, inter-American case law has established four elements: (a) the complexity of the matter, (b) the procedural activities of the individual involved, (c) the conduct of the judicial authorities, and (d) the effect on the legal status of the victim.</w:t>
      </w:r>
      <w:r w:rsidRPr="00327C05">
        <w:rPr>
          <w:rStyle w:val="FootnoteReference"/>
          <w:rFonts w:asciiTheme="majorHAnsi" w:hAnsiTheme="majorHAnsi"/>
          <w:sz w:val="20"/>
          <w:szCs w:val="20"/>
          <w:lang w:val="en"/>
        </w:rPr>
        <w:footnoteReference w:id="39"/>
      </w:r>
      <w:r w:rsidRPr="00327C05">
        <w:rPr>
          <w:rFonts w:asciiTheme="majorHAnsi" w:hAnsiTheme="majorHAnsi"/>
          <w:sz w:val="20"/>
          <w:szCs w:val="20"/>
          <w:lang w:val="en"/>
        </w:rPr>
        <w:t xml:space="preserve"> The Inter-American Court has found that the State is responsible for justifying—based on the above indicated criteria—the time taken to deal with cases, and where it fails to do so, the Court has broad authority to conduct its own assessment.</w:t>
      </w:r>
      <w:r w:rsidRPr="00327C05">
        <w:rPr>
          <w:rStyle w:val="FootnoteReference"/>
          <w:rFonts w:asciiTheme="majorHAnsi" w:hAnsiTheme="majorHAnsi"/>
          <w:sz w:val="20"/>
          <w:szCs w:val="20"/>
          <w:lang w:val="en"/>
        </w:rPr>
        <w:footnoteReference w:id="40"/>
      </w:r>
      <w:r w:rsidRPr="00327C05">
        <w:rPr>
          <w:rFonts w:asciiTheme="majorHAnsi" w:hAnsiTheme="majorHAnsi"/>
          <w:sz w:val="20"/>
          <w:szCs w:val="20"/>
          <w:lang w:val="en"/>
        </w:rPr>
        <w:t xml:space="preserve"> </w:t>
      </w:r>
    </w:p>
    <w:p w14:paraId="31FEE08E" w14:textId="77777777" w:rsidR="00704058" w:rsidRPr="00327C05" w:rsidRDefault="00704058" w:rsidP="00704058">
      <w:pPr>
        <w:pStyle w:val="ListParagraph"/>
        <w:rPr>
          <w:rFonts w:asciiTheme="majorHAnsi" w:hAnsiTheme="majorHAnsi"/>
          <w:sz w:val="20"/>
          <w:szCs w:val="20"/>
        </w:rPr>
      </w:pPr>
    </w:p>
    <w:p w14:paraId="19F97A9C"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 xml:space="preserve">In this case, beginning in 1980, the alleged victim was subjected to two criminal prosecutions for the crimes of monopoly and economic subversion. In the first process, he was convicted by a lower court on May 17, 1993, which was upheld by a higher court on November 7, 1995, meaning the process lasted around 15 years.  In the process on the crime of economic subversion, he was convicted by a lower court on February 17, 1997, which was upheld by a higher court on March 17, 1999. Likewise, the extraordinary remedy sought was rejected by the Supreme Court of Justice of the Nation on February 20, 2001, and therefore, the process lasted around 21 years. </w:t>
      </w:r>
    </w:p>
    <w:p w14:paraId="12E1700B" w14:textId="77777777" w:rsidR="00704058" w:rsidRPr="00327C05" w:rsidRDefault="00704058" w:rsidP="00704058">
      <w:pPr>
        <w:pStyle w:val="ListParagraph"/>
        <w:rPr>
          <w:rFonts w:asciiTheme="majorHAnsi" w:hAnsiTheme="majorHAnsi"/>
          <w:sz w:val="20"/>
          <w:szCs w:val="20"/>
        </w:rPr>
      </w:pPr>
    </w:p>
    <w:p w14:paraId="6D940067"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 xml:space="preserve">Additionally, the Commission notes that on March 27, 2001, the alleged victim filed for a writ of </w:t>
      </w:r>
      <w:r w:rsidRPr="00327C05">
        <w:rPr>
          <w:rFonts w:asciiTheme="majorHAnsi" w:hAnsiTheme="majorHAnsi"/>
          <w:i/>
          <w:iCs/>
          <w:sz w:val="20"/>
          <w:szCs w:val="20"/>
          <w:lang w:val="en"/>
        </w:rPr>
        <w:t xml:space="preserve">habeas corpus </w:t>
      </w:r>
      <w:r w:rsidRPr="00327C05">
        <w:rPr>
          <w:rFonts w:asciiTheme="majorHAnsi" w:hAnsiTheme="majorHAnsi"/>
          <w:sz w:val="20"/>
          <w:szCs w:val="20"/>
          <w:lang w:val="en"/>
        </w:rPr>
        <w:t xml:space="preserve">to block execution of the sentence for economic subversion, which had ordered the sentences for the two crimes unified and the immediate detention of Mr. </w:t>
      </w:r>
      <w:proofErr w:type="spellStart"/>
      <w:r w:rsidRPr="00327C05">
        <w:rPr>
          <w:rFonts w:asciiTheme="majorHAnsi" w:hAnsiTheme="majorHAnsi"/>
          <w:sz w:val="20"/>
          <w:szCs w:val="20"/>
          <w:lang w:val="en"/>
        </w:rPr>
        <w:t>Falanga</w:t>
      </w:r>
      <w:proofErr w:type="spellEnd"/>
      <w:r w:rsidRPr="00327C05">
        <w:rPr>
          <w:rFonts w:asciiTheme="majorHAnsi" w:hAnsiTheme="majorHAnsi"/>
          <w:sz w:val="20"/>
          <w:szCs w:val="20"/>
          <w:lang w:val="en"/>
        </w:rPr>
        <w:t xml:space="preserve">. The remedy was resolved definitively on September 5, 2006, or more than five years after it was filed. </w:t>
      </w:r>
    </w:p>
    <w:p w14:paraId="61E06847" w14:textId="77777777" w:rsidR="00704058" w:rsidRPr="00327C05" w:rsidRDefault="00704058" w:rsidP="00704058">
      <w:pPr>
        <w:pStyle w:val="ListParagraph"/>
        <w:rPr>
          <w:rFonts w:asciiTheme="majorHAnsi" w:hAnsiTheme="majorHAnsi"/>
          <w:sz w:val="20"/>
          <w:szCs w:val="20"/>
        </w:rPr>
      </w:pPr>
    </w:p>
    <w:p w14:paraId="790D452E"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 xml:space="preserve">Next, the IACHR will analyze whether the period of time passed is reasonable pursuant to the above-described criteria. As regards the complexity of the matter, the IACHR observes that although there were other defendants in addition to the alleged victim, the facts are not particularly complex, and the corresponding agencies should have been able to determine the alleged victim's degree of participation in the offenses alleged with regard to the same facts. </w:t>
      </w:r>
    </w:p>
    <w:p w14:paraId="0D23EA4E" w14:textId="77777777" w:rsidR="00704058" w:rsidRPr="00327C05" w:rsidRDefault="00704058" w:rsidP="00704058">
      <w:pPr>
        <w:pStyle w:val="ListParagraph"/>
        <w:rPr>
          <w:rFonts w:asciiTheme="majorHAnsi" w:hAnsiTheme="majorHAnsi"/>
          <w:sz w:val="20"/>
          <w:szCs w:val="20"/>
        </w:rPr>
      </w:pPr>
    </w:p>
    <w:p w14:paraId="35E057BA"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 xml:space="preserve">Regarding the procedural activity of the interested party, the Commission notes that although the alleged victim left the country between 1980 and 1985, the State did not describe the way in which, pursuant to domestic law, the defendant's failure to appear blocked the processes from moving forward. In addition, there is no indication that, subsequent to 1985, he took any actions to block the progress of the investigations or that would justify a delay of such length. Regarding the conduct of judicial authorities, the IACHR observes that the excessive period of time that judicial authorities took to issue their trial court judgments—and in a process that, as indicated, was not particularly complex—is not in any way explained by the State. The record also does not include an explanation of the delay in resolving the remedies filed by the different actors in the process. Specifically regarding the writ of </w:t>
      </w:r>
      <w:r w:rsidRPr="00327C05">
        <w:rPr>
          <w:rFonts w:asciiTheme="majorHAnsi" w:hAnsiTheme="majorHAnsi"/>
          <w:i/>
          <w:iCs/>
          <w:sz w:val="20"/>
          <w:szCs w:val="20"/>
          <w:lang w:val="en"/>
        </w:rPr>
        <w:t>habeas corpus</w:t>
      </w:r>
      <w:r w:rsidRPr="00327C05">
        <w:rPr>
          <w:rFonts w:asciiTheme="majorHAnsi" w:hAnsiTheme="majorHAnsi"/>
          <w:sz w:val="20"/>
          <w:szCs w:val="20"/>
          <w:lang w:val="en"/>
        </w:rPr>
        <w:t xml:space="preserve">, which by its very nature must be resolved particularly quickly, the Commission finds no explanation to justify a delay of more than five years in resolving it, especially when there was no dispute with regard to the facts. Under these circumstances, the Commission finds it unnecessary to look at the fourth element. </w:t>
      </w:r>
    </w:p>
    <w:p w14:paraId="7A92468B" w14:textId="77777777" w:rsidR="00704058" w:rsidRPr="00327C05" w:rsidRDefault="00704058" w:rsidP="00704058">
      <w:pPr>
        <w:pStyle w:val="ListParagraph"/>
        <w:rPr>
          <w:rFonts w:asciiTheme="majorHAnsi" w:hAnsiTheme="majorHAnsi"/>
          <w:sz w:val="20"/>
          <w:szCs w:val="20"/>
        </w:rPr>
      </w:pPr>
    </w:p>
    <w:p w14:paraId="58A949BE"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 xml:space="preserve">Based on all this, the IACHR concludes that periods of 15 and 21 years to issue final guilty verdicts against the alleged victim, and five more years to resolve the writ of </w:t>
      </w:r>
      <w:r w:rsidRPr="00327C05">
        <w:rPr>
          <w:rFonts w:asciiTheme="majorHAnsi" w:hAnsiTheme="majorHAnsi"/>
          <w:i/>
          <w:iCs/>
          <w:sz w:val="20"/>
          <w:szCs w:val="20"/>
          <w:lang w:val="en"/>
        </w:rPr>
        <w:t>habeas corpus</w:t>
      </w:r>
      <w:r w:rsidRPr="00327C05">
        <w:rPr>
          <w:rFonts w:asciiTheme="majorHAnsi" w:hAnsiTheme="majorHAnsi"/>
          <w:sz w:val="20"/>
          <w:szCs w:val="20"/>
          <w:lang w:val="en"/>
        </w:rPr>
        <w:t xml:space="preserve">, violated the guarantee of a reasonable period of time. </w:t>
      </w:r>
    </w:p>
    <w:p w14:paraId="717ED29D" w14:textId="77777777" w:rsidR="00704058" w:rsidRPr="00327C05" w:rsidRDefault="00704058" w:rsidP="00704058">
      <w:pPr>
        <w:rPr>
          <w:rFonts w:asciiTheme="majorHAnsi" w:hAnsiTheme="majorHAnsi"/>
          <w:sz w:val="20"/>
          <w:szCs w:val="20"/>
        </w:rPr>
      </w:pPr>
    </w:p>
    <w:p w14:paraId="2962D403"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 xml:space="preserve">Therefore, the IACHR concludes that the State is responsible for the violation of Article 8(1) of the American Convention, in conjunction with Article 1(1) of the Convention, to the detriment of </w:t>
      </w:r>
      <w:proofErr w:type="spellStart"/>
      <w:r w:rsidRPr="00327C05">
        <w:rPr>
          <w:rFonts w:asciiTheme="majorHAnsi" w:hAnsiTheme="majorHAnsi"/>
          <w:sz w:val="20"/>
          <w:szCs w:val="20"/>
          <w:lang w:val="en"/>
        </w:rPr>
        <w:t>Ángel</w:t>
      </w:r>
      <w:proofErr w:type="spellEnd"/>
      <w:r w:rsidRPr="00327C05">
        <w:rPr>
          <w:rFonts w:asciiTheme="majorHAnsi" w:hAnsiTheme="majorHAnsi"/>
          <w:sz w:val="20"/>
          <w:szCs w:val="20"/>
          <w:lang w:val="en"/>
        </w:rPr>
        <w:t xml:space="preserve"> Pedro </w:t>
      </w:r>
      <w:proofErr w:type="spellStart"/>
      <w:r w:rsidRPr="00327C05">
        <w:rPr>
          <w:rFonts w:asciiTheme="majorHAnsi" w:hAnsiTheme="majorHAnsi"/>
          <w:sz w:val="20"/>
          <w:szCs w:val="20"/>
          <w:lang w:val="en"/>
        </w:rPr>
        <w:t>Falanga</w:t>
      </w:r>
      <w:proofErr w:type="spellEnd"/>
      <w:r w:rsidRPr="00327C05">
        <w:rPr>
          <w:rFonts w:asciiTheme="majorHAnsi" w:hAnsiTheme="majorHAnsi"/>
          <w:sz w:val="20"/>
          <w:szCs w:val="20"/>
          <w:lang w:val="en"/>
        </w:rPr>
        <w:t xml:space="preserve">. </w:t>
      </w:r>
    </w:p>
    <w:p w14:paraId="4F6C3E0C" w14:textId="77777777" w:rsidR="00704058" w:rsidRPr="00327C05" w:rsidRDefault="00704058" w:rsidP="00704058">
      <w:pPr>
        <w:jc w:val="both"/>
        <w:rPr>
          <w:rFonts w:asciiTheme="majorHAnsi" w:hAnsiTheme="majorHAnsi" w:cs="Arial"/>
          <w:sz w:val="20"/>
          <w:szCs w:val="20"/>
        </w:rPr>
      </w:pPr>
    </w:p>
    <w:p w14:paraId="06952CBA" w14:textId="065532CB" w:rsidR="00704058" w:rsidRPr="00327C05" w:rsidRDefault="00704058" w:rsidP="00C238F0">
      <w:pPr>
        <w:pStyle w:val="Heading2"/>
        <w:keepLines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before="0"/>
        <w:ind w:left="540" w:hanging="540"/>
        <w:jc w:val="both"/>
        <w:rPr>
          <w:color w:val="auto"/>
          <w:sz w:val="20"/>
          <w:szCs w:val="20"/>
          <w:lang w:val="en"/>
        </w:rPr>
      </w:pPr>
      <w:bookmarkStart w:id="44" w:name="_Toc6206761"/>
      <w:bookmarkStart w:id="45" w:name="_Toc5369477"/>
      <w:bookmarkStart w:id="46" w:name="_Toc99959797"/>
      <w:r w:rsidRPr="00327C05">
        <w:rPr>
          <w:color w:val="auto"/>
          <w:sz w:val="20"/>
          <w:szCs w:val="20"/>
          <w:lang w:val="en"/>
        </w:rPr>
        <w:t>The right to personal liberty,</w:t>
      </w:r>
      <w:r w:rsidRPr="00327C05">
        <w:rPr>
          <w:color w:val="auto"/>
          <w:sz w:val="20"/>
          <w:szCs w:val="20"/>
          <w:vertAlign w:val="superscript"/>
          <w:lang w:val="en"/>
        </w:rPr>
        <w:footnoteReference w:id="41"/>
      </w:r>
      <w:r w:rsidRPr="00327C05">
        <w:rPr>
          <w:color w:val="auto"/>
          <w:sz w:val="20"/>
          <w:szCs w:val="20"/>
          <w:lang w:val="en"/>
        </w:rPr>
        <w:t xml:space="preserve"> the right to movement and residency,</w:t>
      </w:r>
      <w:r w:rsidRPr="00327C05">
        <w:rPr>
          <w:color w:val="auto"/>
          <w:sz w:val="20"/>
          <w:szCs w:val="20"/>
          <w:vertAlign w:val="superscript"/>
        </w:rPr>
        <w:footnoteReference w:id="42"/>
      </w:r>
      <w:r w:rsidRPr="00327C05">
        <w:rPr>
          <w:color w:val="auto"/>
          <w:sz w:val="20"/>
          <w:szCs w:val="20"/>
          <w:lang w:val="en"/>
        </w:rPr>
        <w:t xml:space="preserve"> and the princi</w:t>
      </w:r>
      <w:r w:rsidR="0000148A" w:rsidRPr="00327C05">
        <w:rPr>
          <w:color w:val="auto"/>
          <w:sz w:val="20"/>
          <w:szCs w:val="20"/>
          <w:lang w:val="en"/>
        </w:rPr>
        <w:t>ple of presumption of innocence</w:t>
      </w:r>
      <w:r w:rsidRPr="00327C05">
        <w:rPr>
          <w:color w:val="auto"/>
          <w:sz w:val="20"/>
          <w:szCs w:val="20"/>
          <w:vertAlign w:val="superscript"/>
          <w:lang w:val="en"/>
        </w:rPr>
        <w:footnoteReference w:id="43"/>
      </w:r>
      <w:bookmarkEnd w:id="44"/>
      <w:bookmarkEnd w:id="45"/>
      <w:bookmarkEnd w:id="46"/>
    </w:p>
    <w:p w14:paraId="23E1914C" w14:textId="77777777" w:rsidR="00704058" w:rsidRPr="00327C05" w:rsidRDefault="00704058" w:rsidP="00704058">
      <w:pPr>
        <w:jc w:val="both"/>
        <w:rPr>
          <w:rFonts w:asciiTheme="majorHAnsi" w:hAnsiTheme="majorHAnsi" w:cs="Arial"/>
          <w:sz w:val="20"/>
          <w:szCs w:val="20"/>
        </w:rPr>
      </w:pPr>
    </w:p>
    <w:p w14:paraId="1F8FCD27"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The Commission recalls that Article 7.5 of the Convention allows for the possibility of applying precautionary measures in lieu of pretrial detention, and that release could be contingent on guarantees to ensure an individual appears at trial.</w:t>
      </w:r>
      <w:r w:rsidRPr="00327C05">
        <w:rPr>
          <w:rStyle w:val="FootnoteReference"/>
          <w:rFonts w:asciiTheme="majorHAnsi" w:hAnsiTheme="majorHAnsi"/>
          <w:sz w:val="20"/>
          <w:szCs w:val="20"/>
          <w:lang w:val="en"/>
        </w:rPr>
        <w:footnoteReference w:id="44"/>
      </w:r>
      <w:r w:rsidRPr="00327C05">
        <w:rPr>
          <w:rFonts w:asciiTheme="majorHAnsi" w:hAnsiTheme="majorHAnsi"/>
          <w:sz w:val="20"/>
          <w:szCs w:val="20"/>
          <w:lang w:val="en"/>
        </w:rPr>
        <w:t xml:space="preserve"> </w:t>
      </w:r>
    </w:p>
    <w:p w14:paraId="6ABE2203" w14:textId="77777777" w:rsidR="00704058" w:rsidRPr="00327C05" w:rsidRDefault="00704058" w:rsidP="0070405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rPr>
      </w:pPr>
    </w:p>
    <w:p w14:paraId="1B2BCCEC"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The IACHR finds that, as with pretrial detention, alternative measures can only be imposed when there is sufficient evidence to allow reasonable supposition that the person committed to trial has taken part in the criminal offense under investigation, and as long as such measures are necessary to ensure that the defendant will not obstruct the process or escape from justice.</w:t>
      </w:r>
      <w:r w:rsidRPr="00327C05">
        <w:rPr>
          <w:rStyle w:val="FootnoteReference"/>
          <w:rFonts w:asciiTheme="majorHAnsi" w:hAnsiTheme="majorHAnsi"/>
          <w:sz w:val="20"/>
          <w:szCs w:val="20"/>
          <w:lang w:val="en"/>
        </w:rPr>
        <w:footnoteReference w:id="45"/>
      </w:r>
      <w:r w:rsidRPr="00327C05">
        <w:rPr>
          <w:rFonts w:asciiTheme="majorHAnsi" w:hAnsiTheme="majorHAnsi"/>
          <w:sz w:val="20"/>
          <w:szCs w:val="20"/>
          <w:lang w:val="en"/>
        </w:rPr>
        <w:t xml:space="preserve">  Likewise, given that several of these measures also involve a restriction on the enjoyment of other rights, such as the right to movement, they must be applied pursuant to the principles of legality, necessity, and proportionality.</w:t>
      </w:r>
      <w:r w:rsidRPr="00327C05">
        <w:rPr>
          <w:rStyle w:val="FootnoteReference"/>
          <w:rFonts w:asciiTheme="majorHAnsi" w:hAnsiTheme="majorHAnsi"/>
          <w:sz w:val="20"/>
          <w:szCs w:val="20"/>
          <w:lang w:val="en"/>
        </w:rPr>
        <w:footnoteReference w:id="46"/>
      </w:r>
      <w:r w:rsidRPr="00327C05">
        <w:rPr>
          <w:rFonts w:asciiTheme="majorHAnsi" w:hAnsiTheme="majorHAnsi"/>
          <w:sz w:val="20"/>
          <w:szCs w:val="20"/>
          <w:lang w:val="en"/>
        </w:rPr>
        <w:t xml:space="preserve"> </w:t>
      </w:r>
    </w:p>
    <w:p w14:paraId="7A612890" w14:textId="77777777" w:rsidR="00704058" w:rsidRPr="00327C05" w:rsidRDefault="00704058" w:rsidP="0070405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rPr>
      </w:pPr>
    </w:p>
    <w:p w14:paraId="7C5E0A4E"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 xml:space="preserve">In the case of </w:t>
      </w:r>
      <w:proofErr w:type="spellStart"/>
      <w:r w:rsidRPr="00327C05">
        <w:rPr>
          <w:rFonts w:asciiTheme="majorHAnsi" w:hAnsiTheme="majorHAnsi"/>
          <w:sz w:val="20"/>
          <w:szCs w:val="20"/>
          <w:lang w:val="en"/>
        </w:rPr>
        <w:t>Canese</w:t>
      </w:r>
      <w:proofErr w:type="spellEnd"/>
      <w:r w:rsidRPr="00327C05">
        <w:rPr>
          <w:rFonts w:asciiTheme="majorHAnsi" w:hAnsiTheme="majorHAnsi"/>
          <w:sz w:val="20"/>
          <w:szCs w:val="20"/>
          <w:lang w:val="en"/>
        </w:rPr>
        <w:t xml:space="preserve"> v. Paraguay, the Inter-American Court found that “precautionary measures affecting personal freedom and the freedom of movement of the defendant are of an exceptional nature, because they are limited by the right to presumption of innocence and the principles of necessity and proportionality, essential in a democratic society. (...) These precautionary measures may not constitute a substitute for imprisonment or fulfill the purposes of the latter; as can happen, if they continue to be applied, when they have ceased to fulfill the functions mentioned above. Otherwise, the application of a precautionary measure affecting the personal freedom and freedom of movement of the defendant would be tantamount to anticipating a sentence, which is at odds with universally recognized general principles of law.”</w:t>
      </w:r>
      <w:r w:rsidRPr="00327C05">
        <w:rPr>
          <w:rStyle w:val="FootnoteReference"/>
          <w:rFonts w:asciiTheme="majorHAnsi" w:hAnsiTheme="majorHAnsi"/>
          <w:sz w:val="20"/>
          <w:szCs w:val="20"/>
          <w:lang w:val="en"/>
        </w:rPr>
        <w:footnoteReference w:id="47"/>
      </w:r>
      <w:r w:rsidRPr="00327C05">
        <w:rPr>
          <w:rFonts w:asciiTheme="majorHAnsi" w:hAnsiTheme="majorHAnsi"/>
          <w:sz w:val="20"/>
          <w:szCs w:val="20"/>
          <w:lang w:val="en"/>
        </w:rPr>
        <w:t xml:space="preserve"> </w:t>
      </w:r>
    </w:p>
    <w:p w14:paraId="3EBE450D" w14:textId="77777777" w:rsidR="00704058" w:rsidRPr="00327C05" w:rsidRDefault="00704058" w:rsidP="00704058">
      <w:pPr>
        <w:rPr>
          <w:rFonts w:asciiTheme="majorHAnsi" w:hAnsiTheme="majorHAnsi"/>
          <w:sz w:val="20"/>
          <w:szCs w:val="20"/>
        </w:rPr>
      </w:pPr>
    </w:p>
    <w:p w14:paraId="246BE129"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The Commission finds, therefore, that the improper use of precautionary measures in the framework of criminal processes that restrict personal liberty and other rights, such as the right to freedom of movement, can, in addition to impacting the exercise of these rights, also impact the principle of presumption of innocence set forth in Article 8(2) of the American Convention. The IACHR finds that, depending on the nature and severity of the measures, imposing them without proper justification and/or for lengths of time that extend beyond what is reasonable can be equivalent to a preemptive punishment.</w:t>
      </w:r>
      <w:r w:rsidRPr="00327C05">
        <w:rPr>
          <w:rStyle w:val="FootnoteReference"/>
          <w:rFonts w:asciiTheme="majorHAnsi" w:hAnsiTheme="majorHAnsi" w:cs="Calibri"/>
          <w:sz w:val="20"/>
          <w:szCs w:val="20"/>
          <w:lang w:val="en"/>
        </w:rPr>
        <w:footnoteReference w:id="48"/>
      </w:r>
      <w:r w:rsidRPr="00327C05">
        <w:rPr>
          <w:rFonts w:asciiTheme="majorHAnsi" w:hAnsiTheme="majorHAnsi"/>
          <w:sz w:val="20"/>
          <w:szCs w:val="20"/>
          <w:lang w:val="en"/>
        </w:rPr>
        <w:t xml:space="preserve"> </w:t>
      </w:r>
    </w:p>
    <w:p w14:paraId="59A9A8C7" w14:textId="77777777" w:rsidR="00704058" w:rsidRPr="00327C05" w:rsidRDefault="00704058" w:rsidP="0070405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rPr>
      </w:pPr>
    </w:p>
    <w:p w14:paraId="5CBCADB0"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 xml:space="preserve">In this case, the Commission recalls that during the criminal processes against him, the alleged victim suffered a series of restrictions on his personal liberty and freedom of movement, with different degrees of severity. The measures included pretrial detention on two occasions—that is, from December 1985 to April 1986; and between March and November 1999—which were replaced by other measures, such as the requirement to appear regularly before different authorities and the ban on leaving the country and the province, which required him to obtain authorization and post a bond in order to do so. The information available indicates that these measures extended throughout the criminal process, which, as already indicated, lasted for the unreasonably-long period of 20 years. Under these circumstances, the IACHR finds that a reasonable time limit was not placed on the measures, and therefore, they constituted a preemptive punishment for the charges and limitations on the alleged victim’s rights.  </w:t>
      </w:r>
    </w:p>
    <w:p w14:paraId="4D601925" w14:textId="77777777" w:rsidR="00704058" w:rsidRPr="00327C05" w:rsidRDefault="00704058" w:rsidP="00704058">
      <w:pPr>
        <w:rPr>
          <w:rFonts w:asciiTheme="majorHAnsi" w:hAnsiTheme="majorHAnsi"/>
          <w:sz w:val="20"/>
          <w:szCs w:val="20"/>
        </w:rPr>
      </w:pPr>
    </w:p>
    <w:p w14:paraId="7AB182F8"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 xml:space="preserve">The Commission also observes that, according to the information available, in 2012, the alleged victim tried to leave the country but was prevented from doing so because of an existing travel ban. The Commission finds that the continuation of the ban for a period obviously longer than the punishment imposed, particularly following the Supreme Court’s decision, is not grounded in the objectives required by Inter-American standards for limiting freedom of movement. </w:t>
      </w:r>
    </w:p>
    <w:p w14:paraId="06FA5ED5" w14:textId="77777777" w:rsidR="00704058" w:rsidRPr="00327C05" w:rsidRDefault="00704058" w:rsidP="0070405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rPr>
      </w:pPr>
      <w:r w:rsidRPr="00327C05">
        <w:rPr>
          <w:rFonts w:asciiTheme="majorHAnsi" w:hAnsiTheme="majorHAnsi"/>
          <w:sz w:val="20"/>
          <w:szCs w:val="20"/>
          <w:lang w:val="en"/>
        </w:rPr>
        <w:t xml:space="preserve"> </w:t>
      </w:r>
    </w:p>
    <w:p w14:paraId="4E14B2B9"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 xml:space="preserve">Based on this, the IACHR concludes that the State is responsible for the violation of the rights established in articles 7(5), 8(2), 22(1), 22(2), and 22(3), in conjunction with Article 1(1) of the Convention, to the detriment of </w:t>
      </w:r>
      <w:proofErr w:type="spellStart"/>
      <w:r w:rsidRPr="00327C05">
        <w:rPr>
          <w:rFonts w:asciiTheme="majorHAnsi" w:hAnsiTheme="majorHAnsi"/>
          <w:sz w:val="20"/>
          <w:szCs w:val="20"/>
          <w:lang w:val="en"/>
        </w:rPr>
        <w:t>Ángel</w:t>
      </w:r>
      <w:proofErr w:type="spellEnd"/>
      <w:r w:rsidRPr="00327C05">
        <w:rPr>
          <w:rFonts w:asciiTheme="majorHAnsi" w:hAnsiTheme="majorHAnsi"/>
          <w:sz w:val="20"/>
          <w:szCs w:val="20"/>
          <w:lang w:val="en"/>
        </w:rPr>
        <w:t xml:space="preserve"> Pedro </w:t>
      </w:r>
      <w:proofErr w:type="spellStart"/>
      <w:r w:rsidRPr="00327C05">
        <w:rPr>
          <w:rFonts w:asciiTheme="majorHAnsi" w:hAnsiTheme="majorHAnsi"/>
          <w:sz w:val="20"/>
          <w:szCs w:val="20"/>
          <w:lang w:val="en"/>
        </w:rPr>
        <w:t>Falanga</w:t>
      </w:r>
      <w:proofErr w:type="spellEnd"/>
      <w:r w:rsidRPr="00327C05">
        <w:rPr>
          <w:rFonts w:asciiTheme="majorHAnsi" w:hAnsiTheme="majorHAnsi"/>
          <w:sz w:val="20"/>
          <w:szCs w:val="20"/>
          <w:lang w:val="en"/>
        </w:rPr>
        <w:t xml:space="preserve">. </w:t>
      </w:r>
    </w:p>
    <w:p w14:paraId="614DB248" w14:textId="0D8A4195" w:rsidR="00704058" w:rsidRPr="00327C05" w:rsidRDefault="00704058" w:rsidP="00704058">
      <w:pPr>
        <w:rPr>
          <w:rFonts w:asciiTheme="majorHAnsi" w:eastAsia="Times New Roman" w:hAnsiTheme="majorHAnsi" w:cs="Arial"/>
          <w:b/>
          <w:bCs/>
          <w:iCs/>
          <w:sz w:val="20"/>
          <w:szCs w:val="18"/>
          <w:bdr w:val="none" w:sz="0" w:space="0" w:color="auto"/>
        </w:rPr>
      </w:pPr>
      <w:bookmarkStart w:id="47" w:name="_Toc5369478"/>
    </w:p>
    <w:p w14:paraId="7CBD5ACE" w14:textId="77777777" w:rsidR="00704058" w:rsidRPr="00327C05" w:rsidRDefault="00704058" w:rsidP="00C238F0">
      <w:pPr>
        <w:pStyle w:val="Heading2"/>
        <w:keepLines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before="0"/>
        <w:ind w:left="540" w:hanging="540"/>
        <w:jc w:val="both"/>
        <w:rPr>
          <w:color w:val="auto"/>
          <w:sz w:val="20"/>
          <w:szCs w:val="20"/>
          <w:lang w:val="en"/>
        </w:rPr>
      </w:pPr>
      <w:bookmarkStart w:id="48" w:name="_Toc6206762"/>
      <w:bookmarkStart w:id="49" w:name="_Toc99959798"/>
      <w:r w:rsidRPr="00327C05">
        <w:rPr>
          <w:color w:val="auto"/>
          <w:sz w:val="20"/>
          <w:szCs w:val="20"/>
          <w:lang w:val="en"/>
        </w:rPr>
        <w:t>Principles of legality and favorability</w:t>
      </w:r>
      <w:r w:rsidRPr="00327C05">
        <w:rPr>
          <w:color w:val="auto"/>
          <w:sz w:val="20"/>
          <w:szCs w:val="20"/>
          <w:vertAlign w:val="superscript"/>
        </w:rPr>
        <w:footnoteReference w:id="49"/>
      </w:r>
      <w:bookmarkEnd w:id="47"/>
      <w:bookmarkEnd w:id="48"/>
      <w:bookmarkEnd w:id="49"/>
    </w:p>
    <w:p w14:paraId="07518B33" w14:textId="77777777" w:rsidR="00704058" w:rsidRPr="00327C05" w:rsidRDefault="00704058" w:rsidP="00704058">
      <w:pPr>
        <w:pStyle w:val="ListParagraph"/>
        <w:rPr>
          <w:rFonts w:asciiTheme="majorHAnsi" w:hAnsiTheme="majorHAnsi"/>
          <w:sz w:val="20"/>
          <w:szCs w:val="20"/>
        </w:rPr>
      </w:pPr>
    </w:p>
    <w:p w14:paraId="5E55C877"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The Commission recalls that the principle of legality recognized in Article 9 of the Convention governs the actions of State bodies when they move to exercise their power to punish.</w:t>
      </w:r>
      <w:r w:rsidRPr="00327C05">
        <w:rPr>
          <w:rFonts w:asciiTheme="majorHAnsi" w:hAnsiTheme="majorHAnsi"/>
          <w:sz w:val="20"/>
          <w:szCs w:val="20"/>
          <w:vertAlign w:val="superscript"/>
          <w:lang w:val="en"/>
        </w:rPr>
        <w:footnoteReference w:id="50"/>
      </w:r>
      <w:r w:rsidRPr="00327C05">
        <w:rPr>
          <w:rFonts w:asciiTheme="majorHAnsi" w:hAnsiTheme="majorHAnsi"/>
          <w:sz w:val="20"/>
          <w:szCs w:val="20"/>
          <w:lang w:val="en"/>
        </w:rPr>
        <w:t xml:space="preserve">  The Court has indicated that, as a corollary to the principle of legality, pursuant to Article 9 of the Convention, the State is prohibited from exercising its punitive power by retroactively applying criminal laws that increase punishments, establish aggravating factors, or establish aggravated forms of </w:t>
      </w:r>
      <w:proofErr w:type="spellStart"/>
      <w:r w:rsidRPr="00327C05">
        <w:rPr>
          <w:rFonts w:asciiTheme="majorHAnsi" w:hAnsiTheme="majorHAnsi"/>
          <w:sz w:val="20"/>
          <w:szCs w:val="20"/>
          <w:lang w:val="en"/>
        </w:rPr>
        <w:t>a</w:t>
      </w:r>
      <w:proofErr w:type="spellEnd"/>
      <w:r w:rsidRPr="00327C05">
        <w:rPr>
          <w:rFonts w:asciiTheme="majorHAnsi" w:hAnsiTheme="majorHAnsi"/>
          <w:sz w:val="20"/>
          <w:szCs w:val="20"/>
          <w:lang w:val="en"/>
        </w:rPr>
        <w:t xml:space="preserve"> offense.</w:t>
      </w:r>
      <w:r w:rsidRPr="00327C05">
        <w:rPr>
          <w:rFonts w:asciiTheme="majorHAnsi" w:hAnsiTheme="majorHAnsi"/>
          <w:sz w:val="20"/>
          <w:szCs w:val="20"/>
          <w:vertAlign w:val="superscript"/>
          <w:lang w:val="en"/>
        </w:rPr>
        <w:footnoteReference w:id="51"/>
      </w:r>
      <w:r w:rsidRPr="00327C05">
        <w:rPr>
          <w:rFonts w:asciiTheme="majorHAnsi" w:hAnsiTheme="majorHAnsi"/>
          <w:sz w:val="20"/>
          <w:szCs w:val="20"/>
          <w:lang w:val="en"/>
        </w:rPr>
        <w:t xml:space="preserve"> Along these lines, the Court has also established that the same provision underpins the principle of the retroactivity of the most favorable criminal law, on finding that, “If subsequent to the commission of the offense the law provides for the imposition of a lighter punishment, the guilty person shall benefit therefrom.”</w:t>
      </w:r>
      <w:r w:rsidRPr="00327C05">
        <w:rPr>
          <w:rFonts w:asciiTheme="majorHAnsi" w:hAnsiTheme="majorHAnsi"/>
          <w:sz w:val="20"/>
          <w:szCs w:val="20"/>
          <w:vertAlign w:val="superscript"/>
          <w:lang w:val="en"/>
        </w:rPr>
        <w:footnoteReference w:id="52"/>
      </w:r>
    </w:p>
    <w:p w14:paraId="1BF86C20" w14:textId="77777777" w:rsidR="00704058" w:rsidRPr="00327C05" w:rsidRDefault="00704058" w:rsidP="0070405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rPr>
      </w:pPr>
    </w:p>
    <w:p w14:paraId="2458DADF"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 xml:space="preserve">In this case, the petitioner argued that the principle of favorability of the most favorable criminal law was violated, as the crime of monopoly was repealed and replaced by a less harsh law, which nevertheless was not applied in his case. It also stated that the offense of economic subversion was decriminalized in 2002, but that this decriminalization was not applied to this case. </w:t>
      </w:r>
    </w:p>
    <w:p w14:paraId="7FD16F48" w14:textId="77777777" w:rsidR="00704058" w:rsidRPr="00327C05" w:rsidRDefault="00704058" w:rsidP="00704058">
      <w:pPr>
        <w:pStyle w:val="ListParagraph"/>
        <w:rPr>
          <w:rFonts w:asciiTheme="majorHAnsi" w:hAnsiTheme="majorHAnsi"/>
          <w:sz w:val="20"/>
          <w:szCs w:val="20"/>
        </w:rPr>
      </w:pPr>
    </w:p>
    <w:p w14:paraId="20A707EE"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 xml:space="preserve">Regarding this, the Commission underscores that although Law 12,906 was repealed and replaced by Law 22,262 in August 1980, a judgment issued on November 7, 1995, by the Court B of the Federal Appeals Chamber of Mendoza, which was the final judgment regarding the crime of monopoly, the Court substantively analyzed the argument of favorability and determined that Law 22,263 was no less harsh and would not benefit Mr. </w:t>
      </w:r>
      <w:proofErr w:type="spellStart"/>
      <w:r w:rsidRPr="00327C05">
        <w:rPr>
          <w:rFonts w:asciiTheme="majorHAnsi" w:hAnsiTheme="majorHAnsi"/>
          <w:sz w:val="20"/>
          <w:szCs w:val="20"/>
          <w:lang w:val="en"/>
        </w:rPr>
        <w:t>Falanga</w:t>
      </w:r>
      <w:proofErr w:type="spellEnd"/>
      <w:r w:rsidRPr="00327C05">
        <w:rPr>
          <w:rFonts w:asciiTheme="majorHAnsi" w:hAnsiTheme="majorHAnsi"/>
          <w:sz w:val="20"/>
          <w:szCs w:val="20"/>
          <w:lang w:val="en"/>
        </w:rPr>
        <w:t>. This involves interpretation of criminal law, which falls primarily to domestic criminal judges, and the Commission does not have additional elements indicating the interpretation is arbitrary or a violation of the American Convention. Regarding the crime of economic subversion, the IACHR underscores that the petitioner did not provide information proving that this criminal offense was subsequently decriminalized, nor did it provide the exact date on which it happened to enable a determination—with certainty—that the punishment was materially without merit</w:t>
      </w:r>
      <w:r w:rsidRPr="00327C05">
        <w:rPr>
          <w:rStyle w:val="FootnoteReference"/>
          <w:rFonts w:asciiTheme="majorHAnsi" w:hAnsiTheme="majorHAnsi"/>
          <w:sz w:val="20"/>
          <w:szCs w:val="20"/>
          <w:lang w:val="en"/>
        </w:rPr>
        <w:footnoteReference w:id="53"/>
      </w:r>
      <w:r w:rsidRPr="00327C05">
        <w:rPr>
          <w:rFonts w:asciiTheme="majorHAnsi" w:hAnsiTheme="majorHAnsi"/>
          <w:sz w:val="20"/>
          <w:szCs w:val="20"/>
          <w:lang w:val="en"/>
        </w:rPr>
        <w:t xml:space="preserve"> or other potential effects that the alleged decriminalization would have on Mr. </w:t>
      </w:r>
      <w:proofErr w:type="spellStart"/>
      <w:r w:rsidRPr="00327C05">
        <w:rPr>
          <w:rFonts w:asciiTheme="majorHAnsi" w:hAnsiTheme="majorHAnsi"/>
          <w:sz w:val="20"/>
          <w:szCs w:val="20"/>
          <w:lang w:val="en"/>
        </w:rPr>
        <w:t>Falanga’s</w:t>
      </w:r>
      <w:proofErr w:type="spellEnd"/>
      <w:r w:rsidRPr="00327C05">
        <w:rPr>
          <w:rFonts w:asciiTheme="majorHAnsi" w:hAnsiTheme="majorHAnsi"/>
          <w:sz w:val="20"/>
          <w:szCs w:val="20"/>
          <w:lang w:val="en"/>
        </w:rPr>
        <w:t xml:space="preserve"> situation.  </w:t>
      </w:r>
    </w:p>
    <w:p w14:paraId="42E80928" w14:textId="77777777" w:rsidR="00704058" w:rsidRPr="00327C05" w:rsidRDefault="00704058" w:rsidP="00704058">
      <w:pPr>
        <w:pStyle w:val="ListParagraph"/>
        <w:ind w:left="0"/>
        <w:rPr>
          <w:rFonts w:asciiTheme="majorHAnsi" w:hAnsiTheme="majorHAnsi"/>
          <w:sz w:val="20"/>
          <w:szCs w:val="20"/>
        </w:rPr>
      </w:pPr>
    </w:p>
    <w:p w14:paraId="5AB4193F"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 xml:space="preserve">Therefore, the Commission finds that the State is not responsible for the violation of the principles of legality and favorability established in Article 9 of the American Convention. </w:t>
      </w:r>
    </w:p>
    <w:p w14:paraId="4A397E4C" w14:textId="121BFD6D" w:rsidR="00704058" w:rsidRPr="00327C05" w:rsidRDefault="00704058" w:rsidP="0070405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rPr>
      </w:pPr>
    </w:p>
    <w:p w14:paraId="2AEA9AB6" w14:textId="24D2D843" w:rsidR="00187B6A" w:rsidRPr="00327C05" w:rsidRDefault="00AF4EDA" w:rsidP="00187B6A">
      <w:pPr>
        <w:pStyle w:val="Heading1"/>
        <w:tabs>
          <w:tab w:val="left" w:pos="567"/>
        </w:tabs>
        <w:spacing w:before="0"/>
        <w:ind w:left="0" w:firstLine="0"/>
        <w:rPr>
          <w:color w:val="auto"/>
          <w:sz w:val="20"/>
          <w:szCs w:val="20"/>
          <w:lang w:val="en"/>
        </w:rPr>
      </w:pPr>
      <w:bookmarkStart w:id="50" w:name="_Toc99959799"/>
      <w:r w:rsidRPr="00327C05">
        <w:rPr>
          <w:color w:val="auto"/>
          <w:sz w:val="20"/>
          <w:szCs w:val="20"/>
          <w:lang w:val="en"/>
        </w:rPr>
        <w:t>PROCEEDINGS SUBSEQUENT</w:t>
      </w:r>
      <w:r w:rsidR="00187B6A" w:rsidRPr="00327C05">
        <w:rPr>
          <w:color w:val="auto"/>
          <w:sz w:val="20"/>
          <w:szCs w:val="20"/>
          <w:lang w:val="en"/>
        </w:rPr>
        <w:t xml:space="preserve"> TO REPORT No. 53/19</w:t>
      </w:r>
      <w:bookmarkEnd w:id="50"/>
    </w:p>
    <w:p w14:paraId="053DFF3A" w14:textId="77777777" w:rsidR="00187B6A" w:rsidRPr="00327C05" w:rsidRDefault="00187B6A" w:rsidP="00187B6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rPr>
          <w:rFonts w:asciiTheme="majorHAnsi" w:hAnsiTheme="majorHAnsi"/>
          <w:sz w:val="20"/>
          <w:szCs w:val="20"/>
        </w:rPr>
      </w:pPr>
    </w:p>
    <w:p w14:paraId="56D6064E" w14:textId="4809CC9F" w:rsidR="00187B6A" w:rsidRPr="00327C05" w:rsidRDefault="00187B6A" w:rsidP="00AF4ED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The</w:t>
      </w:r>
      <w:r w:rsidRPr="00327C05">
        <w:rPr>
          <w:rFonts w:asciiTheme="majorHAnsi" w:hAnsiTheme="majorHAnsi"/>
          <w:sz w:val="20"/>
          <w:szCs w:val="20"/>
        </w:rPr>
        <w:t xml:space="preserve"> Commission adopted Merits Report No. 53/19 on May 4, 2019, comprising paragraphs 1 to 75 above, and transmitted it to the State on June 13 of the same year. In that report the Commission recommended:</w:t>
      </w:r>
    </w:p>
    <w:p w14:paraId="7B82126D" w14:textId="53F567BA" w:rsidR="00187B6A" w:rsidRPr="00327C05" w:rsidRDefault="00187B6A" w:rsidP="00187B6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660"/>
        <w:jc w:val="both"/>
        <w:rPr>
          <w:rFonts w:asciiTheme="majorHAnsi" w:hAnsiTheme="majorHAnsi"/>
          <w:sz w:val="20"/>
          <w:szCs w:val="20"/>
        </w:rPr>
      </w:pPr>
    </w:p>
    <w:p w14:paraId="776412D0" w14:textId="77777777" w:rsidR="00AF4EDA" w:rsidRPr="00327C05" w:rsidRDefault="00AF4EDA" w:rsidP="00AF4EDA">
      <w:pPr>
        <w:pStyle w:val="BodyText3"/>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num" w:pos="0"/>
          <w:tab w:val="left" w:pos="720"/>
          <w:tab w:val="left" w:pos="1440"/>
          <w:tab w:val="left" w:pos="9360"/>
        </w:tabs>
        <w:spacing w:after="0"/>
        <w:ind w:left="0" w:firstLine="0"/>
        <w:jc w:val="both"/>
        <w:rPr>
          <w:rFonts w:asciiTheme="majorHAnsi" w:hAnsiTheme="majorHAnsi"/>
          <w:sz w:val="20"/>
          <w:szCs w:val="20"/>
        </w:rPr>
      </w:pPr>
      <w:r w:rsidRPr="00327C05">
        <w:rPr>
          <w:rFonts w:asciiTheme="majorHAnsi" w:hAnsiTheme="majorHAnsi"/>
          <w:sz w:val="20"/>
          <w:szCs w:val="20"/>
          <w:lang w:val="en"/>
        </w:rPr>
        <w:t xml:space="preserve">Provide full pecuniary and nonpecuniary reparations for the rights violations declared in this report. </w:t>
      </w:r>
    </w:p>
    <w:p w14:paraId="5532A3A2" w14:textId="77777777" w:rsidR="00AF4EDA" w:rsidRPr="00327C05" w:rsidRDefault="00AF4EDA" w:rsidP="00AF4EDA">
      <w:pPr>
        <w:pStyle w:val="BodyText3"/>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 w:val="left" w:pos="1440"/>
          <w:tab w:val="left" w:pos="9360"/>
        </w:tabs>
        <w:spacing w:after="0"/>
        <w:jc w:val="both"/>
        <w:rPr>
          <w:rFonts w:asciiTheme="majorHAnsi" w:hAnsiTheme="majorHAnsi"/>
          <w:sz w:val="20"/>
          <w:szCs w:val="20"/>
        </w:rPr>
      </w:pPr>
    </w:p>
    <w:p w14:paraId="12BC5140" w14:textId="77777777" w:rsidR="00AF4EDA" w:rsidRPr="00327C05" w:rsidRDefault="00AF4EDA" w:rsidP="00AF4EDA">
      <w:pPr>
        <w:pStyle w:val="BodyText3"/>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num" w:pos="0"/>
          <w:tab w:val="left" w:pos="720"/>
          <w:tab w:val="left" w:pos="1440"/>
          <w:tab w:val="left" w:pos="9360"/>
        </w:tabs>
        <w:spacing w:after="0"/>
        <w:ind w:left="0" w:firstLine="0"/>
        <w:jc w:val="both"/>
        <w:rPr>
          <w:rFonts w:asciiTheme="majorHAnsi" w:hAnsiTheme="majorHAnsi"/>
          <w:sz w:val="20"/>
          <w:szCs w:val="20"/>
        </w:rPr>
      </w:pPr>
      <w:r w:rsidRPr="00327C05">
        <w:rPr>
          <w:rFonts w:asciiTheme="majorHAnsi" w:hAnsiTheme="majorHAnsi"/>
          <w:sz w:val="20"/>
          <w:szCs w:val="20"/>
          <w:lang w:val="en"/>
        </w:rPr>
        <w:t xml:space="preserve">Order the measures of non-repetition necessary to ensure that in practice, criminal processes are conducted within a reasonable period of time, and that the precautionary measures ordered during that period do not extend to unreasonable durations and become preemptive punishments. </w:t>
      </w:r>
    </w:p>
    <w:p w14:paraId="08992D1B" w14:textId="6A10BEDD" w:rsidR="00AF4EDA" w:rsidRPr="00327C05" w:rsidRDefault="00AF4EDA" w:rsidP="00187B6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660"/>
        <w:jc w:val="both"/>
        <w:rPr>
          <w:rFonts w:asciiTheme="majorHAnsi" w:hAnsiTheme="majorHAnsi"/>
          <w:sz w:val="20"/>
          <w:szCs w:val="20"/>
        </w:rPr>
      </w:pPr>
    </w:p>
    <w:p w14:paraId="216ED6E0" w14:textId="40D0C212" w:rsidR="00AF4EDA" w:rsidRPr="00327C05" w:rsidRDefault="00AF4EDA" w:rsidP="00AF4ED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In</w:t>
      </w:r>
      <w:r w:rsidRPr="00327C05">
        <w:rPr>
          <w:rFonts w:asciiTheme="majorHAnsi" w:hAnsiTheme="majorHAnsi"/>
          <w:sz w:val="20"/>
          <w:szCs w:val="20"/>
        </w:rPr>
        <w:t xml:space="preserve"> the proceedings subsequent to the notification of the merits report, the Commission received several reports from the State and briefs from the petitioner regarding compliance with the recommendations established by the IACHR. During this period, the Commission granted 7 extensions to the State for the suspension of the time period provided for in Article 51 of the American Convention. In these extension requests, the Argentine State reiterated its willingness to comply with the recommendations. It also expressly waived the right to file preliminary objections for failure to comply with the deadline in the event that the case was submitted to the Inter-American Court.</w:t>
      </w:r>
    </w:p>
    <w:p w14:paraId="34361CA1" w14:textId="77777777" w:rsidR="00AF4EDA" w:rsidRPr="00327C05" w:rsidRDefault="00AF4EDA" w:rsidP="00AF4ED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660"/>
        <w:rPr>
          <w:rFonts w:asciiTheme="majorHAnsi" w:hAnsiTheme="majorHAnsi"/>
          <w:sz w:val="20"/>
          <w:szCs w:val="20"/>
        </w:rPr>
      </w:pPr>
    </w:p>
    <w:p w14:paraId="1AF50A62" w14:textId="46397A43" w:rsidR="00AF4EDA" w:rsidRPr="00327C05" w:rsidRDefault="00AF4EDA" w:rsidP="00AF4ED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After</w:t>
      </w:r>
      <w:r w:rsidRPr="00327C05">
        <w:rPr>
          <w:rFonts w:asciiTheme="majorHAnsi" w:hAnsiTheme="majorHAnsi"/>
          <w:sz w:val="20"/>
          <w:szCs w:val="20"/>
        </w:rPr>
        <w:t xml:space="preserve"> evaluating the available information on the status of compliance with the recommendations, the Commission decided on May 6, 2021, by absolute majority not to send the case to the Inter-American Court and to proceed with the publication of the merits report. In the section below, the Commission makes its determinations on compliance with its recommendations.</w:t>
      </w:r>
    </w:p>
    <w:p w14:paraId="459C066D" w14:textId="72318A49" w:rsidR="00AF4EDA" w:rsidRPr="00327C05" w:rsidRDefault="00AF4EDA" w:rsidP="00AF4ED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660"/>
        <w:rPr>
          <w:rFonts w:asciiTheme="majorHAnsi" w:hAnsiTheme="majorHAnsi"/>
          <w:sz w:val="20"/>
          <w:szCs w:val="20"/>
        </w:rPr>
      </w:pPr>
    </w:p>
    <w:p w14:paraId="2D63998D" w14:textId="77777777" w:rsidR="00AF4EDA" w:rsidRPr="00327C05" w:rsidRDefault="00AF4EDA" w:rsidP="00AF4EDA">
      <w:pPr>
        <w:pStyle w:val="Heading1"/>
        <w:numPr>
          <w:ilvl w:val="0"/>
          <w:numId w:val="0"/>
        </w:numPr>
        <w:tabs>
          <w:tab w:val="left" w:pos="567"/>
        </w:tabs>
        <w:spacing w:before="0"/>
        <w:rPr>
          <w:color w:val="auto"/>
          <w:sz w:val="20"/>
          <w:szCs w:val="20"/>
          <w:lang w:val="en"/>
        </w:rPr>
      </w:pPr>
      <w:bookmarkStart w:id="51" w:name="_Toc99959800"/>
      <w:r w:rsidRPr="00327C05">
        <w:rPr>
          <w:color w:val="auto"/>
          <w:sz w:val="20"/>
          <w:szCs w:val="20"/>
          <w:lang w:val="en"/>
        </w:rPr>
        <w:t>VI.</w:t>
      </w:r>
      <w:r w:rsidRPr="00327C05">
        <w:rPr>
          <w:color w:val="auto"/>
          <w:sz w:val="20"/>
          <w:szCs w:val="20"/>
          <w:lang w:val="en"/>
        </w:rPr>
        <w:tab/>
        <w:t>ANALYSIS OF COMPLIANCE WITH RECOMMENDATIONS</w:t>
      </w:r>
      <w:bookmarkEnd w:id="51"/>
    </w:p>
    <w:p w14:paraId="61067469" w14:textId="77777777" w:rsidR="00AF4EDA" w:rsidRPr="00327C05" w:rsidRDefault="00AF4EDA" w:rsidP="00AF4ED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660"/>
        <w:rPr>
          <w:rFonts w:asciiTheme="majorHAnsi" w:hAnsiTheme="majorHAnsi"/>
          <w:sz w:val="20"/>
          <w:szCs w:val="20"/>
        </w:rPr>
      </w:pPr>
    </w:p>
    <w:p w14:paraId="4FACD734" w14:textId="4B3EBF53" w:rsidR="00AF4EDA" w:rsidRPr="00327C05" w:rsidRDefault="00AF4EDA" w:rsidP="00AF4ED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The</w:t>
      </w:r>
      <w:r w:rsidRPr="00327C05">
        <w:rPr>
          <w:rFonts w:asciiTheme="majorHAnsi" w:hAnsiTheme="majorHAnsi"/>
          <w:sz w:val="20"/>
          <w:szCs w:val="20"/>
        </w:rPr>
        <w:t xml:space="preserve"> IACHR notes that on July 16, 2020, the parties signed an "Agreement on Compliance with Recommendations". The Commission also notes that on March 8, 2021, Executive Decree No. 149/2021 was published in the Official Gazette, approving said agreement.</w:t>
      </w:r>
    </w:p>
    <w:p w14:paraId="34C8D7C8" w14:textId="77777777" w:rsidR="00AF4EDA" w:rsidRPr="00327C05" w:rsidRDefault="00AF4EDA" w:rsidP="00AF4ED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660"/>
        <w:rPr>
          <w:rFonts w:asciiTheme="majorHAnsi" w:hAnsiTheme="majorHAnsi"/>
          <w:sz w:val="20"/>
          <w:szCs w:val="20"/>
        </w:rPr>
      </w:pPr>
    </w:p>
    <w:p w14:paraId="180AF118" w14:textId="59A39DCC" w:rsidR="00AF4EDA" w:rsidRPr="00327C05" w:rsidRDefault="00AF4EDA" w:rsidP="00AF4ED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The</w:t>
      </w:r>
      <w:r w:rsidRPr="00327C05">
        <w:rPr>
          <w:rFonts w:asciiTheme="majorHAnsi" w:hAnsiTheme="majorHAnsi"/>
          <w:sz w:val="20"/>
          <w:szCs w:val="20"/>
        </w:rPr>
        <w:t xml:space="preserve"> Commission notes that the Agreement on Compliance with Recommendations states that the State shall adopt the following measures: </w:t>
      </w:r>
    </w:p>
    <w:p w14:paraId="76CFEC99" w14:textId="77777777" w:rsidR="00AF4EDA" w:rsidRPr="00327C05" w:rsidRDefault="00AF4EDA" w:rsidP="00AF4ED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660"/>
        <w:rPr>
          <w:rFonts w:asciiTheme="majorHAnsi" w:hAnsiTheme="majorHAnsi"/>
          <w:sz w:val="20"/>
          <w:szCs w:val="20"/>
        </w:rPr>
      </w:pPr>
    </w:p>
    <w:p w14:paraId="21B4A358" w14:textId="77777777" w:rsidR="00AF4EDA" w:rsidRPr="00327C05" w:rsidRDefault="00AF4EDA" w:rsidP="00AF4ED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660"/>
        <w:jc w:val="both"/>
        <w:rPr>
          <w:rFonts w:asciiTheme="majorHAnsi" w:hAnsiTheme="majorHAnsi"/>
          <w:sz w:val="20"/>
          <w:szCs w:val="20"/>
        </w:rPr>
      </w:pPr>
      <w:r w:rsidRPr="00327C05">
        <w:rPr>
          <w:rFonts w:asciiTheme="majorHAnsi" w:hAnsiTheme="majorHAnsi"/>
          <w:sz w:val="20"/>
          <w:szCs w:val="20"/>
        </w:rPr>
        <w:t>1.</w:t>
      </w:r>
      <w:r w:rsidRPr="00327C05">
        <w:rPr>
          <w:rFonts w:asciiTheme="majorHAnsi" w:hAnsiTheme="majorHAnsi"/>
          <w:sz w:val="20"/>
          <w:szCs w:val="20"/>
        </w:rPr>
        <w:tab/>
        <w:t xml:space="preserve">Non-pecuniary reparation measures: (a) publish the agreement in the "Official Gazette of the Argentine Republic"; (b) the parties understand that the full force and effect of the new Code of Criminal Procedure of the Nation gives satisfaction to the second recommendation of the Merits Report, (c) forward a copy of the Merits Report and the agreement to the Supreme Court of Justice of the Nation and to the General Board of Courts, for their knowledge, "taking into account that the report contains valuable guidelines for the interpretation of the international obligations enforceable in matters of reasonable time in judicial proceedings and the duration of precautionary measures adopted in criminal proceedings"; to forward a copy of the Merits Report and the agreement to the judicial authorities involved in the criminal case against Mr. </w:t>
      </w:r>
      <w:proofErr w:type="spellStart"/>
      <w:r w:rsidRPr="00327C05">
        <w:rPr>
          <w:rFonts w:asciiTheme="majorHAnsi" w:hAnsiTheme="majorHAnsi"/>
          <w:sz w:val="20"/>
          <w:szCs w:val="20"/>
        </w:rPr>
        <w:t>Falanga</w:t>
      </w:r>
      <w:proofErr w:type="spellEnd"/>
      <w:r w:rsidRPr="00327C05">
        <w:rPr>
          <w:rFonts w:asciiTheme="majorHAnsi" w:hAnsiTheme="majorHAnsi"/>
          <w:sz w:val="20"/>
          <w:szCs w:val="20"/>
        </w:rPr>
        <w:t>.</w:t>
      </w:r>
    </w:p>
    <w:p w14:paraId="29EB20E4" w14:textId="77777777" w:rsidR="00AF4EDA" w:rsidRPr="00327C05" w:rsidRDefault="00AF4EDA" w:rsidP="00AF4ED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660"/>
        <w:rPr>
          <w:rFonts w:asciiTheme="majorHAnsi" w:hAnsiTheme="majorHAnsi"/>
          <w:sz w:val="20"/>
          <w:szCs w:val="20"/>
        </w:rPr>
      </w:pPr>
    </w:p>
    <w:p w14:paraId="3C598DF7" w14:textId="424959D6" w:rsidR="00AF4EDA" w:rsidRPr="00327C05" w:rsidRDefault="00AF4EDA" w:rsidP="00AF4ED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660"/>
        <w:jc w:val="both"/>
        <w:rPr>
          <w:rFonts w:asciiTheme="majorHAnsi" w:hAnsiTheme="majorHAnsi"/>
          <w:sz w:val="20"/>
          <w:szCs w:val="20"/>
        </w:rPr>
      </w:pPr>
      <w:r w:rsidRPr="00327C05">
        <w:rPr>
          <w:rFonts w:asciiTheme="majorHAnsi" w:hAnsiTheme="majorHAnsi"/>
          <w:sz w:val="20"/>
          <w:szCs w:val="20"/>
        </w:rPr>
        <w:t xml:space="preserve">2. </w:t>
      </w:r>
      <w:r w:rsidRPr="00327C05">
        <w:rPr>
          <w:rFonts w:asciiTheme="majorHAnsi" w:hAnsiTheme="majorHAnsi"/>
          <w:sz w:val="20"/>
          <w:szCs w:val="20"/>
        </w:rPr>
        <w:tab/>
        <w:t>Measures of pecuniary reparation: constitute an ad-hoc Arbitral Tribunal to determine the pecuniary reparations and the costs of the international and arbitration proceedings, in accordance with the international standards established by the Inter-American Court. The tribunal shall be formed no later than 45 days from the publication of the Decree. The arbitration process shall begin once the IACHR approves the agreement and publishes the report provided for in Article 51.1 of the Convention.</w:t>
      </w:r>
    </w:p>
    <w:p w14:paraId="52A80CFA" w14:textId="77777777" w:rsidR="00AF4EDA" w:rsidRPr="00327C05" w:rsidRDefault="00AF4EDA" w:rsidP="00AF4ED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660"/>
        <w:rPr>
          <w:rFonts w:asciiTheme="majorHAnsi" w:hAnsiTheme="majorHAnsi"/>
          <w:sz w:val="20"/>
          <w:szCs w:val="20"/>
        </w:rPr>
      </w:pPr>
    </w:p>
    <w:p w14:paraId="1406C145" w14:textId="29F6D7BE" w:rsidR="00AF4EDA" w:rsidRPr="00327C05" w:rsidRDefault="00AF4EDA" w:rsidP="00AF4ED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The</w:t>
      </w:r>
      <w:r w:rsidRPr="00327C05">
        <w:rPr>
          <w:rFonts w:asciiTheme="majorHAnsi" w:hAnsiTheme="majorHAnsi"/>
          <w:sz w:val="20"/>
          <w:szCs w:val="20"/>
        </w:rPr>
        <w:t xml:space="preserve"> IACHR assesses the measures adopted by the State to reach an agreement on compliance with recommendations with the petitioning party. </w:t>
      </w:r>
    </w:p>
    <w:p w14:paraId="62311D80" w14:textId="77777777" w:rsidR="00AF4EDA" w:rsidRPr="00327C05" w:rsidRDefault="00AF4EDA" w:rsidP="00AF4ED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660"/>
        <w:rPr>
          <w:rFonts w:asciiTheme="majorHAnsi" w:hAnsiTheme="majorHAnsi"/>
          <w:sz w:val="20"/>
          <w:szCs w:val="20"/>
        </w:rPr>
      </w:pPr>
    </w:p>
    <w:p w14:paraId="1145A280" w14:textId="57E2FBEB" w:rsidR="00AF4EDA" w:rsidRPr="00327C05" w:rsidRDefault="00AF4EDA" w:rsidP="00AF4ED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proofErr w:type="spellStart"/>
      <w:r w:rsidRPr="00327C05">
        <w:rPr>
          <w:rFonts w:asciiTheme="majorHAnsi" w:hAnsiTheme="majorHAnsi"/>
          <w:sz w:val="20"/>
          <w:szCs w:val="20"/>
        </w:rPr>
        <w:t>T</w:t>
      </w:r>
      <w:r w:rsidRPr="00327C05">
        <w:rPr>
          <w:rFonts w:asciiTheme="majorHAnsi" w:hAnsiTheme="majorHAnsi"/>
          <w:sz w:val="20"/>
          <w:szCs w:val="20"/>
          <w:lang w:val="en"/>
        </w:rPr>
        <w:t>he</w:t>
      </w:r>
      <w:proofErr w:type="spellEnd"/>
      <w:r w:rsidRPr="00327C05">
        <w:rPr>
          <w:rFonts w:asciiTheme="majorHAnsi" w:hAnsiTheme="majorHAnsi"/>
          <w:sz w:val="20"/>
          <w:szCs w:val="20"/>
        </w:rPr>
        <w:t xml:space="preserve"> Commission notes that the parties understand that with the entry into force of the new Code of Criminal Procedure, the second recommendation of the IACHR, regarding measures of non-repetition, has been complied with. </w:t>
      </w:r>
      <w:r w:rsidR="00760B76" w:rsidRPr="00327C05">
        <w:rPr>
          <w:rFonts w:asciiTheme="majorHAnsi" w:hAnsiTheme="majorHAnsi"/>
          <w:sz w:val="20"/>
          <w:szCs w:val="20"/>
        </w:rPr>
        <w:t xml:space="preserve">In this regard, given that the Commission does not have detailed information on the norm or its implementation, it will not follow up on this measure of reparation, taking into account the will of the parties, although this does not prevent it from analyzing the content of said regulations on another occasion. </w:t>
      </w:r>
      <w:r w:rsidRPr="00327C05">
        <w:rPr>
          <w:rFonts w:asciiTheme="majorHAnsi" w:hAnsiTheme="majorHAnsi"/>
          <w:sz w:val="20"/>
          <w:szCs w:val="20"/>
        </w:rPr>
        <w:t>Likewise, with respect to the compliance agreement, the IACHR notes that the parties have made progress towards the establishment of the Arbitral Tribunal and that the agreed measures are still pending compliance.</w:t>
      </w:r>
    </w:p>
    <w:p w14:paraId="3777CAAA" w14:textId="60C69762" w:rsidR="00AF4EDA" w:rsidRPr="00327C05" w:rsidRDefault="00AF4EDA" w:rsidP="00AF4ED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660"/>
        <w:rPr>
          <w:rFonts w:asciiTheme="majorHAnsi" w:hAnsiTheme="majorHAnsi"/>
          <w:sz w:val="20"/>
          <w:szCs w:val="20"/>
        </w:rPr>
      </w:pPr>
    </w:p>
    <w:p w14:paraId="1728EF49" w14:textId="426A86D3" w:rsidR="00690EA0" w:rsidRPr="00327C05" w:rsidRDefault="00690EA0" w:rsidP="00690EA0">
      <w:pPr>
        <w:pStyle w:val="Heading1"/>
        <w:tabs>
          <w:tab w:val="left" w:pos="567"/>
        </w:tabs>
        <w:spacing w:before="0"/>
        <w:ind w:left="0" w:firstLine="0"/>
        <w:rPr>
          <w:color w:val="auto"/>
          <w:sz w:val="20"/>
          <w:szCs w:val="20"/>
          <w:lang w:val="en"/>
        </w:rPr>
      </w:pPr>
      <w:bookmarkStart w:id="52" w:name="_Toc511825784"/>
      <w:bookmarkStart w:id="53" w:name="_Toc83802569"/>
      <w:bookmarkStart w:id="54" w:name="_Toc99959801"/>
      <w:r w:rsidRPr="00327C05">
        <w:rPr>
          <w:color w:val="auto"/>
          <w:sz w:val="20"/>
          <w:szCs w:val="20"/>
          <w:lang w:val="en"/>
        </w:rPr>
        <w:t>PROCEEDINGS SUBSEQUENT TO REPORT No. 326/</w:t>
      </w:r>
      <w:bookmarkEnd w:id="52"/>
      <w:r w:rsidRPr="00327C05">
        <w:rPr>
          <w:color w:val="auto"/>
          <w:sz w:val="20"/>
          <w:szCs w:val="20"/>
          <w:lang w:val="en"/>
        </w:rPr>
        <w:t>21 AND INFORMATION ABOUT COMPLIANCE</w:t>
      </w:r>
      <w:bookmarkEnd w:id="53"/>
      <w:bookmarkEnd w:id="54"/>
    </w:p>
    <w:p w14:paraId="18707CEB" w14:textId="77777777" w:rsidR="00690EA0" w:rsidRPr="00327C05" w:rsidRDefault="00690EA0" w:rsidP="00690EA0">
      <w:pPr>
        <w:rPr>
          <w:rFonts w:asciiTheme="majorHAnsi" w:hAnsiTheme="majorHAnsi"/>
        </w:rPr>
      </w:pPr>
    </w:p>
    <w:p w14:paraId="2E74FC18" w14:textId="361F71AE" w:rsidR="00690EA0" w:rsidRPr="00327C05" w:rsidRDefault="00690EA0" w:rsidP="00690EA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The</w:t>
      </w:r>
      <w:r w:rsidRPr="00327C05">
        <w:rPr>
          <w:rFonts w:asciiTheme="majorHAnsi" w:hAnsiTheme="majorHAnsi"/>
          <w:sz w:val="20"/>
          <w:szCs w:val="20"/>
        </w:rPr>
        <w:t xml:space="preserve"> Commission adopted Merits Report No. 326/21 (final) on November 19, 2021 and transmitted it to the State on November 29 of the same year, granting it a period of four weeks to inform the IACHR on the measures adopted to comply with its recommendations. </w:t>
      </w:r>
    </w:p>
    <w:p w14:paraId="58F7EB73" w14:textId="77777777" w:rsidR="00690EA0" w:rsidRPr="00327C05" w:rsidRDefault="00690EA0" w:rsidP="00690EA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n-US"/>
        </w:rPr>
      </w:pPr>
    </w:p>
    <w:p w14:paraId="3DAA6677" w14:textId="2F77EB7A" w:rsidR="00690EA0" w:rsidRPr="00327C05" w:rsidRDefault="00690EA0" w:rsidP="00690EA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In</w:t>
      </w:r>
      <w:r w:rsidRPr="00327C05">
        <w:rPr>
          <w:rFonts w:asciiTheme="majorHAnsi" w:hAnsiTheme="majorHAnsi"/>
          <w:sz w:val="20"/>
          <w:szCs w:val="20"/>
        </w:rPr>
        <w:t xml:space="preserve"> the proceedings </w:t>
      </w:r>
      <w:proofErr w:type="gramStart"/>
      <w:r w:rsidRPr="00327C05">
        <w:rPr>
          <w:rFonts w:asciiTheme="majorHAnsi" w:hAnsiTheme="majorHAnsi"/>
          <w:sz w:val="20"/>
          <w:szCs w:val="20"/>
        </w:rPr>
        <w:t>subsequent to</w:t>
      </w:r>
      <w:proofErr w:type="gramEnd"/>
      <w:r w:rsidRPr="00327C05">
        <w:rPr>
          <w:rFonts w:asciiTheme="majorHAnsi" w:hAnsiTheme="majorHAnsi"/>
          <w:sz w:val="20"/>
          <w:szCs w:val="20"/>
        </w:rPr>
        <w:t xml:space="preserve"> the notification of the final merits report, the Commission </w:t>
      </w:r>
      <w:r w:rsidR="007D1294" w:rsidRPr="00327C05">
        <w:rPr>
          <w:rFonts w:asciiTheme="majorHAnsi" w:hAnsiTheme="majorHAnsi"/>
          <w:sz w:val="20"/>
          <w:szCs w:val="20"/>
        </w:rPr>
        <w:t xml:space="preserve">did not </w:t>
      </w:r>
      <w:r w:rsidRPr="00327C05">
        <w:rPr>
          <w:rFonts w:asciiTheme="majorHAnsi" w:hAnsiTheme="majorHAnsi"/>
          <w:sz w:val="20"/>
          <w:szCs w:val="20"/>
        </w:rPr>
        <w:t xml:space="preserve">receive </w:t>
      </w:r>
      <w:r w:rsidR="007D1294" w:rsidRPr="00327C05">
        <w:rPr>
          <w:rFonts w:asciiTheme="majorHAnsi" w:hAnsiTheme="majorHAnsi"/>
          <w:sz w:val="20"/>
          <w:szCs w:val="20"/>
        </w:rPr>
        <w:t>additional information</w:t>
      </w:r>
      <w:r w:rsidRPr="00327C05">
        <w:rPr>
          <w:rFonts w:asciiTheme="majorHAnsi" w:hAnsiTheme="majorHAnsi"/>
          <w:sz w:val="20"/>
          <w:szCs w:val="20"/>
        </w:rPr>
        <w:t xml:space="preserve"> from the State</w:t>
      </w:r>
      <w:r w:rsidR="007D1294" w:rsidRPr="00327C05">
        <w:rPr>
          <w:rFonts w:asciiTheme="majorHAnsi" w:hAnsiTheme="majorHAnsi" w:cs="Verdana"/>
          <w:sz w:val="20"/>
          <w:szCs w:val="20"/>
          <w:lang w:bidi="en-US"/>
        </w:rPr>
        <w:t>.</w:t>
      </w:r>
    </w:p>
    <w:p w14:paraId="3C8BDB3B" w14:textId="77777777" w:rsidR="00690EA0" w:rsidRPr="00327C05" w:rsidRDefault="00690EA0" w:rsidP="00690EA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rPr>
      </w:pPr>
    </w:p>
    <w:p w14:paraId="1AAEFF7B" w14:textId="4E953659" w:rsidR="00704058" w:rsidRPr="00327C05" w:rsidRDefault="0024494A" w:rsidP="00704058">
      <w:pPr>
        <w:pStyle w:val="Heading1"/>
        <w:tabs>
          <w:tab w:val="left" w:pos="567"/>
        </w:tabs>
        <w:spacing w:before="0"/>
        <w:ind w:left="0" w:firstLine="0"/>
        <w:rPr>
          <w:color w:val="auto"/>
          <w:sz w:val="20"/>
          <w:szCs w:val="20"/>
        </w:rPr>
      </w:pPr>
      <w:bookmarkStart w:id="55" w:name="_Toc6206763"/>
      <w:bookmarkStart w:id="56" w:name="_Toc5369479"/>
      <w:bookmarkStart w:id="57" w:name="_Toc99959802"/>
      <w:r w:rsidRPr="00327C05">
        <w:rPr>
          <w:color w:val="auto"/>
          <w:sz w:val="20"/>
          <w:szCs w:val="20"/>
          <w:lang w:val="en"/>
        </w:rPr>
        <w:t xml:space="preserve">FINAL </w:t>
      </w:r>
      <w:r w:rsidR="00704058" w:rsidRPr="00327C05">
        <w:rPr>
          <w:color w:val="auto"/>
          <w:sz w:val="20"/>
          <w:szCs w:val="20"/>
          <w:lang w:val="en"/>
        </w:rPr>
        <w:t>CONCLUSIONS AND RECOMMENDATIONS</w:t>
      </w:r>
      <w:bookmarkEnd w:id="55"/>
      <w:bookmarkEnd w:id="56"/>
      <w:bookmarkEnd w:id="57"/>
    </w:p>
    <w:p w14:paraId="468BCB4E" w14:textId="77777777" w:rsidR="00704058" w:rsidRPr="00327C05" w:rsidRDefault="00704058" w:rsidP="00704058">
      <w:pPr>
        <w:contextualSpacing/>
        <w:rPr>
          <w:rFonts w:asciiTheme="majorHAnsi" w:hAnsiTheme="majorHAnsi"/>
        </w:rPr>
      </w:pPr>
      <w:bookmarkStart w:id="58" w:name="_Toc521483541"/>
      <w:bookmarkStart w:id="59" w:name="_Toc527450128"/>
    </w:p>
    <w:bookmarkEnd w:id="58"/>
    <w:bookmarkEnd w:id="59"/>
    <w:p w14:paraId="7C033CF5"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cs="Arial"/>
          <w:sz w:val="20"/>
          <w:szCs w:val="20"/>
        </w:rPr>
      </w:pPr>
      <w:r w:rsidRPr="00327C05">
        <w:rPr>
          <w:rFonts w:asciiTheme="majorHAnsi" w:hAnsiTheme="majorHAnsi"/>
          <w:sz w:val="20"/>
          <w:szCs w:val="20"/>
          <w:lang w:val="en"/>
        </w:rPr>
        <w:t>The Commission concludes that the Argentine State is responsible for the violation of the rights established in articles 7(5) (personal liberty); 8(1) and 8(2) (fair trial); and 22(1), 22(2), and 22(3) (freedom of movement and residency) of the American Convention on Human Rights, in conjunction with the obligations established in articles 1(1) of the Convention.</w:t>
      </w:r>
    </w:p>
    <w:p w14:paraId="23468A1A" w14:textId="77777777" w:rsidR="00704058" w:rsidRPr="00327C05" w:rsidRDefault="00704058" w:rsidP="0070405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cs="Arial"/>
          <w:sz w:val="20"/>
          <w:szCs w:val="20"/>
        </w:rPr>
      </w:pPr>
    </w:p>
    <w:p w14:paraId="642CCE1A"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cs="Arial"/>
          <w:sz w:val="20"/>
          <w:szCs w:val="20"/>
        </w:rPr>
      </w:pPr>
      <w:r w:rsidRPr="00327C05">
        <w:rPr>
          <w:rFonts w:asciiTheme="majorHAnsi" w:hAnsiTheme="majorHAnsi" w:cs="Arial"/>
          <w:sz w:val="20"/>
          <w:szCs w:val="20"/>
          <w:lang w:val="en"/>
        </w:rPr>
        <w:t xml:space="preserve">The Commission concludes that the State is not responsible for the violation of the principles of legality and favorability established in Article 9 of the American Convention. </w:t>
      </w:r>
    </w:p>
    <w:p w14:paraId="25EBA04D" w14:textId="77777777" w:rsidR="00704058" w:rsidRPr="00327C05" w:rsidRDefault="00704058" w:rsidP="0070405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cs="Arial"/>
          <w:sz w:val="20"/>
          <w:szCs w:val="20"/>
        </w:rPr>
      </w:pPr>
    </w:p>
    <w:p w14:paraId="5B71702E" w14:textId="77777777" w:rsidR="00704058" w:rsidRPr="00327C05" w:rsidRDefault="00704058" w:rsidP="00C238F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cs="Arial"/>
          <w:sz w:val="20"/>
          <w:szCs w:val="20"/>
        </w:rPr>
      </w:pPr>
      <w:r w:rsidRPr="00327C05">
        <w:rPr>
          <w:rFonts w:asciiTheme="majorHAnsi" w:hAnsiTheme="majorHAnsi"/>
          <w:sz w:val="20"/>
          <w:szCs w:val="20"/>
          <w:lang w:val="en"/>
        </w:rPr>
        <w:t>Based on the analysis and conclusions found in this report,</w:t>
      </w:r>
    </w:p>
    <w:p w14:paraId="29E9761F" w14:textId="77777777" w:rsidR="00704058" w:rsidRPr="00327C05" w:rsidRDefault="00704058" w:rsidP="00704058">
      <w:pPr>
        <w:pStyle w:val="ListParagraph"/>
        <w:rPr>
          <w:rFonts w:asciiTheme="majorHAnsi" w:hAnsiTheme="majorHAnsi"/>
          <w:b/>
          <w:bCs/>
          <w:sz w:val="20"/>
          <w:szCs w:val="20"/>
        </w:rPr>
      </w:pPr>
    </w:p>
    <w:p w14:paraId="7C653BD4" w14:textId="6097F51B" w:rsidR="00704058" w:rsidRPr="00327C05" w:rsidRDefault="00704058" w:rsidP="00690EA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center"/>
        <w:rPr>
          <w:rFonts w:asciiTheme="majorHAnsi" w:hAnsiTheme="majorHAnsi" w:cs="Arial"/>
          <w:sz w:val="20"/>
          <w:szCs w:val="20"/>
        </w:rPr>
      </w:pPr>
      <w:r w:rsidRPr="00327C05">
        <w:rPr>
          <w:rFonts w:asciiTheme="majorHAnsi" w:hAnsiTheme="majorHAnsi"/>
          <w:b/>
          <w:bCs/>
          <w:sz w:val="20"/>
          <w:szCs w:val="20"/>
          <w:lang w:val="en"/>
        </w:rPr>
        <w:t>THE INTER-AMERICAN COMMISSION ON HUMAN RIGHTS RE</w:t>
      </w:r>
      <w:r w:rsidR="00690EA0" w:rsidRPr="00327C05">
        <w:rPr>
          <w:rFonts w:asciiTheme="majorHAnsi" w:hAnsiTheme="majorHAnsi"/>
          <w:b/>
          <w:bCs/>
          <w:sz w:val="20"/>
          <w:szCs w:val="20"/>
          <w:lang w:val="en"/>
        </w:rPr>
        <w:t>ITERATES</w:t>
      </w:r>
      <w:r w:rsidRPr="00327C05">
        <w:rPr>
          <w:rFonts w:asciiTheme="majorHAnsi" w:hAnsiTheme="majorHAnsi"/>
          <w:b/>
          <w:bCs/>
          <w:sz w:val="20"/>
          <w:szCs w:val="20"/>
          <w:lang w:val="en"/>
        </w:rPr>
        <w:t xml:space="preserve"> </w:t>
      </w:r>
      <w:r w:rsidR="00690EA0" w:rsidRPr="00327C05">
        <w:rPr>
          <w:rFonts w:asciiTheme="majorHAnsi" w:hAnsiTheme="majorHAnsi"/>
          <w:b/>
          <w:bCs/>
          <w:sz w:val="20"/>
          <w:szCs w:val="20"/>
          <w:lang w:val="en"/>
        </w:rPr>
        <w:t>TO</w:t>
      </w:r>
      <w:r w:rsidRPr="00327C05">
        <w:rPr>
          <w:rFonts w:asciiTheme="majorHAnsi" w:hAnsiTheme="majorHAnsi"/>
          <w:b/>
          <w:bCs/>
          <w:sz w:val="20"/>
          <w:szCs w:val="20"/>
          <w:lang w:val="en"/>
        </w:rPr>
        <w:t xml:space="preserve"> THE STATE OF ARGENTINA</w:t>
      </w:r>
      <w:r w:rsidR="00690EA0" w:rsidRPr="00327C05">
        <w:rPr>
          <w:rFonts w:asciiTheme="majorHAnsi" w:hAnsiTheme="majorHAnsi"/>
          <w:b/>
          <w:bCs/>
          <w:sz w:val="20"/>
          <w:szCs w:val="20"/>
          <w:lang w:val="en"/>
        </w:rPr>
        <w:t xml:space="preserve"> </w:t>
      </w:r>
      <w:r w:rsidR="00690EA0" w:rsidRPr="00327C05">
        <w:rPr>
          <w:rFonts w:asciiTheme="majorHAnsi" w:eastAsia="Times New Roman" w:hAnsiTheme="majorHAnsi"/>
          <w:b/>
          <w:sz w:val="20"/>
          <w:szCs w:val="20"/>
        </w:rPr>
        <w:t>THE FOLLOWING RECOMMENDATION, WITH A VIEW TO THEIR FULL IMPLEMENTATION</w:t>
      </w:r>
      <w:r w:rsidRPr="00327C05">
        <w:rPr>
          <w:rFonts w:asciiTheme="majorHAnsi" w:hAnsiTheme="majorHAnsi"/>
          <w:b/>
          <w:bCs/>
          <w:sz w:val="20"/>
          <w:szCs w:val="20"/>
          <w:lang w:val="en"/>
        </w:rPr>
        <w:t>:</w:t>
      </w:r>
    </w:p>
    <w:p w14:paraId="52B53989" w14:textId="77777777" w:rsidR="00704058" w:rsidRPr="00327C05" w:rsidRDefault="00704058" w:rsidP="00704058">
      <w:pPr>
        <w:pStyle w:val="BodyText3"/>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9360"/>
        </w:tabs>
        <w:spacing w:after="0"/>
        <w:jc w:val="both"/>
        <w:rPr>
          <w:rFonts w:asciiTheme="majorHAnsi" w:hAnsiTheme="majorHAnsi"/>
          <w:sz w:val="20"/>
          <w:szCs w:val="20"/>
        </w:rPr>
      </w:pPr>
      <w:r w:rsidRPr="00327C05">
        <w:rPr>
          <w:rFonts w:asciiTheme="majorHAnsi" w:hAnsiTheme="majorHAnsi"/>
          <w:sz w:val="20"/>
          <w:szCs w:val="20"/>
          <w:lang w:val="en"/>
        </w:rPr>
        <w:t xml:space="preserve"> </w:t>
      </w:r>
    </w:p>
    <w:p w14:paraId="0D6D30D6" w14:textId="5FF7C39E" w:rsidR="00704058" w:rsidRPr="00327C05" w:rsidRDefault="00704058" w:rsidP="00AF4EDA">
      <w:pPr>
        <w:pStyle w:val="BodyText3"/>
        <w:numPr>
          <w:ilvl w:val="1"/>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9360"/>
        </w:tabs>
        <w:spacing w:after="0"/>
        <w:ind w:left="720" w:hanging="720"/>
        <w:jc w:val="both"/>
        <w:rPr>
          <w:rFonts w:asciiTheme="majorHAnsi" w:hAnsiTheme="majorHAnsi"/>
          <w:sz w:val="20"/>
          <w:szCs w:val="20"/>
        </w:rPr>
      </w:pPr>
      <w:r w:rsidRPr="00327C05">
        <w:rPr>
          <w:rFonts w:asciiTheme="majorHAnsi" w:hAnsiTheme="majorHAnsi"/>
          <w:sz w:val="20"/>
          <w:szCs w:val="20"/>
          <w:lang w:val="en"/>
        </w:rPr>
        <w:t xml:space="preserve">Provide full pecuniary and nonpecuniary reparations for the rights violations declared in this report. </w:t>
      </w:r>
    </w:p>
    <w:p w14:paraId="1576DC52" w14:textId="77777777" w:rsidR="00690EA0" w:rsidRPr="00327C05" w:rsidRDefault="00690EA0" w:rsidP="00690EA0">
      <w:pPr>
        <w:pStyle w:val="BodyText3"/>
        <w:spacing w:after="0"/>
        <w:jc w:val="both"/>
        <w:rPr>
          <w:rFonts w:asciiTheme="majorHAnsi" w:hAnsiTheme="majorHAnsi"/>
          <w:sz w:val="20"/>
          <w:szCs w:val="20"/>
        </w:rPr>
      </w:pPr>
    </w:p>
    <w:p w14:paraId="0BEEFDE0" w14:textId="77777777" w:rsidR="00690EA0" w:rsidRPr="00327C05" w:rsidRDefault="00690EA0" w:rsidP="00690EA0">
      <w:pPr>
        <w:pStyle w:val="Heading1"/>
        <w:tabs>
          <w:tab w:val="left" w:pos="567"/>
        </w:tabs>
        <w:spacing w:before="0"/>
        <w:ind w:left="0" w:firstLine="0"/>
        <w:rPr>
          <w:color w:val="auto"/>
          <w:sz w:val="20"/>
          <w:szCs w:val="20"/>
          <w:lang w:val="en"/>
        </w:rPr>
      </w:pPr>
      <w:bookmarkStart w:id="60" w:name="_Toc83802571"/>
      <w:bookmarkStart w:id="61" w:name="_Toc99959803"/>
      <w:r w:rsidRPr="00327C05">
        <w:rPr>
          <w:color w:val="auto"/>
          <w:sz w:val="20"/>
          <w:szCs w:val="20"/>
          <w:lang w:val="en"/>
        </w:rPr>
        <w:t>PUBLICATION</w:t>
      </w:r>
      <w:bookmarkEnd w:id="60"/>
      <w:bookmarkEnd w:id="61"/>
    </w:p>
    <w:p w14:paraId="6A8E23CF" w14:textId="77777777" w:rsidR="00690EA0" w:rsidRPr="00327C05" w:rsidRDefault="00690EA0" w:rsidP="00690EA0">
      <w:pPr>
        <w:pStyle w:val="BodyText3"/>
        <w:spacing w:after="0"/>
        <w:jc w:val="both"/>
        <w:rPr>
          <w:rFonts w:asciiTheme="majorHAnsi" w:hAnsiTheme="majorHAnsi"/>
          <w:sz w:val="20"/>
          <w:szCs w:val="20"/>
        </w:rPr>
      </w:pPr>
    </w:p>
    <w:p w14:paraId="6A00A732" w14:textId="77777777" w:rsidR="00690EA0" w:rsidRPr="00327C05" w:rsidRDefault="00690EA0" w:rsidP="00690EA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rPr>
      </w:pPr>
      <w:r w:rsidRPr="00327C05">
        <w:rPr>
          <w:rFonts w:asciiTheme="majorHAnsi" w:hAnsiTheme="majorHAnsi"/>
          <w:sz w:val="20"/>
          <w:szCs w:val="20"/>
          <w:lang w:val="en"/>
        </w:rPr>
        <w:t>Pursuant</w:t>
      </w:r>
      <w:r w:rsidRPr="00327C05">
        <w:rPr>
          <w:rFonts w:asciiTheme="majorHAnsi" w:hAnsiTheme="majorHAnsi"/>
          <w:sz w:val="20"/>
          <w:szCs w:val="20"/>
        </w:rPr>
        <w:t xml:space="preserve"> to the foregoing and in accordance with the provisions of Article 51(3) of the American Convention, the Inter-American Commission on Human Rights decides to publish this report and include it in its Annual Report to the General Assembly of the Organization of American States. The Inter-American Commission, in accordance with the norms established in the instruments that regulate its mandate, will continue to evaluate the measures adopted by the State of Argentina with respect to the above recommendations, until it determines that they have been fully complied with.</w:t>
      </w:r>
    </w:p>
    <w:p w14:paraId="1280E692" w14:textId="608E5E15" w:rsidR="00704058" w:rsidRPr="00327C05" w:rsidRDefault="00704058" w:rsidP="00704058">
      <w:pPr>
        <w:tabs>
          <w:tab w:val="center" w:pos="5400"/>
        </w:tabs>
        <w:suppressAutoHyphens/>
        <w:spacing w:line="276" w:lineRule="auto"/>
        <w:rPr>
          <w:rFonts w:asciiTheme="majorHAnsi" w:hAnsiTheme="majorHAnsi"/>
          <w:sz w:val="20"/>
          <w:szCs w:val="20"/>
        </w:rPr>
      </w:pPr>
    </w:p>
    <w:p w14:paraId="5D4B0A7D" w14:textId="447B9519" w:rsidR="00840189" w:rsidRPr="00327C05" w:rsidRDefault="00840189" w:rsidP="0084018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sz w:val="20"/>
          <w:szCs w:val="20"/>
        </w:rPr>
      </w:pPr>
      <w:r w:rsidRPr="00327C05">
        <w:rPr>
          <w:rFonts w:asciiTheme="majorHAnsi" w:eastAsia="Times New Roman" w:hAnsiTheme="majorHAnsi"/>
          <w:sz w:val="20"/>
          <w:szCs w:val="20"/>
        </w:rPr>
        <w:t>Approved by the Inter-American Commission on Human Rights on the 31st day of December 2021. (Signed):</w:t>
      </w:r>
      <w:r w:rsidRPr="00327C05">
        <w:rPr>
          <w:rFonts w:asciiTheme="majorHAnsi" w:eastAsia="Times New Roman" w:hAnsiTheme="majorHAnsi"/>
        </w:rPr>
        <w:t xml:space="preserve"> </w:t>
      </w:r>
      <w:r w:rsidRPr="00327C05">
        <w:rPr>
          <w:rFonts w:asciiTheme="majorHAnsi" w:eastAsia="Times New Roman" w:hAnsiTheme="majorHAnsi"/>
          <w:sz w:val="20"/>
          <w:szCs w:val="20"/>
        </w:rPr>
        <w:t xml:space="preserve">Antonia Urrejola </w:t>
      </w:r>
      <w:proofErr w:type="spellStart"/>
      <w:r w:rsidRPr="00327C05">
        <w:rPr>
          <w:rFonts w:asciiTheme="majorHAnsi" w:eastAsia="Times New Roman" w:hAnsiTheme="majorHAnsi"/>
          <w:sz w:val="20"/>
          <w:szCs w:val="20"/>
        </w:rPr>
        <w:t>Noguera</w:t>
      </w:r>
      <w:proofErr w:type="spellEnd"/>
      <w:r w:rsidRPr="00327C05">
        <w:rPr>
          <w:rFonts w:asciiTheme="majorHAnsi" w:eastAsia="Times New Roman" w:hAnsiTheme="majorHAnsi"/>
          <w:sz w:val="20"/>
          <w:szCs w:val="20"/>
        </w:rPr>
        <w:t>, President; Julissa Mantilla Falcón,</w:t>
      </w:r>
      <w:r w:rsidRPr="00327C05">
        <w:rPr>
          <w:rFonts w:asciiTheme="majorHAnsi" w:eastAsia="Times New Roman" w:hAnsiTheme="majorHAnsi"/>
        </w:rPr>
        <w:t xml:space="preserve"> </w:t>
      </w:r>
      <w:r w:rsidRPr="00327C05">
        <w:rPr>
          <w:rFonts w:asciiTheme="majorHAnsi" w:eastAsia="Times New Roman" w:hAnsiTheme="majorHAnsi"/>
          <w:sz w:val="20"/>
          <w:szCs w:val="20"/>
        </w:rPr>
        <w:t>First Vice President;</w:t>
      </w:r>
      <w:r w:rsidRPr="00327C05">
        <w:rPr>
          <w:rFonts w:asciiTheme="majorHAnsi" w:eastAsia="Times New Roman" w:hAnsiTheme="majorHAnsi"/>
        </w:rPr>
        <w:t xml:space="preserve"> </w:t>
      </w:r>
      <w:proofErr w:type="spellStart"/>
      <w:r w:rsidRPr="00327C05">
        <w:rPr>
          <w:rFonts w:asciiTheme="majorHAnsi" w:eastAsia="Times New Roman" w:hAnsiTheme="majorHAnsi"/>
          <w:sz w:val="20"/>
          <w:szCs w:val="20"/>
        </w:rPr>
        <w:t>Flávia</w:t>
      </w:r>
      <w:proofErr w:type="spellEnd"/>
      <w:r w:rsidRPr="00327C05">
        <w:rPr>
          <w:rFonts w:asciiTheme="majorHAnsi" w:eastAsia="Times New Roman" w:hAnsiTheme="majorHAnsi"/>
          <w:sz w:val="20"/>
          <w:szCs w:val="20"/>
        </w:rPr>
        <w:t xml:space="preserve"> </w:t>
      </w:r>
      <w:proofErr w:type="spellStart"/>
      <w:r w:rsidRPr="00327C05">
        <w:rPr>
          <w:rFonts w:asciiTheme="majorHAnsi" w:eastAsia="Times New Roman" w:hAnsiTheme="majorHAnsi"/>
          <w:sz w:val="20"/>
          <w:szCs w:val="20"/>
        </w:rPr>
        <w:t>Piovesan</w:t>
      </w:r>
      <w:proofErr w:type="spellEnd"/>
      <w:r w:rsidRPr="00327C05">
        <w:rPr>
          <w:rFonts w:asciiTheme="majorHAnsi" w:eastAsia="Times New Roman" w:hAnsiTheme="majorHAnsi"/>
          <w:sz w:val="20"/>
          <w:szCs w:val="20"/>
        </w:rPr>
        <w:t>, Second Vice President; Margarette May Macaulay,</w:t>
      </w:r>
      <w:r w:rsidRPr="00327C05">
        <w:rPr>
          <w:rFonts w:asciiTheme="majorHAnsi" w:eastAsia="Times New Roman" w:hAnsiTheme="majorHAnsi"/>
        </w:rPr>
        <w:t xml:space="preserve"> </w:t>
      </w:r>
      <w:r w:rsidRPr="00327C05">
        <w:rPr>
          <w:rFonts w:asciiTheme="majorHAnsi" w:eastAsia="Times New Roman" w:hAnsiTheme="majorHAnsi"/>
          <w:sz w:val="20"/>
          <w:szCs w:val="20"/>
        </w:rPr>
        <w:t xml:space="preserve">Esmeralda E. </w:t>
      </w:r>
      <w:proofErr w:type="spellStart"/>
      <w:r w:rsidRPr="00327C05">
        <w:rPr>
          <w:rFonts w:asciiTheme="majorHAnsi" w:eastAsia="Times New Roman" w:hAnsiTheme="majorHAnsi"/>
          <w:sz w:val="20"/>
          <w:szCs w:val="20"/>
        </w:rPr>
        <w:t>Arosemena</w:t>
      </w:r>
      <w:proofErr w:type="spellEnd"/>
      <w:r w:rsidRPr="00327C05">
        <w:rPr>
          <w:rFonts w:asciiTheme="majorHAnsi" w:eastAsia="Times New Roman" w:hAnsiTheme="majorHAnsi"/>
          <w:sz w:val="20"/>
          <w:szCs w:val="20"/>
        </w:rPr>
        <w:t xml:space="preserve"> Bernal de </w:t>
      </w:r>
      <w:proofErr w:type="spellStart"/>
      <w:r w:rsidRPr="00327C05">
        <w:rPr>
          <w:rFonts w:asciiTheme="majorHAnsi" w:eastAsia="Times New Roman" w:hAnsiTheme="majorHAnsi"/>
          <w:sz w:val="20"/>
          <w:szCs w:val="20"/>
        </w:rPr>
        <w:t>Troitiño</w:t>
      </w:r>
      <w:proofErr w:type="spellEnd"/>
      <w:r w:rsidRPr="00327C05">
        <w:rPr>
          <w:rFonts w:asciiTheme="majorHAnsi" w:eastAsia="Times New Roman" w:hAnsiTheme="majorHAnsi"/>
          <w:sz w:val="20"/>
          <w:szCs w:val="20"/>
        </w:rPr>
        <w:t>, Joel Hernández García and</w:t>
      </w:r>
      <w:r w:rsidRPr="00327C05">
        <w:rPr>
          <w:rFonts w:asciiTheme="majorHAnsi" w:eastAsia="Times New Roman" w:hAnsiTheme="majorHAnsi"/>
        </w:rPr>
        <w:t xml:space="preserve"> </w:t>
      </w:r>
      <w:r w:rsidRPr="00327C05">
        <w:rPr>
          <w:rFonts w:asciiTheme="majorHAnsi" w:eastAsia="Times New Roman" w:hAnsiTheme="majorHAnsi"/>
          <w:sz w:val="20"/>
          <w:szCs w:val="20"/>
        </w:rPr>
        <w:t xml:space="preserve">Edgar </w:t>
      </w:r>
      <w:proofErr w:type="spellStart"/>
      <w:r w:rsidRPr="00327C05">
        <w:rPr>
          <w:rFonts w:asciiTheme="majorHAnsi" w:eastAsia="Times New Roman" w:hAnsiTheme="majorHAnsi"/>
          <w:sz w:val="20"/>
          <w:szCs w:val="20"/>
        </w:rPr>
        <w:t>Stuardo</w:t>
      </w:r>
      <w:proofErr w:type="spellEnd"/>
      <w:r w:rsidRPr="00327C05">
        <w:rPr>
          <w:rFonts w:asciiTheme="majorHAnsi" w:eastAsia="Times New Roman" w:hAnsiTheme="majorHAnsi"/>
          <w:sz w:val="20"/>
          <w:szCs w:val="20"/>
        </w:rPr>
        <w:t xml:space="preserve"> </w:t>
      </w:r>
      <w:proofErr w:type="spellStart"/>
      <w:r w:rsidRPr="00327C05">
        <w:rPr>
          <w:rFonts w:asciiTheme="majorHAnsi" w:eastAsia="Times New Roman" w:hAnsiTheme="majorHAnsi"/>
          <w:sz w:val="20"/>
          <w:szCs w:val="20"/>
        </w:rPr>
        <w:t>Ralón</w:t>
      </w:r>
      <w:proofErr w:type="spellEnd"/>
      <w:r w:rsidRPr="00327C05">
        <w:rPr>
          <w:rFonts w:asciiTheme="majorHAnsi" w:eastAsia="Times New Roman" w:hAnsiTheme="majorHAnsi"/>
          <w:sz w:val="20"/>
          <w:szCs w:val="20"/>
        </w:rPr>
        <w:t xml:space="preserve"> Orellana, Commissioners.</w:t>
      </w:r>
    </w:p>
    <w:sectPr w:rsidR="00840189" w:rsidRPr="00327C05" w:rsidSect="00A00EED">
      <w:pgSz w:w="12240" w:h="15840"/>
      <w:pgMar w:top="1440" w:right="1440" w:bottom="126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8780E" w14:textId="77777777" w:rsidR="00753582" w:rsidRDefault="00753582" w:rsidP="00036A8A">
      <w:r>
        <w:separator/>
      </w:r>
    </w:p>
  </w:endnote>
  <w:endnote w:type="continuationSeparator" w:id="0">
    <w:p w14:paraId="61F8A96E" w14:textId="77777777" w:rsidR="00753582" w:rsidRDefault="00753582"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5BE51FE9" w14:textId="77777777" w:rsidR="0090268A" w:rsidRPr="006311DA" w:rsidRDefault="0090268A">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4320DA">
          <w:rPr>
            <w:noProof/>
            <w:sz w:val="16"/>
          </w:rPr>
          <w:t>13</w:t>
        </w:r>
        <w:r w:rsidRPr="006311DA">
          <w:rPr>
            <w:noProof/>
            <w:sz w:val="16"/>
          </w:rPr>
          <w:fldChar w:fldCharType="end"/>
        </w:r>
      </w:p>
    </w:sdtContent>
  </w:sdt>
  <w:p w14:paraId="000615A6" w14:textId="77777777" w:rsidR="0090268A" w:rsidRDefault="00902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2692" w14:textId="77777777" w:rsidR="0090268A" w:rsidRDefault="0090268A">
    <w:pPr>
      <w:pStyle w:val="Footer"/>
      <w:jc w:val="center"/>
    </w:pPr>
  </w:p>
  <w:p w14:paraId="76AF84FF" w14:textId="77777777" w:rsidR="0090268A" w:rsidRDefault="00902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35ACE" w14:textId="77777777" w:rsidR="00753582" w:rsidRPr="00036A8A" w:rsidRDefault="00753582"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A1289CB" w14:textId="77777777" w:rsidR="00753582" w:rsidRPr="00036A8A" w:rsidRDefault="00753582" w:rsidP="00036A8A">
      <w:pPr>
        <w:rPr>
          <w:rFonts w:asciiTheme="majorHAnsi" w:hAnsiTheme="majorHAnsi"/>
          <w:sz w:val="16"/>
          <w:szCs w:val="16"/>
        </w:rPr>
      </w:pPr>
      <w:r w:rsidRPr="00036A8A">
        <w:rPr>
          <w:rFonts w:asciiTheme="majorHAnsi" w:hAnsiTheme="majorHAnsi"/>
          <w:sz w:val="16"/>
          <w:szCs w:val="16"/>
        </w:rPr>
        <w:separator/>
      </w:r>
    </w:p>
    <w:p w14:paraId="543CE80B" w14:textId="77777777" w:rsidR="00753582" w:rsidRPr="00036A8A" w:rsidRDefault="00753582"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9AFEB0D" w14:textId="77777777" w:rsidR="00753582" w:rsidRPr="0093441A" w:rsidRDefault="00753582"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5DCBECAE" w14:textId="77777777" w:rsidR="00704058" w:rsidRPr="0022447F" w:rsidRDefault="00704058" w:rsidP="00704058">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sidRPr="004E53A3">
        <w:rPr>
          <w:rFonts w:asciiTheme="majorHAnsi" w:hAnsiTheme="majorHAnsi"/>
          <w:sz w:val="16"/>
          <w:szCs w:val="16"/>
          <w:lang w:val="pt-BR"/>
        </w:rPr>
        <w:t xml:space="preserve"> IACHR Report No. 87/09, Petition 204-01, Admissibility, Ángel Pedro Falanga, Argentina, August 7, 2009. </w:t>
      </w:r>
      <w:r>
        <w:rPr>
          <w:rFonts w:asciiTheme="majorHAnsi" w:hAnsiTheme="majorHAnsi"/>
          <w:sz w:val="16"/>
          <w:szCs w:val="16"/>
          <w:lang w:val="en"/>
        </w:rPr>
        <w:t xml:space="preserve">In that report, the IACHR declared the petition admissible with respect to the possible violation of the rights enshrined in articles 8 and 25 of the American Convention, in conjunction with Article 1(1), and inadmissible regarding Article 5 of the Convention. </w:t>
      </w:r>
    </w:p>
  </w:footnote>
  <w:footnote w:id="3">
    <w:p w14:paraId="7343B38A" w14:textId="77777777" w:rsidR="00704058" w:rsidRPr="0022447F" w:rsidRDefault="00704058" w:rsidP="00704058">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Law 12,906. </w:t>
      </w:r>
    </w:p>
  </w:footnote>
  <w:footnote w:id="4">
    <w:p w14:paraId="074B974B" w14:textId="77777777" w:rsidR="00704058" w:rsidRPr="00176A5B" w:rsidRDefault="00704058" w:rsidP="00704058">
      <w:pPr>
        <w:pStyle w:val="FootnoteText"/>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hyperlink r:id="rId1" w:history="1">
        <w:r>
          <w:rPr>
            <w:rStyle w:val="Hyperlink"/>
            <w:rFonts w:asciiTheme="majorHAnsi" w:hAnsiTheme="majorHAnsi"/>
            <w:sz w:val="16"/>
            <w:szCs w:val="16"/>
            <w:lang w:val="en"/>
          </w:rPr>
          <w:t>Law 22,262</w:t>
        </w:r>
      </w:hyperlink>
      <w:r>
        <w:rPr>
          <w:rFonts w:asciiTheme="majorHAnsi" w:hAnsiTheme="majorHAnsi"/>
          <w:sz w:val="16"/>
          <w:szCs w:val="16"/>
          <w:lang w:val="en"/>
        </w:rPr>
        <w:t>, August 1, 1980.</w:t>
      </w:r>
    </w:p>
  </w:footnote>
  <w:footnote w:id="5">
    <w:p w14:paraId="79F7C9C5" w14:textId="77777777" w:rsidR="00704058" w:rsidRPr="0022447F" w:rsidRDefault="00704058" w:rsidP="00704058">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hyperlink r:id="rId2" w:history="1">
        <w:r>
          <w:rPr>
            <w:rStyle w:val="Hyperlink"/>
            <w:rFonts w:asciiTheme="majorHAnsi" w:hAnsiTheme="majorHAnsi"/>
            <w:sz w:val="16"/>
            <w:szCs w:val="16"/>
            <w:lang w:val="en"/>
          </w:rPr>
          <w:t>Law 20,840 of September 28, 1974</w:t>
        </w:r>
      </w:hyperlink>
      <w:r>
        <w:rPr>
          <w:rFonts w:asciiTheme="majorHAnsi" w:hAnsiTheme="majorHAnsi"/>
          <w:sz w:val="16"/>
          <w:szCs w:val="16"/>
          <w:lang w:val="en"/>
        </w:rPr>
        <w:t>.</w:t>
      </w:r>
    </w:p>
  </w:footnote>
  <w:footnote w:id="6">
    <w:p w14:paraId="32048D3E" w14:textId="68759873" w:rsidR="00704058" w:rsidRPr="0022447F" w:rsidRDefault="00704058" w:rsidP="00704058">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sidR="00946F4F">
        <w:rPr>
          <w:rFonts w:asciiTheme="majorHAnsi" w:hAnsiTheme="majorHAnsi"/>
          <w:sz w:val="16"/>
          <w:szCs w:val="16"/>
          <w:lang w:val="en"/>
        </w:rPr>
        <w:t xml:space="preserve"> Annex 1</w:t>
      </w:r>
      <w:r>
        <w:rPr>
          <w:rFonts w:asciiTheme="majorHAnsi" w:hAnsiTheme="majorHAnsi"/>
          <w:sz w:val="16"/>
          <w:szCs w:val="16"/>
          <w:lang w:val="en"/>
        </w:rPr>
        <w:t xml:space="preserve">. Criminal complaint filed by the Central Bank of the Argentine Republic against the alleged victim for the crime of economic subversion. Annex to the brief of the petitioner of August 8, 2002. </w:t>
      </w:r>
    </w:p>
  </w:footnote>
  <w:footnote w:id="7">
    <w:p w14:paraId="73AB54F8" w14:textId="18CD1234" w:rsidR="00704058" w:rsidRPr="0022447F" w:rsidRDefault="00704058" w:rsidP="00704058">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sidR="00946F4F">
        <w:rPr>
          <w:rFonts w:asciiTheme="majorHAnsi" w:hAnsiTheme="majorHAnsi"/>
          <w:sz w:val="16"/>
          <w:szCs w:val="16"/>
          <w:lang w:val="en"/>
        </w:rPr>
        <w:t xml:space="preserve"> Annex 2</w:t>
      </w:r>
      <w:r>
        <w:rPr>
          <w:rFonts w:asciiTheme="majorHAnsi" w:hAnsiTheme="majorHAnsi"/>
          <w:sz w:val="16"/>
          <w:szCs w:val="16"/>
          <w:lang w:val="en"/>
        </w:rPr>
        <w:t xml:space="preserve">. Charges brought by the Federal Prosecutor against the alleged victim for the crime of monopoly of July 19, 1988. Annex to the brief of the petitioner of August 8, 2002. </w:t>
      </w:r>
    </w:p>
  </w:footnote>
  <w:footnote w:id="8">
    <w:p w14:paraId="0EE798F2" w14:textId="6AB716D5" w:rsidR="00704058" w:rsidRPr="0022447F" w:rsidRDefault="00704058" w:rsidP="00704058">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lang w:val="en"/>
        </w:rPr>
        <w:t xml:space="preserve"> </w:t>
      </w:r>
      <w:r w:rsidR="00946F4F">
        <w:rPr>
          <w:rFonts w:asciiTheme="majorHAnsi" w:hAnsiTheme="majorHAnsi"/>
          <w:sz w:val="16"/>
          <w:szCs w:val="16"/>
          <w:lang w:val="en"/>
        </w:rPr>
        <w:t>Annex 2</w:t>
      </w:r>
      <w:r>
        <w:rPr>
          <w:rFonts w:asciiTheme="majorHAnsi" w:hAnsiTheme="majorHAnsi"/>
          <w:sz w:val="16"/>
          <w:szCs w:val="16"/>
          <w:lang w:val="en"/>
        </w:rPr>
        <w:t xml:space="preserve">. Decision of the Federal Chamber of Appeals of May 10, 1988, revoking the provisional dismissal of the charge of monopoly. Annex to the brief of the petitioner of August 8, 2002. </w:t>
      </w:r>
    </w:p>
  </w:footnote>
  <w:footnote w:id="9">
    <w:p w14:paraId="65E33023" w14:textId="60EECBA7" w:rsidR="00704058" w:rsidRPr="0022447F" w:rsidRDefault="00704058" w:rsidP="00704058">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lang w:val="en"/>
        </w:rPr>
        <w:t xml:space="preserve"> </w:t>
      </w:r>
      <w:r w:rsidR="00946F4F">
        <w:rPr>
          <w:rFonts w:asciiTheme="majorHAnsi" w:hAnsiTheme="majorHAnsi"/>
          <w:sz w:val="16"/>
          <w:szCs w:val="16"/>
          <w:lang w:val="en"/>
        </w:rPr>
        <w:t>Annex 3</w:t>
      </w:r>
      <w:r>
        <w:rPr>
          <w:rFonts w:asciiTheme="majorHAnsi" w:hAnsiTheme="majorHAnsi"/>
          <w:sz w:val="16"/>
          <w:szCs w:val="16"/>
          <w:lang w:val="en"/>
        </w:rPr>
        <w:t xml:space="preserve">. Decision of the Federal Chamber of Appeals of May 10, 1988, revoking the provisional dismissal of the charge of monopoly. Annex to the brief of the petitioner of August 8, 2002. </w:t>
      </w:r>
    </w:p>
  </w:footnote>
  <w:footnote w:id="10">
    <w:p w14:paraId="57BA9FB5" w14:textId="0CEE6132" w:rsidR="00704058" w:rsidRPr="0022447F" w:rsidRDefault="00704058" w:rsidP="00704058">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lang w:val="en"/>
        </w:rPr>
        <w:t xml:space="preserve"> </w:t>
      </w:r>
      <w:r w:rsidR="00946F4F">
        <w:rPr>
          <w:rFonts w:asciiTheme="majorHAnsi" w:hAnsiTheme="majorHAnsi"/>
          <w:sz w:val="16"/>
          <w:szCs w:val="16"/>
          <w:lang w:val="en"/>
        </w:rPr>
        <w:t>Annex 4</w:t>
      </w:r>
      <w:r>
        <w:rPr>
          <w:rFonts w:asciiTheme="majorHAnsi" w:hAnsiTheme="majorHAnsi"/>
          <w:sz w:val="16"/>
          <w:szCs w:val="16"/>
          <w:lang w:val="en"/>
        </w:rPr>
        <w:t>. Resolution of Acting Federal Judge dismissing the process against Jorge Bassil in view of his pardon. Annex to the brief of the petitioner of August 8, 2002.</w:t>
      </w:r>
    </w:p>
  </w:footnote>
  <w:footnote w:id="11">
    <w:p w14:paraId="2D8DB94C" w14:textId="4007C317" w:rsidR="00704058" w:rsidRPr="0022447F" w:rsidRDefault="00704058" w:rsidP="00704058">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sidR="00946F4F">
        <w:rPr>
          <w:rFonts w:asciiTheme="majorHAnsi" w:hAnsiTheme="majorHAnsi"/>
          <w:sz w:val="16"/>
          <w:szCs w:val="16"/>
          <w:lang w:val="en"/>
        </w:rPr>
        <w:t xml:space="preserve"> Annex 5</w:t>
      </w:r>
      <w:r>
        <w:rPr>
          <w:rFonts w:asciiTheme="majorHAnsi" w:hAnsiTheme="majorHAnsi"/>
          <w:sz w:val="16"/>
          <w:szCs w:val="16"/>
          <w:lang w:val="en"/>
        </w:rPr>
        <w:t>. Request for pardon sent from the alleged victim to the President of the Argentine Republic on February 16, 1991.  Annex to the brief of the petitioner of August 8, 2002.</w:t>
      </w:r>
    </w:p>
  </w:footnote>
  <w:footnote w:id="12">
    <w:p w14:paraId="310A6A95" w14:textId="6FC6B61B" w:rsidR="00704058" w:rsidRPr="0022447F" w:rsidRDefault="00704058" w:rsidP="00704058">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sidR="00946F4F">
        <w:rPr>
          <w:rFonts w:asciiTheme="majorHAnsi" w:hAnsiTheme="majorHAnsi"/>
          <w:sz w:val="16"/>
          <w:szCs w:val="16"/>
          <w:lang w:val="en"/>
        </w:rPr>
        <w:t xml:space="preserve"> Annex 6</w:t>
      </w:r>
      <w:r>
        <w:rPr>
          <w:rFonts w:asciiTheme="majorHAnsi" w:hAnsiTheme="majorHAnsi"/>
          <w:sz w:val="16"/>
          <w:szCs w:val="16"/>
          <w:lang w:val="en"/>
        </w:rPr>
        <w:t xml:space="preserve">. Letters of April 20, 1994, and March 14, 2001. Annex to the brief of the petitioner of August 8, 2002. </w:t>
      </w:r>
    </w:p>
  </w:footnote>
  <w:footnote w:id="13">
    <w:p w14:paraId="77A7A506" w14:textId="7F4FEBBF" w:rsidR="00704058" w:rsidRPr="0022447F" w:rsidRDefault="00704058" w:rsidP="00704058">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lang w:val="en"/>
        </w:rPr>
        <w:t xml:space="preserve"> </w:t>
      </w:r>
      <w:r w:rsidR="00946F4F">
        <w:rPr>
          <w:rFonts w:asciiTheme="majorHAnsi" w:hAnsiTheme="majorHAnsi"/>
          <w:sz w:val="16"/>
          <w:szCs w:val="16"/>
          <w:lang w:val="en"/>
        </w:rPr>
        <w:t>Annex 7</w:t>
      </w:r>
      <w:r>
        <w:rPr>
          <w:rFonts w:asciiTheme="majorHAnsi" w:hAnsiTheme="majorHAnsi"/>
          <w:sz w:val="16"/>
          <w:szCs w:val="16"/>
          <w:lang w:val="en"/>
        </w:rPr>
        <w:t xml:space="preserve">. Guilty verdict against the alleged victim for the crime of monopoly, issued by the First Federal Trial Court. Annex to the brief of the petitioner of August 8, 2002. </w:t>
      </w:r>
    </w:p>
  </w:footnote>
  <w:footnote w:id="14">
    <w:p w14:paraId="7572E1A5" w14:textId="78AC29B6" w:rsidR="00704058" w:rsidRPr="0022447F" w:rsidRDefault="00704058" w:rsidP="00704058">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sidR="00946F4F">
        <w:rPr>
          <w:rFonts w:asciiTheme="majorHAnsi" w:hAnsiTheme="majorHAnsi"/>
          <w:sz w:val="16"/>
          <w:szCs w:val="16"/>
          <w:lang w:val="en"/>
        </w:rPr>
        <w:t xml:space="preserve"> Annex 7</w:t>
      </w:r>
      <w:r>
        <w:rPr>
          <w:rFonts w:asciiTheme="majorHAnsi" w:hAnsiTheme="majorHAnsi"/>
          <w:sz w:val="16"/>
          <w:szCs w:val="16"/>
          <w:lang w:val="en"/>
        </w:rPr>
        <w:t xml:space="preserve">. Guilty verdict against the alleged victim for the crime of monopoly, issued by the First Federal Trial Court, page 4992. Annex to the brief of the petitioner of August 8, 2002. </w:t>
      </w:r>
    </w:p>
  </w:footnote>
  <w:footnote w:id="15">
    <w:p w14:paraId="53476A8E" w14:textId="37CACADB" w:rsidR="00704058" w:rsidRPr="0022447F" w:rsidRDefault="00704058" w:rsidP="00704058">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sidR="00946F4F">
        <w:rPr>
          <w:rFonts w:asciiTheme="majorHAnsi" w:hAnsiTheme="majorHAnsi"/>
          <w:sz w:val="16"/>
          <w:szCs w:val="16"/>
          <w:lang w:val="en"/>
        </w:rPr>
        <w:t xml:space="preserve"> Annex 7</w:t>
      </w:r>
      <w:r>
        <w:rPr>
          <w:rFonts w:asciiTheme="majorHAnsi" w:hAnsiTheme="majorHAnsi"/>
          <w:sz w:val="16"/>
          <w:szCs w:val="16"/>
          <w:lang w:val="en"/>
        </w:rPr>
        <w:t xml:space="preserve">. Guilty verdict against the alleged victim for the crime of monopoly, issued by the First Federal Trial Court. Annex to the brief of the petitioner of August 8, 2002. </w:t>
      </w:r>
    </w:p>
  </w:footnote>
  <w:footnote w:id="16">
    <w:p w14:paraId="75CFADE9" w14:textId="2C125A39" w:rsidR="00704058" w:rsidRPr="0022447F" w:rsidRDefault="00704058" w:rsidP="00704058">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sidR="00946F4F">
        <w:rPr>
          <w:rFonts w:asciiTheme="majorHAnsi" w:hAnsiTheme="majorHAnsi"/>
          <w:sz w:val="16"/>
          <w:szCs w:val="16"/>
          <w:lang w:val="en"/>
        </w:rPr>
        <w:t xml:space="preserve"> Annex 8</w:t>
      </w:r>
      <w:r>
        <w:rPr>
          <w:rFonts w:asciiTheme="majorHAnsi" w:hAnsiTheme="majorHAnsi"/>
          <w:sz w:val="16"/>
          <w:szCs w:val="16"/>
          <w:lang w:val="en"/>
        </w:rPr>
        <w:t>. Decision of Court B of the Federal Appeals Chamber of Mendoza, November 7, 1995. Annex to the brief of the petitioner of August 8, 2002.</w:t>
      </w:r>
    </w:p>
  </w:footnote>
  <w:footnote w:id="17">
    <w:p w14:paraId="3B4FCC2A" w14:textId="5F447770" w:rsidR="00704058" w:rsidRPr="0022447F" w:rsidRDefault="00704058" w:rsidP="00704058">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sidR="00946F4F">
        <w:rPr>
          <w:rFonts w:asciiTheme="majorHAnsi" w:hAnsiTheme="majorHAnsi"/>
          <w:sz w:val="16"/>
          <w:szCs w:val="16"/>
          <w:lang w:val="en"/>
        </w:rPr>
        <w:t xml:space="preserve"> Annex 8</w:t>
      </w:r>
      <w:r>
        <w:rPr>
          <w:rFonts w:asciiTheme="majorHAnsi" w:hAnsiTheme="majorHAnsi"/>
          <w:sz w:val="16"/>
          <w:szCs w:val="16"/>
          <w:lang w:val="en"/>
        </w:rPr>
        <w:t>. Decision of Court B of the Federal Appeals Chamber of Mendoza, November 7, 1995. Annex to the brief of the petitioner of August 8, 2002.</w:t>
      </w:r>
    </w:p>
  </w:footnote>
  <w:footnote w:id="18">
    <w:p w14:paraId="7F583F25" w14:textId="15AE92C3" w:rsidR="00704058" w:rsidRPr="0022447F" w:rsidRDefault="00704058" w:rsidP="00704058">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sidR="00946F4F">
        <w:rPr>
          <w:rFonts w:asciiTheme="majorHAnsi" w:hAnsiTheme="majorHAnsi"/>
          <w:sz w:val="16"/>
          <w:szCs w:val="16"/>
          <w:lang w:val="en"/>
        </w:rPr>
        <w:t xml:space="preserve"> Annex 8</w:t>
      </w:r>
      <w:r>
        <w:rPr>
          <w:rFonts w:asciiTheme="majorHAnsi" w:hAnsiTheme="majorHAnsi"/>
          <w:sz w:val="16"/>
          <w:szCs w:val="16"/>
          <w:lang w:val="en"/>
        </w:rPr>
        <w:t>. Decision of Court B of the Federal Appeals Chamber of Mendoza, November 7, 1995. Annex to the brief of the petitioner of August 8, 2002.</w:t>
      </w:r>
    </w:p>
  </w:footnote>
  <w:footnote w:id="19">
    <w:p w14:paraId="777B711D" w14:textId="18CB6746" w:rsidR="00704058" w:rsidRPr="0022447F" w:rsidRDefault="00704058" w:rsidP="00704058">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sidR="00946F4F">
        <w:rPr>
          <w:rFonts w:asciiTheme="majorHAnsi" w:hAnsiTheme="majorHAnsi"/>
          <w:sz w:val="16"/>
          <w:szCs w:val="16"/>
          <w:lang w:val="en"/>
        </w:rPr>
        <w:t xml:space="preserve"> Annex 8</w:t>
      </w:r>
      <w:r>
        <w:rPr>
          <w:rFonts w:asciiTheme="majorHAnsi" w:hAnsiTheme="majorHAnsi"/>
          <w:sz w:val="16"/>
          <w:szCs w:val="16"/>
          <w:lang w:val="en"/>
        </w:rPr>
        <w:t>. Decision of Court B of the Federal Appeals Chamber of Mendoza, November 7, 1995. Annex to the brief of the petitioner of August 8, 2002.</w:t>
      </w:r>
    </w:p>
  </w:footnote>
  <w:footnote w:id="20">
    <w:p w14:paraId="55AF5D58" w14:textId="4E459FF3" w:rsidR="00704058" w:rsidRPr="0022447F" w:rsidRDefault="00704058" w:rsidP="00704058">
      <w:pPr>
        <w:pStyle w:val="NoSpacing"/>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Annex</w:t>
      </w:r>
      <w:r w:rsidR="00946F4F">
        <w:rPr>
          <w:rFonts w:asciiTheme="majorHAnsi" w:hAnsiTheme="majorHAnsi"/>
          <w:sz w:val="16"/>
          <w:szCs w:val="16"/>
          <w:lang w:val="en"/>
        </w:rPr>
        <w:t xml:space="preserve"> 9</w:t>
      </w:r>
      <w:r>
        <w:rPr>
          <w:rFonts w:asciiTheme="majorHAnsi" w:hAnsiTheme="majorHAnsi"/>
          <w:sz w:val="16"/>
          <w:szCs w:val="16"/>
          <w:lang w:val="en"/>
        </w:rPr>
        <w:t>. Judgment of the Federal Court of Mendoza of April 24, 2001. Case File 50900-B. Annex to the brief of the petitioner of March 30, 2001.</w:t>
      </w:r>
    </w:p>
  </w:footnote>
  <w:footnote w:id="21">
    <w:p w14:paraId="439CE3E4" w14:textId="60161DF8" w:rsidR="00704058" w:rsidRPr="0022447F" w:rsidRDefault="00704058" w:rsidP="00704058">
      <w:pPr>
        <w:pStyle w:val="NoSpacing"/>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Annex</w:t>
      </w:r>
      <w:r w:rsidR="00946F4F">
        <w:rPr>
          <w:rFonts w:asciiTheme="majorHAnsi" w:hAnsiTheme="majorHAnsi"/>
          <w:sz w:val="16"/>
          <w:szCs w:val="16"/>
          <w:lang w:val="en"/>
        </w:rPr>
        <w:t xml:space="preserve"> 9</w:t>
      </w:r>
      <w:r>
        <w:rPr>
          <w:rFonts w:asciiTheme="majorHAnsi" w:hAnsiTheme="majorHAnsi"/>
          <w:sz w:val="16"/>
          <w:szCs w:val="16"/>
          <w:lang w:val="en"/>
        </w:rPr>
        <w:t>. Judgment of the Federal Court of Mendoza of April 24, 2001. Case File 50900-B. Annex to the brief of the petitioner of March 30, 2001.</w:t>
      </w:r>
    </w:p>
  </w:footnote>
  <w:footnote w:id="22">
    <w:p w14:paraId="74DF8362" w14:textId="4B889420" w:rsidR="00704058" w:rsidRPr="0022447F" w:rsidRDefault="00704058" w:rsidP="00704058">
      <w:pPr>
        <w:pStyle w:val="NoSpacing"/>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Annex</w:t>
      </w:r>
      <w:r w:rsidR="00946F4F">
        <w:rPr>
          <w:rFonts w:asciiTheme="majorHAnsi" w:hAnsiTheme="majorHAnsi"/>
          <w:sz w:val="16"/>
          <w:szCs w:val="16"/>
          <w:lang w:val="en"/>
        </w:rPr>
        <w:t xml:space="preserve"> 10</w:t>
      </w:r>
      <w:r>
        <w:rPr>
          <w:rFonts w:asciiTheme="majorHAnsi" w:hAnsiTheme="majorHAnsi"/>
          <w:sz w:val="16"/>
          <w:szCs w:val="16"/>
          <w:lang w:val="en"/>
        </w:rPr>
        <w:t>. Decision of Court B of the Federal Appeals Chamber of March 17, 1999. Annex to the comments of the petitioner of April 27, 2001.</w:t>
      </w:r>
    </w:p>
  </w:footnote>
  <w:footnote w:id="23">
    <w:p w14:paraId="3DC03379" w14:textId="32110949" w:rsidR="00704058" w:rsidRPr="0022447F" w:rsidRDefault="00704058" w:rsidP="00704058">
      <w:pPr>
        <w:pStyle w:val="NoSpacing"/>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Annex</w:t>
      </w:r>
      <w:r w:rsidR="00946F4F">
        <w:rPr>
          <w:rFonts w:asciiTheme="majorHAnsi" w:hAnsiTheme="majorHAnsi"/>
          <w:sz w:val="16"/>
          <w:szCs w:val="16"/>
          <w:lang w:val="en"/>
        </w:rPr>
        <w:t xml:space="preserve"> 10 </w:t>
      </w:r>
      <w:r>
        <w:rPr>
          <w:rFonts w:asciiTheme="majorHAnsi" w:hAnsiTheme="majorHAnsi"/>
          <w:sz w:val="16"/>
          <w:szCs w:val="16"/>
          <w:lang w:val="en"/>
        </w:rPr>
        <w:t>. Decision of Court B of the Federal Appeals Chamber of March 17, 1999. Annex to the comments of the petitioner of April 27, 2001.</w:t>
      </w:r>
    </w:p>
  </w:footnote>
  <w:footnote w:id="24">
    <w:p w14:paraId="11837FF4" w14:textId="2F955674" w:rsidR="00704058" w:rsidRPr="0022447F" w:rsidRDefault="00704058" w:rsidP="00704058">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sidR="00946F4F">
        <w:rPr>
          <w:rFonts w:asciiTheme="majorHAnsi" w:hAnsiTheme="majorHAnsi"/>
          <w:sz w:val="16"/>
          <w:szCs w:val="16"/>
          <w:lang w:val="en"/>
        </w:rPr>
        <w:t xml:space="preserve"> Annex 11</w:t>
      </w:r>
      <w:r>
        <w:rPr>
          <w:rFonts w:asciiTheme="majorHAnsi" w:hAnsiTheme="majorHAnsi"/>
          <w:sz w:val="16"/>
          <w:szCs w:val="16"/>
          <w:lang w:val="en"/>
        </w:rPr>
        <w:t xml:space="preserve">. Decision of the Supreme Court of Justice of the Nation of February 20, 2001. Annex to the brief of the petitioner of August 8, 2002. </w:t>
      </w:r>
    </w:p>
  </w:footnote>
  <w:footnote w:id="25">
    <w:p w14:paraId="7CD062B1" w14:textId="49B3BD4C" w:rsidR="00704058" w:rsidRPr="0022447F" w:rsidRDefault="00704058" w:rsidP="00704058">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sidR="00946F4F">
        <w:rPr>
          <w:rFonts w:asciiTheme="majorHAnsi" w:hAnsiTheme="majorHAnsi"/>
          <w:sz w:val="16"/>
          <w:szCs w:val="16"/>
          <w:lang w:val="en"/>
        </w:rPr>
        <w:t xml:space="preserve"> Annex 12</w:t>
      </w:r>
      <w:r>
        <w:rPr>
          <w:rFonts w:asciiTheme="majorHAnsi" w:hAnsiTheme="majorHAnsi"/>
          <w:sz w:val="16"/>
          <w:szCs w:val="16"/>
          <w:lang w:val="en"/>
        </w:rPr>
        <w:t xml:space="preserve">. Preventative writ of </w:t>
      </w:r>
      <w:r>
        <w:rPr>
          <w:rFonts w:asciiTheme="majorHAnsi" w:hAnsiTheme="majorHAnsi"/>
          <w:i/>
          <w:iCs/>
          <w:sz w:val="16"/>
          <w:szCs w:val="16"/>
          <w:lang w:val="en"/>
        </w:rPr>
        <w:t xml:space="preserve">habeas corpus </w:t>
      </w:r>
      <w:r>
        <w:rPr>
          <w:rFonts w:asciiTheme="majorHAnsi" w:hAnsiTheme="majorHAnsi"/>
          <w:sz w:val="16"/>
          <w:szCs w:val="16"/>
          <w:lang w:val="en"/>
        </w:rPr>
        <w:t>filed by the alleged victim before a Federal Judge, March 27, 2001. Annex to the brief of the petitioner of August 8, 2002.</w:t>
      </w:r>
    </w:p>
  </w:footnote>
  <w:footnote w:id="26">
    <w:p w14:paraId="61672333" w14:textId="4413F7E7" w:rsidR="00704058" w:rsidRPr="00BA1539" w:rsidRDefault="00704058" w:rsidP="00704058">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sidR="00946F4F">
        <w:rPr>
          <w:rFonts w:asciiTheme="majorHAnsi" w:hAnsiTheme="majorHAnsi"/>
          <w:sz w:val="16"/>
          <w:szCs w:val="16"/>
          <w:lang w:val="en"/>
        </w:rPr>
        <w:t xml:space="preserve"> Annex 13</w:t>
      </w:r>
      <w:r>
        <w:rPr>
          <w:rFonts w:asciiTheme="majorHAnsi" w:hAnsiTheme="majorHAnsi"/>
          <w:sz w:val="16"/>
          <w:szCs w:val="16"/>
          <w:lang w:val="en"/>
        </w:rPr>
        <w:t xml:space="preserve">. Decision of Federal </w:t>
      </w:r>
      <w:r>
        <w:rPr>
          <w:rFonts w:asciiTheme="majorHAnsi" w:hAnsiTheme="majorHAnsi"/>
          <w:i/>
          <w:iCs/>
          <w:sz w:val="16"/>
          <w:szCs w:val="16"/>
          <w:lang w:val="en"/>
        </w:rPr>
        <w:t xml:space="preserve">Ad-Hoc </w:t>
      </w:r>
      <w:r>
        <w:rPr>
          <w:rFonts w:asciiTheme="majorHAnsi" w:hAnsiTheme="majorHAnsi"/>
          <w:sz w:val="16"/>
          <w:szCs w:val="16"/>
          <w:lang w:val="en"/>
        </w:rPr>
        <w:t xml:space="preserve">Judge of April 24, 2001, granting the writ of </w:t>
      </w:r>
      <w:r>
        <w:rPr>
          <w:rFonts w:asciiTheme="majorHAnsi" w:hAnsiTheme="majorHAnsi"/>
          <w:i/>
          <w:iCs/>
          <w:sz w:val="16"/>
          <w:szCs w:val="16"/>
          <w:lang w:val="en"/>
        </w:rPr>
        <w:t xml:space="preserve">habeas corpus </w:t>
      </w:r>
      <w:r>
        <w:rPr>
          <w:rFonts w:asciiTheme="majorHAnsi" w:hAnsiTheme="majorHAnsi"/>
          <w:sz w:val="16"/>
          <w:szCs w:val="16"/>
          <w:lang w:val="en"/>
        </w:rPr>
        <w:t>filed by the alleged victim. Annex to the brief of the petitioner of August 8, 2002.</w:t>
      </w:r>
    </w:p>
  </w:footnote>
  <w:footnote w:id="27">
    <w:p w14:paraId="4CBE41F4" w14:textId="42ED0D35" w:rsidR="00704058" w:rsidRPr="00BA1539" w:rsidRDefault="00704058" w:rsidP="00704058">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sidR="00946F4F">
        <w:rPr>
          <w:rFonts w:asciiTheme="majorHAnsi" w:hAnsiTheme="majorHAnsi"/>
          <w:sz w:val="16"/>
          <w:szCs w:val="16"/>
          <w:lang w:val="en"/>
        </w:rPr>
        <w:t xml:space="preserve"> Annex 14</w:t>
      </w:r>
      <w:r>
        <w:rPr>
          <w:rFonts w:asciiTheme="majorHAnsi" w:hAnsiTheme="majorHAnsi"/>
          <w:sz w:val="16"/>
          <w:szCs w:val="16"/>
          <w:lang w:val="en"/>
        </w:rPr>
        <w:t>. Appeal filed by the Office of the Public Prosecutor of the Nation on April 25, 2001. Annex to the brief of the petitioner of August 8, 2002.</w:t>
      </w:r>
    </w:p>
  </w:footnote>
  <w:footnote w:id="28">
    <w:p w14:paraId="39F51318" w14:textId="4AFC6CEE" w:rsidR="00704058" w:rsidRPr="00BA1539" w:rsidRDefault="00704058" w:rsidP="00704058">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sidR="00946F4F">
        <w:rPr>
          <w:rFonts w:asciiTheme="majorHAnsi" w:hAnsiTheme="majorHAnsi"/>
          <w:sz w:val="16"/>
          <w:szCs w:val="16"/>
          <w:lang w:val="en"/>
        </w:rPr>
        <w:t xml:space="preserve"> Annex 15</w:t>
      </w:r>
      <w:r>
        <w:rPr>
          <w:rFonts w:asciiTheme="majorHAnsi" w:hAnsiTheme="majorHAnsi"/>
          <w:sz w:val="16"/>
          <w:szCs w:val="16"/>
          <w:lang w:val="en"/>
        </w:rPr>
        <w:t>. Appeal forwarded to the Appeals Chamber of Mendoza on April 26, 2001. Annex to the brief of the petitioner of August 8, 2002.</w:t>
      </w:r>
    </w:p>
  </w:footnote>
  <w:footnote w:id="29">
    <w:p w14:paraId="09EA5750" w14:textId="65BCDA71" w:rsidR="00704058" w:rsidRPr="00BA1539" w:rsidRDefault="00704058" w:rsidP="00704058">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sidR="00946F4F">
        <w:rPr>
          <w:rFonts w:asciiTheme="majorHAnsi" w:hAnsiTheme="majorHAnsi"/>
          <w:sz w:val="16"/>
          <w:szCs w:val="16"/>
          <w:lang w:val="en"/>
        </w:rPr>
        <w:t xml:space="preserve"> Annex 16</w:t>
      </w:r>
      <w:r>
        <w:rPr>
          <w:rFonts w:asciiTheme="majorHAnsi" w:hAnsiTheme="majorHAnsi"/>
          <w:sz w:val="16"/>
          <w:szCs w:val="16"/>
          <w:lang w:val="en"/>
        </w:rPr>
        <w:t>. Extraordinary remedy filed by the Office of the Public Prosecutor on September 11, 2002.  Annex to the brief of the petitioner, September 25, 2002.</w:t>
      </w:r>
    </w:p>
  </w:footnote>
  <w:footnote w:id="30">
    <w:p w14:paraId="7E24587F" w14:textId="1915144B" w:rsidR="00704058" w:rsidRPr="000636E9" w:rsidRDefault="00704058" w:rsidP="00704058">
      <w:pPr>
        <w:pStyle w:val="NoSpacing"/>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Annex</w:t>
      </w:r>
      <w:r w:rsidR="00946F4F">
        <w:rPr>
          <w:rFonts w:asciiTheme="majorHAnsi" w:hAnsiTheme="majorHAnsi"/>
          <w:sz w:val="16"/>
          <w:szCs w:val="16"/>
          <w:lang w:val="en"/>
        </w:rPr>
        <w:t xml:space="preserve"> 17</w:t>
      </w:r>
      <w:r>
        <w:rPr>
          <w:rFonts w:asciiTheme="majorHAnsi" w:hAnsiTheme="majorHAnsi"/>
          <w:sz w:val="16"/>
          <w:szCs w:val="16"/>
          <w:lang w:val="en"/>
        </w:rPr>
        <w:t>. Judgment of the Federal Court of Mendoza of April 24, 2001. Case File 50900-B. Annex to the brief of the petitioner of March 30, 2001.</w:t>
      </w:r>
    </w:p>
  </w:footnote>
  <w:footnote w:id="31">
    <w:p w14:paraId="5364086E" w14:textId="58B842A8" w:rsidR="00704058" w:rsidRPr="000636E9" w:rsidRDefault="00704058" w:rsidP="00704058">
      <w:pPr>
        <w:pStyle w:val="NoSpacing"/>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Annex</w:t>
      </w:r>
      <w:r w:rsidR="00946F4F">
        <w:rPr>
          <w:rFonts w:asciiTheme="majorHAnsi" w:hAnsiTheme="majorHAnsi"/>
          <w:sz w:val="16"/>
          <w:szCs w:val="16"/>
          <w:lang w:val="en"/>
        </w:rPr>
        <w:t xml:space="preserve"> 18</w:t>
      </w:r>
      <w:r>
        <w:rPr>
          <w:rFonts w:asciiTheme="majorHAnsi" w:hAnsiTheme="majorHAnsi"/>
          <w:sz w:val="16"/>
          <w:szCs w:val="16"/>
          <w:lang w:val="en"/>
        </w:rPr>
        <w:t>. Judicial Gazette, “news of the day” section, May 17, 2001. Annex to the brief of the petitioner, December 14, 2004.</w:t>
      </w:r>
    </w:p>
  </w:footnote>
  <w:footnote w:id="32">
    <w:p w14:paraId="3FA44D63" w14:textId="2FA73CE0" w:rsidR="00704058" w:rsidRPr="000636E9" w:rsidRDefault="00704058" w:rsidP="00704058">
      <w:pPr>
        <w:pStyle w:val="FootnoteText"/>
        <w:rPr>
          <w:sz w:val="16"/>
          <w:szCs w:val="16"/>
        </w:rPr>
      </w:pPr>
      <w:r>
        <w:rPr>
          <w:rStyle w:val="FootnoteReference"/>
          <w:rFonts w:asciiTheme="majorHAnsi" w:hAnsiTheme="majorHAnsi"/>
          <w:sz w:val="16"/>
          <w:szCs w:val="16"/>
          <w:lang w:val="en"/>
        </w:rPr>
        <w:footnoteRef/>
      </w:r>
      <w:r w:rsidR="00946F4F">
        <w:rPr>
          <w:rFonts w:asciiTheme="majorHAnsi" w:hAnsiTheme="majorHAnsi"/>
          <w:sz w:val="16"/>
          <w:szCs w:val="16"/>
          <w:lang w:val="en"/>
        </w:rPr>
        <w:t xml:space="preserve"> Annex 19</w:t>
      </w:r>
      <w:r>
        <w:rPr>
          <w:rFonts w:asciiTheme="majorHAnsi" w:hAnsiTheme="majorHAnsi"/>
          <w:sz w:val="16"/>
          <w:szCs w:val="16"/>
          <w:lang w:val="en"/>
        </w:rPr>
        <w:t>. Authorizations to leave the country. Annex to the brief of the petitioner of August 8, 2002.</w:t>
      </w:r>
    </w:p>
  </w:footnote>
  <w:footnote w:id="33">
    <w:p w14:paraId="1D39983F" w14:textId="1883FF52" w:rsidR="00704058" w:rsidRPr="000636E9" w:rsidRDefault="00704058" w:rsidP="00704058">
      <w:pPr>
        <w:pStyle w:val="FootnoteText"/>
        <w:rPr>
          <w:rFonts w:asciiTheme="majorHAnsi" w:hAnsiTheme="majorHAnsi"/>
          <w:sz w:val="16"/>
          <w:szCs w:val="16"/>
        </w:rPr>
      </w:pPr>
      <w:r>
        <w:rPr>
          <w:rStyle w:val="FootnoteReference"/>
          <w:rFonts w:asciiTheme="majorHAnsi" w:hAnsiTheme="majorHAnsi"/>
          <w:sz w:val="16"/>
          <w:szCs w:val="16"/>
          <w:lang w:val="en"/>
        </w:rPr>
        <w:footnoteRef/>
      </w:r>
      <w:r w:rsidR="00946F4F">
        <w:rPr>
          <w:rFonts w:asciiTheme="majorHAnsi" w:hAnsiTheme="majorHAnsi"/>
          <w:sz w:val="16"/>
          <w:szCs w:val="16"/>
          <w:lang w:val="en"/>
        </w:rPr>
        <w:t xml:space="preserve"> Annex 20</w:t>
      </w:r>
      <w:r>
        <w:rPr>
          <w:rFonts w:asciiTheme="majorHAnsi" w:hAnsiTheme="majorHAnsi"/>
          <w:sz w:val="16"/>
          <w:szCs w:val="16"/>
          <w:lang w:val="en"/>
        </w:rPr>
        <w:t>. Decision of the Federal Judge of July 6, 2001. Annex to the brief of the petitioner of August 8, 2002.</w:t>
      </w:r>
    </w:p>
  </w:footnote>
  <w:footnote w:id="34">
    <w:p w14:paraId="45927517" w14:textId="46C510CB" w:rsidR="00704058" w:rsidRPr="000636E9" w:rsidRDefault="00704058" w:rsidP="00704058">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r w:rsidR="00946F4F">
        <w:rPr>
          <w:rFonts w:asciiTheme="majorHAnsi" w:hAnsiTheme="majorHAnsi"/>
          <w:sz w:val="16"/>
          <w:szCs w:val="16"/>
          <w:lang w:val="en"/>
        </w:rPr>
        <w:t>Annex 21</w:t>
      </w:r>
      <w:r>
        <w:rPr>
          <w:rFonts w:asciiTheme="majorHAnsi" w:hAnsiTheme="majorHAnsi"/>
          <w:sz w:val="16"/>
          <w:szCs w:val="16"/>
          <w:lang w:val="en"/>
        </w:rPr>
        <w:t xml:space="preserve">. Official notification from the General Office on Migratory Movement of January 29, 2012. Annexed to the communication of the petitioner, February 25, 2012. </w:t>
      </w:r>
    </w:p>
  </w:footnote>
  <w:footnote w:id="35">
    <w:p w14:paraId="1EA2C2C8" w14:textId="38F0A524" w:rsidR="00704058" w:rsidRPr="00946F4F" w:rsidRDefault="00704058" w:rsidP="00704058">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sidR="00946F4F">
        <w:rPr>
          <w:rFonts w:asciiTheme="majorHAnsi" w:hAnsiTheme="majorHAnsi"/>
          <w:sz w:val="16"/>
          <w:szCs w:val="16"/>
          <w:lang w:val="en"/>
        </w:rPr>
        <w:t xml:space="preserve"> Annex 21</w:t>
      </w:r>
      <w:r>
        <w:rPr>
          <w:rFonts w:asciiTheme="majorHAnsi" w:hAnsiTheme="majorHAnsi"/>
          <w:sz w:val="16"/>
          <w:szCs w:val="16"/>
          <w:lang w:val="en"/>
        </w:rPr>
        <w:t xml:space="preserve">. Official notification from the General Office on Migratory Movement of January 29, 2012. Annexed to the communication of the petitioner, </w:t>
      </w:r>
      <w:r w:rsidRPr="00946F4F">
        <w:rPr>
          <w:rFonts w:asciiTheme="majorHAnsi" w:hAnsiTheme="majorHAnsi"/>
          <w:sz w:val="16"/>
          <w:szCs w:val="16"/>
          <w:lang w:val="en"/>
        </w:rPr>
        <w:t xml:space="preserve">February 25, 2012. </w:t>
      </w:r>
    </w:p>
  </w:footnote>
  <w:footnote w:id="36">
    <w:p w14:paraId="65173ACF" w14:textId="02F92460" w:rsidR="00704058" w:rsidRPr="004F1E9D" w:rsidRDefault="00704058" w:rsidP="00704058">
      <w:pPr>
        <w:pStyle w:val="FootnoteText"/>
      </w:pPr>
      <w:r w:rsidRPr="00946F4F">
        <w:rPr>
          <w:rFonts w:asciiTheme="majorHAnsi" w:hAnsiTheme="majorHAnsi"/>
          <w:sz w:val="16"/>
          <w:szCs w:val="16"/>
          <w:vertAlign w:val="superscript"/>
          <w:lang w:val="en"/>
        </w:rPr>
        <w:footnoteRef/>
      </w:r>
      <w:r w:rsidRPr="00946F4F">
        <w:rPr>
          <w:rFonts w:asciiTheme="majorHAnsi" w:hAnsiTheme="majorHAnsi"/>
          <w:sz w:val="16"/>
          <w:szCs w:val="16"/>
          <w:vertAlign w:val="superscript"/>
          <w:lang w:val="en"/>
        </w:rPr>
        <w:t xml:space="preserve"> </w:t>
      </w:r>
      <w:r w:rsidRPr="00946F4F">
        <w:rPr>
          <w:rFonts w:asciiTheme="majorHAnsi" w:hAnsiTheme="majorHAnsi"/>
          <w:sz w:val="16"/>
          <w:szCs w:val="16"/>
          <w:lang w:val="en"/>
        </w:rPr>
        <w:t>Information provided by the wife of Ángel Pedro Falanga, contained in the brief of May 4, 2006; Information provided by Ángel Pedro Falanga on April 19, 2004. Annex to the communication sent on</w:t>
      </w:r>
      <w:r w:rsidRPr="00946F4F">
        <w:rPr>
          <w:rFonts w:asciiTheme="majorHAnsi" w:hAnsiTheme="majorHAnsi"/>
          <w:sz w:val="16"/>
          <w:szCs w:val="16"/>
        </w:rPr>
        <w:t xml:space="preserve"> May 20, 2004); Annex. Post on legal website "Mendoza Law." Annex to</w:t>
      </w:r>
      <w:r w:rsidRPr="00946F4F">
        <w:t xml:space="preserve"> </w:t>
      </w:r>
      <w:r w:rsidRPr="008568C0">
        <w:rPr>
          <w:rFonts w:asciiTheme="majorHAnsi" w:hAnsiTheme="majorHAnsi"/>
          <w:sz w:val="16"/>
          <w:szCs w:val="16"/>
        </w:rPr>
        <w:t>the communication of Ángel Pedro Falanga of December 14, 2004</w:t>
      </w:r>
      <w:r w:rsidRPr="008568C0">
        <w:rPr>
          <w:rFonts w:asciiTheme="majorHAnsi" w:hAnsiTheme="majorHAnsi"/>
          <w:sz w:val="16"/>
          <w:szCs w:val="16"/>
          <w:lang w:val="en"/>
        </w:rPr>
        <w:t>; Annex. Official notification of January 29, 2012. Annex to the communication of the petitioner, February 25, 2012; Annex. Information provided by Ángel Pedro Falanga on April 19, 2004. Annex to the communication sent on May 20, 2004.</w:t>
      </w:r>
    </w:p>
  </w:footnote>
  <w:footnote w:id="37">
    <w:p w14:paraId="47381454" w14:textId="77777777" w:rsidR="00704058" w:rsidRPr="00573462" w:rsidRDefault="00704058" w:rsidP="00704058">
      <w:pPr>
        <w:tabs>
          <w:tab w:val="left" w:pos="720"/>
        </w:tabs>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Article 8(1) establishes that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 Likewise, Article 25(1) of the American Convention stipulates that: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p>
  </w:footnote>
  <w:footnote w:id="38">
    <w:p w14:paraId="4D70C164" w14:textId="77777777" w:rsidR="00704058" w:rsidRPr="009C22A3" w:rsidRDefault="00704058" w:rsidP="00704058">
      <w:pPr>
        <w:pStyle w:val="FootnoteText"/>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Inter-American Court, Case of Women Victims of Sexual Torture in Atenco v. Mexico. Preliminary Objections, Merits, Reparations and Costs. Judgment of November 28, 2018. Series C No. 371, párr.306.</w:t>
      </w:r>
    </w:p>
  </w:footnote>
  <w:footnote w:id="39">
    <w:p w14:paraId="79B80239" w14:textId="77777777" w:rsidR="00704058" w:rsidRPr="009C22A3" w:rsidRDefault="00704058" w:rsidP="00704058">
      <w:pPr>
        <w:pStyle w:val="FootnoteText"/>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IACHR Report No. 75/15, Case 12.923. Merits. </w:t>
      </w:r>
      <w:r w:rsidRPr="00704058">
        <w:rPr>
          <w:rFonts w:ascii="Cambria" w:hAnsi="Cambria"/>
          <w:sz w:val="16"/>
          <w:szCs w:val="16"/>
          <w:lang w:val="es-VE"/>
        </w:rPr>
        <w:t xml:space="preserve">Rocío San Miguel Sosa et al. </w:t>
      </w:r>
      <w:r>
        <w:rPr>
          <w:rFonts w:ascii="Cambria" w:hAnsi="Cambria"/>
          <w:sz w:val="16"/>
          <w:szCs w:val="16"/>
          <w:lang w:val="en"/>
        </w:rPr>
        <w:t>Venezuela. October 28, 2015, para 200; Inter-American Court, Case of Kawas Fernández v. Honduras, Merits, Reparations, and Costs. Judgment of April 3, 2009, Series C No. 196, párr.112.</w:t>
      </w:r>
    </w:p>
  </w:footnote>
  <w:footnote w:id="40">
    <w:p w14:paraId="233A504D" w14:textId="77777777" w:rsidR="00704058" w:rsidRPr="00B0761F" w:rsidRDefault="00704058" w:rsidP="00704058">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Inter-American Court, Case of Women Victims of Sexual Torture in Atenco v. Mexico. Preliminary Objections, Merits, Reparations and Costs. Judgment of November 28, 2018. Series C No. 371, párr.306.</w:t>
      </w:r>
    </w:p>
  </w:footnote>
  <w:footnote w:id="41">
    <w:p w14:paraId="0F275CBD" w14:textId="77777777" w:rsidR="00704058" w:rsidRPr="00B0761F" w:rsidRDefault="00704058" w:rsidP="00704058">
      <w:pPr>
        <w:tabs>
          <w:tab w:val="left" w:pos="720"/>
        </w:tabs>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Article 7(5) establishes that, “Any person detained shall be brought promptly before a judge or other officer authorized by law to exercise judicial power and shall be entitled to trial within a reasonable time or to be released without prejudice to the continuation of the proceedings. His release may be subject to guarantees to assure his appearance for trial.” </w:t>
      </w:r>
    </w:p>
  </w:footnote>
  <w:footnote w:id="42">
    <w:p w14:paraId="741D6C10" w14:textId="77777777" w:rsidR="00704058" w:rsidRPr="00A27327" w:rsidRDefault="00704058" w:rsidP="00704058">
      <w:pPr>
        <w:jc w:val="both"/>
        <w:rPr>
          <w:rFonts w:asciiTheme="majorHAnsi" w:hAnsiTheme="majorHAnsi" w:cs="Arial"/>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The pertinent part of Article 22 of the Convention establishes that: 1. Every person lawfully in the territory of a State Party has the right to move about in it, and to reside in it subject to the provisions of the law. 2. Every person has the right lo leave any country freely, including his own. 3. The exercise of the foregoing rights may be restricted only pursuant to a law to the extent necessary in a democratic society to prevent crime or to protect national security, public safety, public order, public morals, public health, or the rights or freedoms of others.</w:t>
      </w:r>
    </w:p>
  </w:footnote>
  <w:footnote w:id="43">
    <w:p w14:paraId="27C7A4DD" w14:textId="77777777" w:rsidR="00704058" w:rsidRPr="00B0761F" w:rsidRDefault="00704058" w:rsidP="00704058">
      <w:pPr>
        <w:tabs>
          <w:tab w:val="left" w:pos="720"/>
        </w:tabs>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Article 8(2) of the American Convention establishes that “Every person accused of a criminal offense has the right to be presumed innocent so long as his guilt has not been proven according to law (...).”</w:t>
      </w:r>
    </w:p>
  </w:footnote>
  <w:footnote w:id="44">
    <w:p w14:paraId="310C8049" w14:textId="77777777" w:rsidR="00704058" w:rsidRPr="00327C05" w:rsidRDefault="00704058" w:rsidP="00704058">
      <w:pPr>
        <w:pStyle w:val="FootnoteText"/>
        <w:rPr>
          <w:lang w:val="es-US"/>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Inter-American Court. Case of Andrade Salmón v. Bolivia. Merits, Reparations, and Costs. Judgment of December 1, 2016. </w:t>
      </w:r>
      <w:r w:rsidRPr="00327C05">
        <w:rPr>
          <w:rFonts w:asciiTheme="majorHAnsi" w:hAnsiTheme="majorHAnsi"/>
          <w:sz w:val="16"/>
          <w:szCs w:val="16"/>
          <w:lang w:val="es-US"/>
        </w:rPr>
        <w:t>Serie C No. 330, para. 112.</w:t>
      </w:r>
    </w:p>
  </w:footnote>
  <w:footnote w:id="45">
    <w:p w14:paraId="47A24DBB" w14:textId="77777777" w:rsidR="00704058" w:rsidRPr="006A11AF" w:rsidRDefault="00704058" w:rsidP="00704058">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sidRPr="00327C05">
        <w:rPr>
          <w:rFonts w:asciiTheme="majorHAnsi" w:hAnsiTheme="majorHAnsi"/>
          <w:sz w:val="16"/>
          <w:szCs w:val="16"/>
          <w:lang w:val="es-US"/>
        </w:rPr>
        <w:t xml:space="preserve"> Inter-American </w:t>
      </w:r>
      <w:proofErr w:type="spellStart"/>
      <w:r w:rsidRPr="00327C05">
        <w:rPr>
          <w:rFonts w:asciiTheme="majorHAnsi" w:hAnsiTheme="majorHAnsi"/>
          <w:sz w:val="16"/>
          <w:szCs w:val="16"/>
          <w:lang w:val="es-US"/>
        </w:rPr>
        <w:t>Court</w:t>
      </w:r>
      <w:proofErr w:type="spellEnd"/>
      <w:r w:rsidRPr="00327C05">
        <w:rPr>
          <w:rFonts w:asciiTheme="majorHAnsi" w:hAnsiTheme="majorHAnsi"/>
          <w:sz w:val="16"/>
          <w:szCs w:val="16"/>
          <w:lang w:val="es-US"/>
        </w:rPr>
        <w:t xml:space="preserve">, Case of Barreto Leiva v. Venezuela. </w:t>
      </w:r>
      <w:r>
        <w:rPr>
          <w:rFonts w:asciiTheme="majorHAnsi" w:hAnsiTheme="majorHAnsi"/>
          <w:sz w:val="16"/>
          <w:szCs w:val="16"/>
          <w:lang w:val="en"/>
        </w:rPr>
        <w:t xml:space="preserve">Merits, Reparations, and Costs. Judgment of November 17, 2009. Series C No. 206. Para. 111; IACHR, Measures to Reduce Pre-trial detention, OEA/Ser.L/V/II.163/Doc.105, July 3, 2017, para. 107. </w:t>
      </w:r>
    </w:p>
  </w:footnote>
  <w:footnote w:id="46">
    <w:p w14:paraId="388CD746" w14:textId="77777777" w:rsidR="00704058" w:rsidRPr="006A11AF" w:rsidRDefault="00704058" w:rsidP="00704058">
      <w:pPr>
        <w:pStyle w:val="FootnoteText"/>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IACHR, Report on the Use of Pretrial Detention in the Americas, OEA/Ser.L/V/II.Doc.46/13, December 30, 2013, para. 230.</w:t>
      </w:r>
    </w:p>
  </w:footnote>
  <w:footnote w:id="47">
    <w:p w14:paraId="0E2B7831" w14:textId="77777777" w:rsidR="00704058" w:rsidRPr="006A11AF" w:rsidRDefault="00704058" w:rsidP="00704058">
      <w:pPr>
        <w:pStyle w:val="FootnoteText"/>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Inter-American Court, Case of Ricardo Canese v. Paraguay. Merits, Reparations, and Costs. Judgment of January 31, 2004. Series C No. 111, párr.129.</w:t>
      </w:r>
    </w:p>
  </w:footnote>
  <w:footnote w:id="48">
    <w:p w14:paraId="34AEA886" w14:textId="77777777" w:rsidR="00704058" w:rsidRPr="007A5722" w:rsidRDefault="00704058" w:rsidP="0070405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In general, see: IACHR. Report No. 86/09, Case 12.553, Merits, José, Jorge and Dante Peirano Basso, Uruguay, August 6, 2009, para. 133; IACHR Report No. 2/97, Case 11.205, Merits, Jorge Luis Bronstein </w:t>
      </w:r>
      <w:r>
        <w:rPr>
          <w:rFonts w:asciiTheme="majorHAnsi" w:hAnsiTheme="majorHAnsi"/>
          <w:i/>
          <w:iCs/>
          <w:sz w:val="16"/>
          <w:szCs w:val="16"/>
          <w:lang w:val="en"/>
        </w:rPr>
        <w:t>et al.</w:t>
      </w:r>
      <w:r>
        <w:rPr>
          <w:rFonts w:asciiTheme="majorHAnsi" w:hAnsiTheme="majorHAnsi"/>
          <w:sz w:val="16"/>
          <w:szCs w:val="16"/>
          <w:lang w:val="en"/>
        </w:rPr>
        <w:t xml:space="preserve">, Argentina, March 11, 1997, para. 12; IACHR. Third Report on the Human Rights Situation in Paraguay, OEA/Ser./L/VII.110. Doc. 52, adopted on March 9, 2001. Chap. IV, para. 34. Also see: Inter-American Court. Case of López Álvarez v. Honduras. Judgment of February 1, 2006. Series C No. 141, para. 69; Inter-American Court. Case of Acosta Calderón v. Ecuador. Judgment of June 24, 2005. Series C No. 129, para. 111; Inter-American Court. Case of Tibi v. Ecuador. Judgment of September 7, 2004. Series C No. 114, para. 180; Inter-American Court. Case of the "Juvenile Reeducation Institute” v. Paraguay. Judgment of September 2, 2004. Series C No. 112, para. 229; Inter-American Court. Case of Suárez Rosero v. Ecuador. Judgment of November 12, 1997. Series C No. 35, para. 77. </w:t>
      </w:r>
    </w:p>
  </w:footnote>
  <w:footnote w:id="49">
    <w:p w14:paraId="2B83E36A" w14:textId="77777777" w:rsidR="00704058" w:rsidRPr="00BE6681" w:rsidRDefault="00704058" w:rsidP="00704058">
      <w:pPr>
        <w:pStyle w:val="FootnoteText"/>
        <w:jc w:val="both"/>
        <w:rPr>
          <w:rFonts w:asciiTheme="majorHAnsi" w:hAnsiTheme="majorHAnsi"/>
          <w:color w:val="auto"/>
          <w:sz w:val="16"/>
          <w:szCs w:val="16"/>
        </w:rPr>
      </w:pPr>
      <w:r>
        <w:rPr>
          <w:rStyle w:val="FootnoteReference"/>
          <w:rFonts w:asciiTheme="majorHAnsi" w:hAnsiTheme="majorHAnsi"/>
          <w:color w:val="auto"/>
          <w:sz w:val="16"/>
          <w:szCs w:val="16"/>
          <w:lang w:val="en"/>
        </w:rPr>
        <w:footnoteRef/>
      </w:r>
      <w:r>
        <w:rPr>
          <w:rFonts w:asciiTheme="majorHAnsi" w:hAnsiTheme="majorHAnsi"/>
          <w:color w:val="auto"/>
          <w:sz w:val="16"/>
          <w:szCs w:val="16"/>
          <w:lang w:val="en"/>
        </w:rPr>
        <w:t xml:space="preserve"> Article 9 of the Convention establishes that “No one shall be convicted of any act or omission that did not constitute a criminal offense, under the applicable law, at the time it was committed. A heavier penalty shall not be imposed than the one that was applicable at the time the criminal offense was committed. If subsequent to the commission of the offense the law provides for the imposition of a lighter punishment, the guilty person shall benefit therefrom.”</w:t>
      </w:r>
    </w:p>
  </w:footnote>
  <w:footnote w:id="50">
    <w:p w14:paraId="7DB81EF7" w14:textId="77777777" w:rsidR="00704058" w:rsidRPr="00BE6681" w:rsidRDefault="00704058" w:rsidP="00704058">
      <w:pPr>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IACHR, Criminalization of the Work of Human Rights Defenders, OEA/Ser.L/V/Doc.49/15, December 31, 2015, para. 253.</w:t>
      </w:r>
    </w:p>
  </w:footnote>
  <w:footnote w:id="51">
    <w:p w14:paraId="1B88D22F" w14:textId="77777777" w:rsidR="00704058" w:rsidRPr="005D6EE5" w:rsidRDefault="00704058" w:rsidP="00704058">
      <w:pPr>
        <w:pStyle w:val="FootnoteText"/>
        <w:jc w:val="both"/>
        <w:rPr>
          <w:rFonts w:asciiTheme="majorHAnsi" w:hAnsiTheme="majorHAnsi"/>
          <w:b/>
          <w:sz w:val="16"/>
          <w:szCs w:val="16"/>
        </w:rPr>
      </w:pPr>
      <w:r w:rsidRPr="005D6EE5">
        <w:rPr>
          <w:rStyle w:val="FootnoteReference"/>
          <w:rFonts w:asciiTheme="majorHAnsi" w:hAnsiTheme="majorHAnsi"/>
          <w:b/>
          <w:bCs/>
          <w:sz w:val="16"/>
          <w:szCs w:val="16"/>
          <w:lang w:val="en"/>
        </w:rPr>
        <w:footnoteRef/>
      </w:r>
      <w:r w:rsidRPr="005D6EE5">
        <w:rPr>
          <w:rStyle w:val="Strong"/>
          <w:rFonts w:asciiTheme="majorHAnsi" w:hAnsiTheme="majorHAnsi"/>
          <w:b w:val="0"/>
          <w:sz w:val="16"/>
          <w:szCs w:val="16"/>
          <w:lang w:val="en"/>
        </w:rPr>
        <w:t xml:space="preserve"> Inter-American Court. Case of Ricardo Canese v. Paraguay. Merits, Reparations, and Costs. Judgment dated August 31, 2004. Series C No. 111. Par. 175. </w:t>
      </w:r>
    </w:p>
  </w:footnote>
  <w:footnote w:id="52">
    <w:p w14:paraId="6AF4107D" w14:textId="77777777" w:rsidR="00704058" w:rsidRPr="00BE6681" w:rsidRDefault="00704058" w:rsidP="00704058">
      <w:pPr>
        <w:pStyle w:val="FootnoteText"/>
        <w:jc w:val="both"/>
        <w:rPr>
          <w:rFonts w:asciiTheme="majorHAnsi" w:hAnsiTheme="majorHAnsi"/>
          <w:sz w:val="16"/>
          <w:szCs w:val="16"/>
        </w:rPr>
      </w:pPr>
      <w:r w:rsidRPr="005D6EE5">
        <w:rPr>
          <w:rStyle w:val="FootnoteReference"/>
          <w:rFonts w:asciiTheme="majorHAnsi" w:hAnsiTheme="majorHAnsi"/>
          <w:b/>
          <w:bCs/>
          <w:sz w:val="16"/>
          <w:szCs w:val="16"/>
          <w:lang w:val="en"/>
        </w:rPr>
        <w:footnoteRef/>
      </w:r>
      <w:r w:rsidRPr="005D6EE5">
        <w:rPr>
          <w:rStyle w:val="Strong"/>
          <w:rFonts w:asciiTheme="majorHAnsi" w:hAnsiTheme="majorHAnsi"/>
          <w:b w:val="0"/>
          <w:sz w:val="16"/>
          <w:szCs w:val="16"/>
          <w:lang w:val="en"/>
        </w:rPr>
        <w:t xml:space="preserve"> Inter-American Court. Case of Ricardo Canese v. Paraguay. Merits, Reparations, and Costs. Judgment dated August 31, 2004. Series C No. 111. Par. 178.</w:t>
      </w:r>
      <w:r>
        <w:rPr>
          <w:rStyle w:val="Strong"/>
          <w:rFonts w:asciiTheme="majorHAnsi" w:hAnsiTheme="majorHAnsi"/>
          <w:sz w:val="16"/>
          <w:szCs w:val="16"/>
          <w:lang w:val="en"/>
        </w:rPr>
        <w:t xml:space="preserve"> </w:t>
      </w:r>
    </w:p>
  </w:footnote>
  <w:footnote w:id="53">
    <w:p w14:paraId="30298D30" w14:textId="77777777" w:rsidR="00704058" w:rsidRPr="005D6EE5" w:rsidRDefault="00704058" w:rsidP="00704058">
      <w:pPr>
        <w:pStyle w:val="FootnoteText"/>
        <w:jc w:val="both"/>
        <w:rPr>
          <w:rFonts w:asciiTheme="majorHAnsi" w:hAnsiTheme="majorHAnsi"/>
          <w:b/>
          <w:sz w:val="16"/>
          <w:szCs w:val="16"/>
        </w:rPr>
      </w:pPr>
      <w:r w:rsidRPr="005D6EE5">
        <w:rPr>
          <w:rStyle w:val="FootnoteReference"/>
          <w:rFonts w:asciiTheme="majorHAnsi" w:hAnsiTheme="majorHAnsi"/>
          <w:sz w:val="16"/>
          <w:szCs w:val="16"/>
          <w:lang w:val="en"/>
        </w:rPr>
        <w:footnoteRef/>
      </w:r>
      <w:r w:rsidRPr="005D6EE5">
        <w:rPr>
          <w:rFonts w:asciiTheme="majorHAnsi" w:hAnsiTheme="majorHAnsi"/>
          <w:sz w:val="16"/>
          <w:szCs w:val="16"/>
          <w:lang w:val="en"/>
        </w:rPr>
        <w:t xml:space="preserve"> See:</w:t>
      </w:r>
      <w:r w:rsidRPr="005D6EE5">
        <w:rPr>
          <w:rFonts w:asciiTheme="majorHAnsi" w:hAnsiTheme="majorHAnsi"/>
          <w:b/>
          <w:sz w:val="16"/>
          <w:szCs w:val="16"/>
          <w:lang w:val="en"/>
        </w:rPr>
        <w:t xml:space="preserve"> </w:t>
      </w:r>
      <w:r w:rsidRPr="005D6EE5">
        <w:rPr>
          <w:rStyle w:val="Strong"/>
          <w:rFonts w:asciiTheme="majorHAnsi" w:hAnsiTheme="majorHAnsi"/>
          <w:b w:val="0"/>
          <w:sz w:val="16"/>
          <w:szCs w:val="16"/>
          <w:lang w:val="en"/>
        </w:rPr>
        <w:t>Inter-American Court. Caso Mémoli v. Argentina. Preliminary Objections, Merits, Reparations, and Costs. Judgment dated August 22, 2013. Series C No. 265. Par. 158.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FD167" w14:textId="77777777" w:rsidR="0090268A" w:rsidRDefault="0090268A" w:rsidP="00C1470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B012733" w14:textId="77777777" w:rsidR="0090268A" w:rsidRDefault="009026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BCAC" w14:textId="77777777" w:rsidR="0090268A" w:rsidRDefault="0090268A" w:rsidP="002C1641">
    <w:pPr>
      <w:pStyle w:val="Header"/>
      <w:tabs>
        <w:tab w:val="clear" w:pos="4320"/>
        <w:tab w:val="clear" w:pos="8640"/>
      </w:tabs>
      <w:jc w:val="center"/>
      <w:rPr>
        <w:sz w:val="22"/>
        <w:szCs w:val="22"/>
      </w:rPr>
    </w:pPr>
    <w:r>
      <w:rPr>
        <w:noProof/>
        <w:sz w:val="22"/>
        <w:szCs w:val="22"/>
      </w:rPr>
      <w:drawing>
        <wp:inline distT="0" distB="0" distL="0" distR="0" wp14:anchorId="1E28BBDE" wp14:editId="1BBBF3C1">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5911E222" w14:textId="77777777" w:rsidR="0090268A" w:rsidRPr="00EC7D62" w:rsidRDefault="00E9077F" w:rsidP="002C1641">
    <w:pPr>
      <w:pStyle w:val="Header"/>
      <w:tabs>
        <w:tab w:val="clear" w:pos="4320"/>
        <w:tab w:val="clear" w:pos="8640"/>
      </w:tabs>
      <w:jc w:val="center"/>
      <w:rPr>
        <w:sz w:val="22"/>
        <w:szCs w:val="22"/>
      </w:rPr>
    </w:pPr>
    <w:r>
      <w:rPr>
        <w:noProof/>
        <w:sz w:val="22"/>
        <w:szCs w:val="22"/>
        <w:bdr w:val="nil"/>
      </w:rPr>
      <w:pict w14:anchorId="1482E282">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AB2D" w14:textId="77777777" w:rsidR="00327C05" w:rsidRDefault="00327C05" w:rsidP="00327C05">
    <w:pPr>
      <w:pStyle w:val="Header"/>
      <w:tabs>
        <w:tab w:val="clear" w:pos="4320"/>
        <w:tab w:val="clear" w:pos="8640"/>
      </w:tabs>
      <w:jc w:val="center"/>
      <w:rPr>
        <w:sz w:val="22"/>
        <w:szCs w:val="22"/>
      </w:rPr>
    </w:pPr>
    <w:r>
      <w:rPr>
        <w:noProof/>
        <w:sz w:val="22"/>
        <w:szCs w:val="22"/>
      </w:rPr>
      <w:drawing>
        <wp:inline distT="0" distB="0" distL="0" distR="0" wp14:anchorId="4D30D1F8" wp14:editId="64F3F367">
          <wp:extent cx="2209800" cy="117396"/>
          <wp:effectExtent l="0" t="0" r="0" b="0"/>
          <wp:docPr id="10" name="Picture 10"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52E59924" w14:textId="77777777" w:rsidR="00327C05" w:rsidRPr="00EC7D62" w:rsidRDefault="00327C05" w:rsidP="00327C05">
    <w:pPr>
      <w:pStyle w:val="Header"/>
      <w:tabs>
        <w:tab w:val="clear" w:pos="4320"/>
        <w:tab w:val="clear" w:pos="8640"/>
      </w:tabs>
      <w:jc w:val="center"/>
      <w:rPr>
        <w:sz w:val="22"/>
        <w:szCs w:val="22"/>
      </w:rPr>
    </w:pPr>
    <w:r>
      <w:rPr>
        <w:noProof/>
        <w:sz w:val="22"/>
        <w:szCs w:val="22"/>
        <w:bdr w:val="nil"/>
      </w:rPr>
      <w:pict w14:anchorId="396FC4B8">
        <v:rect id="_x0000_i1028"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9050020"/>
    <w:multiLevelType w:val="hybridMultilevel"/>
    <w:tmpl w:val="3484FA1C"/>
    <w:lvl w:ilvl="0" w:tplc="D6C03A1C">
      <w:start w:val="1"/>
      <w:numFmt w:val="decimal"/>
      <w:lvlText w:val="%1."/>
      <w:lvlJc w:val="left"/>
      <w:pPr>
        <w:tabs>
          <w:tab w:val="num" w:pos="1429"/>
        </w:tabs>
        <w:ind w:firstLine="720"/>
      </w:pPr>
      <w:rPr>
        <w:rFonts w:ascii="Cambria" w:hAnsi="Cambria" w:cs="Times New Roman" w:hint="default"/>
        <w:b w:val="0"/>
        <w:i w:val="0"/>
        <w:sz w:val="20"/>
        <w:szCs w:val="20"/>
        <w:lang w:val="es-ES"/>
      </w:rPr>
    </w:lvl>
    <w:lvl w:ilvl="1" w:tplc="04090019">
      <w:start w:val="1"/>
      <w:numFmt w:val="lowerLetter"/>
      <w:lvlText w:val="%2."/>
      <w:lvlJc w:val="left"/>
      <w:pPr>
        <w:tabs>
          <w:tab w:val="num" w:pos="1440"/>
        </w:tabs>
        <w:ind w:left="1440" w:hanging="360"/>
      </w:pPr>
      <w:rPr>
        <w:rFonts w:cs="Times New Roman"/>
      </w:rPr>
    </w:lvl>
    <w:lvl w:ilvl="2" w:tplc="C66EDE0C">
      <w:start w:val="3"/>
      <w:numFmt w:val="upperRoman"/>
      <w:lvlText w:val="%3."/>
      <w:lvlJc w:val="left"/>
      <w:pPr>
        <w:tabs>
          <w:tab w:val="num" w:pos="2700"/>
        </w:tabs>
        <w:ind w:left="2700" w:hanging="720"/>
      </w:pPr>
      <w:rPr>
        <w:rFonts w:cs="Times New Roman" w:hint="default"/>
      </w:rPr>
    </w:lvl>
    <w:lvl w:ilvl="3" w:tplc="268AFC70">
      <w:start w:val="1"/>
      <w:numFmt w:val="decimal"/>
      <w:lvlText w:val="%4."/>
      <w:lvlJc w:val="left"/>
      <w:pPr>
        <w:tabs>
          <w:tab w:val="num" w:pos="2880"/>
        </w:tabs>
        <w:ind w:left="2880" w:hanging="360"/>
      </w:pPr>
      <w:rPr>
        <w:rFonts w:hint="default"/>
        <w:b/>
        <w:i w:val="0"/>
        <w:sz w:val="20"/>
        <w:szCs w:val="2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3C430424"/>
    <w:multiLevelType w:val="hybridMultilevel"/>
    <w:tmpl w:val="28EC4CF0"/>
    <w:lvl w:ilvl="0" w:tplc="16B68A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D87765D"/>
    <w:multiLevelType w:val="hybridMultilevel"/>
    <w:tmpl w:val="79A073F4"/>
    <w:lvl w:ilvl="0" w:tplc="B9C0755C">
      <w:start w:val="1"/>
      <w:numFmt w:val="decimal"/>
      <w:lvlText w:val="%1."/>
      <w:lvlJc w:val="left"/>
      <w:pPr>
        <w:ind w:left="660" w:hanging="57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FDF2ED9"/>
    <w:multiLevelType w:val="hybridMultilevel"/>
    <w:tmpl w:val="052CDC5E"/>
    <w:lvl w:ilvl="0" w:tplc="D92C12E8">
      <w:start w:val="1"/>
      <w:numFmt w:val="decimal"/>
      <w:lvlText w:val="%1."/>
      <w:lvlJc w:val="left"/>
      <w:pPr>
        <w:tabs>
          <w:tab w:val="num" w:pos="1860"/>
        </w:tabs>
        <w:ind w:left="186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7CC5AD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893AFD0C"/>
    <w:lvl w:ilvl="0" w:tplc="69020C3E">
      <w:start w:val="1"/>
      <w:numFmt w:val="upperRoman"/>
      <w:pStyle w:val="Heading1"/>
      <w:lvlText w:val="%1."/>
      <w:lvlJc w:val="left"/>
      <w:pPr>
        <w:ind w:left="540" w:hanging="360"/>
      </w:pPr>
      <w:rPr>
        <w:rFonts w:hint="default"/>
      </w:rPr>
    </w:lvl>
    <w:lvl w:ilvl="1" w:tplc="677C583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3"/>
  </w:num>
  <w:num w:numId="4">
    <w:abstractNumId w:val="20"/>
  </w:num>
  <w:num w:numId="5">
    <w:abstractNumId w:val="46"/>
  </w:num>
  <w:num w:numId="6">
    <w:abstractNumId w:val="25"/>
  </w:num>
  <w:num w:numId="7">
    <w:abstractNumId w:val="6"/>
  </w:num>
  <w:num w:numId="8">
    <w:abstractNumId w:val="16"/>
  </w:num>
  <w:num w:numId="9">
    <w:abstractNumId w:val="41"/>
  </w:num>
  <w:num w:numId="10">
    <w:abstractNumId w:val="0"/>
  </w:num>
  <w:num w:numId="11">
    <w:abstractNumId w:val="35"/>
  </w:num>
  <w:num w:numId="12">
    <w:abstractNumId w:val="36"/>
  </w:num>
  <w:num w:numId="13">
    <w:abstractNumId w:val="42"/>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9"/>
  </w:num>
  <w:num w:numId="52">
    <w:abstractNumId w:val="40"/>
  </w:num>
  <w:num w:numId="53">
    <w:abstractNumId w:val="50"/>
  </w:num>
  <w:num w:numId="54">
    <w:abstractNumId w:val="43"/>
  </w:num>
  <w:num w:numId="55">
    <w:abstractNumId w:val="47"/>
  </w:num>
  <w:num w:numId="56">
    <w:abstractNumId w:val="27"/>
  </w:num>
  <w:num w:numId="57">
    <w:abstractNumId w:val="44"/>
  </w:num>
  <w:num w:numId="58">
    <w:abstractNumId w:val="37"/>
  </w:num>
  <w:num w:numId="59">
    <w:abstractNumId w:val="27"/>
    <w:lvlOverride w:ilvl="0">
      <w:startOverride w:val="1"/>
    </w:lvlOverride>
  </w:num>
  <w:num w:numId="60">
    <w:abstractNumId w:val="50"/>
  </w:num>
  <w:num w:numId="61">
    <w:abstractNumId w:val="50"/>
  </w:num>
  <w:num w:numId="62">
    <w:abstractNumId w:val="50"/>
  </w:num>
  <w:num w:numId="63">
    <w:abstractNumId w:val="50"/>
  </w:num>
  <w:num w:numId="64">
    <w:abstractNumId w:val="5"/>
  </w:num>
  <w:num w:numId="65">
    <w:abstractNumId w:val="50"/>
    <w:lvlOverride w:ilvl="0">
      <w:startOverride w:val="1"/>
    </w:lvlOverride>
  </w:num>
  <w:num w:numId="66">
    <w:abstractNumId w:val="50"/>
  </w:num>
  <w:num w:numId="67">
    <w:abstractNumId w:val="50"/>
  </w:num>
  <w:num w:numId="68">
    <w:abstractNumId w:val="5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132"/>
    <w:rsid w:val="0000148A"/>
    <w:rsid w:val="00001877"/>
    <w:rsid w:val="00001B5B"/>
    <w:rsid w:val="00002328"/>
    <w:rsid w:val="0000301B"/>
    <w:rsid w:val="00003FD5"/>
    <w:rsid w:val="000050CC"/>
    <w:rsid w:val="0000678A"/>
    <w:rsid w:val="00006DD7"/>
    <w:rsid w:val="00006E50"/>
    <w:rsid w:val="000070D7"/>
    <w:rsid w:val="00007ADB"/>
    <w:rsid w:val="00007B4D"/>
    <w:rsid w:val="00007E15"/>
    <w:rsid w:val="00010763"/>
    <w:rsid w:val="00010877"/>
    <w:rsid w:val="00010A7E"/>
    <w:rsid w:val="000111A8"/>
    <w:rsid w:val="00011B5B"/>
    <w:rsid w:val="00011EB8"/>
    <w:rsid w:val="00012470"/>
    <w:rsid w:val="00012683"/>
    <w:rsid w:val="000129A1"/>
    <w:rsid w:val="00012ADD"/>
    <w:rsid w:val="00012E4F"/>
    <w:rsid w:val="00013F78"/>
    <w:rsid w:val="00015F42"/>
    <w:rsid w:val="00017552"/>
    <w:rsid w:val="0001788C"/>
    <w:rsid w:val="00017C7A"/>
    <w:rsid w:val="00021145"/>
    <w:rsid w:val="00021201"/>
    <w:rsid w:val="00022424"/>
    <w:rsid w:val="0002262A"/>
    <w:rsid w:val="00022694"/>
    <w:rsid w:val="000226C1"/>
    <w:rsid w:val="00022D0A"/>
    <w:rsid w:val="00022D28"/>
    <w:rsid w:val="00023243"/>
    <w:rsid w:val="00024730"/>
    <w:rsid w:val="00024BB7"/>
    <w:rsid w:val="00025734"/>
    <w:rsid w:val="000261D4"/>
    <w:rsid w:val="000265CB"/>
    <w:rsid w:val="0002681D"/>
    <w:rsid w:val="0003022F"/>
    <w:rsid w:val="00030834"/>
    <w:rsid w:val="00030D4E"/>
    <w:rsid w:val="00031A82"/>
    <w:rsid w:val="0003324D"/>
    <w:rsid w:val="000332F4"/>
    <w:rsid w:val="000333FB"/>
    <w:rsid w:val="00035BD7"/>
    <w:rsid w:val="0003675B"/>
    <w:rsid w:val="00036A8A"/>
    <w:rsid w:val="00040C3A"/>
    <w:rsid w:val="000426E7"/>
    <w:rsid w:val="0004390C"/>
    <w:rsid w:val="00043B27"/>
    <w:rsid w:val="00043D15"/>
    <w:rsid w:val="000444CA"/>
    <w:rsid w:val="00044CCE"/>
    <w:rsid w:val="00045601"/>
    <w:rsid w:val="0004589C"/>
    <w:rsid w:val="000459E0"/>
    <w:rsid w:val="00045C6F"/>
    <w:rsid w:val="00046039"/>
    <w:rsid w:val="0004681B"/>
    <w:rsid w:val="0004761C"/>
    <w:rsid w:val="00047F35"/>
    <w:rsid w:val="000516F4"/>
    <w:rsid w:val="000517B2"/>
    <w:rsid w:val="00051EB4"/>
    <w:rsid w:val="000520FB"/>
    <w:rsid w:val="0005221C"/>
    <w:rsid w:val="00052B06"/>
    <w:rsid w:val="00052B92"/>
    <w:rsid w:val="00052E79"/>
    <w:rsid w:val="00053172"/>
    <w:rsid w:val="00053AB4"/>
    <w:rsid w:val="00054E1B"/>
    <w:rsid w:val="000564E1"/>
    <w:rsid w:val="000576AA"/>
    <w:rsid w:val="00057D4F"/>
    <w:rsid w:val="00057EDB"/>
    <w:rsid w:val="0006097A"/>
    <w:rsid w:val="00062648"/>
    <w:rsid w:val="00062C0F"/>
    <w:rsid w:val="00062FEC"/>
    <w:rsid w:val="00063725"/>
    <w:rsid w:val="000639C0"/>
    <w:rsid w:val="000643AB"/>
    <w:rsid w:val="000657E1"/>
    <w:rsid w:val="000679BC"/>
    <w:rsid w:val="00070841"/>
    <w:rsid w:val="00070F3A"/>
    <w:rsid w:val="0007127E"/>
    <w:rsid w:val="0007164A"/>
    <w:rsid w:val="000716C5"/>
    <w:rsid w:val="00071A9D"/>
    <w:rsid w:val="00071AAE"/>
    <w:rsid w:val="00071E45"/>
    <w:rsid w:val="00074669"/>
    <w:rsid w:val="00075E23"/>
    <w:rsid w:val="00075F7C"/>
    <w:rsid w:val="000764E3"/>
    <w:rsid w:val="000770BF"/>
    <w:rsid w:val="000770EA"/>
    <w:rsid w:val="00077A87"/>
    <w:rsid w:val="00080249"/>
    <w:rsid w:val="00080357"/>
    <w:rsid w:val="00081EC3"/>
    <w:rsid w:val="00082CBB"/>
    <w:rsid w:val="000830D5"/>
    <w:rsid w:val="00083BEF"/>
    <w:rsid w:val="00083DFD"/>
    <w:rsid w:val="00084A11"/>
    <w:rsid w:val="00084C5B"/>
    <w:rsid w:val="00085D13"/>
    <w:rsid w:val="00085F60"/>
    <w:rsid w:val="00085F65"/>
    <w:rsid w:val="0008638D"/>
    <w:rsid w:val="00086A43"/>
    <w:rsid w:val="00086BFA"/>
    <w:rsid w:val="0008733D"/>
    <w:rsid w:val="00090720"/>
    <w:rsid w:val="00091707"/>
    <w:rsid w:val="000922C5"/>
    <w:rsid w:val="00092F32"/>
    <w:rsid w:val="00093055"/>
    <w:rsid w:val="000931E3"/>
    <w:rsid w:val="0009344A"/>
    <w:rsid w:val="000935D8"/>
    <w:rsid w:val="00093D50"/>
    <w:rsid w:val="00094AFA"/>
    <w:rsid w:val="00095575"/>
    <w:rsid w:val="0009575D"/>
    <w:rsid w:val="0009635A"/>
    <w:rsid w:val="000973C5"/>
    <w:rsid w:val="000A03C4"/>
    <w:rsid w:val="000A0EF3"/>
    <w:rsid w:val="000A1E84"/>
    <w:rsid w:val="000A2085"/>
    <w:rsid w:val="000A254B"/>
    <w:rsid w:val="000A3276"/>
    <w:rsid w:val="000A3E84"/>
    <w:rsid w:val="000A4138"/>
    <w:rsid w:val="000A4E40"/>
    <w:rsid w:val="000A575F"/>
    <w:rsid w:val="000A584B"/>
    <w:rsid w:val="000A5B0F"/>
    <w:rsid w:val="000A5D5E"/>
    <w:rsid w:val="000A650D"/>
    <w:rsid w:val="000A6530"/>
    <w:rsid w:val="000A6C50"/>
    <w:rsid w:val="000A7A76"/>
    <w:rsid w:val="000A7DBA"/>
    <w:rsid w:val="000B0F50"/>
    <w:rsid w:val="000B1039"/>
    <w:rsid w:val="000B25FC"/>
    <w:rsid w:val="000B276D"/>
    <w:rsid w:val="000B2EF7"/>
    <w:rsid w:val="000B478D"/>
    <w:rsid w:val="000B4BBA"/>
    <w:rsid w:val="000B4DAF"/>
    <w:rsid w:val="000B4EAA"/>
    <w:rsid w:val="000B50C3"/>
    <w:rsid w:val="000B5A68"/>
    <w:rsid w:val="000B6803"/>
    <w:rsid w:val="000C0092"/>
    <w:rsid w:val="000C0149"/>
    <w:rsid w:val="000C04CF"/>
    <w:rsid w:val="000C0936"/>
    <w:rsid w:val="000C1B5A"/>
    <w:rsid w:val="000C2184"/>
    <w:rsid w:val="000C6828"/>
    <w:rsid w:val="000C6FFD"/>
    <w:rsid w:val="000D0BA4"/>
    <w:rsid w:val="000D10DB"/>
    <w:rsid w:val="000D14D5"/>
    <w:rsid w:val="000D1FC7"/>
    <w:rsid w:val="000D3921"/>
    <w:rsid w:val="000D3B27"/>
    <w:rsid w:val="000D4BA6"/>
    <w:rsid w:val="000D5691"/>
    <w:rsid w:val="000D6817"/>
    <w:rsid w:val="000D68F4"/>
    <w:rsid w:val="000D6EEF"/>
    <w:rsid w:val="000D78CB"/>
    <w:rsid w:val="000E071F"/>
    <w:rsid w:val="000E0C4E"/>
    <w:rsid w:val="000E0F8F"/>
    <w:rsid w:val="000E0F90"/>
    <w:rsid w:val="000E1356"/>
    <w:rsid w:val="000E17C3"/>
    <w:rsid w:val="000E3937"/>
    <w:rsid w:val="000E3C93"/>
    <w:rsid w:val="000E4046"/>
    <w:rsid w:val="000E44C7"/>
    <w:rsid w:val="000E47E2"/>
    <w:rsid w:val="000E56C3"/>
    <w:rsid w:val="000E598E"/>
    <w:rsid w:val="000E620E"/>
    <w:rsid w:val="000E69B3"/>
    <w:rsid w:val="000E6EDD"/>
    <w:rsid w:val="000E7140"/>
    <w:rsid w:val="000E7636"/>
    <w:rsid w:val="000E7ED0"/>
    <w:rsid w:val="000E7F2D"/>
    <w:rsid w:val="000E7F69"/>
    <w:rsid w:val="000F0A25"/>
    <w:rsid w:val="000F0EEC"/>
    <w:rsid w:val="000F1E66"/>
    <w:rsid w:val="000F4547"/>
    <w:rsid w:val="000F4D36"/>
    <w:rsid w:val="000F7409"/>
    <w:rsid w:val="000F7FF5"/>
    <w:rsid w:val="00100E76"/>
    <w:rsid w:val="00101553"/>
    <w:rsid w:val="001024E3"/>
    <w:rsid w:val="0010267B"/>
    <w:rsid w:val="00102D45"/>
    <w:rsid w:val="001032AB"/>
    <w:rsid w:val="00103526"/>
    <w:rsid w:val="00104889"/>
    <w:rsid w:val="00104896"/>
    <w:rsid w:val="00105557"/>
    <w:rsid w:val="001063FA"/>
    <w:rsid w:val="00106990"/>
    <w:rsid w:val="001077F4"/>
    <w:rsid w:val="001104D0"/>
    <w:rsid w:val="00111D36"/>
    <w:rsid w:val="00112617"/>
    <w:rsid w:val="00113149"/>
    <w:rsid w:val="0011478B"/>
    <w:rsid w:val="00115009"/>
    <w:rsid w:val="00117107"/>
    <w:rsid w:val="00117CB2"/>
    <w:rsid w:val="00122997"/>
    <w:rsid w:val="001232FD"/>
    <w:rsid w:val="00123ECD"/>
    <w:rsid w:val="00125036"/>
    <w:rsid w:val="00125821"/>
    <w:rsid w:val="001263A7"/>
    <w:rsid w:val="001267FB"/>
    <w:rsid w:val="00130DE9"/>
    <w:rsid w:val="0013104F"/>
    <w:rsid w:val="0013113F"/>
    <w:rsid w:val="0013178F"/>
    <w:rsid w:val="00131B01"/>
    <w:rsid w:val="001329B3"/>
    <w:rsid w:val="00132FE4"/>
    <w:rsid w:val="00133465"/>
    <w:rsid w:val="001339A0"/>
    <w:rsid w:val="0013403C"/>
    <w:rsid w:val="00134A26"/>
    <w:rsid w:val="00134E98"/>
    <w:rsid w:val="00134FF0"/>
    <w:rsid w:val="001357AD"/>
    <w:rsid w:val="001365B6"/>
    <w:rsid w:val="00136943"/>
    <w:rsid w:val="00137EBA"/>
    <w:rsid w:val="0014081D"/>
    <w:rsid w:val="00140921"/>
    <w:rsid w:val="00141DEA"/>
    <w:rsid w:val="00142AE8"/>
    <w:rsid w:val="00143EB9"/>
    <w:rsid w:val="0014501B"/>
    <w:rsid w:val="00145EDC"/>
    <w:rsid w:val="00146390"/>
    <w:rsid w:val="001477DD"/>
    <w:rsid w:val="00147D7E"/>
    <w:rsid w:val="001503E0"/>
    <w:rsid w:val="00150DD0"/>
    <w:rsid w:val="00150EDF"/>
    <w:rsid w:val="00151C3F"/>
    <w:rsid w:val="00152085"/>
    <w:rsid w:val="0015263B"/>
    <w:rsid w:val="00152944"/>
    <w:rsid w:val="00152A42"/>
    <w:rsid w:val="00154179"/>
    <w:rsid w:val="00155F1D"/>
    <w:rsid w:val="001567A4"/>
    <w:rsid w:val="00157341"/>
    <w:rsid w:val="001577B2"/>
    <w:rsid w:val="00157A9F"/>
    <w:rsid w:val="001600A4"/>
    <w:rsid w:val="00161150"/>
    <w:rsid w:val="00161878"/>
    <w:rsid w:val="00162AAD"/>
    <w:rsid w:val="00162CEF"/>
    <w:rsid w:val="0016338D"/>
    <w:rsid w:val="0016383C"/>
    <w:rsid w:val="001638DF"/>
    <w:rsid w:val="0016465A"/>
    <w:rsid w:val="00166F26"/>
    <w:rsid w:val="00167478"/>
    <w:rsid w:val="00167A34"/>
    <w:rsid w:val="001707F9"/>
    <w:rsid w:val="00170952"/>
    <w:rsid w:val="001710D1"/>
    <w:rsid w:val="00171725"/>
    <w:rsid w:val="001733D5"/>
    <w:rsid w:val="0017348C"/>
    <w:rsid w:val="001739DA"/>
    <w:rsid w:val="001739F5"/>
    <w:rsid w:val="001747B4"/>
    <w:rsid w:val="00174911"/>
    <w:rsid w:val="001751D2"/>
    <w:rsid w:val="00175827"/>
    <w:rsid w:val="0017642E"/>
    <w:rsid w:val="00176E42"/>
    <w:rsid w:val="00177B35"/>
    <w:rsid w:val="0018037F"/>
    <w:rsid w:val="001805B4"/>
    <w:rsid w:val="001807D6"/>
    <w:rsid w:val="0018081C"/>
    <w:rsid w:val="00180D3C"/>
    <w:rsid w:val="00180E3B"/>
    <w:rsid w:val="001819A8"/>
    <w:rsid w:val="00181DF0"/>
    <w:rsid w:val="00182F27"/>
    <w:rsid w:val="00184083"/>
    <w:rsid w:val="00184C6F"/>
    <w:rsid w:val="00184C7A"/>
    <w:rsid w:val="00186DDB"/>
    <w:rsid w:val="00187268"/>
    <w:rsid w:val="00187B6A"/>
    <w:rsid w:val="00190214"/>
    <w:rsid w:val="0019332D"/>
    <w:rsid w:val="001937A5"/>
    <w:rsid w:val="00196785"/>
    <w:rsid w:val="00196854"/>
    <w:rsid w:val="00196C51"/>
    <w:rsid w:val="0019748D"/>
    <w:rsid w:val="001A114F"/>
    <w:rsid w:val="001A1203"/>
    <w:rsid w:val="001A2434"/>
    <w:rsid w:val="001A432A"/>
    <w:rsid w:val="001A4B48"/>
    <w:rsid w:val="001A4BF1"/>
    <w:rsid w:val="001A55FF"/>
    <w:rsid w:val="001A5F27"/>
    <w:rsid w:val="001A608A"/>
    <w:rsid w:val="001A6423"/>
    <w:rsid w:val="001A64EB"/>
    <w:rsid w:val="001A7439"/>
    <w:rsid w:val="001A74BC"/>
    <w:rsid w:val="001A7870"/>
    <w:rsid w:val="001B17B9"/>
    <w:rsid w:val="001B23B9"/>
    <w:rsid w:val="001B3279"/>
    <w:rsid w:val="001B4974"/>
    <w:rsid w:val="001B4F28"/>
    <w:rsid w:val="001B5446"/>
    <w:rsid w:val="001B5F45"/>
    <w:rsid w:val="001B7CB7"/>
    <w:rsid w:val="001C04BF"/>
    <w:rsid w:val="001C1610"/>
    <w:rsid w:val="001C1B41"/>
    <w:rsid w:val="001C2003"/>
    <w:rsid w:val="001C2173"/>
    <w:rsid w:val="001C3032"/>
    <w:rsid w:val="001C38BC"/>
    <w:rsid w:val="001C3B2D"/>
    <w:rsid w:val="001C4006"/>
    <w:rsid w:val="001C48AF"/>
    <w:rsid w:val="001C6025"/>
    <w:rsid w:val="001C68E7"/>
    <w:rsid w:val="001C6E0E"/>
    <w:rsid w:val="001C6F52"/>
    <w:rsid w:val="001D02FF"/>
    <w:rsid w:val="001D073D"/>
    <w:rsid w:val="001D0E4B"/>
    <w:rsid w:val="001D1343"/>
    <w:rsid w:val="001D1A17"/>
    <w:rsid w:val="001D1FC1"/>
    <w:rsid w:val="001D4B36"/>
    <w:rsid w:val="001D4D75"/>
    <w:rsid w:val="001D59B1"/>
    <w:rsid w:val="001D7B45"/>
    <w:rsid w:val="001E0270"/>
    <w:rsid w:val="001E10CA"/>
    <w:rsid w:val="001E2867"/>
    <w:rsid w:val="001E2A69"/>
    <w:rsid w:val="001E3060"/>
    <w:rsid w:val="001E381D"/>
    <w:rsid w:val="001E3F3E"/>
    <w:rsid w:val="001E4031"/>
    <w:rsid w:val="001E477E"/>
    <w:rsid w:val="001E4D7D"/>
    <w:rsid w:val="001E53FB"/>
    <w:rsid w:val="001E585A"/>
    <w:rsid w:val="001E5A1A"/>
    <w:rsid w:val="001E5BFB"/>
    <w:rsid w:val="001E699E"/>
    <w:rsid w:val="001E6C37"/>
    <w:rsid w:val="001F0B72"/>
    <w:rsid w:val="001F124B"/>
    <w:rsid w:val="001F1A06"/>
    <w:rsid w:val="001F2D26"/>
    <w:rsid w:val="001F3A78"/>
    <w:rsid w:val="001F3B00"/>
    <w:rsid w:val="001F5BD6"/>
    <w:rsid w:val="001F62D9"/>
    <w:rsid w:val="001F70E3"/>
    <w:rsid w:val="002024B8"/>
    <w:rsid w:val="00202A19"/>
    <w:rsid w:val="00203489"/>
    <w:rsid w:val="00204924"/>
    <w:rsid w:val="00204DFD"/>
    <w:rsid w:val="002056C8"/>
    <w:rsid w:val="002057A5"/>
    <w:rsid w:val="00205F63"/>
    <w:rsid w:val="00206357"/>
    <w:rsid w:val="00207544"/>
    <w:rsid w:val="0021055A"/>
    <w:rsid w:val="00210E0E"/>
    <w:rsid w:val="00211294"/>
    <w:rsid w:val="00213322"/>
    <w:rsid w:val="002148F0"/>
    <w:rsid w:val="002154BC"/>
    <w:rsid w:val="0021591D"/>
    <w:rsid w:val="00215CE2"/>
    <w:rsid w:val="00217A88"/>
    <w:rsid w:val="00217F72"/>
    <w:rsid w:val="0022169F"/>
    <w:rsid w:val="00221C43"/>
    <w:rsid w:val="00222050"/>
    <w:rsid w:val="002226AA"/>
    <w:rsid w:val="00223245"/>
    <w:rsid w:val="00223AF9"/>
    <w:rsid w:val="00224B82"/>
    <w:rsid w:val="00225375"/>
    <w:rsid w:val="002256AE"/>
    <w:rsid w:val="00226413"/>
    <w:rsid w:val="0022720E"/>
    <w:rsid w:val="002277C3"/>
    <w:rsid w:val="00227801"/>
    <w:rsid w:val="00227A5E"/>
    <w:rsid w:val="0023061B"/>
    <w:rsid w:val="00231CD1"/>
    <w:rsid w:val="00232320"/>
    <w:rsid w:val="00232B33"/>
    <w:rsid w:val="002351E7"/>
    <w:rsid w:val="00235533"/>
    <w:rsid w:val="00236FA5"/>
    <w:rsid w:val="0024070A"/>
    <w:rsid w:val="0024247E"/>
    <w:rsid w:val="0024379B"/>
    <w:rsid w:val="00243AA4"/>
    <w:rsid w:val="002440E7"/>
    <w:rsid w:val="002440F1"/>
    <w:rsid w:val="0024494A"/>
    <w:rsid w:val="002450A5"/>
    <w:rsid w:val="00245446"/>
    <w:rsid w:val="00246E7D"/>
    <w:rsid w:val="00247019"/>
    <w:rsid w:val="00247403"/>
    <w:rsid w:val="00247542"/>
    <w:rsid w:val="00247995"/>
    <w:rsid w:val="00247C6D"/>
    <w:rsid w:val="00250662"/>
    <w:rsid w:val="002507BD"/>
    <w:rsid w:val="00250F0E"/>
    <w:rsid w:val="00250F42"/>
    <w:rsid w:val="00250FC0"/>
    <w:rsid w:val="002545AA"/>
    <w:rsid w:val="00255140"/>
    <w:rsid w:val="002552DF"/>
    <w:rsid w:val="0025532E"/>
    <w:rsid w:val="00255759"/>
    <w:rsid w:val="00256813"/>
    <w:rsid w:val="00256D45"/>
    <w:rsid w:val="00257893"/>
    <w:rsid w:val="00260A1D"/>
    <w:rsid w:val="0026109F"/>
    <w:rsid w:val="0026154C"/>
    <w:rsid w:val="0026177D"/>
    <w:rsid w:val="002626A2"/>
    <w:rsid w:val="002626F5"/>
    <w:rsid w:val="00262ECA"/>
    <w:rsid w:val="0026321C"/>
    <w:rsid w:val="00263B2B"/>
    <w:rsid w:val="00264033"/>
    <w:rsid w:val="00264944"/>
    <w:rsid w:val="00266092"/>
    <w:rsid w:val="00266B61"/>
    <w:rsid w:val="0026712A"/>
    <w:rsid w:val="00267589"/>
    <w:rsid w:val="00267891"/>
    <w:rsid w:val="00267EF0"/>
    <w:rsid w:val="002701A7"/>
    <w:rsid w:val="002704DB"/>
    <w:rsid w:val="002704E0"/>
    <w:rsid w:val="00270C7A"/>
    <w:rsid w:val="00271175"/>
    <w:rsid w:val="002717E1"/>
    <w:rsid w:val="00272596"/>
    <w:rsid w:val="00272854"/>
    <w:rsid w:val="00272A02"/>
    <w:rsid w:val="00272DEF"/>
    <w:rsid w:val="00272F7D"/>
    <w:rsid w:val="00273032"/>
    <w:rsid w:val="002730F6"/>
    <w:rsid w:val="00274F86"/>
    <w:rsid w:val="002758C7"/>
    <w:rsid w:val="00275D5F"/>
    <w:rsid w:val="00275FC9"/>
    <w:rsid w:val="00276C31"/>
    <w:rsid w:val="00277FAF"/>
    <w:rsid w:val="0028111A"/>
    <w:rsid w:val="00281202"/>
    <w:rsid w:val="00282EDF"/>
    <w:rsid w:val="00283372"/>
    <w:rsid w:val="00283E7B"/>
    <w:rsid w:val="0028474C"/>
    <w:rsid w:val="00284E86"/>
    <w:rsid w:val="00285008"/>
    <w:rsid w:val="0028601A"/>
    <w:rsid w:val="002869C6"/>
    <w:rsid w:val="0028728B"/>
    <w:rsid w:val="00287642"/>
    <w:rsid w:val="00290094"/>
    <w:rsid w:val="00291C7D"/>
    <w:rsid w:val="00292239"/>
    <w:rsid w:val="00292CEC"/>
    <w:rsid w:val="002938FD"/>
    <w:rsid w:val="0029397E"/>
    <w:rsid w:val="00293AEB"/>
    <w:rsid w:val="00293B75"/>
    <w:rsid w:val="0029466E"/>
    <w:rsid w:val="00294727"/>
    <w:rsid w:val="00294B4A"/>
    <w:rsid w:val="0029615A"/>
    <w:rsid w:val="002963E4"/>
    <w:rsid w:val="002966CC"/>
    <w:rsid w:val="0029715B"/>
    <w:rsid w:val="00297288"/>
    <w:rsid w:val="0029754B"/>
    <w:rsid w:val="002A05B1"/>
    <w:rsid w:val="002A0E48"/>
    <w:rsid w:val="002A133A"/>
    <w:rsid w:val="002A1C6E"/>
    <w:rsid w:val="002A1D6A"/>
    <w:rsid w:val="002A230E"/>
    <w:rsid w:val="002A24D4"/>
    <w:rsid w:val="002A2720"/>
    <w:rsid w:val="002A2E8D"/>
    <w:rsid w:val="002A3CD5"/>
    <w:rsid w:val="002A4F1B"/>
    <w:rsid w:val="002A6A05"/>
    <w:rsid w:val="002A7285"/>
    <w:rsid w:val="002A733A"/>
    <w:rsid w:val="002A7475"/>
    <w:rsid w:val="002A7A01"/>
    <w:rsid w:val="002A7C64"/>
    <w:rsid w:val="002B008D"/>
    <w:rsid w:val="002B0BE7"/>
    <w:rsid w:val="002B110C"/>
    <w:rsid w:val="002B18F8"/>
    <w:rsid w:val="002B1F0B"/>
    <w:rsid w:val="002B30E6"/>
    <w:rsid w:val="002B404C"/>
    <w:rsid w:val="002B4B61"/>
    <w:rsid w:val="002B5704"/>
    <w:rsid w:val="002B575F"/>
    <w:rsid w:val="002B5F8A"/>
    <w:rsid w:val="002B78EB"/>
    <w:rsid w:val="002C10D7"/>
    <w:rsid w:val="002C1641"/>
    <w:rsid w:val="002C1BA2"/>
    <w:rsid w:val="002C1EB3"/>
    <w:rsid w:val="002C3312"/>
    <w:rsid w:val="002C3607"/>
    <w:rsid w:val="002C3671"/>
    <w:rsid w:val="002C3D66"/>
    <w:rsid w:val="002C4070"/>
    <w:rsid w:val="002C4219"/>
    <w:rsid w:val="002C58D2"/>
    <w:rsid w:val="002C5A89"/>
    <w:rsid w:val="002C5EC4"/>
    <w:rsid w:val="002C731C"/>
    <w:rsid w:val="002C7417"/>
    <w:rsid w:val="002C76E9"/>
    <w:rsid w:val="002D033F"/>
    <w:rsid w:val="002D1206"/>
    <w:rsid w:val="002D15CC"/>
    <w:rsid w:val="002D2716"/>
    <w:rsid w:val="002D45C2"/>
    <w:rsid w:val="002D4CA0"/>
    <w:rsid w:val="002D4EEE"/>
    <w:rsid w:val="002D5ED8"/>
    <w:rsid w:val="002D6216"/>
    <w:rsid w:val="002D628F"/>
    <w:rsid w:val="002D685D"/>
    <w:rsid w:val="002D7DC4"/>
    <w:rsid w:val="002D7EA2"/>
    <w:rsid w:val="002E024F"/>
    <w:rsid w:val="002E03A4"/>
    <w:rsid w:val="002E10DC"/>
    <w:rsid w:val="002E15DF"/>
    <w:rsid w:val="002E187C"/>
    <w:rsid w:val="002E187F"/>
    <w:rsid w:val="002E1CDE"/>
    <w:rsid w:val="002E349E"/>
    <w:rsid w:val="002E35D7"/>
    <w:rsid w:val="002E3C15"/>
    <w:rsid w:val="002E432F"/>
    <w:rsid w:val="002E612F"/>
    <w:rsid w:val="002E61E7"/>
    <w:rsid w:val="002E6267"/>
    <w:rsid w:val="002E6E57"/>
    <w:rsid w:val="002E755E"/>
    <w:rsid w:val="002E78C1"/>
    <w:rsid w:val="002E7E79"/>
    <w:rsid w:val="002F097A"/>
    <w:rsid w:val="002F2D41"/>
    <w:rsid w:val="002F3202"/>
    <w:rsid w:val="002F3554"/>
    <w:rsid w:val="002F3598"/>
    <w:rsid w:val="002F35CB"/>
    <w:rsid w:val="002F3D27"/>
    <w:rsid w:val="002F414B"/>
    <w:rsid w:val="002F443F"/>
    <w:rsid w:val="002F4C4C"/>
    <w:rsid w:val="002F503E"/>
    <w:rsid w:val="002F5E45"/>
    <w:rsid w:val="002F5EB0"/>
    <w:rsid w:val="002F6201"/>
    <w:rsid w:val="002F6C1E"/>
    <w:rsid w:val="002F7B0F"/>
    <w:rsid w:val="003007EC"/>
    <w:rsid w:val="00301075"/>
    <w:rsid w:val="00301E5A"/>
    <w:rsid w:val="00301F71"/>
    <w:rsid w:val="00302733"/>
    <w:rsid w:val="00303B04"/>
    <w:rsid w:val="00304D0E"/>
    <w:rsid w:val="00304EED"/>
    <w:rsid w:val="0030600F"/>
    <w:rsid w:val="00306D2A"/>
    <w:rsid w:val="003077E4"/>
    <w:rsid w:val="00307C8D"/>
    <w:rsid w:val="003106C2"/>
    <w:rsid w:val="003108F4"/>
    <w:rsid w:val="003112C6"/>
    <w:rsid w:val="00311A4F"/>
    <w:rsid w:val="00311BCB"/>
    <w:rsid w:val="003127DE"/>
    <w:rsid w:val="00313332"/>
    <w:rsid w:val="003137BB"/>
    <w:rsid w:val="00314078"/>
    <w:rsid w:val="00315905"/>
    <w:rsid w:val="003161BC"/>
    <w:rsid w:val="00316559"/>
    <w:rsid w:val="0031724D"/>
    <w:rsid w:val="00317255"/>
    <w:rsid w:val="00317E8A"/>
    <w:rsid w:val="0032021E"/>
    <w:rsid w:val="0032026B"/>
    <w:rsid w:val="00320402"/>
    <w:rsid w:val="00320A64"/>
    <w:rsid w:val="00322398"/>
    <w:rsid w:val="00322450"/>
    <w:rsid w:val="003241CF"/>
    <w:rsid w:val="003246B5"/>
    <w:rsid w:val="003249CF"/>
    <w:rsid w:val="00324A20"/>
    <w:rsid w:val="003252FF"/>
    <w:rsid w:val="00325BAA"/>
    <w:rsid w:val="003267B5"/>
    <w:rsid w:val="00327501"/>
    <w:rsid w:val="00327B2F"/>
    <w:rsid w:val="00327B7B"/>
    <w:rsid w:val="00327C05"/>
    <w:rsid w:val="00330196"/>
    <w:rsid w:val="00330E0E"/>
    <w:rsid w:val="0033161A"/>
    <w:rsid w:val="00331687"/>
    <w:rsid w:val="0033169F"/>
    <w:rsid w:val="00332152"/>
    <w:rsid w:val="003329ED"/>
    <w:rsid w:val="003330D2"/>
    <w:rsid w:val="0033312C"/>
    <w:rsid w:val="00333AE1"/>
    <w:rsid w:val="003348E6"/>
    <w:rsid w:val="00334C4D"/>
    <w:rsid w:val="00335092"/>
    <w:rsid w:val="00336085"/>
    <w:rsid w:val="0033739A"/>
    <w:rsid w:val="003378E0"/>
    <w:rsid w:val="00337961"/>
    <w:rsid w:val="00337C43"/>
    <w:rsid w:val="00340322"/>
    <w:rsid w:val="003407E0"/>
    <w:rsid w:val="00340A95"/>
    <w:rsid w:val="003410A6"/>
    <w:rsid w:val="00341363"/>
    <w:rsid w:val="003414AC"/>
    <w:rsid w:val="003414E6"/>
    <w:rsid w:val="00342070"/>
    <w:rsid w:val="0034232A"/>
    <w:rsid w:val="00342FE4"/>
    <w:rsid w:val="003447BB"/>
    <w:rsid w:val="00345865"/>
    <w:rsid w:val="00347640"/>
    <w:rsid w:val="00347A90"/>
    <w:rsid w:val="00347B40"/>
    <w:rsid w:val="00351B7A"/>
    <w:rsid w:val="003532C1"/>
    <w:rsid w:val="0035485A"/>
    <w:rsid w:val="00355779"/>
    <w:rsid w:val="00355834"/>
    <w:rsid w:val="0035584A"/>
    <w:rsid w:val="003558E5"/>
    <w:rsid w:val="00356185"/>
    <w:rsid w:val="003562B1"/>
    <w:rsid w:val="00357206"/>
    <w:rsid w:val="00357D78"/>
    <w:rsid w:val="00357FAE"/>
    <w:rsid w:val="00360380"/>
    <w:rsid w:val="003608C2"/>
    <w:rsid w:val="00360AFA"/>
    <w:rsid w:val="0036137D"/>
    <w:rsid w:val="00361EB7"/>
    <w:rsid w:val="00362E15"/>
    <w:rsid w:val="00362F85"/>
    <w:rsid w:val="0036346A"/>
    <w:rsid w:val="003648C1"/>
    <w:rsid w:val="00365D52"/>
    <w:rsid w:val="00366182"/>
    <w:rsid w:val="00366DBE"/>
    <w:rsid w:val="003675B8"/>
    <w:rsid w:val="00367607"/>
    <w:rsid w:val="00370DD4"/>
    <w:rsid w:val="003712A7"/>
    <w:rsid w:val="00371EFD"/>
    <w:rsid w:val="00372F8E"/>
    <w:rsid w:val="00373223"/>
    <w:rsid w:val="00373790"/>
    <w:rsid w:val="003741EF"/>
    <w:rsid w:val="003743F9"/>
    <w:rsid w:val="003745F9"/>
    <w:rsid w:val="00374940"/>
    <w:rsid w:val="0037561D"/>
    <w:rsid w:val="003759D2"/>
    <w:rsid w:val="00376200"/>
    <w:rsid w:val="00376244"/>
    <w:rsid w:val="00376498"/>
    <w:rsid w:val="00377AD8"/>
    <w:rsid w:val="00380645"/>
    <w:rsid w:val="00380A1D"/>
    <w:rsid w:val="00380ECF"/>
    <w:rsid w:val="0038209A"/>
    <w:rsid w:val="00382405"/>
    <w:rsid w:val="00382598"/>
    <w:rsid w:val="00382CE7"/>
    <w:rsid w:val="0038330F"/>
    <w:rsid w:val="00383938"/>
    <w:rsid w:val="00383E77"/>
    <w:rsid w:val="0038421B"/>
    <w:rsid w:val="003844AC"/>
    <w:rsid w:val="00385B08"/>
    <w:rsid w:val="00385E91"/>
    <w:rsid w:val="0038606A"/>
    <w:rsid w:val="00386CF0"/>
    <w:rsid w:val="00386FEA"/>
    <w:rsid w:val="003902B2"/>
    <w:rsid w:val="0039061F"/>
    <w:rsid w:val="00390D19"/>
    <w:rsid w:val="003911AB"/>
    <w:rsid w:val="00391CE0"/>
    <w:rsid w:val="00393C8E"/>
    <w:rsid w:val="00394601"/>
    <w:rsid w:val="0039471C"/>
    <w:rsid w:val="00394A5D"/>
    <w:rsid w:val="00395B1D"/>
    <w:rsid w:val="00396106"/>
    <w:rsid w:val="0039610E"/>
    <w:rsid w:val="003964BF"/>
    <w:rsid w:val="00397595"/>
    <w:rsid w:val="003A0496"/>
    <w:rsid w:val="003A187E"/>
    <w:rsid w:val="003A19A5"/>
    <w:rsid w:val="003A27F4"/>
    <w:rsid w:val="003A2B08"/>
    <w:rsid w:val="003A3C43"/>
    <w:rsid w:val="003A3C57"/>
    <w:rsid w:val="003A417F"/>
    <w:rsid w:val="003A4790"/>
    <w:rsid w:val="003A485E"/>
    <w:rsid w:val="003A4B42"/>
    <w:rsid w:val="003A527A"/>
    <w:rsid w:val="003A547A"/>
    <w:rsid w:val="003A5984"/>
    <w:rsid w:val="003A5B2C"/>
    <w:rsid w:val="003A6019"/>
    <w:rsid w:val="003A632E"/>
    <w:rsid w:val="003A71F1"/>
    <w:rsid w:val="003A7A63"/>
    <w:rsid w:val="003A7BFE"/>
    <w:rsid w:val="003B2C86"/>
    <w:rsid w:val="003B349D"/>
    <w:rsid w:val="003B3E94"/>
    <w:rsid w:val="003B42F4"/>
    <w:rsid w:val="003B4CAA"/>
    <w:rsid w:val="003B63A0"/>
    <w:rsid w:val="003B640E"/>
    <w:rsid w:val="003B6423"/>
    <w:rsid w:val="003B66DC"/>
    <w:rsid w:val="003C1466"/>
    <w:rsid w:val="003C1FD2"/>
    <w:rsid w:val="003C32BC"/>
    <w:rsid w:val="003C3722"/>
    <w:rsid w:val="003C4BC0"/>
    <w:rsid w:val="003C4C25"/>
    <w:rsid w:val="003C6480"/>
    <w:rsid w:val="003C7061"/>
    <w:rsid w:val="003D0C05"/>
    <w:rsid w:val="003D0D02"/>
    <w:rsid w:val="003D0D3E"/>
    <w:rsid w:val="003D1E49"/>
    <w:rsid w:val="003D2871"/>
    <w:rsid w:val="003D2B53"/>
    <w:rsid w:val="003D2C7F"/>
    <w:rsid w:val="003D3435"/>
    <w:rsid w:val="003D3507"/>
    <w:rsid w:val="003D40A7"/>
    <w:rsid w:val="003D4698"/>
    <w:rsid w:val="003D4A67"/>
    <w:rsid w:val="003D517B"/>
    <w:rsid w:val="003D51A2"/>
    <w:rsid w:val="003D529A"/>
    <w:rsid w:val="003D5A38"/>
    <w:rsid w:val="003D5CD7"/>
    <w:rsid w:val="003D5F18"/>
    <w:rsid w:val="003D79BC"/>
    <w:rsid w:val="003E06A3"/>
    <w:rsid w:val="003E0852"/>
    <w:rsid w:val="003E1C1F"/>
    <w:rsid w:val="003E1FEC"/>
    <w:rsid w:val="003E2564"/>
    <w:rsid w:val="003E2599"/>
    <w:rsid w:val="003E366F"/>
    <w:rsid w:val="003E4D93"/>
    <w:rsid w:val="003E4E8A"/>
    <w:rsid w:val="003E65E7"/>
    <w:rsid w:val="003E68BB"/>
    <w:rsid w:val="003E6948"/>
    <w:rsid w:val="003E6FB6"/>
    <w:rsid w:val="003E7380"/>
    <w:rsid w:val="003F0153"/>
    <w:rsid w:val="003F0356"/>
    <w:rsid w:val="003F03FA"/>
    <w:rsid w:val="003F0B2B"/>
    <w:rsid w:val="003F1230"/>
    <w:rsid w:val="003F1BBF"/>
    <w:rsid w:val="003F2D46"/>
    <w:rsid w:val="003F4BED"/>
    <w:rsid w:val="003F62C0"/>
    <w:rsid w:val="003F6707"/>
    <w:rsid w:val="003F7001"/>
    <w:rsid w:val="003F7161"/>
    <w:rsid w:val="003F7288"/>
    <w:rsid w:val="00400E6B"/>
    <w:rsid w:val="00400EA4"/>
    <w:rsid w:val="004010E9"/>
    <w:rsid w:val="004022E4"/>
    <w:rsid w:val="00404333"/>
    <w:rsid w:val="00404500"/>
    <w:rsid w:val="00404A51"/>
    <w:rsid w:val="00404EFC"/>
    <w:rsid w:val="00405991"/>
    <w:rsid w:val="00405F19"/>
    <w:rsid w:val="00406721"/>
    <w:rsid w:val="00406CB6"/>
    <w:rsid w:val="0040735D"/>
    <w:rsid w:val="0040759C"/>
    <w:rsid w:val="00407F3D"/>
    <w:rsid w:val="004122AE"/>
    <w:rsid w:val="00413607"/>
    <w:rsid w:val="00413B37"/>
    <w:rsid w:val="004142F6"/>
    <w:rsid w:val="0041457D"/>
    <w:rsid w:val="00415B7C"/>
    <w:rsid w:val="00415BAE"/>
    <w:rsid w:val="004165C2"/>
    <w:rsid w:val="00417263"/>
    <w:rsid w:val="00417356"/>
    <w:rsid w:val="0041797E"/>
    <w:rsid w:val="00423B43"/>
    <w:rsid w:val="00424C25"/>
    <w:rsid w:val="00426C91"/>
    <w:rsid w:val="00426DB7"/>
    <w:rsid w:val="00427406"/>
    <w:rsid w:val="0042749C"/>
    <w:rsid w:val="004300C9"/>
    <w:rsid w:val="004307C2"/>
    <w:rsid w:val="004320DA"/>
    <w:rsid w:val="00432731"/>
    <w:rsid w:val="004332C3"/>
    <w:rsid w:val="00434389"/>
    <w:rsid w:val="00434B4B"/>
    <w:rsid w:val="00436C66"/>
    <w:rsid w:val="00440A15"/>
    <w:rsid w:val="00440D99"/>
    <w:rsid w:val="004413C0"/>
    <w:rsid w:val="00441D48"/>
    <w:rsid w:val="00442F9E"/>
    <w:rsid w:val="00444596"/>
    <w:rsid w:val="00445C74"/>
    <w:rsid w:val="00446F15"/>
    <w:rsid w:val="0044706E"/>
    <w:rsid w:val="0044782F"/>
    <w:rsid w:val="00447B8F"/>
    <w:rsid w:val="00450A4A"/>
    <w:rsid w:val="00450D96"/>
    <w:rsid w:val="00453466"/>
    <w:rsid w:val="00454379"/>
    <w:rsid w:val="00454492"/>
    <w:rsid w:val="0045481D"/>
    <w:rsid w:val="00454EB1"/>
    <w:rsid w:val="0045524E"/>
    <w:rsid w:val="00455F05"/>
    <w:rsid w:val="00456BCF"/>
    <w:rsid w:val="00457228"/>
    <w:rsid w:val="00457B89"/>
    <w:rsid w:val="00457D98"/>
    <w:rsid w:val="0046041C"/>
    <w:rsid w:val="0046072C"/>
    <w:rsid w:val="00460F7B"/>
    <w:rsid w:val="0046208F"/>
    <w:rsid w:val="00462248"/>
    <w:rsid w:val="0046230A"/>
    <w:rsid w:val="00462781"/>
    <w:rsid w:val="00462F9A"/>
    <w:rsid w:val="00465C3A"/>
    <w:rsid w:val="004666FB"/>
    <w:rsid w:val="00467542"/>
    <w:rsid w:val="00467B7E"/>
    <w:rsid w:val="00467BA4"/>
    <w:rsid w:val="00467CF1"/>
    <w:rsid w:val="0047006D"/>
    <w:rsid w:val="00471BC8"/>
    <w:rsid w:val="004730AF"/>
    <w:rsid w:val="00477524"/>
    <w:rsid w:val="00477D29"/>
    <w:rsid w:val="00481C1F"/>
    <w:rsid w:val="00482208"/>
    <w:rsid w:val="00482644"/>
    <w:rsid w:val="0048312B"/>
    <w:rsid w:val="00483146"/>
    <w:rsid w:val="00483697"/>
    <w:rsid w:val="00483974"/>
    <w:rsid w:val="004849D8"/>
    <w:rsid w:val="00484B2F"/>
    <w:rsid w:val="00484F80"/>
    <w:rsid w:val="004850C2"/>
    <w:rsid w:val="004859A6"/>
    <w:rsid w:val="0048701C"/>
    <w:rsid w:val="004871A0"/>
    <w:rsid w:val="004871B2"/>
    <w:rsid w:val="004907E1"/>
    <w:rsid w:val="00490BE7"/>
    <w:rsid w:val="00490C98"/>
    <w:rsid w:val="00492F56"/>
    <w:rsid w:val="0049419D"/>
    <w:rsid w:val="00494796"/>
    <w:rsid w:val="00495029"/>
    <w:rsid w:val="00495396"/>
    <w:rsid w:val="00495CD7"/>
    <w:rsid w:val="004962B8"/>
    <w:rsid w:val="00496687"/>
    <w:rsid w:val="00496C69"/>
    <w:rsid w:val="00496DBC"/>
    <w:rsid w:val="0049749D"/>
    <w:rsid w:val="004977D3"/>
    <w:rsid w:val="0049781F"/>
    <w:rsid w:val="00497D68"/>
    <w:rsid w:val="004A1180"/>
    <w:rsid w:val="004A17A5"/>
    <w:rsid w:val="004A1D5B"/>
    <w:rsid w:val="004A1EEA"/>
    <w:rsid w:val="004A229B"/>
    <w:rsid w:val="004A255A"/>
    <w:rsid w:val="004A2B9D"/>
    <w:rsid w:val="004A325C"/>
    <w:rsid w:val="004A37A5"/>
    <w:rsid w:val="004A3806"/>
    <w:rsid w:val="004A3DC4"/>
    <w:rsid w:val="004A480E"/>
    <w:rsid w:val="004A4822"/>
    <w:rsid w:val="004A49F4"/>
    <w:rsid w:val="004A4A3E"/>
    <w:rsid w:val="004A4DB0"/>
    <w:rsid w:val="004A514F"/>
    <w:rsid w:val="004A5375"/>
    <w:rsid w:val="004A68CA"/>
    <w:rsid w:val="004B00A8"/>
    <w:rsid w:val="004B0B2A"/>
    <w:rsid w:val="004B1351"/>
    <w:rsid w:val="004B1D6F"/>
    <w:rsid w:val="004B2762"/>
    <w:rsid w:val="004B2DE8"/>
    <w:rsid w:val="004B3172"/>
    <w:rsid w:val="004B330F"/>
    <w:rsid w:val="004B388C"/>
    <w:rsid w:val="004B45B7"/>
    <w:rsid w:val="004B4600"/>
    <w:rsid w:val="004B4E6F"/>
    <w:rsid w:val="004B5A7D"/>
    <w:rsid w:val="004B78F9"/>
    <w:rsid w:val="004B7E07"/>
    <w:rsid w:val="004B7EB6"/>
    <w:rsid w:val="004C15F5"/>
    <w:rsid w:val="004C17B4"/>
    <w:rsid w:val="004C1BF0"/>
    <w:rsid w:val="004C4B62"/>
    <w:rsid w:val="004C51A1"/>
    <w:rsid w:val="004C5B5E"/>
    <w:rsid w:val="004C68B8"/>
    <w:rsid w:val="004C7257"/>
    <w:rsid w:val="004C758F"/>
    <w:rsid w:val="004C77DC"/>
    <w:rsid w:val="004C7EE2"/>
    <w:rsid w:val="004D0229"/>
    <w:rsid w:val="004D3403"/>
    <w:rsid w:val="004D4782"/>
    <w:rsid w:val="004D48D6"/>
    <w:rsid w:val="004D4993"/>
    <w:rsid w:val="004D4A6A"/>
    <w:rsid w:val="004D4D1B"/>
    <w:rsid w:val="004D6025"/>
    <w:rsid w:val="004D657F"/>
    <w:rsid w:val="004D6AE5"/>
    <w:rsid w:val="004D72BC"/>
    <w:rsid w:val="004D78B4"/>
    <w:rsid w:val="004E1277"/>
    <w:rsid w:val="004E1CAC"/>
    <w:rsid w:val="004E2452"/>
    <w:rsid w:val="004E3A16"/>
    <w:rsid w:val="004E4761"/>
    <w:rsid w:val="004E4D2D"/>
    <w:rsid w:val="004E52BE"/>
    <w:rsid w:val="004E6C9C"/>
    <w:rsid w:val="004E75F5"/>
    <w:rsid w:val="004F04A5"/>
    <w:rsid w:val="004F0842"/>
    <w:rsid w:val="004F15C4"/>
    <w:rsid w:val="004F16E8"/>
    <w:rsid w:val="004F1DAD"/>
    <w:rsid w:val="004F2694"/>
    <w:rsid w:val="004F2FC4"/>
    <w:rsid w:val="004F37CA"/>
    <w:rsid w:val="004F3905"/>
    <w:rsid w:val="004F4274"/>
    <w:rsid w:val="004F441A"/>
    <w:rsid w:val="004F4C1C"/>
    <w:rsid w:val="004F530D"/>
    <w:rsid w:val="004F5466"/>
    <w:rsid w:val="004F6949"/>
    <w:rsid w:val="004F69EA"/>
    <w:rsid w:val="004F69ED"/>
    <w:rsid w:val="005008C7"/>
    <w:rsid w:val="00501399"/>
    <w:rsid w:val="00501DFB"/>
    <w:rsid w:val="00502C0A"/>
    <w:rsid w:val="00502E35"/>
    <w:rsid w:val="00503445"/>
    <w:rsid w:val="00503C4C"/>
    <w:rsid w:val="00504A53"/>
    <w:rsid w:val="0050536C"/>
    <w:rsid w:val="005057EA"/>
    <w:rsid w:val="00505B63"/>
    <w:rsid w:val="00506693"/>
    <w:rsid w:val="005066A4"/>
    <w:rsid w:val="00507534"/>
    <w:rsid w:val="00507BC4"/>
    <w:rsid w:val="00507DDB"/>
    <w:rsid w:val="00510311"/>
    <w:rsid w:val="00511BDB"/>
    <w:rsid w:val="0051272C"/>
    <w:rsid w:val="005128E4"/>
    <w:rsid w:val="00512A35"/>
    <w:rsid w:val="00513229"/>
    <w:rsid w:val="005137E5"/>
    <w:rsid w:val="005148F2"/>
    <w:rsid w:val="005152B7"/>
    <w:rsid w:val="00516BBE"/>
    <w:rsid w:val="00516E8A"/>
    <w:rsid w:val="0051703D"/>
    <w:rsid w:val="00520FB1"/>
    <w:rsid w:val="00521909"/>
    <w:rsid w:val="005223AF"/>
    <w:rsid w:val="0052278F"/>
    <w:rsid w:val="00523977"/>
    <w:rsid w:val="005239B3"/>
    <w:rsid w:val="00524268"/>
    <w:rsid w:val="00525278"/>
    <w:rsid w:val="00525560"/>
    <w:rsid w:val="00525F05"/>
    <w:rsid w:val="00526204"/>
    <w:rsid w:val="005267AC"/>
    <w:rsid w:val="00526CE1"/>
    <w:rsid w:val="00526F00"/>
    <w:rsid w:val="00527461"/>
    <w:rsid w:val="0052764D"/>
    <w:rsid w:val="00530295"/>
    <w:rsid w:val="00530B2B"/>
    <w:rsid w:val="00531008"/>
    <w:rsid w:val="005313D3"/>
    <w:rsid w:val="0053187E"/>
    <w:rsid w:val="005325F6"/>
    <w:rsid w:val="00533D52"/>
    <w:rsid w:val="00534673"/>
    <w:rsid w:val="005346E1"/>
    <w:rsid w:val="00535135"/>
    <w:rsid w:val="005357A6"/>
    <w:rsid w:val="0053592E"/>
    <w:rsid w:val="00535FF9"/>
    <w:rsid w:val="0053654C"/>
    <w:rsid w:val="005366E5"/>
    <w:rsid w:val="005367D0"/>
    <w:rsid w:val="00536848"/>
    <w:rsid w:val="00536B9E"/>
    <w:rsid w:val="005401F2"/>
    <w:rsid w:val="00540AEC"/>
    <w:rsid w:val="005422EF"/>
    <w:rsid w:val="005430A6"/>
    <w:rsid w:val="00543705"/>
    <w:rsid w:val="005439C3"/>
    <w:rsid w:val="00544290"/>
    <w:rsid w:val="005448A0"/>
    <w:rsid w:val="00544C49"/>
    <w:rsid w:val="005450D4"/>
    <w:rsid w:val="0054561F"/>
    <w:rsid w:val="005456B2"/>
    <w:rsid w:val="0054591A"/>
    <w:rsid w:val="0054678F"/>
    <w:rsid w:val="00547E58"/>
    <w:rsid w:val="00547EB7"/>
    <w:rsid w:val="005500FB"/>
    <w:rsid w:val="00550141"/>
    <w:rsid w:val="0055160C"/>
    <w:rsid w:val="005531BB"/>
    <w:rsid w:val="00553EC6"/>
    <w:rsid w:val="005547A5"/>
    <w:rsid w:val="00554BAB"/>
    <w:rsid w:val="005557F2"/>
    <w:rsid w:val="00555A6E"/>
    <w:rsid w:val="00556470"/>
    <w:rsid w:val="00557C07"/>
    <w:rsid w:val="00562544"/>
    <w:rsid w:val="00562E4A"/>
    <w:rsid w:val="005633E7"/>
    <w:rsid w:val="0056432A"/>
    <w:rsid w:val="00567670"/>
    <w:rsid w:val="005679D3"/>
    <w:rsid w:val="00567BB2"/>
    <w:rsid w:val="005706EF"/>
    <w:rsid w:val="00570AF2"/>
    <w:rsid w:val="00571690"/>
    <w:rsid w:val="005723E1"/>
    <w:rsid w:val="0057402A"/>
    <w:rsid w:val="00574148"/>
    <w:rsid w:val="00574899"/>
    <w:rsid w:val="005755D5"/>
    <w:rsid w:val="00576303"/>
    <w:rsid w:val="005764DD"/>
    <w:rsid w:val="00576832"/>
    <w:rsid w:val="00576C0A"/>
    <w:rsid w:val="0057707D"/>
    <w:rsid w:val="005771D0"/>
    <w:rsid w:val="0057761C"/>
    <w:rsid w:val="0058022B"/>
    <w:rsid w:val="00582750"/>
    <w:rsid w:val="0058343A"/>
    <w:rsid w:val="0058420D"/>
    <w:rsid w:val="00584C28"/>
    <w:rsid w:val="00585DED"/>
    <w:rsid w:val="00585FB5"/>
    <w:rsid w:val="00587964"/>
    <w:rsid w:val="0059066D"/>
    <w:rsid w:val="00590C43"/>
    <w:rsid w:val="005910C0"/>
    <w:rsid w:val="005916E2"/>
    <w:rsid w:val="0059191A"/>
    <w:rsid w:val="00591B96"/>
    <w:rsid w:val="00591F60"/>
    <w:rsid w:val="005921FF"/>
    <w:rsid w:val="00592322"/>
    <w:rsid w:val="005937E2"/>
    <w:rsid w:val="00594CE1"/>
    <w:rsid w:val="00596514"/>
    <w:rsid w:val="0059670F"/>
    <w:rsid w:val="00596ABE"/>
    <w:rsid w:val="00596AD3"/>
    <w:rsid w:val="00596C83"/>
    <w:rsid w:val="00596DAF"/>
    <w:rsid w:val="00596F42"/>
    <w:rsid w:val="0059770B"/>
    <w:rsid w:val="005A0410"/>
    <w:rsid w:val="005A0E69"/>
    <w:rsid w:val="005A2E9B"/>
    <w:rsid w:val="005A482E"/>
    <w:rsid w:val="005A4BA5"/>
    <w:rsid w:val="005A5557"/>
    <w:rsid w:val="005A6205"/>
    <w:rsid w:val="005A6D0E"/>
    <w:rsid w:val="005A6E50"/>
    <w:rsid w:val="005A734E"/>
    <w:rsid w:val="005B0001"/>
    <w:rsid w:val="005B0AC8"/>
    <w:rsid w:val="005B222D"/>
    <w:rsid w:val="005B2BA8"/>
    <w:rsid w:val="005B3DEC"/>
    <w:rsid w:val="005B40A5"/>
    <w:rsid w:val="005B52B0"/>
    <w:rsid w:val="005B53DA"/>
    <w:rsid w:val="005B67DE"/>
    <w:rsid w:val="005B6806"/>
    <w:rsid w:val="005B711D"/>
    <w:rsid w:val="005C00F9"/>
    <w:rsid w:val="005C05FA"/>
    <w:rsid w:val="005C0F6D"/>
    <w:rsid w:val="005C164F"/>
    <w:rsid w:val="005C1853"/>
    <w:rsid w:val="005C1A8D"/>
    <w:rsid w:val="005C1D8E"/>
    <w:rsid w:val="005C207A"/>
    <w:rsid w:val="005C23BD"/>
    <w:rsid w:val="005C2BA2"/>
    <w:rsid w:val="005C2E02"/>
    <w:rsid w:val="005C3149"/>
    <w:rsid w:val="005C4011"/>
    <w:rsid w:val="005C417C"/>
    <w:rsid w:val="005C4225"/>
    <w:rsid w:val="005C4AF4"/>
    <w:rsid w:val="005C6201"/>
    <w:rsid w:val="005C7143"/>
    <w:rsid w:val="005D0AC5"/>
    <w:rsid w:val="005D0FBF"/>
    <w:rsid w:val="005D1076"/>
    <w:rsid w:val="005D2915"/>
    <w:rsid w:val="005D349F"/>
    <w:rsid w:val="005D50AD"/>
    <w:rsid w:val="005D55A5"/>
    <w:rsid w:val="005D58E1"/>
    <w:rsid w:val="005D5DED"/>
    <w:rsid w:val="005D6A03"/>
    <w:rsid w:val="005D6AC4"/>
    <w:rsid w:val="005D6B2C"/>
    <w:rsid w:val="005D6EE5"/>
    <w:rsid w:val="005D7191"/>
    <w:rsid w:val="005D7280"/>
    <w:rsid w:val="005D7C27"/>
    <w:rsid w:val="005D7D47"/>
    <w:rsid w:val="005E09BC"/>
    <w:rsid w:val="005E1DA5"/>
    <w:rsid w:val="005E2BDE"/>
    <w:rsid w:val="005E330F"/>
    <w:rsid w:val="005E4A95"/>
    <w:rsid w:val="005E5196"/>
    <w:rsid w:val="005E5258"/>
    <w:rsid w:val="005E5419"/>
    <w:rsid w:val="005E6651"/>
    <w:rsid w:val="005E6C0C"/>
    <w:rsid w:val="005E6D34"/>
    <w:rsid w:val="005E6EE3"/>
    <w:rsid w:val="005E74C5"/>
    <w:rsid w:val="005E7642"/>
    <w:rsid w:val="005F0F33"/>
    <w:rsid w:val="005F1C54"/>
    <w:rsid w:val="005F2A0D"/>
    <w:rsid w:val="005F32A0"/>
    <w:rsid w:val="005F3F11"/>
    <w:rsid w:val="005F517D"/>
    <w:rsid w:val="005F5456"/>
    <w:rsid w:val="005F73BE"/>
    <w:rsid w:val="005F7C35"/>
    <w:rsid w:val="0060040E"/>
    <w:rsid w:val="006005C1"/>
    <w:rsid w:val="00600A96"/>
    <w:rsid w:val="00600DEB"/>
    <w:rsid w:val="00600EE3"/>
    <w:rsid w:val="00602146"/>
    <w:rsid w:val="00602B9B"/>
    <w:rsid w:val="0060488D"/>
    <w:rsid w:val="00604967"/>
    <w:rsid w:val="00604B83"/>
    <w:rsid w:val="0060625A"/>
    <w:rsid w:val="00606CA1"/>
    <w:rsid w:val="00607F83"/>
    <w:rsid w:val="00610434"/>
    <w:rsid w:val="006112EF"/>
    <w:rsid w:val="00611DD9"/>
    <w:rsid w:val="00613027"/>
    <w:rsid w:val="00613120"/>
    <w:rsid w:val="0061314B"/>
    <w:rsid w:val="00613A08"/>
    <w:rsid w:val="00613B3A"/>
    <w:rsid w:val="0061412F"/>
    <w:rsid w:val="00614153"/>
    <w:rsid w:val="00614AB3"/>
    <w:rsid w:val="00614AE8"/>
    <w:rsid w:val="00615073"/>
    <w:rsid w:val="0061546B"/>
    <w:rsid w:val="00616320"/>
    <w:rsid w:val="00617156"/>
    <w:rsid w:val="006206FF"/>
    <w:rsid w:val="00620A30"/>
    <w:rsid w:val="00620B75"/>
    <w:rsid w:val="006225B7"/>
    <w:rsid w:val="00623324"/>
    <w:rsid w:val="006238CB"/>
    <w:rsid w:val="006247DB"/>
    <w:rsid w:val="00624E66"/>
    <w:rsid w:val="00626360"/>
    <w:rsid w:val="006263C9"/>
    <w:rsid w:val="00626A1D"/>
    <w:rsid w:val="00627A51"/>
    <w:rsid w:val="00627B35"/>
    <w:rsid w:val="00627C9F"/>
    <w:rsid w:val="006306AE"/>
    <w:rsid w:val="006307DF"/>
    <w:rsid w:val="0063084B"/>
    <w:rsid w:val="00630B42"/>
    <w:rsid w:val="00630C75"/>
    <w:rsid w:val="00630F01"/>
    <w:rsid w:val="00630F7D"/>
    <w:rsid w:val="006311DA"/>
    <w:rsid w:val="006311E9"/>
    <w:rsid w:val="00632354"/>
    <w:rsid w:val="00632429"/>
    <w:rsid w:val="00632BF2"/>
    <w:rsid w:val="00633261"/>
    <w:rsid w:val="00634F12"/>
    <w:rsid w:val="00636406"/>
    <w:rsid w:val="0063652A"/>
    <w:rsid w:val="00636E0C"/>
    <w:rsid w:val="00636F4A"/>
    <w:rsid w:val="00637539"/>
    <w:rsid w:val="00637918"/>
    <w:rsid w:val="00637B7B"/>
    <w:rsid w:val="00637E84"/>
    <w:rsid w:val="00640173"/>
    <w:rsid w:val="00640AC7"/>
    <w:rsid w:val="00640D0A"/>
    <w:rsid w:val="006418C1"/>
    <w:rsid w:val="006420B7"/>
    <w:rsid w:val="00642810"/>
    <w:rsid w:val="00643F29"/>
    <w:rsid w:val="00643F66"/>
    <w:rsid w:val="006458AD"/>
    <w:rsid w:val="00646F91"/>
    <w:rsid w:val="0064712F"/>
    <w:rsid w:val="006472D6"/>
    <w:rsid w:val="0064793C"/>
    <w:rsid w:val="00650252"/>
    <w:rsid w:val="00650FA3"/>
    <w:rsid w:val="00651202"/>
    <w:rsid w:val="00651D1D"/>
    <w:rsid w:val="00652333"/>
    <w:rsid w:val="006549A4"/>
    <w:rsid w:val="00655516"/>
    <w:rsid w:val="00656FE7"/>
    <w:rsid w:val="0065765B"/>
    <w:rsid w:val="00657977"/>
    <w:rsid w:val="006605AC"/>
    <w:rsid w:val="006616DE"/>
    <w:rsid w:val="00662F5D"/>
    <w:rsid w:val="006634C1"/>
    <w:rsid w:val="006649EE"/>
    <w:rsid w:val="00664C08"/>
    <w:rsid w:val="00664DDE"/>
    <w:rsid w:val="0066618E"/>
    <w:rsid w:val="00666536"/>
    <w:rsid w:val="006666D9"/>
    <w:rsid w:val="00666836"/>
    <w:rsid w:val="00666AEF"/>
    <w:rsid w:val="00667E8D"/>
    <w:rsid w:val="006724C7"/>
    <w:rsid w:val="006725D5"/>
    <w:rsid w:val="0067472A"/>
    <w:rsid w:val="00677938"/>
    <w:rsid w:val="00677C42"/>
    <w:rsid w:val="0068009E"/>
    <w:rsid w:val="00682548"/>
    <w:rsid w:val="00683305"/>
    <w:rsid w:val="00684434"/>
    <w:rsid w:val="006847BC"/>
    <w:rsid w:val="006849BF"/>
    <w:rsid w:val="00685184"/>
    <w:rsid w:val="00685973"/>
    <w:rsid w:val="00686234"/>
    <w:rsid w:val="00687432"/>
    <w:rsid w:val="006874B2"/>
    <w:rsid w:val="00687725"/>
    <w:rsid w:val="00690EA0"/>
    <w:rsid w:val="0069244C"/>
    <w:rsid w:val="00692996"/>
    <w:rsid w:val="00692A55"/>
    <w:rsid w:val="00692F75"/>
    <w:rsid w:val="0069415A"/>
    <w:rsid w:val="00695096"/>
    <w:rsid w:val="0069578C"/>
    <w:rsid w:val="00695D69"/>
    <w:rsid w:val="00696692"/>
    <w:rsid w:val="006972FB"/>
    <w:rsid w:val="006976DF"/>
    <w:rsid w:val="00697FD3"/>
    <w:rsid w:val="006A0548"/>
    <w:rsid w:val="006A0E18"/>
    <w:rsid w:val="006A0F00"/>
    <w:rsid w:val="006A0F77"/>
    <w:rsid w:val="006A11FD"/>
    <w:rsid w:val="006A17D2"/>
    <w:rsid w:val="006A3B33"/>
    <w:rsid w:val="006A3F90"/>
    <w:rsid w:val="006A43E5"/>
    <w:rsid w:val="006A508B"/>
    <w:rsid w:val="006A538E"/>
    <w:rsid w:val="006A58D1"/>
    <w:rsid w:val="006A5D1A"/>
    <w:rsid w:val="006A6A57"/>
    <w:rsid w:val="006A6E1A"/>
    <w:rsid w:val="006A70B4"/>
    <w:rsid w:val="006A73E6"/>
    <w:rsid w:val="006A7408"/>
    <w:rsid w:val="006A7764"/>
    <w:rsid w:val="006B0169"/>
    <w:rsid w:val="006B0716"/>
    <w:rsid w:val="006B130C"/>
    <w:rsid w:val="006B17B3"/>
    <w:rsid w:val="006B1A88"/>
    <w:rsid w:val="006B248C"/>
    <w:rsid w:val="006B2623"/>
    <w:rsid w:val="006B265D"/>
    <w:rsid w:val="006B295E"/>
    <w:rsid w:val="006B2D5C"/>
    <w:rsid w:val="006B4324"/>
    <w:rsid w:val="006B544B"/>
    <w:rsid w:val="006B62F4"/>
    <w:rsid w:val="006B6C59"/>
    <w:rsid w:val="006B6FFA"/>
    <w:rsid w:val="006C0F5D"/>
    <w:rsid w:val="006C1815"/>
    <w:rsid w:val="006C2346"/>
    <w:rsid w:val="006C2B38"/>
    <w:rsid w:val="006C3917"/>
    <w:rsid w:val="006C3ED1"/>
    <w:rsid w:val="006C4233"/>
    <w:rsid w:val="006C4596"/>
    <w:rsid w:val="006C4EB1"/>
    <w:rsid w:val="006C6E31"/>
    <w:rsid w:val="006C6FF5"/>
    <w:rsid w:val="006C7183"/>
    <w:rsid w:val="006C7553"/>
    <w:rsid w:val="006C7E62"/>
    <w:rsid w:val="006D0195"/>
    <w:rsid w:val="006D01D4"/>
    <w:rsid w:val="006D0424"/>
    <w:rsid w:val="006D07D4"/>
    <w:rsid w:val="006D0948"/>
    <w:rsid w:val="006D2838"/>
    <w:rsid w:val="006D2C28"/>
    <w:rsid w:val="006D4861"/>
    <w:rsid w:val="006D48BB"/>
    <w:rsid w:val="006D4ECF"/>
    <w:rsid w:val="006D6D01"/>
    <w:rsid w:val="006D6E36"/>
    <w:rsid w:val="006D7976"/>
    <w:rsid w:val="006D7DD7"/>
    <w:rsid w:val="006E00AB"/>
    <w:rsid w:val="006E0166"/>
    <w:rsid w:val="006E0C6B"/>
    <w:rsid w:val="006E1163"/>
    <w:rsid w:val="006E18B8"/>
    <w:rsid w:val="006E1FCB"/>
    <w:rsid w:val="006E35A0"/>
    <w:rsid w:val="006E3FB2"/>
    <w:rsid w:val="006E48AB"/>
    <w:rsid w:val="006E4B61"/>
    <w:rsid w:val="006E4C26"/>
    <w:rsid w:val="006E4CCE"/>
    <w:rsid w:val="006E5703"/>
    <w:rsid w:val="006E5C58"/>
    <w:rsid w:val="006E6048"/>
    <w:rsid w:val="006E67F6"/>
    <w:rsid w:val="006E6C78"/>
    <w:rsid w:val="006E6F1E"/>
    <w:rsid w:val="006E7B34"/>
    <w:rsid w:val="006E7EA4"/>
    <w:rsid w:val="006F1AEB"/>
    <w:rsid w:val="006F2165"/>
    <w:rsid w:val="006F24B4"/>
    <w:rsid w:val="006F3590"/>
    <w:rsid w:val="006F374D"/>
    <w:rsid w:val="006F672E"/>
    <w:rsid w:val="006F6F3A"/>
    <w:rsid w:val="006F7488"/>
    <w:rsid w:val="0070045F"/>
    <w:rsid w:val="00700471"/>
    <w:rsid w:val="007004F9"/>
    <w:rsid w:val="00700C65"/>
    <w:rsid w:val="007010C9"/>
    <w:rsid w:val="00701610"/>
    <w:rsid w:val="00701B24"/>
    <w:rsid w:val="00702565"/>
    <w:rsid w:val="0070267B"/>
    <w:rsid w:val="00702A7C"/>
    <w:rsid w:val="00702DE6"/>
    <w:rsid w:val="00702EA5"/>
    <w:rsid w:val="00703F90"/>
    <w:rsid w:val="0070404E"/>
    <w:rsid w:val="00704058"/>
    <w:rsid w:val="00704098"/>
    <w:rsid w:val="007040CE"/>
    <w:rsid w:val="0070415B"/>
    <w:rsid w:val="00705291"/>
    <w:rsid w:val="007059D7"/>
    <w:rsid w:val="00705C9E"/>
    <w:rsid w:val="0070603C"/>
    <w:rsid w:val="00706128"/>
    <w:rsid w:val="00706591"/>
    <w:rsid w:val="00706698"/>
    <w:rsid w:val="0070687F"/>
    <w:rsid w:val="00707486"/>
    <w:rsid w:val="00707BAF"/>
    <w:rsid w:val="00707E8E"/>
    <w:rsid w:val="00710ED5"/>
    <w:rsid w:val="007113D7"/>
    <w:rsid w:val="00712EE2"/>
    <w:rsid w:val="00713C3B"/>
    <w:rsid w:val="00715928"/>
    <w:rsid w:val="00716BEC"/>
    <w:rsid w:val="00716D62"/>
    <w:rsid w:val="00717B70"/>
    <w:rsid w:val="0072003B"/>
    <w:rsid w:val="007206E9"/>
    <w:rsid w:val="00720F4A"/>
    <w:rsid w:val="0072111D"/>
    <w:rsid w:val="0072130B"/>
    <w:rsid w:val="0072335A"/>
    <w:rsid w:val="007237C3"/>
    <w:rsid w:val="0072472F"/>
    <w:rsid w:val="007247E2"/>
    <w:rsid w:val="00725432"/>
    <w:rsid w:val="00725456"/>
    <w:rsid w:val="00727D80"/>
    <w:rsid w:val="00730731"/>
    <w:rsid w:val="00731D33"/>
    <w:rsid w:val="00732731"/>
    <w:rsid w:val="00733795"/>
    <w:rsid w:val="00733A64"/>
    <w:rsid w:val="007340EA"/>
    <w:rsid w:val="00734FFF"/>
    <w:rsid w:val="007359CB"/>
    <w:rsid w:val="007361FA"/>
    <w:rsid w:val="00737A15"/>
    <w:rsid w:val="007400D8"/>
    <w:rsid w:val="007413C4"/>
    <w:rsid w:val="00741D4C"/>
    <w:rsid w:val="00741EF3"/>
    <w:rsid w:val="00742295"/>
    <w:rsid w:val="00742AC8"/>
    <w:rsid w:val="007433B0"/>
    <w:rsid w:val="007451C8"/>
    <w:rsid w:val="0074535C"/>
    <w:rsid w:val="0074572F"/>
    <w:rsid w:val="0074581C"/>
    <w:rsid w:val="00745899"/>
    <w:rsid w:val="00750078"/>
    <w:rsid w:val="007502AC"/>
    <w:rsid w:val="00750BB6"/>
    <w:rsid w:val="0075164B"/>
    <w:rsid w:val="00753582"/>
    <w:rsid w:val="007538FC"/>
    <w:rsid w:val="00754A2A"/>
    <w:rsid w:val="00754E95"/>
    <w:rsid w:val="00755962"/>
    <w:rsid w:val="00755F05"/>
    <w:rsid w:val="007561AD"/>
    <w:rsid w:val="007570FA"/>
    <w:rsid w:val="007571F8"/>
    <w:rsid w:val="00757CB9"/>
    <w:rsid w:val="00757F66"/>
    <w:rsid w:val="007606B3"/>
    <w:rsid w:val="007607C4"/>
    <w:rsid w:val="007607EC"/>
    <w:rsid w:val="00760B76"/>
    <w:rsid w:val="007611F1"/>
    <w:rsid w:val="00761A58"/>
    <w:rsid w:val="00762042"/>
    <w:rsid w:val="00762A2F"/>
    <w:rsid w:val="00763AF2"/>
    <w:rsid w:val="007649AF"/>
    <w:rsid w:val="00765584"/>
    <w:rsid w:val="00765CB7"/>
    <w:rsid w:val="0076643F"/>
    <w:rsid w:val="00771045"/>
    <w:rsid w:val="00771205"/>
    <w:rsid w:val="0077262D"/>
    <w:rsid w:val="00772E07"/>
    <w:rsid w:val="00773C5A"/>
    <w:rsid w:val="007744CC"/>
    <w:rsid w:val="007747CD"/>
    <w:rsid w:val="00776DEB"/>
    <w:rsid w:val="007771C5"/>
    <w:rsid w:val="007776FF"/>
    <w:rsid w:val="0078069F"/>
    <w:rsid w:val="00781C89"/>
    <w:rsid w:val="007820BB"/>
    <w:rsid w:val="00782B0D"/>
    <w:rsid w:val="00782E68"/>
    <w:rsid w:val="0078426B"/>
    <w:rsid w:val="00784600"/>
    <w:rsid w:val="00784993"/>
    <w:rsid w:val="00784DE5"/>
    <w:rsid w:val="00784FEC"/>
    <w:rsid w:val="0078587E"/>
    <w:rsid w:val="0078595F"/>
    <w:rsid w:val="00785F8D"/>
    <w:rsid w:val="00786501"/>
    <w:rsid w:val="00790499"/>
    <w:rsid w:val="007928DA"/>
    <w:rsid w:val="00792E72"/>
    <w:rsid w:val="00794A6F"/>
    <w:rsid w:val="00795819"/>
    <w:rsid w:val="00795940"/>
    <w:rsid w:val="00795E01"/>
    <w:rsid w:val="00796E7A"/>
    <w:rsid w:val="007977A5"/>
    <w:rsid w:val="007A13D7"/>
    <w:rsid w:val="007A17C8"/>
    <w:rsid w:val="007A18EB"/>
    <w:rsid w:val="007A2423"/>
    <w:rsid w:val="007A2EC7"/>
    <w:rsid w:val="007A2F70"/>
    <w:rsid w:val="007A3293"/>
    <w:rsid w:val="007A3478"/>
    <w:rsid w:val="007A4240"/>
    <w:rsid w:val="007A4980"/>
    <w:rsid w:val="007A4EC1"/>
    <w:rsid w:val="007A57A6"/>
    <w:rsid w:val="007A6148"/>
    <w:rsid w:val="007A6F2F"/>
    <w:rsid w:val="007A71E9"/>
    <w:rsid w:val="007A7F31"/>
    <w:rsid w:val="007B0563"/>
    <w:rsid w:val="007B09F1"/>
    <w:rsid w:val="007B19A1"/>
    <w:rsid w:val="007B19FE"/>
    <w:rsid w:val="007B1B6A"/>
    <w:rsid w:val="007B2769"/>
    <w:rsid w:val="007B392C"/>
    <w:rsid w:val="007B3C72"/>
    <w:rsid w:val="007B430B"/>
    <w:rsid w:val="007B4826"/>
    <w:rsid w:val="007B4C00"/>
    <w:rsid w:val="007B5867"/>
    <w:rsid w:val="007B58FD"/>
    <w:rsid w:val="007B6279"/>
    <w:rsid w:val="007B64D9"/>
    <w:rsid w:val="007B6C22"/>
    <w:rsid w:val="007B6CFC"/>
    <w:rsid w:val="007C0E58"/>
    <w:rsid w:val="007C10AC"/>
    <w:rsid w:val="007C16AB"/>
    <w:rsid w:val="007C2363"/>
    <w:rsid w:val="007C31E5"/>
    <w:rsid w:val="007C3334"/>
    <w:rsid w:val="007C50F6"/>
    <w:rsid w:val="007C52BB"/>
    <w:rsid w:val="007C5476"/>
    <w:rsid w:val="007C58E8"/>
    <w:rsid w:val="007C6D64"/>
    <w:rsid w:val="007C7402"/>
    <w:rsid w:val="007C757E"/>
    <w:rsid w:val="007C798F"/>
    <w:rsid w:val="007C7B95"/>
    <w:rsid w:val="007D0207"/>
    <w:rsid w:val="007D0309"/>
    <w:rsid w:val="007D06CB"/>
    <w:rsid w:val="007D1294"/>
    <w:rsid w:val="007D2B98"/>
    <w:rsid w:val="007D2FEE"/>
    <w:rsid w:val="007D3E9B"/>
    <w:rsid w:val="007D4C93"/>
    <w:rsid w:val="007D4D7B"/>
    <w:rsid w:val="007D4FA5"/>
    <w:rsid w:val="007D4FEA"/>
    <w:rsid w:val="007D6734"/>
    <w:rsid w:val="007D69AC"/>
    <w:rsid w:val="007E13CE"/>
    <w:rsid w:val="007E1856"/>
    <w:rsid w:val="007E2E12"/>
    <w:rsid w:val="007E42C4"/>
    <w:rsid w:val="007E5338"/>
    <w:rsid w:val="007E5577"/>
    <w:rsid w:val="007E6C9D"/>
    <w:rsid w:val="007E6DAC"/>
    <w:rsid w:val="007F05E6"/>
    <w:rsid w:val="007F074A"/>
    <w:rsid w:val="007F203A"/>
    <w:rsid w:val="007F262E"/>
    <w:rsid w:val="007F3174"/>
    <w:rsid w:val="007F410D"/>
    <w:rsid w:val="007F42BF"/>
    <w:rsid w:val="007F4444"/>
    <w:rsid w:val="007F4A54"/>
    <w:rsid w:val="007F4B82"/>
    <w:rsid w:val="007F4F2C"/>
    <w:rsid w:val="007F4FE2"/>
    <w:rsid w:val="007F5844"/>
    <w:rsid w:val="007F6B34"/>
    <w:rsid w:val="00800983"/>
    <w:rsid w:val="00800E57"/>
    <w:rsid w:val="00801B96"/>
    <w:rsid w:val="00803F1C"/>
    <w:rsid w:val="00805CC4"/>
    <w:rsid w:val="0080600E"/>
    <w:rsid w:val="00806E7A"/>
    <w:rsid w:val="0080700A"/>
    <w:rsid w:val="008116A0"/>
    <w:rsid w:val="0081181A"/>
    <w:rsid w:val="00812EAF"/>
    <w:rsid w:val="0081621E"/>
    <w:rsid w:val="00817612"/>
    <w:rsid w:val="0081788E"/>
    <w:rsid w:val="00817D2F"/>
    <w:rsid w:val="00820D73"/>
    <w:rsid w:val="00821067"/>
    <w:rsid w:val="008215C0"/>
    <w:rsid w:val="008224D1"/>
    <w:rsid w:val="008236BC"/>
    <w:rsid w:val="00823942"/>
    <w:rsid w:val="00823A91"/>
    <w:rsid w:val="00824520"/>
    <w:rsid w:val="0082556A"/>
    <w:rsid w:val="00825B7F"/>
    <w:rsid w:val="00827DB7"/>
    <w:rsid w:val="00830E88"/>
    <w:rsid w:val="00835F5A"/>
    <w:rsid w:val="00836BBB"/>
    <w:rsid w:val="00837060"/>
    <w:rsid w:val="0083716D"/>
    <w:rsid w:val="008371F0"/>
    <w:rsid w:val="008373B6"/>
    <w:rsid w:val="00837ACD"/>
    <w:rsid w:val="00837C45"/>
    <w:rsid w:val="00837D68"/>
    <w:rsid w:val="00840189"/>
    <w:rsid w:val="00840C61"/>
    <w:rsid w:val="008414A3"/>
    <w:rsid w:val="008426FE"/>
    <w:rsid w:val="00844ADC"/>
    <w:rsid w:val="00845C1A"/>
    <w:rsid w:val="008461F4"/>
    <w:rsid w:val="00846865"/>
    <w:rsid w:val="008472FB"/>
    <w:rsid w:val="00847303"/>
    <w:rsid w:val="00847A8B"/>
    <w:rsid w:val="00847B26"/>
    <w:rsid w:val="008509CC"/>
    <w:rsid w:val="0085114F"/>
    <w:rsid w:val="00851852"/>
    <w:rsid w:val="00852C11"/>
    <w:rsid w:val="00853419"/>
    <w:rsid w:val="00854FE3"/>
    <w:rsid w:val="008560E1"/>
    <w:rsid w:val="008568C0"/>
    <w:rsid w:val="00860233"/>
    <w:rsid w:val="0086147D"/>
    <w:rsid w:val="00861972"/>
    <w:rsid w:val="00861EC2"/>
    <w:rsid w:val="00862169"/>
    <w:rsid w:val="008628FD"/>
    <w:rsid w:val="008630DD"/>
    <w:rsid w:val="00864785"/>
    <w:rsid w:val="00865070"/>
    <w:rsid w:val="00865368"/>
    <w:rsid w:val="00865C9B"/>
    <w:rsid w:val="00866D7E"/>
    <w:rsid w:val="008678EF"/>
    <w:rsid w:val="0087014C"/>
    <w:rsid w:val="00871372"/>
    <w:rsid w:val="00871EBE"/>
    <w:rsid w:val="008741A2"/>
    <w:rsid w:val="00874BEE"/>
    <w:rsid w:val="00874E1D"/>
    <w:rsid w:val="008756AD"/>
    <w:rsid w:val="00875ABB"/>
    <w:rsid w:val="00875EC6"/>
    <w:rsid w:val="00876085"/>
    <w:rsid w:val="00877E1B"/>
    <w:rsid w:val="00880976"/>
    <w:rsid w:val="00880B21"/>
    <w:rsid w:val="00880F95"/>
    <w:rsid w:val="0088131C"/>
    <w:rsid w:val="008818D2"/>
    <w:rsid w:val="00882952"/>
    <w:rsid w:val="00883043"/>
    <w:rsid w:val="00883EA4"/>
    <w:rsid w:val="00884270"/>
    <w:rsid w:val="00884570"/>
    <w:rsid w:val="008869BA"/>
    <w:rsid w:val="00886A37"/>
    <w:rsid w:val="00887B7D"/>
    <w:rsid w:val="008903D5"/>
    <w:rsid w:val="00890879"/>
    <w:rsid w:val="0089156D"/>
    <w:rsid w:val="008917C2"/>
    <w:rsid w:val="00892B81"/>
    <w:rsid w:val="00893DBC"/>
    <w:rsid w:val="00893E24"/>
    <w:rsid w:val="00893E44"/>
    <w:rsid w:val="008945B4"/>
    <w:rsid w:val="0089491C"/>
    <w:rsid w:val="0089514B"/>
    <w:rsid w:val="00896741"/>
    <w:rsid w:val="008969D3"/>
    <w:rsid w:val="008971D8"/>
    <w:rsid w:val="00897578"/>
    <w:rsid w:val="00897E12"/>
    <w:rsid w:val="008A065A"/>
    <w:rsid w:val="008A0FFC"/>
    <w:rsid w:val="008A17A0"/>
    <w:rsid w:val="008A1C4B"/>
    <w:rsid w:val="008A2247"/>
    <w:rsid w:val="008A2599"/>
    <w:rsid w:val="008A31DC"/>
    <w:rsid w:val="008A3206"/>
    <w:rsid w:val="008A3434"/>
    <w:rsid w:val="008A36FA"/>
    <w:rsid w:val="008A3BC9"/>
    <w:rsid w:val="008A4FAC"/>
    <w:rsid w:val="008A5A80"/>
    <w:rsid w:val="008A5BF4"/>
    <w:rsid w:val="008A5F01"/>
    <w:rsid w:val="008A67CF"/>
    <w:rsid w:val="008A6DA2"/>
    <w:rsid w:val="008A7F97"/>
    <w:rsid w:val="008A7FC7"/>
    <w:rsid w:val="008B0EE7"/>
    <w:rsid w:val="008B14CB"/>
    <w:rsid w:val="008B234D"/>
    <w:rsid w:val="008B24D5"/>
    <w:rsid w:val="008B25D0"/>
    <w:rsid w:val="008B25FC"/>
    <w:rsid w:val="008B270E"/>
    <w:rsid w:val="008B2A56"/>
    <w:rsid w:val="008B2DA9"/>
    <w:rsid w:val="008B3466"/>
    <w:rsid w:val="008B39D0"/>
    <w:rsid w:val="008B44C5"/>
    <w:rsid w:val="008B5124"/>
    <w:rsid w:val="008B6D4A"/>
    <w:rsid w:val="008C00EE"/>
    <w:rsid w:val="008C2789"/>
    <w:rsid w:val="008C2DF6"/>
    <w:rsid w:val="008C3743"/>
    <w:rsid w:val="008C458F"/>
    <w:rsid w:val="008C474D"/>
    <w:rsid w:val="008C606A"/>
    <w:rsid w:val="008C6FC4"/>
    <w:rsid w:val="008C702E"/>
    <w:rsid w:val="008C77CF"/>
    <w:rsid w:val="008D0556"/>
    <w:rsid w:val="008D307A"/>
    <w:rsid w:val="008D389F"/>
    <w:rsid w:val="008D43BA"/>
    <w:rsid w:val="008D4B63"/>
    <w:rsid w:val="008D5E94"/>
    <w:rsid w:val="008D6249"/>
    <w:rsid w:val="008D7317"/>
    <w:rsid w:val="008D7DF4"/>
    <w:rsid w:val="008E10AE"/>
    <w:rsid w:val="008E25E3"/>
    <w:rsid w:val="008E3759"/>
    <w:rsid w:val="008E53E4"/>
    <w:rsid w:val="008E626B"/>
    <w:rsid w:val="008E6BDE"/>
    <w:rsid w:val="008E71E6"/>
    <w:rsid w:val="008F019F"/>
    <w:rsid w:val="008F040A"/>
    <w:rsid w:val="008F0769"/>
    <w:rsid w:val="008F0E10"/>
    <w:rsid w:val="008F298E"/>
    <w:rsid w:val="008F2A35"/>
    <w:rsid w:val="008F2A73"/>
    <w:rsid w:val="008F2E03"/>
    <w:rsid w:val="008F2E1C"/>
    <w:rsid w:val="008F34F5"/>
    <w:rsid w:val="008F3BF9"/>
    <w:rsid w:val="008F3E4A"/>
    <w:rsid w:val="008F4101"/>
    <w:rsid w:val="008F4522"/>
    <w:rsid w:val="008F49E6"/>
    <w:rsid w:val="008F559D"/>
    <w:rsid w:val="008F7B4C"/>
    <w:rsid w:val="00901C6D"/>
    <w:rsid w:val="00901CF7"/>
    <w:rsid w:val="0090268A"/>
    <w:rsid w:val="00903D34"/>
    <w:rsid w:val="00903DB2"/>
    <w:rsid w:val="009041DC"/>
    <w:rsid w:val="00904206"/>
    <w:rsid w:val="009047EE"/>
    <w:rsid w:val="00904B4B"/>
    <w:rsid w:val="0090668D"/>
    <w:rsid w:val="009104B4"/>
    <w:rsid w:val="00910ACC"/>
    <w:rsid w:val="00912171"/>
    <w:rsid w:val="009123E9"/>
    <w:rsid w:val="00912642"/>
    <w:rsid w:val="00915CDE"/>
    <w:rsid w:val="00915EFB"/>
    <w:rsid w:val="00915FDE"/>
    <w:rsid w:val="0091677E"/>
    <w:rsid w:val="0091728F"/>
    <w:rsid w:val="0091789D"/>
    <w:rsid w:val="0092043C"/>
    <w:rsid w:val="00921023"/>
    <w:rsid w:val="009224ED"/>
    <w:rsid w:val="00922A9F"/>
    <w:rsid w:val="00922EE6"/>
    <w:rsid w:val="00923920"/>
    <w:rsid w:val="00924F0A"/>
    <w:rsid w:val="00925FCD"/>
    <w:rsid w:val="009261B6"/>
    <w:rsid w:val="00927B0B"/>
    <w:rsid w:val="0093035E"/>
    <w:rsid w:val="00930ED0"/>
    <w:rsid w:val="009322FE"/>
    <w:rsid w:val="00932FF5"/>
    <w:rsid w:val="009330D5"/>
    <w:rsid w:val="00933D8A"/>
    <w:rsid w:val="009341A8"/>
    <w:rsid w:val="0093441A"/>
    <w:rsid w:val="00934829"/>
    <w:rsid w:val="009356F2"/>
    <w:rsid w:val="00935735"/>
    <w:rsid w:val="009359E3"/>
    <w:rsid w:val="00935A29"/>
    <w:rsid w:val="0093691B"/>
    <w:rsid w:val="00936C4F"/>
    <w:rsid w:val="00940132"/>
    <w:rsid w:val="009401B8"/>
    <w:rsid w:val="009409F7"/>
    <w:rsid w:val="009412E0"/>
    <w:rsid w:val="0094199B"/>
    <w:rsid w:val="00942AA6"/>
    <w:rsid w:val="00942BBC"/>
    <w:rsid w:val="00942D9D"/>
    <w:rsid w:val="00943244"/>
    <w:rsid w:val="009435DC"/>
    <w:rsid w:val="009451FE"/>
    <w:rsid w:val="009452EA"/>
    <w:rsid w:val="00946F4F"/>
    <w:rsid w:val="0094702E"/>
    <w:rsid w:val="00950D77"/>
    <w:rsid w:val="009519D3"/>
    <w:rsid w:val="00951A16"/>
    <w:rsid w:val="009526C0"/>
    <w:rsid w:val="00952CAA"/>
    <w:rsid w:val="0095466D"/>
    <w:rsid w:val="00954BF7"/>
    <w:rsid w:val="00954F7C"/>
    <w:rsid w:val="00955093"/>
    <w:rsid w:val="009554F0"/>
    <w:rsid w:val="00955EA3"/>
    <w:rsid w:val="0095641C"/>
    <w:rsid w:val="00957824"/>
    <w:rsid w:val="00957A32"/>
    <w:rsid w:val="00957DEC"/>
    <w:rsid w:val="00957F72"/>
    <w:rsid w:val="00960555"/>
    <w:rsid w:val="00963233"/>
    <w:rsid w:val="00963BAD"/>
    <w:rsid w:val="00964E8A"/>
    <w:rsid w:val="009653A0"/>
    <w:rsid w:val="00965F42"/>
    <w:rsid w:val="00966407"/>
    <w:rsid w:val="009668D9"/>
    <w:rsid w:val="009668E5"/>
    <w:rsid w:val="0096706E"/>
    <w:rsid w:val="00967ECF"/>
    <w:rsid w:val="009700D5"/>
    <w:rsid w:val="00970B45"/>
    <w:rsid w:val="009714F6"/>
    <w:rsid w:val="00972367"/>
    <w:rsid w:val="009724C3"/>
    <w:rsid w:val="00973675"/>
    <w:rsid w:val="00973E1D"/>
    <w:rsid w:val="009742BB"/>
    <w:rsid w:val="009753D7"/>
    <w:rsid w:val="0097780D"/>
    <w:rsid w:val="009809F5"/>
    <w:rsid w:val="009810A8"/>
    <w:rsid w:val="00981FBA"/>
    <w:rsid w:val="009828B0"/>
    <w:rsid w:val="00982E24"/>
    <w:rsid w:val="009839C4"/>
    <w:rsid w:val="00983AF6"/>
    <w:rsid w:val="009843A2"/>
    <w:rsid w:val="00986129"/>
    <w:rsid w:val="00986662"/>
    <w:rsid w:val="009868A4"/>
    <w:rsid w:val="00986AEE"/>
    <w:rsid w:val="009879D3"/>
    <w:rsid w:val="00990964"/>
    <w:rsid w:val="00990BEA"/>
    <w:rsid w:val="00991011"/>
    <w:rsid w:val="009937A7"/>
    <w:rsid w:val="009967AF"/>
    <w:rsid w:val="0099714E"/>
    <w:rsid w:val="00997E99"/>
    <w:rsid w:val="00997FE7"/>
    <w:rsid w:val="009A019F"/>
    <w:rsid w:val="009A03E7"/>
    <w:rsid w:val="009A0816"/>
    <w:rsid w:val="009A0B09"/>
    <w:rsid w:val="009A0F04"/>
    <w:rsid w:val="009A1A5D"/>
    <w:rsid w:val="009A1D2A"/>
    <w:rsid w:val="009A1E7F"/>
    <w:rsid w:val="009A27A0"/>
    <w:rsid w:val="009A28FA"/>
    <w:rsid w:val="009A3EC9"/>
    <w:rsid w:val="009A6130"/>
    <w:rsid w:val="009A6164"/>
    <w:rsid w:val="009B07BE"/>
    <w:rsid w:val="009B1206"/>
    <w:rsid w:val="009B12CE"/>
    <w:rsid w:val="009B1525"/>
    <w:rsid w:val="009B192A"/>
    <w:rsid w:val="009B26C8"/>
    <w:rsid w:val="009B2F9E"/>
    <w:rsid w:val="009B351F"/>
    <w:rsid w:val="009B381B"/>
    <w:rsid w:val="009B5129"/>
    <w:rsid w:val="009B541A"/>
    <w:rsid w:val="009B61B2"/>
    <w:rsid w:val="009B74A4"/>
    <w:rsid w:val="009C15A1"/>
    <w:rsid w:val="009C1615"/>
    <w:rsid w:val="009C1691"/>
    <w:rsid w:val="009C1877"/>
    <w:rsid w:val="009C1D8B"/>
    <w:rsid w:val="009C2F7E"/>
    <w:rsid w:val="009C2F9F"/>
    <w:rsid w:val="009C393B"/>
    <w:rsid w:val="009C458A"/>
    <w:rsid w:val="009C465B"/>
    <w:rsid w:val="009C4893"/>
    <w:rsid w:val="009C568A"/>
    <w:rsid w:val="009C6099"/>
    <w:rsid w:val="009C618C"/>
    <w:rsid w:val="009C663A"/>
    <w:rsid w:val="009C6BB0"/>
    <w:rsid w:val="009C7974"/>
    <w:rsid w:val="009D0476"/>
    <w:rsid w:val="009D0946"/>
    <w:rsid w:val="009D0B67"/>
    <w:rsid w:val="009D0DEE"/>
    <w:rsid w:val="009D15C7"/>
    <w:rsid w:val="009D16D3"/>
    <w:rsid w:val="009D2342"/>
    <w:rsid w:val="009D24F2"/>
    <w:rsid w:val="009D280B"/>
    <w:rsid w:val="009D3728"/>
    <w:rsid w:val="009D40B8"/>
    <w:rsid w:val="009D561E"/>
    <w:rsid w:val="009D5E28"/>
    <w:rsid w:val="009D6116"/>
    <w:rsid w:val="009D7407"/>
    <w:rsid w:val="009D7611"/>
    <w:rsid w:val="009E0C5C"/>
    <w:rsid w:val="009E26E3"/>
    <w:rsid w:val="009E27A9"/>
    <w:rsid w:val="009E2A0E"/>
    <w:rsid w:val="009E3488"/>
    <w:rsid w:val="009E349F"/>
    <w:rsid w:val="009E3ABD"/>
    <w:rsid w:val="009E3C23"/>
    <w:rsid w:val="009E4906"/>
    <w:rsid w:val="009E53DE"/>
    <w:rsid w:val="009E6FD9"/>
    <w:rsid w:val="009F0AA3"/>
    <w:rsid w:val="009F114F"/>
    <w:rsid w:val="009F1ED5"/>
    <w:rsid w:val="009F24AF"/>
    <w:rsid w:val="009F297A"/>
    <w:rsid w:val="009F2A46"/>
    <w:rsid w:val="009F2CC4"/>
    <w:rsid w:val="009F2D50"/>
    <w:rsid w:val="009F4B9D"/>
    <w:rsid w:val="009F7113"/>
    <w:rsid w:val="009F76DF"/>
    <w:rsid w:val="009F76E5"/>
    <w:rsid w:val="009F7DE7"/>
    <w:rsid w:val="00A00EED"/>
    <w:rsid w:val="00A014DA"/>
    <w:rsid w:val="00A02098"/>
    <w:rsid w:val="00A03579"/>
    <w:rsid w:val="00A03B6C"/>
    <w:rsid w:val="00A03DA5"/>
    <w:rsid w:val="00A041BA"/>
    <w:rsid w:val="00A05C64"/>
    <w:rsid w:val="00A06FEB"/>
    <w:rsid w:val="00A07581"/>
    <w:rsid w:val="00A10246"/>
    <w:rsid w:val="00A10450"/>
    <w:rsid w:val="00A11731"/>
    <w:rsid w:val="00A121D9"/>
    <w:rsid w:val="00A12250"/>
    <w:rsid w:val="00A13A94"/>
    <w:rsid w:val="00A14A46"/>
    <w:rsid w:val="00A14D37"/>
    <w:rsid w:val="00A1539A"/>
    <w:rsid w:val="00A15A9B"/>
    <w:rsid w:val="00A15C9A"/>
    <w:rsid w:val="00A163A4"/>
    <w:rsid w:val="00A1681C"/>
    <w:rsid w:val="00A1688B"/>
    <w:rsid w:val="00A17625"/>
    <w:rsid w:val="00A17E82"/>
    <w:rsid w:val="00A2015A"/>
    <w:rsid w:val="00A20B65"/>
    <w:rsid w:val="00A20F5F"/>
    <w:rsid w:val="00A22B7B"/>
    <w:rsid w:val="00A231E1"/>
    <w:rsid w:val="00A23924"/>
    <w:rsid w:val="00A24331"/>
    <w:rsid w:val="00A2456A"/>
    <w:rsid w:val="00A2579E"/>
    <w:rsid w:val="00A30370"/>
    <w:rsid w:val="00A31451"/>
    <w:rsid w:val="00A31CB0"/>
    <w:rsid w:val="00A32CC4"/>
    <w:rsid w:val="00A32D38"/>
    <w:rsid w:val="00A34273"/>
    <w:rsid w:val="00A34746"/>
    <w:rsid w:val="00A35750"/>
    <w:rsid w:val="00A36168"/>
    <w:rsid w:val="00A36E16"/>
    <w:rsid w:val="00A3722D"/>
    <w:rsid w:val="00A37592"/>
    <w:rsid w:val="00A37DA9"/>
    <w:rsid w:val="00A40463"/>
    <w:rsid w:val="00A40CED"/>
    <w:rsid w:val="00A43458"/>
    <w:rsid w:val="00A438C4"/>
    <w:rsid w:val="00A438F6"/>
    <w:rsid w:val="00A43C02"/>
    <w:rsid w:val="00A444C4"/>
    <w:rsid w:val="00A445B3"/>
    <w:rsid w:val="00A447CD"/>
    <w:rsid w:val="00A45615"/>
    <w:rsid w:val="00A47174"/>
    <w:rsid w:val="00A50201"/>
    <w:rsid w:val="00A5028C"/>
    <w:rsid w:val="00A504BC"/>
    <w:rsid w:val="00A51045"/>
    <w:rsid w:val="00A52375"/>
    <w:rsid w:val="00A5251F"/>
    <w:rsid w:val="00A527E1"/>
    <w:rsid w:val="00A528D1"/>
    <w:rsid w:val="00A53D23"/>
    <w:rsid w:val="00A542D1"/>
    <w:rsid w:val="00A54393"/>
    <w:rsid w:val="00A54BAA"/>
    <w:rsid w:val="00A54E0E"/>
    <w:rsid w:val="00A54E22"/>
    <w:rsid w:val="00A55776"/>
    <w:rsid w:val="00A5592E"/>
    <w:rsid w:val="00A569AF"/>
    <w:rsid w:val="00A57A16"/>
    <w:rsid w:val="00A60093"/>
    <w:rsid w:val="00A6269C"/>
    <w:rsid w:val="00A6287A"/>
    <w:rsid w:val="00A6325B"/>
    <w:rsid w:val="00A63958"/>
    <w:rsid w:val="00A64D1F"/>
    <w:rsid w:val="00A64DA8"/>
    <w:rsid w:val="00A64EE8"/>
    <w:rsid w:val="00A64F5F"/>
    <w:rsid w:val="00A650D1"/>
    <w:rsid w:val="00A660AD"/>
    <w:rsid w:val="00A669C6"/>
    <w:rsid w:val="00A66BE5"/>
    <w:rsid w:val="00A70FA6"/>
    <w:rsid w:val="00A732E7"/>
    <w:rsid w:val="00A75D2E"/>
    <w:rsid w:val="00A7605D"/>
    <w:rsid w:val="00A774E2"/>
    <w:rsid w:val="00A80C1E"/>
    <w:rsid w:val="00A81D28"/>
    <w:rsid w:val="00A8335C"/>
    <w:rsid w:val="00A83588"/>
    <w:rsid w:val="00A846C6"/>
    <w:rsid w:val="00A84A45"/>
    <w:rsid w:val="00A84B01"/>
    <w:rsid w:val="00A84DBA"/>
    <w:rsid w:val="00A85786"/>
    <w:rsid w:val="00A871CA"/>
    <w:rsid w:val="00A87C9B"/>
    <w:rsid w:val="00A87FF5"/>
    <w:rsid w:val="00A901CC"/>
    <w:rsid w:val="00A90EE5"/>
    <w:rsid w:val="00A91C87"/>
    <w:rsid w:val="00A91F89"/>
    <w:rsid w:val="00A92714"/>
    <w:rsid w:val="00A92DCA"/>
    <w:rsid w:val="00A93600"/>
    <w:rsid w:val="00A94281"/>
    <w:rsid w:val="00A945D3"/>
    <w:rsid w:val="00A947C6"/>
    <w:rsid w:val="00A961C0"/>
    <w:rsid w:val="00A978E7"/>
    <w:rsid w:val="00A97CDE"/>
    <w:rsid w:val="00AA1E93"/>
    <w:rsid w:val="00AA23D3"/>
    <w:rsid w:val="00AA33AF"/>
    <w:rsid w:val="00AA3CAD"/>
    <w:rsid w:val="00AA46EA"/>
    <w:rsid w:val="00AA4746"/>
    <w:rsid w:val="00AA47A2"/>
    <w:rsid w:val="00AA5C88"/>
    <w:rsid w:val="00AA6505"/>
    <w:rsid w:val="00AA686D"/>
    <w:rsid w:val="00AA7A2C"/>
    <w:rsid w:val="00AB097B"/>
    <w:rsid w:val="00AB3118"/>
    <w:rsid w:val="00AB336D"/>
    <w:rsid w:val="00AB3712"/>
    <w:rsid w:val="00AB435E"/>
    <w:rsid w:val="00AB55B8"/>
    <w:rsid w:val="00AB6166"/>
    <w:rsid w:val="00AB6A3F"/>
    <w:rsid w:val="00AB6E3F"/>
    <w:rsid w:val="00AC0531"/>
    <w:rsid w:val="00AC388E"/>
    <w:rsid w:val="00AC4106"/>
    <w:rsid w:val="00AC4E50"/>
    <w:rsid w:val="00AC6AE6"/>
    <w:rsid w:val="00AC7F4D"/>
    <w:rsid w:val="00AD0B1E"/>
    <w:rsid w:val="00AD1E27"/>
    <w:rsid w:val="00AD1F09"/>
    <w:rsid w:val="00AD29F5"/>
    <w:rsid w:val="00AD34D9"/>
    <w:rsid w:val="00AD37C1"/>
    <w:rsid w:val="00AD38E9"/>
    <w:rsid w:val="00AD4435"/>
    <w:rsid w:val="00AD452E"/>
    <w:rsid w:val="00AD4A7C"/>
    <w:rsid w:val="00AD4CD7"/>
    <w:rsid w:val="00AD4E05"/>
    <w:rsid w:val="00AD5EB5"/>
    <w:rsid w:val="00AD71E7"/>
    <w:rsid w:val="00AD7A33"/>
    <w:rsid w:val="00AE15A9"/>
    <w:rsid w:val="00AE1F0C"/>
    <w:rsid w:val="00AE4C43"/>
    <w:rsid w:val="00AE504F"/>
    <w:rsid w:val="00AE6271"/>
    <w:rsid w:val="00AE66EC"/>
    <w:rsid w:val="00AE6AE5"/>
    <w:rsid w:val="00AE6F91"/>
    <w:rsid w:val="00AF0440"/>
    <w:rsid w:val="00AF0C0E"/>
    <w:rsid w:val="00AF17E5"/>
    <w:rsid w:val="00AF2263"/>
    <w:rsid w:val="00AF2782"/>
    <w:rsid w:val="00AF2CDB"/>
    <w:rsid w:val="00AF3306"/>
    <w:rsid w:val="00AF3344"/>
    <w:rsid w:val="00AF4EDA"/>
    <w:rsid w:val="00AF5571"/>
    <w:rsid w:val="00AF583A"/>
    <w:rsid w:val="00AF79FA"/>
    <w:rsid w:val="00B016BF"/>
    <w:rsid w:val="00B016EF"/>
    <w:rsid w:val="00B01EC9"/>
    <w:rsid w:val="00B02F69"/>
    <w:rsid w:val="00B033E8"/>
    <w:rsid w:val="00B0341A"/>
    <w:rsid w:val="00B03456"/>
    <w:rsid w:val="00B0375C"/>
    <w:rsid w:val="00B04C42"/>
    <w:rsid w:val="00B04EC2"/>
    <w:rsid w:val="00B0667E"/>
    <w:rsid w:val="00B06BF4"/>
    <w:rsid w:val="00B07ECF"/>
    <w:rsid w:val="00B101F3"/>
    <w:rsid w:val="00B10980"/>
    <w:rsid w:val="00B124E6"/>
    <w:rsid w:val="00B14837"/>
    <w:rsid w:val="00B160A4"/>
    <w:rsid w:val="00B167E9"/>
    <w:rsid w:val="00B16C6A"/>
    <w:rsid w:val="00B16FF4"/>
    <w:rsid w:val="00B1724A"/>
    <w:rsid w:val="00B207F5"/>
    <w:rsid w:val="00B20B83"/>
    <w:rsid w:val="00B21064"/>
    <w:rsid w:val="00B21BC5"/>
    <w:rsid w:val="00B22C40"/>
    <w:rsid w:val="00B2728E"/>
    <w:rsid w:val="00B27CFB"/>
    <w:rsid w:val="00B30278"/>
    <w:rsid w:val="00B30A5B"/>
    <w:rsid w:val="00B314DB"/>
    <w:rsid w:val="00B316A7"/>
    <w:rsid w:val="00B31EBE"/>
    <w:rsid w:val="00B339C8"/>
    <w:rsid w:val="00B346E5"/>
    <w:rsid w:val="00B34D82"/>
    <w:rsid w:val="00B3519E"/>
    <w:rsid w:val="00B352FF"/>
    <w:rsid w:val="00B3561E"/>
    <w:rsid w:val="00B3599E"/>
    <w:rsid w:val="00B3718B"/>
    <w:rsid w:val="00B37C3B"/>
    <w:rsid w:val="00B41AAC"/>
    <w:rsid w:val="00B424C6"/>
    <w:rsid w:val="00B424CD"/>
    <w:rsid w:val="00B42ABC"/>
    <w:rsid w:val="00B42FD7"/>
    <w:rsid w:val="00B432D6"/>
    <w:rsid w:val="00B44F4C"/>
    <w:rsid w:val="00B45709"/>
    <w:rsid w:val="00B45842"/>
    <w:rsid w:val="00B45BE7"/>
    <w:rsid w:val="00B46033"/>
    <w:rsid w:val="00B46313"/>
    <w:rsid w:val="00B4632A"/>
    <w:rsid w:val="00B478B1"/>
    <w:rsid w:val="00B5033F"/>
    <w:rsid w:val="00B5149E"/>
    <w:rsid w:val="00B515A8"/>
    <w:rsid w:val="00B51F95"/>
    <w:rsid w:val="00B531FA"/>
    <w:rsid w:val="00B53386"/>
    <w:rsid w:val="00B53F1A"/>
    <w:rsid w:val="00B55C59"/>
    <w:rsid w:val="00B55E95"/>
    <w:rsid w:val="00B574EE"/>
    <w:rsid w:val="00B575D6"/>
    <w:rsid w:val="00B60767"/>
    <w:rsid w:val="00B62894"/>
    <w:rsid w:val="00B62BC0"/>
    <w:rsid w:val="00B63572"/>
    <w:rsid w:val="00B63577"/>
    <w:rsid w:val="00B654CB"/>
    <w:rsid w:val="00B6736C"/>
    <w:rsid w:val="00B673F4"/>
    <w:rsid w:val="00B70462"/>
    <w:rsid w:val="00B72AC7"/>
    <w:rsid w:val="00B72E00"/>
    <w:rsid w:val="00B7353D"/>
    <w:rsid w:val="00B74DAF"/>
    <w:rsid w:val="00B75D57"/>
    <w:rsid w:val="00B765F1"/>
    <w:rsid w:val="00B76BE8"/>
    <w:rsid w:val="00B77B09"/>
    <w:rsid w:val="00B801CB"/>
    <w:rsid w:val="00B80221"/>
    <w:rsid w:val="00B820E0"/>
    <w:rsid w:val="00B83ACE"/>
    <w:rsid w:val="00B85B6B"/>
    <w:rsid w:val="00B85FEF"/>
    <w:rsid w:val="00B8646F"/>
    <w:rsid w:val="00B86577"/>
    <w:rsid w:val="00B8664E"/>
    <w:rsid w:val="00B868A4"/>
    <w:rsid w:val="00B871FC"/>
    <w:rsid w:val="00B90064"/>
    <w:rsid w:val="00B90178"/>
    <w:rsid w:val="00B91A35"/>
    <w:rsid w:val="00B920B7"/>
    <w:rsid w:val="00B926B1"/>
    <w:rsid w:val="00B928C1"/>
    <w:rsid w:val="00B92CEF"/>
    <w:rsid w:val="00B92DC9"/>
    <w:rsid w:val="00B933E4"/>
    <w:rsid w:val="00B93D8F"/>
    <w:rsid w:val="00B93EB0"/>
    <w:rsid w:val="00BA0746"/>
    <w:rsid w:val="00BA0E3E"/>
    <w:rsid w:val="00BA11D2"/>
    <w:rsid w:val="00BA198F"/>
    <w:rsid w:val="00BA1D41"/>
    <w:rsid w:val="00BA276C"/>
    <w:rsid w:val="00BA3133"/>
    <w:rsid w:val="00BA31DF"/>
    <w:rsid w:val="00BA35FD"/>
    <w:rsid w:val="00BA6FFA"/>
    <w:rsid w:val="00BA7984"/>
    <w:rsid w:val="00BB069B"/>
    <w:rsid w:val="00BB1E32"/>
    <w:rsid w:val="00BB285D"/>
    <w:rsid w:val="00BB3066"/>
    <w:rsid w:val="00BB306F"/>
    <w:rsid w:val="00BB3466"/>
    <w:rsid w:val="00BB356D"/>
    <w:rsid w:val="00BB36D4"/>
    <w:rsid w:val="00BB3EED"/>
    <w:rsid w:val="00BB521F"/>
    <w:rsid w:val="00BB53AD"/>
    <w:rsid w:val="00BB58A2"/>
    <w:rsid w:val="00BB5A59"/>
    <w:rsid w:val="00BB6CCC"/>
    <w:rsid w:val="00BB6D96"/>
    <w:rsid w:val="00BB78FE"/>
    <w:rsid w:val="00BB7B0A"/>
    <w:rsid w:val="00BB7C52"/>
    <w:rsid w:val="00BC04F8"/>
    <w:rsid w:val="00BC05C9"/>
    <w:rsid w:val="00BC065F"/>
    <w:rsid w:val="00BC19B3"/>
    <w:rsid w:val="00BC1E4C"/>
    <w:rsid w:val="00BC2154"/>
    <w:rsid w:val="00BC243A"/>
    <w:rsid w:val="00BC264F"/>
    <w:rsid w:val="00BC35EB"/>
    <w:rsid w:val="00BC397C"/>
    <w:rsid w:val="00BC44D0"/>
    <w:rsid w:val="00BC68ED"/>
    <w:rsid w:val="00BC6FB1"/>
    <w:rsid w:val="00BC73B5"/>
    <w:rsid w:val="00BC7A27"/>
    <w:rsid w:val="00BD0807"/>
    <w:rsid w:val="00BD0C06"/>
    <w:rsid w:val="00BD10AC"/>
    <w:rsid w:val="00BD1947"/>
    <w:rsid w:val="00BD232B"/>
    <w:rsid w:val="00BD28E5"/>
    <w:rsid w:val="00BD2C5B"/>
    <w:rsid w:val="00BD357A"/>
    <w:rsid w:val="00BD393F"/>
    <w:rsid w:val="00BD4B89"/>
    <w:rsid w:val="00BD5685"/>
    <w:rsid w:val="00BD58D0"/>
    <w:rsid w:val="00BD5B39"/>
    <w:rsid w:val="00BD5B66"/>
    <w:rsid w:val="00BD5E67"/>
    <w:rsid w:val="00BD6302"/>
    <w:rsid w:val="00BD7F14"/>
    <w:rsid w:val="00BE0098"/>
    <w:rsid w:val="00BE014C"/>
    <w:rsid w:val="00BE0F98"/>
    <w:rsid w:val="00BE118B"/>
    <w:rsid w:val="00BE1438"/>
    <w:rsid w:val="00BE201A"/>
    <w:rsid w:val="00BE35D9"/>
    <w:rsid w:val="00BE36D7"/>
    <w:rsid w:val="00BE3D7B"/>
    <w:rsid w:val="00BE4872"/>
    <w:rsid w:val="00BE4A9E"/>
    <w:rsid w:val="00BE60A3"/>
    <w:rsid w:val="00BE6182"/>
    <w:rsid w:val="00BE6B74"/>
    <w:rsid w:val="00BE740A"/>
    <w:rsid w:val="00BE7D79"/>
    <w:rsid w:val="00BE7E23"/>
    <w:rsid w:val="00BF0063"/>
    <w:rsid w:val="00BF08CB"/>
    <w:rsid w:val="00BF1F10"/>
    <w:rsid w:val="00BF2523"/>
    <w:rsid w:val="00BF2939"/>
    <w:rsid w:val="00BF344B"/>
    <w:rsid w:val="00BF4865"/>
    <w:rsid w:val="00BF4871"/>
    <w:rsid w:val="00BF4AF7"/>
    <w:rsid w:val="00BF7446"/>
    <w:rsid w:val="00C0028D"/>
    <w:rsid w:val="00C01451"/>
    <w:rsid w:val="00C02608"/>
    <w:rsid w:val="00C02CD2"/>
    <w:rsid w:val="00C03059"/>
    <w:rsid w:val="00C03A29"/>
    <w:rsid w:val="00C04473"/>
    <w:rsid w:val="00C04528"/>
    <w:rsid w:val="00C06BD9"/>
    <w:rsid w:val="00C070BA"/>
    <w:rsid w:val="00C07884"/>
    <w:rsid w:val="00C10121"/>
    <w:rsid w:val="00C101BC"/>
    <w:rsid w:val="00C1319F"/>
    <w:rsid w:val="00C137B7"/>
    <w:rsid w:val="00C14557"/>
    <w:rsid w:val="00C14701"/>
    <w:rsid w:val="00C14CE0"/>
    <w:rsid w:val="00C1525C"/>
    <w:rsid w:val="00C15E03"/>
    <w:rsid w:val="00C16379"/>
    <w:rsid w:val="00C16D95"/>
    <w:rsid w:val="00C2142B"/>
    <w:rsid w:val="00C21762"/>
    <w:rsid w:val="00C2250D"/>
    <w:rsid w:val="00C2283C"/>
    <w:rsid w:val="00C238F0"/>
    <w:rsid w:val="00C23BA8"/>
    <w:rsid w:val="00C23BB2"/>
    <w:rsid w:val="00C24049"/>
    <w:rsid w:val="00C24543"/>
    <w:rsid w:val="00C252A9"/>
    <w:rsid w:val="00C256A2"/>
    <w:rsid w:val="00C267B2"/>
    <w:rsid w:val="00C31770"/>
    <w:rsid w:val="00C3238A"/>
    <w:rsid w:val="00C32A61"/>
    <w:rsid w:val="00C338B0"/>
    <w:rsid w:val="00C33EB0"/>
    <w:rsid w:val="00C3492D"/>
    <w:rsid w:val="00C34C63"/>
    <w:rsid w:val="00C34F68"/>
    <w:rsid w:val="00C354DC"/>
    <w:rsid w:val="00C3629F"/>
    <w:rsid w:val="00C368E8"/>
    <w:rsid w:val="00C36B47"/>
    <w:rsid w:val="00C36E35"/>
    <w:rsid w:val="00C372D0"/>
    <w:rsid w:val="00C4030E"/>
    <w:rsid w:val="00C4068A"/>
    <w:rsid w:val="00C41307"/>
    <w:rsid w:val="00C41AB9"/>
    <w:rsid w:val="00C423E4"/>
    <w:rsid w:val="00C42468"/>
    <w:rsid w:val="00C42756"/>
    <w:rsid w:val="00C43A5C"/>
    <w:rsid w:val="00C43FC7"/>
    <w:rsid w:val="00C443E8"/>
    <w:rsid w:val="00C44717"/>
    <w:rsid w:val="00C44886"/>
    <w:rsid w:val="00C45555"/>
    <w:rsid w:val="00C45976"/>
    <w:rsid w:val="00C4696E"/>
    <w:rsid w:val="00C46A80"/>
    <w:rsid w:val="00C4716E"/>
    <w:rsid w:val="00C47667"/>
    <w:rsid w:val="00C47791"/>
    <w:rsid w:val="00C4793D"/>
    <w:rsid w:val="00C47DF4"/>
    <w:rsid w:val="00C47E39"/>
    <w:rsid w:val="00C500E9"/>
    <w:rsid w:val="00C506EB"/>
    <w:rsid w:val="00C50C1E"/>
    <w:rsid w:val="00C513B5"/>
    <w:rsid w:val="00C51A53"/>
    <w:rsid w:val="00C522F0"/>
    <w:rsid w:val="00C53F60"/>
    <w:rsid w:val="00C546AB"/>
    <w:rsid w:val="00C548FA"/>
    <w:rsid w:val="00C54FB1"/>
    <w:rsid w:val="00C55378"/>
    <w:rsid w:val="00C553BF"/>
    <w:rsid w:val="00C553CB"/>
    <w:rsid w:val="00C55560"/>
    <w:rsid w:val="00C56940"/>
    <w:rsid w:val="00C56B02"/>
    <w:rsid w:val="00C60644"/>
    <w:rsid w:val="00C62393"/>
    <w:rsid w:val="00C63BC8"/>
    <w:rsid w:val="00C64153"/>
    <w:rsid w:val="00C669C1"/>
    <w:rsid w:val="00C66B72"/>
    <w:rsid w:val="00C674CD"/>
    <w:rsid w:val="00C67F18"/>
    <w:rsid w:val="00C70565"/>
    <w:rsid w:val="00C708A7"/>
    <w:rsid w:val="00C714BB"/>
    <w:rsid w:val="00C725BA"/>
    <w:rsid w:val="00C7275B"/>
    <w:rsid w:val="00C7281A"/>
    <w:rsid w:val="00C7368B"/>
    <w:rsid w:val="00C739A1"/>
    <w:rsid w:val="00C74090"/>
    <w:rsid w:val="00C74AAA"/>
    <w:rsid w:val="00C74C37"/>
    <w:rsid w:val="00C7526E"/>
    <w:rsid w:val="00C75A4F"/>
    <w:rsid w:val="00C75D1B"/>
    <w:rsid w:val="00C75E68"/>
    <w:rsid w:val="00C76135"/>
    <w:rsid w:val="00C764DD"/>
    <w:rsid w:val="00C768EA"/>
    <w:rsid w:val="00C76B8F"/>
    <w:rsid w:val="00C77013"/>
    <w:rsid w:val="00C77F47"/>
    <w:rsid w:val="00C80BB9"/>
    <w:rsid w:val="00C81339"/>
    <w:rsid w:val="00C81F06"/>
    <w:rsid w:val="00C81FBE"/>
    <w:rsid w:val="00C821B1"/>
    <w:rsid w:val="00C82B0B"/>
    <w:rsid w:val="00C844E9"/>
    <w:rsid w:val="00C84B0E"/>
    <w:rsid w:val="00C84E16"/>
    <w:rsid w:val="00C850FD"/>
    <w:rsid w:val="00C85897"/>
    <w:rsid w:val="00C85CF6"/>
    <w:rsid w:val="00C85DDE"/>
    <w:rsid w:val="00C86C06"/>
    <w:rsid w:val="00C8737F"/>
    <w:rsid w:val="00C908BC"/>
    <w:rsid w:val="00C92CF7"/>
    <w:rsid w:val="00C93098"/>
    <w:rsid w:val="00C949E2"/>
    <w:rsid w:val="00C94BF5"/>
    <w:rsid w:val="00C9567A"/>
    <w:rsid w:val="00C957E5"/>
    <w:rsid w:val="00C95BF6"/>
    <w:rsid w:val="00C9670F"/>
    <w:rsid w:val="00C96AF3"/>
    <w:rsid w:val="00C96BFF"/>
    <w:rsid w:val="00CA249C"/>
    <w:rsid w:val="00CA28C5"/>
    <w:rsid w:val="00CA44E8"/>
    <w:rsid w:val="00CA4A0D"/>
    <w:rsid w:val="00CA61E3"/>
    <w:rsid w:val="00CA65F1"/>
    <w:rsid w:val="00CA6E49"/>
    <w:rsid w:val="00CB13BC"/>
    <w:rsid w:val="00CB17C1"/>
    <w:rsid w:val="00CB2422"/>
    <w:rsid w:val="00CB2660"/>
    <w:rsid w:val="00CB2A1A"/>
    <w:rsid w:val="00CB3827"/>
    <w:rsid w:val="00CB3A1A"/>
    <w:rsid w:val="00CB691C"/>
    <w:rsid w:val="00CB712B"/>
    <w:rsid w:val="00CB7A42"/>
    <w:rsid w:val="00CC1709"/>
    <w:rsid w:val="00CC30E5"/>
    <w:rsid w:val="00CC4B09"/>
    <w:rsid w:val="00CC5361"/>
    <w:rsid w:val="00CC56B1"/>
    <w:rsid w:val="00CC5E13"/>
    <w:rsid w:val="00CC5E90"/>
    <w:rsid w:val="00CC6E83"/>
    <w:rsid w:val="00CC77BB"/>
    <w:rsid w:val="00CD00F2"/>
    <w:rsid w:val="00CD046C"/>
    <w:rsid w:val="00CD2AF3"/>
    <w:rsid w:val="00CD36BA"/>
    <w:rsid w:val="00CD6BCF"/>
    <w:rsid w:val="00CD6DCA"/>
    <w:rsid w:val="00CE096E"/>
    <w:rsid w:val="00CE0AC0"/>
    <w:rsid w:val="00CE1390"/>
    <w:rsid w:val="00CE18E0"/>
    <w:rsid w:val="00CE277A"/>
    <w:rsid w:val="00CE4868"/>
    <w:rsid w:val="00CE4999"/>
    <w:rsid w:val="00CE5199"/>
    <w:rsid w:val="00CE627A"/>
    <w:rsid w:val="00CE66D5"/>
    <w:rsid w:val="00CF0464"/>
    <w:rsid w:val="00CF23B4"/>
    <w:rsid w:val="00CF2824"/>
    <w:rsid w:val="00CF3EBB"/>
    <w:rsid w:val="00CF4138"/>
    <w:rsid w:val="00CF4AA9"/>
    <w:rsid w:val="00CF5539"/>
    <w:rsid w:val="00CF6C1A"/>
    <w:rsid w:val="00CF7422"/>
    <w:rsid w:val="00CF77EA"/>
    <w:rsid w:val="00D008EE"/>
    <w:rsid w:val="00D012E8"/>
    <w:rsid w:val="00D02E9F"/>
    <w:rsid w:val="00D03633"/>
    <w:rsid w:val="00D03C21"/>
    <w:rsid w:val="00D03C39"/>
    <w:rsid w:val="00D03CEE"/>
    <w:rsid w:val="00D04674"/>
    <w:rsid w:val="00D05066"/>
    <w:rsid w:val="00D0552E"/>
    <w:rsid w:val="00D05E9A"/>
    <w:rsid w:val="00D07439"/>
    <w:rsid w:val="00D0799B"/>
    <w:rsid w:val="00D07A1B"/>
    <w:rsid w:val="00D07ADF"/>
    <w:rsid w:val="00D10A5A"/>
    <w:rsid w:val="00D10A91"/>
    <w:rsid w:val="00D11349"/>
    <w:rsid w:val="00D1169D"/>
    <w:rsid w:val="00D11888"/>
    <w:rsid w:val="00D12063"/>
    <w:rsid w:val="00D12D6C"/>
    <w:rsid w:val="00D12F79"/>
    <w:rsid w:val="00D1372B"/>
    <w:rsid w:val="00D14582"/>
    <w:rsid w:val="00D14B21"/>
    <w:rsid w:val="00D16299"/>
    <w:rsid w:val="00D164EA"/>
    <w:rsid w:val="00D16C41"/>
    <w:rsid w:val="00D17DE4"/>
    <w:rsid w:val="00D20004"/>
    <w:rsid w:val="00D20D54"/>
    <w:rsid w:val="00D211D9"/>
    <w:rsid w:val="00D2131F"/>
    <w:rsid w:val="00D21D95"/>
    <w:rsid w:val="00D21DA2"/>
    <w:rsid w:val="00D2250C"/>
    <w:rsid w:val="00D232BD"/>
    <w:rsid w:val="00D2345D"/>
    <w:rsid w:val="00D23785"/>
    <w:rsid w:val="00D24291"/>
    <w:rsid w:val="00D2456B"/>
    <w:rsid w:val="00D2576B"/>
    <w:rsid w:val="00D25889"/>
    <w:rsid w:val="00D25C75"/>
    <w:rsid w:val="00D27FBF"/>
    <w:rsid w:val="00D30449"/>
    <w:rsid w:val="00D317E2"/>
    <w:rsid w:val="00D31A13"/>
    <w:rsid w:val="00D32D94"/>
    <w:rsid w:val="00D340AA"/>
    <w:rsid w:val="00D34786"/>
    <w:rsid w:val="00D35609"/>
    <w:rsid w:val="00D35620"/>
    <w:rsid w:val="00D356D1"/>
    <w:rsid w:val="00D357F9"/>
    <w:rsid w:val="00D36696"/>
    <w:rsid w:val="00D36A2C"/>
    <w:rsid w:val="00D37539"/>
    <w:rsid w:val="00D37C52"/>
    <w:rsid w:val="00D4040F"/>
    <w:rsid w:val="00D40A1E"/>
    <w:rsid w:val="00D41308"/>
    <w:rsid w:val="00D42BAB"/>
    <w:rsid w:val="00D43363"/>
    <w:rsid w:val="00D43C78"/>
    <w:rsid w:val="00D43FAE"/>
    <w:rsid w:val="00D44428"/>
    <w:rsid w:val="00D44A80"/>
    <w:rsid w:val="00D44B04"/>
    <w:rsid w:val="00D44BDF"/>
    <w:rsid w:val="00D44C89"/>
    <w:rsid w:val="00D45150"/>
    <w:rsid w:val="00D45500"/>
    <w:rsid w:val="00D46CDC"/>
    <w:rsid w:val="00D47631"/>
    <w:rsid w:val="00D47E97"/>
    <w:rsid w:val="00D500EC"/>
    <w:rsid w:val="00D5025B"/>
    <w:rsid w:val="00D50362"/>
    <w:rsid w:val="00D50AFF"/>
    <w:rsid w:val="00D512DC"/>
    <w:rsid w:val="00D51A75"/>
    <w:rsid w:val="00D51D69"/>
    <w:rsid w:val="00D52B5B"/>
    <w:rsid w:val="00D52CCD"/>
    <w:rsid w:val="00D536FC"/>
    <w:rsid w:val="00D537DA"/>
    <w:rsid w:val="00D53F3D"/>
    <w:rsid w:val="00D558C4"/>
    <w:rsid w:val="00D55D01"/>
    <w:rsid w:val="00D568A0"/>
    <w:rsid w:val="00D57019"/>
    <w:rsid w:val="00D5736C"/>
    <w:rsid w:val="00D57833"/>
    <w:rsid w:val="00D6006E"/>
    <w:rsid w:val="00D6092C"/>
    <w:rsid w:val="00D61163"/>
    <w:rsid w:val="00D6144B"/>
    <w:rsid w:val="00D61B5B"/>
    <w:rsid w:val="00D62BD0"/>
    <w:rsid w:val="00D63033"/>
    <w:rsid w:val="00D63233"/>
    <w:rsid w:val="00D6346E"/>
    <w:rsid w:val="00D65E4F"/>
    <w:rsid w:val="00D6603B"/>
    <w:rsid w:val="00D677D5"/>
    <w:rsid w:val="00D70B43"/>
    <w:rsid w:val="00D712D3"/>
    <w:rsid w:val="00D71422"/>
    <w:rsid w:val="00D7145E"/>
    <w:rsid w:val="00D72985"/>
    <w:rsid w:val="00D73376"/>
    <w:rsid w:val="00D73E27"/>
    <w:rsid w:val="00D74A1F"/>
    <w:rsid w:val="00D74C93"/>
    <w:rsid w:val="00D74F68"/>
    <w:rsid w:val="00D7558D"/>
    <w:rsid w:val="00D76232"/>
    <w:rsid w:val="00D7649A"/>
    <w:rsid w:val="00D77705"/>
    <w:rsid w:val="00D807C1"/>
    <w:rsid w:val="00D811FF"/>
    <w:rsid w:val="00D81D92"/>
    <w:rsid w:val="00D826A0"/>
    <w:rsid w:val="00D82EA8"/>
    <w:rsid w:val="00D838BE"/>
    <w:rsid w:val="00D83DD3"/>
    <w:rsid w:val="00D83FFE"/>
    <w:rsid w:val="00D84214"/>
    <w:rsid w:val="00D85BE7"/>
    <w:rsid w:val="00D8644F"/>
    <w:rsid w:val="00D86569"/>
    <w:rsid w:val="00D87416"/>
    <w:rsid w:val="00D8745D"/>
    <w:rsid w:val="00D8763F"/>
    <w:rsid w:val="00D9040B"/>
    <w:rsid w:val="00D9087A"/>
    <w:rsid w:val="00D910F7"/>
    <w:rsid w:val="00D915AB"/>
    <w:rsid w:val="00D918B6"/>
    <w:rsid w:val="00D91B1E"/>
    <w:rsid w:val="00D93446"/>
    <w:rsid w:val="00D9382D"/>
    <w:rsid w:val="00D93E69"/>
    <w:rsid w:val="00D94D1C"/>
    <w:rsid w:val="00D9539C"/>
    <w:rsid w:val="00D95402"/>
    <w:rsid w:val="00D95B48"/>
    <w:rsid w:val="00D96245"/>
    <w:rsid w:val="00D97192"/>
    <w:rsid w:val="00D978E5"/>
    <w:rsid w:val="00D97AED"/>
    <w:rsid w:val="00DA0B78"/>
    <w:rsid w:val="00DA130B"/>
    <w:rsid w:val="00DA1520"/>
    <w:rsid w:val="00DA17D3"/>
    <w:rsid w:val="00DA2A7C"/>
    <w:rsid w:val="00DA3005"/>
    <w:rsid w:val="00DA300A"/>
    <w:rsid w:val="00DA3D57"/>
    <w:rsid w:val="00DA4E4E"/>
    <w:rsid w:val="00DA5D69"/>
    <w:rsid w:val="00DA5ECF"/>
    <w:rsid w:val="00DA6AB3"/>
    <w:rsid w:val="00DA7151"/>
    <w:rsid w:val="00DA72A2"/>
    <w:rsid w:val="00DA77AA"/>
    <w:rsid w:val="00DA7B5F"/>
    <w:rsid w:val="00DB18A8"/>
    <w:rsid w:val="00DB1927"/>
    <w:rsid w:val="00DB208D"/>
    <w:rsid w:val="00DB3050"/>
    <w:rsid w:val="00DB30EC"/>
    <w:rsid w:val="00DB3374"/>
    <w:rsid w:val="00DB4A1E"/>
    <w:rsid w:val="00DB4D80"/>
    <w:rsid w:val="00DB5A7D"/>
    <w:rsid w:val="00DB5C3C"/>
    <w:rsid w:val="00DB6E04"/>
    <w:rsid w:val="00DC07A4"/>
    <w:rsid w:val="00DC11B7"/>
    <w:rsid w:val="00DC1686"/>
    <w:rsid w:val="00DC174D"/>
    <w:rsid w:val="00DC27E0"/>
    <w:rsid w:val="00DC28C0"/>
    <w:rsid w:val="00DC2FF2"/>
    <w:rsid w:val="00DC3121"/>
    <w:rsid w:val="00DC6160"/>
    <w:rsid w:val="00DC6D2C"/>
    <w:rsid w:val="00DC6E56"/>
    <w:rsid w:val="00DC7597"/>
    <w:rsid w:val="00DD045E"/>
    <w:rsid w:val="00DD1E65"/>
    <w:rsid w:val="00DD2BE4"/>
    <w:rsid w:val="00DD2C54"/>
    <w:rsid w:val="00DD31DF"/>
    <w:rsid w:val="00DD576A"/>
    <w:rsid w:val="00DD6DEF"/>
    <w:rsid w:val="00DD6F04"/>
    <w:rsid w:val="00DD6F15"/>
    <w:rsid w:val="00DD759E"/>
    <w:rsid w:val="00DE0266"/>
    <w:rsid w:val="00DE1BA4"/>
    <w:rsid w:val="00DE26A2"/>
    <w:rsid w:val="00DE29BE"/>
    <w:rsid w:val="00DE2B00"/>
    <w:rsid w:val="00DE3548"/>
    <w:rsid w:val="00DE3BFB"/>
    <w:rsid w:val="00DE477B"/>
    <w:rsid w:val="00DE51EB"/>
    <w:rsid w:val="00DE735D"/>
    <w:rsid w:val="00DE7417"/>
    <w:rsid w:val="00DE783D"/>
    <w:rsid w:val="00DE7D2E"/>
    <w:rsid w:val="00DF0AA4"/>
    <w:rsid w:val="00DF0CCB"/>
    <w:rsid w:val="00DF0E79"/>
    <w:rsid w:val="00DF1DF9"/>
    <w:rsid w:val="00DF4BDE"/>
    <w:rsid w:val="00DF4BE0"/>
    <w:rsid w:val="00DF4D0D"/>
    <w:rsid w:val="00DF75FA"/>
    <w:rsid w:val="00DF7C7C"/>
    <w:rsid w:val="00E01AD4"/>
    <w:rsid w:val="00E01B40"/>
    <w:rsid w:val="00E01ED1"/>
    <w:rsid w:val="00E022CD"/>
    <w:rsid w:val="00E02DA8"/>
    <w:rsid w:val="00E04258"/>
    <w:rsid w:val="00E04744"/>
    <w:rsid w:val="00E058DC"/>
    <w:rsid w:val="00E067A6"/>
    <w:rsid w:val="00E068CB"/>
    <w:rsid w:val="00E06DDE"/>
    <w:rsid w:val="00E0702F"/>
    <w:rsid w:val="00E0734B"/>
    <w:rsid w:val="00E0740A"/>
    <w:rsid w:val="00E109B1"/>
    <w:rsid w:val="00E11392"/>
    <w:rsid w:val="00E1451D"/>
    <w:rsid w:val="00E1542D"/>
    <w:rsid w:val="00E1588C"/>
    <w:rsid w:val="00E15EB1"/>
    <w:rsid w:val="00E15FBA"/>
    <w:rsid w:val="00E15FC6"/>
    <w:rsid w:val="00E16BB8"/>
    <w:rsid w:val="00E16F9D"/>
    <w:rsid w:val="00E17683"/>
    <w:rsid w:val="00E2121C"/>
    <w:rsid w:val="00E21B90"/>
    <w:rsid w:val="00E22278"/>
    <w:rsid w:val="00E2284A"/>
    <w:rsid w:val="00E228B9"/>
    <w:rsid w:val="00E230FD"/>
    <w:rsid w:val="00E2398E"/>
    <w:rsid w:val="00E23FFC"/>
    <w:rsid w:val="00E246D3"/>
    <w:rsid w:val="00E24DD5"/>
    <w:rsid w:val="00E25A41"/>
    <w:rsid w:val="00E2673A"/>
    <w:rsid w:val="00E26FCD"/>
    <w:rsid w:val="00E273C3"/>
    <w:rsid w:val="00E27AA4"/>
    <w:rsid w:val="00E27B4F"/>
    <w:rsid w:val="00E30281"/>
    <w:rsid w:val="00E3317B"/>
    <w:rsid w:val="00E3337A"/>
    <w:rsid w:val="00E33E64"/>
    <w:rsid w:val="00E35D4E"/>
    <w:rsid w:val="00E3622A"/>
    <w:rsid w:val="00E364C4"/>
    <w:rsid w:val="00E36C0B"/>
    <w:rsid w:val="00E3757F"/>
    <w:rsid w:val="00E37E7B"/>
    <w:rsid w:val="00E40EB9"/>
    <w:rsid w:val="00E41042"/>
    <w:rsid w:val="00E41167"/>
    <w:rsid w:val="00E41659"/>
    <w:rsid w:val="00E416C8"/>
    <w:rsid w:val="00E416F7"/>
    <w:rsid w:val="00E4200E"/>
    <w:rsid w:val="00E420AD"/>
    <w:rsid w:val="00E42C74"/>
    <w:rsid w:val="00E43157"/>
    <w:rsid w:val="00E43212"/>
    <w:rsid w:val="00E4390D"/>
    <w:rsid w:val="00E4392B"/>
    <w:rsid w:val="00E43C54"/>
    <w:rsid w:val="00E43C96"/>
    <w:rsid w:val="00E45D29"/>
    <w:rsid w:val="00E46307"/>
    <w:rsid w:val="00E4781D"/>
    <w:rsid w:val="00E50136"/>
    <w:rsid w:val="00E51337"/>
    <w:rsid w:val="00E533FF"/>
    <w:rsid w:val="00E53B76"/>
    <w:rsid w:val="00E53E5E"/>
    <w:rsid w:val="00E54EF8"/>
    <w:rsid w:val="00E55EA1"/>
    <w:rsid w:val="00E55FA1"/>
    <w:rsid w:val="00E56477"/>
    <w:rsid w:val="00E57833"/>
    <w:rsid w:val="00E57B6B"/>
    <w:rsid w:val="00E57ECF"/>
    <w:rsid w:val="00E60280"/>
    <w:rsid w:val="00E60487"/>
    <w:rsid w:val="00E608CA"/>
    <w:rsid w:val="00E61067"/>
    <w:rsid w:val="00E61DC3"/>
    <w:rsid w:val="00E61FC3"/>
    <w:rsid w:val="00E62965"/>
    <w:rsid w:val="00E62E8E"/>
    <w:rsid w:val="00E6356C"/>
    <w:rsid w:val="00E6364D"/>
    <w:rsid w:val="00E63B98"/>
    <w:rsid w:val="00E64645"/>
    <w:rsid w:val="00E64AF6"/>
    <w:rsid w:val="00E64C35"/>
    <w:rsid w:val="00E64E6F"/>
    <w:rsid w:val="00E6516A"/>
    <w:rsid w:val="00E654A2"/>
    <w:rsid w:val="00E65CB4"/>
    <w:rsid w:val="00E709B3"/>
    <w:rsid w:val="00E70B54"/>
    <w:rsid w:val="00E7126F"/>
    <w:rsid w:val="00E71E57"/>
    <w:rsid w:val="00E71FD7"/>
    <w:rsid w:val="00E74123"/>
    <w:rsid w:val="00E74177"/>
    <w:rsid w:val="00E7445B"/>
    <w:rsid w:val="00E753FA"/>
    <w:rsid w:val="00E76826"/>
    <w:rsid w:val="00E7739E"/>
    <w:rsid w:val="00E774E4"/>
    <w:rsid w:val="00E800F6"/>
    <w:rsid w:val="00E80E83"/>
    <w:rsid w:val="00E81771"/>
    <w:rsid w:val="00E81A3E"/>
    <w:rsid w:val="00E82F32"/>
    <w:rsid w:val="00E830CC"/>
    <w:rsid w:val="00E8526C"/>
    <w:rsid w:val="00E86ABD"/>
    <w:rsid w:val="00E86E84"/>
    <w:rsid w:val="00E86EAF"/>
    <w:rsid w:val="00E87515"/>
    <w:rsid w:val="00E8789F"/>
    <w:rsid w:val="00E9049D"/>
    <w:rsid w:val="00E9077F"/>
    <w:rsid w:val="00E908CF"/>
    <w:rsid w:val="00E90FD5"/>
    <w:rsid w:val="00E91BE2"/>
    <w:rsid w:val="00E920D0"/>
    <w:rsid w:val="00E92993"/>
    <w:rsid w:val="00E9316D"/>
    <w:rsid w:val="00E93BDB"/>
    <w:rsid w:val="00E94203"/>
    <w:rsid w:val="00E94D19"/>
    <w:rsid w:val="00E96942"/>
    <w:rsid w:val="00E9742F"/>
    <w:rsid w:val="00E978C5"/>
    <w:rsid w:val="00E97B71"/>
    <w:rsid w:val="00EA01E7"/>
    <w:rsid w:val="00EA077D"/>
    <w:rsid w:val="00EA1283"/>
    <w:rsid w:val="00EA26BA"/>
    <w:rsid w:val="00EA5A04"/>
    <w:rsid w:val="00EA5FE2"/>
    <w:rsid w:val="00EA603E"/>
    <w:rsid w:val="00EA6708"/>
    <w:rsid w:val="00EA6A6E"/>
    <w:rsid w:val="00EA6B21"/>
    <w:rsid w:val="00EA70E0"/>
    <w:rsid w:val="00EB09CF"/>
    <w:rsid w:val="00EB24D7"/>
    <w:rsid w:val="00EB3B68"/>
    <w:rsid w:val="00EB454D"/>
    <w:rsid w:val="00EB454F"/>
    <w:rsid w:val="00EB4578"/>
    <w:rsid w:val="00EB4B7E"/>
    <w:rsid w:val="00EB51DC"/>
    <w:rsid w:val="00EB55C1"/>
    <w:rsid w:val="00EB5EB2"/>
    <w:rsid w:val="00EB6170"/>
    <w:rsid w:val="00EB62D9"/>
    <w:rsid w:val="00EB6B06"/>
    <w:rsid w:val="00EB7F0A"/>
    <w:rsid w:val="00EC0ACF"/>
    <w:rsid w:val="00EC0BA4"/>
    <w:rsid w:val="00EC112E"/>
    <w:rsid w:val="00EC2717"/>
    <w:rsid w:val="00EC2AAD"/>
    <w:rsid w:val="00EC2EA5"/>
    <w:rsid w:val="00EC31F9"/>
    <w:rsid w:val="00EC35CD"/>
    <w:rsid w:val="00EC4F70"/>
    <w:rsid w:val="00EC5060"/>
    <w:rsid w:val="00EC5570"/>
    <w:rsid w:val="00EC68B2"/>
    <w:rsid w:val="00EC74EB"/>
    <w:rsid w:val="00ED032D"/>
    <w:rsid w:val="00ED0447"/>
    <w:rsid w:val="00ED04C7"/>
    <w:rsid w:val="00ED0E31"/>
    <w:rsid w:val="00ED1405"/>
    <w:rsid w:val="00ED147C"/>
    <w:rsid w:val="00ED1889"/>
    <w:rsid w:val="00ED18FD"/>
    <w:rsid w:val="00ED1B1E"/>
    <w:rsid w:val="00ED1F1C"/>
    <w:rsid w:val="00ED2D1D"/>
    <w:rsid w:val="00ED3A8E"/>
    <w:rsid w:val="00ED3AB2"/>
    <w:rsid w:val="00ED56AB"/>
    <w:rsid w:val="00ED5BE1"/>
    <w:rsid w:val="00ED7079"/>
    <w:rsid w:val="00EE01EF"/>
    <w:rsid w:val="00EE04C1"/>
    <w:rsid w:val="00EE0BA9"/>
    <w:rsid w:val="00EE0D3E"/>
    <w:rsid w:val="00EE0F16"/>
    <w:rsid w:val="00EE11C9"/>
    <w:rsid w:val="00EE140F"/>
    <w:rsid w:val="00EE1E40"/>
    <w:rsid w:val="00EE3522"/>
    <w:rsid w:val="00EE36D7"/>
    <w:rsid w:val="00EE39AD"/>
    <w:rsid w:val="00EE3A3D"/>
    <w:rsid w:val="00EE4E4B"/>
    <w:rsid w:val="00EE5968"/>
    <w:rsid w:val="00EE5C5E"/>
    <w:rsid w:val="00EE5E58"/>
    <w:rsid w:val="00EF222C"/>
    <w:rsid w:val="00EF2493"/>
    <w:rsid w:val="00EF2B8F"/>
    <w:rsid w:val="00EF36AC"/>
    <w:rsid w:val="00EF4EC3"/>
    <w:rsid w:val="00EF5AA9"/>
    <w:rsid w:val="00EF5C7B"/>
    <w:rsid w:val="00EF619B"/>
    <w:rsid w:val="00EF6972"/>
    <w:rsid w:val="00EF7231"/>
    <w:rsid w:val="00F005EE"/>
    <w:rsid w:val="00F00B55"/>
    <w:rsid w:val="00F023EE"/>
    <w:rsid w:val="00F02955"/>
    <w:rsid w:val="00F03155"/>
    <w:rsid w:val="00F059CF"/>
    <w:rsid w:val="00F067C6"/>
    <w:rsid w:val="00F06961"/>
    <w:rsid w:val="00F1005F"/>
    <w:rsid w:val="00F10B2D"/>
    <w:rsid w:val="00F10C51"/>
    <w:rsid w:val="00F11242"/>
    <w:rsid w:val="00F1380F"/>
    <w:rsid w:val="00F14F0E"/>
    <w:rsid w:val="00F14F98"/>
    <w:rsid w:val="00F1553D"/>
    <w:rsid w:val="00F15799"/>
    <w:rsid w:val="00F15B6A"/>
    <w:rsid w:val="00F16AD4"/>
    <w:rsid w:val="00F16C9C"/>
    <w:rsid w:val="00F1763D"/>
    <w:rsid w:val="00F17A8C"/>
    <w:rsid w:val="00F20236"/>
    <w:rsid w:val="00F2059E"/>
    <w:rsid w:val="00F20D2B"/>
    <w:rsid w:val="00F21553"/>
    <w:rsid w:val="00F2328B"/>
    <w:rsid w:val="00F24327"/>
    <w:rsid w:val="00F24779"/>
    <w:rsid w:val="00F247A1"/>
    <w:rsid w:val="00F24C29"/>
    <w:rsid w:val="00F253CC"/>
    <w:rsid w:val="00F25C31"/>
    <w:rsid w:val="00F267BE"/>
    <w:rsid w:val="00F2727A"/>
    <w:rsid w:val="00F27458"/>
    <w:rsid w:val="00F277DB"/>
    <w:rsid w:val="00F27956"/>
    <w:rsid w:val="00F27CD8"/>
    <w:rsid w:val="00F27D9B"/>
    <w:rsid w:val="00F31814"/>
    <w:rsid w:val="00F327A6"/>
    <w:rsid w:val="00F329FA"/>
    <w:rsid w:val="00F33B7A"/>
    <w:rsid w:val="00F34265"/>
    <w:rsid w:val="00F35C2A"/>
    <w:rsid w:val="00F35E2A"/>
    <w:rsid w:val="00F360CB"/>
    <w:rsid w:val="00F36D40"/>
    <w:rsid w:val="00F36F27"/>
    <w:rsid w:val="00F37481"/>
    <w:rsid w:val="00F37F99"/>
    <w:rsid w:val="00F40799"/>
    <w:rsid w:val="00F40B92"/>
    <w:rsid w:val="00F40EFE"/>
    <w:rsid w:val="00F41332"/>
    <w:rsid w:val="00F427E6"/>
    <w:rsid w:val="00F4339E"/>
    <w:rsid w:val="00F434F9"/>
    <w:rsid w:val="00F438CD"/>
    <w:rsid w:val="00F441B9"/>
    <w:rsid w:val="00F44D34"/>
    <w:rsid w:val="00F4506C"/>
    <w:rsid w:val="00F45EBF"/>
    <w:rsid w:val="00F46498"/>
    <w:rsid w:val="00F503B5"/>
    <w:rsid w:val="00F545AC"/>
    <w:rsid w:val="00F5497B"/>
    <w:rsid w:val="00F55507"/>
    <w:rsid w:val="00F55F3B"/>
    <w:rsid w:val="00F5648C"/>
    <w:rsid w:val="00F5694D"/>
    <w:rsid w:val="00F56A40"/>
    <w:rsid w:val="00F56BA5"/>
    <w:rsid w:val="00F56BE1"/>
    <w:rsid w:val="00F56D59"/>
    <w:rsid w:val="00F57538"/>
    <w:rsid w:val="00F6022A"/>
    <w:rsid w:val="00F60E01"/>
    <w:rsid w:val="00F61379"/>
    <w:rsid w:val="00F6160F"/>
    <w:rsid w:val="00F619D7"/>
    <w:rsid w:val="00F61BE4"/>
    <w:rsid w:val="00F61F86"/>
    <w:rsid w:val="00F6255A"/>
    <w:rsid w:val="00F62565"/>
    <w:rsid w:val="00F62C42"/>
    <w:rsid w:val="00F637BF"/>
    <w:rsid w:val="00F644E6"/>
    <w:rsid w:val="00F64DFC"/>
    <w:rsid w:val="00F6589A"/>
    <w:rsid w:val="00F66BDC"/>
    <w:rsid w:val="00F67560"/>
    <w:rsid w:val="00F71044"/>
    <w:rsid w:val="00F71270"/>
    <w:rsid w:val="00F71643"/>
    <w:rsid w:val="00F71F53"/>
    <w:rsid w:val="00F724DC"/>
    <w:rsid w:val="00F724E2"/>
    <w:rsid w:val="00F725D1"/>
    <w:rsid w:val="00F72B83"/>
    <w:rsid w:val="00F737D9"/>
    <w:rsid w:val="00F7392C"/>
    <w:rsid w:val="00F746CA"/>
    <w:rsid w:val="00F74B0B"/>
    <w:rsid w:val="00F756AB"/>
    <w:rsid w:val="00F769C7"/>
    <w:rsid w:val="00F77995"/>
    <w:rsid w:val="00F77BFA"/>
    <w:rsid w:val="00F80E10"/>
    <w:rsid w:val="00F815AA"/>
    <w:rsid w:val="00F820EF"/>
    <w:rsid w:val="00F82683"/>
    <w:rsid w:val="00F857F6"/>
    <w:rsid w:val="00F85B96"/>
    <w:rsid w:val="00F8614C"/>
    <w:rsid w:val="00F862D3"/>
    <w:rsid w:val="00F87360"/>
    <w:rsid w:val="00F87482"/>
    <w:rsid w:val="00F87A9A"/>
    <w:rsid w:val="00F90CE7"/>
    <w:rsid w:val="00F916AC"/>
    <w:rsid w:val="00F91952"/>
    <w:rsid w:val="00F92CA1"/>
    <w:rsid w:val="00F9374C"/>
    <w:rsid w:val="00F93826"/>
    <w:rsid w:val="00F962A1"/>
    <w:rsid w:val="00F9653B"/>
    <w:rsid w:val="00F975E5"/>
    <w:rsid w:val="00F97B89"/>
    <w:rsid w:val="00F97D53"/>
    <w:rsid w:val="00FA0461"/>
    <w:rsid w:val="00FA081A"/>
    <w:rsid w:val="00FA1759"/>
    <w:rsid w:val="00FA1ADA"/>
    <w:rsid w:val="00FA1EBC"/>
    <w:rsid w:val="00FA2245"/>
    <w:rsid w:val="00FA2C02"/>
    <w:rsid w:val="00FA2C1D"/>
    <w:rsid w:val="00FA334B"/>
    <w:rsid w:val="00FA359A"/>
    <w:rsid w:val="00FA3BDF"/>
    <w:rsid w:val="00FA585D"/>
    <w:rsid w:val="00FA63CD"/>
    <w:rsid w:val="00FA6E7D"/>
    <w:rsid w:val="00FA765D"/>
    <w:rsid w:val="00FA7982"/>
    <w:rsid w:val="00FA79AA"/>
    <w:rsid w:val="00FA7B8F"/>
    <w:rsid w:val="00FA7CCD"/>
    <w:rsid w:val="00FB0F94"/>
    <w:rsid w:val="00FB101D"/>
    <w:rsid w:val="00FB1842"/>
    <w:rsid w:val="00FB1A16"/>
    <w:rsid w:val="00FB1A3C"/>
    <w:rsid w:val="00FB2597"/>
    <w:rsid w:val="00FB495F"/>
    <w:rsid w:val="00FB4CF3"/>
    <w:rsid w:val="00FB4EE9"/>
    <w:rsid w:val="00FB62CF"/>
    <w:rsid w:val="00FC0422"/>
    <w:rsid w:val="00FC052E"/>
    <w:rsid w:val="00FC084F"/>
    <w:rsid w:val="00FC1E3D"/>
    <w:rsid w:val="00FC27C2"/>
    <w:rsid w:val="00FC3262"/>
    <w:rsid w:val="00FC3283"/>
    <w:rsid w:val="00FC3EB4"/>
    <w:rsid w:val="00FC4F89"/>
    <w:rsid w:val="00FC544A"/>
    <w:rsid w:val="00FC6125"/>
    <w:rsid w:val="00FC6BEE"/>
    <w:rsid w:val="00FC6C58"/>
    <w:rsid w:val="00FC78B0"/>
    <w:rsid w:val="00FD19ED"/>
    <w:rsid w:val="00FD279F"/>
    <w:rsid w:val="00FD3BD1"/>
    <w:rsid w:val="00FD5518"/>
    <w:rsid w:val="00FD5B43"/>
    <w:rsid w:val="00FD635E"/>
    <w:rsid w:val="00FD71F0"/>
    <w:rsid w:val="00FD746F"/>
    <w:rsid w:val="00FD7F2D"/>
    <w:rsid w:val="00FE09CA"/>
    <w:rsid w:val="00FE144F"/>
    <w:rsid w:val="00FE157F"/>
    <w:rsid w:val="00FE1EAD"/>
    <w:rsid w:val="00FE21AB"/>
    <w:rsid w:val="00FE2AC2"/>
    <w:rsid w:val="00FE3879"/>
    <w:rsid w:val="00FE3CEC"/>
    <w:rsid w:val="00FE40DE"/>
    <w:rsid w:val="00FE6151"/>
    <w:rsid w:val="00FE64ED"/>
    <w:rsid w:val="00FE6B45"/>
    <w:rsid w:val="00FE6B58"/>
    <w:rsid w:val="00FE6EBC"/>
    <w:rsid w:val="00FF05BC"/>
    <w:rsid w:val="00FF1B5F"/>
    <w:rsid w:val="00FF1C1C"/>
    <w:rsid w:val="00FF1F76"/>
    <w:rsid w:val="00FF379A"/>
    <w:rsid w:val="00FF3FB7"/>
    <w:rsid w:val="00FF4B22"/>
    <w:rsid w:val="00FF5368"/>
    <w:rsid w:val="00FF5724"/>
    <w:rsid w:val="00FF572B"/>
    <w:rsid w:val="00FF5851"/>
    <w:rsid w:val="00FF79D2"/>
    <w:rsid w:val="00FF7B79"/>
    <w:rsid w:val="00FF7FC6"/>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6E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B54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541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
    <w:link w:val="ListParagraphChar"/>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864785"/>
    <w:pPr>
      <w:tabs>
        <w:tab w:val="left" w:pos="1440"/>
        <w:tab w:val="right" w:leader="dot" w:pos="9350"/>
      </w:tabs>
      <w:spacing w:after="100"/>
      <w:ind w:left="1440" w:hanging="360"/>
    </w:pPr>
  </w:style>
  <w:style w:type="paragraph" w:styleId="TOC1">
    <w:name w:val="toc 1"/>
    <w:basedOn w:val="Normal"/>
    <w:next w:val="Normal"/>
    <w:autoRedefine/>
    <w:uiPriority w:val="39"/>
    <w:unhideWhenUsed/>
    <w:rsid w:val="00BF2939"/>
    <w:pPr>
      <w:tabs>
        <w:tab w:val="left" w:pos="1440"/>
        <w:tab w:val="right" w:leader="dot" w:pos="9350"/>
      </w:tabs>
      <w:spacing w:after="100"/>
      <w:ind w:left="720"/>
    </w:pPr>
    <w:rPr>
      <w:rFonts w:asciiTheme="majorHAnsi" w:hAnsiTheme="majorHAnsi"/>
      <w:noProof/>
      <w:sz w:val="20"/>
      <w:szCs w:val="20"/>
      <w:lang w:val="es-ES_tradnl"/>
    </w:rPr>
  </w:style>
  <w:style w:type="paragraph" w:styleId="TOC3">
    <w:name w:val="toc 3"/>
    <w:basedOn w:val="Normal"/>
    <w:next w:val="Normal"/>
    <w:autoRedefine/>
    <w:uiPriority w:val="39"/>
    <w:unhideWhenUsed/>
    <w:rsid w:val="00864785"/>
    <w:pPr>
      <w:tabs>
        <w:tab w:val="left" w:pos="880"/>
        <w:tab w:val="left" w:pos="180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link w:val="FootnotesrefssChar1Ch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036A8A"/>
    <w:rPr>
      <w:rFonts w:ascii="Calibri" w:eastAsia="Calibri" w:hAnsi="Calibri" w:cs="Calibri"/>
      <w:color w:val="000000"/>
      <w:u w:color="000000"/>
      <w:lang w:val="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F45EB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
    <w:link w:val="ListParagraph"/>
    <w:uiPriority w:val="99"/>
    <w:locked/>
    <w:rsid w:val="00F45EBF"/>
    <w:rPr>
      <w:rFonts w:ascii="Cambria" w:eastAsia="Cambria" w:hAnsi="Cambria" w:cs="Cambria"/>
      <w:color w:val="000000"/>
      <w:sz w:val="24"/>
      <w:szCs w:val="24"/>
      <w:u w:color="000000"/>
      <w:lang w:val="en-US"/>
    </w:rPr>
  </w:style>
  <w:style w:type="paragraph" w:customStyle="1" w:styleId="indent">
    <w:name w:val="indent"/>
    <w:basedOn w:val="Normal"/>
    <w:rsid w:val="00D874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um">
    <w:name w:val="num"/>
    <w:basedOn w:val="DefaultParagraphFont"/>
    <w:rsid w:val="00D87416"/>
  </w:style>
  <w:style w:type="paragraph" w:styleId="NormalWeb">
    <w:name w:val="Normal (Web)"/>
    <w:basedOn w:val="Normal"/>
    <w:uiPriority w:val="99"/>
    <w:unhideWhenUsed/>
    <w:rsid w:val="0050753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tyle1Char">
    <w:name w:val="Style1 Char"/>
    <w:link w:val="Style1"/>
    <w:locked/>
    <w:rsid w:val="007D2FEE"/>
    <w:rPr>
      <w:rFonts w:ascii="Cambria" w:eastAsia="Times New Roman" w:hAnsi="Cambria"/>
      <w:b/>
      <w:bCs/>
      <w:bdr w:val="none" w:sz="0" w:space="0" w:color="auto" w:frame="1"/>
      <w:lang w:val="es-ES_tradnl" w:eastAsia="en-US"/>
    </w:rPr>
  </w:style>
  <w:style w:type="paragraph" w:customStyle="1" w:styleId="Style1">
    <w:name w:val="Style1"/>
    <w:basedOn w:val="Normal"/>
    <w:link w:val="Style1Char"/>
    <w:qFormat/>
    <w:rsid w:val="007D2FE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Cambria" w:eastAsia="Times New Roman" w:hAnsi="Cambria"/>
      <w:b/>
      <w:bCs/>
      <w:sz w:val="20"/>
      <w:szCs w:val="20"/>
      <w:bdr w:val="none" w:sz="0" w:space="0" w:color="auto" w:frame="1"/>
      <w:lang w:val="es-ES_tradnl"/>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9D15C7"/>
    <w:rPr>
      <w:rFonts w:ascii="Calibri" w:hAnsi="Calibri"/>
      <w:color w:val="000000"/>
      <w:u w:color="000000"/>
    </w:rPr>
  </w:style>
  <w:style w:type="paragraph" w:customStyle="1" w:styleId="Footnotes">
    <w:name w:val="Footnotes"/>
    <w:basedOn w:val="FootnoteText"/>
    <w:qFormat/>
    <w:rsid w:val="000332F4"/>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pPr>
    <w:rPr>
      <w:rFonts w:ascii="Cambria" w:hAnsi="Cambria" w:cs="Times New Roman"/>
      <w:color w:val="auto"/>
      <w:sz w:val="18"/>
      <w:szCs w:val="18"/>
      <w:bdr w:val="none" w:sz="0" w:space="0" w:color="auto"/>
      <w:lang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1937A5"/>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Theme="minorHAnsi" w:eastAsiaTheme="minorEastAsia" w:hAnsiTheme="minorHAnsi" w:cstheme="minorBidi"/>
      <w:bdr w:val="none" w:sz="0" w:space="0" w:color="auto"/>
      <w:vertAlign w:val="superscript"/>
      <w:lang w:val="es-ES_tradnl" w:eastAsia="es-ES"/>
    </w:rPr>
  </w:style>
  <w:style w:type="character" w:customStyle="1" w:styleId="apple-converted-space">
    <w:name w:val="apple-converted-space"/>
    <w:rsid w:val="007607EC"/>
  </w:style>
  <w:style w:type="character" w:customStyle="1" w:styleId="apple-style-span">
    <w:name w:val="apple-style-span"/>
    <w:basedOn w:val="DefaultParagraphFont"/>
    <w:uiPriority w:val="99"/>
    <w:rsid w:val="00095575"/>
    <w:rPr>
      <w:rFonts w:cs="Times New Roman"/>
    </w:rPr>
  </w:style>
  <w:style w:type="character" w:customStyle="1" w:styleId="Heading2Char">
    <w:name w:val="Heading 2 Char"/>
    <w:basedOn w:val="DefaultParagraphFont"/>
    <w:link w:val="Heading2"/>
    <w:rsid w:val="009B541A"/>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9B541A"/>
    <w:rPr>
      <w:rFonts w:asciiTheme="majorHAnsi" w:eastAsiaTheme="majorEastAsia" w:hAnsiTheme="majorHAnsi" w:cstheme="majorBidi"/>
      <w:b/>
      <w:bCs/>
      <w:color w:val="4F81BD" w:themeColor="accent1"/>
      <w:sz w:val="24"/>
      <w:szCs w:val="24"/>
      <w:lang w:val="en-US" w:eastAsia="en-US"/>
    </w:rPr>
  </w:style>
  <w:style w:type="paragraph" w:customStyle="1" w:styleId="Default">
    <w:name w:val="Default"/>
    <w:rsid w:val="009B541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sz w:val="24"/>
      <w:szCs w:val="24"/>
      <w:bdr w:val="none" w:sz="0" w:space="0" w:color="auto"/>
      <w:lang w:val="en-GB" w:eastAsia="en-US"/>
    </w:rPr>
  </w:style>
  <w:style w:type="character" w:customStyle="1" w:styleId="sb8d990e2">
    <w:name w:val="sb8d990e2"/>
    <w:rsid w:val="00E43C54"/>
  </w:style>
  <w:style w:type="numbering" w:styleId="111111">
    <w:name w:val="Outline List 2"/>
    <w:basedOn w:val="NoList"/>
    <w:uiPriority w:val="99"/>
    <w:semiHidden/>
    <w:unhideWhenUsed/>
    <w:rsid w:val="00ED56AB"/>
    <w:pPr>
      <w:numPr>
        <w:numId w:val="55"/>
      </w:numPr>
    </w:pPr>
  </w:style>
  <w:style w:type="character" w:styleId="CommentReference">
    <w:name w:val="annotation reference"/>
    <w:basedOn w:val="DefaultParagraphFont"/>
    <w:uiPriority w:val="99"/>
    <w:semiHidden/>
    <w:unhideWhenUsed/>
    <w:rsid w:val="00EA6A6E"/>
    <w:rPr>
      <w:sz w:val="16"/>
      <w:szCs w:val="16"/>
    </w:rPr>
  </w:style>
  <w:style w:type="paragraph" w:styleId="CommentText">
    <w:name w:val="annotation text"/>
    <w:basedOn w:val="Normal"/>
    <w:link w:val="CommentTextChar"/>
    <w:uiPriority w:val="99"/>
    <w:semiHidden/>
    <w:unhideWhenUsed/>
    <w:rsid w:val="00EA6A6E"/>
    <w:rPr>
      <w:sz w:val="20"/>
      <w:szCs w:val="20"/>
    </w:rPr>
  </w:style>
  <w:style w:type="character" w:customStyle="1" w:styleId="CommentTextChar">
    <w:name w:val="Comment Text Char"/>
    <w:basedOn w:val="DefaultParagraphFont"/>
    <w:link w:val="CommentText"/>
    <w:uiPriority w:val="99"/>
    <w:semiHidden/>
    <w:rsid w:val="00EA6A6E"/>
    <w:rPr>
      <w:lang w:val="en-US" w:eastAsia="en-US"/>
    </w:rPr>
  </w:style>
  <w:style w:type="paragraph" w:styleId="CommentSubject">
    <w:name w:val="annotation subject"/>
    <w:basedOn w:val="CommentText"/>
    <w:next w:val="CommentText"/>
    <w:link w:val="CommentSubjectChar"/>
    <w:uiPriority w:val="99"/>
    <w:semiHidden/>
    <w:unhideWhenUsed/>
    <w:rsid w:val="00EA6A6E"/>
    <w:rPr>
      <w:b/>
      <w:bCs/>
    </w:rPr>
  </w:style>
  <w:style w:type="character" w:customStyle="1" w:styleId="CommentSubjectChar">
    <w:name w:val="Comment Subject Char"/>
    <w:basedOn w:val="CommentTextChar"/>
    <w:link w:val="CommentSubject"/>
    <w:uiPriority w:val="99"/>
    <w:semiHidden/>
    <w:rsid w:val="00EA6A6E"/>
    <w:rPr>
      <w:b/>
      <w:bCs/>
      <w:lang w:val="en-US" w:eastAsia="en-US"/>
    </w:rPr>
  </w:style>
  <w:style w:type="paragraph" w:styleId="Revision">
    <w:name w:val="Revision"/>
    <w:hidden/>
    <w:uiPriority w:val="99"/>
    <w:semiHidden/>
    <w:rsid w:val="006C181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Strong">
    <w:name w:val="Strong"/>
    <w:basedOn w:val="DefaultParagraphFont"/>
    <w:uiPriority w:val="22"/>
    <w:qFormat/>
    <w:rsid w:val="006A538E"/>
    <w:rPr>
      <w:b/>
      <w:bCs/>
    </w:rPr>
  </w:style>
  <w:style w:type="paragraph" w:customStyle="1" w:styleId="1">
    <w:name w:val="1"/>
    <w:basedOn w:val="Normal"/>
    <w:rsid w:val="00A00EE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 w:type="paragraph" w:styleId="BodyText3">
    <w:name w:val="Body Text 3"/>
    <w:basedOn w:val="Normal"/>
    <w:link w:val="BodyText3Char"/>
    <w:uiPriority w:val="99"/>
    <w:unhideWhenUsed/>
    <w:rsid w:val="00A00EED"/>
    <w:pPr>
      <w:spacing w:after="120"/>
    </w:pPr>
    <w:rPr>
      <w:sz w:val="16"/>
      <w:szCs w:val="16"/>
    </w:rPr>
  </w:style>
  <w:style w:type="character" w:customStyle="1" w:styleId="BodyText3Char">
    <w:name w:val="Body Text 3 Char"/>
    <w:basedOn w:val="DefaultParagraphFont"/>
    <w:link w:val="BodyText3"/>
    <w:uiPriority w:val="99"/>
    <w:rsid w:val="00A00EED"/>
    <w:rPr>
      <w:sz w:val="16"/>
      <w:szCs w:val="16"/>
      <w:lang w:val="en-US" w:eastAsia="en-US"/>
    </w:rPr>
  </w:style>
  <w:style w:type="character" w:styleId="FollowedHyperlink">
    <w:name w:val="FollowedHyperlink"/>
    <w:basedOn w:val="DefaultParagraphFont"/>
    <w:uiPriority w:val="99"/>
    <w:semiHidden/>
    <w:unhideWhenUsed/>
    <w:rsid w:val="007571F8"/>
    <w:rPr>
      <w:color w:val="800080" w:themeColor="followedHyperlink"/>
      <w:u w:val="single"/>
    </w:rPr>
  </w:style>
  <w:style w:type="paragraph" w:styleId="TOCHeading">
    <w:name w:val="TOC Heading"/>
    <w:basedOn w:val="Heading1"/>
    <w:next w:val="Normal"/>
    <w:uiPriority w:val="39"/>
    <w:semiHidden/>
    <w:unhideWhenUsed/>
    <w:qFormat/>
    <w:rsid w:val="0090268A"/>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 w:type="paragraph" w:styleId="NoSpacing">
    <w:name w:val="No Spacing"/>
    <w:uiPriority w:val="1"/>
    <w:qFormat/>
    <w:rsid w:val="0070405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690EA0"/>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HAnsi" w:hAnsiTheme="minorHAnsi" w:cstheme="minorBidi"/>
      <w:bdr w:val="none" w:sz="0" w:space="0" w:color="auto"/>
      <w:vertAlign w:val="superscrip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91028">
      <w:bodyDiv w:val="1"/>
      <w:marLeft w:val="0"/>
      <w:marRight w:val="0"/>
      <w:marTop w:val="0"/>
      <w:marBottom w:val="0"/>
      <w:divBdr>
        <w:top w:val="none" w:sz="0" w:space="0" w:color="auto"/>
        <w:left w:val="none" w:sz="0" w:space="0" w:color="auto"/>
        <w:bottom w:val="none" w:sz="0" w:space="0" w:color="auto"/>
        <w:right w:val="none" w:sz="0" w:space="0" w:color="auto"/>
      </w:divBdr>
      <w:divsChild>
        <w:div w:id="1435400067">
          <w:marLeft w:val="0"/>
          <w:marRight w:val="0"/>
          <w:marTop w:val="0"/>
          <w:marBottom w:val="0"/>
          <w:divBdr>
            <w:top w:val="none" w:sz="0" w:space="0" w:color="auto"/>
            <w:left w:val="none" w:sz="0" w:space="0" w:color="auto"/>
            <w:bottom w:val="none" w:sz="0" w:space="0" w:color="auto"/>
            <w:right w:val="none" w:sz="0" w:space="0" w:color="auto"/>
          </w:divBdr>
          <w:divsChild>
            <w:div w:id="189152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31155">
      <w:bodyDiv w:val="1"/>
      <w:marLeft w:val="0"/>
      <w:marRight w:val="0"/>
      <w:marTop w:val="0"/>
      <w:marBottom w:val="0"/>
      <w:divBdr>
        <w:top w:val="none" w:sz="0" w:space="0" w:color="auto"/>
        <w:left w:val="none" w:sz="0" w:space="0" w:color="auto"/>
        <w:bottom w:val="none" w:sz="0" w:space="0" w:color="auto"/>
        <w:right w:val="none" w:sz="0" w:space="0" w:color="auto"/>
      </w:divBdr>
    </w:div>
    <w:div w:id="761800827">
      <w:bodyDiv w:val="1"/>
      <w:marLeft w:val="0"/>
      <w:marRight w:val="0"/>
      <w:marTop w:val="0"/>
      <w:marBottom w:val="0"/>
      <w:divBdr>
        <w:top w:val="none" w:sz="0" w:space="0" w:color="auto"/>
        <w:left w:val="none" w:sz="0" w:space="0" w:color="auto"/>
        <w:bottom w:val="none" w:sz="0" w:space="0" w:color="auto"/>
        <w:right w:val="none" w:sz="0" w:space="0" w:color="auto"/>
      </w:divBdr>
    </w:div>
    <w:div w:id="790439445">
      <w:bodyDiv w:val="1"/>
      <w:marLeft w:val="0"/>
      <w:marRight w:val="0"/>
      <w:marTop w:val="0"/>
      <w:marBottom w:val="0"/>
      <w:divBdr>
        <w:top w:val="none" w:sz="0" w:space="0" w:color="auto"/>
        <w:left w:val="none" w:sz="0" w:space="0" w:color="auto"/>
        <w:bottom w:val="none" w:sz="0" w:space="0" w:color="auto"/>
        <w:right w:val="none" w:sz="0" w:space="0" w:color="auto"/>
      </w:divBdr>
    </w:div>
    <w:div w:id="1002781278">
      <w:bodyDiv w:val="1"/>
      <w:marLeft w:val="0"/>
      <w:marRight w:val="0"/>
      <w:marTop w:val="0"/>
      <w:marBottom w:val="0"/>
      <w:divBdr>
        <w:top w:val="none" w:sz="0" w:space="0" w:color="auto"/>
        <w:left w:val="none" w:sz="0" w:space="0" w:color="auto"/>
        <w:bottom w:val="none" w:sz="0" w:space="0" w:color="auto"/>
        <w:right w:val="none" w:sz="0" w:space="0" w:color="auto"/>
      </w:divBdr>
    </w:div>
    <w:div w:id="1007027173">
      <w:bodyDiv w:val="1"/>
      <w:marLeft w:val="0"/>
      <w:marRight w:val="0"/>
      <w:marTop w:val="0"/>
      <w:marBottom w:val="0"/>
      <w:divBdr>
        <w:top w:val="none" w:sz="0" w:space="0" w:color="auto"/>
        <w:left w:val="none" w:sz="0" w:space="0" w:color="auto"/>
        <w:bottom w:val="none" w:sz="0" w:space="0" w:color="auto"/>
        <w:right w:val="none" w:sz="0" w:space="0" w:color="auto"/>
      </w:divBdr>
    </w:div>
    <w:div w:id="1017468732">
      <w:bodyDiv w:val="1"/>
      <w:marLeft w:val="0"/>
      <w:marRight w:val="0"/>
      <w:marTop w:val="0"/>
      <w:marBottom w:val="0"/>
      <w:divBdr>
        <w:top w:val="none" w:sz="0" w:space="0" w:color="auto"/>
        <w:left w:val="none" w:sz="0" w:space="0" w:color="auto"/>
        <w:bottom w:val="none" w:sz="0" w:space="0" w:color="auto"/>
        <w:right w:val="none" w:sz="0" w:space="0" w:color="auto"/>
      </w:divBdr>
    </w:div>
    <w:div w:id="1055667373">
      <w:bodyDiv w:val="1"/>
      <w:marLeft w:val="0"/>
      <w:marRight w:val="0"/>
      <w:marTop w:val="0"/>
      <w:marBottom w:val="0"/>
      <w:divBdr>
        <w:top w:val="none" w:sz="0" w:space="0" w:color="auto"/>
        <w:left w:val="none" w:sz="0" w:space="0" w:color="auto"/>
        <w:bottom w:val="none" w:sz="0" w:space="0" w:color="auto"/>
        <w:right w:val="none" w:sz="0" w:space="0" w:color="auto"/>
      </w:divBdr>
    </w:div>
    <w:div w:id="1172794881">
      <w:bodyDiv w:val="1"/>
      <w:marLeft w:val="0"/>
      <w:marRight w:val="0"/>
      <w:marTop w:val="0"/>
      <w:marBottom w:val="0"/>
      <w:divBdr>
        <w:top w:val="none" w:sz="0" w:space="0" w:color="auto"/>
        <w:left w:val="none" w:sz="0" w:space="0" w:color="auto"/>
        <w:bottom w:val="none" w:sz="0" w:space="0" w:color="auto"/>
        <w:right w:val="none" w:sz="0" w:space="0" w:color="auto"/>
      </w:divBdr>
      <w:divsChild>
        <w:div w:id="1611014222">
          <w:marLeft w:val="0"/>
          <w:marRight w:val="0"/>
          <w:marTop w:val="0"/>
          <w:marBottom w:val="0"/>
          <w:divBdr>
            <w:top w:val="none" w:sz="0" w:space="0" w:color="auto"/>
            <w:left w:val="none" w:sz="0" w:space="0" w:color="auto"/>
            <w:bottom w:val="none" w:sz="0" w:space="0" w:color="auto"/>
            <w:right w:val="none" w:sz="0" w:space="0" w:color="auto"/>
          </w:divBdr>
        </w:div>
        <w:div w:id="1793983833">
          <w:marLeft w:val="0"/>
          <w:marRight w:val="0"/>
          <w:marTop w:val="0"/>
          <w:marBottom w:val="0"/>
          <w:divBdr>
            <w:top w:val="none" w:sz="0" w:space="0" w:color="auto"/>
            <w:left w:val="none" w:sz="0" w:space="0" w:color="auto"/>
            <w:bottom w:val="none" w:sz="0" w:space="0" w:color="auto"/>
            <w:right w:val="none" w:sz="0" w:space="0" w:color="auto"/>
          </w:divBdr>
        </w:div>
        <w:div w:id="806245953">
          <w:marLeft w:val="0"/>
          <w:marRight w:val="0"/>
          <w:marTop w:val="0"/>
          <w:marBottom w:val="0"/>
          <w:divBdr>
            <w:top w:val="none" w:sz="0" w:space="0" w:color="auto"/>
            <w:left w:val="none" w:sz="0" w:space="0" w:color="auto"/>
            <w:bottom w:val="none" w:sz="0" w:space="0" w:color="auto"/>
            <w:right w:val="none" w:sz="0" w:space="0" w:color="auto"/>
          </w:divBdr>
        </w:div>
        <w:div w:id="526989778">
          <w:marLeft w:val="0"/>
          <w:marRight w:val="0"/>
          <w:marTop w:val="0"/>
          <w:marBottom w:val="0"/>
          <w:divBdr>
            <w:top w:val="none" w:sz="0" w:space="0" w:color="auto"/>
            <w:left w:val="none" w:sz="0" w:space="0" w:color="auto"/>
            <w:bottom w:val="none" w:sz="0" w:space="0" w:color="auto"/>
            <w:right w:val="none" w:sz="0" w:space="0" w:color="auto"/>
          </w:divBdr>
        </w:div>
      </w:divsChild>
    </w:div>
    <w:div w:id="1328364628">
      <w:bodyDiv w:val="1"/>
      <w:marLeft w:val="0"/>
      <w:marRight w:val="0"/>
      <w:marTop w:val="0"/>
      <w:marBottom w:val="0"/>
      <w:divBdr>
        <w:top w:val="none" w:sz="0" w:space="0" w:color="auto"/>
        <w:left w:val="none" w:sz="0" w:space="0" w:color="auto"/>
        <w:bottom w:val="none" w:sz="0" w:space="0" w:color="auto"/>
        <w:right w:val="none" w:sz="0" w:space="0" w:color="auto"/>
      </w:divBdr>
      <w:divsChild>
        <w:div w:id="312678694">
          <w:marLeft w:val="0"/>
          <w:marRight w:val="0"/>
          <w:marTop w:val="0"/>
          <w:marBottom w:val="0"/>
          <w:divBdr>
            <w:top w:val="none" w:sz="0" w:space="0" w:color="auto"/>
            <w:left w:val="none" w:sz="0" w:space="0" w:color="auto"/>
            <w:bottom w:val="none" w:sz="0" w:space="0" w:color="auto"/>
            <w:right w:val="none" w:sz="0" w:space="0" w:color="auto"/>
          </w:divBdr>
          <w:divsChild>
            <w:div w:id="94630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653825">
      <w:bodyDiv w:val="1"/>
      <w:marLeft w:val="0"/>
      <w:marRight w:val="0"/>
      <w:marTop w:val="0"/>
      <w:marBottom w:val="0"/>
      <w:divBdr>
        <w:top w:val="none" w:sz="0" w:space="0" w:color="auto"/>
        <w:left w:val="none" w:sz="0" w:space="0" w:color="auto"/>
        <w:bottom w:val="none" w:sz="0" w:space="0" w:color="auto"/>
        <w:right w:val="none" w:sz="0" w:space="0" w:color="auto"/>
      </w:divBdr>
    </w:div>
    <w:div w:id="164635192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0003743">
      <w:bodyDiv w:val="1"/>
      <w:marLeft w:val="0"/>
      <w:marRight w:val="0"/>
      <w:marTop w:val="0"/>
      <w:marBottom w:val="0"/>
      <w:divBdr>
        <w:top w:val="none" w:sz="0" w:space="0" w:color="auto"/>
        <w:left w:val="none" w:sz="0" w:space="0" w:color="auto"/>
        <w:bottom w:val="none" w:sz="0" w:space="0" w:color="auto"/>
        <w:right w:val="none" w:sz="0" w:space="0" w:color="auto"/>
      </w:divBdr>
      <w:divsChild>
        <w:div w:id="767655073">
          <w:marLeft w:val="0"/>
          <w:marRight w:val="0"/>
          <w:marTop w:val="0"/>
          <w:marBottom w:val="0"/>
          <w:divBdr>
            <w:top w:val="none" w:sz="0" w:space="0" w:color="auto"/>
            <w:left w:val="none" w:sz="0" w:space="0" w:color="auto"/>
            <w:bottom w:val="none" w:sz="0" w:space="0" w:color="auto"/>
            <w:right w:val="none" w:sz="0" w:space="0" w:color="auto"/>
          </w:divBdr>
        </w:div>
        <w:div w:id="1626814703">
          <w:marLeft w:val="0"/>
          <w:marRight w:val="0"/>
          <w:marTop w:val="0"/>
          <w:marBottom w:val="0"/>
          <w:divBdr>
            <w:top w:val="none" w:sz="0" w:space="0" w:color="auto"/>
            <w:left w:val="none" w:sz="0" w:space="0" w:color="auto"/>
            <w:bottom w:val="none" w:sz="0" w:space="0" w:color="auto"/>
            <w:right w:val="none" w:sz="0" w:space="0" w:color="auto"/>
          </w:divBdr>
        </w:div>
        <w:div w:id="1134443401">
          <w:marLeft w:val="0"/>
          <w:marRight w:val="0"/>
          <w:marTop w:val="0"/>
          <w:marBottom w:val="0"/>
          <w:divBdr>
            <w:top w:val="none" w:sz="0" w:space="0" w:color="auto"/>
            <w:left w:val="none" w:sz="0" w:space="0" w:color="auto"/>
            <w:bottom w:val="none" w:sz="0" w:space="0" w:color="auto"/>
            <w:right w:val="none" w:sz="0" w:space="0" w:color="auto"/>
          </w:divBdr>
        </w:div>
        <w:div w:id="228153966">
          <w:marLeft w:val="0"/>
          <w:marRight w:val="0"/>
          <w:marTop w:val="0"/>
          <w:marBottom w:val="0"/>
          <w:divBdr>
            <w:top w:val="none" w:sz="0" w:space="0" w:color="auto"/>
            <w:left w:val="none" w:sz="0" w:space="0" w:color="auto"/>
            <w:bottom w:val="none" w:sz="0" w:space="0" w:color="auto"/>
            <w:right w:val="none" w:sz="0" w:space="0" w:color="auto"/>
          </w:divBdr>
        </w:div>
        <w:div w:id="1658072371">
          <w:marLeft w:val="0"/>
          <w:marRight w:val="0"/>
          <w:marTop w:val="0"/>
          <w:marBottom w:val="0"/>
          <w:divBdr>
            <w:top w:val="none" w:sz="0" w:space="0" w:color="auto"/>
            <w:left w:val="none" w:sz="0" w:space="0" w:color="auto"/>
            <w:bottom w:val="none" w:sz="0" w:space="0" w:color="auto"/>
            <w:right w:val="none" w:sz="0" w:space="0" w:color="auto"/>
          </w:divBdr>
        </w:div>
        <w:div w:id="627473343">
          <w:marLeft w:val="0"/>
          <w:marRight w:val="0"/>
          <w:marTop w:val="0"/>
          <w:marBottom w:val="0"/>
          <w:divBdr>
            <w:top w:val="none" w:sz="0" w:space="0" w:color="auto"/>
            <w:left w:val="none" w:sz="0" w:space="0" w:color="auto"/>
            <w:bottom w:val="none" w:sz="0" w:space="0" w:color="auto"/>
            <w:right w:val="none" w:sz="0" w:space="0" w:color="auto"/>
          </w:divBdr>
        </w:div>
      </w:divsChild>
    </w:div>
    <w:div w:id="2075160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ervicios.infoleg.gob.ar/infolegInternet/anexos/70000-74999/73268/norma.htm" TargetMode="External"/><Relationship Id="rId1" Type="http://schemas.openxmlformats.org/officeDocument/2006/relationships/hyperlink" Target="http://www.enre.gov.ar/web/bibliotd.nsf/($IDWeb)/B5D5A4228BEECF900325675F0053C22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E65F1-662C-4A43-B0D9-B586F8A97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7995</Words>
  <Characters>42480</Characters>
  <Application>Microsoft Office Word</Application>
  <DocSecurity>0</DocSecurity>
  <Lines>745</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460/21</dc:title>
  <dc:creator/>
  <cp:lastModifiedBy/>
  <cp:revision>1</cp:revision>
  <dcterms:created xsi:type="dcterms:W3CDTF">2022-04-04T14:16:00Z</dcterms:created>
  <dcterms:modified xsi:type="dcterms:W3CDTF">2022-04-04T14:17:00Z</dcterms:modified>
</cp:coreProperties>
</file>