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C44D" w14:textId="77777777" w:rsidR="00040C3A" w:rsidRPr="00C649E1" w:rsidRDefault="006311DA" w:rsidP="001E4D7D">
      <w:pPr>
        <w:jc w:val="both"/>
        <w:rPr>
          <w:rFonts w:asciiTheme="majorHAnsi" w:hAnsiTheme="majorHAnsi" w:cs="Univers"/>
          <w:b/>
          <w:bCs/>
          <w:sz w:val="20"/>
          <w:szCs w:val="20"/>
          <w:lang w:val="es-ES_tradnl"/>
        </w:rPr>
      </w:pPr>
      <w:r w:rsidRPr="00C649E1">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571BA66F" wp14:editId="5ACCC31E">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87198"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C649E1">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7C664B15" wp14:editId="7B5B6820">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CD4829" w14:textId="77777777" w:rsidR="008419E0" w:rsidRDefault="008419E0">
                            <w:r>
                              <w:rPr>
                                <w:noProof/>
                              </w:rPr>
                              <w:drawing>
                                <wp:inline distT="0" distB="0" distL="0" distR="0" wp14:anchorId="5D17D043" wp14:editId="759D93DF">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664B15"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0CD4829" w14:textId="77777777" w:rsidR="008419E0" w:rsidRDefault="008419E0">
                      <w:r>
                        <w:rPr>
                          <w:noProof/>
                        </w:rPr>
                        <w:drawing>
                          <wp:inline distT="0" distB="0" distL="0" distR="0" wp14:anchorId="5D17D043" wp14:editId="759D93DF">
                            <wp:extent cx="2522763" cy="485775"/>
                            <wp:effectExtent l="0" t="0" r="0" b="0"/>
                            <wp:docPr id="6" name="Picture 6"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3E9AF6" w14:textId="77777777" w:rsidR="00040C3A" w:rsidRPr="00C649E1" w:rsidRDefault="00040C3A" w:rsidP="00040C3A">
      <w:pPr>
        <w:tabs>
          <w:tab w:val="center" w:pos="5400"/>
        </w:tabs>
        <w:suppressAutoHyphens/>
        <w:jc w:val="both"/>
        <w:rPr>
          <w:rFonts w:asciiTheme="majorHAnsi" w:hAnsiTheme="majorHAnsi"/>
          <w:sz w:val="20"/>
          <w:szCs w:val="20"/>
          <w:lang w:val="es-ES"/>
        </w:rPr>
      </w:pPr>
    </w:p>
    <w:p w14:paraId="5FCB92CD" w14:textId="77777777" w:rsidR="00040C3A" w:rsidRPr="00C649E1" w:rsidRDefault="00040C3A" w:rsidP="00040C3A">
      <w:pPr>
        <w:tabs>
          <w:tab w:val="center" w:pos="5400"/>
        </w:tabs>
        <w:suppressAutoHyphens/>
        <w:jc w:val="both"/>
        <w:rPr>
          <w:rFonts w:asciiTheme="majorHAnsi" w:hAnsiTheme="majorHAnsi"/>
          <w:sz w:val="20"/>
          <w:szCs w:val="20"/>
          <w:lang w:val="es-ES"/>
        </w:rPr>
      </w:pPr>
    </w:p>
    <w:p w14:paraId="1FCBAE99" w14:textId="77777777" w:rsidR="005128E4" w:rsidRPr="00C649E1" w:rsidRDefault="005128E4" w:rsidP="00040C3A">
      <w:pPr>
        <w:tabs>
          <w:tab w:val="center" w:pos="5400"/>
        </w:tabs>
        <w:suppressAutoHyphens/>
        <w:rPr>
          <w:rFonts w:asciiTheme="majorHAnsi" w:hAnsiTheme="majorHAnsi"/>
          <w:sz w:val="20"/>
          <w:szCs w:val="20"/>
          <w:lang w:val="es-ES_tradnl"/>
        </w:rPr>
      </w:pPr>
    </w:p>
    <w:p w14:paraId="63F5DB2D" w14:textId="77777777" w:rsidR="005128E4" w:rsidRPr="00C649E1" w:rsidRDefault="005128E4" w:rsidP="00040C3A">
      <w:pPr>
        <w:tabs>
          <w:tab w:val="center" w:pos="5400"/>
        </w:tabs>
        <w:suppressAutoHyphens/>
        <w:rPr>
          <w:rFonts w:asciiTheme="majorHAnsi" w:hAnsiTheme="majorHAnsi"/>
          <w:sz w:val="20"/>
          <w:szCs w:val="20"/>
          <w:lang w:val="es-ES_tradnl"/>
        </w:rPr>
      </w:pPr>
    </w:p>
    <w:p w14:paraId="69E64502" w14:textId="77777777" w:rsidR="005128E4" w:rsidRPr="00C649E1" w:rsidRDefault="005128E4" w:rsidP="00040C3A">
      <w:pPr>
        <w:tabs>
          <w:tab w:val="center" w:pos="5400"/>
        </w:tabs>
        <w:suppressAutoHyphens/>
        <w:rPr>
          <w:rFonts w:asciiTheme="majorHAnsi" w:hAnsiTheme="majorHAnsi"/>
          <w:sz w:val="20"/>
          <w:szCs w:val="20"/>
          <w:lang w:val="es-ES_tradnl"/>
        </w:rPr>
      </w:pPr>
    </w:p>
    <w:p w14:paraId="41F23AA3" w14:textId="77777777" w:rsidR="00040C3A" w:rsidRPr="00C649E1" w:rsidRDefault="00040C3A" w:rsidP="005128E4">
      <w:pPr>
        <w:tabs>
          <w:tab w:val="center" w:pos="5400"/>
        </w:tabs>
        <w:suppressAutoHyphens/>
        <w:jc w:val="center"/>
        <w:rPr>
          <w:rFonts w:asciiTheme="majorHAnsi" w:hAnsiTheme="majorHAnsi"/>
          <w:sz w:val="20"/>
          <w:szCs w:val="20"/>
          <w:lang w:val="es-ES_tradnl"/>
        </w:rPr>
      </w:pPr>
    </w:p>
    <w:p w14:paraId="04C0620D" w14:textId="77777777" w:rsidR="00040C3A" w:rsidRPr="00C649E1" w:rsidRDefault="00DA1520" w:rsidP="005128E4">
      <w:pPr>
        <w:tabs>
          <w:tab w:val="center" w:pos="5400"/>
        </w:tabs>
        <w:suppressAutoHyphens/>
        <w:jc w:val="center"/>
        <w:rPr>
          <w:rFonts w:asciiTheme="majorHAnsi" w:hAnsiTheme="majorHAnsi"/>
          <w:sz w:val="20"/>
          <w:szCs w:val="20"/>
          <w:lang w:val="es-ES_tradnl"/>
        </w:rPr>
      </w:pPr>
      <w:r w:rsidRPr="00C649E1">
        <w:rPr>
          <w:rFonts w:asciiTheme="majorHAnsi" w:hAnsiTheme="majorHAnsi"/>
          <w:noProof/>
          <w:sz w:val="20"/>
          <w:szCs w:val="20"/>
        </w:rPr>
        <mc:AlternateContent>
          <mc:Choice Requires="wps">
            <w:drawing>
              <wp:anchor distT="0" distB="0" distL="114300" distR="114300" simplePos="0" relativeHeight="251657216" behindDoc="0" locked="0" layoutInCell="1" allowOverlap="1" wp14:anchorId="7CB68B6F" wp14:editId="02100C40">
                <wp:simplePos x="0" y="0"/>
                <wp:positionH relativeFrom="column">
                  <wp:posOffset>1078173</wp:posOffset>
                </wp:positionH>
                <wp:positionV relativeFrom="paragraph">
                  <wp:posOffset>88947</wp:posOffset>
                </wp:positionV>
                <wp:extent cx="4333875" cy="3678072"/>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36780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44158A" w14:textId="77777777" w:rsidR="008419E0" w:rsidRDefault="008419E0" w:rsidP="004B7EB6">
                            <w:pPr>
                              <w:spacing w:line="276" w:lineRule="auto"/>
                              <w:rPr>
                                <w:rFonts w:asciiTheme="majorHAnsi" w:hAnsiTheme="majorHAnsi" w:cs="Arial"/>
                                <w:b/>
                                <w:bCs/>
                                <w:color w:val="0D0D0D" w:themeColor="text1" w:themeTint="F2"/>
                                <w:sz w:val="36"/>
                                <w:szCs w:val="40"/>
                              </w:rPr>
                            </w:pPr>
                          </w:p>
                          <w:p w14:paraId="23FB2693" w14:textId="77777777" w:rsidR="008419E0" w:rsidRDefault="008419E0" w:rsidP="004B7EB6">
                            <w:pPr>
                              <w:spacing w:line="276" w:lineRule="auto"/>
                              <w:rPr>
                                <w:rFonts w:asciiTheme="majorHAnsi" w:hAnsiTheme="majorHAnsi" w:cs="Arial"/>
                                <w:b/>
                                <w:bCs/>
                                <w:color w:val="0D0D0D" w:themeColor="text1" w:themeTint="F2"/>
                                <w:sz w:val="36"/>
                                <w:szCs w:val="40"/>
                              </w:rPr>
                            </w:pPr>
                          </w:p>
                          <w:p w14:paraId="7503AE44" w14:textId="77777777" w:rsidR="008419E0" w:rsidRDefault="008419E0" w:rsidP="004B7EB6">
                            <w:pPr>
                              <w:spacing w:line="276" w:lineRule="auto"/>
                              <w:rPr>
                                <w:rFonts w:asciiTheme="majorHAnsi" w:hAnsiTheme="majorHAnsi" w:cs="Arial"/>
                                <w:b/>
                                <w:bCs/>
                                <w:color w:val="0D0D0D" w:themeColor="text1" w:themeTint="F2"/>
                                <w:sz w:val="36"/>
                                <w:szCs w:val="40"/>
                              </w:rPr>
                            </w:pPr>
                          </w:p>
                          <w:p w14:paraId="294150E1" w14:textId="77777777" w:rsidR="008419E0" w:rsidRDefault="008419E0" w:rsidP="004B7EB6">
                            <w:pPr>
                              <w:spacing w:line="276" w:lineRule="auto"/>
                              <w:rPr>
                                <w:rFonts w:asciiTheme="majorHAnsi" w:hAnsiTheme="majorHAnsi" w:cs="Arial"/>
                                <w:b/>
                                <w:bCs/>
                                <w:color w:val="0D0D0D" w:themeColor="text1" w:themeTint="F2"/>
                                <w:sz w:val="36"/>
                                <w:szCs w:val="40"/>
                              </w:rPr>
                            </w:pPr>
                          </w:p>
                          <w:p w14:paraId="49C88A0D" w14:textId="77777777" w:rsidR="008419E0" w:rsidRPr="004B7EB6" w:rsidRDefault="008419E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210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2D64E50C" w14:textId="77777777" w:rsidR="008419E0" w:rsidRPr="004B7EB6" w:rsidRDefault="008419E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13.361</w:t>
                            </w:r>
                          </w:p>
                          <w:p w14:paraId="12B3CC69" w14:textId="77777777" w:rsidR="008419E0" w:rsidRDefault="008419E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r>
                              <w:rPr>
                                <w:rFonts w:asciiTheme="majorHAnsi" w:hAnsiTheme="majorHAnsi" w:cs="Arial"/>
                                <w:color w:val="0D0D0D" w:themeColor="text1" w:themeTint="F2"/>
                                <w:szCs w:val="22"/>
                              </w:rPr>
                              <w:t xml:space="preserve">AND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(PUBLICATION)</w:t>
                            </w:r>
                          </w:p>
                          <w:p w14:paraId="16B5A3D3" w14:textId="77777777" w:rsidR="008419E0" w:rsidRPr="004B7EB6" w:rsidRDefault="008419E0" w:rsidP="004B7EB6">
                            <w:pPr>
                              <w:spacing w:line="276" w:lineRule="auto"/>
                              <w:rPr>
                                <w:rFonts w:asciiTheme="majorHAnsi" w:hAnsiTheme="majorHAnsi" w:cs="Arial"/>
                                <w:color w:val="0D0D0D" w:themeColor="text1" w:themeTint="F2"/>
                                <w:szCs w:val="22"/>
                              </w:rPr>
                            </w:pPr>
                          </w:p>
                          <w:p w14:paraId="515A9AA9" w14:textId="77777777" w:rsidR="008419E0" w:rsidRPr="00444596" w:rsidRDefault="008419E0"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JULIUS OMAR ROBINSON</w:t>
                            </w:r>
                          </w:p>
                          <w:p w14:paraId="1BEC2A67" w14:textId="77777777" w:rsidR="008419E0" w:rsidRDefault="008419E0"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4E235F33" w14:textId="77777777" w:rsidR="008419E0" w:rsidRPr="00E57833" w:rsidRDefault="008419E0" w:rsidP="008D2EA5">
                            <w:pPr>
                              <w:spacing w:line="276" w:lineRule="auto"/>
                              <w:jc w:val="both"/>
                              <w:rPr>
                                <w:rFonts w:asciiTheme="majorHAnsi" w:hAnsiTheme="majorHAnsi"/>
                                <w:color w:val="0D0D0D" w:themeColor="text1" w:themeTint="F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68B6F" id="Text Box 5" o:spid="_x0000_s1027" type="#_x0000_t202" style="position:absolute;left:0;text-align:left;margin-left:84.9pt;margin-top:7pt;width:341.25pt;height:28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" filled="f" stroked="f" strokeweight=".5pt">
                <v:textbox>
                  <w:txbxContent>
                    <w:p w14:paraId="5944158A" w14:textId="77777777" w:rsidR="008419E0" w:rsidRDefault="008419E0" w:rsidP="004B7EB6">
                      <w:pPr>
                        <w:spacing w:line="276" w:lineRule="auto"/>
                        <w:rPr>
                          <w:rFonts w:asciiTheme="majorHAnsi" w:hAnsiTheme="majorHAnsi" w:cs="Arial"/>
                          <w:b/>
                          <w:bCs/>
                          <w:color w:val="0D0D0D" w:themeColor="text1" w:themeTint="F2"/>
                          <w:sz w:val="36"/>
                          <w:szCs w:val="40"/>
                        </w:rPr>
                      </w:pPr>
                    </w:p>
                    <w:p w14:paraId="23FB2693" w14:textId="77777777" w:rsidR="008419E0" w:rsidRDefault="008419E0" w:rsidP="004B7EB6">
                      <w:pPr>
                        <w:spacing w:line="276" w:lineRule="auto"/>
                        <w:rPr>
                          <w:rFonts w:asciiTheme="majorHAnsi" w:hAnsiTheme="majorHAnsi" w:cs="Arial"/>
                          <w:b/>
                          <w:bCs/>
                          <w:color w:val="0D0D0D" w:themeColor="text1" w:themeTint="F2"/>
                          <w:sz w:val="36"/>
                          <w:szCs w:val="40"/>
                        </w:rPr>
                      </w:pPr>
                    </w:p>
                    <w:p w14:paraId="7503AE44" w14:textId="77777777" w:rsidR="008419E0" w:rsidRDefault="008419E0" w:rsidP="004B7EB6">
                      <w:pPr>
                        <w:spacing w:line="276" w:lineRule="auto"/>
                        <w:rPr>
                          <w:rFonts w:asciiTheme="majorHAnsi" w:hAnsiTheme="majorHAnsi" w:cs="Arial"/>
                          <w:b/>
                          <w:bCs/>
                          <w:color w:val="0D0D0D" w:themeColor="text1" w:themeTint="F2"/>
                          <w:sz w:val="36"/>
                          <w:szCs w:val="40"/>
                        </w:rPr>
                      </w:pPr>
                    </w:p>
                    <w:p w14:paraId="294150E1" w14:textId="77777777" w:rsidR="008419E0" w:rsidRDefault="008419E0" w:rsidP="004B7EB6">
                      <w:pPr>
                        <w:spacing w:line="276" w:lineRule="auto"/>
                        <w:rPr>
                          <w:rFonts w:asciiTheme="majorHAnsi" w:hAnsiTheme="majorHAnsi" w:cs="Arial"/>
                          <w:b/>
                          <w:bCs/>
                          <w:color w:val="0D0D0D" w:themeColor="text1" w:themeTint="F2"/>
                          <w:sz w:val="36"/>
                          <w:szCs w:val="40"/>
                        </w:rPr>
                      </w:pPr>
                    </w:p>
                    <w:p w14:paraId="49C88A0D" w14:textId="77777777" w:rsidR="008419E0" w:rsidRPr="004B7EB6" w:rsidRDefault="008419E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Pr>
                          <w:rFonts w:asciiTheme="majorHAnsi" w:hAnsiTheme="majorHAnsi" w:cs="Arial"/>
                          <w:b/>
                          <w:bCs/>
                          <w:color w:val="0D0D0D" w:themeColor="text1" w:themeTint="F2"/>
                          <w:sz w:val="36"/>
                          <w:szCs w:val="40"/>
                        </w:rPr>
                        <w:t>210</w:t>
                      </w:r>
                      <w:r w:rsidRPr="004B7EB6">
                        <w:rPr>
                          <w:rFonts w:asciiTheme="majorHAnsi" w:hAnsiTheme="majorHAnsi" w:cs="Arial"/>
                          <w:b/>
                          <w:bCs/>
                          <w:color w:val="0D0D0D" w:themeColor="text1" w:themeTint="F2"/>
                          <w:sz w:val="36"/>
                          <w:szCs w:val="40"/>
                        </w:rPr>
                        <w:t>/</w:t>
                      </w:r>
                      <w:r>
                        <w:rPr>
                          <w:rFonts w:asciiTheme="majorHAnsi" w:hAnsiTheme="majorHAnsi" w:cs="Arial"/>
                          <w:b/>
                          <w:bCs/>
                          <w:color w:val="0D0D0D" w:themeColor="text1" w:themeTint="F2"/>
                          <w:sz w:val="36"/>
                          <w:szCs w:val="40"/>
                        </w:rPr>
                        <w:t>20</w:t>
                      </w:r>
                    </w:p>
                    <w:p w14:paraId="2D64E50C" w14:textId="77777777" w:rsidR="008419E0" w:rsidRPr="004B7EB6" w:rsidRDefault="008419E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CASE </w:t>
                      </w:r>
                      <w:r>
                        <w:rPr>
                          <w:rFonts w:asciiTheme="majorHAnsi" w:hAnsiTheme="majorHAnsi" w:cs="Arial"/>
                          <w:b/>
                          <w:bCs/>
                          <w:color w:val="0D0D0D" w:themeColor="text1" w:themeTint="F2"/>
                          <w:sz w:val="36"/>
                          <w:szCs w:val="40"/>
                        </w:rPr>
                        <w:t>13.361</w:t>
                      </w:r>
                    </w:p>
                    <w:p w14:paraId="12B3CC69" w14:textId="77777777" w:rsidR="008419E0" w:rsidRDefault="008419E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ADMISSIBILITY </w:t>
                      </w:r>
                      <w:r>
                        <w:rPr>
                          <w:rFonts w:asciiTheme="majorHAnsi" w:hAnsiTheme="majorHAnsi" w:cs="Arial"/>
                          <w:color w:val="0D0D0D" w:themeColor="text1" w:themeTint="F2"/>
                          <w:szCs w:val="22"/>
                        </w:rPr>
                        <w:t xml:space="preserve">AND </w:t>
                      </w:r>
                      <w:r w:rsidRPr="004B7EB6">
                        <w:rPr>
                          <w:rFonts w:asciiTheme="majorHAnsi" w:hAnsiTheme="majorHAnsi" w:cs="Arial"/>
                          <w:color w:val="0D0D0D" w:themeColor="text1" w:themeTint="F2"/>
                          <w:szCs w:val="22"/>
                        </w:rPr>
                        <w:t xml:space="preserve">MERITS </w:t>
                      </w:r>
                      <w:r>
                        <w:rPr>
                          <w:rFonts w:asciiTheme="majorHAnsi" w:hAnsiTheme="majorHAnsi" w:cs="Arial"/>
                          <w:color w:val="0D0D0D" w:themeColor="text1" w:themeTint="F2"/>
                          <w:szCs w:val="22"/>
                        </w:rPr>
                        <w:t>(PUBLICATION)</w:t>
                      </w:r>
                    </w:p>
                    <w:p w14:paraId="16B5A3D3" w14:textId="77777777" w:rsidR="008419E0" w:rsidRPr="004B7EB6" w:rsidRDefault="008419E0" w:rsidP="004B7EB6">
                      <w:pPr>
                        <w:spacing w:line="276" w:lineRule="auto"/>
                        <w:rPr>
                          <w:rFonts w:asciiTheme="majorHAnsi" w:hAnsiTheme="majorHAnsi" w:cs="Arial"/>
                          <w:color w:val="0D0D0D" w:themeColor="text1" w:themeTint="F2"/>
                          <w:szCs w:val="22"/>
                        </w:rPr>
                      </w:pPr>
                    </w:p>
                    <w:p w14:paraId="515A9AA9" w14:textId="77777777" w:rsidR="008419E0" w:rsidRPr="00444596" w:rsidRDefault="008419E0"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JULIUS OMAR ROBINSON</w:t>
                      </w:r>
                    </w:p>
                    <w:p w14:paraId="1BEC2A67" w14:textId="77777777" w:rsidR="008419E0" w:rsidRDefault="008419E0"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UNITED STATES OF AMERICA</w:t>
                      </w:r>
                    </w:p>
                    <w:p w14:paraId="4E235F33" w14:textId="77777777" w:rsidR="008419E0" w:rsidRPr="00E57833" w:rsidRDefault="008419E0" w:rsidP="008D2EA5">
                      <w:pPr>
                        <w:spacing w:line="276" w:lineRule="auto"/>
                        <w:jc w:val="both"/>
                        <w:rPr>
                          <w:rFonts w:asciiTheme="majorHAnsi" w:hAnsiTheme="majorHAnsi"/>
                          <w:color w:val="0D0D0D" w:themeColor="text1" w:themeTint="F2"/>
                        </w:rPr>
                      </w:pPr>
                    </w:p>
                  </w:txbxContent>
                </v:textbox>
              </v:shape>
            </w:pict>
          </mc:Fallback>
        </mc:AlternateContent>
      </w:r>
    </w:p>
    <w:p w14:paraId="637E303D" w14:textId="77777777" w:rsidR="005B52B0" w:rsidRPr="00C649E1" w:rsidRDefault="005B52B0" w:rsidP="005128E4">
      <w:pPr>
        <w:tabs>
          <w:tab w:val="center" w:pos="5400"/>
        </w:tabs>
        <w:suppressAutoHyphens/>
        <w:jc w:val="center"/>
        <w:rPr>
          <w:rFonts w:asciiTheme="majorHAnsi" w:hAnsiTheme="majorHAnsi"/>
          <w:sz w:val="20"/>
          <w:szCs w:val="20"/>
          <w:lang w:val="es-ES_tradnl"/>
        </w:rPr>
      </w:pPr>
    </w:p>
    <w:p w14:paraId="7B0D71BE" w14:textId="77777777" w:rsidR="005B52B0" w:rsidRPr="00C649E1" w:rsidRDefault="005B52B0" w:rsidP="005128E4">
      <w:pPr>
        <w:tabs>
          <w:tab w:val="center" w:pos="5400"/>
        </w:tabs>
        <w:suppressAutoHyphens/>
        <w:jc w:val="center"/>
        <w:rPr>
          <w:rFonts w:asciiTheme="majorHAnsi" w:hAnsiTheme="majorHAnsi"/>
          <w:sz w:val="20"/>
          <w:szCs w:val="20"/>
          <w:lang w:val="es-ES_tradnl"/>
        </w:rPr>
      </w:pPr>
    </w:p>
    <w:p w14:paraId="4DD18134" w14:textId="77777777" w:rsidR="005B52B0" w:rsidRPr="00C649E1" w:rsidRDefault="005B52B0" w:rsidP="005128E4">
      <w:pPr>
        <w:tabs>
          <w:tab w:val="center" w:pos="5400"/>
        </w:tabs>
        <w:suppressAutoHyphens/>
        <w:jc w:val="center"/>
        <w:rPr>
          <w:rFonts w:asciiTheme="majorHAnsi" w:hAnsiTheme="majorHAnsi"/>
          <w:sz w:val="20"/>
          <w:szCs w:val="20"/>
          <w:lang w:val="es-ES_tradnl"/>
        </w:rPr>
      </w:pPr>
    </w:p>
    <w:p w14:paraId="79569967"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0A480BBE"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08F72D4D"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0D919C12"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261D21C0" w14:textId="77777777" w:rsidR="00040C3A" w:rsidRPr="00C649E1" w:rsidRDefault="00A84A45" w:rsidP="00040C3A">
      <w:pPr>
        <w:tabs>
          <w:tab w:val="center" w:pos="5400"/>
        </w:tabs>
        <w:suppressAutoHyphens/>
        <w:jc w:val="center"/>
        <w:rPr>
          <w:rFonts w:asciiTheme="majorHAnsi" w:hAnsiTheme="majorHAnsi"/>
          <w:sz w:val="20"/>
          <w:szCs w:val="20"/>
          <w:lang w:val="es-ES_tradnl"/>
        </w:rPr>
      </w:pPr>
      <w:r w:rsidRPr="00C649E1">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3CB2AE85" wp14:editId="2DDDF1CC">
                <wp:simplePos x="0" y="0"/>
                <wp:positionH relativeFrom="column">
                  <wp:posOffset>-369988</wp:posOffset>
                </wp:positionH>
                <wp:positionV relativeFrom="paragraph">
                  <wp:posOffset>43250</wp:posOffset>
                </wp:positionV>
                <wp:extent cx="1334135" cy="835117"/>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1334135" cy="8351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0F65FC" w14:textId="77777777" w:rsidR="008419E0" w:rsidRPr="003824C7" w:rsidRDefault="008419E0" w:rsidP="002C1641">
                            <w:pPr>
                              <w:jc w:val="right"/>
                              <w:rPr>
                                <w:rFonts w:asciiTheme="minorHAnsi" w:hAnsiTheme="minorHAnsi"/>
                                <w:color w:val="FFFFFF" w:themeColor="background1"/>
                                <w:sz w:val="22"/>
                                <w:lang w:val="es-US"/>
                              </w:rPr>
                            </w:pPr>
                            <w:r w:rsidRPr="003824C7">
                              <w:rPr>
                                <w:rFonts w:asciiTheme="minorHAnsi" w:hAnsiTheme="minorHAnsi"/>
                                <w:color w:val="FFFFFF" w:themeColor="background1"/>
                                <w:sz w:val="22"/>
                                <w:lang w:val="es-US"/>
                              </w:rPr>
                              <w:t>OEA/Ser.L/V/II</w:t>
                            </w:r>
                          </w:p>
                          <w:p w14:paraId="6DC84CA9" w14:textId="77777777" w:rsidR="008419E0" w:rsidRPr="003824C7" w:rsidRDefault="008419E0" w:rsidP="002C1641">
                            <w:pPr>
                              <w:jc w:val="right"/>
                              <w:rPr>
                                <w:rFonts w:asciiTheme="minorHAnsi" w:hAnsiTheme="minorHAnsi"/>
                                <w:color w:val="FFFFFF" w:themeColor="background1"/>
                                <w:sz w:val="22"/>
                                <w:lang w:val="es-US"/>
                              </w:rPr>
                            </w:pPr>
                            <w:r w:rsidRPr="003824C7">
                              <w:rPr>
                                <w:rFonts w:asciiTheme="minorHAnsi" w:hAnsiTheme="minorHAnsi"/>
                                <w:color w:val="FFFFFF" w:themeColor="background1"/>
                                <w:sz w:val="22"/>
                                <w:lang w:val="es-US"/>
                              </w:rPr>
                              <w:t>Doc. 2</w:t>
                            </w:r>
                            <w:r>
                              <w:rPr>
                                <w:rFonts w:asciiTheme="minorHAnsi" w:hAnsiTheme="minorHAnsi"/>
                                <w:color w:val="FFFFFF" w:themeColor="background1"/>
                                <w:sz w:val="22"/>
                                <w:lang w:val="es-US"/>
                              </w:rPr>
                              <w:t>24</w:t>
                            </w:r>
                          </w:p>
                          <w:p w14:paraId="3831E09D" w14:textId="77777777" w:rsidR="008419E0" w:rsidRPr="004B7EB6" w:rsidRDefault="008419E0" w:rsidP="00B6392F">
                            <w:pPr>
                              <w:jc w:val="right"/>
                              <w:rPr>
                                <w:rFonts w:asciiTheme="minorHAnsi" w:hAnsiTheme="minorHAnsi"/>
                                <w:color w:val="FFFFFF" w:themeColor="background1"/>
                                <w:sz w:val="22"/>
                              </w:rPr>
                            </w:pPr>
                            <w:r>
                              <w:rPr>
                                <w:rFonts w:asciiTheme="minorHAnsi" w:hAnsiTheme="minorHAnsi"/>
                                <w:color w:val="FFFFFF" w:themeColor="background1"/>
                                <w:sz w:val="22"/>
                              </w:rPr>
                              <w:t>August 12, 2020</w:t>
                            </w:r>
                          </w:p>
                          <w:p w14:paraId="6C82AC31" w14:textId="77777777" w:rsidR="008419E0" w:rsidRPr="004B7EB6" w:rsidRDefault="008419E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2AE85" id="Text Box 8" o:spid="_x0000_s1028" type="#_x0000_t202" style="position:absolute;left:0;text-align:left;margin-left:-29.15pt;margin-top:3.4pt;width:105.05pt;height:6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" filled="f" stroked="f" strokeweight=".5pt">
                <v:textbox>
                  <w:txbxContent>
                    <w:p w14:paraId="540F65FC" w14:textId="77777777" w:rsidR="008419E0" w:rsidRPr="003824C7" w:rsidRDefault="008419E0" w:rsidP="002C1641">
                      <w:pPr>
                        <w:jc w:val="right"/>
                        <w:rPr>
                          <w:rFonts w:asciiTheme="minorHAnsi" w:hAnsiTheme="minorHAnsi"/>
                          <w:color w:val="FFFFFF" w:themeColor="background1"/>
                          <w:sz w:val="22"/>
                          <w:lang w:val="es-US"/>
                        </w:rPr>
                      </w:pPr>
                      <w:r w:rsidRPr="003824C7">
                        <w:rPr>
                          <w:rFonts w:asciiTheme="minorHAnsi" w:hAnsiTheme="minorHAnsi"/>
                          <w:color w:val="FFFFFF" w:themeColor="background1"/>
                          <w:sz w:val="22"/>
                          <w:lang w:val="es-US"/>
                        </w:rPr>
                        <w:t>OEA/Ser.L/V/II</w:t>
                      </w:r>
                    </w:p>
                    <w:p w14:paraId="6DC84CA9" w14:textId="77777777" w:rsidR="008419E0" w:rsidRPr="003824C7" w:rsidRDefault="008419E0" w:rsidP="002C1641">
                      <w:pPr>
                        <w:jc w:val="right"/>
                        <w:rPr>
                          <w:rFonts w:asciiTheme="minorHAnsi" w:hAnsiTheme="minorHAnsi"/>
                          <w:color w:val="FFFFFF" w:themeColor="background1"/>
                          <w:sz w:val="22"/>
                          <w:lang w:val="es-US"/>
                        </w:rPr>
                      </w:pPr>
                      <w:r w:rsidRPr="003824C7">
                        <w:rPr>
                          <w:rFonts w:asciiTheme="minorHAnsi" w:hAnsiTheme="minorHAnsi"/>
                          <w:color w:val="FFFFFF" w:themeColor="background1"/>
                          <w:sz w:val="22"/>
                          <w:lang w:val="es-US"/>
                        </w:rPr>
                        <w:t>Doc. 2</w:t>
                      </w:r>
                      <w:r>
                        <w:rPr>
                          <w:rFonts w:asciiTheme="minorHAnsi" w:hAnsiTheme="minorHAnsi"/>
                          <w:color w:val="FFFFFF" w:themeColor="background1"/>
                          <w:sz w:val="22"/>
                          <w:lang w:val="es-US"/>
                        </w:rPr>
                        <w:t>24</w:t>
                      </w:r>
                    </w:p>
                    <w:p w14:paraId="3831E09D" w14:textId="77777777" w:rsidR="008419E0" w:rsidRPr="004B7EB6" w:rsidRDefault="008419E0" w:rsidP="00B6392F">
                      <w:pPr>
                        <w:jc w:val="right"/>
                        <w:rPr>
                          <w:rFonts w:asciiTheme="minorHAnsi" w:hAnsiTheme="minorHAnsi"/>
                          <w:color w:val="FFFFFF" w:themeColor="background1"/>
                          <w:sz w:val="22"/>
                        </w:rPr>
                      </w:pPr>
                      <w:r>
                        <w:rPr>
                          <w:rFonts w:asciiTheme="minorHAnsi" w:hAnsiTheme="minorHAnsi"/>
                          <w:color w:val="FFFFFF" w:themeColor="background1"/>
                          <w:sz w:val="22"/>
                        </w:rPr>
                        <w:t>August 12, 2020</w:t>
                      </w:r>
                    </w:p>
                    <w:p w14:paraId="6C82AC31" w14:textId="77777777" w:rsidR="008419E0" w:rsidRPr="004B7EB6" w:rsidRDefault="008419E0"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 English</w:t>
                      </w:r>
                    </w:p>
                  </w:txbxContent>
                </v:textbox>
              </v:shape>
            </w:pict>
          </mc:Fallback>
        </mc:AlternateContent>
      </w:r>
    </w:p>
    <w:p w14:paraId="46A499F7" w14:textId="77777777" w:rsidR="00040C3A" w:rsidRPr="00C649E1" w:rsidRDefault="00040C3A" w:rsidP="00040C3A">
      <w:pPr>
        <w:tabs>
          <w:tab w:val="center" w:pos="5400"/>
        </w:tabs>
        <w:suppressAutoHyphens/>
        <w:jc w:val="center"/>
        <w:rPr>
          <w:rFonts w:asciiTheme="majorHAnsi" w:hAnsiTheme="majorHAnsi" w:cs="Arial"/>
          <w:sz w:val="20"/>
          <w:szCs w:val="20"/>
          <w:lang w:val="es-ES_tradnl"/>
        </w:rPr>
      </w:pPr>
    </w:p>
    <w:p w14:paraId="33B3830E"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08B78043"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02C04B75"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261B7510"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0666AB14" w14:textId="77777777" w:rsidR="005128E4" w:rsidRPr="00C649E1" w:rsidRDefault="005128E4" w:rsidP="00040C3A">
      <w:pPr>
        <w:tabs>
          <w:tab w:val="center" w:pos="5400"/>
        </w:tabs>
        <w:suppressAutoHyphens/>
        <w:jc w:val="center"/>
        <w:rPr>
          <w:rFonts w:asciiTheme="majorHAnsi" w:hAnsiTheme="majorHAnsi"/>
          <w:sz w:val="20"/>
          <w:szCs w:val="20"/>
          <w:lang w:val="es-ES_tradnl"/>
        </w:rPr>
      </w:pPr>
    </w:p>
    <w:p w14:paraId="2BBDD497"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2C9172C8" w14:textId="77777777" w:rsidR="005128E4" w:rsidRPr="00C649E1" w:rsidRDefault="005128E4" w:rsidP="00040C3A">
      <w:pPr>
        <w:tabs>
          <w:tab w:val="center" w:pos="5400"/>
        </w:tabs>
        <w:suppressAutoHyphens/>
        <w:jc w:val="center"/>
        <w:rPr>
          <w:rFonts w:asciiTheme="majorHAnsi" w:hAnsiTheme="majorHAnsi"/>
          <w:sz w:val="20"/>
          <w:szCs w:val="20"/>
          <w:lang w:val="es-ES_tradnl"/>
        </w:rPr>
      </w:pPr>
    </w:p>
    <w:p w14:paraId="62ED38E6" w14:textId="77777777" w:rsidR="005128E4" w:rsidRPr="00C649E1" w:rsidRDefault="005128E4" w:rsidP="00040C3A">
      <w:pPr>
        <w:tabs>
          <w:tab w:val="center" w:pos="5400"/>
        </w:tabs>
        <w:suppressAutoHyphens/>
        <w:jc w:val="center"/>
        <w:rPr>
          <w:rFonts w:asciiTheme="majorHAnsi" w:hAnsiTheme="majorHAnsi"/>
          <w:sz w:val="20"/>
          <w:szCs w:val="20"/>
          <w:lang w:val="es-ES_tradnl"/>
        </w:rPr>
      </w:pPr>
    </w:p>
    <w:p w14:paraId="41ACAC04" w14:textId="77777777" w:rsidR="005128E4" w:rsidRPr="00C649E1" w:rsidRDefault="005128E4" w:rsidP="00040C3A">
      <w:pPr>
        <w:tabs>
          <w:tab w:val="center" w:pos="5400"/>
        </w:tabs>
        <w:suppressAutoHyphens/>
        <w:jc w:val="center"/>
        <w:rPr>
          <w:rFonts w:asciiTheme="majorHAnsi" w:hAnsiTheme="majorHAnsi"/>
          <w:sz w:val="20"/>
          <w:szCs w:val="20"/>
          <w:lang w:val="es-ES_tradnl"/>
        </w:rPr>
      </w:pPr>
    </w:p>
    <w:p w14:paraId="184FF4D7"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4E709859" w14:textId="77777777" w:rsidR="00040C3A" w:rsidRPr="00C649E1" w:rsidRDefault="00040C3A" w:rsidP="00040C3A">
      <w:pPr>
        <w:tabs>
          <w:tab w:val="center" w:pos="5400"/>
        </w:tabs>
        <w:suppressAutoHyphens/>
        <w:jc w:val="center"/>
        <w:rPr>
          <w:rFonts w:asciiTheme="majorHAnsi" w:hAnsiTheme="majorHAnsi"/>
          <w:sz w:val="20"/>
          <w:szCs w:val="20"/>
          <w:lang w:val="es-ES_tradnl"/>
        </w:rPr>
      </w:pPr>
    </w:p>
    <w:p w14:paraId="509169AB"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758FAF11"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243C193C"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30A0E897"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2807C1DF"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4CA559C2"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7E7147D5"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5ADDA6D8"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04569F0A"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0A1FEBB2"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05A1D3D3"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2C47F60F"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5FB75DF6" w14:textId="77777777" w:rsidR="002C1641" w:rsidRPr="00C649E1" w:rsidRDefault="003C32BC" w:rsidP="00040C3A">
      <w:pPr>
        <w:tabs>
          <w:tab w:val="center" w:pos="5400"/>
        </w:tabs>
        <w:suppressAutoHyphens/>
        <w:jc w:val="center"/>
        <w:rPr>
          <w:rFonts w:asciiTheme="majorHAnsi" w:hAnsiTheme="majorHAnsi"/>
          <w:sz w:val="20"/>
          <w:szCs w:val="20"/>
          <w:lang w:val="es-ES_tradnl"/>
        </w:rPr>
      </w:pPr>
      <w:r w:rsidRPr="00C649E1">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691E28C" wp14:editId="15ACDA9F">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193313" w14:textId="77777777" w:rsidR="008419E0" w:rsidRPr="003C32BC" w:rsidRDefault="008419E0"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electronically by the Commission</w:t>
                            </w:r>
                            <w:r w:rsidRPr="00347A1D">
                              <w:rPr>
                                <w:rFonts w:asciiTheme="majorHAnsi" w:hAnsiTheme="majorHAnsi"/>
                                <w:color w:val="0D0D0D" w:themeColor="text1" w:themeTint="F2"/>
                                <w:sz w:val="18"/>
                                <w:szCs w:val="20"/>
                              </w:rPr>
                              <w:t xml:space="preserve"> on August 12,</w:t>
                            </w:r>
                            <w:r>
                              <w:rPr>
                                <w:rFonts w:asciiTheme="majorHAnsi" w:hAnsiTheme="majorHAnsi"/>
                                <w:color w:val="0D0D0D" w:themeColor="text1" w:themeTint="F2"/>
                                <w:sz w:val="18"/>
                                <w:szCs w:val="20"/>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1E28C"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" filled="f" stroked="f" strokeweight=".5pt">
                <v:textbox>
                  <w:txbxContent>
                    <w:p w14:paraId="74193313" w14:textId="77777777" w:rsidR="008419E0" w:rsidRPr="003C32BC" w:rsidRDefault="008419E0"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w:t>
                      </w:r>
                      <w:r>
                        <w:rPr>
                          <w:rFonts w:asciiTheme="majorHAnsi" w:hAnsiTheme="majorHAnsi"/>
                          <w:color w:val="0D0D0D" w:themeColor="text1" w:themeTint="F2"/>
                          <w:sz w:val="18"/>
                          <w:szCs w:val="20"/>
                        </w:rPr>
                        <w:t>roved electronically by the Commission</w:t>
                      </w:r>
                      <w:r w:rsidRPr="00347A1D">
                        <w:rPr>
                          <w:rFonts w:asciiTheme="majorHAnsi" w:hAnsiTheme="majorHAnsi"/>
                          <w:color w:val="0D0D0D" w:themeColor="text1" w:themeTint="F2"/>
                          <w:sz w:val="18"/>
                          <w:szCs w:val="20"/>
                        </w:rPr>
                        <w:t xml:space="preserve"> on August 12,</w:t>
                      </w:r>
                      <w:r>
                        <w:rPr>
                          <w:rFonts w:asciiTheme="majorHAnsi" w:hAnsiTheme="majorHAnsi"/>
                          <w:color w:val="0D0D0D" w:themeColor="text1" w:themeTint="F2"/>
                          <w:sz w:val="18"/>
                          <w:szCs w:val="20"/>
                        </w:rPr>
                        <w:t xml:space="preserve"> 2020</w:t>
                      </w:r>
                    </w:p>
                  </w:txbxContent>
                </v:textbox>
              </v:shape>
            </w:pict>
          </mc:Fallback>
        </mc:AlternateContent>
      </w:r>
    </w:p>
    <w:p w14:paraId="189C8F45"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493108EE"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79307B82"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53FF1D64"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7D176635" w14:textId="77777777" w:rsidR="002C1641" w:rsidRPr="00C649E1" w:rsidRDefault="003C32BC" w:rsidP="00040C3A">
      <w:pPr>
        <w:tabs>
          <w:tab w:val="center" w:pos="5400"/>
        </w:tabs>
        <w:suppressAutoHyphens/>
        <w:jc w:val="center"/>
        <w:rPr>
          <w:rFonts w:asciiTheme="majorHAnsi" w:hAnsiTheme="majorHAnsi"/>
          <w:sz w:val="20"/>
          <w:szCs w:val="20"/>
          <w:lang w:val="es-ES_tradnl"/>
        </w:rPr>
      </w:pPr>
      <w:r w:rsidRPr="00C649E1">
        <w:rPr>
          <w:rFonts w:asciiTheme="majorHAnsi" w:hAnsiTheme="majorHAnsi"/>
          <w:noProof/>
          <w:sz w:val="20"/>
          <w:szCs w:val="20"/>
        </w:rPr>
        <mc:AlternateContent>
          <mc:Choice Requires="wps">
            <w:drawing>
              <wp:anchor distT="0" distB="0" distL="114300" distR="114300" simplePos="0" relativeHeight="251683840" behindDoc="0" locked="0" layoutInCell="1" allowOverlap="1" wp14:anchorId="234BBD5C" wp14:editId="2BAC43B8">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D56776" w14:textId="77777777" w:rsidR="008419E0" w:rsidRPr="003C32BC" w:rsidRDefault="008419E0"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 210/20.</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13.361</w:t>
                            </w:r>
                            <w:r w:rsidRPr="009424BD">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Admissibility </w:t>
                            </w:r>
                            <w:r w:rsidRPr="00682CC9">
                              <w:rPr>
                                <w:rFonts w:asciiTheme="majorHAnsi" w:hAnsiTheme="majorHAnsi"/>
                                <w:color w:val="595959" w:themeColor="text1" w:themeTint="A6"/>
                                <w:sz w:val="18"/>
                              </w:rPr>
                              <w:t>and Merits</w:t>
                            </w:r>
                            <w:r>
                              <w:rPr>
                                <w:rFonts w:asciiTheme="majorHAnsi" w:hAnsiTheme="majorHAnsi"/>
                                <w:color w:val="595959" w:themeColor="text1" w:themeTint="A6"/>
                                <w:sz w:val="18"/>
                              </w:rPr>
                              <w:t xml:space="preserve"> (Publication)</w:t>
                            </w:r>
                            <w:r w:rsidRPr="00682CC9">
                              <w:rPr>
                                <w:rFonts w:asciiTheme="majorHAnsi" w:hAnsiTheme="majorHAnsi"/>
                                <w:color w:val="595959" w:themeColor="text1" w:themeTint="A6"/>
                                <w:sz w:val="18"/>
                              </w:rPr>
                              <w:t xml:space="preserve">. </w:t>
                            </w:r>
                            <w:r>
                              <w:rPr>
                                <w:rFonts w:asciiTheme="majorHAnsi" w:hAnsiTheme="majorHAnsi"/>
                                <w:color w:val="595959" w:themeColor="text1" w:themeTint="A6"/>
                                <w:sz w:val="18"/>
                              </w:rPr>
                              <w:t>Julius Omar Robinson</w:t>
                            </w:r>
                            <w:r w:rsidRPr="00682CC9">
                              <w:rPr>
                                <w:rFonts w:asciiTheme="majorHAnsi" w:hAnsiTheme="majorHAnsi"/>
                                <w:color w:val="595959" w:themeColor="text1" w:themeTint="A6"/>
                                <w:sz w:val="18"/>
                              </w:rPr>
                              <w:t xml:space="preserve">. United States of America. </w:t>
                            </w:r>
                            <w:r>
                              <w:rPr>
                                <w:rFonts w:asciiTheme="majorHAnsi" w:hAnsiTheme="majorHAnsi"/>
                                <w:color w:val="595959" w:themeColor="text1" w:themeTint="A6"/>
                                <w:sz w:val="18"/>
                              </w:rPr>
                              <w:t>August 12,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BBD5C"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15D56776" w14:textId="77777777" w:rsidR="008419E0" w:rsidRPr="003C32BC" w:rsidRDefault="008419E0" w:rsidP="00F45EBF">
                      <w:pPr>
                        <w:spacing w:line="276" w:lineRule="auto"/>
                        <w:jc w:val="both"/>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IACHR, Report No</w:t>
                      </w:r>
                      <w:r>
                        <w:rPr>
                          <w:rFonts w:asciiTheme="majorHAnsi" w:hAnsiTheme="majorHAnsi"/>
                          <w:color w:val="595959" w:themeColor="text1" w:themeTint="A6"/>
                          <w:sz w:val="18"/>
                        </w:rPr>
                        <w:t>. 210/20.</w:t>
                      </w:r>
                      <w:r w:rsidRPr="003C32BC">
                        <w:rPr>
                          <w:rFonts w:asciiTheme="majorHAnsi" w:hAnsiTheme="majorHAnsi"/>
                          <w:color w:val="595959" w:themeColor="text1" w:themeTint="A6"/>
                          <w:sz w:val="18"/>
                        </w:rPr>
                        <w:t xml:space="preserve"> </w:t>
                      </w:r>
                      <w:r w:rsidRPr="009424BD">
                        <w:rPr>
                          <w:rFonts w:asciiTheme="majorHAnsi" w:hAnsiTheme="majorHAnsi"/>
                          <w:color w:val="595959" w:themeColor="text1" w:themeTint="A6"/>
                          <w:sz w:val="18"/>
                        </w:rPr>
                        <w:t xml:space="preserve">Case </w:t>
                      </w:r>
                      <w:r>
                        <w:rPr>
                          <w:rFonts w:asciiTheme="majorHAnsi" w:hAnsiTheme="majorHAnsi"/>
                          <w:color w:val="595959" w:themeColor="text1" w:themeTint="A6"/>
                          <w:sz w:val="18"/>
                        </w:rPr>
                        <w:t>13.361</w:t>
                      </w:r>
                      <w:r w:rsidRPr="009424BD">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Admissibility </w:t>
                      </w:r>
                      <w:r w:rsidRPr="00682CC9">
                        <w:rPr>
                          <w:rFonts w:asciiTheme="majorHAnsi" w:hAnsiTheme="majorHAnsi"/>
                          <w:color w:val="595959" w:themeColor="text1" w:themeTint="A6"/>
                          <w:sz w:val="18"/>
                        </w:rPr>
                        <w:t>and Merits</w:t>
                      </w:r>
                      <w:r>
                        <w:rPr>
                          <w:rFonts w:asciiTheme="majorHAnsi" w:hAnsiTheme="majorHAnsi"/>
                          <w:color w:val="595959" w:themeColor="text1" w:themeTint="A6"/>
                          <w:sz w:val="18"/>
                        </w:rPr>
                        <w:t xml:space="preserve"> (Publication)</w:t>
                      </w:r>
                      <w:r w:rsidRPr="00682CC9">
                        <w:rPr>
                          <w:rFonts w:asciiTheme="majorHAnsi" w:hAnsiTheme="majorHAnsi"/>
                          <w:color w:val="595959" w:themeColor="text1" w:themeTint="A6"/>
                          <w:sz w:val="18"/>
                        </w:rPr>
                        <w:t xml:space="preserve">. </w:t>
                      </w:r>
                      <w:r>
                        <w:rPr>
                          <w:rFonts w:asciiTheme="majorHAnsi" w:hAnsiTheme="majorHAnsi"/>
                          <w:color w:val="595959" w:themeColor="text1" w:themeTint="A6"/>
                          <w:sz w:val="18"/>
                        </w:rPr>
                        <w:t>Julius Omar Robinson</w:t>
                      </w:r>
                      <w:r w:rsidRPr="00682CC9">
                        <w:rPr>
                          <w:rFonts w:asciiTheme="majorHAnsi" w:hAnsiTheme="majorHAnsi"/>
                          <w:color w:val="595959" w:themeColor="text1" w:themeTint="A6"/>
                          <w:sz w:val="18"/>
                        </w:rPr>
                        <w:t xml:space="preserve">. United States of America. </w:t>
                      </w:r>
                      <w:r>
                        <w:rPr>
                          <w:rFonts w:asciiTheme="majorHAnsi" w:hAnsiTheme="majorHAnsi"/>
                          <w:color w:val="595959" w:themeColor="text1" w:themeTint="A6"/>
                          <w:sz w:val="18"/>
                        </w:rPr>
                        <w:t>August 12, 2020</w:t>
                      </w:r>
                    </w:p>
                  </w:txbxContent>
                </v:textbox>
              </v:shape>
            </w:pict>
          </mc:Fallback>
        </mc:AlternateContent>
      </w:r>
    </w:p>
    <w:p w14:paraId="05B8FA24"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2460E65C" w14:textId="77777777" w:rsidR="002C1641" w:rsidRPr="00C649E1" w:rsidRDefault="002C1641" w:rsidP="00040C3A">
      <w:pPr>
        <w:tabs>
          <w:tab w:val="center" w:pos="5400"/>
        </w:tabs>
        <w:suppressAutoHyphens/>
        <w:jc w:val="center"/>
        <w:rPr>
          <w:rFonts w:asciiTheme="majorHAnsi" w:hAnsiTheme="majorHAnsi"/>
          <w:sz w:val="20"/>
          <w:szCs w:val="20"/>
          <w:lang w:val="es-ES_tradnl"/>
        </w:rPr>
      </w:pPr>
    </w:p>
    <w:p w14:paraId="34722280" w14:textId="77777777" w:rsidR="003C32BC" w:rsidRPr="00C649E1" w:rsidRDefault="003C32BC" w:rsidP="003C32BC">
      <w:pPr>
        <w:tabs>
          <w:tab w:val="center" w:pos="5400"/>
        </w:tabs>
        <w:suppressAutoHyphens/>
        <w:jc w:val="center"/>
        <w:rPr>
          <w:rFonts w:asciiTheme="majorHAnsi" w:hAnsiTheme="majorHAnsi"/>
          <w:sz w:val="20"/>
          <w:szCs w:val="20"/>
        </w:rPr>
      </w:pPr>
    </w:p>
    <w:p w14:paraId="19A2627E" w14:textId="77777777" w:rsidR="003C32BC" w:rsidRPr="00C649E1" w:rsidRDefault="006311DA" w:rsidP="003C32BC">
      <w:pPr>
        <w:tabs>
          <w:tab w:val="center" w:pos="5400"/>
        </w:tabs>
        <w:suppressAutoHyphens/>
        <w:jc w:val="center"/>
        <w:rPr>
          <w:rFonts w:asciiTheme="majorHAnsi" w:hAnsiTheme="majorHAnsi"/>
          <w:sz w:val="20"/>
          <w:szCs w:val="20"/>
        </w:rPr>
      </w:pPr>
      <w:r w:rsidRPr="00C649E1">
        <w:rPr>
          <w:rFonts w:asciiTheme="majorHAnsi" w:hAnsiTheme="majorHAnsi"/>
          <w:noProof/>
          <w:sz w:val="20"/>
          <w:szCs w:val="20"/>
        </w:rPr>
        <mc:AlternateContent>
          <mc:Choice Requires="wps">
            <w:drawing>
              <wp:anchor distT="0" distB="0" distL="114300" distR="114300" simplePos="0" relativeHeight="251686912" behindDoc="0" locked="0" layoutInCell="1" allowOverlap="1" wp14:anchorId="0AAEC6C2" wp14:editId="6E0BBCF1">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231C53" w14:textId="77777777" w:rsidR="008419E0" w:rsidRPr="004B7EB6" w:rsidRDefault="008419E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EC6C2"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2231C53" w14:textId="77777777" w:rsidR="008419E0" w:rsidRPr="004B7EB6" w:rsidRDefault="008419E0"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C649E1">
        <w:rPr>
          <w:rFonts w:asciiTheme="majorHAnsi" w:hAnsiTheme="majorHAnsi"/>
          <w:noProof/>
          <w:sz w:val="20"/>
          <w:szCs w:val="20"/>
        </w:rPr>
        <mc:AlternateContent>
          <mc:Choice Requires="wps">
            <w:drawing>
              <wp:anchor distT="0" distB="0" distL="114300" distR="114300" simplePos="0" relativeHeight="251684864" behindDoc="0" locked="0" layoutInCell="1" allowOverlap="1" wp14:anchorId="535C59CB" wp14:editId="18ED9E7C">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EBEBB0" w14:textId="77777777" w:rsidR="008419E0" w:rsidRDefault="008419E0">
                            <w:r>
                              <w:rPr>
                                <w:noProof/>
                              </w:rPr>
                              <w:drawing>
                                <wp:inline distT="0" distB="0" distL="0" distR="0" wp14:anchorId="393EC3AE" wp14:editId="37E5B2D1">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C59CB"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2DEBEBB0" w14:textId="77777777" w:rsidR="008419E0" w:rsidRDefault="008419E0">
                      <w:r>
                        <w:rPr>
                          <w:noProof/>
                        </w:rPr>
                        <w:drawing>
                          <wp:inline distT="0" distB="0" distL="0" distR="0" wp14:anchorId="393EC3AE" wp14:editId="37E5B2D1">
                            <wp:extent cx="1123950" cy="378416"/>
                            <wp:effectExtent l="0" t="0" r="0" b="3175"/>
                            <wp:docPr id="9" name="Picture 9"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05A93506" w14:textId="77777777" w:rsidR="007607C4" w:rsidRPr="00C649E1" w:rsidRDefault="007607C4" w:rsidP="003C32BC">
      <w:pPr>
        <w:tabs>
          <w:tab w:val="center" w:pos="5400"/>
        </w:tabs>
        <w:suppressAutoHyphens/>
        <w:jc w:val="center"/>
        <w:rPr>
          <w:rFonts w:asciiTheme="majorHAnsi" w:hAnsiTheme="majorHAnsi"/>
          <w:sz w:val="20"/>
          <w:szCs w:val="20"/>
        </w:rPr>
        <w:sectPr w:rsidR="007607C4" w:rsidRPr="00C649E1" w:rsidSect="00853419">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4763D1F7" w14:textId="77777777" w:rsidR="00407C66" w:rsidRDefault="00EE07B5" w:rsidP="00407C66">
      <w:pPr>
        <w:tabs>
          <w:tab w:val="center" w:pos="5400"/>
        </w:tabs>
        <w:suppressAutoHyphens/>
        <w:spacing w:line="276" w:lineRule="auto"/>
        <w:jc w:val="center"/>
        <w:rPr>
          <w:rFonts w:ascii="Cambria" w:hAnsi="Cambria" w:cstheme="minorHAnsi"/>
          <w:caps/>
          <w:sz w:val="20"/>
          <w:szCs w:val="20"/>
        </w:rPr>
      </w:pPr>
      <w:r w:rsidRPr="00EE07B5">
        <w:rPr>
          <w:rFonts w:ascii="Cambria" w:hAnsi="Cambria"/>
          <w:sz w:val="20"/>
          <w:szCs w:val="20"/>
        </w:rPr>
        <w:lastRenderedPageBreak/>
        <w:t>INDEX</w:t>
      </w:r>
    </w:p>
    <w:sdt>
      <w:sdtPr>
        <w:rPr>
          <w:rFonts w:ascii="Times New Roman" w:eastAsia="Arial Unicode MS" w:hAnsi="Times New Roman" w:cs="Times New Roman"/>
          <w:b w:val="0"/>
          <w:bCs w:val="0"/>
          <w:color w:val="auto"/>
          <w:sz w:val="24"/>
          <w:szCs w:val="24"/>
          <w:bdr w:val="nil"/>
          <w:lang w:val="es-ES" w:eastAsia="en-US"/>
        </w:rPr>
        <w:id w:val="781689428"/>
        <w:docPartObj>
          <w:docPartGallery w:val="Table of Contents"/>
          <w:docPartUnique/>
        </w:docPartObj>
      </w:sdtPr>
      <w:sdtEndPr>
        <w:rPr>
          <w:noProof/>
          <w:lang w:val="en-US"/>
        </w:rPr>
      </w:sdtEndPr>
      <w:sdtContent>
        <w:p w14:paraId="5B7ABFB4" w14:textId="77777777" w:rsidR="00407C66" w:rsidRDefault="00407C66" w:rsidP="00407C66">
          <w:pPr>
            <w:pStyle w:val="TOCHeading"/>
          </w:pPr>
        </w:p>
        <w:p w14:paraId="022468C2" w14:textId="6CA08BC7" w:rsidR="0022655F" w:rsidRDefault="00407C66">
          <w:pPr>
            <w:pStyle w:val="TOC1"/>
            <w:tabs>
              <w:tab w:val="left" w:pos="480"/>
              <w:tab w:val="right" w:leader="dot" w:pos="9350"/>
            </w:tabs>
            <w:rPr>
              <w:rFonts w:eastAsiaTheme="minorEastAsia" w:cstheme="minorBidi"/>
              <w:b w:val="0"/>
              <w:bCs w:val="0"/>
              <w:noProof/>
              <w:sz w:val="22"/>
              <w:szCs w:val="22"/>
              <w:bdr w:val="none" w:sz="0" w:space="0" w:color="auto"/>
            </w:rPr>
          </w:pPr>
          <w:r>
            <w:rPr>
              <w:b w:val="0"/>
              <w:bCs w:val="0"/>
            </w:rPr>
            <w:fldChar w:fldCharType="begin"/>
          </w:r>
          <w:r>
            <w:instrText>TOC \o "1-3" \h \z \u</w:instrText>
          </w:r>
          <w:r>
            <w:rPr>
              <w:b w:val="0"/>
              <w:bCs w:val="0"/>
            </w:rPr>
            <w:fldChar w:fldCharType="separate"/>
          </w:r>
          <w:hyperlink w:anchor="_Toc70417409" w:history="1">
            <w:r w:rsidR="0022655F" w:rsidRPr="00A334FC">
              <w:rPr>
                <w:rStyle w:val="Hyperlink"/>
                <w:noProof/>
              </w:rPr>
              <w:t>I.</w:t>
            </w:r>
            <w:r w:rsidR="0022655F">
              <w:rPr>
                <w:rFonts w:eastAsiaTheme="minorEastAsia" w:cstheme="minorBidi"/>
                <w:b w:val="0"/>
                <w:bCs w:val="0"/>
                <w:noProof/>
                <w:sz w:val="22"/>
                <w:szCs w:val="22"/>
                <w:bdr w:val="none" w:sz="0" w:space="0" w:color="auto"/>
              </w:rPr>
              <w:tab/>
            </w:r>
            <w:r w:rsidR="0022655F" w:rsidRPr="00A334FC">
              <w:rPr>
                <w:rStyle w:val="Hyperlink"/>
                <w:noProof/>
              </w:rPr>
              <w:t>INTRODUCTION</w:t>
            </w:r>
            <w:r w:rsidR="0022655F">
              <w:rPr>
                <w:noProof/>
                <w:webHidden/>
              </w:rPr>
              <w:tab/>
            </w:r>
            <w:r w:rsidR="0022655F">
              <w:rPr>
                <w:noProof/>
                <w:webHidden/>
              </w:rPr>
              <w:fldChar w:fldCharType="begin"/>
            </w:r>
            <w:r w:rsidR="0022655F">
              <w:rPr>
                <w:noProof/>
                <w:webHidden/>
              </w:rPr>
              <w:instrText xml:space="preserve"> PAGEREF _Toc70417409 \h </w:instrText>
            </w:r>
            <w:r w:rsidR="0022655F">
              <w:rPr>
                <w:noProof/>
                <w:webHidden/>
              </w:rPr>
            </w:r>
            <w:r w:rsidR="0022655F">
              <w:rPr>
                <w:noProof/>
                <w:webHidden/>
              </w:rPr>
              <w:fldChar w:fldCharType="separate"/>
            </w:r>
            <w:r w:rsidR="0010693F">
              <w:rPr>
                <w:noProof/>
                <w:webHidden/>
              </w:rPr>
              <w:t>3</w:t>
            </w:r>
            <w:r w:rsidR="0022655F">
              <w:rPr>
                <w:noProof/>
                <w:webHidden/>
              </w:rPr>
              <w:fldChar w:fldCharType="end"/>
            </w:r>
          </w:hyperlink>
        </w:p>
        <w:p w14:paraId="49D39AD7" w14:textId="558CE019" w:rsidR="0022655F" w:rsidRDefault="0010693F">
          <w:pPr>
            <w:pStyle w:val="TOC1"/>
            <w:tabs>
              <w:tab w:val="left" w:pos="480"/>
              <w:tab w:val="right" w:leader="dot" w:pos="9350"/>
            </w:tabs>
            <w:rPr>
              <w:rFonts w:eastAsiaTheme="minorEastAsia" w:cstheme="minorBidi"/>
              <w:b w:val="0"/>
              <w:bCs w:val="0"/>
              <w:noProof/>
              <w:sz w:val="22"/>
              <w:szCs w:val="22"/>
              <w:bdr w:val="none" w:sz="0" w:space="0" w:color="auto"/>
            </w:rPr>
          </w:pPr>
          <w:hyperlink w:anchor="_Toc70417410" w:history="1">
            <w:r w:rsidR="0022655F" w:rsidRPr="00A334FC">
              <w:rPr>
                <w:rStyle w:val="Hyperlink"/>
                <w:noProof/>
              </w:rPr>
              <w:t>II.</w:t>
            </w:r>
            <w:r w:rsidR="0022655F">
              <w:rPr>
                <w:rFonts w:eastAsiaTheme="minorEastAsia" w:cstheme="minorBidi"/>
                <w:b w:val="0"/>
                <w:bCs w:val="0"/>
                <w:noProof/>
                <w:sz w:val="22"/>
                <w:szCs w:val="22"/>
                <w:bdr w:val="none" w:sz="0" w:space="0" w:color="auto"/>
              </w:rPr>
              <w:tab/>
            </w:r>
            <w:r w:rsidR="0022655F" w:rsidRPr="00A334FC">
              <w:rPr>
                <w:rStyle w:val="Hyperlink"/>
                <w:noProof/>
              </w:rPr>
              <w:t>POSITIONS OF THE PARTIES</w:t>
            </w:r>
            <w:r w:rsidR="0022655F">
              <w:rPr>
                <w:noProof/>
                <w:webHidden/>
              </w:rPr>
              <w:tab/>
            </w:r>
            <w:r w:rsidR="0022655F">
              <w:rPr>
                <w:noProof/>
                <w:webHidden/>
              </w:rPr>
              <w:fldChar w:fldCharType="begin"/>
            </w:r>
            <w:r w:rsidR="0022655F">
              <w:rPr>
                <w:noProof/>
                <w:webHidden/>
              </w:rPr>
              <w:instrText xml:space="preserve"> PAGEREF _Toc70417410 \h </w:instrText>
            </w:r>
            <w:r w:rsidR="0022655F">
              <w:rPr>
                <w:noProof/>
                <w:webHidden/>
              </w:rPr>
            </w:r>
            <w:r w:rsidR="0022655F">
              <w:rPr>
                <w:noProof/>
                <w:webHidden/>
              </w:rPr>
              <w:fldChar w:fldCharType="separate"/>
            </w:r>
            <w:r>
              <w:rPr>
                <w:noProof/>
                <w:webHidden/>
              </w:rPr>
              <w:t>3</w:t>
            </w:r>
            <w:r w:rsidR="0022655F">
              <w:rPr>
                <w:noProof/>
                <w:webHidden/>
              </w:rPr>
              <w:fldChar w:fldCharType="end"/>
            </w:r>
          </w:hyperlink>
        </w:p>
        <w:p w14:paraId="55E80512" w14:textId="37134142"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11" w:history="1">
            <w:r w:rsidR="0022655F" w:rsidRPr="00A334FC">
              <w:rPr>
                <w:rStyle w:val="Hyperlink"/>
                <w:noProof/>
              </w:rPr>
              <w:t>A.</w:t>
            </w:r>
            <w:r w:rsidR="0022655F">
              <w:rPr>
                <w:rFonts w:eastAsiaTheme="minorEastAsia" w:cstheme="minorBidi"/>
                <w:i w:val="0"/>
                <w:iCs w:val="0"/>
                <w:noProof/>
                <w:sz w:val="22"/>
                <w:szCs w:val="22"/>
                <w:bdr w:val="none" w:sz="0" w:space="0" w:color="auto"/>
              </w:rPr>
              <w:tab/>
            </w:r>
            <w:r w:rsidR="0022655F" w:rsidRPr="00A334FC">
              <w:rPr>
                <w:rStyle w:val="Hyperlink"/>
                <w:noProof/>
              </w:rPr>
              <w:t>Petitioners</w:t>
            </w:r>
            <w:r w:rsidR="0022655F">
              <w:rPr>
                <w:noProof/>
                <w:webHidden/>
              </w:rPr>
              <w:tab/>
            </w:r>
            <w:r w:rsidR="0022655F">
              <w:rPr>
                <w:noProof/>
                <w:webHidden/>
              </w:rPr>
              <w:fldChar w:fldCharType="begin"/>
            </w:r>
            <w:r w:rsidR="0022655F">
              <w:rPr>
                <w:noProof/>
                <w:webHidden/>
              </w:rPr>
              <w:instrText xml:space="preserve"> PAGEREF _Toc70417411 \h </w:instrText>
            </w:r>
            <w:r w:rsidR="0022655F">
              <w:rPr>
                <w:noProof/>
                <w:webHidden/>
              </w:rPr>
            </w:r>
            <w:r w:rsidR="0022655F">
              <w:rPr>
                <w:noProof/>
                <w:webHidden/>
              </w:rPr>
              <w:fldChar w:fldCharType="separate"/>
            </w:r>
            <w:r>
              <w:rPr>
                <w:noProof/>
                <w:webHidden/>
              </w:rPr>
              <w:t>3</w:t>
            </w:r>
            <w:r w:rsidR="0022655F">
              <w:rPr>
                <w:noProof/>
                <w:webHidden/>
              </w:rPr>
              <w:fldChar w:fldCharType="end"/>
            </w:r>
          </w:hyperlink>
        </w:p>
        <w:p w14:paraId="411761A6" w14:textId="428FE407"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12" w:history="1">
            <w:r w:rsidR="0022655F" w:rsidRPr="00A334FC">
              <w:rPr>
                <w:rStyle w:val="Hyperlink"/>
                <w:noProof/>
              </w:rPr>
              <w:t>B.</w:t>
            </w:r>
            <w:r w:rsidR="0022655F">
              <w:rPr>
                <w:rFonts w:eastAsiaTheme="minorEastAsia" w:cstheme="minorBidi"/>
                <w:i w:val="0"/>
                <w:iCs w:val="0"/>
                <w:noProof/>
                <w:sz w:val="22"/>
                <w:szCs w:val="22"/>
                <w:bdr w:val="none" w:sz="0" w:space="0" w:color="auto"/>
              </w:rPr>
              <w:tab/>
            </w:r>
            <w:r w:rsidR="0022655F" w:rsidRPr="00A334FC">
              <w:rPr>
                <w:rStyle w:val="Hyperlink"/>
                <w:noProof/>
              </w:rPr>
              <w:t>State</w:t>
            </w:r>
            <w:r w:rsidR="0022655F">
              <w:rPr>
                <w:noProof/>
                <w:webHidden/>
              </w:rPr>
              <w:tab/>
            </w:r>
            <w:r w:rsidR="0022655F">
              <w:rPr>
                <w:noProof/>
                <w:webHidden/>
              </w:rPr>
              <w:fldChar w:fldCharType="begin"/>
            </w:r>
            <w:r w:rsidR="0022655F">
              <w:rPr>
                <w:noProof/>
                <w:webHidden/>
              </w:rPr>
              <w:instrText xml:space="preserve"> PAGEREF _Toc70417412 \h </w:instrText>
            </w:r>
            <w:r w:rsidR="0022655F">
              <w:rPr>
                <w:noProof/>
                <w:webHidden/>
              </w:rPr>
            </w:r>
            <w:r w:rsidR="0022655F">
              <w:rPr>
                <w:noProof/>
                <w:webHidden/>
              </w:rPr>
              <w:fldChar w:fldCharType="separate"/>
            </w:r>
            <w:r>
              <w:rPr>
                <w:noProof/>
                <w:webHidden/>
              </w:rPr>
              <w:t>4</w:t>
            </w:r>
            <w:r w:rsidR="0022655F">
              <w:rPr>
                <w:noProof/>
                <w:webHidden/>
              </w:rPr>
              <w:fldChar w:fldCharType="end"/>
            </w:r>
          </w:hyperlink>
        </w:p>
        <w:p w14:paraId="3909FC8A" w14:textId="170AB0C3" w:rsidR="0022655F" w:rsidRDefault="0010693F">
          <w:pPr>
            <w:pStyle w:val="TOC1"/>
            <w:tabs>
              <w:tab w:val="left" w:pos="480"/>
              <w:tab w:val="right" w:leader="dot" w:pos="9350"/>
            </w:tabs>
            <w:rPr>
              <w:rFonts w:eastAsiaTheme="minorEastAsia" w:cstheme="minorBidi"/>
              <w:b w:val="0"/>
              <w:bCs w:val="0"/>
              <w:noProof/>
              <w:sz w:val="22"/>
              <w:szCs w:val="22"/>
              <w:bdr w:val="none" w:sz="0" w:space="0" w:color="auto"/>
            </w:rPr>
          </w:pPr>
          <w:hyperlink w:anchor="_Toc70417413" w:history="1">
            <w:r w:rsidR="0022655F" w:rsidRPr="00A334FC">
              <w:rPr>
                <w:rStyle w:val="Hyperlink"/>
                <w:noProof/>
              </w:rPr>
              <w:t>III.</w:t>
            </w:r>
            <w:r w:rsidR="0022655F">
              <w:rPr>
                <w:rFonts w:eastAsiaTheme="minorEastAsia" w:cstheme="minorBidi"/>
                <w:b w:val="0"/>
                <w:bCs w:val="0"/>
                <w:noProof/>
                <w:sz w:val="22"/>
                <w:szCs w:val="22"/>
                <w:bdr w:val="none" w:sz="0" w:space="0" w:color="auto"/>
              </w:rPr>
              <w:tab/>
            </w:r>
            <w:r w:rsidR="0022655F" w:rsidRPr="00A334FC">
              <w:rPr>
                <w:rStyle w:val="Hyperlink"/>
                <w:noProof/>
              </w:rPr>
              <w:t>ADMISSIBILITY</w:t>
            </w:r>
            <w:r w:rsidR="0022655F">
              <w:rPr>
                <w:noProof/>
                <w:webHidden/>
              </w:rPr>
              <w:tab/>
            </w:r>
            <w:r w:rsidR="0022655F">
              <w:rPr>
                <w:noProof/>
                <w:webHidden/>
              </w:rPr>
              <w:fldChar w:fldCharType="begin"/>
            </w:r>
            <w:r w:rsidR="0022655F">
              <w:rPr>
                <w:noProof/>
                <w:webHidden/>
              </w:rPr>
              <w:instrText xml:space="preserve"> PAGEREF _Toc70417413 \h </w:instrText>
            </w:r>
            <w:r w:rsidR="0022655F">
              <w:rPr>
                <w:noProof/>
                <w:webHidden/>
              </w:rPr>
            </w:r>
            <w:r w:rsidR="0022655F">
              <w:rPr>
                <w:noProof/>
                <w:webHidden/>
              </w:rPr>
              <w:fldChar w:fldCharType="separate"/>
            </w:r>
            <w:r>
              <w:rPr>
                <w:noProof/>
                <w:webHidden/>
              </w:rPr>
              <w:t>5</w:t>
            </w:r>
            <w:r w:rsidR="0022655F">
              <w:rPr>
                <w:noProof/>
                <w:webHidden/>
              </w:rPr>
              <w:fldChar w:fldCharType="end"/>
            </w:r>
          </w:hyperlink>
        </w:p>
        <w:p w14:paraId="4F2A0ECD" w14:textId="0073014A"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14" w:history="1">
            <w:r w:rsidR="0022655F" w:rsidRPr="00A334FC">
              <w:rPr>
                <w:rStyle w:val="Hyperlink"/>
                <w:rFonts w:cs="Times New Roman"/>
                <w:noProof/>
              </w:rPr>
              <w:t>A.</w:t>
            </w:r>
            <w:r w:rsidR="0022655F">
              <w:rPr>
                <w:rFonts w:eastAsiaTheme="minorEastAsia" w:cstheme="minorBidi"/>
                <w:i w:val="0"/>
                <w:iCs w:val="0"/>
                <w:noProof/>
                <w:sz w:val="22"/>
                <w:szCs w:val="22"/>
                <w:bdr w:val="none" w:sz="0" w:space="0" w:color="auto"/>
              </w:rPr>
              <w:tab/>
            </w:r>
            <w:r w:rsidR="0022655F" w:rsidRPr="00A334FC">
              <w:rPr>
                <w:rStyle w:val="Hyperlink"/>
                <w:rFonts w:cs="Times New Roman"/>
                <w:noProof/>
              </w:rPr>
              <w:t>Competence, duplication of procedures and international res judicata</w:t>
            </w:r>
            <w:r w:rsidR="0022655F">
              <w:rPr>
                <w:noProof/>
                <w:webHidden/>
              </w:rPr>
              <w:tab/>
            </w:r>
            <w:r w:rsidR="0022655F">
              <w:rPr>
                <w:noProof/>
                <w:webHidden/>
              </w:rPr>
              <w:fldChar w:fldCharType="begin"/>
            </w:r>
            <w:r w:rsidR="0022655F">
              <w:rPr>
                <w:noProof/>
                <w:webHidden/>
              </w:rPr>
              <w:instrText xml:space="preserve"> PAGEREF _Toc70417414 \h </w:instrText>
            </w:r>
            <w:r w:rsidR="0022655F">
              <w:rPr>
                <w:noProof/>
                <w:webHidden/>
              </w:rPr>
            </w:r>
            <w:r w:rsidR="0022655F">
              <w:rPr>
                <w:noProof/>
                <w:webHidden/>
              </w:rPr>
              <w:fldChar w:fldCharType="separate"/>
            </w:r>
            <w:r>
              <w:rPr>
                <w:noProof/>
                <w:webHidden/>
              </w:rPr>
              <w:t>5</w:t>
            </w:r>
            <w:r w:rsidR="0022655F">
              <w:rPr>
                <w:noProof/>
                <w:webHidden/>
              </w:rPr>
              <w:fldChar w:fldCharType="end"/>
            </w:r>
          </w:hyperlink>
        </w:p>
        <w:p w14:paraId="1B86B20E" w14:textId="793FE310"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15" w:history="1">
            <w:r w:rsidR="0022655F" w:rsidRPr="00A334FC">
              <w:rPr>
                <w:rStyle w:val="Hyperlink"/>
                <w:rFonts w:cs="Tahoma"/>
                <w:noProof/>
              </w:rPr>
              <w:t>B.</w:t>
            </w:r>
            <w:r w:rsidR="0022655F">
              <w:rPr>
                <w:rFonts w:eastAsiaTheme="minorEastAsia" w:cstheme="minorBidi"/>
                <w:i w:val="0"/>
                <w:iCs w:val="0"/>
                <w:noProof/>
                <w:sz w:val="22"/>
                <w:szCs w:val="22"/>
                <w:bdr w:val="none" w:sz="0" w:space="0" w:color="auto"/>
              </w:rPr>
              <w:tab/>
            </w:r>
            <w:r w:rsidR="0022655F" w:rsidRPr="00A334FC">
              <w:rPr>
                <w:rStyle w:val="Hyperlink"/>
                <w:rFonts w:cs="Tahoma"/>
                <w:noProof/>
                <w:shd w:val="clear" w:color="auto" w:fill="FFFFFF"/>
              </w:rPr>
              <w:t>Exhaustion of domestic remedies and timeliness of the petition</w:t>
            </w:r>
            <w:r w:rsidR="0022655F">
              <w:rPr>
                <w:noProof/>
                <w:webHidden/>
              </w:rPr>
              <w:tab/>
            </w:r>
            <w:r w:rsidR="0022655F">
              <w:rPr>
                <w:noProof/>
                <w:webHidden/>
              </w:rPr>
              <w:fldChar w:fldCharType="begin"/>
            </w:r>
            <w:r w:rsidR="0022655F">
              <w:rPr>
                <w:noProof/>
                <w:webHidden/>
              </w:rPr>
              <w:instrText xml:space="preserve"> PAGEREF _Toc70417415 \h </w:instrText>
            </w:r>
            <w:r w:rsidR="0022655F">
              <w:rPr>
                <w:noProof/>
                <w:webHidden/>
              </w:rPr>
            </w:r>
            <w:r w:rsidR="0022655F">
              <w:rPr>
                <w:noProof/>
                <w:webHidden/>
              </w:rPr>
              <w:fldChar w:fldCharType="separate"/>
            </w:r>
            <w:r>
              <w:rPr>
                <w:noProof/>
                <w:webHidden/>
              </w:rPr>
              <w:t>5</w:t>
            </w:r>
            <w:r w:rsidR="0022655F">
              <w:rPr>
                <w:noProof/>
                <w:webHidden/>
              </w:rPr>
              <w:fldChar w:fldCharType="end"/>
            </w:r>
          </w:hyperlink>
        </w:p>
        <w:p w14:paraId="196985ED" w14:textId="6FCC7F56"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16" w:history="1">
            <w:r w:rsidR="0022655F" w:rsidRPr="00A334FC">
              <w:rPr>
                <w:rStyle w:val="Hyperlink"/>
                <w:rFonts w:cs="Times New Roman"/>
                <w:noProof/>
              </w:rPr>
              <w:t>C.</w:t>
            </w:r>
            <w:r w:rsidR="0022655F">
              <w:rPr>
                <w:rFonts w:eastAsiaTheme="minorEastAsia" w:cstheme="minorBidi"/>
                <w:i w:val="0"/>
                <w:iCs w:val="0"/>
                <w:noProof/>
                <w:sz w:val="22"/>
                <w:szCs w:val="22"/>
                <w:bdr w:val="none" w:sz="0" w:space="0" w:color="auto"/>
              </w:rPr>
              <w:tab/>
            </w:r>
            <w:r w:rsidR="0022655F" w:rsidRPr="00A334FC">
              <w:rPr>
                <w:rStyle w:val="Hyperlink"/>
                <w:rFonts w:cs="Times New Roman"/>
                <w:noProof/>
              </w:rPr>
              <w:t>Colorable claim</w:t>
            </w:r>
            <w:r w:rsidR="0022655F">
              <w:rPr>
                <w:noProof/>
                <w:webHidden/>
              </w:rPr>
              <w:tab/>
            </w:r>
            <w:r w:rsidR="0022655F">
              <w:rPr>
                <w:noProof/>
                <w:webHidden/>
              </w:rPr>
              <w:fldChar w:fldCharType="begin"/>
            </w:r>
            <w:r w:rsidR="0022655F">
              <w:rPr>
                <w:noProof/>
                <w:webHidden/>
              </w:rPr>
              <w:instrText xml:space="preserve"> PAGEREF _Toc70417416 \h </w:instrText>
            </w:r>
            <w:r w:rsidR="0022655F">
              <w:rPr>
                <w:noProof/>
                <w:webHidden/>
              </w:rPr>
            </w:r>
            <w:r w:rsidR="0022655F">
              <w:rPr>
                <w:noProof/>
                <w:webHidden/>
              </w:rPr>
              <w:fldChar w:fldCharType="separate"/>
            </w:r>
            <w:r>
              <w:rPr>
                <w:noProof/>
                <w:webHidden/>
              </w:rPr>
              <w:t>6</w:t>
            </w:r>
            <w:r w:rsidR="0022655F">
              <w:rPr>
                <w:noProof/>
                <w:webHidden/>
              </w:rPr>
              <w:fldChar w:fldCharType="end"/>
            </w:r>
          </w:hyperlink>
        </w:p>
        <w:p w14:paraId="0043897A" w14:textId="4E3F2D16" w:rsidR="0022655F" w:rsidRDefault="0010693F">
          <w:pPr>
            <w:pStyle w:val="TOC1"/>
            <w:tabs>
              <w:tab w:val="left" w:pos="480"/>
              <w:tab w:val="right" w:leader="dot" w:pos="9350"/>
            </w:tabs>
            <w:rPr>
              <w:rFonts w:eastAsiaTheme="minorEastAsia" w:cstheme="minorBidi"/>
              <w:b w:val="0"/>
              <w:bCs w:val="0"/>
              <w:noProof/>
              <w:sz w:val="22"/>
              <w:szCs w:val="22"/>
              <w:bdr w:val="none" w:sz="0" w:space="0" w:color="auto"/>
            </w:rPr>
          </w:pPr>
          <w:hyperlink w:anchor="_Toc70417417" w:history="1">
            <w:r w:rsidR="0022655F" w:rsidRPr="00A334FC">
              <w:rPr>
                <w:rStyle w:val="Hyperlink"/>
                <w:noProof/>
              </w:rPr>
              <w:t>IV.</w:t>
            </w:r>
            <w:r w:rsidR="0022655F">
              <w:rPr>
                <w:rFonts w:eastAsiaTheme="minorEastAsia" w:cstheme="minorBidi"/>
                <w:b w:val="0"/>
                <w:bCs w:val="0"/>
                <w:noProof/>
                <w:sz w:val="22"/>
                <w:szCs w:val="22"/>
                <w:bdr w:val="none" w:sz="0" w:space="0" w:color="auto"/>
              </w:rPr>
              <w:tab/>
            </w:r>
            <w:r w:rsidR="0022655F" w:rsidRPr="00A334FC">
              <w:rPr>
                <w:rStyle w:val="Hyperlink"/>
                <w:noProof/>
              </w:rPr>
              <w:t>FINDINGS OF FACT</w:t>
            </w:r>
            <w:r w:rsidR="0022655F">
              <w:rPr>
                <w:noProof/>
                <w:webHidden/>
              </w:rPr>
              <w:tab/>
            </w:r>
            <w:r w:rsidR="0022655F">
              <w:rPr>
                <w:noProof/>
                <w:webHidden/>
              </w:rPr>
              <w:fldChar w:fldCharType="begin"/>
            </w:r>
            <w:r w:rsidR="0022655F">
              <w:rPr>
                <w:noProof/>
                <w:webHidden/>
              </w:rPr>
              <w:instrText xml:space="preserve"> PAGEREF _Toc70417417 \h </w:instrText>
            </w:r>
            <w:r w:rsidR="0022655F">
              <w:rPr>
                <w:noProof/>
                <w:webHidden/>
              </w:rPr>
            </w:r>
            <w:r w:rsidR="0022655F">
              <w:rPr>
                <w:noProof/>
                <w:webHidden/>
              </w:rPr>
              <w:fldChar w:fldCharType="separate"/>
            </w:r>
            <w:r>
              <w:rPr>
                <w:noProof/>
                <w:webHidden/>
              </w:rPr>
              <w:t>6</w:t>
            </w:r>
            <w:r w:rsidR="0022655F">
              <w:rPr>
                <w:noProof/>
                <w:webHidden/>
              </w:rPr>
              <w:fldChar w:fldCharType="end"/>
            </w:r>
          </w:hyperlink>
        </w:p>
        <w:p w14:paraId="39FDBF86" w14:textId="7FB6FC61"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18" w:history="1">
            <w:r w:rsidR="0022655F" w:rsidRPr="00A334FC">
              <w:rPr>
                <w:rStyle w:val="Hyperlink"/>
                <w:noProof/>
              </w:rPr>
              <w:t>A.</w:t>
            </w:r>
            <w:r w:rsidR="0022655F">
              <w:rPr>
                <w:rFonts w:eastAsiaTheme="minorEastAsia" w:cstheme="minorBidi"/>
                <w:i w:val="0"/>
                <w:iCs w:val="0"/>
                <w:noProof/>
                <w:sz w:val="22"/>
                <w:szCs w:val="22"/>
                <w:bdr w:val="none" w:sz="0" w:space="0" w:color="auto"/>
              </w:rPr>
              <w:tab/>
            </w:r>
            <w:r w:rsidR="0022655F" w:rsidRPr="00A334FC">
              <w:rPr>
                <w:rStyle w:val="Hyperlink"/>
                <w:noProof/>
              </w:rPr>
              <w:t>The federal death penalty system</w:t>
            </w:r>
            <w:r w:rsidR="0022655F">
              <w:rPr>
                <w:noProof/>
                <w:webHidden/>
              </w:rPr>
              <w:tab/>
            </w:r>
            <w:r w:rsidR="0022655F">
              <w:rPr>
                <w:noProof/>
                <w:webHidden/>
              </w:rPr>
              <w:fldChar w:fldCharType="begin"/>
            </w:r>
            <w:r w:rsidR="0022655F">
              <w:rPr>
                <w:noProof/>
                <w:webHidden/>
              </w:rPr>
              <w:instrText xml:space="preserve"> PAGEREF _Toc70417418 \h </w:instrText>
            </w:r>
            <w:r w:rsidR="0022655F">
              <w:rPr>
                <w:noProof/>
                <w:webHidden/>
              </w:rPr>
            </w:r>
            <w:r w:rsidR="0022655F">
              <w:rPr>
                <w:noProof/>
                <w:webHidden/>
              </w:rPr>
              <w:fldChar w:fldCharType="separate"/>
            </w:r>
            <w:r>
              <w:rPr>
                <w:noProof/>
                <w:webHidden/>
              </w:rPr>
              <w:t>6</w:t>
            </w:r>
            <w:r w:rsidR="0022655F">
              <w:rPr>
                <w:noProof/>
                <w:webHidden/>
              </w:rPr>
              <w:fldChar w:fldCharType="end"/>
            </w:r>
          </w:hyperlink>
        </w:p>
        <w:p w14:paraId="56A945FB" w14:textId="6C6BCA63"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19" w:history="1">
            <w:r w:rsidR="0022655F" w:rsidRPr="00A334FC">
              <w:rPr>
                <w:rStyle w:val="Hyperlink"/>
                <w:noProof/>
              </w:rPr>
              <w:t>B.</w:t>
            </w:r>
            <w:r w:rsidR="0022655F">
              <w:rPr>
                <w:rFonts w:eastAsiaTheme="minorEastAsia" w:cstheme="minorBidi"/>
                <w:i w:val="0"/>
                <w:iCs w:val="0"/>
                <w:noProof/>
                <w:sz w:val="22"/>
                <w:szCs w:val="22"/>
                <w:bdr w:val="none" w:sz="0" w:space="0" w:color="auto"/>
              </w:rPr>
              <w:tab/>
            </w:r>
            <w:r w:rsidR="0022655F" w:rsidRPr="00A334FC">
              <w:rPr>
                <w:rStyle w:val="Hyperlink"/>
                <w:noProof/>
              </w:rPr>
              <w:t>Race and the federal death penalty in Texas</w:t>
            </w:r>
            <w:r w:rsidR="0022655F">
              <w:rPr>
                <w:noProof/>
                <w:webHidden/>
              </w:rPr>
              <w:tab/>
            </w:r>
            <w:r w:rsidR="0022655F">
              <w:rPr>
                <w:noProof/>
                <w:webHidden/>
              </w:rPr>
              <w:fldChar w:fldCharType="begin"/>
            </w:r>
            <w:r w:rsidR="0022655F">
              <w:rPr>
                <w:noProof/>
                <w:webHidden/>
              </w:rPr>
              <w:instrText xml:space="preserve"> PAGEREF _Toc70417419 \h </w:instrText>
            </w:r>
            <w:r w:rsidR="0022655F">
              <w:rPr>
                <w:noProof/>
                <w:webHidden/>
              </w:rPr>
            </w:r>
            <w:r w:rsidR="0022655F">
              <w:rPr>
                <w:noProof/>
                <w:webHidden/>
              </w:rPr>
              <w:fldChar w:fldCharType="separate"/>
            </w:r>
            <w:r>
              <w:rPr>
                <w:noProof/>
                <w:webHidden/>
              </w:rPr>
              <w:t>7</w:t>
            </w:r>
            <w:r w:rsidR="0022655F">
              <w:rPr>
                <w:noProof/>
                <w:webHidden/>
              </w:rPr>
              <w:fldChar w:fldCharType="end"/>
            </w:r>
          </w:hyperlink>
        </w:p>
        <w:p w14:paraId="36EE8F4B" w14:textId="7C08F15E"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20" w:history="1">
            <w:r w:rsidR="0022655F" w:rsidRPr="00A334FC">
              <w:rPr>
                <w:rStyle w:val="Hyperlink"/>
                <w:noProof/>
              </w:rPr>
              <w:t>C.</w:t>
            </w:r>
            <w:r w:rsidR="0022655F">
              <w:rPr>
                <w:rFonts w:eastAsiaTheme="minorEastAsia" w:cstheme="minorBidi"/>
                <w:i w:val="0"/>
                <w:iCs w:val="0"/>
                <w:noProof/>
                <w:sz w:val="22"/>
                <w:szCs w:val="22"/>
                <w:bdr w:val="none" w:sz="0" w:space="0" w:color="auto"/>
              </w:rPr>
              <w:tab/>
            </w:r>
            <w:r w:rsidR="0022655F" w:rsidRPr="00A334FC">
              <w:rPr>
                <w:rStyle w:val="Hyperlink"/>
                <w:noProof/>
              </w:rPr>
              <w:t>Jury selection process</w:t>
            </w:r>
            <w:r w:rsidR="0022655F">
              <w:rPr>
                <w:noProof/>
                <w:webHidden/>
              </w:rPr>
              <w:tab/>
            </w:r>
            <w:r w:rsidR="0022655F">
              <w:rPr>
                <w:noProof/>
                <w:webHidden/>
              </w:rPr>
              <w:fldChar w:fldCharType="begin"/>
            </w:r>
            <w:r w:rsidR="0022655F">
              <w:rPr>
                <w:noProof/>
                <w:webHidden/>
              </w:rPr>
              <w:instrText xml:space="preserve"> PAGEREF _Toc70417420 \h </w:instrText>
            </w:r>
            <w:r w:rsidR="0022655F">
              <w:rPr>
                <w:noProof/>
                <w:webHidden/>
              </w:rPr>
            </w:r>
            <w:r w:rsidR="0022655F">
              <w:rPr>
                <w:noProof/>
                <w:webHidden/>
              </w:rPr>
              <w:fldChar w:fldCharType="separate"/>
            </w:r>
            <w:r>
              <w:rPr>
                <w:noProof/>
                <w:webHidden/>
              </w:rPr>
              <w:t>7</w:t>
            </w:r>
            <w:r w:rsidR="0022655F">
              <w:rPr>
                <w:noProof/>
                <w:webHidden/>
              </w:rPr>
              <w:fldChar w:fldCharType="end"/>
            </w:r>
          </w:hyperlink>
        </w:p>
        <w:p w14:paraId="78FBF34E" w14:textId="4601FB9D"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21" w:history="1">
            <w:r w:rsidR="0022655F" w:rsidRPr="00A334FC">
              <w:rPr>
                <w:rStyle w:val="Hyperlink"/>
                <w:noProof/>
              </w:rPr>
              <w:t>D.</w:t>
            </w:r>
            <w:r w:rsidR="0022655F">
              <w:rPr>
                <w:rFonts w:eastAsiaTheme="minorEastAsia" w:cstheme="minorBidi"/>
                <w:i w:val="0"/>
                <w:iCs w:val="0"/>
                <w:noProof/>
                <w:sz w:val="22"/>
                <w:szCs w:val="22"/>
                <w:bdr w:val="none" w:sz="0" w:space="0" w:color="auto"/>
              </w:rPr>
              <w:tab/>
            </w:r>
            <w:r w:rsidR="0022655F" w:rsidRPr="00A334FC">
              <w:rPr>
                <w:rStyle w:val="Hyperlink"/>
                <w:noProof/>
              </w:rPr>
              <w:t>Factual background, trial and death sentence</w:t>
            </w:r>
            <w:r w:rsidR="0022655F">
              <w:rPr>
                <w:noProof/>
                <w:webHidden/>
              </w:rPr>
              <w:tab/>
            </w:r>
            <w:r w:rsidR="0022655F">
              <w:rPr>
                <w:noProof/>
                <w:webHidden/>
              </w:rPr>
              <w:fldChar w:fldCharType="begin"/>
            </w:r>
            <w:r w:rsidR="0022655F">
              <w:rPr>
                <w:noProof/>
                <w:webHidden/>
              </w:rPr>
              <w:instrText xml:space="preserve"> PAGEREF _Toc70417421 \h </w:instrText>
            </w:r>
            <w:r w:rsidR="0022655F">
              <w:rPr>
                <w:noProof/>
                <w:webHidden/>
              </w:rPr>
            </w:r>
            <w:r w:rsidR="0022655F">
              <w:rPr>
                <w:noProof/>
                <w:webHidden/>
              </w:rPr>
              <w:fldChar w:fldCharType="separate"/>
            </w:r>
            <w:r>
              <w:rPr>
                <w:noProof/>
                <w:webHidden/>
              </w:rPr>
              <w:t>7</w:t>
            </w:r>
            <w:r w:rsidR="0022655F">
              <w:rPr>
                <w:noProof/>
                <w:webHidden/>
              </w:rPr>
              <w:fldChar w:fldCharType="end"/>
            </w:r>
          </w:hyperlink>
        </w:p>
        <w:p w14:paraId="74B1E6FA" w14:textId="108DD588"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22" w:history="1">
            <w:r w:rsidR="0022655F" w:rsidRPr="00A334FC">
              <w:rPr>
                <w:rStyle w:val="Hyperlink"/>
                <w:noProof/>
              </w:rPr>
              <w:t>E.</w:t>
            </w:r>
            <w:r w:rsidR="0022655F">
              <w:rPr>
                <w:rFonts w:eastAsiaTheme="minorEastAsia" w:cstheme="minorBidi"/>
                <w:i w:val="0"/>
                <w:iCs w:val="0"/>
                <w:noProof/>
                <w:sz w:val="22"/>
                <w:szCs w:val="22"/>
                <w:bdr w:val="none" w:sz="0" w:space="0" w:color="auto"/>
              </w:rPr>
              <w:tab/>
            </w:r>
            <w:r w:rsidR="0022655F" w:rsidRPr="00A334FC">
              <w:rPr>
                <w:rStyle w:val="Hyperlink"/>
                <w:noProof/>
              </w:rPr>
              <w:t>Post-conviction proceedings</w:t>
            </w:r>
            <w:r w:rsidR="0022655F">
              <w:rPr>
                <w:noProof/>
                <w:webHidden/>
              </w:rPr>
              <w:tab/>
            </w:r>
            <w:r w:rsidR="0022655F">
              <w:rPr>
                <w:noProof/>
                <w:webHidden/>
              </w:rPr>
              <w:fldChar w:fldCharType="begin"/>
            </w:r>
            <w:r w:rsidR="0022655F">
              <w:rPr>
                <w:noProof/>
                <w:webHidden/>
              </w:rPr>
              <w:instrText xml:space="preserve"> PAGEREF _Toc70417422 \h </w:instrText>
            </w:r>
            <w:r w:rsidR="0022655F">
              <w:rPr>
                <w:noProof/>
                <w:webHidden/>
              </w:rPr>
            </w:r>
            <w:r w:rsidR="0022655F">
              <w:rPr>
                <w:noProof/>
                <w:webHidden/>
              </w:rPr>
              <w:fldChar w:fldCharType="separate"/>
            </w:r>
            <w:r>
              <w:rPr>
                <w:noProof/>
                <w:webHidden/>
              </w:rPr>
              <w:t>9</w:t>
            </w:r>
            <w:r w:rsidR="0022655F">
              <w:rPr>
                <w:noProof/>
                <w:webHidden/>
              </w:rPr>
              <w:fldChar w:fldCharType="end"/>
            </w:r>
          </w:hyperlink>
        </w:p>
        <w:p w14:paraId="67F6F789" w14:textId="02FE4BCA"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23" w:history="1">
            <w:r w:rsidR="0022655F" w:rsidRPr="00A334FC">
              <w:rPr>
                <w:rStyle w:val="Hyperlink"/>
                <w:noProof/>
              </w:rPr>
              <w:t>F.</w:t>
            </w:r>
            <w:r w:rsidR="0022655F">
              <w:rPr>
                <w:rFonts w:eastAsiaTheme="minorEastAsia" w:cstheme="minorBidi"/>
                <w:i w:val="0"/>
                <w:iCs w:val="0"/>
                <w:noProof/>
                <w:sz w:val="22"/>
                <w:szCs w:val="22"/>
                <w:bdr w:val="none" w:sz="0" w:space="0" w:color="auto"/>
              </w:rPr>
              <w:tab/>
            </w:r>
            <w:r w:rsidR="0022655F" w:rsidRPr="00A334FC">
              <w:rPr>
                <w:rStyle w:val="Hyperlink"/>
                <w:noProof/>
              </w:rPr>
              <w:t>Legal proceedings regarding the lethal injection protocol</w:t>
            </w:r>
            <w:r w:rsidR="0022655F">
              <w:rPr>
                <w:noProof/>
                <w:webHidden/>
              </w:rPr>
              <w:tab/>
            </w:r>
            <w:r w:rsidR="0022655F">
              <w:rPr>
                <w:noProof/>
                <w:webHidden/>
              </w:rPr>
              <w:fldChar w:fldCharType="begin"/>
            </w:r>
            <w:r w:rsidR="0022655F">
              <w:rPr>
                <w:noProof/>
                <w:webHidden/>
              </w:rPr>
              <w:instrText xml:space="preserve"> PAGEREF _Toc70417423 \h </w:instrText>
            </w:r>
            <w:r w:rsidR="0022655F">
              <w:rPr>
                <w:noProof/>
                <w:webHidden/>
              </w:rPr>
            </w:r>
            <w:r w:rsidR="0022655F">
              <w:rPr>
                <w:noProof/>
                <w:webHidden/>
              </w:rPr>
              <w:fldChar w:fldCharType="separate"/>
            </w:r>
            <w:r>
              <w:rPr>
                <w:noProof/>
                <w:webHidden/>
              </w:rPr>
              <w:t>12</w:t>
            </w:r>
            <w:r w:rsidR="0022655F">
              <w:rPr>
                <w:noProof/>
                <w:webHidden/>
              </w:rPr>
              <w:fldChar w:fldCharType="end"/>
            </w:r>
          </w:hyperlink>
        </w:p>
        <w:p w14:paraId="08832035" w14:textId="6828B301" w:rsidR="0022655F" w:rsidRDefault="0010693F">
          <w:pPr>
            <w:pStyle w:val="TOC1"/>
            <w:tabs>
              <w:tab w:val="left" w:pos="480"/>
              <w:tab w:val="right" w:leader="dot" w:pos="9350"/>
            </w:tabs>
            <w:rPr>
              <w:rFonts w:eastAsiaTheme="minorEastAsia" w:cstheme="minorBidi"/>
              <w:b w:val="0"/>
              <w:bCs w:val="0"/>
              <w:noProof/>
              <w:sz w:val="22"/>
              <w:szCs w:val="22"/>
              <w:bdr w:val="none" w:sz="0" w:space="0" w:color="auto"/>
            </w:rPr>
          </w:pPr>
          <w:hyperlink w:anchor="_Toc70417424" w:history="1">
            <w:r w:rsidR="0022655F" w:rsidRPr="00A334FC">
              <w:rPr>
                <w:rStyle w:val="Hyperlink"/>
                <w:noProof/>
              </w:rPr>
              <w:t>V.</w:t>
            </w:r>
            <w:r w:rsidR="0022655F">
              <w:rPr>
                <w:rFonts w:eastAsiaTheme="minorEastAsia" w:cstheme="minorBidi"/>
                <w:b w:val="0"/>
                <w:bCs w:val="0"/>
                <w:noProof/>
                <w:sz w:val="22"/>
                <w:szCs w:val="22"/>
                <w:bdr w:val="none" w:sz="0" w:space="0" w:color="auto"/>
              </w:rPr>
              <w:tab/>
            </w:r>
            <w:r w:rsidR="0022655F" w:rsidRPr="00A334FC">
              <w:rPr>
                <w:rStyle w:val="Hyperlink"/>
                <w:noProof/>
              </w:rPr>
              <w:t>ANALYSIS OF LAW</w:t>
            </w:r>
            <w:r w:rsidR="0022655F">
              <w:rPr>
                <w:noProof/>
                <w:webHidden/>
              </w:rPr>
              <w:tab/>
            </w:r>
            <w:r w:rsidR="0022655F">
              <w:rPr>
                <w:noProof/>
                <w:webHidden/>
              </w:rPr>
              <w:fldChar w:fldCharType="begin"/>
            </w:r>
            <w:r w:rsidR="0022655F">
              <w:rPr>
                <w:noProof/>
                <w:webHidden/>
              </w:rPr>
              <w:instrText xml:space="preserve"> PAGEREF _Toc70417424 \h </w:instrText>
            </w:r>
            <w:r w:rsidR="0022655F">
              <w:rPr>
                <w:noProof/>
                <w:webHidden/>
              </w:rPr>
            </w:r>
            <w:r w:rsidR="0022655F">
              <w:rPr>
                <w:noProof/>
                <w:webHidden/>
              </w:rPr>
              <w:fldChar w:fldCharType="separate"/>
            </w:r>
            <w:r>
              <w:rPr>
                <w:noProof/>
                <w:webHidden/>
              </w:rPr>
              <w:t>13</w:t>
            </w:r>
            <w:r w:rsidR="0022655F">
              <w:rPr>
                <w:noProof/>
                <w:webHidden/>
              </w:rPr>
              <w:fldChar w:fldCharType="end"/>
            </w:r>
          </w:hyperlink>
        </w:p>
        <w:p w14:paraId="29775823" w14:textId="438C26A4"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25" w:history="1">
            <w:r w:rsidR="0022655F" w:rsidRPr="00A334FC">
              <w:rPr>
                <w:rStyle w:val="Hyperlink"/>
                <w:noProof/>
              </w:rPr>
              <w:t>A.</w:t>
            </w:r>
            <w:r w:rsidR="0022655F">
              <w:rPr>
                <w:rFonts w:eastAsiaTheme="minorEastAsia" w:cstheme="minorBidi"/>
                <w:i w:val="0"/>
                <w:iCs w:val="0"/>
                <w:noProof/>
                <w:sz w:val="22"/>
                <w:szCs w:val="22"/>
                <w:bdr w:val="none" w:sz="0" w:space="0" w:color="auto"/>
              </w:rPr>
              <w:tab/>
            </w:r>
            <w:r w:rsidR="0022655F" w:rsidRPr="00A334FC">
              <w:rPr>
                <w:rStyle w:val="Hyperlink"/>
                <w:noProof/>
              </w:rPr>
              <w:t>Preliminary considerations</w:t>
            </w:r>
            <w:r w:rsidR="0022655F">
              <w:rPr>
                <w:noProof/>
                <w:webHidden/>
              </w:rPr>
              <w:tab/>
            </w:r>
            <w:r w:rsidR="0022655F">
              <w:rPr>
                <w:noProof/>
                <w:webHidden/>
              </w:rPr>
              <w:fldChar w:fldCharType="begin"/>
            </w:r>
            <w:r w:rsidR="0022655F">
              <w:rPr>
                <w:noProof/>
                <w:webHidden/>
              </w:rPr>
              <w:instrText xml:space="preserve"> PAGEREF _Toc70417425 \h </w:instrText>
            </w:r>
            <w:r w:rsidR="0022655F">
              <w:rPr>
                <w:noProof/>
                <w:webHidden/>
              </w:rPr>
            </w:r>
            <w:r w:rsidR="0022655F">
              <w:rPr>
                <w:noProof/>
                <w:webHidden/>
              </w:rPr>
              <w:fldChar w:fldCharType="separate"/>
            </w:r>
            <w:r>
              <w:rPr>
                <w:noProof/>
                <w:webHidden/>
              </w:rPr>
              <w:t>13</w:t>
            </w:r>
            <w:r w:rsidR="0022655F">
              <w:rPr>
                <w:noProof/>
                <w:webHidden/>
              </w:rPr>
              <w:fldChar w:fldCharType="end"/>
            </w:r>
          </w:hyperlink>
        </w:p>
        <w:p w14:paraId="627D0A1C" w14:textId="61574567"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26" w:history="1">
            <w:r w:rsidR="0022655F" w:rsidRPr="00A334FC">
              <w:rPr>
                <w:rStyle w:val="Hyperlink"/>
                <w:noProof/>
              </w:rPr>
              <w:t>B.</w:t>
            </w:r>
            <w:r w:rsidR="0022655F">
              <w:rPr>
                <w:rFonts w:eastAsiaTheme="minorEastAsia" w:cstheme="minorBidi"/>
                <w:i w:val="0"/>
                <w:iCs w:val="0"/>
                <w:noProof/>
                <w:sz w:val="22"/>
                <w:szCs w:val="22"/>
                <w:bdr w:val="none" w:sz="0" w:space="0" w:color="auto"/>
              </w:rPr>
              <w:tab/>
            </w:r>
            <w:r w:rsidR="0022655F" w:rsidRPr="00A334FC">
              <w:rPr>
                <w:rStyle w:val="Hyperlink"/>
                <w:noProof/>
              </w:rPr>
              <w:t>Right to equality before the law and access to an effective remedy</w:t>
            </w:r>
            <w:r w:rsidR="0022655F">
              <w:rPr>
                <w:noProof/>
                <w:webHidden/>
              </w:rPr>
              <w:tab/>
            </w:r>
            <w:r w:rsidR="0022655F">
              <w:rPr>
                <w:noProof/>
                <w:webHidden/>
              </w:rPr>
              <w:fldChar w:fldCharType="begin"/>
            </w:r>
            <w:r w:rsidR="0022655F">
              <w:rPr>
                <w:noProof/>
                <w:webHidden/>
              </w:rPr>
              <w:instrText xml:space="preserve"> PAGEREF _Toc70417426 \h </w:instrText>
            </w:r>
            <w:r w:rsidR="0022655F">
              <w:rPr>
                <w:noProof/>
                <w:webHidden/>
              </w:rPr>
            </w:r>
            <w:r w:rsidR="0022655F">
              <w:rPr>
                <w:noProof/>
                <w:webHidden/>
              </w:rPr>
              <w:fldChar w:fldCharType="separate"/>
            </w:r>
            <w:r>
              <w:rPr>
                <w:noProof/>
                <w:webHidden/>
              </w:rPr>
              <w:t>14</w:t>
            </w:r>
            <w:r w:rsidR="0022655F">
              <w:rPr>
                <w:noProof/>
                <w:webHidden/>
              </w:rPr>
              <w:fldChar w:fldCharType="end"/>
            </w:r>
          </w:hyperlink>
        </w:p>
        <w:p w14:paraId="71F9B461" w14:textId="00D9C2ED" w:rsidR="0022655F" w:rsidRDefault="0010693F">
          <w:pPr>
            <w:pStyle w:val="TOC3"/>
            <w:tabs>
              <w:tab w:val="left" w:pos="960"/>
              <w:tab w:val="right" w:leader="dot" w:pos="9350"/>
            </w:tabs>
            <w:rPr>
              <w:rFonts w:eastAsiaTheme="minorEastAsia" w:cstheme="minorBidi"/>
              <w:noProof/>
              <w:sz w:val="22"/>
              <w:szCs w:val="22"/>
              <w:bdr w:val="none" w:sz="0" w:space="0" w:color="auto"/>
            </w:rPr>
          </w:pPr>
          <w:hyperlink w:anchor="_Toc70417427" w:history="1">
            <w:r w:rsidR="0022655F" w:rsidRPr="00A334FC">
              <w:rPr>
                <w:rStyle w:val="Hyperlink"/>
                <w:noProof/>
              </w:rPr>
              <w:t>1.</w:t>
            </w:r>
            <w:r w:rsidR="0022655F">
              <w:rPr>
                <w:rFonts w:eastAsiaTheme="minorEastAsia" w:cstheme="minorBidi"/>
                <w:noProof/>
                <w:sz w:val="22"/>
                <w:szCs w:val="22"/>
                <w:bdr w:val="none" w:sz="0" w:space="0" w:color="auto"/>
              </w:rPr>
              <w:tab/>
            </w:r>
            <w:r w:rsidR="0022655F" w:rsidRPr="00A334FC">
              <w:rPr>
                <w:rStyle w:val="Hyperlink"/>
                <w:noProof/>
              </w:rPr>
              <w:t>General considerations regarding equality before the law</w:t>
            </w:r>
            <w:r w:rsidR="0022655F">
              <w:rPr>
                <w:noProof/>
                <w:webHidden/>
              </w:rPr>
              <w:tab/>
            </w:r>
            <w:r w:rsidR="0022655F">
              <w:rPr>
                <w:noProof/>
                <w:webHidden/>
              </w:rPr>
              <w:fldChar w:fldCharType="begin"/>
            </w:r>
            <w:r w:rsidR="0022655F">
              <w:rPr>
                <w:noProof/>
                <w:webHidden/>
              </w:rPr>
              <w:instrText xml:space="preserve"> PAGEREF _Toc70417427 \h </w:instrText>
            </w:r>
            <w:r w:rsidR="0022655F">
              <w:rPr>
                <w:noProof/>
                <w:webHidden/>
              </w:rPr>
            </w:r>
            <w:r w:rsidR="0022655F">
              <w:rPr>
                <w:noProof/>
                <w:webHidden/>
              </w:rPr>
              <w:fldChar w:fldCharType="separate"/>
            </w:r>
            <w:r>
              <w:rPr>
                <w:noProof/>
                <w:webHidden/>
              </w:rPr>
              <w:t>14</w:t>
            </w:r>
            <w:r w:rsidR="0022655F">
              <w:rPr>
                <w:noProof/>
                <w:webHidden/>
              </w:rPr>
              <w:fldChar w:fldCharType="end"/>
            </w:r>
          </w:hyperlink>
        </w:p>
        <w:p w14:paraId="1389CFC6" w14:textId="4E0D4838" w:rsidR="0022655F" w:rsidRDefault="0010693F">
          <w:pPr>
            <w:pStyle w:val="TOC3"/>
            <w:tabs>
              <w:tab w:val="left" w:pos="960"/>
              <w:tab w:val="right" w:leader="dot" w:pos="9350"/>
            </w:tabs>
            <w:rPr>
              <w:rFonts w:eastAsiaTheme="minorEastAsia" w:cstheme="minorBidi"/>
              <w:noProof/>
              <w:sz w:val="22"/>
              <w:szCs w:val="22"/>
              <w:bdr w:val="none" w:sz="0" w:space="0" w:color="auto"/>
            </w:rPr>
          </w:pPr>
          <w:hyperlink w:anchor="_Toc70417428" w:history="1">
            <w:r w:rsidR="0022655F" w:rsidRPr="00A334FC">
              <w:rPr>
                <w:rStyle w:val="Hyperlink"/>
                <w:noProof/>
              </w:rPr>
              <w:t>2.</w:t>
            </w:r>
            <w:r w:rsidR="0022655F">
              <w:rPr>
                <w:rFonts w:eastAsiaTheme="minorEastAsia" w:cstheme="minorBidi"/>
                <w:noProof/>
                <w:sz w:val="22"/>
                <w:szCs w:val="22"/>
                <w:bdr w:val="none" w:sz="0" w:space="0" w:color="auto"/>
              </w:rPr>
              <w:tab/>
            </w:r>
            <w:r w:rsidR="0022655F" w:rsidRPr="00A334FC">
              <w:rPr>
                <w:rStyle w:val="Hyperlink"/>
                <w:noProof/>
              </w:rPr>
              <w:t>Race and equality before the law in the application of the death penalty in the United States</w:t>
            </w:r>
            <w:r w:rsidR="0022655F">
              <w:rPr>
                <w:noProof/>
                <w:webHidden/>
              </w:rPr>
              <w:tab/>
            </w:r>
            <w:r w:rsidR="0022655F">
              <w:rPr>
                <w:noProof/>
                <w:webHidden/>
              </w:rPr>
              <w:fldChar w:fldCharType="begin"/>
            </w:r>
            <w:r w:rsidR="0022655F">
              <w:rPr>
                <w:noProof/>
                <w:webHidden/>
              </w:rPr>
              <w:instrText xml:space="preserve"> PAGEREF _Toc70417428 \h </w:instrText>
            </w:r>
            <w:r w:rsidR="0022655F">
              <w:rPr>
                <w:noProof/>
                <w:webHidden/>
              </w:rPr>
            </w:r>
            <w:r w:rsidR="0022655F">
              <w:rPr>
                <w:noProof/>
                <w:webHidden/>
              </w:rPr>
              <w:fldChar w:fldCharType="separate"/>
            </w:r>
            <w:r>
              <w:rPr>
                <w:noProof/>
                <w:webHidden/>
              </w:rPr>
              <w:t>15</w:t>
            </w:r>
            <w:r w:rsidR="0022655F">
              <w:rPr>
                <w:noProof/>
                <w:webHidden/>
              </w:rPr>
              <w:fldChar w:fldCharType="end"/>
            </w:r>
          </w:hyperlink>
        </w:p>
        <w:p w14:paraId="28F48D03" w14:textId="658CA227" w:rsidR="0022655F" w:rsidRDefault="0010693F">
          <w:pPr>
            <w:pStyle w:val="TOC3"/>
            <w:tabs>
              <w:tab w:val="left" w:pos="960"/>
              <w:tab w:val="right" w:leader="dot" w:pos="9350"/>
            </w:tabs>
            <w:rPr>
              <w:rFonts w:eastAsiaTheme="minorEastAsia" w:cstheme="minorBidi"/>
              <w:noProof/>
              <w:sz w:val="22"/>
              <w:szCs w:val="22"/>
              <w:bdr w:val="none" w:sz="0" w:space="0" w:color="auto"/>
            </w:rPr>
          </w:pPr>
          <w:hyperlink w:anchor="_Toc70417429" w:history="1">
            <w:r w:rsidR="0022655F" w:rsidRPr="00A334FC">
              <w:rPr>
                <w:rStyle w:val="Hyperlink"/>
                <w:noProof/>
                <w:lang w:val="es-ES"/>
              </w:rPr>
              <w:t>3.</w:t>
            </w:r>
            <w:r w:rsidR="0022655F">
              <w:rPr>
                <w:rFonts w:eastAsiaTheme="minorEastAsia" w:cstheme="minorBidi"/>
                <w:noProof/>
                <w:sz w:val="22"/>
                <w:szCs w:val="22"/>
                <w:bdr w:val="none" w:sz="0" w:space="0" w:color="auto"/>
              </w:rPr>
              <w:tab/>
            </w:r>
            <w:r w:rsidR="0022655F" w:rsidRPr="00A334FC">
              <w:rPr>
                <w:rStyle w:val="Hyperlink"/>
                <w:noProof/>
                <w:lang w:val="es-ES"/>
              </w:rPr>
              <w:t>Analysis of the case</w:t>
            </w:r>
            <w:r w:rsidR="0022655F">
              <w:rPr>
                <w:noProof/>
                <w:webHidden/>
              </w:rPr>
              <w:tab/>
            </w:r>
            <w:r w:rsidR="0022655F">
              <w:rPr>
                <w:noProof/>
                <w:webHidden/>
              </w:rPr>
              <w:fldChar w:fldCharType="begin"/>
            </w:r>
            <w:r w:rsidR="0022655F">
              <w:rPr>
                <w:noProof/>
                <w:webHidden/>
              </w:rPr>
              <w:instrText xml:space="preserve"> PAGEREF _Toc70417429 \h </w:instrText>
            </w:r>
            <w:r w:rsidR="0022655F">
              <w:rPr>
                <w:noProof/>
                <w:webHidden/>
              </w:rPr>
            </w:r>
            <w:r w:rsidR="0022655F">
              <w:rPr>
                <w:noProof/>
                <w:webHidden/>
              </w:rPr>
              <w:fldChar w:fldCharType="separate"/>
            </w:r>
            <w:r>
              <w:rPr>
                <w:noProof/>
                <w:webHidden/>
              </w:rPr>
              <w:t>17</w:t>
            </w:r>
            <w:r w:rsidR="0022655F">
              <w:rPr>
                <w:noProof/>
                <w:webHidden/>
              </w:rPr>
              <w:fldChar w:fldCharType="end"/>
            </w:r>
          </w:hyperlink>
        </w:p>
        <w:p w14:paraId="48D27AC4" w14:textId="26C71DB1"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30" w:history="1">
            <w:r w:rsidR="0022655F" w:rsidRPr="00A334FC">
              <w:rPr>
                <w:rStyle w:val="Hyperlink"/>
                <w:noProof/>
              </w:rPr>
              <w:t>C.</w:t>
            </w:r>
            <w:r w:rsidR="0022655F">
              <w:rPr>
                <w:rFonts w:eastAsiaTheme="minorEastAsia" w:cstheme="minorBidi"/>
                <w:i w:val="0"/>
                <w:iCs w:val="0"/>
                <w:noProof/>
                <w:sz w:val="22"/>
                <w:szCs w:val="22"/>
                <w:bdr w:val="none" w:sz="0" w:space="0" w:color="auto"/>
              </w:rPr>
              <w:tab/>
            </w:r>
            <w:r w:rsidR="0022655F" w:rsidRPr="00A334FC">
              <w:rPr>
                <w:rStyle w:val="Hyperlink"/>
                <w:noProof/>
              </w:rPr>
              <w:t>Right to a fair trial and right to due process of law</w:t>
            </w:r>
            <w:r w:rsidR="0022655F">
              <w:rPr>
                <w:noProof/>
                <w:webHidden/>
              </w:rPr>
              <w:tab/>
            </w:r>
            <w:r w:rsidR="0022655F">
              <w:rPr>
                <w:noProof/>
                <w:webHidden/>
              </w:rPr>
              <w:fldChar w:fldCharType="begin"/>
            </w:r>
            <w:r w:rsidR="0022655F">
              <w:rPr>
                <w:noProof/>
                <w:webHidden/>
              </w:rPr>
              <w:instrText xml:space="preserve"> PAGEREF _Toc70417430 \h </w:instrText>
            </w:r>
            <w:r w:rsidR="0022655F">
              <w:rPr>
                <w:noProof/>
                <w:webHidden/>
              </w:rPr>
            </w:r>
            <w:r w:rsidR="0022655F">
              <w:rPr>
                <w:noProof/>
                <w:webHidden/>
              </w:rPr>
              <w:fldChar w:fldCharType="separate"/>
            </w:r>
            <w:r>
              <w:rPr>
                <w:noProof/>
                <w:webHidden/>
              </w:rPr>
              <w:t>19</w:t>
            </w:r>
            <w:r w:rsidR="0022655F">
              <w:rPr>
                <w:noProof/>
                <w:webHidden/>
              </w:rPr>
              <w:fldChar w:fldCharType="end"/>
            </w:r>
          </w:hyperlink>
        </w:p>
        <w:p w14:paraId="4DBC8067" w14:textId="616E14A7" w:rsidR="0022655F" w:rsidRDefault="0010693F">
          <w:pPr>
            <w:pStyle w:val="TOC3"/>
            <w:tabs>
              <w:tab w:val="left" w:pos="960"/>
              <w:tab w:val="right" w:leader="dot" w:pos="9350"/>
            </w:tabs>
            <w:rPr>
              <w:rFonts w:eastAsiaTheme="minorEastAsia" w:cstheme="minorBidi"/>
              <w:noProof/>
              <w:sz w:val="22"/>
              <w:szCs w:val="22"/>
              <w:bdr w:val="none" w:sz="0" w:space="0" w:color="auto"/>
            </w:rPr>
          </w:pPr>
          <w:hyperlink w:anchor="_Toc70417431" w:history="1">
            <w:r w:rsidR="0022655F" w:rsidRPr="00A334FC">
              <w:rPr>
                <w:rStyle w:val="Hyperlink"/>
                <w:noProof/>
              </w:rPr>
              <w:t>1.</w:t>
            </w:r>
            <w:r w:rsidR="0022655F">
              <w:rPr>
                <w:rFonts w:eastAsiaTheme="minorEastAsia" w:cstheme="minorBidi"/>
                <w:noProof/>
                <w:sz w:val="22"/>
                <w:szCs w:val="22"/>
                <w:bdr w:val="none" w:sz="0" w:space="0" w:color="auto"/>
              </w:rPr>
              <w:tab/>
            </w:r>
            <w:r w:rsidR="0022655F" w:rsidRPr="00A334FC">
              <w:rPr>
                <w:rStyle w:val="Hyperlink"/>
                <w:noProof/>
              </w:rPr>
              <w:t>Use of unadjudicated offenses and future dangerousness in the imposition of the death penalty</w:t>
            </w:r>
            <w:r w:rsidR="0022655F">
              <w:rPr>
                <w:noProof/>
                <w:webHidden/>
              </w:rPr>
              <w:tab/>
            </w:r>
            <w:r w:rsidR="0022655F">
              <w:rPr>
                <w:noProof/>
                <w:webHidden/>
              </w:rPr>
              <w:fldChar w:fldCharType="begin"/>
            </w:r>
            <w:r w:rsidR="0022655F">
              <w:rPr>
                <w:noProof/>
                <w:webHidden/>
              </w:rPr>
              <w:instrText xml:space="preserve"> PAGEREF _Toc70417431 \h </w:instrText>
            </w:r>
            <w:r w:rsidR="0022655F">
              <w:rPr>
                <w:noProof/>
                <w:webHidden/>
              </w:rPr>
            </w:r>
            <w:r w:rsidR="0022655F">
              <w:rPr>
                <w:noProof/>
                <w:webHidden/>
              </w:rPr>
              <w:fldChar w:fldCharType="separate"/>
            </w:r>
            <w:r>
              <w:rPr>
                <w:noProof/>
                <w:webHidden/>
              </w:rPr>
              <w:t>19</w:t>
            </w:r>
            <w:r w:rsidR="0022655F">
              <w:rPr>
                <w:noProof/>
                <w:webHidden/>
              </w:rPr>
              <w:fldChar w:fldCharType="end"/>
            </w:r>
          </w:hyperlink>
        </w:p>
        <w:p w14:paraId="5396C908" w14:textId="48CA1016" w:rsidR="0022655F" w:rsidRDefault="0010693F">
          <w:pPr>
            <w:pStyle w:val="TOC3"/>
            <w:tabs>
              <w:tab w:val="left" w:pos="960"/>
              <w:tab w:val="right" w:leader="dot" w:pos="9350"/>
            </w:tabs>
            <w:rPr>
              <w:rFonts w:eastAsiaTheme="minorEastAsia" w:cstheme="minorBidi"/>
              <w:noProof/>
              <w:sz w:val="22"/>
              <w:szCs w:val="22"/>
              <w:bdr w:val="none" w:sz="0" w:space="0" w:color="auto"/>
            </w:rPr>
          </w:pPr>
          <w:hyperlink w:anchor="_Toc70417432" w:history="1">
            <w:r w:rsidR="0022655F" w:rsidRPr="00A334FC">
              <w:rPr>
                <w:rStyle w:val="Hyperlink"/>
                <w:noProof/>
              </w:rPr>
              <w:t>2.</w:t>
            </w:r>
            <w:r w:rsidR="0022655F">
              <w:rPr>
                <w:rFonts w:eastAsiaTheme="minorEastAsia" w:cstheme="minorBidi"/>
                <w:noProof/>
                <w:sz w:val="22"/>
                <w:szCs w:val="22"/>
                <w:bdr w:val="none" w:sz="0" w:space="0" w:color="auto"/>
              </w:rPr>
              <w:tab/>
            </w:r>
            <w:r w:rsidR="0022655F" w:rsidRPr="00A334FC">
              <w:rPr>
                <w:rStyle w:val="Hyperlink"/>
                <w:noProof/>
              </w:rPr>
              <w:t>Ineffective assistance of court-appointed counsel</w:t>
            </w:r>
            <w:r w:rsidR="0022655F">
              <w:rPr>
                <w:noProof/>
                <w:webHidden/>
              </w:rPr>
              <w:tab/>
            </w:r>
            <w:r w:rsidR="0022655F">
              <w:rPr>
                <w:noProof/>
                <w:webHidden/>
              </w:rPr>
              <w:fldChar w:fldCharType="begin"/>
            </w:r>
            <w:r w:rsidR="0022655F">
              <w:rPr>
                <w:noProof/>
                <w:webHidden/>
              </w:rPr>
              <w:instrText xml:space="preserve"> PAGEREF _Toc70417432 \h </w:instrText>
            </w:r>
            <w:r w:rsidR="0022655F">
              <w:rPr>
                <w:noProof/>
                <w:webHidden/>
              </w:rPr>
            </w:r>
            <w:r w:rsidR="0022655F">
              <w:rPr>
                <w:noProof/>
                <w:webHidden/>
              </w:rPr>
              <w:fldChar w:fldCharType="separate"/>
            </w:r>
            <w:r>
              <w:rPr>
                <w:noProof/>
                <w:webHidden/>
              </w:rPr>
              <w:t>20</w:t>
            </w:r>
            <w:r w:rsidR="0022655F">
              <w:rPr>
                <w:noProof/>
                <w:webHidden/>
              </w:rPr>
              <w:fldChar w:fldCharType="end"/>
            </w:r>
          </w:hyperlink>
        </w:p>
        <w:p w14:paraId="5AAB1B09" w14:textId="1A213C80"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33" w:history="1">
            <w:r w:rsidR="0022655F" w:rsidRPr="00A334FC">
              <w:rPr>
                <w:rStyle w:val="Hyperlink"/>
                <w:noProof/>
              </w:rPr>
              <w:t>D.</w:t>
            </w:r>
            <w:r w:rsidR="0022655F">
              <w:rPr>
                <w:rFonts w:eastAsiaTheme="minorEastAsia" w:cstheme="minorBidi"/>
                <w:i w:val="0"/>
                <w:iCs w:val="0"/>
                <w:noProof/>
                <w:sz w:val="22"/>
                <w:szCs w:val="22"/>
                <w:bdr w:val="none" w:sz="0" w:space="0" w:color="auto"/>
              </w:rPr>
              <w:tab/>
            </w:r>
            <w:r w:rsidR="0022655F" w:rsidRPr="00A334FC">
              <w:rPr>
                <w:rStyle w:val="Hyperlink"/>
                <w:noProof/>
              </w:rPr>
              <w:t>The right to access to informationwith respect to the death penalty decision-making process and the lethal injection protocol</w:t>
            </w:r>
            <w:r w:rsidR="0022655F">
              <w:rPr>
                <w:noProof/>
                <w:webHidden/>
              </w:rPr>
              <w:tab/>
            </w:r>
            <w:r w:rsidR="0022655F">
              <w:rPr>
                <w:noProof/>
                <w:webHidden/>
              </w:rPr>
              <w:fldChar w:fldCharType="begin"/>
            </w:r>
            <w:r w:rsidR="0022655F">
              <w:rPr>
                <w:noProof/>
                <w:webHidden/>
              </w:rPr>
              <w:instrText xml:space="preserve"> PAGEREF _Toc70417433 \h </w:instrText>
            </w:r>
            <w:r w:rsidR="0022655F">
              <w:rPr>
                <w:noProof/>
                <w:webHidden/>
              </w:rPr>
            </w:r>
            <w:r w:rsidR="0022655F">
              <w:rPr>
                <w:noProof/>
                <w:webHidden/>
              </w:rPr>
              <w:fldChar w:fldCharType="separate"/>
            </w:r>
            <w:r>
              <w:rPr>
                <w:noProof/>
                <w:webHidden/>
              </w:rPr>
              <w:t>23</w:t>
            </w:r>
            <w:r w:rsidR="0022655F">
              <w:rPr>
                <w:noProof/>
                <w:webHidden/>
              </w:rPr>
              <w:fldChar w:fldCharType="end"/>
            </w:r>
          </w:hyperlink>
        </w:p>
        <w:p w14:paraId="71390E05" w14:textId="06963333"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34" w:history="1">
            <w:r w:rsidR="0022655F" w:rsidRPr="00A334FC">
              <w:rPr>
                <w:rStyle w:val="Hyperlink"/>
                <w:noProof/>
              </w:rPr>
              <w:t>E.</w:t>
            </w:r>
            <w:r w:rsidR="0022655F">
              <w:rPr>
                <w:rFonts w:eastAsiaTheme="minorEastAsia" w:cstheme="minorBidi"/>
                <w:i w:val="0"/>
                <w:iCs w:val="0"/>
                <w:noProof/>
                <w:sz w:val="22"/>
                <w:szCs w:val="22"/>
                <w:bdr w:val="none" w:sz="0" w:space="0" w:color="auto"/>
              </w:rPr>
              <w:tab/>
            </w:r>
            <w:r w:rsidR="0022655F" w:rsidRPr="00A334FC">
              <w:rPr>
                <w:rStyle w:val="Hyperlink"/>
                <w:noProof/>
              </w:rPr>
              <w:t>Right not to receive cruel, infamous or unusual punishment</w:t>
            </w:r>
            <w:r w:rsidR="0022655F">
              <w:rPr>
                <w:noProof/>
                <w:webHidden/>
              </w:rPr>
              <w:tab/>
            </w:r>
            <w:r w:rsidR="0022655F">
              <w:rPr>
                <w:noProof/>
                <w:webHidden/>
              </w:rPr>
              <w:fldChar w:fldCharType="begin"/>
            </w:r>
            <w:r w:rsidR="0022655F">
              <w:rPr>
                <w:noProof/>
                <w:webHidden/>
              </w:rPr>
              <w:instrText xml:space="preserve"> PAGEREF _Toc70417434 \h </w:instrText>
            </w:r>
            <w:r w:rsidR="0022655F">
              <w:rPr>
                <w:noProof/>
                <w:webHidden/>
              </w:rPr>
            </w:r>
            <w:r w:rsidR="0022655F">
              <w:rPr>
                <w:noProof/>
                <w:webHidden/>
              </w:rPr>
              <w:fldChar w:fldCharType="separate"/>
            </w:r>
            <w:r>
              <w:rPr>
                <w:noProof/>
                <w:webHidden/>
              </w:rPr>
              <w:t>24</w:t>
            </w:r>
            <w:r w:rsidR="0022655F">
              <w:rPr>
                <w:noProof/>
                <w:webHidden/>
              </w:rPr>
              <w:fldChar w:fldCharType="end"/>
            </w:r>
          </w:hyperlink>
        </w:p>
        <w:p w14:paraId="34DBC948" w14:textId="10641A14" w:rsidR="0022655F" w:rsidRDefault="0010693F">
          <w:pPr>
            <w:pStyle w:val="TOC3"/>
            <w:tabs>
              <w:tab w:val="left" w:pos="960"/>
              <w:tab w:val="right" w:leader="dot" w:pos="9350"/>
            </w:tabs>
            <w:rPr>
              <w:rFonts w:eastAsiaTheme="minorEastAsia" w:cstheme="minorBidi"/>
              <w:noProof/>
              <w:sz w:val="22"/>
              <w:szCs w:val="22"/>
              <w:bdr w:val="none" w:sz="0" w:space="0" w:color="auto"/>
            </w:rPr>
          </w:pPr>
          <w:hyperlink w:anchor="_Toc70417435" w:history="1">
            <w:r w:rsidR="0022655F" w:rsidRPr="00A334FC">
              <w:rPr>
                <w:rStyle w:val="Hyperlink"/>
                <w:noProof/>
              </w:rPr>
              <w:t>1.</w:t>
            </w:r>
            <w:r w:rsidR="0022655F">
              <w:rPr>
                <w:rFonts w:eastAsiaTheme="minorEastAsia" w:cstheme="minorBidi"/>
                <w:noProof/>
                <w:sz w:val="22"/>
                <w:szCs w:val="22"/>
                <w:bdr w:val="none" w:sz="0" w:space="0" w:color="auto"/>
              </w:rPr>
              <w:tab/>
            </w:r>
            <w:r w:rsidR="0022655F" w:rsidRPr="00A334FC">
              <w:rPr>
                <w:rStyle w:val="Hyperlink"/>
                <w:noProof/>
              </w:rPr>
              <w:t>Method of execution</w:t>
            </w:r>
            <w:r w:rsidR="0022655F">
              <w:rPr>
                <w:noProof/>
                <w:webHidden/>
              </w:rPr>
              <w:tab/>
            </w:r>
            <w:r w:rsidR="0022655F">
              <w:rPr>
                <w:noProof/>
                <w:webHidden/>
              </w:rPr>
              <w:fldChar w:fldCharType="begin"/>
            </w:r>
            <w:r w:rsidR="0022655F">
              <w:rPr>
                <w:noProof/>
                <w:webHidden/>
              </w:rPr>
              <w:instrText xml:space="preserve"> PAGEREF _Toc70417435 \h </w:instrText>
            </w:r>
            <w:r w:rsidR="0022655F">
              <w:rPr>
                <w:noProof/>
                <w:webHidden/>
              </w:rPr>
            </w:r>
            <w:r w:rsidR="0022655F">
              <w:rPr>
                <w:noProof/>
                <w:webHidden/>
              </w:rPr>
              <w:fldChar w:fldCharType="separate"/>
            </w:r>
            <w:r>
              <w:rPr>
                <w:noProof/>
                <w:webHidden/>
              </w:rPr>
              <w:t>24</w:t>
            </w:r>
            <w:r w:rsidR="0022655F">
              <w:rPr>
                <w:noProof/>
                <w:webHidden/>
              </w:rPr>
              <w:fldChar w:fldCharType="end"/>
            </w:r>
          </w:hyperlink>
        </w:p>
        <w:p w14:paraId="6EC5A58C" w14:textId="6EC02DF4" w:rsidR="0022655F" w:rsidRDefault="0010693F">
          <w:pPr>
            <w:pStyle w:val="TOC3"/>
            <w:tabs>
              <w:tab w:val="left" w:pos="960"/>
              <w:tab w:val="right" w:leader="dot" w:pos="9350"/>
            </w:tabs>
            <w:rPr>
              <w:rFonts w:eastAsiaTheme="minorEastAsia" w:cstheme="minorBidi"/>
              <w:noProof/>
              <w:sz w:val="22"/>
              <w:szCs w:val="22"/>
              <w:bdr w:val="none" w:sz="0" w:space="0" w:color="auto"/>
            </w:rPr>
          </w:pPr>
          <w:hyperlink w:anchor="_Toc70417436" w:history="1">
            <w:r w:rsidR="0022655F" w:rsidRPr="00A334FC">
              <w:rPr>
                <w:rStyle w:val="Hyperlink"/>
                <w:noProof/>
              </w:rPr>
              <w:t>2.</w:t>
            </w:r>
            <w:r w:rsidR="0022655F">
              <w:rPr>
                <w:rFonts w:eastAsiaTheme="minorEastAsia" w:cstheme="minorBidi"/>
                <w:noProof/>
                <w:sz w:val="22"/>
                <w:szCs w:val="22"/>
                <w:bdr w:val="none" w:sz="0" w:space="0" w:color="auto"/>
              </w:rPr>
              <w:tab/>
            </w:r>
            <w:r w:rsidR="0022655F" w:rsidRPr="00A334FC">
              <w:rPr>
                <w:rStyle w:val="Hyperlink"/>
                <w:noProof/>
              </w:rPr>
              <w:t>The deprivation of liberty on death row and the right of protection against cruel, infamous or unusual punishment</w:t>
            </w:r>
            <w:r w:rsidR="0022655F">
              <w:rPr>
                <w:noProof/>
                <w:webHidden/>
              </w:rPr>
              <w:tab/>
            </w:r>
            <w:r w:rsidR="0022655F">
              <w:rPr>
                <w:noProof/>
                <w:webHidden/>
              </w:rPr>
              <w:fldChar w:fldCharType="begin"/>
            </w:r>
            <w:r w:rsidR="0022655F">
              <w:rPr>
                <w:noProof/>
                <w:webHidden/>
              </w:rPr>
              <w:instrText xml:space="preserve"> PAGEREF _Toc70417436 \h </w:instrText>
            </w:r>
            <w:r w:rsidR="0022655F">
              <w:rPr>
                <w:noProof/>
                <w:webHidden/>
              </w:rPr>
            </w:r>
            <w:r w:rsidR="0022655F">
              <w:rPr>
                <w:noProof/>
                <w:webHidden/>
              </w:rPr>
              <w:fldChar w:fldCharType="separate"/>
            </w:r>
            <w:r>
              <w:rPr>
                <w:noProof/>
                <w:webHidden/>
              </w:rPr>
              <w:t>25</w:t>
            </w:r>
            <w:r w:rsidR="0022655F">
              <w:rPr>
                <w:noProof/>
                <w:webHidden/>
              </w:rPr>
              <w:fldChar w:fldCharType="end"/>
            </w:r>
          </w:hyperlink>
        </w:p>
        <w:p w14:paraId="2F6CD642" w14:textId="3EBC6B76" w:rsidR="0022655F" w:rsidRDefault="0010693F">
          <w:pPr>
            <w:pStyle w:val="TOC2"/>
            <w:tabs>
              <w:tab w:val="left" w:pos="720"/>
              <w:tab w:val="right" w:leader="dot" w:pos="9350"/>
            </w:tabs>
            <w:rPr>
              <w:rFonts w:eastAsiaTheme="minorEastAsia" w:cstheme="minorBidi"/>
              <w:i w:val="0"/>
              <w:iCs w:val="0"/>
              <w:noProof/>
              <w:sz w:val="22"/>
              <w:szCs w:val="22"/>
              <w:bdr w:val="none" w:sz="0" w:space="0" w:color="auto"/>
            </w:rPr>
          </w:pPr>
          <w:hyperlink w:anchor="_Toc70417437" w:history="1">
            <w:r w:rsidR="0022655F" w:rsidRPr="00A334FC">
              <w:rPr>
                <w:rStyle w:val="Hyperlink"/>
                <w:noProof/>
              </w:rPr>
              <w:t>F.</w:t>
            </w:r>
            <w:r w:rsidR="0022655F">
              <w:rPr>
                <w:rFonts w:eastAsiaTheme="minorEastAsia" w:cstheme="minorBidi"/>
                <w:i w:val="0"/>
                <w:iCs w:val="0"/>
                <w:noProof/>
                <w:sz w:val="22"/>
                <w:szCs w:val="22"/>
                <w:bdr w:val="none" w:sz="0" w:space="0" w:color="auto"/>
              </w:rPr>
              <w:tab/>
            </w:r>
            <w:r w:rsidR="0022655F" w:rsidRPr="00A334FC">
              <w:rPr>
                <w:rStyle w:val="Hyperlink"/>
                <w:noProof/>
              </w:rPr>
              <w:t>Right to life and to protection against cruel, infamous or unusual punishment with respect to the eventual execution of Julius Omar Robinson</w:t>
            </w:r>
            <w:r w:rsidR="0022655F">
              <w:rPr>
                <w:noProof/>
                <w:webHidden/>
              </w:rPr>
              <w:tab/>
            </w:r>
            <w:r w:rsidR="0022655F">
              <w:rPr>
                <w:noProof/>
                <w:webHidden/>
              </w:rPr>
              <w:fldChar w:fldCharType="begin"/>
            </w:r>
            <w:r w:rsidR="0022655F">
              <w:rPr>
                <w:noProof/>
                <w:webHidden/>
              </w:rPr>
              <w:instrText xml:space="preserve"> PAGEREF _Toc70417437 \h </w:instrText>
            </w:r>
            <w:r w:rsidR="0022655F">
              <w:rPr>
                <w:noProof/>
                <w:webHidden/>
              </w:rPr>
            </w:r>
            <w:r w:rsidR="0022655F">
              <w:rPr>
                <w:noProof/>
                <w:webHidden/>
              </w:rPr>
              <w:fldChar w:fldCharType="separate"/>
            </w:r>
            <w:r>
              <w:rPr>
                <w:noProof/>
                <w:webHidden/>
              </w:rPr>
              <w:t>25</w:t>
            </w:r>
            <w:r w:rsidR="0022655F">
              <w:rPr>
                <w:noProof/>
                <w:webHidden/>
              </w:rPr>
              <w:fldChar w:fldCharType="end"/>
            </w:r>
          </w:hyperlink>
        </w:p>
        <w:p w14:paraId="7D64791D" w14:textId="2D5613D6" w:rsidR="0022655F" w:rsidRDefault="0010693F">
          <w:pPr>
            <w:pStyle w:val="TOC1"/>
            <w:tabs>
              <w:tab w:val="left" w:pos="480"/>
              <w:tab w:val="right" w:leader="dot" w:pos="9350"/>
            </w:tabs>
            <w:rPr>
              <w:rFonts w:eastAsiaTheme="minorEastAsia" w:cstheme="minorBidi"/>
              <w:b w:val="0"/>
              <w:bCs w:val="0"/>
              <w:noProof/>
              <w:sz w:val="22"/>
              <w:szCs w:val="22"/>
              <w:bdr w:val="none" w:sz="0" w:space="0" w:color="auto"/>
            </w:rPr>
          </w:pPr>
          <w:hyperlink w:anchor="_Toc70417438" w:history="1">
            <w:r w:rsidR="0022655F" w:rsidRPr="00A334FC">
              <w:rPr>
                <w:rStyle w:val="Hyperlink"/>
                <w:noProof/>
              </w:rPr>
              <w:t>VI.</w:t>
            </w:r>
            <w:r w:rsidR="0022655F">
              <w:rPr>
                <w:rFonts w:eastAsiaTheme="minorEastAsia" w:cstheme="minorBidi"/>
                <w:b w:val="0"/>
                <w:bCs w:val="0"/>
                <w:noProof/>
                <w:sz w:val="22"/>
                <w:szCs w:val="22"/>
                <w:bdr w:val="none" w:sz="0" w:space="0" w:color="auto"/>
              </w:rPr>
              <w:tab/>
            </w:r>
            <w:r w:rsidR="0022655F" w:rsidRPr="00A334FC">
              <w:rPr>
                <w:rStyle w:val="Hyperlink"/>
                <w:noProof/>
              </w:rPr>
              <w:t>REPORT No. 162/19 AND INFORMATION ABOUT COMPLIANCE</w:t>
            </w:r>
            <w:r w:rsidR="0022655F">
              <w:rPr>
                <w:noProof/>
                <w:webHidden/>
              </w:rPr>
              <w:tab/>
            </w:r>
            <w:r w:rsidR="0022655F">
              <w:rPr>
                <w:noProof/>
                <w:webHidden/>
              </w:rPr>
              <w:fldChar w:fldCharType="begin"/>
            </w:r>
            <w:r w:rsidR="0022655F">
              <w:rPr>
                <w:noProof/>
                <w:webHidden/>
              </w:rPr>
              <w:instrText xml:space="preserve"> PAGEREF _Toc70417438 \h </w:instrText>
            </w:r>
            <w:r w:rsidR="0022655F">
              <w:rPr>
                <w:noProof/>
                <w:webHidden/>
              </w:rPr>
            </w:r>
            <w:r w:rsidR="0022655F">
              <w:rPr>
                <w:noProof/>
                <w:webHidden/>
              </w:rPr>
              <w:fldChar w:fldCharType="separate"/>
            </w:r>
            <w:r>
              <w:rPr>
                <w:noProof/>
                <w:webHidden/>
              </w:rPr>
              <w:t>26</w:t>
            </w:r>
            <w:r w:rsidR="0022655F">
              <w:rPr>
                <w:noProof/>
                <w:webHidden/>
              </w:rPr>
              <w:fldChar w:fldCharType="end"/>
            </w:r>
          </w:hyperlink>
        </w:p>
        <w:p w14:paraId="12875742" w14:textId="73ADF56F" w:rsidR="0022655F" w:rsidRDefault="0010693F">
          <w:pPr>
            <w:pStyle w:val="TOC1"/>
            <w:tabs>
              <w:tab w:val="left" w:pos="720"/>
              <w:tab w:val="right" w:leader="dot" w:pos="9350"/>
            </w:tabs>
            <w:rPr>
              <w:rFonts w:eastAsiaTheme="minorEastAsia" w:cstheme="minorBidi"/>
              <w:b w:val="0"/>
              <w:bCs w:val="0"/>
              <w:noProof/>
              <w:sz w:val="22"/>
              <w:szCs w:val="22"/>
              <w:bdr w:val="none" w:sz="0" w:space="0" w:color="auto"/>
            </w:rPr>
          </w:pPr>
          <w:hyperlink w:anchor="_Toc70417439" w:history="1">
            <w:r w:rsidR="0022655F" w:rsidRPr="00A334FC">
              <w:rPr>
                <w:rStyle w:val="Hyperlink"/>
                <w:noProof/>
              </w:rPr>
              <w:t>VII.</w:t>
            </w:r>
            <w:r w:rsidR="0022655F">
              <w:rPr>
                <w:rFonts w:eastAsiaTheme="minorEastAsia" w:cstheme="minorBidi"/>
                <w:b w:val="0"/>
                <w:bCs w:val="0"/>
                <w:noProof/>
                <w:sz w:val="22"/>
                <w:szCs w:val="22"/>
                <w:bdr w:val="none" w:sz="0" w:space="0" w:color="auto"/>
              </w:rPr>
              <w:tab/>
            </w:r>
            <w:r w:rsidR="0022655F" w:rsidRPr="00A334FC">
              <w:rPr>
                <w:rStyle w:val="Hyperlink"/>
                <w:noProof/>
              </w:rPr>
              <w:t>REPORT No. 199/20 AND INFORMATION ABOUT COMPLIANCE</w:t>
            </w:r>
            <w:r w:rsidR="0022655F">
              <w:rPr>
                <w:noProof/>
                <w:webHidden/>
              </w:rPr>
              <w:tab/>
            </w:r>
            <w:r w:rsidR="0022655F">
              <w:rPr>
                <w:noProof/>
                <w:webHidden/>
              </w:rPr>
              <w:fldChar w:fldCharType="begin"/>
            </w:r>
            <w:r w:rsidR="0022655F">
              <w:rPr>
                <w:noProof/>
                <w:webHidden/>
              </w:rPr>
              <w:instrText xml:space="preserve"> PAGEREF _Toc70417439 \h </w:instrText>
            </w:r>
            <w:r w:rsidR="0022655F">
              <w:rPr>
                <w:noProof/>
                <w:webHidden/>
              </w:rPr>
            </w:r>
            <w:r w:rsidR="0022655F">
              <w:rPr>
                <w:noProof/>
                <w:webHidden/>
              </w:rPr>
              <w:fldChar w:fldCharType="separate"/>
            </w:r>
            <w:r>
              <w:rPr>
                <w:noProof/>
                <w:webHidden/>
              </w:rPr>
              <w:t>27</w:t>
            </w:r>
            <w:r w:rsidR="0022655F">
              <w:rPr>
                <w:noProof/>
                <w:webHidden/>
              </w:rPr>
              <w:fldChar w:fldCharType="end"/>
            </w:r>
          </w:hyperlink>
        </w:p>
        <w:p w14:paraId="6D2B2D0E" w14:textId="631495A7" w:rsidR="0022655F" w:rsidRDefault="0010693F">
          <w:pPr>
            <w:pStyle w:val="TOC1"/>
            <w:tabs>
              <w:tab w:val="left" w:pos="720"/>
              <w:tab w:val="right" w:leader="dot" w:pos="9350"/>
            </w:tabs>
            <w:rPr>
              <w:rFonts w:eastAsiaTheme="minorEastAsia" w:cstheme="minorBidi"/>
              <w:b w:val="0"/>
              <w:bCs w:val="0"/>
              <w:noProof/>
              <w:sz w:val="22"/>
              <w:szCs w:val="22"/>
              <w:bdr w:val="none" w:sz="0" w:space="0" w:color="auto"/>
            </w:rPr>
          </w:pPr>
          <w:hyperlink w:anchor="_Toc70417440" w:history="1">
            <w:r w:rsidR="0022655F" w:rsidRPr="00A334FC">
              <w:rPr>
                <w:rStyle w:val="Hyperlink"/>
                <w:noProof/>
              </w:rPr>
              <w:t>VIII.</w:t>
            </w:r>
            <w:r w:rsidR="0022655F">
              <w:rPr>
                <w:rFonts w:eastAsiaTheme="minorEastAsia" w:cstheme="minorBidi"/>
                <w:b w:val="0"/>
                <w:bCs w:val="0"/>
                <w:noProof/>
                <w:sz w:val="22"/>
                <w:szCs w:val="22"/>
                <w:bdr w:val="none" w:sz="0" w:space="0" w:color="auto"/>
              </w:rPr>
              <w:tab/>
            </w:r>
            <w:r w:rsidR="0022655F" w:rsidRPr="00A334FC">
              <w:rPr>
                <w:rStyle w:val="Hyperlink"/>
                <w:noProof/>
              </w:rPr>
              <w:t>FINAL CONCLUSIONS AND RECOMMENDATIONS</w:t>
            </w:r>
            <w:r w:rsidR="0022655F">
              <w:rPr>
                <w:noProof/>
                <w:webHidden/>
              </w:rPr>
              <w:tab/>
            </w:r>
            <w:r w:rsidR="0022655F">
              <w:rPr>
                <w:noProof/>
                <w:webHidden/>
              </w:rPr>
              <w:fldChar w:fldCharType="begin"/>
            </w:r>
            <w:r w:rsidR="0022655F">
              <w:rPr>
                <w:noProof/>
                <w:webHidden/>
              </w:rPr>
              <w:instrText xml:space="preserve"> PAGEREF _Toc70417440 \h </w:instrText>
            </w:r>
            <w:r w:rsidR="0022655F">
              <w:rPr>
                <w:noProof/>
                <w:webHidden/>
              </w:rPr>
            </w:r>
            <w:r w:rsidR="0022655F">
              <w:rPr>
                <w:noProof/>
                <w:webHidden/>
              </w:rPr>
              <w:fldChar w:fldCharType="separate"/>
            </w:r>
            <w:r>
              <w:rPr>
                <w:noProof/>
                <w:webHidden/>
              </w:rPr>
              <w:t>27</w:t>
            </w:r>
            <w:r w:rsidR="0022655F">
              <w:rPr>
                <w:noProof/>
                <w:webHidden/>
              </w:rPr>
              <w:fldChar w:fldCharType="end"/>
            </w:r>
          </w:hyperlink>
        </w:p>
        <w:p w14:paraId="2C6C6720" w14:textId="4362FAD3" w:rsidR="0022655F" w:rsidRDefault="0010693F">
          <w:pPr>
            <w:pStyle w:val="TOC1"/>
            <w:tabs>
              <w:tab w:val="left" w:pos="480"/>
              <w:tab w:val="right" w:leader="dot" w:pos="9350"/>
            </w:tabs>
            <w:rPr>
              <w:rFonts w:eastAsiaTheme="minorEastAsia" w:cstheme="minorBidi"/>
              <w:b w:val="0"/>
              <w:bCs w:val="0"/>
              <w:noProof/>
              <w:sz w:val="22"/>
              <w:szCs w:val="22"/>
              <w:bdr w:val="none" w:sz="0" w:space="0" w:color="auto"/>
            </w:rPr>
          </w:pPr>
          <w:hyperlink w:anchor="_Toc70417441" w:history="1">
            <w:r w:rsidR="0022655F" w:rsidRPr="00A334FC">
              <w:rPr>
                <w:rStyle w:val="Hyperlink"/>
                <w:rFonts w:ascii="Cambria" w:hAnsi="Cambria"/>
                <w:noProof/>
              </w:rPr>
              <w:t>IX.</w:t>
            </w:r>
            <w:r w:rsidR="0022655F">
              <w:rPr>
                <w:rFonts w:eastAsiaTheme="minorEastAsia" w:cstheme="minorBidi"/>
                <w:b w:val="0"/>
                <w:bCs w:val="0"/>
                <w:noProof/>
                <w:sz w:val="22"/>
                <w:szCs w:val="22"/>
                <w:bdr w:val="none" w:sz="0" w:space="0" w:color="auto"/>
              </w:rPr>
              <w:tab/>
            </w:r>
            <w:r w:rsidR="0022655F" w:rsidRPr="00A334FC">
              <w:rPr>
                <w:rStyle w:val="Hyperlink"/>
                <w:noProof/>
              </w:rPr>
              <w:t>PUBLICATION</w:t>
            </w:r>
            <w:r w:rsidR="0022655F">
              <w:rPr>
                <w:noProof/>
                <w:webHidden/>
              </w:rPr>
              <w:tab/>
            </w:r>
            <w:r w:rsidR="0022655F">
              <w:rPr>
                <w:noProof/>
                <w:webHidden/>
              </w:rPr>
              <w:fldChar w:fldCharType="begin"/>
            </w:r>
            <w:r w:rsidR="0022655F">
              <w:rPr>
                <w:noProof/>
                <w:webHidden/>
              </w:rPr>
              <w:instrText xml:space="preserve"> PAGEREF _Toc70417441 \h </w:instrText>
            </w:r>
            <w:r w:rsidR="0022655F">
              <w:rPr>
                <w:noProof/>
                <w:webHidden/>
              </w:rPr>
            </w:r>
            <w:r w:rsidR="0022655F">
              <w:rPr>
                <w:noProof/>
                <w:webHidden/>
              </w:rPr>
              <w:fldChar w:fldCharType="separate"/>
            </w:r>
            <w:r>
              <w:rPr>
                <w:noProof/>
                <w:webHidden/>
              </w:rPr>
              <w:t>27</w:t>
            </w:r>
            <w:r w:rsidR="0022655F">
              <w:rPr>
                <w:noProof/>
                <w:webHidden/>
              </w:rPr>
              <w:fldChar w:fldCharType="end"/>
            </w:r>
          </w:hyperlink>
        </w:p>
        <w:p w14:paraId="7C1F29E3" w14:textId="55BD05F9" w:rsidR="00407C66" w:rsidRPr="00407C66" w:rsidRDefault="00407C66" w:rsidP="00407C66">
          <w:r>
            <w:rPr>
              <w:b/>
              <w:bCs/>
              <w:noProof/>
            </w:rPr>
            <w:fldChar w:fldCharType="end"/>
          </w:r>
        </w:p>
      </w:sdtContent>
    </w:sdt>
    <w:p w14:paraId="5296DCC7" w14:textId="77777777" w:rsidR="00EE07B5" w:rsidRPr="00C649E1" w:rsidRDefault="00EE07B5" w:rsidP="00ED5F33">
      <w:pPr>
        <w:tabs>
          <w:tab w:val="center" w:pos="5400"/>
        </w:tabs>
        <w:suppressAutoHyphens/>
        <w:spacing w:line="276" w:lineRule="auto"/>
        <w:jc w:val="center"/>
        <w:rPr>
          <w:sz w:val="20"/>
          <w:szCs w:val="20"/>
        </w:rPr>
      </w:pPr>
    </w:p>
    <w:p w14:paraId="00A0AD1E" w14:textId="77777777" w:rsidR="002F362D" w:rsidRDefault="002F362D" w:rsidP="000439BE">
      <w:pPr>
        <w:tabs>
          <w:tab w:val="center" w:pos="5400"/>
        </w:tabs>
        <w:suppressAutoHyphens/>
        <w:spacing w:line="276" w:lineRule="auto"/>
        <w:rPr>
          <w:sz w:val="20"/>
          <w:szCs w:val="20"/>
        </w:rPr>
      </w:pPr>
      <w:r w:rsidRPr="00C649E1">
        <w:rPr>
          <w:sz w:val="20"/>
          <w:szCs w:val="20"/>
        </w:rPr>
        <w:br w:type="page"/>
      </w:r>
    </w:p>
    <w:p w14:paraId="2F1DFDD0" w14:textId="77777777" w:rsidR="00B6392F" w:rsidRPr="00C649E1" w:rsidRDefault="00B6392F" w:rsidP="000439BE">
      <w:pPr>
        <w:tabs>
          <w:tab w:val="center" w:pos="5400"/>
        </w:tabs>
        <w:suppressAutoHyphens/>
        <w:spacing w:line="276" w:lineRule="auto"/>
        <w:rPr>
          <w:rFonts w:asciiTheme="majorHAnsi" w:eastAsiaTheme="majorEastAsia" w:hAnsiTheme="majorHAnsi" w:cstheme="majorBidi"/>
          <w:b/>
          <w:bCs/>
          <w:sz w:val="20"/>
          <w:szCs w:val="20"/>
        </w:rPr>
      </w:pPr>
    </w:p>
    <w:p w14:paraId="2C9EEAF5" w14:textId="77777777" w:rsidR="001C4006" w:rsidRPr="00C649E1" w:rsidRDefault="00830E88" w:rsidP="003676F1">
      <w:pPr>
        <w:pStyle w:val="Heading1"/>
        <w:tabs>
          <w:tab w:val="left" w:pos="360"/>
        </w:tabs>
        <w:spacing w:before="0"/>
        <w:ind w:hanging="720"/>
        <w:rPr>
          <w:color w:val="auto"/>
          <w:sz w:val="20"/>
          <w:szCs w:val="20"/>
        </w:rPr>
      </w:pPr>
      <w:bookmarkStart w:id="0" w:name="_Toc22915004"/>
      <w:bookmarkStart w:id="1" w:name="_Toc45105371"/>
      <w:bookmarkStart w:id="2" w:name="_Toc70417409"/>
      <w:r w:rsidRPr="00C649E1">
        <w:rPr>
          <w:color w:val="auto"/>
          <w:sz w:val="20"/>
          <w:szCs w:val="20"/>
        </w:rPr>
        <w:t>INTRODUCTION</w:t>
      </w:r>
      <w:bookmarkEnd w:id="0"/>
      <w:bookmarkEnd w:id="1"/>
      <w:bookmarkEnd w:id="2"/>
      <w:r w:rsidR="001C4006" w:rsidRPr="00C649E1">
        <w:rPr>
          <w:color w:val="auto"/>
          <w:sz w:val="20"/>
          <w:szCs w:val="20"/>
        </w:rPr>
        <w:t xml:space="preserve"> </w:t>
      </w:r>
    </w:p>
    <w:p w14:paraId="67A8888A" w14:textId="77777777" w:rsidR="001C4006" w:rsidRPr="00C649E1" w:rsidRDefault="001C4006" w:rsidP="00BB5A59">
      <w:pPr>
        <w:suppressAutoHyphens/>
        <w:ind w:left="1440" w:hanging="720"/>
        <w:rPr>
          <w:rFonts w:asciiTheme="majorHAnsi" w:hAnsiTheme="majorHAnsi"/>
          <w:b/>
          <w:sz w:val="20"/>
          <w:szCs w:val="20"/>
        </w:rPr>
      </w:pPr>
    </w:p>
    <w:p w14:paraId="478AFBEC" w14:textId="77777777" w:rsidR="001C4006" w:rsidRPr="00C649E1" w:rsidRDefault="001C4006"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649E1">
        <w:rPr>
          <w:rFonts w:asciiTheme="majorHAnsi" w:hAnsiTheme="majorHAnsi"/>
          <w:sz w:val="20"/>
          <w:szCs w:val="20"/>
        </w:rPr>
        <w:t xml:space="preserve">On </w:t>
      </w:r>
      <w:r w:rsidR="002F362D" w:rsidRPr="00C649E1">
        <w:rPr>
          <w:rFonts w:asciiTheme="majorHAnsi" w:hAnsiTheme="majorHAnsi"/>
          <w:sz w:val="20"/>
          <w:szCs w:val="20"/>
        </w:rPr>
        <w:t>April 3, 2012</w:t>
      </w:r>
      <w:r w:rsidR="0007716F" w:rsidRPr="00C649E1">
        <w:rPr>
          <w:rFonts w:asciiTheme="majorHAnsi" w:hAnsiTheme="majorHAnsi"/>
          <w:sz w:val="20"/>
          <w:szCs w:val="20"/>
        </w:rPr>
        <w:t xml:space="preserve">, </w:t>
      </w:r>
      <w:r w:rsidRPr="00C649E1">
        <w:rPr>
          <w:rFonts w:asciiTheme="majorHAnsi" w:hAnsiTheme="majorHAnsi"/>
          <w:sz w:val="20"/>
          <w:szCs w:val="20"/>
        </w:rPr>
        <w:t>the Inter-American Commission on Human Rights (the “Inter-American Commission”</w:t>
      </w:r>
      <w:r w:rsidR="004D4E01" w:rsidRPr="00C649E1">
        <w:rPr>
          <w:rFonts w:asciiTheme="majorHAnsi" w:hAnsiTheme="majorHAnsi"/>
          <w:sz w:val="20"/>
          <w:szCs w:val="20"/>
        </w:rPr>
        <w:t>, “Commission”</w:t>
      </w:r>
      <w:r w:rsidRPr="00C649E1">
        <w:rPr>
          <w:rFonts w:asciiTheme="majorHAnsi" w:hAnsiTheme="majorHAnsi"/>
          <w:sz w:val="20"/>
          <w:szCs w:val="20"/>
        </w:rPr>
        <w:t xml:space="preserve"> or “IACHR”) received a petition</w:t>
      </w:r>
      <w:r w:rsidR="00444596" w:rsidRPr="00C649E1">
        <w:rPr>
          <w:rFonts w:asciiTheme="majorHAnsi" w:hAnsiTheme="majorHAnsi"/>
          <w:sz w:val="20"/>
          <w:szCs w:val="20"/>
        </w:rPr>
        <w:t xml:space="preserve"> </w:t>
      </w:r>
      <w:r w:rsidR="00B24A00" w:rsidRPr="00C649E1">
        <w:rPr>
          <w:rFonts w:asciiTheme="majorHAnsi" w:hAnsiTheme="majorHAnsi"/>
          <w:sz w:val="20"/>
          <w:szCs w:val="20"/>
        </w:rPr>
        <w:t>and request for precautionary measures</w:t>
      </w:r>
      <w:r w:rsidR="00B24A00" w:rsidRPr="00C649E1">
        <w:rPr>
          <w:rStyle w:val="FootnoteReference"/>
          <w:rFonts w:asciiTheme="majorHAnsi" w:hAnsiTheme="majorHAnsi"/>
          <w:sz w:val="20"/>
          <w:szCs w:val="20"/>
        </w:rPr>
        <w:footnoteReference w:id="2"/>
      </w:r>
      <w:r w:rsidR="00B24A00" w:rsidRPr="00C649E1">
        <w:rPr>
          <w:rFonts w:asciiTheme="majorHAnsi" w:hAnsiTheme="majorHAnsi"/>
          <w:sz w:val="20"/>
          <w:szCs w:val="20"/>
        </w:rPr>
        <w:t xml:space="preserve"> </w:t>
      </w:r>
      <w:r w:rsidR="00444596" w:rsidRPr="00C649E1">
        <w:rPr>
          <w:rFonts w:asciiTheme="majorHAnsi" w:hAnsiTheme="majorHAnsi"/>
          <w:sz w:val="20"/>
          <w:szCs w:val="20"/>
        </w:rPr>
        <w:t xml:space="preserve">submitted by </w:t>
      </w:r>
      <w:r w:rsidR="002F362D" w:rsidRPr="00C649E1">
        <w:rPr>
          <w:rFonts w:asciiTheme="majorHAnsi" w:hAnsiTheme="majorHAnsi"/>
          <w:sz w:val="20"/>
          <w:szCs w:val="20"/>
        </w:rPr>
        <w:t>Sean K. Kennedy</w:t>
      </w:r>
      <w:r w:rsidR="0076495F" w:rsidRPr="00C649E1">
        <w:rPr>
          <w:rFonts w:asciiTheme="majorHAnsi" w:hAnsiTheme="majorHAnsi"/>
          <w:sz w:val="20"/>
          <w:szCs w:val="20"/>
        </w:rPr>
        <w:t xml:space="preserve"> from the </w:t>
      </w:r>
      <w:r w:rsidR="00FC53A4" w:rsidRPr="00C649E1">
        <w:rPr>
          <w:rFonts w:asciiTheme="majorHAnsi" w:hAnsiTheme="majorHAnsi"/>
          <w:sz w:val="20"/>
          <w:szCs w:val="20"/>
        </w:rPr>
        <w:t>California</w:t>
      </w:r>
      <w:r w:rsidR="0076495F" w:rsidRPr="00C649E1">
        <w:rPr>
          <w:rFonts w:asciiTheme="majorHAnsi" w:hAnsiTheme="majorHAnsi"/>
          <w:sz w:val="20"/>
          <w:szCs w:val="20"/>
        </w:rPr>
        <w:t>’</w:t>
      </w:r>
      <w:r w:rsidR="00FC53A4" w:rsidRPr="00C649E1">
        <w:rPr>
          <w:rFonts w:asciiTheme="majorHAnsi" w:hAnsiTheme="majorHAnsi"/>
          <w:sz w:val="20"/>
          <w:szCs w:val="20"/>
        </w:rPr>
        <w:t>s</w:t>
      </w:r>
      <w:r w:rsidR="0076495F" w:rsidRPr="00C649E1">
        <w:rPr>
          <w:rFonts w:asciiTheme="majorHAnsi" w:hAnsiTheme="majorHAnsi"/>
          <w:sz w:val="20"/>
          <w:szCs w:val="20"/>
        </w:rPr>
        <w:t xml:space="preserve"> </w:t>
      </w:r>
      <w:r w:rsidR="009F7E41" w:rsidRPr="00C649E1">
        <w:rPr>
          <w:rFonts w:asciiTheme="majorHAnsi" w:hAnsiTheme="majorHAnsi"/>
          <w:sz w:val="20"/>
          <w:szCs w:val="20"/>
        </w:rPr>
        <w:t>Federal Public Defender</w:t>
      </w:r>
      <w:r w:rsidR="0076495F" w:rsidRPr="00C649E1">
        <w:rPr>
          <w:rFonts w:asciiTheme="majorHAnsi" w:hAnsiTheme="majorHAnsi"/>
          <w:sz w:val="20"/>
          <w:szCs w:val="20"/>
        </w:rPr>
        <w:t>’s Office</w:t>
      </w:r>
      <w:r w:rsidR="00A649AE" w:rsidRPr="00C649E1">
        <w:rPr>
          <w:rFonts w:asciiTheme="majorHAnsi" w:hAnsiTheme="majorHAnsi"/>
          <w:sz w:val="20"/>
          <w:szCs w:val="20"/>
        </w:rPr>
        <w:t xml:space="preserve"> (the “petitioner</w:t>
      </w:r>
      <w:r w:rsidR="00244E7D" w:rsidRPr="00C649E1">
        <w:rPr>
          <w:rFonts w:asciiTheme="majorHAnsi" w:hAnsiTheme="majorHAnsi"/>
          <w:sz w:val="20"/>
          <w:szCs w:val="20"/>
        </w:rPr>
        <w:t>”)</w:t>
      </w:r>
      <w:r w:rsidR="009F7E41" w:rsidRPr="00C649E1">
        <w:rPr>
          <w:rFonts w:asciiTheme="majorHAnsi" w:hAnsiTheme="majorHAnsi"/>
          <w:sz w:val="20"/>
          <w:szCs w:val="20"/>
        </w:rPr>
        <w:t>,</w:t>
      </w:r>
      <w:r w:rsidR="0076495F" w:rsidRPr="00C649E1">
        <w:rPr>
          <w:rStyle w:val="FootnoteReference"/>
          <w:rFonts w:asciiTheme="majorHAnsi" w:hAnsiTheme="majorHAnsi"/>
          <w:sz w:val="20"/>
          <w:szCs w:val="20"/>
        </w:rPr>
        <w:footnoteReference w:id="3"/>
      </w:r>
      <w:r w:rsidR="0076495F" w:rsidRPr="00C649E1">
        <w:rPr>
          <w:rFonts w:asciiTheme="majorHAnsi" w:hAnsiTheme="majorHAnsi"/>
          <w:sz w:val="20"/>
          <w:szCs w:val="20"/>
        </w:rPr>
        <w:t xml:space="preserve"> </w:t>
      </w:r>
      <w:r w:rsidRPr="00C649E1">
        <w:rPr>
          <w:rFonts w:asciiTheme="majorHAnsi" w:hAnsiTheme="majorHAnsi"/>
          <w:sz w:val="20"/>
          <w:szCs w:val="20"/>
        </w:rPr>
        <w:t>alleg</w:t>
      </w:r>
      <w:r w:rsidR="00E86EAF" w:rsidRPr="00C649E1">
        <w:rPr>
          <w:rFonts w:asciiTheme="majorHAnsi" w:hAnsiTheme="majorHAnsi"/>
          <w:sz w:val="20"/>
          <w:szCs w:val="20"/>
        </w:rPr>
        <w:t xml:space="preserve">ing </w:t>
      </w:r>
      <w:r w:rsidRPr="00C649E1">
        <w:rPr>
          <w:rFonts w:asciiTheme="majorHAnsi" w:hAnsiTheme="majorHAnsi"/>
          <w:sz w:val="20"/>
          <w:szCs w:val="20"/>
        </w:rPr>
        <w:t xml:space="preserve">the international responsibility of </w:t>
      </w:r>
      <w:r w:rsidR="0046072C" w:rsidRPr="00C649E1">
        <w:rPr>
          <w:rFonts w:asciiTheme="majorHAnsi" w:hAnsiTheme="majorHAnsi"/>
          <w:sz w:val="20"/>
          <w:szCs w:val="20"/>
        </w:rPr>
        <w:t>the United States of America</w:t>
      </w:r>
      <w:r w:rsidRPr="00C649E1">
        <w:rPr>
          <w:rFonts w:asciiTheme="majorHAnsi" w:hAnsiTheme="majorHAnsi"/>
          <w:sz w:val="20"/>
          <w:szCs w:val="20"/>
        </w:rPr>
        <w:t xml:space="preserve"> (the “State” or “</w:t>
      </w:r>
      <w:r w:rsidR="0046072C" w:rsidRPr="00C649E1">
        <w:rPr>
          <w:rFonts w:asciiTheme="majorHAnsi" w:hAnsiTheme="majorHAnsi"/>
          <w:sz w:val="20"/>
          <w:szCs w:val="20"/>
        </w:rPr>
        <w:t>the United States</w:t>
      </w:r>
      <w:r w:rsidRPr="00C649E1">
        <w:rPr>
          <w:rFonts w:asciiTheme="majorHAnsi" w:hAnsiTheme="majorHAnsi"/>
          <w:sz w:val="20"/>
          <w:szCs w:val="20"/>
        </w:rPr>
        <w:t xml:space="preserve">”) for </w:t>
      </w:r>
      <w:r w:rsidR="00F769C7" w:rsidRPr="00C649E1">
        <w:rPr>
          <w:rFonts w:asciiTheme="majorHAnsi" w:hAnsiTheme="majorHAnsi"/>
          <w:sz w:val="20"/>
          <w:szCs w:val="20"/>
        </w:rPr>
        <w:t xml:space="preserve">the </w:t>
      </w:r>
      <w:r w:rsidRPr="00C649E1">
        <w:rPr>
          <w:rFonts w:asciiTheme="majorHAnsi" w:hAnsiTheme="majorHAnsi"/>
          <w:sz w:val="20"/>
          <w:szCs w:val="20"/>
        </w:rPr>
        <w:t>violation of the right</w:t>
      </w:r>
      <w:r w:rsidR="00706D7E" w:rsidRPr="00C649E1">
        <w:rPr>
          <w:rFonts w:asciiTheme="majorHAnsi" w:hAnsiTheme="majorHAnsi"/>
          <w:sz w:val="20"/>
          <w:szCs w:val="20"/>
        </w:rPr>
        <w:t>s</w:t>
      </w:r>
      <w:r w:rsidRPr="00C649E1">
        <w:rPr>
          <w:rFonts w:asciiTheme="majorHAnsi" w:hAnsiTheme="majorHAnsi"/>
          <w:sz w:val="20"/>
          <w:szCs w:val="20"/>
        </w:rPr>
        <w:t xml:space="preserve"> of </w:t>
      </w:r>
      <w:r w:rsidR="00FC53A4" w:rsidRPr="00C649E1">
        <w:rPr>
          <w:rFonts w:asciiTheme="majorHAnsi" w:hAnsiTheme="majorHAnsi"/>
          <w:sz w:val="20"/>
          <w:szCs w:val="20"/>
        </w:rPr>
        <w:t>Julius Omar Robinson</w:t>
      </w:r>
      <w:r w:rsidR="00F769C7" w:rsidRPr="00C649E1">
        <w:rPr>
          <w:rFonts w:asciiTheme="majorHAnsi" w:hAnsiTheme="majorHAnsi"/>
          <w:sz w:val="20"/>
          <w:szCs w:val="20"/>
        </w:rPr>
        <w:t xml:space="preserve"> (“Mr. </w:t>
      </w:r>
      <w:r w:rsidR="0053134C" w:rsidRPr="00C649E1">
        <w:rPr>
          <w:rFonts w:asciiTheme="majorHAnsi" w:hAnsiTheme="majorHAnsi"/>
          <w:sz w:val="20"/>
          <w:szCs w:val="20"/>
        </w:rPr>
        <w:t>Ro</w:t>
      </w:r>
      <w:r w:rsidR="00FC53A4" w:rsidRPr="00C649E1">
        <w:rPr>
          <w:rFonts w:asciiTheme="majorHAnsi" w:hAnsiTheme="majorHAnsi"/>
          <w:sz w:val="20"/>
          <w:szCs w:val="20"/>
        </w:rPr>
        <w:t>binson</w:t>
      </w:r>
      <w:r w:rsidR="00F769C7" w:rsidRPr="00C649E1">
        <w:rPr>
          <w:rFonts w:asciiTheme="majorHAnsi" w:hAnsiTheme="majorHAnsi"/>
          <w:sz w:val="20"/>
          <w:szCs w:val="20"/>
        </w:rPr>
        <w:t>”)</w:t>
      </w:r>
      <w:r w:rsidR="00D20D54" w:rsidRPr="00C649E1">
        <w:rPr>
          <w:rFonts w:asciiTheme="majorHAnsi" w:hAnsiTheme="majorHAnsi"/>
          <w:sz w:val="20"/>
          <w:szCs w:val="20"/>
        </w:rPr>
        <w:t xml:space="preserve">, </w:t>
      </w:r>
      <w:r w:rsidR="00811543" w:rsidRPr="00C649E1">
        <w:rPr>
          <w:rFonts w:asciiTheme="majorHAnsi" w:hAnsiTheme="majorHAnsi"/>
          <w:sz w:val="20"/>
          <w:szCs w:val="20"/>
        </w:rPr>
        <w:t xml:space="preserve">an African-American </w:t>
      </w:r>
      <w:r w:rsidR="00244E7D" w:rsidRPr="00C649E1">
        <w:rPr>
          <w:rFonts w:asciiTheme="majorHAnsi" w:hAnsiTheme="majorHAnsi"/>
          <w:sz w:val="20"/>
          <w:szCs w:val="20"/>
        </w:rPr>
        <w:t>who is on death row</w:t>
      </w:r>
      <w:r w:rsidR="0053134C" w:rsidRPr="00C649E1">
        <w:rPr>
          <w:rFonts w:asciiTheme="majorHAnsi" w:hAnsiTheme="majorHAnsi"/>
          <w:sz w:val="20"/>
          <w:szCs w:val="20"/>
        </w:rPr>
        <w:t xml:space="preserve"> in the state of </w:t>
      </w:r>
      <w:r w:rsidR="00FC53A4" w:rsidRPr="00C649E1">
        <w:rPr>
          <w:rFonts w:asciiTheme="majorHAnsi" w:hAnsiTheme="majorHAnsi"/>
          <w:sz w:val="20"/>
          <w:szCs w:val="20"/>
        </w:rPr>
        <w:t>Texas</w:t>
      </w:r>
      <w:r w:rsidRPr="00C649E1">
        <w:rPr>
          <w:rFonts w:asciiTheme="majorHAnsi" w:hAnsiTheme="majorHAnsi"/>
          <w:sz w:val="20"/>
          <w:szCs w:val="20"/>
        </w:rPr>
        <w:t xml:space="preserve">. </w:t>
      </w:r>
    </w:p>
    <w:p w14:paraId="39EF708A" w14:textId="77777777" w:rsidR="001C4006" w:rsidRPr="00C649E1"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ind w:left="630"/>
        <w:rPr>
          <w:rFonts w:asciiTheme="majorHAnsi" w:hAnsiTheme="majorHAnsi"/>
          <w:sz w:val="20"/>
          <w:szCs w:val="20"/>
        </w:rPr>
      </w:pPr>
    </w:p>
    <w:p w14:paraId="31BD35E0" w14:textId="77777777" w:rsidR="001C4006" w:rsidRPr="00C649E1" w:rsidRDefault="00BE1B74"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649E1">
        <w:rPr>
          <w:rFonts w:asciiTheme="majorHAnsi" w:hAnsiTheme="majorHAnsi"/>
          <w:sz w:val="20"/>
          <w:szCs w:val="20"/>
        </w:rPr>
        <w:t xml:space="preserve">On </w:t>
      </w:r>
      <w:r w:rsidR="003813A2" w:rsidRPr="00C649E1">
        <w:rPr>
          <w:rFonts w:asciiTheme="majorHAnsi" w:hAnsiTheme="majorHAnsi"/>
          <w:sz w:val="20"/>
          <w:szCs w:val="20"/>
        </w:rPr>
        <w:t>October 2</w:t>
      </w:r>
      <w:r w:rsidR="004810B3" w:rsidRPr="00C649E1">
        <w:rPr>
          <w:rFonts w:asciiTheme="majorHAnsi" w:hAnsiTheme="majorHAnsi"/>
          <w:sz w:val="20"/>
          <w:szCs w:val="20"/>
        </w:rPr>
        <w:t>,</w:t>
      </w:r>
      <w:r w:rsidR="003813A2" w:rsidRPr="00C649E1">
        <w:rPr>
          <w:rFonts w:asciiTheme="majorHAnsi" w:hAnsiTheme="majorHAnsi"/>
          <w:sz w:val="20"/>
          <w:szCs w:val="20"/>
        </w:rPr>
        <w:t xml:space="preserve"> 2017</w:t>
      </w:r>
      <w:r w:rsidR="00A05601" w:rsidRPr="00C649E1">
        <w:rPr>
          <w:rFonts w:asciiTheme="majorHAnsi" w:hAnsiTheme="majorHAnsi"/>
          <w:sz w:val="20"/>
          <w:szCs w:val="20"/>
        </w:rPr>
        <w:t>, the Com</w:t>
      </w:r>
      <w:r w:rsidR="0027671E" w:rsidRPr="00C649E1">
        <w:rPr>
          <w:rFonts w:asciiTheme="majorHAnsi" w:hAnsiTheme="majorHAnsi"/>
          <w:sz w:val="20"/>
          <w:szCs w:val="20"/>
        </w:rPr>
        <w:t>m</w:t>
      </w:r>
      <w:r w:rsidR="00A05601" w:rsidRPr="00C649E1">
        <w:rPr>
          <w:rFonts w:asciiTheme="majorHAnsi" w:hAnsiTheme="majorHAnsi"/>
          <w:sz w:val="20"/>
          <w:szCs w:val="20"/>
        </w:rPr>
        <w:t xml:space="preserve">ission notified the parties of the application of Article 36 (3) of its Rules of Procedure, since the petition falls within the criteria established in its Resolution </w:t>
      </w:r>
      <w:r w:rsidR="00A640BF" w:rsidRPr="00C649E1">
        <w:rPr>
          <w:rFonts w:asciiTheme="majorHAnsi" w:hAnsiTheme="majorHAnsi"/>
          <w:sz w:val="20"/>
          <w:szCs w:val="20"/>
        </w:rPr>
        <w:t>1/16</w:t>
      </w:r>
      <w:r w:rsidR="00A640BF">
        <w:rPr>
          <w:rFonts w:asciiTheme="majorHAnsi" w:hAnsiTheme="majorHAnsi"/>
          <w:sz w:val="20"/>
          <w:szCs w:val="20"/>
        </w:rPr>
        <w:t>,</w:t>
      </w:r>
      <w:r w:rsidR="00A640BF" w:rsidRPr="00C649E1">
        <w:rPr>
          <w:rFonts w:asciiTheme="majorHAnsi" w:hAnsiTheme="majorHAnsi"/>
          <w:sz w:val="20"/>
          <w:szCs w:val="20"/>
        </w:rPr>
        <w:t xml:space="preserve"> and</w:t>
      </w:r>
      <w:r w:rsidR="00A05601" w:rsidRPr="00C649E1">
        <w:rPr>
          <w:rFonts w:asciiTheme="majorHAnsi" w:hAnsiTheme="majorHAnsi"/>
          <w:sz w:val="20"/>
          <w:szCs w:val="20"/>
        </w:rPr>
        <w:t xml:space="preserve"> placed itself at the disposition of the parties to reach a friendly settlement. The parties enjoyed the time periods provided for in the IACHR’s Rules to present additional observations on the merits. All the information received by the Commission was duly transmitted to the parties</w:t>
      </w:r>
      <w:r w:rsidR="0027671E" w:rsidRPr="00C649E1">
        <w:rPr>
          <w:rFonts w:asciiTheme="majorHAnsi" w:hAnsiTheme="majorHAnsi"/>
          <w:sz w:val="20"/>
          <w:szCs w:val="20"/>
        </w:rPr>
        <w:t>.</w:t>
      </w:r>
    </w:p>
    <w:p w14:paraId="42C8A0C0" w14:textId="77777777" w:rsidR="001C4006" w:rsidRPr="00C649E1" w:rsidRDefault="001C4006" w:rsidP="002C3D6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suppressAutoHyphens/>
        <w:rPr>
          <w:rFonts w:asciiTheme="majorHAnsi" w:hAnsiTheme="majorHAnsi"/>
          <w:sz w:val="20"/>
          <w:szCs w:val="20"/>
        </w:rPr>
      </w:pPr>
    </w:p>
    <w:p w14:paraId="25CBBF71" w14:textId="77777777" w:rsidR="001C4006" w:rsidRPr="00C649E1" w:rsidRDefault="001C4006" w:rsidP="003676F1">
      <w:pPr>
        <w:pStyle w:val="Heading1"/>
        <w:tabs>
          <w:tab w:val="left" w:pos="360"/>
        </w:tabs>
        <w:spacing w:before="0"/>
        <w:ind w:hanging="720"/>
        <w:rPr>
          <w:color w:val="auto"/>
          <w:sz w:val="20"/>
          <w:szCs w:val="20"/>
        </w:rPr>
      </w:pPr>
      <w:bookmarkStart w:id="3" w:name="_Toc22915005"/>
      <w:bookmarkStart w:id="4" w:name="_Toc45105372"/>
      <w:bookmarkStart w:id="5" w:name="_Toc70417410"/>
      <w:r w:rsidRPr="00C649E1">
        <w:rPr>
          <w:color w:val="auto"/>
          <w:sz w:val="20"/>
          <w:szCs w:val="20"/>
        </w:rPr>
        <w:t>POSITIONS OF THE PARTIES</w:t>
      </w:r>
      <w:bookmarkEnd w:id="3"/>
      <w:bookmarkEnd w:id="4"/>
      <w:bookmarkEnd w:id="5"/>
    </w:p>
    <w:p w14:paraId="147C15CA" w14:textId="77777777" w:rsidR="001C4006" w:rsidRPr="00C649E1" w:rsidRDefault="001C4006" w:rsidP="00BB5A59">
      <w:pPr>
        <w:suppressAutoHyphens/>
        <w:ind w:left="1440" w:hanging="720"/>
        <w:rPr>
          <w:rFonts w:asciiTheme="majorHAnsi" w:hAnsiTheme="majorHAnsi"/>
          <w:sz w:val="20"/>
          <w:szCs w:val="20"/>
        </w:rPr>
      </w:pPr>
    </w:p>
    <w:p w14:paraId="775CA1A6" w14:textId="77777777" w:rsidR="005C164F" w:rsidRPr="00C649E1" w:rsidRDefault="005C164F" w:rsidP="003676F1">
      <w:pPr>
        <w:pStyle w:val="Heading2"/>
        <w:numPr>
          <w:ilvl w:val="0"/>
          <w:numId w:val="57"/>
        </w:numPr>
        <w:tabs>
          <w:tab w:val="left" w:pos="360"/>
        </w:tabs>
        <w:spacing w:before="0"/>
        <w:ind w:hanging="720"/>
        <w:rPr>
          <w:color w:val="auto"/>
          <w:sz w:val="20"/>
          <w:szCs w:val="20"/>
        </w:rPr>
      </w:pPr>
      <w:bookmarkStart w:id="6" w:name="_Toc22915006"/>
      <w:bookmarkStart w:id="7" w:name="_Toc45105373"/>
      <w:bookmarkStart w:id="8" w:name="_Toc70417411"/>
      <w:r w:rsidRPr="00C649E1">
        <w:rPr>
          <w:color w:val="auto"/>
          <w:sz w:val="20"/>
          <w:szCs w:val="20"/>
        </w:rPr>
        <w:t>P</w:t>
      </w:r>
      <w:r w:rsidR="00262ECA" w:rsidRPr="00C649E1">
        <w:rPr>
          <w:color w:val="auto"/>
          <w:sz w:val="20"/>
          <w:szCs w:val="20"/>
        </w:rPr>
        <w:t>etitioner</w:t>
      </w:r>
      <w:r w:rsidR="00F87EDC" w:rsidRPr="00C649E1">
        <w:rPr>
          <w:color w:val="auto"/>
          <w:sz w:val="20"/>
          <w:szCs w:val="20"/>
        </w:rPr>
        <w:t>s</w:t>
      </w:r>
      <w:bookmarkEnd w:id="6"/>
      <w:bookmarkEnd w:id="7"/>
      <w:bookmarkEnd w:id="8"/>
    </w:p>
    <w:p w14:paraId="37B25125" w14:textId="77777777" w:rsidR="005C164F" w:rsidRPr="00C649E1" w:rsidRDefault="005C164F" w:rsidP="00BB5A59">
      <w:pPr>
        <w:suppressAutoHyphens/>
        <w:ind w:left="1440" w:hanging="720"/>
        <w:rPr>
          <w:rFonts w:asciiTheme="majorHAnsi" w:hAnsiTheme="majorHAnsi"/>
          <w:sz w:val="20"/>
          <w:szCs w:val="20"/>
        </w:rPr>
      </w:pPr>
    </w:p>
    <w:p w14:paraId="4EDFCB63" w14:textId="77777777" w:rsidR="00D2412E" w:rsidRPr="00C649E1" w:rsidRDefault="00811543" w:rsidP="00D241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649E1">
        <w:rPr>
          <w:rFonts w:asciiTheme="majorHAnsi" w:hAnsiTheme="majorHAnsi"/>
          <w:sz w:val="20"/>
          <w:szCs w:val="20"/>
        </w:rPr>
        <w:t xml:space="preserve">The petitioners allege that the United States has violated Mr. Robinson’s human rights in the </w:t>
      </w:r>
      <w:r w:rsidR="00D2412E" w:rsidRPr="00C649E1">
        <w:rPr>
          <w:rFonts w:asciiTheme="majorHAnsi" w:hAnsiTheme="majorHAnsi"/>
          <w:sz w:val="20"/>
          <w:szCs w:val="20"/>
        </w:rPr>
        <w:t xml:space="preserve">trial that resulted in his </w:t>
      </w:r>
      <w:r w:rsidR="00A35DC6" w:rsidRPr="00C649E1">
        <w:rPr>
          <w:rFonts w:asciiTheme="majorHAnsi" w:hAnsiTheme="majorHAnsi"/>
          <w:sz w:val="20"/>
          <w:szCs w:val="20"/>
        </w:rPr>
        <w:t xml:space="preserve">federal </w:t>
      </w:r>
      <w:r w:rsidR="00D2412E" w:rsidRPr="00C649E1">
        <w:rPr>
          <w:rFonts w:asciiTheme="majorHAnsi" w:hAnsiTheme="majorHAnsi"/>
          <w:sz w:val="20"/>
          <w:szCs w:val="20"/>
        </w:rPr>
        <w:t xml:space="preserve">sentence to death. Specifically, they raise seven claims of violations of the American Declaration of the Rights and Duties of Man (“American Declaration” or “Declaration”). </w:t>
      </w:r>
    </w:p>
    <w:p w14:paraId="7A8A71B9" w14:textId="77777777" w:rsidR="00D2412E" w:rsidRPr="00C649E1" w:rsidRDefault="00D2412E" w:rsidP="00D2412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Theme="majorHAnsi" w:hAnsiTheme="majorHAnsi"/>
          <w:sz w:val="20"/>
          <w:szCs w:val="20"/>
        </w:rPr>
      </w:pPr>
    </w:p>
    <w:p w14:paraId="2C39C177" w14:textId="77777777" w:rsidR="00BB3205" w:rsidRPr="00C649E1" w:rsidRDefault="00D2412E" w:rsidP="00272A2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649E1">
        <w:rPr>
          <w:rFonts w:asciiTheme="majorHAnsi" w:hAnsiTheme="majorHAnsi"/>
          <w:sz w:val="20"/>
          <w:szCs w:val="20"/>
        </w:rPr>
        <w:t>First, the petitioners allege that the State of Texas has a long history of racially discriminatory use of the death penalty. They indicate that while black people constitute only 11.8% of the population of Texas, they account for 36.5% of its executions.</w:t>
      </w:r>
      <w:r w:rsidR="00BB3205" w:rsidRPr="00C649E1">
        <w:rPr>
          <w:rFonts w:asciiTheme="majorHAnsi" w:hAnsiTheme="majorHAnsi"/>
          <w:sz w:val="20"/>
          <w:szCs w:val="20"/>
        </w:rPr>
        <w:t xml:space="preserve"> </w:t>
      </w:r>
      <w:r w:rsidR="00272A20" w:rsidRPr="00C649E1">
        <w:rPr>
          <w:rFonts w:asciiTheme="majorHAnsi" w:hAnsiTheme="majorHAnsi"/>
          <w:sz w:val="20"/>
          <w:szCs w:val="20"/>
        </w:rPr>
        <w:t>Second, p</w:t>
      </w:r>
      <w:r w:rsidR="00BB3205" w:rsidRPr="00C649E1">
        <w:rPr>
          <w:rFonts w:asciiTheme="majorHAnsi" w:hAnsiTheme="majorHAnsi"/>
          <w:sz w:val="20"/>
          <w:szCs w:val="20"/>
        </w:rPr>
        <w:t>etitioners argue that the prosecutors in Mr. Robinson’s case weed</w:t>
      </w:r>
      <w:r w:rsidR="00B01430" w:rsidRPr="00C649E1">
        <w:rPr>
          <w:rFonts w:asciiTheme="majorHAnsi" w:hAnsiTheme="majorHAnsi"/>
          <w:sz w:val="20"/>
          <w:szCs w:val="20"/>
        </w:rPr>
        <w:t>ed</w:t>
      </w:r>
      <w:r w:rsidR="00BB3205" w:rsidRPr="00C649E1">
        <w:rPr>
          <w:rFonts w:asciiTheme="majorHAnsi" w:hAnsiTheme="majorHAnsi"/>
          <w:sz w:val="20"/>
          <w:szCs w:val="20"/>
        </w:rPr>
        <w:t xml:space="preserve"> out all but one black person from sitting on the jury</w:t>
      </w:r>
      <w:r w:rsidR="0018210D" w:rsidRPr="00C649E1">
        <w:rPr>
          <w:rFonts w:asciiTheme="majorHAnsi" w:hAnsiTheme="majorHAnsi"/>
          <w:sz w:val="20"/>
          <w:szCs w:val="20"/>
        </w:rPr>
        <w:t xml:space="preserve">. </w:t>
      </w:r>
      <w:r w:rsidR="00AB1BDA" w:rsidRPr="00C649E1">
        <w:rPr>
          <w:rFonts w:asciiTheme="majorHAnsi" w:hAnsiTheme="majorHAnsi"/>
          <w:sz w:val="20"/>
          <w:szCs w:val="20"/>
        </w:rPr>
        <w:t>They state</w:t>
      </w:r>
      <w:r w:rsidR="00BB3205" w:rsidRPr="00C649E1">
        <w:rPr>
          <w:rFonts w:asciiTheme="majorHAnsi" w:hAnsiTheme="majorHAnsi"/>
          <w:sz w:val="20"/>
          <w:szCs w:val="20"/>
        </w:rPr>
        <w:t xml:space="preserve"> that this, coupled with the disparate impact on black defendants in Texas, evidences intentional racial discrimination sufficient to establish an equal protection violation under the American Declaration. Petitioners further allege that the use of an uncharged, unadjudicated attempted murder as evidence that Mr. Robinson posed a future danger from </w:t>
      </w:r>
      <w:r w:rsidR="00B01430" w:rsidRPr="00C649E1">
        <w:rPr>
          <w:rFonts w:asciiTheme="majorHAnsi" w:hAnsiTheme="majorHAnsi"/>
          <w:sz w:val="20"/>
          <w:szCs w:val="20"/>
        </w:rPr>
        <w:t>prison</w:t>
      </w:r>
      <w:r w:rsidR="00BB3205" w:rsidRPr="00C649E1">
        <w:rPr>
          <w:rFonts w:asciiTheme="majorHAnsi" w:hAnsiTheme="majorHAnsi"/>
          <w:sz w:val="20"/>
          <w:szCs w:val="20"/>
        </w:rPr>
        <w:t xml:space="preserve"> was fundamentally unfair and prejudicial to his defense.</w:t>
      </w:r>
      <w:r w:rsidR="00B01430" w:rsidRPr="00C649E1">
        <w:rPr>
          <w:rFonts w:asciiTheme="majorHAnsi" w:hAnsiTheme="majorHAnsi"/>
          <w:sz w:val="20"/>
          <w:szCs w:val="20"/>
        </w:rPr>
        <w:t xml:space="preserve"> They also allege ineffective assistance of trial counsel given the failure to adequately prepare for the penalty phase. </w:t>
      </w:r>
      <w:r w:rsidR="00BB3205" w:rsidRPr="00C649E1">
        <w:rPr>
          <w:rFonts w:asciiTheme="majorHAnsi" w:hAnsiTheme="majorHAnsi"/>
          <w:sz w:val="20"/>
          <w:szCs w:val="20"/>
        </w:rPr>
        <w:t xml:space="preserve"> </w:t>
      </w:r>
    </w:p>
    <w:p w14:paraId="3EBFC46D" w14:textId="77777777" w:rsidR="006F0D61" w:rsidRPr="00C649E1" w:rsidRDefault="006F0D61" w:rsidP="006F0D61">
      <w:pPr>
        <w:pStyle w:val="ListParagraph"/>
        <w:rPr>
          <w:rFonts w:asciiTheme="majorHAnsi" w:hAnsiTheme="majorHAnsi"/>
          <w:sz w:val="20"/>
          <w:szCs w:val="20"/>
        </w:rPr>
      </w:pPr>
    </w:p>
    <w:p w14:paraId="5DDF6D67" w14:textId="77777777" w:rsidR="00DF1D34" w:rsidRPr="00C649E1" w:rsidRDefault="006F0D61" w:rsidP="00D241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649E1">
        <w:rPr>
          <w:rFonts w:asciiTheme="majorHAnsi" w:hAnsiTheme="majorHAnsi"/>
          <w:sz w:val="20"/>
          <w:szCs w:val="20"/>
        </w:rPr>
        <w:t>Acc</w:t>
      </w:r>
      <w:r w:rsidR="00331A29" w:rsidRPr="00C649E1">
        <w:rPr>
          <w:rFonts w:asciiTheme="majorHAnsi" w:hAnsiTheme="majorHAnsi"/>
          <w:sz w:val="20"/>
          <w:szCs w:val="20"/>
        </w:rPr>
        <w:t xml:space="preserve">ording to the petitioners, </w:t>
      </w:r>
      <w:r w:rsidRPr="00C649E1">
        <w:rPr>
          <w:rFonts w:asciiTheme="majorHAnsi" w:hAnsiTheme="majorHAnsi"/>
          <w:sz w:val="20"/>
          <w:szCs w:val="20"/>
        </w:rPr>
        <w:t>Texas federal courts have a history of closing the courthouse doors to death-row inmates who seek to vin</w:t>
      </w:r>
      <w:r w:rsidR="00331A29" w:rsidRPr="00C649E1">
        <w:rPr>
          <w:rFonts w:asciiTheme="majorHAnsi" w:hAnsiTheme="majorHAnsi"/>
          <w:sz w:val="20"/>
          <w:szCs w:val="20"/>
        </w:rPr>
        <w:t>di</w:t>
      </w:r>
      <w:r w:rsidRPr="00C649E1">
        <w:rPr>
          <w:rFonts w:asciiTheme="majorHAnsi" w:hAnsiTheme="majorHAnsi"/>
          <w:sz w:val="20"/>
          <w:szCs w:val="20"/>
        </w:rPr>
        <w:t xml:space="preserve">cate their constitutional rights through post-conviction. In this regard, they allege that the </w:t>
      </w:r>
      <w:r w:rsidR="00157F0D" w:rsidRPr="00C649E1">
        <w:rPr>
          <w:rFonts w:asciiTheme="majorHAnsi" w:hAnsiTheme="majorHAnsi"/>
          <w:sz w:val="20"/>
          <w:szCs w:val="20"/>
        </w:rPr>
        <w:t>d</w:t>
      </w:r>
      <w:r w:rsidRPr="00C649E1">
        <w:rPr>
          <w:rFonts w:asciiTheme="majorHAnsi" w:hAnsiTheme="majorHAnsi"/>
          <w:sz w:val="20"/>
          <w:szCs w:val="20"/>
        </w:rPr>
        <w:t xml:space="preserve">istrict </w:t>
      </w:r>
      <w:r w:rsidR="00157F0D" w:rsidRPr="00C649E1">
        <w:rPr>
          <w:rFonts w:asciiTheme="majorHAnsi" w:hAnsiTheme="majorHAnsi"/>
          <w:sz w:val="20"/>
          <w:szCs w:val="20"/>
        </w:rPr>
        <w:t>c</w:t>
      </w:r>
      <w:r w:rsidRPr="00C649E1">
        <w:rPr>
          <w:rFonts w:asciiTheme="majorHAnsi" w:hAnsiTheme="majorHAnsi"/>
          <w:sz w:val="20"/>
          <w:szCs w:val="20"/>
        </w:rPr>
        <w:t xml:space="preserve">ourt improperly denied discovery regarding Mr. Robinson’s well-pled claims of an equal protection violation and ineffective assistance </w:t>
      </w:r>
      <w:r w:rsidR="00331A29" w:rsidRPr="00C649E1">
        <w:rPr>
          <w:rFonts w:asciiTheme="majorHAnsi" w:hAnsiTheme="majorHAnsi"/>
          <w:sz w:val="20"/>
          <w:szCs w:val="20"/>
        </w:rPr>
        <w:t xml:space="preserve">of counsel. </w:t>
      </w:r>
      <w:r w:rsidR="00DF1D34" w:rsidRPr="00C649E1">
        <w:rPr>
          <w:rFonts w:asciiTheme="majorHAnsi" w:hAnsiTheme="majorHAnsi"/>
          <w:sz w:val="20"/>
          <w:szCs w:val="20"/>
        </w:rPr>
        <w:t xml:space="preserve">Petitioners also allege that the </w:t>
      </w:r>
      <w:r w:rsidR="00157F0D" w:rsidRPr="00C649E1">
        <w:rPr>
          <w:rFonts w:asciiTheme="majorHAnsi" w:hAnsiTheme="majorHAnsi"/>
          <w:sz w:val="20"/>
          <w:szCs w:val="20"/>
        </w:rPr>
        <w:t>d</w:t>
      </w:r>
      <w:r w:rsidR="00DF1D34" w:rsidRPr="00C649E1">
        <w:rPr>
          <w:rFonts w:asciiTheme="majorHAnsi" w:hAnsiTheme="majorHAnsi"/>
          <w:sz w:val="20"/>
          <w:szCs w:val="20"/>
        </w:rPr>
        <w:t xml:space="preserve">istrict </w:t>
      </w:r>
      <w:r w:rsidR="00157F0D" w:rsidRPr="00C649E1">
        <w:rPr>
          <w:rFonts w:asciiTheme="majorHAnsi" w:hAnsiTheme="majorHAnsi"/>
          <w:sz w:val="20"/>
          <w:szCs w:val="20"/>
        </w:rPr>
        <w:t>c</w:t>
      </w:r>
      <w:r w:rsidR="00DF1D34" w:rsidRPr="00C649E1">
        <w:rPr>
          <w:rFonts w:asciiTheme="majorHAnsi" w:hAnsiTheme="majorHAnsi"/>
          <w:sz w:val="20"/>
          <w:szCs w:val="20"/>
        </w:rPr>
        <w:t xml:space="preserve">ourt wrongfully deprived </w:t>
      </w:r>
      <w:r w:rsidR="00F87EDC" w:rsidRPr="00C649E1">
        <w:rPr>
          <w:rFonts w:asciiTheme="majorHAnsi" w:hAnsiTheme="majorHAnsi"/>
          <w:sz w:val="20"/>
          <w:szCs w:val="20"/>
        </w:rPr>
        <w:t xml:space="preserve">Mr. </w:t>
      </w:r>
      <w:r w:rsidR="00DF1D34" w:rsidRPr="00C649E1">
        <w:rPr>
          <w:rFonts w:asciiTheme="majorHAnsi" w:hAnsiTheme="majorHAnsi"/>
          <w:sz w:val="20"/>
          <w:szCs w:val="20"/>
        </w:rPr>
        <w:t xml:space="preserve">Robinson of an evidentiary hearing even though there were significant factual disputes relevant to his equal protection and ineffective-assistance claims. </w:t>
      </w:r>
    </w:p>
    <w:p w14:paraId="5F74E028" w14:textId="77777777" w:rsidR="00DF1D34" w:rsidRPr="00C649E1" w:rsidRDefault="00DF1D34" w:rsidP="00DF1D34">
      <w:pPr>
        <w:pStyle w:val="ListParagraph"/>
        <w:rPr>
          <w:rFonts w:asciiTheme="majorHAnsi" w:hAnsiTheme="majorHAnsi"/>
          <w:sz w:val="20"/>
          <w:szCs w:val="20"/>
        </w:rPr>
      </w:pPr>
    </w:p>
    <w:p w14:paraId="21C85346" w14:textId="77777777" w:rsidR="006F0D61" w:rsidRPr="00C649E1" w:rsidRDefault="00DE7927" w:rsidP="00D2412E">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Theme="majorHAnsi" w:hAnsiTheme="majorHAnsi"/>
          <w:sz w:val="20"/>
          <w:szCs w:val="20"/>
        </w:rPr>
      </w:pPr>
      <w:r w:rsidRPr="00C649E1">
        <w:rPr>
          <w:rFonts w:asciiTheme="majorHAnsi" w:hAnsiTheme="majorHAnsi"/>
          <w:sz w:val="20"/>
          <w:szCs w:val="20"/>
        </w:rPr>
        <w:t xml:space="preserve">Petitioners further argue that the U.S. Courts of Appeals for the Fifth Circuit wrongfully denied Mr. Robinson’s right to appeal the denial of his post-conviction claims. They assert that the repeated denials of any opportunity to litigate one’s claims are representative of a pattern in Texas. Finally, petitioners indicate that Mr. Robinson faces execution by lethal injection when that mode of execution as currently practiced creates an unacceptable </w:t>
      </w:r>
      <w:r w:rsidR="0018210D" w:rsidRPr="00C649E1">
        <w:rPr>
          <w:rFonts w:asciiTheme="majorHAnsi" w:hAnsiTheme="majorHAnsi"/>
          <w:sz w:val="20"/>
          <w:szCs w:val="20"/>
        </w:rPr>
        <w:t xml:space="preserve">and wholly unnecessary risk of inflicting excruciating pain and suffering. </w:t>
      </w:r>
      <w:r w:rsidR="00A76DDE" w:rsidRPr="00C649E1">
        <w:rPr>
          <w:rFonts w:asciiTheme="majorHAnsi" w:hAnsiTheme="majorHAnsi"/>
          <w:sz w:val="20"/>
          <w:szCs w:val="20"/>
        </w:rPr>
        <w:t xml:space="preserve">They argue that the U.S. Government designated as “confidential” the lethal injection protocol </w:t>
      </w:r>
      <w:r w:rsidR="0052770D" w:rsidRPr="00C649E1">
        <w:rPr>
          <w:rFonts w:asciiTheme="majorHAnsi" w:hAnsiTheme="majorHAnsi"/>
          <w:sz w:val="20"/>
          <w:szCs w:val="20"/>
        </w:rPr>
        <w:t>as well as</w:t>
      </w:r>
      <w:r w:rsidR="00A76DDE" w:rsidRPr="00C649E1">
        <w:rPr>
          <w:rFonts w:asciiTheme="majorHAnsi" w:hAnsiTheme="majorHAnsi"/>
          <w:sz w:val="20"/>
          <w:szCs w:val="20"/>
        </w:rPr>
        <w:t xml:space="preserve"> critical portions of deposition testimony revealing the qualifications, training, and procedures used by personnel involved in its lethal injection process. </w:t>
      </w:r>
    </w:p>
    <w:p w14:paraId="1D2F57C2" w14:textId="77777777" w:rsidR="00B6392F" w:rsidRDefault="00B6392F" w:rsidP="003A18F4">
      <w:pPr>
        <w:pStyle w:val="ListParagraph"/>
        <w:rPr>
          <w:rFonts w:asciiTheme="majorHAnsi" w:hAnsiTheme="majorHAnsi"/>
          <w:color w:val="auto"/>
          <w:sz w:val="20"/>
          <w:szCs w:val="20"/>
        </w:rPr>
      </w:pPr>
    </w:p>
    <w:p w14:paraId="3C467136" w14:textId="77777777" w:rsidR="00B6392F" w:rsidRPr="00C649E1" w:rsidRDefault="00B6392F" w:rsidP="003A18F4">
      <w:pPr>
        <w:pStyle w:val="ListParagraph"/>
        <w:rPr>
          <w:rFonts w:asciiTheme="majorHAnsi" w:hAnsiTheme="majorHAnsi"/>
          <w:color w:val="auto"/>
          <w:sz w:val="20"/>
          <w:szCs w:val="20"/>
        </w:rPr>
      </w:pPr>
    </w:p>
    <w:p w14:paraId="7572063F" w14:textId="77777777" w:rsidR="00F516D3" w:rsidRPr="00C649E1" w:rsidRDefault="003A18F4" w:rsidP="003676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C649E1">
        <w:rPr>
          <w:rFonts w:asciiTheme="majorHAnsi" w:hAnsiTheme="majorHAnsi"/>
          <w:sz w:val="20"/>
          <w:szCs w:val="20"/>
        </w:rPr>
        <w:lastRenderedPageBreak/>
        <w:t>With regard to the requirement of exhaustion of do</w:t>
      </w:r>
      <w:r w:rsidR="00FE25F4" w:rsidRPr="00C649E1">
        <w:rPr>
          <w:rFonts w:asciiTheme="majorHAnsi" w:hAnsiTheme="majorHAnsi"/>
          <w:sz w:val="20"/>
          <w:szCs w:val="20"/>
        </w:rPr>
        <w:t>mestic remedies, the petitioner</w:t>
      </w:r>
      <w:r w:rsidR="00AC29FB" w:rsidRPr="00C649E1">
        <w:rPr>
          <w:rFonts w:asciiTheme="majorHAnsi" w:hAnsiTheme="majorHAnsi"/>
          <w:sz w:val="20"/>
          <w:szCs w:val="20"/>
        </w:rPr>
        <w:t>s</w:t>
      </w:r>
      <w:r w:rsidRPr="00C649E1">
        <w:rPr>
          <w:rFonts w:asciiTheme="majorHAnsi" w:hAnsiTheme="majorHAnsi"/>
          <w:sz w:val="20"/>
          <w:szCs w:val="20"/>
        </w:rPr>
        <w:t xml:space="preserve"> indicate</w:t>
      </w:r>
      <w:r w:rsidR="00AC29FB" w:rsidRPr="00C649E1">
        <w:rPr>
          <w:rFonts w:asciiTheme="majorHAnsi" w:hAnsiTheme="majorHAnsi"/>
          <w:sz w:val="20"/>
          <w:szCs w:val="20"/>
        </w:rPr>
        <w:t xml:space="preserve"> that Mr. Robinson’s claims were raised and dismissed at the district court level, on direct appeal, during post-conviction and habeas proceedings, with the U.S. Supreme Court eventually denying his petitions for certiorari. </w:t>
      </w:r>
      <w:r w:rsidR="00E92E80" w:rsidRPr="00C649E1">
        <w:rPr>
          <w:rFonts w:asciiTheme="majorHAnsi" w:hAnsiTheme="majorHAnsi"/>
          <w:sz w:val="20"/>
          <w:szCs w:val="20"/>
        </w:rPr>
        <w:t>The petitioner</w:t>
      </w:r>
      <w:r w:rsidR="00AC29FB" w:rsidRPr="00C649E1">
        <w:rPr>
          <w:rFonts w:asciiTheme="majorHAnsi" w:hAnsiTheme="majorHAnsi"/>
          <w:sz w:val="20"/>
          <w:szCs w:val="20"/>
        </w:rPr>
        <w:t>s</w:t>
      </w:r>
      <w:r w:rsidR="00E92E80" w:rsidRPr="00C649E1">
        <w:rPr>
          <w:rFonts w:asciiTheme="majorHAnsi" w:hAnsiTheme="majorHAnsi"/>
          <w:sz w:val="20"/>
          <w:szCs w:val="20"/>
        </w:rPr>
        <w:t xml:space="preserve"> conclude that </w:t>
      </w:r>
      <w:r w:rsidR="007D0E5C" w:rsidRPr="00C649E1">
        <w:rPr>
          <w:rFonts w:asciiTheme="majorHAnsi" w:hAnsiTheme="majorHAnsi"/>
          <w:sz w:val="20"/>
          <w:szCs w:val="20"/>
        </w:rPr>
        <w:t xml:space="preserve">the United States has violated </w:t>
      </w:r>
      <w:r w:rsidR="00615D70" w:rsidRPr="00C649E1">
        <w:rPr>
          <w:rFonts w:asciiTheme="majorHAnsi" w:hAnsiTheme="majorHAnsi"/>
          <w:sz w:val="20"/>
          <w:szCs w:val="20"/>
        </w:rPr>
        <w:t>the rights enshrined in Articles I (right to life, liberty and personal security), II (right to equality before the law), XVIII (righ</w:t>
      </w:r>
      <w:r w:rsidR="00AC487B" w:rsidRPr="00C649E1">
        <w:rPr>
          <w:rFonts w:asciiTheme="majorHAnsi" w:hAnsiTheme="majorHAnsi"/>
          <w:sz w:val="20"/>
          <w:szCs w:val="20"/>
        </w:rPr>
        <w:t>t</w:t>
      </w:r>
      <w:r w:rsidR="00615D70" w:rsidRPr="00C649E1">
        <w:rPr>
          <w:rFonts w:asciiTheme="majorHAnsi" w:hAnsiTheme="majorHAnsi"/>
          <w:sz w:val="20"/>
          <w:szCs w:val="20"/>
        </w:rPr>
        <w:t xml:space="preserve"> to a fair trial), XXIV (right to petition) and XXVI (right to due process of law)</w:t>
      </w:r>
      <w:r w:rsidR="00F87EDC" w:rsidRPr="00C649E1">
        <w:rPr>
          <w:rFonts w:asciiTheme="majorHAnsi" w:hAnsiTheme="majorHAnsi"/>
          <w:sz w:val="20"/>
          <w:szCs w:val="20"/>
        </w:rPr>
        <w:t xml:space="preserve"> of the American Declaration</w:t>
      </w:r>
      <w:r w:rsidR="00615D70" w:rsidRPr="00C649E1">
        <w:rPr>
          <w:rFonts w:asciiTheme="majorHAnsi" w:hAnsiTheme="majorHAnsi"/>
          <w:sz w:val="20"/>
          <w:szCs w:val="20"/>
        </w:rPr>
        <w:t>.</w:t>
      </w:r>
    </w:p>
    <w:p w14:paraId="326692BA" w14:textId="77777777" w:rsidR="00F516D3" w:rsidRPr="00C649E1" w:rsidRDefault="00F516D3" w:rsidP="00F516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2417BC85" w14:textId="77777777" w:rsidR="00F516D3" w:rsidRPr="00C649E1" w:rsidRDefault="00F516D3" w:rsidP="003676F1">
      <w:pPr>
        <w:pStyle w:val="Heading2"/>
        <w:numPr>
          <w:ilvl w:val="0"/>
          <w:numId w:val="57"/>
        </w:numPr>
        <w:tabs>
          <w:tab w:val="left" w:pos="360"/>
        </w:tabs>
        <w:spacing w:before="0"/>
        <w:ind w:hanging="720"/>
        <w:rPr>
          <w:color w:val="auto"/>
          <w:sz w:val="20"/>
          <w:szCs w:val="20"/>
        </w:rPr>
      </w:pPr>
      <w:bookmarkStart w:id="9" w:name="_Toc22915007"/>
      <w:bookmarkStart w:id="10" w:name="_Toc45105374"/>
      <w:bookmarkStart w:id="11" w:name="_Toc70417412"/>
      <w:r w:rsidRPr="00C649E1">
        <w:rPr>
          <w:color w:val="auto"/>
          <w:sz w:val="20"/>
          <w:szCs w:val="20"/>
        </w:rPr>
        <w:t>State</w:t>
      </w:r>
      <w:bookmarkEnd w:id="9"/>
      <w:bookmarkEnd w:id="10"/>
      <w:bookmarkEnd w:id="11"/>
    </w:p>
    <w:p w14:paraId="3DA7F0B7" w14:textId="77777777" w:rsidR="00F516D3" w:rsidRPr="00C649E1" w:rsidRDefault="00F516D3" w:rsidP="00F516D3">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s>
        <w:jc w:val="both"/>
        <w:rPr>
          <w:rFonts w:asciiTheme="majorHAnsi" w:hAnsiTheme="majorHAnsi"/>
          <w:sz w:val="20"/>
          <w:szCs w:val="20"/>
        </w:rPr>
      </w:pPr>
    </w:p>
    <w:p w14:paraId="6ECA715F" w14:textId="77777777" w:rsidR="00DF1D34" w:rsidRPr="00C649E1" w:rsidRDefault="00FF7650"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T</w:t>
      </w:r>
      <w:r w:rsidR="001F4A4B" w:rsidRPr="00C649E1">
        <w:rPr>
          <w:rFonts w:asciiTheme="majorHAnsi" w:hAnsiTheme="majorHAnsi"/>
          <w:sz w:val="20"/>
          <w:szCs w:val="20"/>
        </w:rPr>
        <w:t>he United Stated alleges</w:t>
      </w:r>
      <w:r w:rsidR="00F516D3" w:rsidRPr="00C649E1">
        <w:rPr>
          <w:rFonts w:asciiTheme="majorHAnsi" w:hAnsiTheme="majorHAnsi"/>
          <w:sz w:val="20"/>
          <w:szCs w:val="20"/>
        </w:rPr>
        <w:t xml:space="preserve"> that the </w:t>
      </w:r>
      <w:r w:rsidR="00DF1D34" w:rsidRPr="00C649E1">
        <w:rPr>
          <w:rFonts w:asciiTheme="majorHAnsi" w:hAnsiTheme="majorHAnsi"/>
          <w:sz w:val="20"/>
          <w:szCs w:val="20"/>
        </w:rPr>
        <w:t xml:space="preserve">petition is inadmissible because it does not state facts that tend to establish a violation of any rights in the American Declaration and because the Commission lacks competence </w:t>
      </w:r>
      <w:r w:rsidR="00DF1D34" w:rsidRPr="00C649E1">
        <w:rPr>
          <w:rFonts w:asciiTheme="majorHAnsi" w:hAnsiTheme="majorHAnsi"/>
          <w:i/>
          <w:sz w:val="20"/>
          <w:szCs w:val="20"/>
        </w:rPr>
        <w:t>ration</w:t>
      </w:r>
      <w:r w:rsidR="00C17669" w:rsidRPr="00C649E1">
        <w:rPr>
          <w:rFonts w:asciiTheme="majorHAnsi" w:hAnsiTheme="majorHAnsi"/>
          <w:i/>
          <w:sz w:val="20"/>
          <w:szCs w:val="20"/>
        </w:rPr>
        <w:t>a</w:t>
      </w:r>
      <w:r w:rsidR="00DF1D34" w:rsidRPr="00C649E1">
        <w:rPr>
          <w:rFonts w:asciiTheme="majorHAnsi" w:hAnsiTheme="majorHAnsi"/>
          <w:i/>
          <w:sz w:val="20"/>
          <w:szCs w:val="20"/>
        </w:rPr>
        <w:t>e personae</w:t>
      </w:r>
      <w:r w:rsidR="00DF1D34" w:rsidRPr="00C649E1">
        <w:rPr>
          <w:rFonts w:asciiTheme="majorHAnsi" w:hAnsiTheme="majorHAnsi"/>
          <w:sz w:val="20"/>
          <w:szCs w:val="20"/>
        </w:rPr>
        <w:t xml:space="preserve"> to entertain certain portions of Mr. Robinson’s claims. </w:t>
      </w:r>
      <w:r w:rsidR="00C17669" w:rsidRPr="00C649E1">
        <w:rPr>
          <w:rFonts w:asciiTheme="majorHAnsi" w:hAnsiTheme="majorHAnsi"/>
          <w:sz w:val="20"/>
          <w:szCs w:val="20"/>
        </w:rPr>
        <w:t xml:space="preserve">The State additionally submits that some of the arguments are precluded by the fourth instance formula as they amount to a mere disagreement with determinations of domestic courts, rendered in compliance with the American Declaration. </w:t>
      </w:r>
    </w:p>
    <w:p w14:paraId="676C41FF" w14:textId="77777777" w:rsidR="00941E4E" w:rsidRPr="00C649E1" w:rsidRDefault="00941E4E" w:rsidP="00941E4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3F2CB079" w14:textId="77777777" w:rsidR="00323421" w:rsidRPr="00C649E1" w:rsidRDefault="00323421"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 xml:space="preserve">According to the United States, Mr. Robinson’s claim </w:t>
      </w:r>
      <w:r w:rsidR="00941E4E" w:rsidRPr="00C649E1">
        <w:rPr>
          <w:rFonts w:asciiTheme="majorHAnsi" w:hAnsiTheme="majorHAnsi"/>
          <w:sz w:val="20"/>
          <w:szCs w:val="20"/>
        </w:rPr>
        <w:t>regarding the alleged general administration of the death penalty in a racially discriminatory manner, fails to set forth a concrete violation of rights in an individual case. The State concludes</w:t>
      </w:r>
      <w:r w:rsidR="00ED6186" w:rsidRPr="00C649E1">
        <w:rPr>
          <w:rFonts w:asciiTheme="majorHAnsi" w:hAnsiTheme="majorHAnsi"/>
          <w:sz w:val="20"/>
          <w:szCs w:val="20"/>
        </w:rPr>
        <w:t>, based on</w:t>
      </w:r>
      <w:r w:rsidR="00941E4E" w:rsidRPr="00C649E1">
        <w:rPr>
          <w:rFonts w:asciiTheme="majorHAnsi" w:hAnsiTheme="majorHAnsi"/>
          <w:sz w:val="20"/>
          <w:szCs w:val="20"/>
        </w:rPr>
        <w:t xml:space="preserve"> </w:t>
      </w:r>
      <w:r w:rsidR="00ED6186" w:rsidRPr="00C649E1">
        <w:rPr>
          <w:rFonts w:asciiTheme="majorHAnsi" w:hAnsiTheme="majorHAnsi"/>
          <w:sz w:val="20"/>
          <w:szCs w:val="20"/>
        </w:rPr>
        <w:t xml:space="preserve">IACHR’s decisions, </w:t>
      </w:r>
      <w:r w:rsidR="00941E4E" w:rsidRPr="00C649E1">
        <w:rPr>
          <w:rFonts w:asciiTheme="majorHAnsi" w:hAnsiTheme="majorHAnsi"/>
          <w:sz w:val="20"/>
          <w:szCs w:val="20"/>
        </w:rPr>
        <w:t>that this claim</w:t>
      </w:r>
      <w:r w:rsidR="00ED6186" w:rsidRPr="00C649E1">
        <w:rPr>
          <w:rFonts w:asciiTheme="majorHAnsi" w:hAnsiTheme="majorHAnsi"/>
          <w:sz w:val="20"/>
          <w:szCs w:val="20"/>
        </w:rPr>
        <w:t xml:space="preserve"> constitutes an </w:t>
      </w:r>
      <w:r w:rsidR="00ED6186" w:rsidRPr="00C649E1">
        <w:rPr>
          <w:rFonts w:asciiTheme="majorHAnsi" w:hAnsiTheme="majorHAnsi"/>
          <w:i/>
          <w:sz w:val="20"/>
          <w:szCs w:val="20"/>
        </w:rPr>
        <w:t>actio popularis</w:t>
      </w:r>
      <w:r w:rsidR="00ED6186" w:rsidRPr="00C649E1">
        <w:rPr>
          <w:rFonts w:asciiTheme="majorHAnsi" w:hAnsiTheme="majorHAnsi"/>
          <w:sz w:val="20"/>
          <w:szCs w:val="20"/>
        </w:rPr>
        <w:t xml:space="preserve"> and</w:t>
      </w:r>
      <w:r w:rsidR="00941E4E" w:rsidRPr="00C649E1">
        <w:rPr>
          <w:rFonts w:asciiTheme="majorHAnsi" w:hAnsiTheme="majorHAnsi"/>
          <w:sz w:val="20"/>
          <w:szCs w:val="20"/>
        </w:rPr>
        <w:t xml:space="preserve"> therefore lacks</w:t>
      </w:r>
      <w:r w:rsidR="00ED6186" w:rsidRPr="00C649E1">
        <w:rPr>
          <w:rFonts w:asciiTheme="majorHAnsi" w:hAnsiTheme="majorHAnsi"/>
          <w:sz w:val="20"/>
          <w:szCs w:val="20"/>
        </w:rPr>
        <w:t xml:space="preserve"> competence </w:t>
      </w:r>
      <w:r w:rsidR="00ED6186" w:rsidRPr="00C649E1">
        <w:rPr>
          <w:rFonts w:asciiTheme="majorHAnsi" w:hAnsiTheme="majorHAnsi"/>
          <w:i/>
          <w:sz w:val="20"/>
          <w:szCs w:val="20"/>
        </w:rPr>
        <w:t>rationae personae</w:t>
      </w:r>
      <w:r w:rsidR="00ED6186" w:rsidRPr="00C649E1">
        <w:rPr>
          <w:rFonts w:asciiTheme="majorHAnsi" w:hAnsiTheme="majorHAnsi"/>
          <w:sz w:val="20"/>
          <w:szCs w:val="20"/>
        </w:rPr>
        <w:t>.</w:t>
      </w:r>
      <w:r w:rsidR="00B527CD" w:rsidRPr="00C649E1">
        <w:rPr>
          <w:rFonts w:asciiTheme="majorHAnsi" w:hAnsiTheme="majorHAnsi"/>
          <w:sz w:val="20"/>
          <w:szCs w:val="20"/>
        </w:rPr>
        <w:t xml:space="preserve"> It further alleges that the </w:t>
      </w:r>
      <w:r w:rsidR="00F87EDC" w:rsidRPr="00C649E1">
        <w:rPr>
          <w:rFonts w:asciiTheme="majorHAnsi" w:hAnsiTheme="majorHAnsi"/>
          <w:sz w:val="20"/>
          <w:szCs w:val="20"/>
        </w:rPr>
        <w:t>claim</w:t>
      </w:r>
      <w:r w:rsidR="00B527CD" w:rsidRPr="00C649E1">
        <w:rPr>
          <w:rFonts w:asciiTheme="majorHAnsi" w:hAnsiTheme="majorHAnsi"/>
          <w:sz w:val="20"/>
          <w:szCs w:val="20"/>
        </w:rPr>
        <w:t xml:space="preserve"> of discrimination during jury selection fails to establish a violation of Articles I and II of the American Declaration. </w:t>
      </w:r>
      <w:r w:rsidR="00F87EDC" w:rsidRPr="00C649E1">
        <w:rPr>
          <w:rFonts w:asciiTheme="majorHAnsi" w:hAnsiTheme="majorHAnsi"/>
          <w:sz w:val="20"/>
          <w:szCs w:val="20"/>
        </w:rPr>
        <w:t xml:space="preserve">It </w:t>
      </w:r>
      <w:r w:rsidR="00B527CD" w:rsidRPr="00C649E1">
        <w:rPr>
          <w:rFonts w:asciiTheme="majorHAnsi" w:hAnsiTheme="majorHAnsi"/>
          <w:sz w:val="20"/>
          <w:szCs w:val="20"/>
        </w:rPr>
        <w:t xml:space="preserve">asserts that the district court analyzed the bases for all three of the preemptory strikes exercised by the prosecutor against black persons on the venire panel, and concluded that there was no basis for a claim of discrimination. </w:t>
      </w:r>
    </w:p>
    <w:p w14:paraId="307AEDD2" w14:textId="77777777" w:rsidR="00B527CD" w:rsidRPr="00C649E1" w:rsidRDefault="00B527CD" w:rsidP="00B527CD">
      <w:pPr>
        <w:pStyle w:val="ListParagraph"/>
        <w:rPr>
          <w:rFonts w:asciiTheme="majorHAnsi" w:hAnsiTheme="majorHAnsi"/>
          <w:sz w:val="20"/>
          <w:szCs w:val="20"/>
        </w:rPr>
      </w:pPr>
    </w:p>
    <w:p w14:paraId="77025F49" w14:textId="77777777" w:rsidR="00B527CD" w:rsidRPr="00C649E1" w:rsidRDefault="00B527CD"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 xml:space="preserve">The United States points out that Mr. Robinson’s proceedings were conducted in compliance with U.S. law and the rights set forth in the American Declaration. </w:t>
      </w:r>
      <w:r w:rsidR="00031819" w:rsidRPr="00C649E1">
        <w:rPr>
          <w:rFonts w:asciiTheme="majorHAnsi" w:hAnsiTheme="majorHAnsi"/>
          <w:sz w:val="20"/>
          <w:szCs w:val="20"/>
        </w:rPr>
        <w:t xml:space="preserve">Although the State admits that the likelihood of Mr. Robinson’s future dangerousness was one aggravating factor presented by the prosecution, it </w:t>
      </w:r>
      <w:r w:rsidR="00ED1F81" w:rsidRPr="00C649E1">
        <w:rPr>
          <w:rFonts w:asciiTheme="majorHAnsi" w:hAnsiTheme="majorHAnsi"/>
          <w:sz w:val="20"/>
          <w:szCs w:val="20"/>
        </w:rPr>
        <w:t>notes</w:t>
      </w:r>
      <w:r w:rsidR="00031819" w:rsidRPr="00C649E1">
        <w:rPr>
          <w:rFonts w:asciiTheme="majorHAnsi" w:hAnsiTheme="majorHAnsi"/>
          <w:sz w:val="20"/>
          <w:szCs w:val="20"/>
        </w:rPr>
        <w:t xml:space="preserve"> that it was hardly the only factor, and it was not the key factor in the jury’s determination to sentence him to death. Moreover, the State indicates that numerous federal court</w:t>
      </w:r>
      <w:r w:rsidR="007D64C4" w:rsidRPr="00C649E1">
        <w:rPr>
          <w:rFonts w:asciiTheme="majorHAnsi" w:hAnsiTheme="majorHAnsi"/>
          <w:sz w:val="20"/>
          <w:szCs w:val="20"/>
        </w:rPr>
        <w:t>s and the majority of the states</w:t>
      </w:r>
      <w:r w:rsidR="00031819" w:rsidRPr="00C649E1">
        <w:rPr>
          <w:rFonts w:asciiTheme="majorHAnsi" w:hAnsiTheme="majorHAnsi"/>
          <w:sz w:val="20"/>
          <w:szCs w:val="20"/>
        </w:rPr>
        <w:t xml:space="preserve"> </w:t>
      </w:r>
      <w:r w:rsidR="007D64C4" w:rsidRPr="00C649E1">
        <w:rPr>
          <w:rFonts w:asciiTheme="majorHAnsi" w:hAnsiTheme="majorHAnsi"/>
          <w:sz w:val="20"/>
          <w:szCs w:val="20"/>
        </w:rPr>
        <w:t>have held that the use of unadjudicated criminal activity is constitutionally permissible in a capital sentencing hearing.</w:t>
      </w:r>
    </w:p>
    <w:p w14:paraId="310E7718" w14:textId="77777777" w:rsidR="007D64C4" w:rsidRPr="00C649E1" w:rsidRDefault="007D64C4" w:rsidP="007D64C4">
      <w:pPr>
        <w:pStyle w:val="ListParagraph"/>
        <w:rPr>
          <w:rFonts w:asciiTheme="majorHAnsi" w:hAnsiTheme="majorHAnsi"/>
          <w:sz w:val="20"/>
          <w:szCs w:val="20"/>
        </w:rPr>
      </w:pPr>
    </w:p>
    <w:p w14:paraId="12FBAC10" w14:textId="77777777" w:rsidR="007D64C4" w:rsidRPr="00C649E1" w:rsidRDefault="007D64C4"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 xml:space="preserve">Regarding the ineffective assistance of counsel’s claim, the United States </w:t>
      </w:r>
      <w:r w:rsidR="00ED1F81" w:rsidRPr="00C649E1">
        <w:rPr>
          <w:rFonts w:asciiTheme="majorHAnsi" w:hAnsiTheme="majorHAnsi"/>
          <w:sz w:val="20"/>
          <w:szCs w:val="20"/>
        </w:rPr>
        <w:t xml:space="preserve">alleges that it must be rejected because the Commission is not a court of fourth instance and the claim was previously addressed by domestic courts. It points out that the district court noted that Mr. Robinson’s trial counsel employed an experienced investigator and conducted a thorough investigation. </w:t>
      </w:r>
      <w:r w:rsidR="00311C91" w:rsidRPr="00C649E1">
        <w:rPr>
          <w:rFonts w:asciiTheme="majorHAnsi" w:hAnsiTheme="majorHAnsi"/>
          <w:sz w:val="20"/>
          <w:szCs w:val="20"/>
        </w:rPr>
        <w:t xml:space="preserve">The district court took note of the evidence submitted by Mr. Robinson with his habeas petition but concluded that the failure of Mr. Robinson’s trial counsel to present such evidence did not result in prejudice to Mr. Robinson as it was unlikely to have swayed the jury in light of all of the remaining evidence. </w:t>
      </w:r>
      <w:r w:rsidR="00DE4C96" w:rsidRPr="00C649E1">
        <w:rPr>
          <w:rFonts w:asciiTheme="majorHAnsi" w:hAnsiTheme="majorHAnsi"/>
          <w:sz w:val="20"/>
          <w:szCs w:val="20"/>
        </w:rPr>
        <w:t xml:space="preserve">Regarding petitioners’ allegation that Mr. Robinson’s attorney’s deficient performance is evidenced by the disparity between his sentence and the sentence received by his similarly situated co-defendant, </w:t>
      </w:r>
      <w:r w:rsidR="007D71CD" w:rsidRPr="00C649E1">
        <w:rPr>
          <w:rFonts w:asciiTheme="majorHAnsi" w:hAnsiTheme="majorHAnsi"/>
          <w:sz w:val="20"/>
          <w:szCs w:val="20"/>
        </w:rPr>
        <w:t xml:space="preserve">the State argues that the claim is unfounded given that, </w:t>
      </w:r>
      <w:r w:rsidR="00482359" w:rsidRPr="00C649E1">
        <w:rPr>
          <w:rFonts w:asciiTheme="majorHAnsi" w:hAnsiTheme="majorHAnsi"/>
          <w:sz w:val="20"/>
          <w:szCs w:val="20"/>
        </w:rPr>
        <w:t>as found by</w:t>
      </w:r>
      <w:r w:rsidR="007D71CD" w:rsidRPr="00C649E1">
        <w:rPr>
          <w:rFonts w:asciiTheme="majorHAnsi" w:hAnsiTheme="majorHAnsi"/>
          <w:sz w:val="20"/>
          <w:szCs w:val="20"/>
        </w:rPr>
        <w:t xml:space="preserve"> the district court, he was consistently portrayed as the leader of the group, and the co-defendant was not.</w:t>
      </w:r>
    </w:p>
    <w:p w14:paraId="5C049B35" w14:textId="77777777" w:rsidR="009810FE" w:rsidRPr="00C649E1" w:rsidRDefault="009810FE" w:rsidP="009810FE">
      <w:pPr>
        <w:pStyle w:val="ListParagraph"/>
        <w:rPr>
          <w:rFonts w:asciiTheme="majorHAnsi" w:hAnsiTheme="majorHAnsi"/>
          <w:sz w:val="20"/>
          <w:szCs w:val="20"/>
        </w:rPr>
      </w:pPr>
    </w:p>
    <w:p w14:paraId="37C31F57" w14:textId="77777777" w:rsidR="009810FE" w:rsidRPr="00C649E1" w:rsidRDefault="009810FE"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 xml:space="preserve">Finally, the State claims that it has provided Mr. Robinson with a comprehensive and expansive system of review. In particular, it argues that his claims have been reviewed twice through direct appeals and the habeas procedure, by each of three levels of the federal court system. This record, according to the State, clearly demonstrates that </w:t>
      </w:r>
      <w:r w:rsidR="0044613D" w:rsidRPr="00C649E1">
        <w:rPr>
          <w:rFonts w:asciiTheme="majorHAnsi" w:hAnsiTheme="majorHAnsi"/>
          <w:sz w:val="20"/>
          <w:szCs w:val="20"/>
        </w:rPr>
        <w:t>the United States has allocated substantial time and resources to thoroughly and impartially consider Mr. Robinson’s claims and afford him judicial review.</w:t>
      </w:r>
    </w:p>
    <w:p w14:paraId="53961356" w14:textId="77777777" w:rsidR="0071191F" w:rsidRPr="00C649E1" w:rsidRDefault="0071191F" w:rsidP="0071191F">
      <w:pPr>
        <w:pStyle w:val="ListParagraph"/>
        <w:rPr>
          <w:rFonts w:asciiTheme="majorHAnsi" w:hAnsiTheme="majorHAnsi"/>
          <w:sz w:val="20"/>
          <w:szCs w:val="20"/>
        </w:rPr>
      </w:pPr>
    </w:p>
    <w:p w14:paraId="3F70B610" w14:textId="77777777" w:rsidR="0071191F" w:rsidRPr="00C649E1" w:rsidRDefault="0071191F" w:rsidP="000A51D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 xml:space="preserve">In its last communication dated April 3, 2019, the State alleges that </w:t>
      </w:r>
      <w:r w:rsidR="00164552" w:rsidRPr="00C649E1">
        <w:rPr>
          <w:rFonts w:asciiTheme="majorHAnsi" w:hAnsiTheme="majorHAnsi"/>
          <w:sz w:val="20"/>
          <w:szCs w:val="20"/>
        </w:rPr>
        <w:t xml:space="preserve">the </w:t>
      </w:r>
      <w:r w:rsidRPr="00C649E1">
        <w:rPr>
          <w:rFonts w:asciiTheme="majorHAnsi" w:hAnsiTheme="majorHAnsi"/>
          <w:sz w:val="20"/>
          <w:szCs w:val="20"/>
        </w:rPr>
        <w:t xml:space="preserve">petitioners </w:t>
      </w:r>
      <w:r w:rsidR="00164552" w:rsidRPr="00C649E1">
        <w:rPr>
          <w:rFonts w:asciiTheme="majorHAnsi" w:hAnsiTheme="majorHAnsi"/>
          <w:sz w:val="20"/>
          <w:szCs w:val="20"/>
        </w:rPr>
        <w:t>did</w:t>
      </w:r>
      <w:r w:rsidRPr="00C649E1">
        <w:rPr>
          <w:rFonts w:asciiTheme="majorHAnsi" w:hAnsiTheme="majorHAnsi"/>
          <w:sz w:val="20"/>
          <w:szCs w:val="20"/>
        </w:rPr>
        <w:t xml:space="preserve"> not exhaust domestic remedies </w:t>
      </w:r>
      <w:r w:rsidR="000F3514" w:rsidRPr="00C649E1">
        <w:rPr>
          <w:rFonts w:asciiTheme="majorHAnsi" w:hAnsiTheme="majorHAnsi"/>
          <w:sz w:val="20"/>
          <w:szCs w:val="20"/>
        </w:rPr>
        <w:t>given a pending litigation before federal courts initiated in 2018.</w:t>
      </w:r>
    </w:p>
    <w:p w14:paraId="62056C43" w14:textId="77777777" w:rsidR="005B7A72" w:rsidRPr="00C649E1" w:rsidRDefault="005B7A72" w:rsidP="005B7A72">
      <w:pPr>
        <w:pStyle w:val="ListParagraph"/>
        <w:rPr>
          <w:rFonts w:asciiTheme="majorHAnsi" w:hAnsiTheme="majorHAnsi"/>
          <w:sz w:val="20"/>
          <w:szCs w:val="20"/>
        </w:rPr>
      </w:pPr>
    </w:p>
    <w:p w14:paraId="05172820" w14:textId="77777777" w:rsidR="003519AE" w:rsidRPr="00C649E1" w:rsidRDefault="003519AE" w:rsidP="005B7A72">
      <w:pPr>
        <w:pStyle w:val="ListParagraph"/>
        <w:rPr>
          <w:rFonts w:asciiTheme="majorHAnsi" w:hAnsiTheme="majorHAnsi"/>
          <w:sz w:val="20"/>
          <w:szCs w:val="20"/>
        </w:rPr>
      </w:pPr>
    </w:p>
    <w:p w14:paraId="646B08AC" w14:textId="77777777" w:rsidR="003519AE" w:rsidRPr="00C649E1" w:rsidRDefault="003519AE" w:rsidP="005B7A72">
      <w:pPr>
        <w:pStyle w:val="ListParagraph"/>
        <w:rPr>
          <w:rFonts w:asciiTheme="majorHAnsi" w:hAnsiTheme="majorHAnsi"/>
          <w:sz w:val="20"/>
          <w:szCs w:val="20"/>
        </w:rPr>
      </w:pPr>
    </w:p>
    <w:p w14:paraId="79389F66" w14:textId="77777777" w:rsidR="003519AE" w:rsidRPr="00C649E1" w:rsidRDefault="003519AE" w:rsidP="005B7A72">
      <w:pPr>
        <w:pStyle w:val="ListParagraph"/>
        <w:rPr>
          <w:rFonts w:asciiTheme="majorHAnsi" w:hAnsiTheme="majorHAnsi"/>
          <w:sz w:val="20"/>
          <w:szCs w:val="20"/>
        </w:rPr>
      </w:pPr>
    </w:p>
    <w:p w14:paraId="0C4801FF" w14:textId="77777777" w:rsidR="003519AE" w:rsidRDefault="003519AE" w:rsidP="005B7A72">
      <w:pPr>
        <w:pStyle w:val="ListParagraph"/>
        <w:rPr>
          <w:rFonts w:asciiTheme="majorHAnsi" w:hAnsiTheme="majorHAnsi"/>
          <w:sz w:val="20"/>
          <w:szCs w:val="20"/>
        </w:rPr>
      </w:pPr>
    </w:p>
    <w:p w14:paraId="41814384" w14:textId="77777777" w:rsidR="00B6392F" w:rsidRPr="00C649E1" w:rsidRDefault="00B6392F" w:rsidP="005B7A72">
      <w:pPr>
        <w:pStyle w:val="ListParagraph"/>
        <w:rPr>
          <w:rFonts w:asciiTheme="majorHAnsi" w:hAnsiTheme="majorHAnsi"/>
          <w:sz w:val="20"/>
          <w:szCs w:val="20"/>
        </w:rPr>
      </w:pPr>
    </w:p>
    <w:p w14:paraId="1707FB6B" w14:textId="77777777" w:rsidR="00A473E3" w:rsidRPr="00C649E1" w:rsidRDefault="00F516D3" w:rsidP="0081365E">
      <w:pPr>
        <w:pStyle w:val="Heading1"/>
        <w:tabs>
          <w:tab w:val="left" w:pos="360"/>
        </w:tabs>
        <w:spacing w:before="0"/>
        <w:ind w:hanging="720"/>
        <w:rPr>
          <w:color w:val="auto"/>
          <w:sz w:val="20"/>
          <w:szCs w:val="20"/>
        </w:rPr>
      </w:pPr>
      <w:bookmarkStart w:id="12" w:name="_Toc22915008"/>
      <w:bookmarkStart w:id="13" w:name="_Toc45105375"/>
      <w:bookmarkStart w:id="14" w:name="_Toc70417413"/>
      <w:r w:rsidRPr="00C649E1">
        <w:rPr>
          <w:color w:val="auto"/>
          <w:sz w:val="20"/>
          <w:szCs w:val="20"/>
        </w:rPr>
        <w:lastRenderedPageBreak/>
        <w:t>ADMISSIBILITY</w:t>
      </w:r>
      <w:bookmarkEnd w:id="12"/>
      <w:bookmarkEnd w:id="13"/>
      <w:bookmarkEnd w:id="14"/>
      <w:r w:rsidR="0081365E" w:rsidRPr="00C649E1">
        <w:rPr>
          <w:sz w:val="20"/>
          <w:szCs w:val="20"/>
        </w:rPr>
        <w:tab/>
      </w:r>
    </w:p>
    <w:p w14:paraId="2844F0E5" w14:textId="77777777" w:rsidR="00F516D3" w:rsidRPr="00C649E1" w:rsidRDefault="00F516D3" w:rsidP="00F516D3">
      <w:pPr>
        <w:rPr>
          <w:rFonts w:asciiTheme="majorHAnsi" w:hAnsiTheme="majorHAnsi"/>
          <w:sz w:val="20"/>
          <w:szCs w:val="20"/>
        </w:rPr>
      </w:pPr>
    </w:p>
    <w:p w14:paraId="77DA3D6E" w14:textId="77777777" w:rsidR="00F516D3" w:rsidRPr="00C649E1" w:rsidRDefault="00F516D3" w:rsidP="001D75F2">
      <w:pPr>
        <w:pStyle w:val="Heading2"/>
        <w:keepLines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15" w:name="_Toc7602623"/>
      <w:bookmarkStart w:id="16" w:name="_Toc22915009"/>
      <w:bookmarkStart w:id="17" w:name="_Toc45105376"/>
      <w:bookmarkStart w:id="18" w:name="_Toc70417414"/>
      <w:bookmarkStart w:id="19" w:name="_Toc6349142"/>
      <w:r w:rsidRPr="00C649E1">
        <w:rPr>
          <w:rFonts w:cs="Times New Roman"/>
          <w:color w:val="auto"/>
          <w:sz w:val="20"/>
          <w:szCs w:val="20"/>
        </w:rPr>
        <w:t xml:space="preserve">Competence, duplication of procedures and international </w:t>
      </w:r>
      <w:r w:rsidRPr="00C649E1">
        <w:rPr>
          <w:rFonts w:cs="Times New Roman"/>
          <w:i/>
          <w:color w:val="auto"/>
          <w:sz w:val="20"/>
          <w:szCs w:val="20"/>
        </w:rPr>
        <w:t>res judicata</w:t>
      </w:r>
      <w:bookmarkEnd w:id="15"/>
      <w:bookmarkEnd w:id="16"/>
      <w:bookmarkEnd w:id="17"/>
      <w:bookmarkEnd w:id="18"/>
      <w:r w:rsidRPr="00C649E1">
        <w:rPr>
          <w:rFonts w:cs="Times New Roman"/>
          <w:color w:val="auto"/>
          <w:sz w:val="20"/>
          <w:szCs w:val="20"/>
        </w:rPr>
        <w:t xml:space="preserve"> </w:t>
      </w:r>
      <w:bookmarkEnd w:id="19"/>
    </w:p>
    <w:p w14:paraId="0A73A6AA" w14:textId="77777777" w:rsidR="00947B86" w:rsidRPr="00C649E1" w:rsidRDefault="00947B86" w:rsidP="00947B86">
      <w:pPr>
        <w:rPr>
          <w:rFonts w:asciiTheme="majorHAnsi" w:hAnsiTheme="majorHAnsi"/>
          <w:sz w:val="20"/>
          <w:szCs w:val="20"/>
        </w:rPr>
      </w:pP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947B86" w:rsidRPr="00C649E1" w14:paraId="2D52F35E" w14:textId="77777777" w:rsidTr="00E15217">
        <w:trPr>
          <w:cantSplit/>
        </w:trPr>
        <w:tc>
          <w:tcPr>
            <w:tcW w:w="3600" w:type="dxa"/>
            <w:tcBorders>
              <w:top w:val="single" w:sz="4" w:space="0" w:color="auto"/>
              <w:bottom w:val="single" w:sz="6" w:space="0" w:color="auto"/>
            </w:tcBorders>
            <w:shd w:val="clear" w:color="auto" w:fill="386294"/>
            <w:vAlign w:val="center"/>
          </w:tcPr>
          <w:p w14:paraId="11CD8B6C" w14:textId="77777777" w:rsidR="00947B86" w:rsidRPr="00C649E1" w:rsidRDefault="00947B86" w:rsidP="00E15217">
            <w:pPr>
              <w:jc w:val="center"/>
              <w:rPr>
                <w:rFonts w:asciiTheme="majorHAnsi" w:hAnsiTheme="majorHAnsi"/>
                <w:b/>
                <w:bCs/>
                <w:i/>
                <w:color w:val="FFFFFF" w:themeColor="background1"/>
                <w:sz w:val="20"/>
                <w:szCs w:val="20"/>
              </w:rPr>
            </w:pPr>
            <w:r w:rsidRPr="00C649E1">
              <w:rPr>
                <w:rFonts w:asciiTheme="majorHAnsi" w:hAnsiTheme="majorHAnsi"/>
                <w:b/>
                <w:bCs/>
                <w:color w:val="FFFFFF" w:themeColor="background1"/>
                <w:sz w:val="20"/>
                <w:szCs w:val="20"/>
              </w:rPr>
              <w:t>Competence</w:t>
            </w:r>
            <w:r w:rsidRPr="00C649E1">
              <w:rPr>
                <w:rFonts w:asciiTheme="majorHAnsi" w:hAnsiTheme="majorHAnsi"/>
                <w:b/>
                <w:bCs/>
                <w:i/>
                <w:color w:val="FFFFFF" w:themeColor="background1"/>
                <w:sz w:val="20"/>
                <w:szCs w:val="20"/>
              </w:rPr>
              <w:t xml:space="preserve"> Ratione personae:</w:t>
            </w:r>
          </w:p>
        </w:tc>
        <w:tc>
          <w:tcPr>
            <w:tcW w:w="5760" w:type="dxa"/>
            <w:vAlign w:val="center"/>
          </w:tcPr>
          <w:p w14:paraId="156A628A" w14:textId="77777777" w:rsidR="00947B86" w:rsidRPr="00C649E1" w:rsidRDefault="00947B86" w:rsidP="00E15217">
            <w:pPr>
              <w:rPr>
                <w:rFonts w:asciiTheme="majorHAnsi" w:hAnsiTheme="majorHAnsi"/>
                <w:bCs/>
                <w:sz w:val="20"/>
                <w:szCs w:val="20"/>
              </w:rPr>
            </w:pPr>
            <w:r w:rsidRPr="00C649E1">
              <w:rPr>
                <w:rFonts w:asciiTheme="majorHAnsi" w:hAnsiTheme="majorHAnsi"/>
                <w:bCs/>
                <w:sz w:val="20"/>
                <w:szCs w:val="20"/>
              </w:rPr>
              <w:t>Yes</w:t>
            </w:r>
          </w:p>
        </w:tc>
      </w:tr>
      <w:tr w:rsidR="00947B86" w:rsidRPr="00C649E1" w14:paraId="54278F58" w14:textId="77777777" w:rsidTr="00E15217">
        <w:trPr>
          <w:cantSplit/>
        </w:trPr>
        <w:tc>
          <w:tcPr>
            <w:tcW w:w="3600" w:type="dxa"/>
            <w:tcBorders>
              <w:top w:val="single" w:sz="6" w:space="0" w:color="auto"/>
              <w:bottom w:val="single" w:sz="6" w:space="0" w:color="auto"/>
            </w:tcBorders>
            <w:shd w:val="clear" w:color="auto" w:fill="386294"/>
            <w:vAlign w:val="center"/>
          </w:tcPr>
          <w:p w14:paraId="624F2F91" w14:textId="77777777" w:rsidR="00947B86" w:rsidRPr="00C649E1" w:rsidRDefault="00947B86" w:rsidP="00E15217">
            <w:pPr>
              <w:jc w:val="center"/>
              <w:rPr>
                <w:rFonts w:asciiTheme="majorHAnsi" w:hAnsiTheme="majorHAnsi"/>
                <w:b/>
                <w:bCs/>
                <w:color w:val="FFFFFF" w:themeColor="background1"/>
                <w:sz w:val="20"/>
                <w:szCs w:val="20"/>
              </w:rPr>
            </w:pPr>
            <w:r w:rsidRPr="00C649E1">
              <w:rPr>
                <w:rFonts w:asciiTheme="majorHAnsi" w:hAnsiTheme="majorHAnsi"/>
                <w:b/>
                <w:bCs/>
                <w:color w:val="FFFFFF" w:themeColor="background1"/>
                <w:sz w:val="20"/>
                <w:szCs w:val="20"/>
              </w:rPr>
              <w:t>Competence</w:t>
            </w:r>
            <w:r w:rsidRPr="00C649E1">
              <w:rPr>
                <w:rFonts w:asciiTheme="majorHAnsi" w:hAnsiTheme="majorHAnsi"/>
                <w:b/>
                <w:bCs/>
                <w:i/>
                <w:color w:val="FFFFFF" w:themeColor="background1"/>
                <w:sz w:val="20"/>
                <w:szCs w:val="20"/>
              </w:rPr>
              <w:t xml:space="preserve"> Ratione loci</w:t>
            </w:r>
            <w:r w:rsidRPr="00C649E1">
              <w:rPr>
                <w:rFonts w:asciiTheme="majorHAnsi" w:hAnsiTheme="majorHAnsi"/>
                <w:b/>
                <w:bCs/>
                <w:color w:val="FFFFFF" w:themeColor="background1"/>
                <w:sz w:val="20"/>
                <w:szCs w:val="20"/>
              </w:rPr>
              <w:t>:</w:t>
            </w:r>
          </w:p>
        </w:tc>
        <w:tc>
          <w:tcPr>
            <w:tcW w:w="5760" w:type="dxa"/>
            <w:vAlign w:val="center"/>
          </w:tcPr>
          <w:p w14:paraId="12E0C663" w14:textId="77777777" w:rsidR="00947B86" w:rsidRPr="00C649E1" w:rsidRDefault="00947B86" w:rsidP="00E15217">
            <w:pPr>
              <w:rPr>
                <w:rFonts w:asciiTheme="majorHAnsi" w:hAnsiTheme="majorHAnsi"/>
                <w:bCs/>
                <w:sz w:val="20"/>
                <w:szCs w:val="20"/>
              </w:rPr>
            </w:pPr>
            <w:r w:rsidRPr="00C649E1">
              <w:rPr>
                <w:rFonts w:asciiTheme="majorHAnsi" w:hAnsiTheme="majorHAnsi"/>
                <w:bCs/>
                <w:sz w:val="20"/>
                <w:szCs w:val="20"/>
              </w:rPr>
              <w:t>Yes</w:t>
            </w:r>
          </w:p>
        </w:tc>
      </w:tr>
      <w:tr w:rsidR="00947B86" w:rsidRPr="00C649E1" w14:paraId="2A7DC97E" w14:textId="77777777" w:rsidTr="00E15217">
        <w:trPr>
          <w:cantSplit/>
        </w:trPr>
        <w:tc>
          <w:tcPr>
            <w:tcW w:w="3600" w:type="dxa"/>
            <w:tcBorders>
              <w:top w:val="single" w:sz="6" w:space="0" w:color="auto"/>
              <w:bottom w:val="single" w:sz="6" w:space="0" w:color="auto"/>
            </w:tcBorders>
            <w:shd w:val="clear" w:color="auto" w:fill="386294"/>
            <w:vAlign w:val="center"/>
          </w:tcPr>
          <w:p w14:paraId="0CB2F279" w14:textId="77777777" w:rsidR="00947B86" w:rsidRPr="00C649E1" w:rsidRDefault="00947B86" w:rsidP="00E15217">
            <w:pPr>
              <w:jc w:val="center"/>
              <w:rPr>
                <w:rFonts w:asciiTheme="majorHAnsi" w:hAnsiTheme="majorHAnsi"/>
                <w:b/>
                <w:bCs/>
                <w:color w:val="FFFFFF" w:themeColor="background1"/>
                <w:sz w:val="20"/>
                <w:szCs w:val="20"/>
              </w:rPr>
            </w:pPr>
            <w:r w:rsidRPr="00C649E1">
              <w:rPr>
                <w:rFonts w:asciiTheme="majorHAnsi" w:hAnsiTheme="majorHAnsi"/>
                <w:b/>
                <w:bCs/>
                <w:color w:val="FFFFFF" w:themeColor="background1"/>
                <w:sz w:val="20"/>
                <w:szCs w:val="20"/>
              </w:rPr>
              <w:t>Competence</w:t>
            </w:r>
            <w:r w:rsidRPr="00C649E1">
              <w:rPr>
                <w:rFonts w:asciiTheme="majorHAnsi" w:hAnsiTheme="majorHAnsi"/>
                <w:b/>
                <w:bCs/>
                <w:i/>
                <w:color w:val="FFFFFF" w:themeColor="background1"/>
                <w:sz w:val="20"/>
                <w:szCs w:val="20"/>
              </w:rPr>
              <w:t xml:space="preserve"> Ratione temporis</w:t>
            </w:r>
            <w:r w:rsidRPr="00C649E1">
              <w:rPr>
                <w:rFonts w:asciiTheme="majorHAnsi" w:hAnsiTheme="majorHAnsi"/>
                <w:b/>
                <w:bCs/>
                <w:color w:val="FFFFFF" w:themeColor="background1"/>
                <w:sz w:val="20"/>
                <w:szCs w:val="20"/>
              </w:rPr>
              <w:t>:</w:t>
            </w:r>
          </w:p>
        </w:tc>
        <w:tc>
          <w:tcPr>
            <w:tcW w:w="5760" w:type="dxa"/>
            <w:vAlign w:val="center"/>
          </w:tcPr>
          <w:p w14:paraId="480CB4B8" w14:textId="77777777" w:rsidR="00947B86" w:rsidRPr="00C649E1" w:rsidRDefault="00947B86" w:rsidP="00E15217">
            <w:pPr>
              <w:rPr>
                <w:rFonts w:asciiTheme="majorHAnsi" w:hAnsiTheme="majorHAnsi"/>
                <w:bCs/>
                <w:sz w:val="20"/>
                <w:szCs w:val="20"/>
              </w:rPr>
            </w:pPr>
            <w:r w:rsidRPr="00C649E1">
              <w:rPr>
                <w:rFonts w:asciiTheme="majorHAnsi" w:hAnsiTheme="majorHAnsi"/>
                <w:bCs/>
                <w:sz w:val="20"/>
                <w:szCs w:val="20"/>
              </w:rPr>
              <w:t>Yes</w:t>
            </w:r>
          </w:p>
        </w:tc>
      </w:tr>
      <w:tr w:rsidR="00947B86" w:rsidRPr="00C649E1" w14:paraId="6D49F38D" w14:textId="77777777" w:rsidTr="00E15217">
        <w:trPr>
          <w:cantSplit/>
        </w:trPr>
        <w:tc>
          <w:tcPr>
            <w:tcW w:w="3600" w:type="dxa"/>
            <w:tcBorders>
              <w:top w:val="single" w:sz="6" w:space="0" w:color="auto"/>
              <w:bottom w:val="single" w:sz="6" w:space="0" w:color="auto"/>
            </w:tcBorders>
            <w:shd w:val="clear" w:color="auto" w:fill="386294"/>
            <w:vAlign w:val="center"/>
          </w:tcPr>
          <w:p w14:paraId="36A7A7AA" w14:textId="77777777" w:rsidR="00947B86" w:rsidRPr="00C649E1" w:rsidRDefault="00947B86" w:rsidP="00E15217">
            <w:pPr>
              <w:jc w:val="center"/>
              <w:rPr>
                <w:rFonts w:asciiTheme="majorHAnsi" w:hAnsiTheme="majorHAnsi"/>
                <w:b/>
                <w:bCs/>
                <w:color w:val="FFFFFF" w:themeColor="background1"/>
                <w:sz w:val="20"/>
                <w:szCs w:val="20"/>
              </w:rPr>
            </w:pPr>
            <w:r w:rsidRPr="00C649E1">
              <w:rPr>
                <w:rFonts w:asciiTheme="majorHAnsi" w:hAnsiTheme="majorHAnsi"/>
                <w:b/>
                <w:bCs/>
                <w:color w:val="FFFFFF" w:themeColor="background1"/>
                <w:sz w:val="20"/>
                <w:szCs w:val="20"/>
              </w:rPr>
              <w:t>Competence</w:t>
            </w:r>
            <w:r w:rsidRPr="00C649E1">
              <w:rPr>
                <w:rFonts w:asciiTheme="majorHAnsi" w:hAnsiTheme="majorHAnsi"/>
                <w:b/>
                <w:bCs/>
                <w:i/>
                <w:color w:val="FFFFFF" w:themeColor="background1"/>
                <w:sz w:val="20"/>
                <w:szCs w:val="20"/>
              </w:rPr>
              <w:t xml:space="preserve"> Ratione materiae</w:t>
            </w:r>
            <w:r w:rsidRPr="00C649E1">
              <w:rPr>
                <w:rFonts w:asciiTheme="majorHAnsi" w:hAnsiTheme="majorHAnsi"/>
                <w:b/>
                <w:bCs/>
                <w:color w:val="FFFFFF" w:themeColor="background1"/>
                <w:sz w:val="20"/>
                <w:szCs w:val="20"/>
              </w:rPr>
              <w:t>:</w:t>
            </w:r>
          </w:p>
        </w:tc>
        <w:tc>
          <w:tcPr>
            <w:tcW w:w="5760" w:type="dxa"/>
            <w:vAlign w:val="center"/>
          </w:tcPr>
          <w:p w14:paraId="58D7E3C5" w14:textId="77777777" w:rsidR="00947B86" w:rsidRPr="00C649E1" w:rsidRDefault="00947B86" w:rsidP="0010625B">
            <w:pPr>
              <w:jc w:val="both"/>
              <w:rPr>
                <w:rFonts w:asciiTheme="majorHAnsi" w:hAnsiTheme="majorHAnsi"/>
                <w:bCs/>
                <w:sz w:val="20"/>
                <w:szCs w:val="20"/>
              </w:rPr>
            </w:pPr>
            <w:r w:rsidRPr="00C649E1">
              <w:rPr>
                <w:rFonts w:asciiTheme="majorHAnsi" w:hAnsiTheme="majorHAnsi"/>
                <w:bCs/>
                <w:sz w:val="20"/>
                <w:szCs w:val="20"/>
              </w:rPr>
              <w:t>Yes, American Declaration of the Rights and Duties of Man (ratification of the OAS Charter on June 19, 1951)</w:t>
            </w:r>
          </w:p>
        </w:tc>
      </w:tr>
      <w:tr w:rsidR="00947B86" w:rsidRPr="00C649E1" w14:paraId="42D06A61" w14:textId="77777777" w:rsidTr="00E15217">
        <w:trPr>
          <w:cantSplit/>
        </w:trPr>
        <w:tc>
          <w:tcPr>
            <w:tcW w:w="3600" w:type="dxa"/>
            <w:tcBorders>
              <w:top w:val="single" w:sz="6" w:space="0" w:color="auto"/>
              <w:bottom w:val="single" w:sz="6" w:space="0" w:color="auto"/>
            </w:tcBorders>
            <w:shd w:val="clear" w:color="auto" w:fill="386294"/>
            <w:vAlign w:val="center"/>
          </w:tcPr>
          <w:p w14:paraId="49115325" w14:textId="77777777" w:rsidR="00947B86" w:rsidRPr="00C649E1" w:rsidRDefault="00947B86" w:rsidP="00E15217">
            <w:pPr>
              <w:jc w:val="center"/>
              <w:rPr>
                <w:rFonts w:asciiTheme="majorHAnsi" w:hAnsiTheme="majorHAnsi"/>
                <w:b/>
                <w:bCs/>
                <w:color w:val="FFFFFF" w:themeColor="background1"/>
                <w:sz w:val="20"/>
                <w:szCs w:val="20"/>
              </w:rPr>
            </w:pPr>
            <w:r w:rsidRPr="00C649E1">
              <w:rPr>
                <w:rFonts w:asciiTheme="majorHAnsi" w:hAnsiTheme="majorHAnsi"/>
                <w:b/>
                <w:bCs/>
                <w:color w:val="FFFFFF" w:themeColor="background1"/>
                <w:sz w:val="20"/>
                <w:szCs w:val="20"/>
              </w:rPr>
              <w:t xml:space="preserve">Duplication of procedures and international </w:t>
            </w:r>
            <w:r w:rsidRPr="00C649E1">
              <w:rPr>
                <w:rFonts w:asciiTheme="majorHAnsi" w:hAnsiTheme="majorHAnsi"/>
                <w:b/>
                <w:bCs/>
                <w:i/>
                <w:iCs/>
                <w:color w:val="FFFFFF" w:themeColor="background1"/>
                <w:sz w:val="20"/>
                <w:szCs w:val="20"/>
              </w:rPr>
              <w:t>res judicata</w:t>
            </w:r>
            <w:r w:rsidRPr="00C649E1">
              <w:rPr>
                <w:rFonts w:asciiTheme="majorHAnsi" w:hAnsiTheme="majorHAnsi"/>
                <w:b/>
                <w:bCs/>
                <w:color w:val="FFFFFF" w:themeColor="background1"/>
                <w:sz w:val="20"/>
                <w:szCs w:val="20"/>
              </w:rPr>
              <w:t>:</w:t>
            </w:r>
          </w:p>
        </w:tc>
        <w:tc>
          <w:tcPr>
            <w:tcW w:w="5760" w:type="dxa"/>
            <w:vAlign w:val="center"/>
          </w:tcPr>
          <w:p w14:paraId="38AF9413" w14:textId="77777777" w:rsidR="00947B86" w:rsidRPr="00C649E1" w:rsidRDefault="00947B86" w:rsidP="00E15217">
            <w:pPr>
              <w:jc w:val="both"/>
              <w:rPr>
                <w:rFonts w:asciiTheme="majorHAnsi" w:hAnsiTheme="majorHAnsi"/>
                <w:bCs/>
                <w:sz w:val="20"/>
                <w:szCs w:val="20"/>
              </w:rPr>
            </w:pPr>
            <w:r w:rsidRPr="00C649E1">
              <w:rPr>
                <w:rFonts w:asciiTheme="majorHAnsi" w:hAnsiTheme="majorHAnsi"/>
                <w:bCs/>
                <w:sz w:val="20"/>
                <w:szCs w:val="20"/>
              </w:rPr>
              <w:t>No</w:t>
            </w:r>
          </w:p>
        </w:tc>
      </w:tr>
    </w:tbl>
    <w:p w14:paraId="508DDE09" w14:textId="77777777" w:rsidR="0081365E" w:rsidRPr="00C649E1" w:rsidRDefault="0081365E" w:rsidP="0081365E">
      <w:pPr>
        <w:rPr>
          <w:rFonts w:asciiTheme="majorHAnsi" w:hAnsiTheme="majorHAnsi"/>
          <w:sz w:val="20"/>
          <w:szCs w:val="20"/>
        </w:rPr>
      </w:pPr>
    </w:p>
    <w:p w14:paraId="6D8BCE17" w14:textId="77777777" w:rsidR="005B7A72" w:rsidRPr="00C649E1" w:rsidRDefault="005B7A72" w:rsidP="005B7A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 xml:space="preserve">The Commission notes that </w:t>
      </w:r>
      <w:r w:rsidR="00BD789D" w:rsidRPr="00C649E1">
        <w:rPr>
          <w:rFonts w:asciiTheme="majorHAnsi" w:hAnsiTheme="majorHAnsi"/>
          <w:sz w:val="20"/>
          <w:szCs w:val="20"/>
        </w:rPr>
        <w:t xml:space="preserve">the United States alleges that Mr. Robinson’s claim regarding the alleged general administration of the death penalty in a racially discriminatory manner fails to set forth a concrete violation of rights in an individual case. The State concludes, based on IACHR’s decisions, that this claim constitutes an </w:t>
      </w:r>
      <w:r w:rsidR="00BD789D" w:rsidRPr="00C649E1">
        <w:rPr>
          <w:rFonts w:asciiTheme="majorHAnsi" w:hAnsiTheme="majorHAnsi"/>
          <w:i/>
          <w:sz w:val="20"/>
          <w:szCs w:val="20"/>
        </w:rPr>
        <w:t>actio popularis</w:t>
      </w:r>
      <w:r w:rsidR="00BD789D" w:rsidRPr="00C649E1">
        <w:rPr>
          <w:rFonts w:asciiTheme="majorHAnsi" w:hAnsiTheme="majorHAnsi"/>
          <w:sz w:val="20"/>
          <w:szCs w:val="20"/>
        </w:rPr>
        <w:t xml:space="preserve"> and therefore lacks competence </w:t>
      </w:r>
      <w:r w:rsidR="00BD789D" w:rsidRPr="00C649E1">
        <w:rPr>
          <w:rFonts w:asciiTheme="majorHAnsi" w:hAnsiTheme="majorHAnsi"/>
          <w:i/>
          <w:sz w:val="20"/>
          <w:szCs w:val="20"/>
        </w:rPr>
        <w:t>rationae personae</w:t>
      </w:r>
      <w:r w:rsidR="00BD789D" w:rsidRPr="00C649E1">
        <w:rPr>
          <w:rFonts w:asciiTheme="majorHAnsi" w:hAnsiTheme="majorHAnsi"/>
          <w:sz w:val="20"/>
          <w:szCs w:val="20"/>
        </w:rPr>
        <w:t>.</w:t>
      </w:r>
    </w:p>
    <w:p w14:paraId="276E4BDB" w14:textId="77777777" w:rsidR="00575737" w:rsidRPr="00C649E1" w:rsidRDefault="00575737" w:rsidP="0057573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4D60E201" w14:textId="77777777" w:rsidR="00575737" w:rsidRPr="00C649E1" w:rsidRDefault="00575737" w:rsidP="005B7A72">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The State refers to Inadmissibility Report No. 100/14</w:t>
      </w:r>
      <w:r w:rsidR="00D269F1" w:rsidRPr="00C649E1">
        <w:rPr>
          <w:rFonts w:asciiTheme="majorHAnsi" w:hAnsiTheme="majorHAnsi"/>
          <w:sz w:val="20"/>
          <w:szCs w:val="20"/>
        </w:rPr>
        <w:t>,</w:t>
      </w:r>
      <w:r w:rsidR="004815A2" w:rsidRPr="00C649E1">
        <w:rPr>
          <w:rStyle w:val="FootnoteReference"/>
          <w:rFonts w:asciiTheme="majorHAnsi" w:hAnsiTheme="majorHAnsi"/>
          <w:sz w:val="20"/>
          <w:szCs w:val="20"/>
        </w:rPr>
        <w:footnoteReference w:id="4"/>
      </w:r>
      <w:r w:rsidR="00D269F1" w:rsidRPr="00C649E1">
        <w:rPr>
          <w:rFonts w:asciiTheme="majorHAnsi" w:hAnsiTheme="majorHAnsi"/>
          <w:sz w:val="20"/>
          <w:szCs w:val="20"/>
        </w:rPr>
        <w:t xml:space="preserve"> in which the Commission concluded that the petition was inadmissible for lack of competence </w:t>
      </w:r>
      <w:r w:rsidR="00D269F1" w:rsidRPr="00C649E1">
        <w:rPr>
          <w:rFonts w:asciiTheme="majorHAnsi" w:hAnsiTheme="majorHAnsi"/>
          <w:i/>
          <w:sz w:val="20"/>
          <w:szCs w:val="20"/>
        </w:rPr>
        <w:t>rationae personae</w:t>
      </w:r>
      <w:r w:rsidR="00A2645F" w:rsidRPr="00C649E1">
        <w:rPr>
          <w:rFonts w:asciiTheme="majorHAnsi" w:hAnsiTheme="majorHAnsi"/>
          <w:i/>
          <w:sz w:val="20"/>
          <w:szCs w:val="20"/>
        </w:rPr>
        <w:t xml:space="preserve"> </w:t>
      </w:r>
      <w:r w:rsidR="00A2645F" w:rsidRPr="00C649E1">
        <w:rPr>
          <w:rFonts w:asciiTheme="majorHAnsi" w:hAnsiTheme="majorHAnsi"/>
          <w:sz w:val="20"/>
          <w:szCs w:val="20"/>
        </w:rPr>
        <w:t xml:space="preserve">given that </w:t>
      </w:r>
      <w:r w:rsidR="004815A2" w:rsidRPr="00C649E1">
        <w:rPr>
          <w:rFonts w:asciiTheme="majorHAnsi" w:hAnsiTheme="majorHAnsi"/>
          <w:sz w:val="20"/>
          <w:szCs w:val="20"/>
        </w:rPr>
        <w:t xml:space="preserve">it constituted an </w:t>
      </w:r>
      <w:r w:rsidR="004815A2" w:rsidRPr="00C649E1">
        <w:rPr>
          <w:rFonts w:asciiTheme="majorHAnsi" w:hAnsiTheme="majorHAnsi"/>
          <w:i/>
          <w:sz w:val="20"/>
          <w:szCs w:val="20"/>
        </w:rPr>
        <w:t>action popularis</w:t>
      </w:r>
      <w:r w:rsidR="004815A2" w:rsidRPr="00C649E1">
        <w:rPr>
          <w:rFonts w:asciiTheme="majorHAnsi" w:hAnsiTheme="majorHAnsi"/>
          <w:sz w:val="20"/>
          <w:szCs w:val="20"/>
        </w:rPr>
        <w:t xml:space="preserve"> filed on behalf of an indeterminate group of persons. In the instant case, however, the allegation of racial discrimination was raised at the domestic level and before the Commission on behalf of Mr. Robinson. Therefore, the Commission has competence to decide the case. </w:t>
      </w:r>
    </w:p>
    <w:p w14:paraId="18CB2B37" w14:textId="77777777" w:rsidR="00D31F66" w:rsidRPr="00C649E1" w:rsidRDefault="00D31F66" w:rsidP="0081365E">
      <w:pPr>
        <w:rPr>
          <w:rFonts w:asciiTheme="majorHAnsi" w:hAnsiTheme="majorHAnsi"/>
          <w:sz w:val="20"/>
          <w:szCs w:val="20"/>
        </w:rPr>
      </w:pPr>
    </w:p>
    <w:p w14:paraId="45459135" w14:textId="77777777" w:rsidR="00F516D3" w:rsidRPr="00C649E1" w:rsidRDefault="00317FC6"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ahoma"/>
          <w:color w:val="auto"/>
          <w:sz w:val="20"/>
          <w:szCs w:val="20"/>
          <w:shd w:val="clear" w:color="auto" w:fill="FFFFFF"/>
        </w:rPr>
      </w:pPr>
      <w:bookmarkStart w:id="20" w:name="_Toc22915010"/>
      <w:bookmarkStart w:id="21" w:name="_Toc45105377"/>
      <w:bookmarkStart w:id="22" w:name="_Toc70417415"/>
      <w:r w:rsidRPr="00C649E1">
        <w:rPr>
          <w:rFonts w:cs="Tahoma"/>
          <w:color w:val="auto"/>
          <w:sz w:val="20"/>
          <w:szCs w:val="20"/>
          <w:shd w:val="clear" w:color="auto" w:fill="FFFFFF"/>
        </w:rPr>
        <w:t>Exhaustion of domestic remedies and timeliness of the petition</w:t>
      </w:r>
      <w:bookmarkEnd w:id="20"/>
      <w:bookmarkEnd w:id="21"/>
      <w:bookmarkEnd w:id="22"/>
    </w:p>
    <w:p w14:paraId="18E068E3" w14:textId="77777777" w:rsidR="00D94F44" w:rsidRPr="00C649E1" w:rsidRDefault="00D94F44" w:rsidP="00D94F44">
      <w:pPr>
        <w:rPr>
          <w:rFonts w:asciiTheme="majorHAnsi" w:hAnsiTheme="majorHAnsi"/>
          <w:color w:val="FF0000"/>
          <w:sz w:val="20"/>
          <w:szCs w:val="20"/>
        </w:rPr>
      </w:pPr>
    </w:p>
    <w:p w14:paraId="74247CA4" w14:textId="77777777" w:rsidR="00E21D36" w:rsidRPr="00C649E1" w:rsidRDefault="00D865A2" w:rsidP="003C269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sz w:val="20"/>
          <w:szCs w:val="20"/>
        </w:rPr>
      </w:pPr>
      <w:r w:rsidRPr="00C649E1">
        <w:rPr>
          <w:rFonts w:asciiTheme="majorHAnsi" w:hAnsiTheme="majorHAnsi"/>
          <w:sz w:val="20"/>
          <w:szCs w:val="20"/>
        </w:rPr>
        <w:t>According to the information available, and as established in the facts described below, Mr. Ro</w:t>
      </w:r>
      <w:r w:rsidR="00411C40" w:rsidRPr="00C649E1">
        <w:rPr>
          <w:rFonts w:asciiTheme="majorHAnsi" w:hAnsiTheme="majorHAnsi"/>
          <w:sz w:val="20"/>
          <w:szCs w:val="20"/>
        </w:rPr>
        <w:t>binson</w:t>
      </w:r>
      <w:r w:rsidRPr="00C649E1">
        <w:rPr>
          <w:rFonts w:asciiTheme="majorHAnsi" w:hAnsiTheme="majorHAnsi"/>
          <w:sz w:val="20"/>
          <w:szCs w:val="20"/>
        </w:rPr>
        <w:t xml:space="preserve"> was sentenced to death by the </w:t>
      </w:r>
      <w:r w:rsidR="008859F9" w:rsidRPr="00C649E1">
        <w:rPr>
          <w:rFonts w:asciiTheme="majorHAnsi" w:hAnsiTheme="majorHAnsi"/>
          <w:sz w:val="20"/>
          <w:szCs w:val="20"/>
        </w:rPr>
        <w:t>U.S. District Court for the Northern District of Texas</w:t>
      </w:r>
      <w:r w:rsidRPr="00C649E1">
        <w:rPr>
          <w:rFonts w:asciiTheme="majorHAnsi" w:hAnsiTheme="majorHAnsi"/>
          <w:sz w:val="20"/>
          <w:szCs w:val="20"/>
        </w:rPr>
        <w:t xml:space="preserve"> on June </w:t>
      </w:r>
      <w:r w:rsidR="00E21D36" w:rsidRPr="00C649E1">
        <w:rPr>
          <w:rFonts w:asciiTheme="majorHAnsi" w:hAnsiTheme="majorHAnsi"/>
          <w:sz w:val="20"/>
          <w:szCs w:val="20"/>
        </w:rPr>
        <w:t>5</w:t>
      </w:r>
      <w:r w:rsidRPr="00C649E1">
        <w:rPr>
          <w:rFonts w:asciiTheme="majorHAnsi" w:hAnsiTheme="majorHAnsi"/>
          <w:sz w:val="20"/>
          <w:szCs w:val="20"/>
        </w:rPr>
        <w:t xml:space="preserve">, </w:t>
      </w:r>
      <w:r w:rsidR="00E21D36" w:rsidRPr="00C649E1">
        <w:rPr>
          <w:rFonts w:asciiTheme="majorHAnsi" w:hAnsiTheme="majorHAnsi"/>
          <w:sz w:val="20"/>
          <w:szCs w:val="20"/>
        </w:rPr>
        <w:t>2002</w:t>
      </w:r>
      <w:r w:rsidRPr="00C649E1">
        <w:rPr>
          <w:rFonts w:asciiTheme="majorHAnsi" w:hAnsiTheme="majorHAnsi"/>
          <w:sz w:val="20"/>
          <w:szCs w:val="20"/>
        </w:rPr>
        <w:t xml:space="preserve">. </w:t>
      </w:r>
      <w:r w:rsidR="00E21D36" w:rsidRPr="00C649E1">
        <w:rPr>
          <w:rFonts w:asciiTheme="majorHAnsi" w:hAnsiTheme="majorHAnsi"/>
          <w:sz w:val="20"/>
          <w:szCs w:val="20"/>
        </w:rPr>
        <w:t>The U.S. Court of Appeals for the Fifth Circuit</w:t>
      </w:r>
      <w:r w:rsidR="00CE5D5C" w:rsidRPr="00C649E1">
        <w:rPr>
          <w:rFonts w:asciiTheme="majorHAnsi" w:hAnsiTheme="majorHAnsi"/>
          <w:sz w:val="20"/>
          <w:szCs w:val="20"/>
        </w:rPr>
        <w:t xml:space="preserve"> affirmed Mr. Robins</w:t>
      </w:r>
      <w:r w:rsidR="00E55A94" w:rsidRPr="00C649E1">
        <w:rPr>
          <w:rFonts w:asciiTheme="majorHAnsi" w:hAnsiTheme="majorHAnsi"/>
          <w:sz w:val="20"/>
          <w:szCs w:val="20"/>
        </w:rPr>
        <w:t xml:space="preserve">on’s conviction and sentence on April 14, 2004. On November 29, 2004, the U.S. Supreme Court denied Mr. Robinson’s application for </w:t>
      </w:r>
      <w:r w:rsidR="00E55A94" w:rsidRPr="00C649E1">
        <w:rPr>
          <w:rFonts w:asciiTheme="majorHAnsi" w:hAnsiTheme="majorHAnsi"/>
          <w:i/>
          <w:sz w:val="20"/>
          <w:szCs w:val="20"/>
        </w:rPr>
        <w:t>certiorari</w:t>
      </w:r>
      <w:r w:rsidR="00E55A94" w:rsidRPr="00C649E1">
        <w:rPr>
          <w:rFonts w:asciiTheme="majorHAnsi" w:hAnsiTheme="majorHAnsi"/>
          <w:sz w:val="20"/>
          <w:szCs w:val="20"/>
        </w:rPr>
        <w:t xml:space="preserve">. </w:t>
      </w:r>
    </w:p>
    <w:p w14:paraId="36CE97EA" w14:textId="77777777" w:rsidR="00E55A94" w:rsidRPr="00C649E1" w:rsidRDefault="00E55A94" w:rsidP="00E55A94">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2EA6BB0F" w14:textId="77777777" w:rsidR="00E55A94" w:rsidRPr="00C649E1" w:rsidRDefault="00E55A94" w:rsidP="007766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Mr. Robinson pursued post-conviction habeas corpus relief claiming, </w:t>
      </w:r>
      <w:r w:rsidRPr="00C649E1">
        <w:rPr>
          <w:rFonts w:asciiTheme="majorHAnsi" w:hAnsiTheme="majorHAnsi"/>
          <w:i/>
          <w:sz w:val="20"/>
          <w:szCs w:val="20"/>
        </w:rPr>
        <w:t>inter alia</w:t>
      </w:r>
      <w:r w:rsidRPr="00C649E1">
        <w:rPr>
          <w:rFonts w:asciiTheme="majorHAnsi" w:hAnsiTheme="majorHAnsi"/>
          <w:sz w:val="20"/>
          <w:szCs w:val="20"/>
        </w:rPr>
        <w:t>, racial discrimination, ineffective assistance of counsel, and due process violations</w:t>
      </w:r>
      <w:r w:rsidR="00873CC0" w:rsidRPr="00C649E1">
        <w:rPr>
          <w:rFonts w:asciiTheme="majorHAnsi" w:hAnsiTheme="majorHAnsi"/>
          <w:sz w:val="20"/>
          <w:szCs w:val="20"/>
        </w:rPr>
        <w:t>, and also sought an evidentiary hearing on these claims</w:t>
      </w:r>
      <w:r w:rsidRPr="00C649E1">
        <w:rPr>
          <w:rFonts w:asciiTheme="majorHAnsi" w:hAnsiTheme="majorHAnsi"/>
          <w:sz w:val="20"/>
          <w:szCs w:val="20"/>
        </w:rPr>
        <w:t>.</w:t>
      </w:r>
      <w:r w:rsidR="00873CC0" w:rsidRPr="00C649E1">
        <w:rPr>
          <w:rFonts w:asciiTheme="majorHAnsi" w:hAnsiTheme="majorHAnsi"/>
          <w:sz w:val="20"/>
          <w:szCs w:val="20"/>
        </w:rPr>
        <w:t xml:space="preserve"> On November 7, 2008, the district court denied his motion </w:t>
      </w:r>
      <w:r w:rsidR="008859F9" w:rsidRPr="00C649E1">
        <w:rPr>
          <w:rFonts w:asciiTheme="majorHAnsi" w:hAnsiTheme="majorHAnsi"/>
          <w:sz w:val="20"/>
          <w:szCs w:val="20"/>
        </w:rPr>
        <w:t xml:space="preserve">to </w:t>
      </w:r>
      <w:r w:rsidR="00873CC0" w:rsidRPr="00C649E1">
        <w:rPr>
          <w:rFonts w:asciiTheme="majorHAnsi" w:hAnsiTheme="majorHAnsi"/>
          <w:sz w:val="20"/>
          <w:szCs w:val="20"/>
        </w:rPr>
        <w:t xml:space="preserve">vacate his conviction and sentence as well as his motion for an evidentiary hearing. He then appealed the denial to the U.S. Court of Appeals for the Fifth Circuit and, on June 8, 2010, the Fifth Circuit denied this request for a Certificate of Appealability. On October 3, 2011, the Supreme Court denied an application for </w:t>
      </w:r>
      <w:r w:rsidR="00873CC0" w:rsidRPr="00C649E1">
        <w:rPr>
          <w:rFonts w:asciiTheme="majorHAnsi" w:hAnsiTheme="majorHAnsi"/>
          <w:i/>
          <w:sz w:val="20"/>
          <w:szCs w:val="20"/>
        </w:rPr>
        <w:t>certiorari</w:t>
      </w:r>
      <w:r w:rsidR="00873CC0" w:rsidRPr="00C649E1">
        <w:rPr>
          <w:rFonts w:asciiTheme="majorHAnsi" w:hAnsiTheme="majorHAnsi"/>
          <w:sz w:val="20"/>
          <w:szCs w:val="20"/>
        </w:rPr>
        <w:t xml:space="preserve">. </w:t>
      </w:r>
      <w:r w:rsidR="007766F0" w:rsidRPr="00C649E1">
        <w:rPr>
          <w:rFonts w:asciiTheme="majorHAnsi" w:hAnsiTheme="majorHAnsi"/>
          <w:sz w:val="20"/>
          <w:szCs w:val="20"/>
        </w:rPr>
        <w:t>On February 28, 2018, Mr. Robinson’s counsel filed a motion to reopen the judgment of the U.S. District Court for the Northern District of Texas. The</w:t>
      </w:r>
      <w:r w:rsidR="008B23D9" w:rsidRPr="00C649E1">
        <w:rPr>
          <w:rFonts w:asciiTheme="majorHAnsi" w:hAnsiTheme="majorHAnsi"/>
          <w:sz w:val="20"/>
          <w:szCs w:val="20"/>
        </w:rPr>
        <w:t xml:space="preserve"> IACHR has no information</w:t>
      </w:r>
      <w:r w:rsidR="007766F0" w:rsidRPr="00C649E1">
        <w:rPr>
          <w:rFonts w:asciiTheme="majorHAnsi" w:hAnsiTheme="majorHAnsi"/>
          <w:sz w:val="20"/>
          <w:szCs w:val="20"/>
        </w:rPr>
        <w:t xml:space="preserve"> regarding the outcome of th</w:t>
      </w:r>
      <w:r w:rsidR="008B23D9" w:rsidRPr="00C649E1">
        <w:rPr>
          <w:rFonts w:asciiTheme="majorHAnsi" w:hAnsiTheme="majorHAnsi"/>
          <w:sz w:val="20"/>
          <w:szCs w:val="20"/>
        </w:rPr>
        <w:t>is</w:t>
      </w:r>
      <w:r w:rsidR="007766F0" w:rsidRPr="00C649E1">
        <w:rPr>
          <w:rFonts w:asciiTheme="majorHAnsi" w:hAnsiTheme="majorHAnsi"/>
          <w:sz w:val="20"/>
          <w:szCs w:val="20"/>
        </w:rPr>
        <w:t xml:space="preserve"> motion. </w:t>
      </w:r>
    </w:p>
    <w:p w14:paraId="4D62FA20" w14:textId="77777777" w:rsidR="007766F0" w:rsidRPr="00C649E1" w:rsidRDefault="007766F0" w:rsidP="007766F0">
      <w:pPr>
        <w:pStyle w:val="ListParagraph"/>
        <w:rPr>
          <w:rFonts w:asciiTheme="majorHAnsi" w:hAnsiTheme="majorHAnsi"/>
          <w:sz w:val="20"/>
          <w:szCs w:val="20"/>
        </w:rPr>
      </w:pPr>
    </w:p>
    <w:p w14:paraId="692288FF" w14:textId="77777777" w:rsidR="007766F0" w:rsidRPr="00C649E1" w:rsidRDefault="007766F0" w:rsidP="007766F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rPr>
          <w:rFonts w:asciiTheme="majorHAnsi" w:hAnsiTheme="majorHAnsi"/>
          <w:color w:val="FF0000"/>
          <w:sz w:val="20"/>
          <w:szCs w:val="20"/>
        </w:rPr>
      </w:pPr>
      <w:r w:rsidRPr="00C649E1">
        <w:rPr>
          <w:rFonts w:asciiTheme="majorHAnsi" w:hAnsiTheme="majorHAnsi"/>
          <w:sz w:val="20"/>
          <w:szCs w:val="20"/>
        </w:rPr>
        <w:t xml:space="preserve">The IACHR notes </w:t>
      </w:r>
      <w:r w:rsidR="008B23D9" w:rsidRPr="00C649E1">
        <w:rPr>
          <w:rFonts w:asciiTheme="majorHAnsi" w:hAnsiTheme="majorHAnsi"/>
          <w:sz w:val="20"/>
          <w:szCs w:val="20"/>
        </w:rPr>
        <w:t xml:space="preserve">the State’s position that the petition does not comply with the requirement of prior exhaustion of domestic remedies, given that the petitioners continue to pursue domestic remedies at the federal level. The Commission reiterates in this regard </w:t>
      </w:r>
      <w:r w:rsidRPr="00C649E1">
        <w:rPr>
          <w:rFonts w:asciiTheme="majorHAnsi" w:hAnsiTheme="majorHAnsi"/>
          <w:sz w:val="20"/>
          <w:szCs w:val="20"/>
        </w:rPr>
        <w:t>that the rule requiring the exhaustion of domestic remedies does not mean that alleged victims have to exhaust every remedy available. In this regard, the Commission has repeatedly held that “the rule which requires the prior exhaustion of domestic remedies is designed for the benefit of the State, for that rule seeks to excuse the State from having to respond to charges before an international body for acts imputed to it before it has had the opportunity to remedy them by internal means.”</w:t>
      </w:r>
      <w:r w:rsidRPr="00C649E1">
        <w:rPr>
          <w:rStyle w:val="FootnoteReference"/>
          <w:rFonts w:asciiTheme="majorHAnsi" w:hAnsiTheme="majorHAnsi"/>
          <w:sz w:val="20"/>
          <w:szCs w:val="20"/>
        </w:rPr>
        <w:footnoteReference w:id="5"/>
      </w:r>
      <w:r w:rsidRPr="00C649E1">
        <w:rPr>
          <w:rFonts w:asciiTheme="majorHAnsi" w:hAnsiTheme="majorHAnsi"/>
          <w:sz w:val="20"/>
          <w:szCs w:val="20"/>
        </w:rPr>
        <w:t xml:space="preserve"> Therefore, if the alleged victim raised the issue by any lawful and appropriate alternative under the domestic juridical system and the State had the opportunity to remedy the matter within its jurisdiction, the purpose of the international rule has thus been served.</w:t>
      </w:r>
      <w:r w:rsidRPr="00C649E1">
        <w:rPr>
          <w:rStyle w:val="FootnoteReference"/>
          <w:rFonts w:asciiTheme="majorHAnsi" w:hAnsiTheme="majorHAnsi"/>
          <w:sz w:val="20"/>
          <w:szCs w:val="20"/>
        </w:rPr>
        <w:footnoteReference w:id="6"/>
      </w:r>
      <w:r w:rsidRPr="00C649E1">
        <w:rPr>
          <w:rFonts w:asciiTheme="majorHAnsi" w:hAnsiTheme="majorHAnsi"/>
          <w:sz w:val="20"/>
          <w:szCs w:val="20"/>
        </w:rPr>
        <w:t xml:space="preserve"> </w:t>
      </w:r>
    </w:p>
    <w:p w14:paraId="6CEE83A3" w14:textId="77777777" w:rsidR="00E21D36" w:rsidRPr="00C649E1" w:rsidRDefault="00E21D36" w:rsidP="00E21D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153CFEBA" w14:textId="77777777" w:rsidR="00FB0135" w:rsidRPr="00C649E1" w:rsidRDefault="00FC5458" w:rsidP="00FB01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ind w:left="0" w:firstLine="0"/>
        <w:jc w:val="both"/>
      </w:pPr>
      <w:r w:rsidRPr="00C649E1">
        <w:rPr>
          <w:rFonts w:asciiTheme="majorHAnsi" w:hAnsiTheme="majorHAnsi"/>
          <w:sz w:val="20"/>
          <w:szCs w:val="20"/>
        </w:rPr>
        <w:lastRenderedPageBreak/>
        <w:t xml:space="preserve">Based on the available information, the IACHR notes that </w:t>
      </w:r>
      <w:r w:rsidR="00AF010B" w:rsidRPr="00C649E1">
        <w:rPr>
          <w:rFonts w:asciiTheme="majorHAnsi" w:hAnsiTheme="majorHAnsi"/>
          <w:sz w:val="20"/>
          <w:szCs w:val="20"/>
        </w:rPr>
        <w:t>the alleged victim has not onl</w:t>
      </w:r>
      <w:r w:rsidR="00837EDD" w:rsidRPr="00C649E1">
        <w:rPr>
          <w:rFonts w:asciiTheme="majorHAnsi" w:hAnsiTheme="majorHAnsi"/>
          <w:sz w:val="20"/>
          <w:szCs w:val="20"/>
        </w:rPr>
        <w:t xml:space="preserve">y exhausted all direct review proceeding, but also post-conviction proceedings. </w:t>
      </w:r>
      <w:r w:rsidR="00192815" w:rsidRPr="00C649E1">
        <w:rPr>
          <w:rFonts w:asciiTheme="majorHAnsi" w:hAnsiTheme="majorHAnsi"/>
          <w:sz w:val="20"/>
          <w:szCs w:val="20"/>
        </w:rPr>
        <w:t xml:space="preserve">Therefore, </w:t>
      </w:r>
      <w:r w:rsidR="00FB0135" w:rsidRPr="00C649E1">
        <w:rPr>
          <w:rFonts w:asciiTheme="majorHAnsi" w:hAnsiTheme="majorHAnsi"/>
          <w:sz w:val="20"/>
          <w:szCs w:val="20"/>
        </w:rPr>
        <w:t>the Inter-American Commission concludes that the petitioner</w:t>
      </w:r>
      <w:r w:rsidR="00192815" w:rsidRPr="00C649E1">
        <w:rPr>
          <w:rFonts w:asciiTheme="majorHAnsi" w:hAnsiTheme="majorHAnsi"/>
          <w:sz w:val="20"/>
          <w:szCs w:val="20"/>
        </w:rPr>
        <w:t>s</w:t>
      </w:r>
      <w:r w:rsidR="00FB0135" w:rsidRPr="00C649E1">
        <w:rPr>
          <w:rFonts w:asciiTheme="majorHAnsi" w:hAnsiTheme="majorHAnsi"/>
          <w:sz w:val="20"/>
          <w:szCs w:val="20"/>
        </w:rPr>
        <w:t xml:space="preserve"> properly exhausted domestic remedies available within the domestic legal system and, therefore, that the alleged victims’ claims before the Commission are not barred from consideration by the requirement of exhaustion of domestic remedies under Article 31(1) of its Rules of Procedure.</w:t>
      </w:r>
      <w:r w:rsidR="00C43943" w:rsidRPr="00C649E1">
        <w:rPr>
          <w:rFonts w:asciiTheme="majorHAnsi" w:hAnsiTheme="majorHAnsi"/>
          <w:sz w:val="20"/>
          <w:szCs w:val="20"/>
        </w:rPr>
        <w:t xml:space="preserve"> The petition before the IACHR was presented on </w:t>
      </w:r>
      <w:r w:rsidR="00192815" w:rsidRPr="00C649E1">
        <w:rPr>
          <w:rFonts w:asciiTheme="majorHAnsi" w:hAnsiTheme="majorHAnsi"/>
          <w:sz w:val="20"/>
          <w:szCs w:val="20"/>
        </w:rPr>
        <w:t>April 3, 2012</w:t>
      </w:r>
      <w:r w:rsidR="00C43943" w:rsidRPr="00C649E1">
        <w:rPr>
          <w:rFonts w:asciiTheme="majorHAnsi" w:hAnsiTheme="majorHAnsi"/>
          <w:sz w:val="20"/>
          <w:szCs w:val="20"/>
        </w:rPr>
        <w:t xml:space="preserve">, and the </w:t>
      </w:r>
      <w:r w:rsidR="00192815" w:rsidRPr="00C649E1">
        <w:rPr>
          <w:rFonts w:asciiTheme="majorHAnsi" w:hAnsiTheme="majorHAnsi"/>
          <w:sz w:val="20"/>
          <w:szCs w:val="20"/>
        </w:rPr>
        <w:t xml:space="preserve">application for </w:t>
      </w:r>
      <w:r w:rsidR="00192815" w:rsidRPr="00C649E1">
        <w:rPr>
          <w:rFonts w:asciiTheme="majorHAnsi" w:hAnsiTheme="majorHAnsi"/>
          <w:i/>
          <w:sz w:val="20"/>
          <w:szCs w:val="20"/>
        </w:rPr>
        <w:t xml:space="preserve">certiorari </w:t>
      </w:r>
      <w:r w:rsidR="00192815" w:rsidRPr="00C649E1">
        <w:rPr>
          <w:rFonts w:asciiTheme="majorHAnsi" w:hAnsiTheme="majorHAnsi"/>
          <w:sz w:val="20"/>
          <w:szCs w:val="20"/>
        </w:rPr>
        <w:t>was denied by the Supreme Court on October 3, 2011</w:t>
      </w:r>
      <w:r w:rsidR="00C43943" w:rsidRPr="00C649E1">
        <w:rPr>
          <w:rFonts w:asciiTheme="majorHAnsi" w:hAnsiTheme="majorHAnsi"/>
          <w:sz w:val="20"/>
          <w:szCs w:val="20"/>
        </w:rPr>
        <w:t>. Therefore, t</w:t>
      </w:r>
      <w:r w:rsidR="00FB0135" w:rsidRPr="00C649E1">
        <w:rPr>
          <w:rFonts w:asciiTheme="majorHAnsi" w:hAnsiTheme="majorHAnsi"/>
          <w:sz w:val="20"/>
          <w:szCs w:val="20"/>
        </w:rPr>
        <w:t>he Commission also concludes that the requirement specified in Article 32(1) of its Rules of Procedure has been met.</w:t>
      </w:r>
    </w:p>
    <w:p w14:paraId="6004D872" w14:textId="77777777" w:rsidR="00D94F44" w:rsidRPr="00C649E1" w:rsidRDefault="00D94F44" w:rsidP="00D94F44">
      <w:pPr>
        <w:rPr>
          <w:rFonts w:asciiTheme="majorHAnsi" w:hAnsiTheme="majorHAnsi"/>
          <w:sz w:val="20"/>
          <w:szCs w:val="20"/>
        </w:rPr>
      </w:pPr>
    </w:p>
    <w:p w14:paraId="34F07411" w14:textId="77777777" w:rsidR="00F516D3" w:rsidRPr="00C649E1" w:rsidRDefault="00F516D3" w:rsidP="001D75F2">
      <w:pPr>
        <w:pStyle w:val="Heading2"/>
        <w:keepLines w:val="0"/>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pacing w:before="0"/>
        <w:ind w:left="360"/>
        <w:rPr>
          <w:rFonts w:cs="Times New Roman"/>
          <w:color w:val="auto"/>
          <w:sz w:val="20"/>
          <w:szCs w:val="20"/>
        </w:rPr>
      </w:pPr>
      <w:bookmarkStart w:id="23" w:name="_Toc7602625"/>
      <w:bookmarkStart w:id="24" w:name="_Toc22915011"/>
      <w:bookmarkStart w:id="25" w:name="_Toc45105378"/>
      <w:bookmarkStart w:id="26" w:name="_Toc70417416"/>
      <w:bookmarkStart w:id="27" w:name="_Toc6349144"/>
      <w:r w:rsidRPr="00C649E1">
        <w:rPr>
          <w:rFonts w:cs="Times New Roman"/>
          <w:color w:val="auto"/>
          <w:sz w:val="20"/>
          <w:szCs w:val="20"/>
        </w:rPr>
        <w:t>Colorable claim</w:t>
      </w:r>
      <w:bookmarkEnd w:id="23"/>
      <w:bookmarkEnd w:id="24"/>
      <w:bookmarkEnd w:id="25"/>
      <w:bookmarkEnd w:id="26"/>
      <w:r w:rsidRPr="00C649E1">
        <w:rPr>
          <w:rFonts w:cs="Times New Roman"/>
          <w:color w:val="auto"/>
          <w:sz w:val="20"/>
          <w:szCs w:val="20"/>
        </w:rPr>
        <w:t xml:space="preserve"> </w:t>
      </w:r>
      <w:bookmarkEnd w:id="27"/>
    </w:p>
    <w:p w14:paraId="07A1842D" w14:textId="77777777" w:rsidR="00764470" w:rsidRPr="00C649E1" w:rsidRDefault="00764470" w:rsidP="00764470">
      <w:pPr>
        <w:rPr>
          <w:rFonts w:asciiTheme="majorHAnsi" w:hAnsiTheme="majorHAnsi"/>
          <w:sz w:val="20"/>
          <w:szCs w:val="20"/>
        </w:rPr>
      </w:pPr>
    </w:p>
    <w:p w14:paraId="5A585736" w14:textId="77777777" w:rsidR="00F516D3" w:rsidRPr="00C649E1" w:rsidRDefault="00764470" w:rsidP="008631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C649E1">
        <w:rPr>
          <w:rFonts w:asciiTheme="majorHAnsi" w:hAnsiTheme="majorHAnsi"/>
          <w:sz w:val="20"/>
          <w:szCs w:val="20"/>
        </w:rPr>
        <w:t xml:space="preserve">The Commission considers that, if proven, the facts alleged by the petitioner would tend to establish violations of the rights set forth in </w:t>
      </w:r>
      <w:r w:rsidR="00CF0A29" w:rsidRPr="00C649E1">
        <w:rPr>
          <w:rFonts w:asciiTheme="majorHAnsi" w:hAnsiTheme="majorHAnsi"/>
          <w:sz w:val="20"/>
          <w:szCs w:val="20"/>
        </w:rPr>
        <w:t>Articles</w:t>
      </w:r>
      <w:r w:rsidR="00550FAA" w:rsidRPr="00C649E1">
        <w:rPr>
          <w:rFonts w:asciiTheme="majorHAnsi" w:hAnsiTheme="majorHAnsi"/>
          <w:sz w:val="20"/>
          <w:szCs w:val="20"/>
        </w:rPr>
        <w:t xml:space="preserve"> </w:t>
      </w:r>
      <w:r w:rsidR="00863139" w:rsidRPr="00C649E1">
        <w:rPr>
          <w:rFonts w:asciiTheme="majorHAnsi" w:hAnsiTheme="majorHAnsi"/>
          <w:sz w:val="20"/>
          <w:szCs w:val="20"/>
        </w:rPr>
        <w:t>I (right to life, liberty and personal security), II (right to equality before the law), XVIII (right to a fair trial), and XXVI (right to due process of law) of the American Declaration</w:t>
      </w:r>
      <w:r w:rsidRPr="00C649E1">
        <w:rPr>
          <w:rFonts w:asciiTheme="majorHAnsi" w:hAnsiTheme="majorHAnsi"/>
          <w:sz w:val="20"/>
          <w:szCs w:val="20"/>
        </w:rPr>
        <w:t>,</w:t>
      </w:r>
      <w:r w:rsidR="005B1DBA" w:rsidRPr="00C649E1">
        <w:rPr>
          <w:rFonts w:asciiTheme="majorHAnsi" w:hAnsiTheme="majorHAnsi"/>
          <w:sz w:val="20"/>
          <w:szCs w:val="20"/>
        </w:rPr>
        <w:t xml:space="preserve"> to the detriment of Mr. </w:t>
      </w:r>
      <w:r w:rsidR="003519EE" w:rsidRPr="00C649E1">
        <w:rPr>
          <w:rFonts w:asciiTheme="majorHAnsi" w:hAnsiTheme="majorHAnsi"/>
          <w:sz w:val="20"/>
          <w:szCs w:val="20"/>
        </w:rPr>
        <w:t>Robinson</w:t>
      </w:r>
      <w:r w:rsidRPr="00C649E1">
        <w:rPr>
          <w:rFonts w:asciiTheme="majorHAnsi" w:hAnsiTheme="majorHAnsi"/>
          <w:sz w:val="20"/>
          <w:szCs w:val="20"/>
        </w:rPr>
        <w:t xml:space="preserve">. </w:t>
      </w:r>
    </w:p>
    <w:p w14:paraId="0A169A8C" w14:textId="77777777" w:rsidR="003519AE" w:rsidRPr="00C649E1" w:rsidRDefault="003519AE" w:rsidP="003519AE">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jc w:val="both"/>
        <w:rPr>
          <w:rFonts w:asciiTheme="majorHAnsi" w:hAnsiTheme="majorHAnsi"/>
          <w:sz w:val="20"/>
          <w:szCs w:val="20"/>
        </w:rPr>
      </w:pPr>
    </w:p>
    <w:p w14:paraId="20339DDD" w14:textId="77777777" w:rsidR="003519AE" w:rsidRPr="00C649E1" w:rsidRDefault="003519AE" w:rsidP="00863139">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0" w:firstLine="0"/>
        <w:jc w:val="both"/>
        <w:rPr>
          <w:rFonts w:asciiTheme="majorHAnsi" w:hAnsiTheme="majorHAnsi"/>
          <w:sz w:val="20"/>
          <w:szCs w:val="20"/>
        </w:rPr>
      </w:pPr>
      <w:r w:rsidRPr="00C649E1">
        <w:rPr>
          <w:rFonts w:asciiTheme="majorHAnsi" w:hAnsiTheme="majorHAnsi"/>
          <w:sz w:val="20"/>
          <w:szCs w:val="20"/>
        </w:rPr>
        <w:t xml:space="preserve">With regard to the alleged violation of the right </w:t>
      </w:r>
      <w:r w:rsidR="009C0330" w:rsidRPr="00C649E1">
        <w:rPr>
          <w:rFonts w:asciiTheme="majorHAnsi" w:hAnsiTheme="majorHAnsi"/>
          <w:sz w:val="20"/>
          <w:szCs w:val="20"/>
        </w:rPr>
        <w:t xml:space="preserve">to petition </w:t>
      </w:r>
      <w:r w:rsidRPr="00C649E1">
        <w:rPr>
          <w:rFonts w:asciiTheme="majorHAnsi" w:hAnsiTheme="majorHAnsi"/>
          <w:sz w:val="20"/>
          <w:szCs w:val="20"/>
        </w:rPr>
        <w:t xml:space="preserve">set forth in Article XXIV of the Declaration, </w:t>
      </w:r>
      <w:r w:rsidR="009C0330" w:rsidRPr="00C649E1">
        <w:rPr>
          <w:rFonts w:asciiTheme="majorHAnsi" w:hAnsiTheme="majorHAnsi"/>
          <w:sz w:val="20"/>
          <w:szCs w:val="20"/>
        </w:rPr>
        <w:t xml:space="preserve">the Commission </w:t>
      </w:r>
      <w:r w:rsidR="00E27C68" w:rsidRPr="00C649E1">
        <w:rPr>
          <w:rFonts w:asciiTheme="majorHAnsi" w:hAnsiTheme="majorHAnsi"/>
          <w:sz w:val="20"/>
          <w:szCs w:val="20"/>
        </w:rPr>
        <w:t>finds that the facts described in the petition do not tend to establish a colorable claim.</w:t>
      </w:r>
    </w:p>
    <w:p w14:paraId="773BF92E" w14:textId="77777777" w:rsidR="00D070D7" w:rsidRPr="00C649E1" w:rsidRDefault="00D070D7" w:rsidP="00D070D7">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jc w:val="both"/>
        <w:rPr>
          <w:rFonts w:asciiTheme="majorHAnsi" w:hAnsiTheme="majorHAnsi"/>
          <w:sz w:val="20"/>
          <w:szCs w:val="20"/>
        </w:rPr>
      </w:pPr>
    </w:p>
    <w:p w14:paraId="52D34801" w14:textId="77777777" w:rsidR="001C4006" w:rsidRPr="00C649E1" w:rsidRDefault="00F516D3" w:rsidP="003676F1">
      <w:pPr>
        <w:pStyle w:val="Heading1"/>
        <w:tabs>
          <w:tab w:val="left" w:pos="360"/>
        </w:tabs>
        <w:spacing w:before="0"/>
        <w:ind w:hanging="720"/>
        <w:rPr>
          <w:color w:val="auto"/>
          <w:sz w:val="20"/>
          <w:szCs w:val="20"/>
        </w:rPr>
      </w:pPr>
      <w:bookmarkStart w:id="28" w:name="_Toc22915012"/>
      <w:bookmarkStart w:id="29" w:name="_Toc45105379"/>
      <w:bookmarkStart w:id="30" w:name="_Toc70417417"/>
      <w:r w:rsidRPr="00C649E1">
        <w:rPr>
          <w:color w:val="auto"/>
          <w:sz w:val="20"/>
          <w:szCs w:val="20"/>
        </w:rPr>
        <w:t>FINDINGS OF FACT</w:t>
      </w:r>
      <w:bookmarkEnd w:id="28"/>
      <w:bookmarkEnd w:id="29"/>
      <w:bookmarkEnd w:id="30"/>
    </w:p>
    <w:p w14:paraId="0E7E3698" w14:textId="77777777" w:rsidR="00764470" w:rsidRPr="00C649E1" w:rsidRDefault="00764470" w:rsidP="00764470">
      <w:pPr>
        <w:rPr>
          <w:rFonts w:asciiTheme="majorHAnsi" w:hAnsiTheme="majorHAnsi"/>
          <w:sz w:val="20"/>
          <w:szCs w:val="20"/>
        </w:rPr>
      </w:pPr>
    </w:p>
    <w:p w14:paraId="1B010BBC" w14:textId="77777777" w:rsidR="00A35DC6" w:rsidRPr="00C649E1" w:rsidRDefault="00A35DC6" w:rsidP="00A35DC6">
      <w:pPr>
        <w:pStyle w:val="Heading2"/>
        <w:numPr>
          <w:ilvl w:val="0"/>
          <w:numId w:val="58"/>
        </w:numPr>
        <w:spacing w:before="0"/>
        <w:ind w:left="360"/>
        <w:rPr>
          <w:color w:val="auto"/>
          <w:sz w:val="20"/>
          <w:szCs w:val="20"/>
        </w:rPr>
      </w:pPr>
      <w:bookmarkStart w:id="31" w:name="_Toc22915013"/>
      <w:bookmarkStart w:id="32" w:name="_Toc45105380"/>
      <w:bookmarkStart w:id="33" w:name="_Toc70417418"/>
      <w:r w:rsidRPr="00C649E1">
        <w:rPr>
          <w:color w:val="auto"/>
          <w:sz w:val="20"/>
          <w:szCs w:val="20"/>
        </w:rPr>
        <w:t>The federal death penalty system</w:t>
      </w:r>
      <w:bookmarkEnd w:id="31"/>
      <w:bookmarkEnd w:id="32"/>
      <w:bookmarkEnd w:id="33"/>
    </w:p>
    <w:p w14:paraId="122BECB6" w14:textId="77777777" w:rsidR="00A35DC6" w:rsidRPr="00C649E1" w:rsidRDefault="00A35DC6" w:rsidP="00A35DC6">
      <w:pPr>
        <w:jc w:val="both"/>
        <w:rPr>
          <w:rFonts w:asciiTheme="majorHAnsi" w:hAnsiTheme="majorHAnsi"/>
          <w:b/>
          <w:sz w:val="20"/>
          <w:szCs w:val="20"/>
        </w:rPr>
      </w:pPr>
    </w:p>
    <w:p w14:paraId="3A24CB8C" w14:textId="77777777" w:rsidR="00A35DC6" w:rsidRPr="00C649E1" w:rsidRDefault="00A35DC6" w:rsidP="00A35D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C649E1">
        <w:rPr>
          <w:rFonts w:ascii="Cambria" w:hAnsi="Cambria"/>
          <w:sz w:val="20"/>
          <w:szCs w:val="20"/>
        </w:rPr>
        <w:t>In 2000, the United States Department of Justice (“DoJ”) issued the report “The federal death penalty system: a statistical survey (1988-2000)”.</w:t>
      </w:r>
      <w:r w:rsidRPr="00C649E1">
        <w:rPr>
          <w:rStyle w:val="FootnoteReference"/>
          <w:rFonts w:ascii="Cambria" w:hAnsi="Cambria"/>
          <w:sz w:val="20"/>
          <w:szCs w:val="20"/>
        </w:rPr>
        <w:footnoteReference w:id="7"/>
      </w:r>
      <w:r w:rsidRPr="00C649E1">
        <w:rPr>
          <w:rFonts w:ascii="Cambria" w:hAnsi="Cambria"/>
          <w:sz w:val="20"/>
          <w:szCs w:val="20"/>
        </w:rPr>
        <w:t xml:space="preserve"> The Commission will reproduce bellow parts of the report pertaining to the structure of the federal death penalty system and some statistics on race and the federal death penalty:</w:t>
      </w:r>
    </w:p>
    <w:p w14:paraId="30A19400" w14:textId="77777777" w:rsidR="00E52A79" w:rsidRPr="00C649E1" w:rsidRDefault="00E52A79" w:rsidP="00E52A79">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jc w:val="both"/>
        <w:rPr>
          <w:rFonts w:ascii="Cambria" w:hAnsi="Cambria"/>
          <w:sz w:val="20"/>
          <w:szCs w:val="20"/>
        </w:rPr>
      </w:pPr>
    </w:p>
    <w:p w14:paraId="41B78B2F" w14:textId="77777777" w:rsidR="00A35DC6" w:rsidRPr="00C649E1" w:rsidRDefault="00A35DC6" w:rsidP="00074E3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sz w:val="20"/>
          <w:szCs w:val="20"/>
        </w:rPr>
      </w:pPr>
      <w:r w:rsidRPr="00C649E1">
        <w:rPr>
          <w:sz w:val="20"/>
          <w:szCs w:val="20"/>
        </w:rPr>
        <w:t>In 1972, the Supreme Court invalidated capital punishment throughout the United States – both in the federal criminal justice system and in all of the states that then provided for the death penalty. The federal government revised its procedures to withstand constitutional scrutiny on November 18, 1988, when the President signed the Anti-Drug Abuse Act of 1988. A part of this law made the death penalty available as a possible punishment for certain drug-related offenses. The availability of capital punishment in federal criminal cases expanded significantly further on September 13, 1994, with the passage of the Violent Crime Control and Law Enforcement Act. A part of this law, known as the Federal Death Penalty Act (FDPA), provided that over 40 federal offenses could be punished as capital crimes. The Antiterrorism and Effective Death Penalty Act of 1996 (AEDPA) added another four federal offenses to the list of capital crimes.</w:t>
      </w:r>
    </w:p>
    <w:p w14:paraId="396352FB" w14:textId="77777777" w:rsidR="00A35DC6" w:rsidRPr="00C649E1" w:rsidRDefault="00A35DC6" w:rsidP="00A35DC6">
      <w:p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rFonts w:ascii="Cambria" w:hAnsi="Cambria"/>
          <w:sz w:val="20"/>
          <w:szCs w:val="20"/>
        </w:rPr>
      </w:pPr>
    </w:p>
    <w:p w14:paraId="327336E9" w14:textId="77777777" w:rsidR="00A35DC6" w:rsidRPr="00C649E1" w:rsidRDefault="00A35DC6" w:rsidP="00074E3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sz w:val="20"/>
          <w:szCs w:val="20"/>
        </w:rPr>
      </w:pPr>
      <w:r w:rsidRPr="00C649E1">
        <w:rPr>
          <w:sz w:val="20"/>
          <w:szCs w:val="20"/>
        </w:rPr>
        <w:t xml:space="preserve">On January 27, 1995, the DoJ adopted the policy still in effect today – known as the death penalty “protocol” – under which U.S. Attorneys are required to submit for review all cases in which a defendant is charged with a capital-eligible offense, regardless whether the U.S. Attorney actually desires to seek the death penalty in that case. Current DoJ policy provides that bias based on characteristics such as an individual’s race/ethnicity must play no role in a U.S. Attorney’s decision to recommend the death penalty. From 1995 to 2000, </w:t>
      </w:r>
      <w:r w:rsidR="00DC63C7" w:rsidRPr="00C649E1">
        <w:rPr>
          <w:sz w:val="20"/>
          <w:szCs w:val="20"/>
        </w:rPr>
        <w:t>blacks made up 48% of the initial cases presented for review but ended up representing 68% of the death sentences imposed.</w:t>
      </w:r>
    </w:p>
    <w:p w14:paraId="090E4650" w14:textId="77777777" w:rsidR="00A35DC6" w:rsidRPr="00C649E1" w:rsidRDefault="00A35DC6" w:rsidP="00A35DC6">
      <w:pPr>
        <w:pStyle w:val="ListParagraph"/>
        <w:tabs>
          <w:tab w:val="left" w:pos="540"/>
        </w:tabs>
        <w:ind w:left="540"/>
        <w:rPr>
          <w:sz w:val="20"/>
          <w:szCs w:val="20"/>
        </w:rPr>
      </w:pPr>
    </w:p>
    <w:p w14:paraId="03AC3159" w14:textId="77777777" w:rsidR="00A35DC6" w:rsidRPr="00C649E1" w:rsidRDefault="00A35DC6" w:rsidP="00074E3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sz w:val="20"/>
          <w:szCs w:val="20"/>
        </w:rPr>
      </w:pPr>
      <w:r w:rsidRPr="00C649E1">
        <w:rPr>
          <w:sz w:val="20"/>
          <w:szCs w:val="20"/>
        </w:rPr>
        <w:t xml:space="preserve">If the defendant fails to obtain relief on direct appeal, he or she may also seek collateral review by filing a motion to vacate, set aside or correct the sentence pursuant to 28 U.S.C. § 2255. Such collateral review goes through three levels of the federal judiciary: the motion is made in the district court in which the defendant was convicted; the district court’s resolution of the § 2255 motion is subject to direct appeal </w:t>
      </w:r>
      <w:r w:rsidRPr="00C649E1">
        <w:rPr>
          <w:sz w:val="20"/>
          <w:szCs w:val="20"/>
        </w:rPr>
        <w:lastRenderedPageBreak/>
        <w:t xml:space="preserve">by the losing party; the judgment by the Court of Appeals concerning the § 2255 motion is subject to discretionary review by the Supreme Court. </w:t>
      </w:r>
    </w:p>
    <w:p w14:paraId="7FEDE557" w14:textId="77777777" w:rsidR="00A35DC6" w:rsidRPr="00C649E1" w:rsidRDefault="00A35DC6" w:rsidP="00A35DC6">
      <w:pPr>
        <w:pStyle w:val="ListParagraph"/>
        <w:tabs>
          <w:tab w:val="left" w:pos="540"/>
        </w:tabs>
        <w:ind w:left="540"/>
        <w:rPr>
          <w:sz w:val="20"/>
          <w:szCs w:val="20"/>
        </w:rPr>
      </w:pPr>
    </w:p>
    <w:p w14:paraId="64843BC8" w14:textId="77777777" w:rsidR="00A35DC6" w:rsidRPr="00C649E1" w:rsidRDefault="00A35DC6" w:rsidP="00074E3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tabs>
          <w:tab w:val="left" w:pos="540"/>
          <w:tab w:val="left" w:pos="1440"/>
        </w:tabs>
        <w:ind w:left="540"/>
        <w:jc w:val="both"/>
        <w:rPr>
          <w:sz w:val="20"/>
          <w:szCs w:val="20"/>
        </w:rPr>
      </w:pPr>
      <w:r w:rsidRPr="00C649E1">
        <w:rPr>
          <w:sz w:val="20"/>
          <w:szCs w:val="20"/>
        </w:rPr>
        <w:t>If the defendant’s sentence of death is upheld on both direct and collateral review, an execution date is set. Once the defendant has received notification of the scheduled execution date, he or she may petition the President for a grant of executive clemency.</w:t>
      </w:r>
    </w:p>
    <w:p w14:paraId="3FF64731" w14:textId="77777777" w:rsidR="000E5CBA" w:rsidRPr="00C649E1" w:rsidRDefault="000E5CBA" w:rsidP="00A35DC6">
      <w:pPr>
        <w:rPr>
          <w:rFonts w:ascii="Cambria" w:hAnsi="Cambria"/>
          <w:sz w:val="20"/>
          <w:szCs w:val="20"/>
        </w:rPr>
      </w:pPr>
    </w:p>
    <w:p w14:paraId="6615ECFA" w14:textId="77777777" w:rsidR="00CA7CA7" w:rsidRPr="00C649E1" w:rsidRDefault="00CA7CA7" w:rsidP="007E051C">
      <w:pPr>
        <w:pStyle w:val="Heading2"/>
        <w:numPr>
          <w:ilvl w:val="0"/>
          <w:numId w:val="58"/>
        </w:numPr>
        <w:spacing w:before="0"/>
        <w:ind w:left="360"/>
        <w:rPr>
          <w:color w:val="auto"/>
          <w:sz w:val="20"/>
          <w:szCs w:val="20"/>
        </w:rPr>
      </w:pPr>
      <w:bookmarkStart w:id="34" w:name="_Toc22915014"/>
      <w:bookmarkStart w:id="35" w:name="_Toc45105381"/>
      <w:bookmarkStart w:id="36" w:name="_Toc70417419"/>
      <w:r w:rsidRPr="00C649E1">
        <w:rPr>
          <w:color w:val="auto"/>
          <w:sz w:val="20"/>
          <w:szCs w:val="20"/>
        </w:rPr>
        <w:t>Race and the federal death penalty in Texas</w:t>
      </w:r>
      <w:bookmarkEnd w:id="34"/>
      <w:bookmarkEnd w:id="35"/>
      <w:bookmarkEnd w:id="36"/>
    </w:p>
    <w:p w14:paraId="72312C47" w14:textId="77777777" w:rsidR="00CA7CA7" w:rsidRPr="00C649E1" w:rsidRDefault="00CA7CA7" w:rsidP="00CA7CA7">
      <w:pPr>
        <w:pStyle w:val="ListParagraph"/>
        <w:rPr>
          <w:sz w:val="20"/>
          <w:szCs w:val="20"/>
        </w:rPr>
      </w:pPr>
    </w:p>
    <w:p w14:paraId="637C8A7D" w14:textId="77777777" w:rsidR="00CA7CA7" w:rsidRPr="00C649E1" w:rsidRDefault="00CA7CA7" w:rsidP="00CA7CA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C649E1">
        <w:rPr>
          <w:rFonts w:ascii="Cambria" w:hAnsi="Cambria"/>
          <w:sz w:val="20"/>
          <w:szCs w:val="20"/>
        </w:rPr>
        <w:t>According to a study of the application of the federal death penalty in Texas, while African-Americans make up 12% of the Texas population, they constitute 77% of all the federal death verdicts within the State of Texas. The study concludes that race influences each stage of the process: the federal prosecutors’ request for authorization to seek the death penalty, the Attorney General’s decision to grant authorization, and the jury’s decision to render a death verdict. According to the study, federal prosecutors in Texas were almost six times more likely to request authorization to seek the death penalty against black defendants; authorization was almost eight times more likely to be granted in cases with black defendants; and a death verdict was about sixteen times more likely to be rendered in cases with black defendants. The study indicates that the next step in the analysis would be to control for potential cofounders in a multivariate logistic regression model that would reveal whether race-neutral factors can “account for” or “explain” the disparities. However, according to the study, the Department of Justice has declined to share the data necessary to conduct such an analysis.</w:t>
      </w:r>
      <w:r w:rsidRPr="00C649E1">
        <w:rPr>
          <w:rStyle w:val="FootnoteReference"/>
          <w:rFonts w:ascii="Cambria" w:hAnsi="Cambria"/>
          <w:sz w:val="20"/>
          <w:szCs w:val="20"/>
        </w:rPr>
        <w:footnoteReference w:id="8"/>
      </w:r>
    </w:p>
    <w:p w14:paraId="3BD9D06D" w14:textId="77777777" w:rsidR="00CA7CA7" w:rsidRPr="00C649E1" w:rsidRDefault="00CA7CA7" w:rsidP="00CA7CA7">
      <w:pPr>
        <w:pStyle w:val="ListParagraph"/>
        <w:rPr>
          <w:sz w:val="20"/>
          <w:szCs w:val="20"/>
        </w:rPr>
      </w:pPr>
    </w:p>
    <w:p w14:paraId="2E1DB878" w14:textId="77777777" w:rsidR="00CA7CA7" w:rsidRPr="00C649E1" w:rsidRDefault="00AC3D64" w:rsidP="00CA7CA7">
      <w:pPr>
        <w:pStyle w:val="Heading2"/>
        <w:numPr>
          <w:ilvl w:val="0"/>
          <w:numId w:val="58"/>
        </w:numPr>
        <w:tabs>
          <w:tab w:val="left" w:pos="360"/>
        </w:tabs>
        <w:spacing w:before="0"/>
        <w:ind w:hanging="720"/>
        <w:rPr>
          <w:color w:val="auto"/>
          <w:sz w:val="20"/>
          <w:szCs w:val="20"/>
        </w:rPr>
      </w:pPr>
      <w:bookmarkStart w:id="37" w:name="_Toc22915015"/>
      <w:bookmarkStart w:id="38" w:name="_Toc45105382"/>
      <w:bookmarkStart w:id="39" w:name="_Toc70417420"/>
      <w:r w:rsidRPr="00C649E1">
        <w:rPr>
          <w:color w:val="auto"/>
          <w:sz w:val="20"/>
          <w:szCs w:val="20"/>
        </w:rPr>
        <w:t>Jury s</w:t>
      </w:r>
      <w:r w:rsidR="00CA7CA7" w:rsidRPr="00C649E1">
        <w:rPr>
          <w:color w:val="auto"/>
          <w:sz w:val="20"/>
          <w:szCs w:val="20"/>
        </w:rPr>
        <w:t xml:space="preserve">election </w:t>
      </w:r>
      <w:r w:rsidRPr="00C649E1">
        <w:rPr>
          <w:color w:val="auto"/>
          <w:sz w:val="20"/>
          <w:szCs w:val="20"/>
        </w:rPr>
        <w:t>process</w:t>
      </w:r>
      <w:bookmarkEnd w:id="37"/>
      <w:bookmarkEnd w:id="38"/>
      <w:bookmarkEnd w:id="39"/>
    </w:p>
    <w:p w14:paraId="453AA963" w14:textId="77777777" w:rsidR="00CA7CA7" w:rsidRPr="00C649E1" w:rsidRDefault="00CA7CA7" w:rsidP="00CA7CA7"/>
    <w:p w14:paraId="768113FA" w14:textId="77777777" w:rsidR="00102F8A" w:rsidRPr="00C649E1" w:rsidRDefault="00102F8A" w:rsidP="00102F8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ind w:left="0" w:firstLine="0"/>
        <w:jc w:val="both"/>
        <w:rPr>
          <w:rFonts w:ascii="Cambria" w:hAnsi="Cambria"/>
          <w:sz w:val="20"/>
          <w:szCs w:val="20"/>
        </w:rPr>
      </w:pPr>
      <w:r w:rsidRPr="00C649E1">
        <w:rPr>
          <w:rFonts w:ascii="Cambria" w:hAnsi="Cambria"/>
          <w:sz w:val="20"/>
          <w:szCs w:val="20"/>
        </w:rPr>
        <w:t xml:space="preserve">Under United States law, the twelve-person </w:t>
      </w:r>
      <w:r w:rsidR="00D360ED" w:rsidRPr="00C649E1">
        <w:rPr>
          <w:rFonts w:ascii="Cambria" w:hAnsi="Cambria"/>
          <w:sz w:val="20"/>
          <w:szCs w:val="20"/>
        </w:rPr>
        <w:t xml:space="preserve">petit </w:t>
      </w:r>
      <w:r w:rsidRPr="00C649E1">
        <w:rPr>
          <w:rFonts w:ascii="Cambria" w:hAnsi="Cambria"/>
          <w:sz w:val="20"/>
          <w:szCs w:val="20"/>
        </w:rPr>
        <w:t xml:space="preserve">jury that hears the trial is selected from a venire panel of citizens. </w:t>
      </w:r>
      <w:r w:rsidR="00D360ED" w:rsidRPr="00C649E1">
        <w:rPr>
          <w:rFonts w:ascii="Cambria" w:hAnsi="Cambria"/>
          <w:sz w:val="20"/>
          <w:szCs w:val="20"/>
        </w:rPr>
        <w:t xml:space="preserve">During </w:t>
      </w:r>
      <w:r w:rsidR="00D360ED" w:rsidRPr="00C649E1">
        <w:rPr>
          <w:rFonts w:ascii="Cambria" w:hAnsi="Cambria"/>
          <w:i/>
          <w:sz w:val="20"/>
          <w:szCs w:val="20"/>
        </w:rPr>
        <w:t>voire dire</w:t>
      </w:r>
      <w:r w:rsidR="00D360ED" w:rsidRPr="00C649E1">
        <w:rPr>
          <w:rFonts w:ascii="Cambria" w:hAnsi="Cambria"/>
          <w:sz w:val="20"/>
          <w:szCs w:val="20"/>
        </w:rPr>
        <w:t>, lawyers for each side exercise for-cause and peremptory strikes of potential jurors as they move from the venire panel to the petit jury. A “</w:t>
      </w:r>
      <w:r w:rsidR="007A41E8" w:rsidRPr="00C649E1">
        <w:rPr>
          <w:rFonts w:ascii="Cambria" w:hAnsi="Cambria"/>
          <w:sz w:val="20"/>
          <w:szCs w:val="20"/>
        </w:rPr>
        <w:t>for</w:t>
      </w:r>
      <w:r w:rsidR="00D360ED" w:rsidRPr="00C649E1">
        <w:rPr>
          <w:rFonts w:ascii="Cambria" w:hAnsi="Cambria"/>
          <w:sz w:val="20"/>
          <w:szCs w:val="20"/>
        </w:rPr>
        <w:t xml:space="preserve">–cause challenge” is a party’s challenge supported by a specified reason, such as bias or </w:t>
      </w:r>
      <w:r w:rsidR="007A41E8" w:rsidRPr="00C649E1">
        <w:rPr>
          <w:rFonts w:ascii="Cambria" w:hAnsi="Cambria"/>
          <w:sz w:val="20"/>
          <w:szCs w:val="20"/>
        </w:rPr>
        <w:t>prejudice that</w:t>
      </w:r>
      <w:r w:rsidR="00D360ED" w:rsidRPr="00C649E1">
        <w:rPr>
          <w:rFonts w:ascii="Cambria" w:hAnsi="Cambria"/>
          <w:sz w:val="20"/>
          <w:szCs w:val="20"/>
        </w:rPr>
        <w:t xml:space="preserve"> would disqualify that potential juror. A “peremptory challenge” is one of a party’s limited number of challenges that do no need to be supported by a reason unless the opposing party makes a </w:t>
      </w:r>
      <w:r w:rsidR="00D360ED" w:rsidRPr="00C649E1">
        <w:rPr>
          <w:rFonts w:ascii="Cambria" w:hAnsi="Cambria"/>
          <w:i/>
          <w:sz w:val="20"/>
          <w:szCs w:val="20"/>
        </w:rPr>
        <w:t>prima facie</w:t>
      </w:r>
      <w:r w:rsidR="00D360ED" w:rsidRPr="00C649E1">
        <w:rPr>
          <w:rFonts w:ascii="Cambria" w:hAnsi="Cambria"/>
          <w:sz w:val="20"/>
          <w:szCs w:val="20"/>
        </w:rPr>
        <w:t xml:space="preserve"> showing that the challenge used was to discriminate on the basis of race, ethnicity or sex</w:t>
      </w:r>
      <w:r w:rsidR="00347B94" w:rsidRPr="00C649E1">
        <w:rPr>
          <w:rFonts w:ascii="Cambria" w:hAnsi="Cambria"/>
          <w:sz w:val="20"/>
          <w:szCs w:val="20"/>
        </w:rPr>
        <w:t xml:space="preserve"> (</w:t>
      </w:r>
      <w:r w:rsidR="00347B94" w:rsidRPr="00C649E1">
        <w:rPr>
          <w:rFonts w:ascii="Cambria" w:hAnsi="Cambria"/>
          <w:i/>
          <w:sz w:val="20"/>
          <w:szCs w:val="20"/>
        </w:rPr>
        <w:t>Batson</w:t>
      </w:r>
      <w:r w:rsidR="00347B94" w:rsidRPr="00C649E1">
        <w:rPr>
          <w:rFonts w:ascii="Cambria" w:hAnsi="Cambria"/>
          <w:sz w:val="20"/>
          <w:szCs w:val="20"/>
        </w:rPr>
        <w:t xml:space="preserve"> challenge)</w:t>
      </w:r>
      <w:r w:rsidR="00D360ED" w:rsidRPr="00C649E1">
        <w:rPr>
          <w:rFonts w:ascii="Cambria" w:hAnsi="Cambria"/>
          <w:sz w:val="20"/>
          <w:szCs w:val="20"/>
        </w:rPr>
        <w:t>.</w:t>
      </w:r>
      <w:r w:rsidR="009612BC" w:rsidRPr="00C649E1">
        <w:rPr>
          <w:rStyle w:val="FootnoteReference"/>
          <w:rFonts w:ascii="Cambria" w:hAnsi="Cambria"/>
          <w:sz w:val="20"/>
          <w:szCs w:val="20"/>
        </w:rPr>
        <w:footnoteReference w:id="9"/>
      </w:r>
    </w:p>
    <w:p w14:paraId="50E855EE" w14:textId="77777777" w:rsidR="00102F8A" w:rsidRPr="00C649E1" w:rsidRDefault="00102F8A" w:rsidP="00CA7CA7"/>
    <w:p w14:paraId="7C356BE4" w14:textId="77777777" w:rsidR="00CE5D5C" w:rsidRPr="00C649E1" w:rsidRDefault="00CE5D5C" w:rsidP="00CE5D5C">
      <w:pPr>
        <w:pStyle w:val="Heading2"/>
        <w:numPr>
          <w:ilvl w:val="0"/>
          <w:numId w:val="58"/>
        </w:numPr>
        <w:tabs>
          <w:tab w:val="left" w:pos="360"/>
        </w:tabs>
        <w:spacing w:before="0"/>
        <w:ind w:hanging="720"/>
        <w:rPr>
          <w:color w:val="auto"/>
          <w:sz w:val="20"/>
          <w:szCs w:val="20"/>
        </w:rPr>
      </w:pPr>
      <w:bookmarkStart w:id="40" w:name="_Toc22915016"/>
      <w:bookmarkStart w:id="41" w:name="_Toc45105383"/>
      <w:bookmarkStart w:id="42" w:name="_Toc70417421"/>
      <w:r w:rsidRPr="00C649E1">
        <w:rPr>
          <w:color w:val="auto"/>
          <w:sz w:val="20"/>
          <w:szCs w:val="20"/>
        </w:rPr>
        <w:t>Fact</w:t>
      </w:r>
      <w:r w:rsidR="00A35DC6" w:rsidRPr="00C649E1">
        <w:rPr>
          <w:color w:val="auto"/>
          <w:sz w:val="20"/>
          <w:szCs w:val="20"/>
        </w:rPr>
        <w:t>ual background, trial and death sentence</w:t>
      </w:r>
      <w:bookmarkEnd w:id="40"/>
      <w:bookmarkEnd w:id="41"/>
      <w:bookmarkEnd w:id="42"/>
    </w:p>
    <w:p w14:paraId="28790144" w14:textId="77777777" w:rsidR="00B11E55" w:rsidRPr="00C649E1" w:rsidRDefault="00B11E55" w:rsidP="00B11E55">
      <w:pPr>
        <w:pStyle w:val="Heading2"/>
        <w:tabs>
          <w:tab w:val="left" w:pos="360"/>
        </w:tabs>
        <w:spacing w:before="0"/>
        <w:ind w:left="720"/>
        <w:rPr>
          <w:color w:val="auto"/>
          <w:sz w:val="20"/>
          <w:szCs w:val="20"/>
        </w:rPr>
      </w:pPr>
    </w:p>
    <w:p w14:paraId="453255DC" w14:textId="77777777" w:rsidR="00021557" w:rsidRPr="00C649E1" w:rsidRDefault="00CE5D5C"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ind w:left="0" w:firstLine="0"/>
        <w:jc w:val="both"/>
        <w:rPr>
          <w:rFonts w:asciiTheme="majorHAnsi" w:hAnsiTheme="majorHAnsi"/>
          <w:sz w:val="20"/>
          <w:szCs w:val="20"/>
        </w:rPr>
      </w:pPr>
      <w:r w:rsidRPr="00C649E1">
        <w:rPr>
          <w:rFonts w:ascii="Cambria" w:hAnsi="Cambria"/>
          <w:sz w:val="20"/>
          <w:szCs w:val="20"/>
        </w:rPr>
        <w:t>According to the information available,</w:t>
      </w:r>
      <w:r w:rsidR="0054420E" w:rsidRPr="00C649E1">
        <w:rPr>
          <w:rFonts w:ascii="Cambria" w:hAnsi="Cambria"/>
          <w:sz w:val="20"/>
          <w:szCs w:val="20"/>
        </w:rPr>
        <w:t xml:space="preserve"> in December 1998 </w:t>
      </w:r>
      <w:r w:rsidR="0054420E" w:rsidRPr="00C649E1">
        <w:rPr>
          <w:rFonts w:asciiTheme="majorHAnsi" w:hAnsiTheme="majorHAnsi"/>
          <w:sz w:val="20"/>
          <w:szCs w:val="20"/>
        </w:rPr>
        <w:t>Julius Omar Robinson, a drug dealer, killed a man he mistakenly believed responsible for an armed hijacking that cost him $30,000. In May 1999, angered by a fraudulent drug transaction, he retaliated by killing the brother-in-law of the fraudulent seller. Mr. Robinson was later involved in a conspiracy that led to another murder.</w:t>
      </w:r>
      <w:r w:rsidR="0056759E" w:rsidRPr="00C649E1">
        <w:rPr>
          <w:rStyle w:val="FootnoteReference"/>
          <w:rFonts w:asciiTheme="majorHAnsi" w:hAnsiTheme="majorHAnsi"/>
          <w:sz w:val="20"/>
          <w:szCs w:val="20"/>
        </w:rPr>
        <w:footnoteReference w:id="10"/>
      </w:r>
    </w:p>
    <w:p w14:paraId="3714AFB1" w14:textId="77777777" w:rsidR="00A35DC6" w:rsidRPr="00C649E1" w:rsidRDefault="00A35DC6" w:rsidP="00A35DC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 w:val="left" w:pos="1440"/>
        </w:tabs>
        <w:suppressAutoHyphens/>
        <w:autoSpaceDE w:val="0"/>
        <w:autoSpaceDN w:val="0"/>
        <w:adjustRightInd w:val="0"/>
        <w:jc w:val="both"/>
        <w:rPr>
          <w:rFonts w:asciiTheme="majorHAnsi" w:hAnsiTheme="majorHAnsi"/>
          <w:sz w:val="20"/>
          <w:szCs w:val="20"/>
        </w:rPr>
      </w:pPr>
    </w:p>
    <w:p w14:paraId="2FA4D9D1" w14:textId="77777777" w:rsidR="00A35DC6" w:rsidRPr="00C649E1" w:rsidRDefault="00DD5AF1" w:rsidP="00A35DC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Cambria" w:hAnsi="Cambria"/>
          <w:sz w:val="20"/>
          <w:szCs w:val="20"/>
        </w:rPr>
        <w:t>Federal prosecutors indicted Mr. Robinson for federal crimes involving conduct causing death and his case went to jury trial in the U</w:t>
      </w:r>
      <w:r w:rsidR="00C371DE" w:rsidRPr="00C649E1">
        <w:rPr>
          <w:rFonts w:ascii="Cambria" w:hAnsi="Cambria"/>
          <w:sz w:val="20"/>
          <w:szCs w:val="20"/>
        </w:rPr>
        <w:t xml:space="preserve">nited </w:t>
      </w:r>
      <w:r w:rsidRPr="00C649E1">
        <w:rPr>
          <w:rFonts w:ascii="Cambria" w:hAnsi="Cambria"/>
          <w:sz w:val="20"/>
          <w:szCs w:val="20"/>
        </w:rPr>
        <w:t>S</w:t>
      </w:r>
      <w:r w:rsidR="00C371DE" w:rsidRPr="00C649E1">
        <w:rPr>
          <w:rFonts w:ascii="Cambria" w:hAnsi="Cambria"/>
          <w:sz w:val="20"/>
          <w:szCs w:val="20"/>
        </w:rPr>
        <w:t>tates</w:t>
      </w:r>
      <w:r w:rsidRPr="00C649E1">
        <w:rPr>
          <w:rFonts w:ascii="Cambria" w:hAnsi="Cambria"/>
          <w:sz w:val="20"/>
          <w:szCs w:val="20"/>
        </w:rPr>
        <w:t xml:space="preserve"> District Court for the Northern District of Texas (“district court”). </w:t>
      </w:r>
      <w:r w:rsidR="00DE22C1" w:rsidRPr="00C649E1">
        <w:rPr>
          <w:rFonts w:ascii="Cambria" w:hAnsi="Cambria"/>
          <w:sz w:val="20"/>
          <w:szCs w:val="20"/>
        </w:rPr>
        <w:t>P</w:t>
      </w:r>
      <w:r w:rsidR="00A35DC6" w:rsidRPr="00C649E1">
        <w:rPr>
          <w:rFonts w:ascii="Cambria" w:hAnsi="Cambria"/>
          <w:sz w:val="20"/>
          <w:szCs w:val="20"/>
        </w:rPr>
        <w:t>rior to trial, the defense filed a motion to dismiss the Government’s notice of intent to seek the death penalty on the ground of racial bias and disparity in application of the federal death penalty and related discrimination. The defense alleged that the prosecution engaged in a systematic pattern of racial discrimination in requesting the death penalty</w:t>
      </w:r>
      <w:r w:rsidR="00AD3EC8" w:rsidRPr="00C649E1">
        <w:rPr>
          <w:rFonts w:ascii="Cambria" w:hAnsi="Cambria"/>
          <w:sz w:val="20"/>
          <w:szCs w:val="20"/>
        </w:rPr>
        <w:t>. In order to demonstrate the systematic pattern of discrimination, the defense</w:t>
      </w:r>
      <w:r w:rsidR="00A35DC6" w:rsidRPr="00C649E1">
        <w:rPr>
          <w:rFonts w:ascii="Cambria" w:hAnsi="Cambria"/>
          <w:sz w:val="20"/>
          <w:szCs w:val="20"/>
        </w:rPr>
        <w:t xml:space="preserve"> </w:t>
      </w:r>
      <w:r w:rsidR="00AD3EC8" w:rsidRPr="00C649E1">
        <w:rPr>
          <w:rFonts w:ascii="Cambria" w:hAnsi="Cambria"/>
          <w:sz w:val="20"/>
          <w:szCs w:val="20"/>
        </w:rPr>
        <w:t>ask</w:t>
      </w:r>
      <w:r w:rsidR="00F453A7" w:rsidRPr="00C649E1">
        <w:rPr>
          <w:rFonts w:ascii="Cambria" w:hAnsi="Cambria"/>
          <w:sz w:val="20"/>
          <w:szCs w:val="20"/>
        </w:rPr>
        <w:t>ed the c</w:t>
      </w:r>
      <w:r w:rsidR="00AD3EC8" w:rsidRPr="00C649E1">
        <w:rPr>
          <w:rFonts w:ascii="Cambria" w:hAnsi="Cambria"/>
          <w:sz w:val="20"/>
          <w:szCs w:val="20"/>
        </w:rPr>
        <w:t>ourt for</w:t>
      </w:r>
      <w:r w:rsidR="00A35DC6" w:rsidRPr="00C649E1">
        <w:rPr>
          <w:rFonts w:ascii="Cambria" w:hAnsi="Cambria"/>
          <w:sz w:val="20"/>
          <w:szCs w:val="20"/>
        </w:rPr>
        <w:t xml:space="preserve"> an evidentiary hearing</w:t>
      </w:r>
      <w:r w:rsidR="00AD3EC8" w:rsidRPr="00C649E1">
        <w:rPr>
          <w:rFonts w:ascii="Cambria" w:hAnsi="Cambria"/>
          <w:sz w:val="20"/>
          <w:szCs w:val="20"/>
        </w:rPr>
        <w:t xml:space="preserve"> and</w:t>
      </w:r>
      <w:r w:rsidR="00A35DC6" w:rsidRPr="00C649E1">
        <w:rPr>
          <w:rFonts w:ascii="Cambria" w:hAnsi="Cambria"/>
          <w:sz w:val="20"/>
          <w:szCs w:val="20"/>
        </w:rPr>
        <w:t xml:space="preserve"> </w:t>
      </w:r>
      <w:r w:rsidR="00AD3EC8" w:rsidRPr="00C649E1">
        <w:rPr>
          <w:rFonts w:ascii="Cambria" w:hAnsi="Cambria"/>
          <w:sz w:val="20"/>
          <w:szCs w:val="20"/>
        </w:rPr>
        <w:t>to order the prosecution to produce certain information</w:t>
      </w:r>
      <w:r w:rsidR="00A35DC6" w:rsidRPr="00C649E1">
        <w:rPr>
          <w:rFonts w:ascii="Cambria" w:hAnsi="Cambria"/>
          <w:sz w:val="20"/>
          <w:szCs w:val="20"/>
        </w:rPr>
        <w:t>.</w:t>
      </w:r>
      <w:r w:rsidR="00A35DC6" w:rsidRPr="00C649E1">
        <w:rPr>
          <w:rStyle w:val="FootnoteReference"/>
          <w:rFonts w:ascii="Cambria" w:hAnsi="Cambria"/>
          <w:sz w:val="20"/>
          <w:szCs w:val="20"/>
        </w:rPr>
        <w:footnoteReference w:id="11"/>
      </w:r>
      <w:r w:rsidR="00A35DC6" w:rsidRPr="00C649E1">
        <w:rPr>
          <w:rFonts w:ascii="Cambria" w:hAnsi="Cambria"/>
          <w:sz w:val="20"/>
          <w:szCs w:val="20"/>
        </w:rPr>
        <w:t xml:space="preserve"> The motion justified the necessity of such information as follows:</w:t>
      </w:r>
      <w:r w:rsidR="00A35DC6" w:rsidRPr="00C649E1">
        <w:rPr>
          <w:rStyle w:val="FootnoteReference"/>
          <w:rFonts w:ascii="Cambria" w:hAnsi="Cambria"/>
          <w:sz w:val="20"/>
          <w:szCs w:val="20"/>
        </w:rPr>
        <w:footnoteReference w:id="12"/>
      </w:r>
    </w:p>
    <w:p w14:paraId="6244E976" w14:textId="77777777" w:rsidR="00DE22C1" w:rsidRPr="00C649E1" w:rsidRDefault="00DE22C1" w:rsidP="00DE22C1">
      <w:pPr>
        <w:pStyle w:val="ListParagraph"/>
        <w:rPr>
          <w:rFonts w:asciiTheme="majorHAnsi" w:hAnsiTheme="majorHAnsi"/>
          <w:sz w:val="20"/>
          <w:szCs w:val="20"/>
        </w:rPr>
      </w:pPr>
    </w:p>
    <w:p w14:paraId="08BD3919" w14:textId="77777777" w:rsidR="00A35DC6" w:rsidRPr="00C649E1" w:rsidRDefault="00A35DC6" w:rsidP="00F506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Cambria" w:hAnsi="Cambria"/>
          <w:sz w:val="18"/>
          <w:szCs w:val="18"/>
        </w:rPr>
      </w:pPr>
      <w:r w:rsidRPr="00C649E1">
        <w:rPr>
          <w:rFonts w:ascii="Cambria" w:hAnsi="Cambria"/>
          <w:sz w:val="18"/>
          <w:szCs w:val="18"/>
        </w:rPr>
        <w:lastRenderedPageBreak/>
        <w:t xml:space="preserve">[…] The necessity of such information derives from the fact, that since the re-enactment of the federal death penalty initially in </w:t>
      </w:r>
      <w:r w:rsidR="008859F9" w:rsidRPr="00C649E1">
        <w:rPr>
          <w:rFonts w:ascii="Cambria" w:hAnsi="Cambria"/>
          <w:sz w:val="18"/>
          <w:szCs w:val="18"/>
        </w:rPr>
        <w:t xml:space="preserve">[sic] </w:t>
      </w:r>
      <w:r w:rsidRPr="00C649E1">
        <w:rPr>
          <w:rFonts w:ascii="Cambria" w:hAnsi="Cambria"/>
          <w:sz w:val="18"/>
          <w:szCs w:val="18"/>
        </w:rPr>
        <w:t xml:space="preserve">1998 for certain drug offenses, and in 1994 generally, the overwhelming majority of individuals for whom death penalty approval has been sought and issued from the Department of Justice, have been African-American. </w:t>
      </w:r>
      <w:r w:rsidR="00C577B7" w:rsidRPr="00C649E1">
        <w:rPr>
          <w:rFonts w:ascii="Cambria" w:hAnsi="Cambria"/>
          <w:sz w:val="18"/>
          <w:szCs w:val="18"/>
        </w:rPr>
        <w:t xml:space="preserve">At an evidentiary hearing, Defendant would demonstrate that the percentage of African-Americans among those individuals where death penalty approval has been granted is approximately 70% of all approvals. Such figure is far in excess of the proportion of African-Americans within the population as a whole, or among defendants charged with federal offenses generally. </w:t>
      </w:r>
    </w:p>
    <w:p w14:paraId="5E4436C4" w14:textId="77777777" w:rsidR="00C577B7" w:rsidRPr="00C649E1" w:rsidRDefault="00C577B7" w:rsidP="00F506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Cambria" w:hAnsi="Cambria"/>
          <w:sz w:val="18"/>
          <w:szCs w:val="18"/>
        </w:rPr>
      </w:pPr>
    </w:p>
    <w:p w14:paraId="79F5F05D" w14:textId="77777777" w:rsidR="00C577B7" w:rsidRPr="00C649E1" w:rsidRDefault="00C577B7" w:rsidP="00F506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Cambria" w:hAnsi="Cambria"/>
          <w:sz w:val="18"/>
          <w:szCs w:val="18"/>
        </w:rPr>
      </w:pPr>
      <w:r w:rsidRPr="00C649E1">
        <w:rPr>
          <w:rFonts w:ascii="Cambria" w:hAnsi="Cambria"/>
          <w:sz w:val="18"/>
          <w:szCs w:val="18"/>
        </w:rPr>
        <w:t xml:space="preserve">Defendant is aware that a racially disproportionate pattern of capital charging – standing alone – is insufficient to demonstrate purposeful discrimination on a racial basis, such as to be violative of “equal protection,” “due process,” and “cruel and unusual punishment” constitutional safeguards. […] For such reason, Defendant will seek to demonstrate through the requested materials and evidentiary hearing, that despite knowledge of the racial imbalance in its capital charging decisions, </w:t>
      </w:r>
      <w:r w:rsidR="00532507" w:rsidRPr="00C649E1">
        <w:rPr>
          <w:rFonts w:ascii="Cambria" w:hAnsi="Cambria"/>
          <w:sz w:val="18"/>
          <w:szCs w:val="18"/>
        </w:rPr>
        <w:t xml:space="preserve">the Department of Justice has persisted in a system </w:t>
      </w:r>
      <w:r w:rsidR="00FC70C6" w:rsidRPr="00C649E1">
        <w:rPr>
          <w:rFonts w:ascii="Cambria" w:hAnsi="Cambria"/>
          <w:sz w:val="18"/>
          <w:szCs w:val="18"/>
        </w:rPr>
        <w:t xml:space="preserve">of policies in capital charging decisions, </w:t>
      </w:r>
      <w:r w:rsidRPr="00C649E1">
        <w:rPr>
          <w:rFonts w:ascii="Cambria" w:hAnsi="Cambria"/>
          <w:sz w:val="18"/>
          <w:szCs w:val="18"/>
        </w:rPr>
        <w:t>which perpetuate this imbalance, thereby establishing purposeful discrimination. The Defendant respectfully asserts that the failure of the Government to take “affirmative action” to overcome this racial imbalance, despite knowledge or its existence in DOJ charging decisions, is tantamount to purposeful discrimination.</w:t>
      </w:r>
    </w:p>
    <w:p w14:paraId="6B1326F4" w14:textId="77777777" w:rsidR="00DE22C1" w:rsidRPr="00C649E1" w:rsidRDefault="00DE22C1" w:rsidP="00F506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20"/>
          <w:szCs w:val="20"/>
        </w:rPr>
      </w:pPr>
    </w:p>
    <w:p w14:paraId="58CA528E" w14:textId="77777777" w:rsidR="00DE22C1" w:rsidRPr="00C649E1" w:rsidRDefault="00DE22C1" w:rsidP="00DE2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The district court summarily denied the motion on </w:t>
      </w:r>
      <w:r w:rsidRPr="00C649E1">
        <w:rPr>
          <w:rFonts w:ascii="Cambria" w:hAnsi="Cambria"/>
          <w:sz w:val="20"/>
          <w:szCs w:val="20"/>
        </w:rPr>
        <w:t>December 21, 2001.</w:t>
      </w:r>
      <w:r w:rsidR="006B7813" w:rsidRPr="00C649E1">
        <w:rPr>
          <w:rStyle w:val="FootnoteReference"/>
          <w:rFonts w:ascii="Cambria" w:hAnsi="Cambria"/>
          <w:sz w:val="20"/>
          <w:szCs w:val="20"/>
        </w:rPr>
        <w:footnoteReference w:id="13"/>
      </w:r>
    </w:p>
    <w:p w14:paraId="64CDEB6C" w14:textId="77777777" w:rsidR="006B7813" w:rsidRPr="00C649E1" w:rsidRDefault="006B7813" w:rsidP="006B78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4ACD8645" w14:textId="77777777" w:rsidR="006B7813" w:rsidRPr="00C649E1" w:rsidRDefault="00D81ED2" w:rsidP="00DE2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Cambria" w:hAnsi="Cambria"/>
          <w:sz w:val="20"/>
          <w:szCs w:val="20"/>
        </w:rPr>
        <w:t xml:space="preserve">According to the information provided by the petitioners, not </w:t>
      </w:r>
      <w:r w:rsidR="004D0B53" w:rsidRPr="00C649E1">
        <w:rPr>
          <w:rFonts w:ascii="Cambria" w:hAnsi="Cambria"/>
          <w:sz w:val="20"/>
          <w:szCs w:val="20"/>
        </w:rPr>
        <w:t>contested</w:t>
      </w:r>
      <w:r w:rsidRPr="00C649E1">
        <w:rPr>
          <w:rFonts w:ascii="Cambria" w:hAnsi="Cambria"/>
          <w:sz w:val="20"/>
          <w:szCs w:val="20"/>
        </w:rPr>
        <w:t xml:space="preserve"> by the State, t</w:t>
      </w:r>
      <w:r w:rsidR="006B7813" w:rsidRPr="00C649E1">
        <w:rPr>
          <w:rFonts w:ascii="Cambria" w:hAnsi="Cambria"/>
          <w:sz w:val="20"/>
          <w:szCs w:val="20"/>
        </w:rPr>
        <w:t xml:space="preserve">he venire panel in Mr. Robinson’s trial was made up of 125 persons, of which ten were African-Americans. Of the eight that were questioned on </w:t>
      </w:r>
      <w:r w:rsidR="006B7813" w:rsidRPr="00C649E1">
        <w:rPr>
          <w:rFonts w:ascii="Cambria" w:hAnsi="Cambria"/>
          <w:i/>
          <w:sz w:val="20"/>
          <w:szCs w:val="20"/>
        </w:rPr>
        <w:t>voire dire</w:t>
      </w:r>
      <w:r w:rsidR="006B7813" w:rsidRPr="00C649E1">
        <w:rPr>
          <w:rFonts w:ascii="Cambria" w:hAnsi="Cambria"/>
          <w:sz w:val="20"/>
          <w:szCs w:val="20"/>
        </w:rPr>
        <w:t xml:space="preserve">, only one black person was selected to serve. The prosecutors eliminated seven out of eight black potential jurors. </w:t>
      </w:r>
      <w:r w:rsidR="00E62CED" w:rsidRPr="00C649E1">
        <w:rPr>
          <w:rFonts w:ascii="Cambria" w:hAnsi="Cambria"/>
          <w:sz w:val="20"/>
          <w:szCs w:val="20"/>
        </w:rPr>
        <w:t xml:space="preserve">Three of them were eliminated using peremptory strikes. </w:t>
      </w:r>
      <w:r w:rsidR="00583F72" w:rsidRPr="00C649E1">
        <w:rPr>
          <w:rFonts w:ascii="Cambria" w:hAnsi="Cambria"/>
          <w:sz w:val="20"/>
          <w:szCs w:val="20"/>
        </w:rPr>
        <w:t>The challenge</w:t>
      </w:r>
      <w:r w:rsidR="000F1DA9" w:rsidRPr="00C649E1">
        <w:rPr>
          <w:rFonts w:ascii="Cambria" w:hAnsi="Cambria"/>
          <w:sz w:val="20"/>
          <w:szCs w:val="20"/>
        </w:rPr>
        <w:t>s</w:t>
      </w:r>
      <w:r w:rsidR="00583F72" w:rsidRPr="00C649E1">
        <w:rPr>
          <w:rFonts w:ascii="Cambria" w:hAnsi="Cambria"/>
          <w:sz w:val="20"/>
          <w:szCs w:val="20"/>
        </w:rPr>
        <w:t xml:space="preserve"> of two of these peremptory strikes presented by the defense were overruled by the district court. </w:t>
      </w:r>
      <w:r w:rsidR="006B7813" w:rsidRPr="00C649E1">
        <w:rPr>
          <w:rFonts w:ascii="Cambria" w:hAnsi="Cambria"/>
          <w:sz w:val="20"/>
          <w:szCs w:val="20"/>
        </w:rPr>
        <w:t>This resulted in a sitting jury of eleven white people and one black juror who stated that she strongly supported the death penalty for any first-degree murder.</w:t>
      </w:r>
      <w:r w:rsidRPr="00C649E1">
        <w:rPr>
          <w:rStyle w:val="FootnoteReference"/>
          <w:rFonts w:ascii="Cambria" w:hAnsi="Cambria"/>
          <w:sz w:val="20"/>
          <w:szCs w:val="20"/>
        </w:rPr>
        <w:footnoteReference w:id="14"/>
      </w:r>
      <w:r w:rsidR="006B7813" w:rsidRPr="00C649E1">
        <w:rPr>
          <w:rFonts w:ascii="Cambria" w:hAnsi="Cambria"/>
          <w:sz w:val="20"/>
          <w:szCs w:val="20"/>
        </w:rPr>
        <w:t xml:space="preserve"> </w:t>
      </w:r>
    </w:p>
    <w:p w14:paraId="49A4DE75" w14:textId="77777777" w:rsidR="006E2357" w:rsidRPr="00C649E1" w:rsidRDefault="006E2357" w:rsidP="006E2357">
      <w:pPr>
        <w:pStyle w:val="ListParagraph"/>
        <w:rPr>
          <w:rFonts w:asciiTheme="majorHAnsi" w:hAnsiTheme="majorHAnsi"/>
          <w:sz w:val="20"/>
          <w:szCs w:val="20"/>
        </w:rPr>
      </w:pPr>
    </w:p>
    <w:p w14:paraId="54F6FCBA" w14:textId="77777777" w:rsidR="000E49DF" w:rsidRPr="00C649E1" w:rsidRDefault="00DD5AF1" w:rsidP="00DE2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The jury found Mr. Robinson guilty of</w:t>
      </w:r>
      <w:r w:rsidR="00B9115C" w:rsidRPr="00C649E1">
        <w:rPr>
          <w:rFonts w:asciiTheme="majorHAnsi" w:hAnsiTheme="majorHAnsi"/>
          <w:sz w:val="20"/>
          <w:szCs w:val="20"/>
        </w:rPr>
        <w:t xml:space="preserve"> two murders and of complicity in </w:t>
      </w:r>
      <w:r w:rsidR="005061B9" w:rsidRPr="00C649E1">
        <w:rPr>
          <w:rFonts w:asciiTheme="majorHAnsi" w:hAnsiTheme="majorHAnsi"/>
          <w:sz w:val="20"/>
          <w:szCs w:val="20"/>
        </w:rPr>
        <w:t xml:space="preserve">an </w:t>
      </w:r>
      <w:r w:rsidR="00B9115C" w:rsidRPr="00C649E1">
        <w:rPr>
          <w:rFonts w:asciiTheme="majorHAnsi" w:hAnsiTheme="majorHAnsi"/>
          <w:sz w:val="20"/>
          <w:szCs w:val="20"/>
        </w:rPr>
        <w:t xml:space="preserve">ongoing criminal enterprise </w:t>
      </w:r>
      <w:r w:rsidR="005061B9" w:rsidRPr="00C649E1">
        <w:rPr>
          <w:rFonts w:asciiTheme="majorHAnsi" w:hAnsiTheme="majorHAnsi"/>
          <w:sz w:val="20"/>
          <w:szCs w:val="20"/>
        </w:rPr>
        <w:t>resulting</w:t>
      </w:r>
      <w:r w:rsidR="00B9115C" w:rsidRPr="00C649E1">
        <w:rPr>
          <w:rFonts w:asciiTheme="majorHAnsi" w:hAnsiTheme="majorHAnsi"/>
          <w:sz w:val="20"/>
          <w:szCs w:val="20"/>
        </w:rPr>
        <w:t xml:space="preserve"> in </w:t>
      </w:r>
      <w:r w:rsidR="005061B9" w:rsidRPr="00C649E1">
        <w:rPr>
          <w:rFonts w:asciiTheme="majorHAnsi" w:hAnsiTheme="majorHAnsi"/>
          <w:sz w:val="20"/>
          <w:szCs w:val="20"/>
        </w:rPr>
        <w:t xml:space="preserve">the murder </w:t>
      </w:r>
      <w:r w:rsidR="00B9115C" w:rsidRPr="00C649E1">
        <w:rPr>
          <w:rFonts w:asciiTheme="majorHAnsi" w:hAnsiTheme="majorHAnsi"/>
          <w:sz w:val="20"/>
          <w:szCs w:val="20"/>
        </w:rPr>
        <w:t>of</w:t>
      </w:r>
      <w:r w:rsidR="005061B9" w:rsidRPr="00C649E1">
        <w:rPr>
          <w:rFonts w:asciiTheme="majorHAnsi" w:hAnsiTheme="majorHAnsi"/>
          <w:sz w:val="20"/>
          <w:szCs w:val="20"/>
        </w:rPr>
        <w:t xml:space="preserve"> a</w:t>
      </w:r>
      <w:r w:rsidR="00B9115C" w:rsidRPr="00C649E1">
        <w:rPr>
          <w:rFonts w:asciiTheme="majorHAnsi" w:hAnsiTheme="majorHAnsi"/>
          <w:sz w:val="20"/>
          <w:szCs w:val="20"/>
        </w:rPr>
        <w:t xml:space="preserve"> third person.</w:t>
      </w:r>
      <w:r w:rsidRPr="00C649E1">
        <w:rPr>
          <w:rFonts w:asciiTheme="majorHAnsi" w:hAnsiTheme="majorHAnsi"/>
          <w:sz w:val="20"/>
          <w:szCs w:val="20"/>
        </w:rPr>
        <w:t xml:space="preserve"> Following the trial, the same judge conducted a separate sentencing hearing to determine Mr. Robinson’s punishment. </w:t>
      </w:r>
    </w:p>
    <w:p w14:paraId="224A5DB0" w14:textId="77777777" w:rsidR="000E49DF" w:rsidRPr="00C649E1" w:rsidRDefault="000E49DF" w:rsidP="000E49DF">
      <w:pPr>
        <w:pStyle w:val="ListParagraph"/>
        <w:rPr>
          <w:rFonts w:asciiTheme="majorHAnsi" w:hAnsiTheme="majorHAnsi"/>
          <w:sz w:val="20"/>
          <w:szCs w:val="20"/>
        </w:rPr>
      </w:pPr>
    </w:p>
    <w:p w14:paraId="19F8F4EB" w14:textId="77777777" w:rsidR="000E49DF" w:rsidRPr="00C649E1" w:rsidRDefault="000E49DF" w:rsidP="000E49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Defense counsel presented numerous </w:t>
      </w:r>
      <w:r w:rsidR="006F67D6" w:rsidRPr="00C649E1">
        <w:rPr>
          <w:rFonts w:asciiTheme="majorHAnsi" w:hAnsiTheme="majorHAnsi"/>
          <w:sz w:val="20"/>
          <w:szCs w:val="20"/>
        </w:rPr>
        <w:t>character</w:t>
      </w:r>
      <w:r w:rsidRPr="00C649E1">
        <w:rPr>
          <w:rFonts w:asciiTheme="majorHAnsi" w:hAnsiTheme="majorHAnsi"/>
          <w:sz w:val="20"/>
          <w:szCs w:val="20"/>
        </w:rPr>
        <w:t xml:space="preserve"> witnesses and an expert witness during the penalty phase. They first called five witnesses who knew M</w:t>
      </w:r>
      <w:r w:rsidR="00377183" w:rsidRPr="00C649E1">
        <w:rPr>
          <w:rFonts w:asciiTheme="majorHAnsi" w:hAnsiTheme="majorHAnsi"/>
          <w:sz w:val="20"/>
          <w:szCs w:val="20"/>
        </w:rPr>
        <w:t>r. Robinson during his time at high s</w:t>
      </w:r>
      <w:r w:rsidRPr="00C649E1">
        <w:rPr>
          <w:rFonts w:asciiTheme="majorHAnsi" w:hAnsiTheme="majorHAnsi"/>
          <w:sz w:val="20"/>
          <w:szCs w:val="20"/>
        </w:rPr>
        <w:t>chool, where he played football, and an employee of the computer training school he attended. Then the defense called other five witnesses from the Federal Medical Center where Mr. Robinson was incarcerated before and during trial</w:t>
      </w:r>
      <w:r w:rsidR="00F527E0" w:rsidRPr="00C649E1">
        <w:rPr>
          <w:rFonts w:asciiTheme="majorHAnsi" w:hAnsiTheme="majorHAnsi"/>
          <w:sz w:val="20"/>
          <w:szCs w:val="20"/>
        </w:rPr>
        <w:t xml:space="preserve"> who testified about Mr. Robinson’s</w:t>
      </w:r>
      <w:r w:rsidR="00ED1D8B" w:rsidRPr="00C649E1">
        <w:rPr>
          <w:rFonts w:asciiTheme="majorHAnsi" w:hAnsiTheme="majorHAnsi"/>
          <w:sz w:val="20"/>
          <w:szCs w:val="20"/>
        </w:rPr>
        <w:t xml:space="preserve"> good behavior and positive adjustment to life in prison</w:t>
      </w:r>
      <w:r w:rsidRPr="00C649E1">
        <w:rPr>
          <w:rFonts w:asciiTheme="majorHAnsi" w:hAnsiTheme="majorHAnsi"/>
          <w:sz w:val="20"/>
          <w:szCs w:val="20"/>
        </w:rPr>
        <w:t>. The defense also called Mr. Robinson’s uncle and mother to testify on his behalf. Finally, it called as an expert witness a board-certified forensic psychologist who testified regarding risk assessment of future dangerousness.</w:t>
      </w:r>
      <w:r w:rsidRPr="00C649E1">
        <w:rPr>
          <w:rStyle w:val="FootnoteReference"/>
          <w:rFonts w:asciiTheme="majorHAnsi" w:hAnsiTheme="majorHAnsi"/>
          <w:sz w:val="20"/>
          <w:szCs w:val="20"/>
        </w:rPr>
        <w:footnoteReference w:id="15"/>
      </w:r>
    </w:p>
    <w:p w14:paraId="7ED895E3" w14:textId="77777777" w:rsidR="000E49DF" w:rsidRPr="00C649E1" w:rsidRDefault="000E49DF" w:rsidP="000E49DF">
      <w:pPr>
        <w:pStyle w:val="ListParagraph"/>
        <w:rPr>
          <w:rFonts w:asciiTheme="majorHAnsi" w:hAnsiTheme="majorHAnsi"/>
          <w:sz w:val="20"/>
          <w:szCs w:val="20"/>
        </w:rPr>
      </w:pPr>
    </w:p>
    <w:p w14:paraId="55FB2059" w14:textId="77777777" w:rsidR="000E49DF" w:rsidRPr="00C649E1" w:rsidRDefault="000E49DF" w:rsidP="000E49D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In addition to the facts of the underlying convictions introduced during the guilt/innocence phase of trial, the </w:t>
      </w:r>
      <w:r w:rsidR="00377183" w:rsidRPr="00C649E1">
        <w:rPr>
          <w:rFonts w:asciiTheme="majorHAnsi" w:hAnsiTheme="majorHAnsi"/>
          <w:sz w:val="20"/>
          <w:szCs w:val="20"/>
        </w:rPr>
        <w:t>prosecution</w:t>
      </w:r>
      <w:r w:rsidRPr="00C649E1">
        <w:rPr>
          <w:rFonts w:asciiTheme="majorHAnsi" w:hAnsiTheme="majorHAnsi"/>
          <w:sz w:val="20"/>
          <w:szCs w:val="20"/>
        </w:rPr>
        <w:t xml:space="preserve"> also relied on evidence introduced through witnesses during the penalty phase to bolster its position regarding Mr. Robinson’s likelihood of future dangerousness. </w:t>
      </w:r>
      <w:r w:rsidR="00AA3C41" w:rsidRPr="00C649E1">
        <w:rPr>
          <w:rFonts w:asciiTheme="majorHAnsi" w:hAnsiTheme="majorHAnsi"/>
          <w:sz w:val="20"/>
          <w:szCs w:val="20"/>
        </w:rPr>
        <w:t>Part of the evidence the jury relied on in making its sentencing decision was evidence introduced by the government that Mr. Robinson had attempted to kill a</w:t>
      </w:r>
      <w:r w:rsidR="00377183" w:rsidRPr="00C649E1">
        <w:rPr>
          <w:rFonts w:asciiTheme="majorHAnsi" w:hAnsiTheme="majorHAnsi"/>
          <w:sz w:val="20"/>
          <w:szCs w:val="20"/>
        </w:rPr>
        <w:t>n informant who testified against him before the grand jury</w:t>
      </w:r>
      <w:r w:rsidR="00811C09" w:rsidRPr="00C649E1">
        <w:rPr>
          <w:rFonts w:asciiTheme="majorHAnsi" w:hAnsiTheme="majorHAnsi"/>
          <w:sz w:val="20"/>
          <w:szCs w:val="20"/>
        </w:rPr>
        <w:t>,</w:t>
      </w:r>
      <w:r w:rsidR="00377183" w:rsidRPr="00C649E1">
        <w:rPr>
          <w:rFonts w:asciiTheme="majorHAnsi" w:hAnsiTheme="majorHAnsi"/>
          <w:sz w:val="20"/>
          <w:szCs w:val="20"/>
        </w:rPr>
        <w:t xml:space="preserve"> as well as a</w:t>
      </w:r>
      <w:r w:rsidR="00AA3C41" w:rsidRPr="00C649E1">
        <w:rPr>
          <w:rFonts w:asciiTheme="majorHAnsi" w:hAnsiTheme="majorHAnsi"/>
          <w:sz w:val="20"/>
          <w:szCs w:val="20"/>
        </w:rPr>
        <w:t xml:space="preserve"> former high-school classmate </w:t>
      </w:r>
      <w:r w:rsidR="00377183" w:rsidRPr="00C649E1">
        <w:rPr>
          <w:rFonts w:asciiTheme="majorHAnsi" w:hAnsiTheme="majorHAnsi"/>
          <w:sz w:val="20"/>
          <w:szCs w:val="20"/>
        </w:rPr>
        <w:t>who</w:t>
      </w:r>
      <w:r w:rsidR="00AA3C41" w:rsidRPr="00C649E1">
        <w:rPr>
          <w:rFonts w:asciiTheme="majorHAnsi" w:hAnsiTheme="majorHAnsi"/>
          <w:sz w:val="20"/>
          <w:szCs w:val="20"/>
        </w:rPr>
        <w:t xml:space="preserve"> owed him </w:t>
      </w:r>
      <w:r w:rsidR="00377183" w:rsidRPr="00C649E1">
        <w:rPr>
          <w:rFonts w:asciiTheme="majorHAnsi" w:hAnsiTheme="majorHAnsi"/>
          <w:sz w:val="20"/>
          <w:szCs w:val="20"/>
        </w:rPr>
        <w:t>money f</w:t>
      </w:r>
      <w:r w:rsidR="00811C09" w:rsidRPr="00C649E1">
        <w:rPr>
          <w:rFonts w:asciiTheme="majorHAnsi" w:hAnsiTheme="majorHAnsi"/>
          <w:sz w:val="20"/>
          <w:szCs w:val="20"/>
        </w:rPr>
        <w:t>or crack cocaine. Regarding the latter, Mr. Robinson</w:t>
      </w:r>
      <w:r w:rsidR="00AA3C41" w:rsidRPr="00C649E1">
        <w:rPr>
          <w:rFonts w:asciiTheme="majorHAnsi" w:hAnsiTheme="majorHAnsi"/>
          <w:sz w:val="20"/>
          <w:szCs w:val="20"/>
        </w:rPr>
        <w:t xml:space="preserve"> was ultimately convicted of deadly conduct and sentenced on March 11, 1996</w:t>
      </w:r>
      <w:r w:rsidR="00811C09" w:rsidRPr="00C649E1">
        <w:rPr>
          <w:rFonts w:asciiTheme="majorHAnsi" w:hAnsiTheme="majorHAnsi"/>
          <w:sz w:val="20"/>
          <w:szCs w:val="20"/>
        </w:rPr>
        <w:t>,</w:t>
      </w:r>
      <w:r w:rsidR="00AA3C41" w:rsidRPr="00C649E1">
        <w:rPr>
          <w:rFonts w:asciiTheme="majorHAnsi" w:hAnsiTheme="majorHAnsi"/>
          <w:sz w:val="20"/>
          <w:szCs w:val="20"/>
        </w:rPr>
        <w:t xml:space="preserve"> to five years’ probation.</w:t>
      </w:r>
      <w:r w:rsidR="00CA40EF" w:rsidRPr="00C649E1">
        <w:rPr>
          <w:rStyle w:val="FootnoteReference"/>
          <w:rFonts w:asciiTheme="majorHAnsi" w:hAnsiTheme="majorHAnsi"/>
          <w:sz w:val="20"/>
          <w:szCs w:val="20"/>
        </w:rPr>
        <w:footnoteReference w:id="16"/>
      </w:r>
      <w:r w:rsidR="00AA3C41" w:rsidRPr="00C649E1">
        <w:rPr>
          <w:rFonts w:asciiTheme="majorHAnsi" w:hAnsiTheme="majorHAnsi"/>
          <w:sz w:val="20"/>
          <w:szCs w:val="20"/>
        </w:rPr>
        <w:t xml:space="preserve"> </w:t>
      </w:r>
    </w:p>
    <w:p w14:paraId="1E14CBFA" w14:textId="77777777" w:rsidR="000E49DF" w:rsidRDefault="000E49DF" w:rsidP="000E49DF">
      <w:pPr>
        <w:pStyle w:val="ListParagraph"/>
        <w:rPr>
          <w:rFonts w:asciiTheme="majorHAnsi" w:hAnsiTheme="majorHAnsi"/>
          <w:sz w:val="20"/>
          <w:szCs w:val="20"/>
        </w:rPr>
      </w:pPr>
    </w:p>
    <w:p w14:paraId="1EE200E7" w14:textId="77777777" w:rsidR="00B6392F" w:rsidRDefault="00B6392F" w:rsidP="000E49DF">
      <w:pPr>
        <w:pStyle w:val="ListParagraph"/>
        <w:rPr>
          <w:rFonts w:asciiTheme="majorHAnsi" w:hAnsiTheme="majorHAnsi"/>
          <w:sz w:val="20"/>
          <w:szCs w:val="20"/>
        </w:rPr>
      </w:pPr>
    </w:p>
    <w:p w14:paraId="5F49518B" w14:textId="77777777" w:rsidR="00B6392F" w:rsidRPr="00C649E1" w:rsidRDefault="00B6392F" w:rsidP="000E49DF">
      <w:pPr>
        <w:pStyle w:val="ListParagraph"/>
        <w:rPr>
          <w:rFonts w:asciiTheme="majorHAnsi" w:hAnsiTheme="majorHAnsi"/>
          <w:sz w:val="20"/>
          <w:szCs w:val="20"/>
        </w:rPr>
      </w:pPr>
    </w:p>
    <w:p w14:paraId="1ACA211B" w14:textId="77777777" w:rsidR="00DD5AF1" w:rsidRPr="00C649E1" w:rsidRDefault="00DD5AF1" w:rsidP="00DD5AF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lastRenderedPageBreak/>
        <w:t>On March 28, 2002, the jury recommended a sentence of death. The district court accepted this recommendation and sentenced Mr. Robinson to death on June 5, 2002.</w:t>
      </w:r>
      <w:r w:rsidR="007A066B" w:rsidRPr="00C649E1">
        <w:rPr>
          <w:rStyle w:val="FootnoteReference"/>
          <w:rFonts w:asciiTheme="majorHAnsi" w:hAnsiTheme="majorHAnsi"/>
          <w:sz w:val="20"/>
          <w:szCs w:val="20"/>
        </w:rPr>
        <w:footnoteReference w:id="17"/>
      </w:r>
      <w:r w:rsidRPr="00C649E1">
        <w:rPr>
          <w:rFonts w:asciiTheme="majorHAnsi" w:hAnsiTheme="majorHAnsi"/>
          <w:sz w:val="20"/>
          <w:szCs w:val="20"/>
        </w:rPr>
        <w:t xml:space="preserve"> </w:t>
      </w:r>
    </w:p>
    <w:p w14:paraId="5764D9F4" w14:textId="77777777" w:rsidR="000E49DF" w:rsidRPr="00C649E1" w:rsidRDefault="000E49DF" w:rsidP="000E49D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530A5AFA" w14:textId="77777777" w:rsidR="00B44253" w:rsidRPr="00C649E1" w:rsidRDefault="00DD5AF1" w:rsidP="00DE2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Mr. Robinson appealed his conviction, claiming that the indictment was constitutionally deficient, the district court impermissibly admitted certain evidence against him, his death sentence was improperly predicated on certain aggravating factors, and the Federal Death Penalty Act is unconstitutional. </w:t>
      </w:r>
      <w:r w:rsidR="007A066B" w:rsidRPr="00C649E1">
        <w:rPr>
          <w:rFonts w:asciiTheme="majorHAnsi" w:hAnsiTheme="majorHAnsi"/>
          <w:sz w:val="20"/>
          <w:szCs w:val="20"/>
        </w:rPr>
        <w:t>The U.S. Court of Appeals for the Fifth Circuit considered the claims and issued an opinion on April 14, 2014, affirming Mr. Robinson’s conviction and sentence.</w:t>
      </w:r>
      <w:r w:rsidR="007A066B" w:rsidRPr="00C649E1">
        <w:rPr>
          <w:rStyle w:val="FootnoteReference"/>
          <w:rFonts w:asciiTheme="majorHAnsi" w:hAnsiTheme="majorHAnsi"/>
          <w:sz w:val="20"/>
          <w:szCs w:val="20"/>
        </w:rPr>
        <w:footnoteReference w:id="18"/>
      </w:r>
      <w:r w:rsidR="00D01482" w:rsidRPr="00C649E1">
        <w:rPr>
          <w:rFonts w:asciiTheme="majorHAnsi" w:hAnsiTheme="majorHAnsi"/>
          <w:sz w:val="20"/>
          <w:szCs w:val="20"/>
        </w:rPr>
        <w:t xml:space="preserve"> T</w:t>
      </w:r>
      <w:r w:rsidR="00B44253" w:rsidRPr="00C649E1">
        <w:rPr>
          <w:rFonts w:asciiTheme="majorHAnsi" w:hAnsiTheme="majorHAnsi"/>
          <w:sz w:val="20"/>
          <w:szCs w:val="20"/>
        </w:rPr>
        <w:t>he court of appeals observed the following about the penalty phase:</w:t>
      </w:r>
      <w:r w:rsidR="00B44253" w:rsidRPr="00C649E1">
        <w:rPr>
          <w:rStyle w:val="FootnoteReference"/>
          <w:rFonts w:asciiTheme="majorHAnsi" w:hAnsiTheme="majorHAnsi"/>
          <w:sz w:val="20"/>
          <w:szCs w:val="20"/>
        </w:rPr>
        <w:footnoteReference w:id="19"/>
      </w:r>
    </w:p>
    <w:p w14:paraId="4F5113E4" w14:textId="77777777" w:rsidR="00B44253" w:rsidRPr="00C649E1" w:rsidRDefault="00B44253" w:rsidP="00B44253">
      <w:pPr>
        <w:pStyle w:val="ListParagraph"/>
        <w:rPr>
          <w:rFonts w:asciiTheme="majorHAnsi" w:hAnsiTheme="majorHAnsi"/>
          <w:sz w:val="20"/>
          <w:szCs w:val="20"/>
        </w:rPr>
      </w:pPr>
    </w:p>
    <w:p w14:paraId="74750152" w14:textId="77777777" w:rsidR="00B44253" w:rsidRPr="00C649E1" w:rsidRDefault="00B44253" w:rsidP="00B44253">
      <w:pPr>
        <w:pStyle w:val="ListParagraph"/>
        <w:ind w:left="360" w:right="360"/>
        <w:jc w:val="both"/>
        <w:rPr>
          <w:rFonts w:asciiTheme="majorHAnsi" w:hAnsiTheme="majorHAnsi"/>
          <w:sz w:val="18"/>
          <w:szCs w:val="18"/>
        </w:rPr>
      </w:pPr>
      <w:r w:rsidRPr="00C649E1">
        <w:rPr>
          <w:rFonts w:asciiTheme="majorHAnsi" w:hAnsiTheme="majorHAnsi"/>
          <w:sz w:val="18"/>
          <w:szCs w:val="18"/>
        </w:rPr>
        <w:t>The jury’s sentencing recommendation was based in part on (in addition to the aforementioned convictions) Robinson’s criminal history. The jury learned of an incident in 1995 in which Robinson fired several shots from a handgun at a woman who had failed to pay him $ 120 for crack cocaine. This was used to show that Robinson had a violent record before the events charged in the indictment. The jury also was told of an incident […] in which Robinson, acting from his jail cell after his arrest in this case, arranged to have a government informant murdered. This was used to show that Robinson had a propensity to commit future acts of violence.</w:t>
      </w:r>
    </w:p>
    <w:p w14:paraId="47C08B6B" w14:textId="77777777" w:rsidR="00B44253" w:rsidRPr="00C649E1" w:rsidRDefault="00B44253" w:rsidP="00B44253">
      <w:pPr>
        <w:pStyle w:val="ListParagraph"/>
        <w:rPr>
          <w:rFonts w:asciiTheme="majorHAnsi" w:hAnsiTheme="majorHAnsi"/>
          <w:sz w:val="20"/>
          <w:szCs w:val="20"/>
        </w:rPr>
      </w:pPr>
    </w:p>
    <w:p w14:paraId="40B15F9D" w14:textId="77777777" w:rsidR="00FA73B9" w:rsidRPr="00C649E1" w:rsidRDefault="007A066B" w:rsidP="00DE22C1">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On November 29, 2004, the U.S. Supreme Court denied Mr. Robinson’s application for </w:t>
      </w:r>
      <w:r w:rsidRPr="00C649E1">
        <w:rPr>
          <w:rFonts w:asciiTheme="majorHAnsi" w:hAnsiTheme="majorHAnsi"/>
          <w:i/>
          <w:sz w:val="20"/>
          <w:szCs w:val="20"/>
        </w:rPr>
        <w:t>certiorari</w:t>
      </w:r>
      <w:r w:rsidRPr="00C649E1">
        <w:rPr>
          <w:rFonts w:asciiTheme="majorHAnsi" w:hAnsiTheme="majorHAnsi"/>
          <w:sz w:val="20"/>
          <w:szCs w:val="20"/>
        </w:rPr>
        <w:t>.</w:t>
      </w:r>
      <w:r w:rsidR="00C31BE0" w:rsidRPr="00C649E1">
        <w:rPr>
          <w:rStyle w:val="FootnoteReference"/>
          <w:rFonts w:asciiTheme="majorHAnsi" w:hAnsiTheme="majorHAnsi"/>
          <w:sz w:val="20"/>
          <w:szCs w:val="20"/>
        </w:rPr>
        <w:footnoteReference w:id="20"/>
      </w:r>
      <w:r w:rsidR="001774F7" w:rsidRPr="00C649E1">
        <w:rPr>
          <w:rFonts w:asciiTheme="majorHAnsi" w:hAnsiTheme="majorHAnsi"/>
          <w:sz w:val="20"/>
          <w:szCs w:val="20"/>
        </w:rPr>
        <w:t xml:space="preserve"> </w:t>
      </w:r>
    </w:p>
    <w:p w14:paraId="6FADD868" w14:textId="77777777" w:rsidR="00021557" w:rsidRPr="00C649E1" w:rsidRDefault="00021557" w:rsidP="00021557"/>
    <w:p w14:paraId="7B540DD5" w14:textId="77777777" w:rsidR="00E616EA" w:rsidRPr="00C649E1" w:rsidRDefault="00E616EA" w:rsidP="00E616EA">
      <w:pPr>
        <w:pStyle w:val="Heading2"/>
        <w:numPr>
          <w:ilvl w:val="0"/>
          <w:numId w:val="58"/>
        </w:numPr>
        <w:tabs>
          <w:tab w:val="left" w:pos="360"/>
        </w:tabs>
        <w:spacing w:before="0"/>
        <w:ind w:hanging="720"/>
        <w:rPr>
          <w:color w:val="auto"/>
          <w:sz w:val="20"/>
          <w:szCs w:val="20"/>
        </w:rPr>
      </w:pPr>
      <w:bookmarkStart w:id="43" w:name="_Toc22915017"/>
      <w:bookmarkStart w:id="44" w:name="_Toc45105384"/>
      <w:bookmarkStart w:id="45" w:name="_Toc70417422"/>
      <w:r w:rsidRPr="00C649E1">
        <w:rPr>
          <w:color w:val="auto"/>
          <w:sz w:val="20"/>
          <w:szCs w:val="20"/>
        </w:rPr>
        <w:t>Post-conviction proceedings</w:t>
      </w:r>
      <w:bookmarkEnd w:id="43"/>
      <w:bookmarkEnd w:id="44"/>
      <w:bookmarkEnd w:id="45"/>
    </w:p>
    <w:p w14:paraId="62A38E8D" w14:textId="77777777" w:rsidR="00E616EA" w:rsidRPr="00C649E1" w:rsidRDefault="00E616EA" w:rsidP="00021557"/>
    <w:p w14:paraId="37A09FE6" w14:textId="77777777" w:rsidR="000B6574" w:rsidRPr="00C649E1" w:rsidRDefault="000B6574" w:rsidP="000B6574">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Mr. Robinson’s defense filed a motion to vacate his conviction and sentence under 28 U.S.C. § 2255 alleging </w:t>
      </w:r>
      <w:r w:rsidR="00811C09" w:rsidRPr="00C649E1">
        <w:rPr>
          <w:rFonts w:asciiTheme="majorHAnsi" w:hAnsiTheme="majorHAnsi"/>
          <w:sz w:val="20"/>
          <w:szCs w:val="20"/>
        </w:rPr>
        <w:t xml:space="preserve">ineffective assistance of </w:t>
      </w:r>
      <w:r w:rsidR="00871D12" w:rsidRPr="00C649E1">
        <w:rPr>
          <w:rFonts w:asciiTheme="majorHAnsi" w:hAnsiTheme="majorHAnsi"/>
          <w:sz w:val="20"/>
          <w:szCs w:val="20"/>
        </w:rPr>
        <w:t xml:space="preserve">trial counsel at the penalty phase for </w:t>
      </w:r>
      <w:r w:rsidR="00811C09" w:rsidRPr="00C649E1">
        <w:rPr>
          <w:rFonts w:asciiTheme="majorHAnsi" w:hAnsiTheme="majorHAnsi"/>
          <w:sz w:val="20"/>
          <w:szCs w:val="20"/>
        </w:rPr>
        <w:t>failure</w:t>
      </w:r>
      <w:r w:rsidR="00871D12" w:rsidRPr="00C649E1">
        <w:rPr>
          <w:rFonts w:asciiTheme="majorHAnsi" w:hAnsiTheme="majorHAnsi"/>
          <w:sz w:val="20"/>
          <w:szCs w:val="20"/>
        </w:rPr>
        <w:t xml:space="preserve"> to investigate and rebut prosecution’s aggravating evidence and for </w:t>
      </w:r>
      <w:r w:rsidR="00811C09" w:rsidRPr="00C649E1">
        <w:rPr>
          <w:rFonts w:asciiTheme="majorHAnsi" w:hAnsiTheme="majorHAnsi"/>
          <w:sz w:val="20"/>
          <w:szCs w:val="20"/>
        </w:rPr>
        <w:t>failure</w:t>
      </w:r>
      <w:r w:rsidR="00871D12" w:rsidRPr="00C649E1">
        <w:rPr>
          <w:rFonts w:asciiTheme="majorHAnsi" w:hAnsiTheme="majorHAnsi"/>
          <w:sz w:val="20"/>
          <w:szCs w:val="20"/>
        </w:rPr>
        <w:t xml:space="preserve"> to thoroughly prepare and present mitigating evidence</w:t>
      </w:r>
      <w:r w:rsidRPr="00C649E1">
        <w:rPr>
          <w:rFonts w:asciiTheme="majorHAnsi" w:hAnsiTheme="majorHAnsi"/>
          <w:sz w:val="20"/>
          <w:szCs w:val="20"/>
        </w:rPr>
        <w:t xml:space="preserve">; </w:t>
      </w:r>
      <w:r w:rsidR="00082C6B" w:rsidRPr="00C649E1">
        <w:rPr>
          <w:rFonts w:asciiTheme="majorHAnsi" w:hAnsiTheme="majorHAnsi"/>
          <w:sz w:val="20"/>
          <w:szCs w:val="20"/>
        </w:rPr>
        <w:t>and</w:t>
      </w:r>
      <w:r w:rsidRPr="00C649E1">
        <w:rPr>
          <w:rFonts w:asciiTheme="majorHAnsi" w:hAnsiTheme="majorHAnsi"/>
          <w:sz w:val="20"/>
          <w:szCs w:val="20"/>
        </w:rPr>
        <w:t xml:space="preserve"> </w:t>
      </w:r>
      <w:r w:rsidR="00871D12" w:rsidRPr="00C649E1">
        <w:rPr>
          <w:rFonts w:asciiTheme="majorHAnsi" w:hAnsiTheme="majorHAnsi"/>
          <w:sz w:val="20"/>
          <w:szCs w:val="20"/>
        </w:rPr>
        <w:t>racial discrimination.</w:t>
      </w:r>
      <w:r w:rsidRPr="00C649E1">
        <w:rPr>
          <w:rFonts w:asciiTheme="majorHAnsi" w:hAnsiTheme="majorHAnsi"/>
          <w:sz w:val="20"/>
          <w:szCs w:val="20"/>
        </w:rPr>
        <w:t xml:space="preserve"> </w:t>
      </w:r>
      <w:r w:rsidR="005224D2" w:rsidRPr="00C649E1">
        <w:rPr>
          <w:rFonts w:asciiTheme="majorHAnsi" w:hAnsiTheme="majorHAnsi"/>
          <w:sz w:val="20"/>
          <w:szCs w:val="20"/>
        </w:rPr>
        <w:t xml:space="preserve">On </w:t>
      </w:r>
      <w:r w:rsidR="006169E9" w:rsidRPr="00C649E1">
        <w:rPr>
          <w:rFonts w:asciiTheme="majorHAnsi" w:hAnsiTheme="majorHAnsi"/>
          <w:sz w:val="20"/>
          <w:szCs w:val="20"/>
        </w:rPr>
        <w:t>November 7, 2008,</w:t>
      </w:r>
      <w:r w:rsidR="005224D2" w:rsidRPr="00C649E1">
        <w:rPr>
          <w:rFonts w:asciiTheme="majorHAnsi" w:hAnsiTheme="majorHAnsi"/>
          <w:sz w:val="20"/>
          <w:szCs w:val="20"/>
        </w:rPr>
        <w:t xml:space="preserve"> the district court </w:t>
      </w:r>
      <w:r w:rsidR="006169E9" w:rsidRPr="00C649E1">
        <w:rPr>
          <w:rFonts w:asciiTheme="majorHAnsi" w:hAnsiTheme="majorHAnsi"/>
          <w:sz w:val="20"/>
          <w:szCs w:val="20"/>
        </w:rPr>
        <w:t xml:space="preserve">denied the motion. The court </w:t>
      </w:r>
      <w:r w:rsidR="005224D2" w:rsidRPr="00C649E1">
        <w:rPr>
          <w:rFonts w:asciiTheme="majorHAnsi" w:hAnsiTheme="majorHAnsi"/>
          <w:sz w:val="20"/>
          <w:szCs w:val="20"/>
        </w:rPr>
        <w:t>concluded that Mr. Robinson failed to establish that his trial counsel’s performance fell below an objectively reasonable professional standard and that it prejudiced his case.</w:t>
      </w:r>
      <w:r w:rsidR="005224D2" w:rsidRPr="00C649E1">
        <w:rPr>
          <w:rStyle w:val="FootnoteReference"/>
          <w:rFonts w:asciiTheme="majorHAnsi" w:hAnsiTheme="majorHAnsi"/>
          <w:sz w:val="20"/>
          <w:szCs w:val="20"/>
        </w:rPr>
        <w:footnoteReference w:id="21"/>
      </w:r>
      <w:r w:rsidR="005224D2" w:rsidRPr="00C649E1">
        <w:rPr>
          <w:rFonts w:asciiTheme="majorHAnsi" w:hAnsiTheme="majorHAnsi"/>
          <w:sz w:val="20"/>
          <w:szCs w:val="20"/>
        </w:rPr>
        <w:t xml:space="preserve"> The IACHR will summarize below the conclusions of the court regarding the main allegations raised by Mr. Robinson.</w:t>
      </w:r>
    </w:p>
    <w:p w14:paraId="28230AE1" w14:textId="77777777" w:rsidR="000A3299" w:rsidRPr="00C649E1" w:rsidRDefault="000A3299" w:rsidP="000A32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636528C9" w14:textId="77777777" w:rsidR="006F67D6" w:rsidRPr="00C649E1" w:rsidRDefault="006F67D6" w:rsidP="00074E33">
      <w:pPr>
        <w:pStyle w:val="ListParagraph"/>
        <w:numPr>
          <w:ilvl w:val="0"/>
          <w:numId w:val="6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r w:rsidRPr="00C649E1">
        <w:rPr>
          <w:rFonts w:asciiTheme="majorHAnsi" w:hAnsiTheme="majorHAnsi"/>
          <w:sz w:val="20"/>
          <w:szCs w:val="20"/>
        </w:rPr>
        <w:t>Ineffective assistance of trial counsel:</w:t>
      </w:r>
    </w:p>
    <w:p w14:paraId="3ADA9910" w14:textId="77777777" w:rsidR="006F67D6" w:rsidRPr="00C649E1" w:rsidRDefault="006F67D6" w:rsidP="000A329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jc w:val="both"/>
        <w:textAlignment w:val="baseline"/>
        <w:rPr>
          <w:rFonts w:asciiTheme="majorHAnsi" w:hAnsiTheme="majorHAnsi"/>
          <w:sz w:val="20"/>
          <w:szCs w:val="20"/>
        </w:rPr>
      </w:pPr>
    </w:p>
    <w:p w14:paraId="6F2EBFD2" w14:textId="77777777" w:rsidR="00E616EA" w:rsidRPr="00C649E1" w:rsidRDefault="000A3299"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pPr>
      <w:r w:rsidRPr="00C649E1">
        <w:rPr>
          <w:rFonts w:asciiTheme="majorHAnsi" w:hAnsiTheme="majorHAnsi"/>
          <w:sz w:val="20"/>
          <w:szCs w:val="20"/>
        </w:rPr>
        <w:t xml:space="preserve">Regarding trial counsel’s alleged failure to hire a skilled investigator, the </w:t>
      </w:r>
      <w:r w:rsidR="00697339" w:rsidRPr="00C649E1">
        <w:rPr>
          <w:rFonts w:asciiTheme="majorHAnsi" w:hAnsiTheme="majorHAnsi"/>
          <w:sz w:val="20"/>
          <w:szCs w:val="20"/>
        </w:rPr>
        <w:t xml:space="preserve">district </w:t>
      </w:r>
      <w:r w:rsidRPr="00C649E1">
        <w:rPr>
          <w:rFonts w:asciiTheme="majorHAnsi" w:hAnsiTheme="majorHAnsi"/>
          <w:sz w:val="20"/>
          <w:szCs w:val="20"/>
        </w:rPr>
        <w:t xml:space="preserve">court </w:t>
      </w:r>
      <w:r w:rsidR="000149B3" w:rsidRPr="00C649E1">
        <w:rPr>
          <w:rFonts w:asciiTheme="majorHAnsi" w:hAnsiTheme="majorHAnsi"/>
          <w:sz w:val="20"/>
          <w:szCs w:val="20"/>
        </w:rPr>
        <w:t>noted</w:t>
      </w:r>
      <w:r w:rsidRPr="00C649E1">
        <w:rPr>
          <w:rFonts w:asciiTheme="majorHAnsi" w:hAnsiTheme="majorHAnsi"/>
          <w:sz w:val="20"/>
          <w:szCs w:val="20"/>
        </w:rPr>
        <w:t xml:space="preserve"> that trial counsel hired a licensed investigator</w:t>
      </w:r>
      <w:r w:rsidR="00A97722" w:rsidRPr="00C649E1">
        <w:rPr>
          <w:rFonts w:asciiTheme="majorHAnsi" w:hAnsiTheme="majorHAnsi"/>
          <w:sz w:val="20"/>
          <w:szCs w:val="20"/>
        </w:rPr>
        <w:t xml:space="preserve"> </w:t>
      </w:r>
      <w:r w:rsidRPr="00C649E1">
        <w:rPr>
          <w:rFonts w:asciiTheme="majorHAnsi" w:hAnsiTheme="majorHAnsi"/>
          <w:sz w:val="20"/>
          <w:szCs w:val="20"/>
        </w:rPr>
        <w:t>who had been involved in hundreds of criminal-defense investigations, including</w:t>
      </w:r>
      <w:r w:rsidR="005224D2" w:rsidRPr="00C649E1">
        <w:rPr>
          <w:rFonts w:asciiTheme="majorHAnsi" w:hAnsiTheme="majorHAnsi"/>
          <w:sz w:val="20"/>
          <w:szCs w:val="20"/>
        </w:rPr>
        <w:t xml:space="preserve"> several capital-murder cases. It also noted that t</w:t>
      </w:r>
      <w:r w:rsidRPr="00C649E1">
        <w:rPr>
          <w:rFonts w:asciiTheme="majorHAnsi" w:hAnsiTheme="majorHAnsi"/>
          <w:sz w:val="20"/>
          <w:szCs w:val="20"/>
        </w:rPr>
        <w:t>he investigator spoke directly with Mr. Robinson in order to determine potential witnesses</w:t>
      </w:r>
      <w:r w:rsidR="00A97722" w:rsidRPr="00C649E1">
        <w:rPr>
          <w:rFonts w:asciiTheme="majorHAnsi" w:hAnsiTheme="majorHAnsi"/>
          <w:sz w:val="20"/>
          <w:szCs w:val="20"/>
        </w:rPr>
        <w:t>, most of which</w:t>
      </w:r>
      <w:r w:rsidR="006E2357" w:rsidRPr="00C649E1">
        <w:rPr>
          <w:rFonts w:asciiTheme="majorHAnsi" w:hAnsiTheme="majorHAnsi"/>
          <w:sz w:val="20"/>
          <w:szCs w:val="20"/>
        </w:rPr>
        <w:t xml:space="preserve"> testified on Mr. Robinson’s behalf as indicated </w:t>
      </w:r>
      <w:r w:rsidR="006E2357" w:rsidRPr="00C649E1">
        <w:rPr>
          <w:rFonts w:asciiTheme="majorHAnsi" w:hAnsiTheme="majorHAnsi"/>
          <w:i/>
          <w:sz w:val="20"/>
          <w:szCs w:val="20"/>
        </w:rPr>
        <w:t>supra</w:t>
      </w:r>
      <w:r w:rsidRPr="00C649E1">
        <w:rPr>
          <w:rFonts w:asciiTheme="majorHAnsi" w:hAnsiTheme="majorHAnsi"/>
          <w:sz w:val="20"/>
          <w:szCs w:val="20"/>
        </w:rPr>
        <w:t>.</w:t>
      </w:r>
      <w:r w:rsidR="00073F3C" w:rsidRPr="00C649E1">
        <w:rPr>
          <w:rFonts w:asciiTheme="majorHAnsi" w:hAnsiTheme="majorHAnsi"/>
          <w:sz w:val="20"/>
          <w:szCs w:val="20"/>
        </w:rPr>
        <w:t xml:space="preserve"> </w:t>
      </w:r>
    </w:p>
    <w:p w14:paraId="6F81C04A" w14:textId="77777777" w:rsidR="00FB5063" w:rsidRPr="00C649E1" w:rsidRDefault="00FB5063" w:rsidP="00FB5063">
      <w:pPr>
        <w:pStyle w:val="ListParagraph"/>
      </w:pPr>
    </w:p>
    <w:p w14:paraId="5FBAD164" w14:textId="77777777" w:rsidR="00E30E18" w:rsidRPr="00C649E1" w:rsidRDefault="00FB5063" w:rsidP="00FF77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Mr. Robinson also alleged trial counsel’s failure to adequately investigate and rebut the government’s evidence of the aggravating</w:t>
      </w:r>
      <w:r w:rsidR="004D3942" w:rsidRPr="00C649E1">
        <w:rPr>
          <w:rFonts w:asciiTheme="majorHAnsi" w:hAnsiTheme="majorHAnsi"/>
          <w:sz w:val="20"/>
          <w:szCs w:val="20"/>
        </w:rPr>
        <w:t xml:space="preserve"> factor of future dangerousness, in particular</w:t>
      </w:r>
      <w:r w:rsidR="00FF7708" w:rsidRPr="00C649E1">
        <w:rPr>
          <w:rFonts w:asciiTheme="majorHAnsi" w:hAnsiTheme="majorHAnsi"/>
          <w:sz w:val="20"/>
          <w:szCs w:val="20"/>
        </w:rPr>
        <w:t>,</w:t>
      </w:r>
      <w:r w:rsidR="004D3942" w:rsidRPr="00C649E1">
        <w:rPr>
          <w:rFonts w:asciiTheme="majorHAnsi" w:hAnsiTheme="majorHAnsi"/>
          <w:sz w:val="20"/>
          <w:szCs w:val="20"/>
        </w:rPr>
        <w:t xml:space="preserve"> evidence regarding</w:t>
      </w:r>
      <w:r w:rsidR="00082C6B" w:rsidRPr="00C649E1">
        <w:rPr>
          <w:rFonts w:asciiTheme="majorHAnsi" w:hAnsiTheme="majorHAnsi"/>
          <w:sz w:val="20"/>
          <w:szCs w:val="20"/>
        </w:rPr>
        <w:t>:</w:t>
      </w:r>
      <w:r w:rsidR="004D3942" w:rsidRPr="00C649E1">
        <w:rPr>
          <w:rFonts w:asciiTheme="majorHAnsi" w:hAnsiTheme="majorHAnsi"/>
          <w:sz w:val="20"/>
          <w:szCs w:val="20"/>
        </w:rPr>
        <w:t xml:space="preserve"> </w:t>
      </w:r>
      <w:r w:rsidR="00FF7708" w:rsidRPr="00C649E1">
        <w:rPr>
          <w:rFonts w:asciiTheme="majorHAnsi" w:hAnsiTheme="majorHAnsi"/>
          <w:sz w:val="20"/>
          <w:szCs w:val="20"/>
        </w:rPr>
        <w:t xml:space="preserve">(i) </w:t>
      </w:r>
      <w:r w:rsidR="004D3942" w:rsidRPr="00C649E1">
        <w:rPr>
          <w:rFonts w:asciiTheme="majorHAnsi" w:hAnsiTheme="majorHAnsi"/>
          <w:sz w:val="20"/>
          <w:szCs w:val="20"/>
        </w:rPr>
        <w:t>an attempt on the life of a drug dealer who had testified against Mr. Robinson before the grand jury</w:t>
      </w:r>
      <w:r w:rsidR="00EE34B0" w:rsidRPr="00C649E1">
        <w:rPr>
          <w:rFonts w:asciiTheme="majorHAnsi" w:hAnsiTheme="majorHAnsi"/>
          <w:sz w:val="20"/>
          <w:szCs w:val="20"/>
        </w:rPr>
        <w:t xml:space="preserve"> and had given information to the Drug Enforcement Agency</w:t>
      </w:r>
      <w:r w:rsidR="00377183" w:rsidRPr="00C649E1">
        <w:rPr>
          <w:rFonts w:asciiTheme="majorHAnsi" w:hAnsiTheme="majorHAnsi"/>
          <w:sz w:val="20"/>
          <w:szCs w:val="20"/>
        </w:rPr>
        <w:t>;</w:t>
      </w:r>
      <w:r w:rsidR="00807F96" w:rsidRPr="00C649E1">
        <w:rPr>
          <w:rFonts w:asciiTheme="majorHAnsi" w:hAnsiTheme="majorHAnsi"/>
          <w:sz w:val="20"/>
          <w:szCs w:val="20"/>
        </w:rPr>
        <w:t xml:space="preserve"> and </w:t>
      </w:r>
      <w:r w:rsidR="00FF7708" w:rsidRPr="00C649E1">
        <w:rPr>
          <w:rFonts w:asciiTheme="majorHAnsi" w:hAnsiTheme="majorHAnsi"/>
          <w:sz w:val="20"/>
          <w:szCs w:val="20"/>
        </w:rPr>
        <w:t xml:space="preserve">(ii) </w:t>
      </w:r>
      <w:r w:rsidR="00807F96" w:rsidRPr="00C649E1">
        <w:rPr>
          <w:rFonts w:asciiTheme="majorHAnsi" w:hAnsiTheme="majorHAnsi"/>
          <w:sz w:val="20"/>
          <w:szCs w:val="20"/>
        </w:rPr>
        <w:t>an attempted murder of a woman who owed him $ 120 for crack cocaine</w:t>
      </w:r>
      <w:r w:rsidR="00EE34B0" w:rsidRPr="00C649E1">
        <w:rPr>
          <w:rFonts w:asciiTheme="majorHAnsi" w:hAnsiTheme="majorHAnsi"/>
          <w:sz w:val="20"/>
          <w:szCs w:val="20"/>
        </w:rPr>
        <w:t>.</w:t>
      </w:r>
      <w:r w:rsidR="00325098" w:rsidRPr="00C649E1">
        <w:rPr>
          <w:rStyle w:val="FootnoteReference"/>
          <w:rFonts w:asciiTheme="majorHAnsi" w:hAnsiTheme="majorHAnsi"/>
          <w:sz w:val="20"/>
          <w:szCs w:val="20"/>
        </w:rPr>
        <w:footnoteReference w:id="22"/>
      </w:r>
      <w:r w:rsidR="00EE34B0" w:rsidRPr="00C649E1">
        <w:rPr>
          <w:rFonts w:asciiTheme="majorHAnsi" w:hAnsiTheme="majorHAnsi"/>
          <w:sz w:val="20"/>
          <w:szCs w:val="20"/>
        </w:rPr>
        <w:t xml:space="preserve"> </w:t>
      </w:r>
    </w:p>
    <w:p w14:paraId="1CFFC292" w14:textId="77777777" w:rsidR="00E30E18" w:rsidRPr="00C649E1" w:rsidRDefault="00E30E18" w:rsidP="00E30E18">
      <w:pPr>
        <w:pStyle w:val="ListParagraph"/>
        <w:rPr>
          <w:rFonts w:asciiTheme="majorHAnsi" w:hAnsiTheme="majorHAnsi"/>
          <w:sz w:val="20"/>
          <w:szCs w:val="20"/>
        </w:rPr>
      </w:pPr>
    </w:p>
    <w:p w14:paraId="1AD81B55" w14:textId="77777777" w:rsidR="00E30E18" w:rsidRPr="00C649E1" w:rsidRDefault="00EE34B0" w:rsidP="00FF77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Regarding the first evidence, while Mr. Robinson acknowledged that his trial counsel moved </w:t>
      </w:r>
      <w:r w:rsidRPr="00C649E1">
        <w:rPr>
          <w:rFonts w:asciiTheme="majorHAnsi" w:hAnsiTheme="majorHAnsi"/>
          <w:i/>
          <w:sz w:val="20"/>
          <w:szCs w:val="20"/>
        </w:rPr>
        <w:t>in limine</w:t>
      </w:r>
      <w:r w:rsidRPr="00C649E1">
        <w:rPr>
          <w:rFonts w:asciiTheme="majorHAnsi" w:hAnsiTheme="majorHAnsi"/>
          <w:sz w:val="20"/>
          <w:szCs w:val="20"/>
        </w:rPr>
        <w:t xml:space="preserve"> to exclude evidence that he had orchestrated the abduction, he claimed that his trial counsel did no</w:t>
      </w:r>
      <w:r w:rsidR="0096588D" w:rsidRPr="00C649E1">
        <w:rPr>
          <w:rFonts w:asciiTheme="majorHAnsi" w:hAnsiTheme="majorHAnsi"/>
          <w:sz w:val="20"/>
          <w:szCs w:val="20"/>
        </w:rPr>
        <w:t>t</w:t>
      </w:r>
      <w:r w:rsidRPr="00C649E1">
        <w:rPr>
          <w:rFonts w:asciiTheme="majorHAnsi" w:hAnsiTheme="majorHAnsi"/>
          <w:sz w:val="20"/>
          <w:szCs w:val="20"/>
        </w:rPr>
        <w:t xml:space="preserve"> investigate the incident</w:t>
      </w:r>
      <w:r w:rsidR="0096588D" w:rsidRPr="00C649E1">
        <w:rPr>
          <w:rFonts w:asciiTheme="majorHAnsi" w:hAnsiTheme="majorHAnsi"/>
          <w:sz w:val="20"/>
          <w:szCs w:val="20"/>
        </w:rPr>
        <w:t xml:space="preserve"> and thus were unaware that all the persons involved in the incident denied any connection to a life attempt. </w:t>
      </w:r>
      <w:r w:rsidR="00E30E18" w:rsidRPr="00C649E1">
        <w:rPr>
          <w:rFonts w:asciiTheme="majorHAnsi" w:hAnsiTheme="majorHAnsi"/>
          <w:sz w:val="20"/>
          <w:szCs w:val="20"/>
        </w:rPr>
        <w:t xml:space="preserve">The district court </w:t>
      </w:r>
      <w:r w:rsidR="00180BA3" w:rsidRPr="00C649E1">
        <w:rPr>
          <w:rFonts w:asciiTheme="majorHAnsi" w:hAnsiTheme="majorHAnsi"/>
          <w:sz w:val="20"/>
          <w:szCs w:val="20"/>
        </w:rPr>
        <w:t>agreed with the government</w:t>
      </w:r>
      <w:r w:rsidR="008D3989" w:rsidRPr="00C649E1">
        <w:rPr>
          <w:rFonts w:asciiTheme="majorHAnsi" w:hAnsiTheme="majorHAnsi"/>
          <w:sz w:val="20"/>
          <w:szCs w:val="20"/>
        </w:rPr>
        <w:t xml:space="preserve"> that the varying versions of events contained in the new declarations Mr. Robinson relied upon did not establish the falsity of corroborating versions given at trial. </w:t>
      </w:r>
    </w:p>
    <w:p w14:paraId="6F9D3982" w14:textId="77777777" w:rsidR="00E30E18" w:rsidRPr="00C649E1" w:rsidRDefault="00E30E18" w:rsidP="00E30E18">
      <w:pPr>
        <w:pStyle w:val="ListParagraph"/>
        <w:rPr>
          <w:rFonts w:asciiTheme="majorHAnsi" w:hAnsiTheme="majorHAnsi"/>
          <w:sz w:val="20"/>
          <w:szCs w:val="20"/>
        </w:rPr>
      </w:pPr>
    </w:p>
    <w:p w14:paraId="7DB421D0" w14:textId="77777777" w:rsidR="00FB5063" w:rsidRPr="00C649E1" w:rsidRDefault="00807F96" w:rsidP="00FF77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lastRenderedPageBreak/>
        <w:t>With regard to the second evidence, Mr. Robinson did not deny that he was convicted for his involvement in the shooting</w:t>
      </w:r>
      <w:r w:rsidR="00325098" w:rsidRPr="00C649E1">
        <w:rPr>
          <w:rFonts w:asciiTheme="majorHAnsi" w:hAnsiTheme="majorHAnsi"/>
          <w:sz w:val="20"/>
          <w:szCs w:val="20"/>
        </w:rPr>
        <w:t>. However</w:t>
      </w:r>
      <w:r w:rsidR="00FF7708" w:rsidRPr="00C649E1">
        <w:rPr>
          <w:rFonts w:asciiTheme="majorHAnsi" w:hAnsiTheme="majorHAnsi"/>
          <w:sz w:val="20"/>
          <w:szCs w:val="20"/>
        </w:rPr>
        <w:t xml:space="preserve">, he claimed that his actions were unfairly characterized as attempted murder and that his trial counsel failed to adequately investigate and rebut the government’s evidence. </w:t>
      </w:r>
      <w:r w:rsidR="00180BA3" w:rsidRPr="00C649E1">
        <w:rPr>
          <w:rFonts w:asciiTheme="majorHAnsi" w:hAnsiTheme="majorHAnsi"/>
          <w:sz w:val="20"/>
          <w:szCs w:val="20"/>
        </w:rPr>
        <w:t xml:space="preserve">The court agreed with the government that Mr. Robinson’s plea to “deadly conduct” was not persuasive, as pleas to lesser offenses are commonplace and do not indicate that the factual basis of the original offense is incorrect, and that the police reports corroborated the pre-plea charge of attempted murder. </w:t>
      </w:r>
    </w:p>
    <w:p w14:paraId="028236DB" w14:textId="77777777" w:rsidR="00180BA3" w:rsidRPr="00C649E1" w:rsidRDefault="00180BA3" w:rsidP="00180BA3">
      <w:pPr>
        <w:pStyle w:val="ListParagraph"/>
        <w:rPr>
          <w:rFonts w:asciiTheme="majorHAnsi" w:hAnsiTheme="majorHAnsi"/>
          <w:sz w:val="20"/>
          <w:szCs w:val="20"/>
        </w:rPr>
      </w:pPr>
    </w:p>
    <w:p w14:paraId="587F20A3" w14:textId="77777777" w:rsidR="005224D2" w:rsidRPr="00C649E1" w:rsidRDefault="00847A56" w:rsidP="00FF77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Mr. Robinson next claimed that trial counsel failed to conduct an adequate investigation of mitigation factors affecting the punishment phase, including failure to hire a mitigation expert. He faulted trial counsel for not presenting additional evidence </w:t>
      </w:r>
      <w:r w:rsidR="000149B3" w:rsidRPr="00C649E1">
        <w:rPr>
          <w:rFonts w:asciiTheme="majorHAnsi" w:hAnsiTheme="majorHAnsi"/>
          <w:sz w:val="20"/>
          <w:szCs w:val="20"/>
        </w:rPr>
        <w:t xml:space="preserve">of mental-health issues and of negative childhood circumstances </w:t>
      </w:r>
      <w:r w:rsidR="003A21C5" w:rsidRPr="00C649E1">
        <w:rPr>
          <w:rFonts w:asciiTheme="majorHAnsi" w:hAnsiTheme="majorHAnsi"/>
          <w:sz w:val="20"/>
          <w:szCs w:val="20"/>
        </w:rPr>
        <w:t>at the punishment phase</w:t>
      </w:r>
      <w:r w:rsidRPr="00C649E1">
        <w:rPr>
          <w:rFonts w:asciiTheme="majorHAnsi" w:hAnsiTheme="majorHAnsi"/>
          <w:sz w:val="20"/>
          <w:szCs w:val="20"/>
        </w:rPr>
        <w:t xml:space="preserve">. </w:t>
      </w:r>
      <w:r w:rsidR="001C6BD5" w:rsidRPr="00C649E1">
        <w:rPr>
          <w:rFonts w:asciiTheme="majorHAnsi" w:hAnsiTheme="majorHAnsi"/>
          <w:sz w:val="20"/>
          <w:szCs w:val="20"/>
        </w:rPr>
        <w:t xml:space="preserve">The court noted that trial counsel reviewed Mr. Robinson’s high-school records as well as his academia records from college. Given the information contained in these records as well as the information provided by educators and coaches, the court concluded that there was no reason for counsel to review Mr. Robinson’s lower-school records as he argued. </w:t>
      </w:r>
    </w:p>
    <w:p w14:paraId="2013E616" w14:textId="77777777" w:rsidR="005224D2" w:rsidRPr="00C649E1" w:rsidRDefault="005224D2" w:rsidP="005224D2">
      <w:pPr>
        <w:pStyle w:val="ListParagraph"/>
        <w:rPr>
          <w:rFonts w:asciiTheme="majorHAnsi" w:hAnsiTheme="majorHAnsi"/>
          <w:sz w:val="20"/>
          <w:szCs w:val="20"/>
        </w:rPr>
      </w:pPr>
    </w:p>
    <w:p w14:paraId="366E8E71" w14:textId="77777777" w:rsidR="005224D2" w:rsidRPr="00C649E1" w:rsidRDefault="001C6BD5" w:rsidP="00FF77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Mr. Robinson further asserted that trial counsel failed to adequately assess the effect of childhood pesticide exposure. </w:t>
      </w:r>
      <w:r w:rsidR="00EB606E" w:rsidRPr="00C649E1">
        <w:rPr>
          <w:rFonts w:asciiTheme="majorHAnsi" w:hAnsiTheme="majorHAnsi"/>
          <w:sz w:val="20"/>
          <w:szCs w:val="20"/>
        </w:rPr>
        <w:t>The court noted that the examination conducte</w:t>
      </w:r>
      <w:r w:rsidR="00866759" w:rsidRPr="00C649E1">
        <w:rPr>
          <w:rFonts w:asciiTheme="majorHAnsi" w:hAnsiTheme="majorHAnsi"/>
          <w:sz w:val="20"/>
          <w:szCs w:val="20"/>
        </w:rPr>
        <w:t>d post-</w:t>
      </w:r>
      <w:r w:rsidR="00EB606E" w:rsidRPr="00C649E1">
        <w:rPr>
          <w:rFonts w:asciiTheme="majorHAnsi" w:hAnsiTheme="majorHAnsi"/>
          <w:sz w:val="20"/>
          <w:szCs w:val="20"/>
        </w:rPr>
        <w:t>trial</w:t>
      </w:r>
      <w:r w:rsidR="00866759" w:rsidRPr="00C649E1">
        <w:rPr>
          <w:rFonts w:asciiTheme="majorHAnsi" w:hAnsiTheme="majorHAnsi"/>
          <w:sz w:val="20"/>
          <w:szCs w:val="20"/>
        </w:rPr>
        <w:t xml:space="preserve"> concluded that Mr. Robinson’s mental profile was “consistent with </w:t>
      </w:r>
      <w:r w:rsidR="00866759" w:rsidRPr="00C649E1">
        <w:rPr>
          <w:rFonts w:asciiTheme="majorHAnsi" w:hAnsiTheme="majorHAnsi"/>
          <w:i/>
          <w:sz w:val="20"/>
          <w:szCs w:val="20"/>
        </w:rPr>
        <w:t>subtle</w:t>
      </w:r>
      <w:r w:rsidR="00866759" w:rsidRPr="00C649E1">
        <w:rPr>
          <w:rFonts w:asciiTheme="majorHAnsi" w:hAnsiTheme="majorHAnsi"/>
          <w:sz w:val="20"/>
          <w:szCs w:val="20"/>
        </w:rPr>
        <w:t xml:space="preserve"> cognitive deficits associated with chronic exposure to organophosphate pesticides combined with general learning disabilities”</w:t>
      </w:r>
      <w:r w:rsidR="00F05786" w:rsidRPr="00C649E1">
        <w:rPr>
          <w:rFonts w:asciiTheme="majorHAnsi" w:hAnsiTheme="majorHAnsi"/>
          <w:sz w:val="20"/>
          <w:szCs w:val="20"/>
        </w:rPr>
        <w:t xml:space="preserve"> and did not opine on the likelihood that these subtle cognitive defects would affect Mr. Robinson’s ability to plan and implement the murder of three individuals.</w:t>
      </w:r>
      <w:r w:rsidR="00866759" w:rsidRPr="00C649E1">
        <w:rPr>
          <w:rStyle w:val="FootnoteReference"/>
          <w:rFonts w:asciiTheme="majorHAnsi" w:hAnsiTheme="majorHAnsi"/>
          <w:sz w:val="20"/>
          <w:szCs w:val="20"/>
        </w:rPr>
        <w:footnoteReference w:id="23"/>
      </w:r>
      <w:r w:rsidR="006A3252" w:rsidRPr="00C649E1">
        <w:rPr>
          <w:rFonts w:asciiTheme="majorHAnsi" w:hAnsiTheme="majorHAnsi"/>
          <w:sz w:val="20"/>
          <w:szCs w:val="20"/>
        </w:rPr>
        <w:t xml:space="preserve"> </w:t>
      </w:r>
    </w:p>
    <w:p w14:paraId="4A5B6496" w14:textId="77777777" w:rsidR="005224D2" w:rsidRPr="00C649E1" w:rsidRDefault="005224D2" w:rsidP="005224D2">
      <w:pPr>
        <w:pStyle w:val="ListParagraph"/>
        <w:rPr>
          <w:rFonts w:asciiTheme="majorHAnsi" w:hAnsiTheme="majorHAnsi"/>
          <w:sz w:val="20"/>
          <w:szCs w:val="20"/>
        </w:rPr>
      </w:pPr>
    </w:p>
    <w:p w14:paraId="2F2E98AC" w14:textId="77777777" w:rsidR="00180BA3" w:rsidRPr="00C649E1" w:rsidRDefault="005224D2" w:rsidP="00FF77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R</w:t>
      </w:r>
      <w:r w:rsidR="006A3252" w:rsidRPr="00C649E1">
        <w:rPr>
          <w:rFonts w:asciiTheme="majorHAnsi" w:hAnsiTheme="majorHAnsi"/>
          <w:sz w:val="20"/>
          <w:szCs w:val="20"/>
        </w:rPr>
        <w:t xml:space="preserve">egarding the alleged failure to hire a mental-health expert and discover evidence of </w:t>
      </w:r>
      <w:r w:rsidR="006A3252" w:rsidRPr="00C649E1">
        <w:rPr>
          <w:rFonts w:asciiTheme="majorHAnsi" w:hAnsiTheme="majorHAnsi"/>
          <w:i/>
          <w:sz w:val="20"/>
          <w:szCs w:val="20"/>
        </w:rPr>
        <w:t>in utero</w:t>
      </w:r>
      <w:r w:rsidR="006A3252" w:rsidRPr="00C649E1">
        <w:rPr>
          <w:rFonts w:asciiTheme="majorHAnsi" w:hAnsiTheme="majorHAnsi"/>
          <w:sz w:val="20"/>
          <w:szCs w:val="20"/>
        </w:rPr>
        <w:t xml:space="preserve"> exposure to drugs and alcohol during his mother’s pregnancy, the Court concluded that the expert opinion presented by Mr. Robinson indicating that his “mental and social history made him more vulnerable to psychological and emotional problems throughout his life,” </w:t>
      </w:r>
      <w:r w:rsidR="004A5960" w:rsidRPr="00C649E1">
        <w:rPr>
          <w:rFonts w:asciiTheme="majorHAnsi" w:hAnsiTheme="majorHAnsi"/>
          <w:sz w:val="20"/>
          <w:szCs w:val="20"/>
        </w:rPr>
        <w:t>would have not persuaded the jury, in light of all evidence to the con</w:t>
      </w:r>
      <w:r w:rsidR="00FA6290" w:rsidRPr="00C649E1">
        <w:rPr>
          <w:rFonts w:asciiTheme="majorHAnsi" w:hAnsiTheme="majorHAnsi"/>
          <w:sz w:val="20"/>
          <w:szCs w:val="20"/>
        </w:rPr>
        <w:t>trary, that Mr. Robinson was les</w:t>
      </w:r>
      <w:r w:rsidR="004A5960" w:rsidRPr="00C649E1">
        <w:rPr>
          <w:rFonts w:asciiTheme="majorHAnsi" w:hAnsiTheme="majorHAnsi"/>
          <w:sz w:val="20"/>
          <w:szCs w:val="20"/>
        </w:rPr>
        <w:t xml:space="preserve">s culpable for the murders. </w:t>
      </w:r>
    </w:p>
    <w:p w14:paraId="29A3D195" w14:textId="77777777" w:rsidR="00986966" w:rsidRPr="00C649E1" w:rsidRDefault="00986966" w:rsidP="00986966">
      <w:pPr>
        <w:pStyle w:val="ListParagraph"/>
        <w:rPr>
          <w:rFonts w:asciiTheme="majorHAnsi" w:hAnsiTheme="majorHAnsi"/>
          <w:sz w:val="20"/>
          <w:szCs w:val="20"/>
        </w:rPr>
      </w:pPr>
    </w:p>
    <w:p w14:paraId="0CAC0578" w14:textId="77777777" w:rsidR="00986966" w:rsidRPr="00C649E1" w:rsidRDefault="00F527E0"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Mr. Robinson also claimed that trial counsel failed to sufficiently look for mitigating evidence in his social history, including declarations from his relatives and neighbors during the time he lived in Arkansas. The court noted in this regard that much of the substance of these declarations covered periods before Mr. Robinson’s births. As to the declarations regarding Mr. Robinson’s involvement with gangs during his youth in Arkansas, the court noted that counsel strategically chose not to emphasize this information at trial because of fear that it would harm Mr. Robinson’s case more than it would help.</w:t>
      </w:r>
    </w:p>
    <w:p w14:paraId="3E5A72E2" w14:textId="77777777" w:rsidR="006F67D6" w:rsidRPr="00C649E1" w:rsidRDefault="006F67D6" w:rsidP="006F67D6">
      <w:pPr>
        <w:pStyle w:val="ListParagraph"/>
        <w:rPr>
          <w:rFonts w:asciiTheme="majorHAnsi" w:hAnsiTheme="majorHAnsi"/>
          <w:sz w:val="20"/>
          <w:szCs w:val="20"/>
        </w:rPr>
      </w:pPr>
    </w:p>
    <w:p w14:paraId="2EF61AF9" w14:textId="77777777" w:rsidR="00E5771B" w:rsidRPr="00C649E1" w:rsidRDefault="006F67D6" w:rsidP="000215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The district court concluded that Mr. Robinson’s counsel employed an experienced investigator, conducted a thorough investigation, and presented evidence from numerous positive character witnesses. </w:t>
      </w:r>
      <w:r w:rsidR="00C462FA" w:rsidRPr="00C649E1">
        <w:rPr>
          <w:rFonts w:asciiTheme="majorHAnsi" w:hAnsiTheme="majorHAnsi"/>
          <w:sz w:val="20"/>
          <w:szCs w:val="20"/>
        </w:rPr>
        <w:t>In particular, i</w:t>
      </w:r>
      <w:r w:rsidRPr="00C649E1">
        <w:rPr>
          <w:rFonts w:asciiTheme="majorHAnsi" w:hAnsiTheme="majorHAnsi"/>
          <w:sz w:val="20"/>
          <w:szCs w:val="20"/>
        </w:rPr>
        <w:t>t noted that</w:t>
      </w:r>
      <w:r w:rsidR="00E5771B" w:rsidRPr="00C649E1">
        <w:rPr>
          <w:rFonts w:asciiTheme="majorHAnsi" w:hAnsiTheme="majorHAnsi"/>
          <w:sz w:val="20"/>
          <w:szCs w:val="20"/>
        </w:rPr>
        <w:t>:</w:t>
      </w:r>
      <w:r w:rsidR="00AD5BF9" w:rsidRPr="00C649E1">
        <w:rPr>
          <w:rStyle w:val="FootnoteReference"/>
          <w:rFonts w:asciiTheme="majorHAnsi" w:hAnsiTheme="majorHAnsi"/>
          <w:sz w:val="20"/>
          <w:szCs w:val="20"/>
        </w:rPr>
        <w:footnoteReference w:id="24"/>
      </w:r>
    </w:p>
    <w:p w14:paraId="32759840" w14:textId="77777777" w:rsidR="00212497" w:rsidRPr="00C649E1" w:rsidRDefault="00212497" w:rsidP="00212497">
      <w:pPr>
        <w:pStyle w:val="ListParagraph"/>
        <w:rPr>
          <w:rFonts w:asciiTheme="majorHAnsi" w:hAnsiTheme="majorHAnsi"/>
          <w:sz w:val="20"/>
          <w:szCs w:val="20"/>
        </w:rPr>
      </w:pPr>
    </w:p>
    <w:p w14:paraId="645EA843" w14:textId="77777777" w:rsidR="006F67D6" w:rsidRPr="00C649E1" w:rsidRDefault="00E5771B" w:rsidP="00E5771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360" w:right="360"/>
        <w:jc w:val="both"/>
        <w:textAlignment w:val="baseline"/>
        <w:rPr>
          <w:rFonts w:asciiTheme="majorHAnsi" w:hAnsiTheme="majorHAnsi"/>
          <w:sz w:val="18"/>
          <w:szCs w:val="18"/>
        </w:rPr>
      </w:pPr>
      <w:r w:rsidRPr="00C649E1">
        <w:rPr>
          <w:rFonts w:asciiTheme="majorHAnsi" w:hAnsiTheme="majorHAnsi"/>
          <w:sz w:val="18"/>
          <w:szCs w:val="18"/>
        </w:rPr>
        <w:t xml:space="preserve">[…] </w:t>
      </w:r>
      <w:r w:rsidR="006F67D6" w:rsidRPr="00C649E1">
        <w:rPr>
          <w:rFonts w:asciiTheme="majorHAnsi" w:hAnsiTheme="majorHAnsi"/>
          <w:sz w:val="18"/>
          <w:szCs w:val="18"/>
        </w:rPr>
        <w:t>even if the new declarations provide evidence that his home life may have been less positive than was portrayed at trial and that he had some difficulty with school, that evidence does not demonstrate prejudice</w:t>
      </w:r>
      <w:r w:rsidRPr="00C649E1">
        <w:rPr>
          <w:rFonts w:asciiTheme="majorHAnsi" w:hAnsiTheme="majorHAnsi"/>
          <w:sz w:val="18"/>
          <w:szCs w:val="18"/>
        </w:rPr>
        <w:t>. It is clearly established that in order to prevail on his claim of insufficiency of counsel based on failure to investigate, Robinson “must allege with specificity what the investigation would have revealed and how it would have altered the outcome of the trial.”</w:t>
      </w:r>
    </w:p>
    <w:p w14:paraId="1E6A0A74" w14:textId="77777777" w:rsidR="00B6392F" w:rsidRPr="00C649E1" w:rsidRDefault="00B6392F" w:rsidP="00F527E0"/>
    <w:p w14:paraId="651FBE22" w14:textId="77777777" w:rsidR="00212497" w:rsidRPr="00C649E1" w:rsidRDefault="00212497" w:rsidP="0021249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72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In his last claim for relief based on ineffective assistance of trial counsel, Mr. Robinson alleged failure to raise a </w:t>
      </w:r>
      <w:r w:rsidRPr="00C649E1">
        <w:rPr>
          <w:rFonts w:asciiTheme="majorHAnsi" w:hAnsiTheme="majorHAnsi"/>
          <w:i/>
          <w:sz w:val="20"/>
          <w:szCs w:val="20"/>
        </w:rPr>
        <w:t>Batson</w:t>
      </w:r>
      <w:r w:rsidRPr="00C649E1">
        <w:rPr>
          <w:rFonts w:asciiTheme="majorHAnsi" w:hAnsiTheme="majorHAnsi"/>
          <w:sz w:val="20"/>
          <w:szCs w:val="20"/>
        </w:rPr>
        <w:t xml:space="preserve"> challenge on direct appeal in light of racial discrimination in the selection of </w:t>
      </w:r>
      <w:r w:rsidR="009C7A36" w:rsidRPr="00C649E1">
        <w:rPr>
          <w:rFonts w:asciiTheme="majorHAnsi" w:hAnsiTheme="majorHAnsi"/>
          <w:sz w:val="20"/>
          <w:szCs w:val="20"/>
        </w:rPr>
        <w:t>the</w:t>
      </w:r>
      <w:r w:rsidRPr="00C649E1">
        <w:rPr>
          <w:rFonts w:asciiTheme="majorHAnsi" w:hAnsiTheme="majorHAnsi"/>
          <w:sz w:val="20"/>
          <w:szCs w:val="20"/>
        </w:rPr>
        <w:t xml:space="preserve"> jury. </w:t>
      </w:r>
      <w:r w:rsidR="009C7A36" w:rsidRPr="00C649E1">
        <w:rPr>
          <w:rFonts w:asciiTheme="majorHAnsi" w:hAnsiTheme="majorHAnsi"/>
          <w:sz w:val="20"/>
          <w:szCs w:val="20"/>
        </w:rPr>
        <w:t xml:space="preserve">After analyzing the situation of the three venire members at issue, the district court concluded that Mr. Robinson failed to demonstrate that his counsel performed below a reasonable professional standard, and therefore denied the claim of ineffective assistance of counsel on this basis. </w:t>
      </w:r>
    </w:p>
    <w:p w14:paraId="0DCE0ED3" w14:textId="77777777" w:rsidR="003F7D74" w:rsidRPr="00C649E1" w:rsidRDefault="003F7D74" w:rsidP="00F527E0"/>
    <w:p w14:paraId="351B5A6B" w14:textId="77777777" w:rsidR="009C7A36" w:rsidRPr="00C649E1" w:rsidRDefault="009C7A36" w:rsidP="00074E33">
      <w:pPr>
        <w:pStyle w:val="ListParagraph"/>
        <w:numPr>
          <w:ilvl w:val="0"/>
          <w:numId w:val="63"/>
        </w:numPr>
        <w:rPr>
          <w:sz w:val="20"/>
          <w:szCs w:val="20"/>
        </w:rPr>
      </w:pPr>
      <w:r w:rsidRPr="00C649E1">
        <w:rPr>
          <w:sz w:val="20"/>
          <w:szCs w:val="20"/>
        </w:rPr>
        <w:t>Racial discrimination</w:t>
      </w:r>
    </w:p>
    <w:p w14:paraId="75688353" w14:textId="77777777" w:rsidR="009C7A36" w:rsidRPr="00C649E1" w:rsidRDefault="009C7A36" w:rsidP="009C7A36"/>
    <w:p w14:paraId="4582F9CB" w14:textId="77777777" w:rsidR="00114390" w:rsidRPr="00C649E1" w:rsidRDefault="00C17F1B" w:rsidP="00BC655C">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Mr. Robinson alleged that racial discrimination permeated his entire trial, and that the prosecution exercised peremptory challenges during jury selection in a racially discriminatory </w:t>
      </w:r>
      <w:r w:rsidR="00BC655C" w:rsidRPr="00C649E1">
        <w:rPr>
          <w:rFonts w:asciiTheme="majorHAnsi" w:hAnsiTheme="majorHAnsi"/>
          <w:sz w:val="20"/>
          <w:szCs w:val="20"/>
        </w:rPr>
        <w:t xml:space="preserve">manner. </w:t>
      </w:r>
      <w:r w:rsidR="00F91E3D" w:rsidRPr="00C649E1">
        <w:rPr>
          <w:rFonts w:asciiTheme="majorHAnsi" w:hAnsiTheme="majorHAnsi"/>
          <w:sz w:val="20"/>
          <w:szCs w:val="20"/>
        </w:rPr>
        <w:t>In its opinion</w:t>
      </w:r>
      <w:r w:rsidR="00CB5565" w:rsidRPr="00C649E1">
        <w:rPr>
          <w:rFonts w:asciiTheme="majorHAnsi" w:hAnsiTheme="majorHAnsi"/>
          <w:sz w:val="20"/>
          <w:szCs w:val="20"/>
        </w:rPr>
        <w:t>,</w:t>
      </w:r>
      <w:r w:rsidR="00F91E3D" w:rsidRPr="00C649E1">
        <w:rPr>
          <w:rFonts w:asciiTheme="majorHAnsi" w:hAnsiTheme="majorHAnsi"/>
          <w:sz w:val="20"/>
          <w:szCs w:val="20"/>
        </w:rPr>
        <w:t xml:space="preserve"> the</w:t>
      </w:r>
      <w:r w:rsidR="00BC655C" w:rsidRPr="00C649E1">
        <w:rPr>
          <w:rFonts w:asciiTheme="majorHAnsi" w:hAnsiTheme="majorHAnsi"/>
          <w:sz w:val="20"/>
          <w:szCs w:val="20"/>
        </w:rPr>
        <w:t xml:space="preserve"> district court referred to the jurisprudence of the U.S. Supreme Court of Justice </w:t>
      </w:r>
      <w:r w:rsidR="00CB5565" w:rsidRPr="00C649E1">
        <w:rPr>
          <w:rFonts w:asciiTheme="majorHAnsi" w:hAnsiTheme="majorHAnsi"/>
          <w:sz w:val="20"/>
          <w:szCs w:val="20"/>
        </w:rPr>
        <w:t>on this issue</w:t>
      </w:r>
      <w:r w:rsidR="00BC655C" w:rsidRPr="00C649E1">
        <w:rPr>
          <w:rFonts w:asciiTheme="majorHAnsi" w:hAnsiTheme="majorHAnsi"/>
          <w:sz w:val="20"/>
          <w:szCs w:val="20"/>
        </w:rPr>
        <w:t>, as follows:</w:t>
      </w:r>
      <w:r w:rsidR="00DC1C6D" w:rsidRPr="00C649E1">
        <w:rPr>
          <w:rStyle w:val="FootnoteReference"/>
          <w:rFonts w:asciiTheme="majorHAnsi" w:hAnsiTheme="majorHAnsi"/>
          <w:sz w:val="20"/>
          <w:szCs w:val="20"/>
        </w:rPr>
        <w:footnoteReference w:id="25"/>
      </w:r>
      <w:r w:rsidR="00BC655C" w:rsidRPr="00C649E1">
        <w:rPr>
          <w:rFonts w:asciiTheme="majorHAnsi" w:hAnsiTheme="majorHAnsi"/>
          <w:sz w:val="20"/>
          <w:szCs w:val="20"/>
        </w:rPr>
        <w:t xml:space="preserve"> </w:t>
      </w:r>
    </w:p>
    <w:p w14:paraId="4CB5B74A" w14:textId="77777777" w:rsidR="00F91E3D" w:rsidRPr="00C649E1" w:rsidRDefault="00F91E3D" w:rsidP="00F91E3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20"/>
          <w:szCs w:val="20"/>
        </w:rPr>
      </w:pPr>
    </w:p>
    <w:p w14:paraId="724563DA" w14:textId="77777777" w:rsidR="00F91E3D" w:rsidRPr="00C649E1" w:rsidRDefault="00F91E3D" w:rsidP="00DC1C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1440"/>
        </w:tabs>
        <w:ind w:left="360" w:right="360"/>
        <w:jc w:val="both"/>
        <w:textAlignment w:val="baseline"/>
        <w:rPr>
          <w:rFonts w:asciiTheme="majorHAnsi" w:hAnsiTheme="majorHAnsi"/>
          <w:sz w:val="18"/>
          <w:szCs w:val="18"/>
        </w:rPr>
      </w:pPr>
      <w:r w:rsidRPr="00C649E1">
        <w:rPr>
          <w:rFonts w:asciiTheme="majorHAnsi" w:hAnsiTheme="majorHAnsi"/>
          <w:sz w:val="18"/>
          <w:szCs w:val="18"/>
        </w:rPr>
        <w:t xml:space="preserve">In </w:t>
      </w:r>
      <w:r w:rsidRPr="00C649E1">
        <w:rPr>
          <w:rFonts w:asciiTheme="majorHAnsi" w:hAnsiTheme="majorHAnsi"/>
          <w:i/>
          <w:sz w:val="18"/>
          <w:szCs w:val="18"/>
        </w:rPr>
        <w:t>Strauder v. West Virginia</w:t>
      </w:r>
      <w:r w:rsidRPr="00C649E1">
        <w:rPr>
          <w:rFonts w:asciiTheme="majorHAnsi" w:hAnsiTheme="majorHAnsi"/>
          <w:sz w:val="18"/>
          <w:szCs w:val="18"/>
        </w:rPr>
        <w:t xml:space="preserve">, 100 U.S. 303 (1880), the United States Supreme Court held that when a black defendant has been tried by a jury from which members of his own race have been purposely excluded, he has been denied equal protection of the law. In </w:t>
      </w:r>
      <w:r w:rsidRPr="00C649E1">
        <w:rPr>
          <w:rFonts w:asciiTheme="majorHAnsi" w:hAnsiTheme="majorHAnsi"/>
          <w:i/>
          <w:sz w:val="18"/>
          <w:szCs w:val="18"/>
        </w:rPr>
        <w:t>Batson</w:t>
      </w:r>
      <w:r w:rsidRPr="00C649E1">
        <w:rPr>
          <w:rFonts w:asciiTheme="majorHAnsi" w:hAnsiTheme="majorHAnsi"/>
          <w:sz w:val="18"/>
          <w:szCs w:val="18"/>
        </w:rPr>
        <w:t xml:space="preserve">, the Court reaffirmed this holding and further held that the Equal Protection Clause forbids a prosecutor from using his peremptory challenges to challenge potential jurors solely on account of their race. See 476 U.S. at 88. The Court also held that, in order to establish a claim of purposeful racial discrimination in the jury-selection process by the prosecutor’s use of peremptory challenges, a criminal defendant must first make out a prima-facie case of purposeful discrimination by first showing that he is a member of a racial group capable of being singled out for differential treatment and that the prosecutor has exercised peremptory challenges to remove from the jury panel members of his race. A defendant must then show that these facts and other circumstances would support an inference that the prosecutor used the practice to exclude venire members based on their race. Once this showing has been made, the burden then shifts to the government to provide a race-neutral explanation for </w:t>
      </w:r>
      <w:r w:rsidR="00DC1C6D" w:rsidRPr="00C649E1">
        <w:rPr>
          <w:rFonts w:asciiTheme="majorHAnsi" w:hAnsiTheme="majorHAnsi"/>
          <w:sz w:val="18"/>
          <w:szCs w:val="18"/>
        </w:rPr>
        <w:t xml:space="preserve">challenging the jurors. </w:t>
      </w:r>
      <w:r w:rsidR="00DC1C6D" w:rsidRPr="00C649E1">
        <w:rPr>
          <w:rFonts w:asciiTheme="majorHAnsi" w:hAnsiTheme="majorHAnsi"/>
          <w:i/>
          <w:sz w:val="18"/>
          <w:szCs w:val="18"/>
        </w:rPr>
        <w:t>Id.</w:t>
      </w:r>
      <w:r w:rsidR="00DC1C6D" w:rsidRPr="00C649E1">
        <w:rPr>
          <w:rFonts w:asciiTheme="majorHAnsi" w:hAnsiTheme="majorHAnsi"/>
          <w:sz w:val="18"/>
          <w:szCs w:val="18"/>
        </w:rPr>
        <w:t xml:space="preserve"> at 96. If the government presents a racially neutral explanation for a strike, </w:t>
      </w:r>
      <w:r w:rsidRPr="00C649E1">
        <w:rPr>
          <w:rFonts w:asciiTheme="majorHAnsi" w:hAnsiTheme="majorHAnsi"/>
          <w:sz w:val="18"/>
          <w:szCs w:val="18"/>
        </w:rPr>
        <w:t>the trial court must decide whether the defendant has carried his burden of proving purposeful racial discrimination.</w:t>
      </w:r>
      <w:r w:rsidR="00DC1C6D" w:rsidRPr="00C649E1">
        <w:rPr>
          <w:rFonts w:asciiTheme="majorHAnsi" w:hAnsiTheme="majorHAnsi"/>
          <w:sz w:val="18"/>
          <w:szCs w:val="18"/>
        </w:rPr>
        <w:t xml:space="preserve"> </w:t>
      </w:r>
      <w:r w:rsidR="00DC1C6D" w:rsidRPr="00C649E1">
        <w:rPr>
          <w:rFonts w:asciiTheme="majorHAnsi" w:hAnsiTheme="majorHAnsi"/>
          <w:i/>
          <w:sz w:val="18"/>
          <w:szCs w:val="18"/>
        </w:rPr>
        <w:t>Id.</w:t>
      </w:r>
      <w:r w:rsidR="00DC1C6D" w:rsidRPr="00C649E1">
        <w:rPr>
          <w:rFonts w:asciiTheme="majorHAnsi" w:hAnsiTheme="majorHAnsi"/>
          <w:sz w:val="18"/>
          <w:szCs w:val="18"/>
        </w:rPr>
        <w:t xml:space="preserve"> at 98; </w:t>
      </w:r>
      <w:r w:rsidR="00DC1C6D" w:rsidRPr="00C649E1">
        <w:rPr>
          <w:rFonts w:asciiTheme="majorHAnsi" w:hAnsiTheme="majorHAnsi"/>
          <w:i/>
          <w:sz w:val="18"/>
          <w:szCs w:val="18"/>
        </w:rPr>
        <w:t>Purkett v. Elem</w:t>
      </w:r>
      <w:r w:rsidR="00DC1C6D" w:rsidRPr="00C649E1">
        <w:rPr>
          <w:rFonts w:asciiTheme="majorHAnsi" w:hAnsiTheme="majorHAnsi"/>
          <w:sz w:val="18"/>
          <w:szCs w:val="18"/>
        </w:rPr>
        <w:t>, 514 U.S. 765, 767-68 (1995).</w:t>
      </w:r>
      <w:r w:rsidRPr="00C649E1">
        <w:rPr>
          <w:rFonts w:asciiTheme="majorHAnsi" w:hAnsiTheme="majorHAnsi"/>
          <w:sz w:val="18"/>
          <w:szCs w:val="18"/>
        </w:rPr>
        <w:t xml:space="preserve"> </w:t>
      </w:r>
    </w:p>
    <w:p w14:paraId="6B149775" w14:textId="77777777" w:rsidR="006C3197" w:rsidRPr="00C649E1" w:rsidRDefault="006C3197" w:rsidP="00DC1C6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1440"/>
        </w:tabs>
        <w:ind w:left="360" w:right="360"/>
        <w:jc w:val="both"/>
        <w:textAlignment w:val="baseline"/>
        <w:rPr>
          <w:rFonts w:asciiTheme="majorHAnsi" w:hAnsiTheme="majorHAnsi"/>
          <w:sz w:val="18"/>
          <w:szCs w:val="18"/>
        </w:rPr>
      </w:pPr>
      <w:r w:rsidRPr="00C649E1">
        <w:rPr>
          <w:rFonts w:asciiTheme="majorHAnsi" w:hAnsiTheme="majorHAnsi"/>
          <w:sz w:val="18"/>
          <w:szCs w:val="18"/>
        </w:rPr>
        <w:t xml:space="preserve">In making the decision as to whether the defendant has met his burden of proof, the </w:t>
      </w:r>
      <w:r w:rsidR="000B0AEA" w:rsidRPr="00C649E1">
        <w:rPr>
          <w:rFonts w:asciiTheme="majorHAnsi" w:hAnsiTheme="majorHAnsi"/>
          <w:sz w:val="18"/>
          <w:szCs w:val="18"/>
        </w:rPr>
        <w:t>truthfulness</w:t>
      </w:r>
      <w:r w:rsidRPr="00C649E1">
        <w:rPr>
          <w:rFonts w:asciiTheme="majorHAnsi" w:hAnsiTheme="majorHAnsi"/>
          <w:sz w:val="18"/>
          <w:szCs w:val="18"/>
        </w:rPr>
        <w:t xml:space="preserve"> of the prosecutor’s explanation must be determined by assessing the credibility and demeanor of the government’s attorney. </w:t>
      </w:r>
      <w:r w:rsidRPr="00C649E1">
        <w:rPr>
          <w:rFonts w:asciiTheme="majorHAnsi" w:hAnsiTheme="majorHAnsi"/>
          <w:i/>
          <w:sz w:val="18"/>
          <w:szCs w:val="18"/>
        </w:rPr>
        <w:t>Hernandez v. New York</w:t>
      </w:r>
      <w:r w:rsidRPr="00C649E1">
        <w:rPr>
          <w:rFonts w:asciiTheme="majorHAnsi" w:hAnsiTheme="majorHAnsi"/>
          <w:sz w:val="18"/>
          <w:szCs w:val="18"/>
        </w:rPr>
        <w:t xml:space="preserve">, 500 U.S. 352, 365 (1991). This judgment is one that lies “peculiarly within a trial judge’s province.” </w:t>
      </w:r>
      <w:r w:rsidRPr="00C649E1">
        <w:rPr>
          <w:rFonts w:asciiTheme="majorHAnsi" w:hAnsiTheme="majorHAnsi"/>
          <w:i/>
          <w:sz w:val="18"/>
          <w:szCs w:val="18"/>
        </w:rPr>
        <w:t>Id</w:t>
      </w:r>
      <w:r w:rsidRPr="00C649E1">
        <w:rPr>
          <w:rFonts w:asciiTheme="majorHAnsi" w:hAnsiTheme="majorHAnsi"/>
          <w:sz w:val="18"/>
          <w:szCs w:val="18"/>
        </w:rPr>
        <w:t xml:space="preserve">. The standard of review is “clear error,” and a trial court’s ruling should not be considered clearly erroneous unless a reviewing court has the firm conviction that a mistake has been committed. </w:t>
      </w:r>
      <w:r w:rsidRPr="00C649E1">
        <w:rPr>
          <w:rFonts w:asciiTheme="majorHAnsi" w:hAnsiTheme="majorHAnsi"/>
          <w:i/>
          <w:sz w:val="18"/>
          <w:szCs w:val="18"/>
        </w:rPr>
        <w:t>United States v. Cobb</w:t>
      </w:r>
      <w:r w:rsidRPr="00C649E1">
        <w:rPr>
          <w:rFonts w:asciiTheme="majorHAnsi" w:hAnsiTheme="majorHAnsi"/>
          <w:sz w:val="18"/>
          <w:szCs w:val="18"/>
        </w:rPr>
        <w:t>, 975 F.2d 152, 154-56 (5</w:t>
      </w:r>
      <w:r w:rsidRPr="00C649E1">
        <w:rPr>
          <w:rFonts w:asciiTheme="majorHAnsi" w:hAnsiTheme="majorHAnsi"/>
          <w:sz w:val="18"/>
          <w:szCs w:val="18"/>
          <w:vertAlign w:val="superscript"/>
        </w:rPr>
        <w:t>th</w:t>
      </w:r>
      <w:r w:rsidRPr="00C649E1">
        <w:rPr>
          <w:rFonts w:asciiTheme="majorHAnsi" w:hAnsiTheme="majorHAnsi"/>
          <w:sz w:val="18"/>
          <w:szCs w:val="18"/>
        </w:rPr>
        <w:t xml:space="preserve"> Cir. 1992), </w:t>
      </w:r>
      <w:r w:rsidRPr="00C649E1">
        <w:rPr>
          <w:rFonts w:asciiTheme="majorHAnsi" w:hAnsiTheme="majorHAnsi"/>
          <w:i/>
          <w:sz w:val="18"/>
          <w:szCs w:val="18"/>
        </w:rPr>
        <w:t>citing Hernandez</w:t>
      </w:r>
      <w:r w:rsidRPr="00C649E1">
        <w:rPr>
          <w:rFonts w:asciiTheme="majorHAnsi" w:hAnsiTheme="majorHAnsi"/>
          <w:sz w:val="18"/>
          <w:szCs w:val="18"/>
        </w:rPr>
        <w:t>, 500 U.S. at 369.</w:t>
      </w:r>
    </w:p>
    <w:p w14:paraId="100347B0" w14:textId="77777777" w:rsidR="009C7A36" w:rsidRPr="00C649E1" w:rsidRDefault="009C7A36" w:rsidP="009C7A36"/>
    <w:p w14:paraId="68E1D8DE" w14:textId="77777777" w:rsidR="003F7D74" w:rsidRPr="00C649E1" w:rsidRDefault="00114390" w:rsidP="001143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The district court went on to examine the </w:t>
      </w:r>
      <w:r w:rsidR="009800E4" w:rsidRPr="00C649E1">
        <w:rPr>
          <w:rFonts w:asciiTheme="majorHAnsi" w:hAnsiTheme="majorHAnsi"/>
          <w:sz w:val="20"/>
          <w:szCs w:val="20"/>
        </w:rPr>
        <w:t xml:space="preserve">peremptory challenges against the </w:t>
      </w:r>
      <w:r w:rsidRPr="00C649E1">
        <w:rPr>
          <w:rFonts w:asciiTheme="majorHAnsi" w:hAnsiTheme="majorHAnsi"/>
          <w:sz w:val="20"/>
          <w:szCs w:val="20"/>
        </w:rPr>
        <w:t>three</w:t>
      </w:r>
      <w:r w:rsidR="009800E4" w:rsidRPr="00C649E1">
        <w:rPr>
          <w:rFonts w:asciiTheme="majorHAnsi" w:hAnsiTheme="majorHAnsi"/>
          <w:sz w:val="20"/>
          <w:szCs w:val="20"/>
        </w:rPr>
        <w:t xml:space="preserve"> black</w:t>
      </w:r>
      <w:r w:rsidRPr="00C649E1">
        <w:rPr>
          <w:rFonts w:asciiTheme="majorHAnsi" w:hAnsiTheme="majorHAnsi"/>
          <w:sz w:val="20"/>
          <w:szCs w:val="20"/>
        </w:rPr>
        <w:t xml:space="preserve"> venire members at issue in Mr. Robinson’s motion. </w:t>
      </w:r>
      <w:r w:rsidR="00327DA0" w:rsidRPr="00C649E1">
        <w:rPr>
          <w:rFonts w:asciiTheme="majorHAnsi" w:hAnsiTheme="majorHAnsi"/>
          <w:sz w:val="20"/>
          <w:szCs w:val="20"/>
        </w:rPr>
        <w:t xml:space="preserve">Regarding the first venire member, the court noted that both the prosecutor and defense counsel exercised peremptory challenges. With regard to the second member, the court </w:t>
      </w:r>
      <w:r w:rsidR="006C3197" w:rsidRPr="00C649E1">
        <w:rPr>
          <w:rFonts w:asciiTheme="majorHAnsi" w:hAnsiTheme="majorHAnsi"/>
          <w:sz w:val="20"/>
          <w:szCs w:val="20"/>
        </w:rPr>
        <w:t xml:space="preserve">concluded that the explanations for the peremptory strike given by the prosecution (that the member’s husband and brother were involved in drug trafficking) were race-neutral. </w:t>
      </w:r>
      <w:r w:rsidR="00CB5565" w:rsidRPr="00C649E1">
        <w:rPr>
          <w:rFonts w:asciiTheme="majorHAnsi" w:hAnsiTheme="majorHAnsi"/>
          <w:sz w:val="20"/>
          <w:szCs w:val="20"/>
        </w:rPr>
        <w:t xml:space="preserve">In light of </w:t>
      </w:r>
      <w:r w:rsidR="00CF3B31" w:rsidRPr="00C649E1">
        <w:rPr>
          <w:rFonts w:asciiTheme="majorHAnsi" w:hAnsiTheme="majorHAnsi"/>
          <w:sz w:val="20"/>
          <w:szCs w:val="20"/>
        </w:rPr>
        <w:t>this</w:t>
      </w:r>
      <w:r w:rsidR="001A65D4" w:rsidRPr="00C649E1">
        <w:rPr>
          <w:rFonts w:asciiTheme="majorHAnsi" w:hAnsiTheme="majorHAnsi"/>
          <w:sz w:val="20"/>
          <w:szCs w:val="20"/>
        </w:rPr>
        <w:t xml:space="preserve"> and the fact that there was no similarly situated non-black venire member whom the prosecution chose not to strike, the court concluded that Mr. Robinson did not demonstrate that his counsel committed error in choosing not to raise this issue on appeal. </w:t>
      </w:r>
    </w:p>
    <w:p w14:paraId="3B49A3C0" w14:textId="77777777" w:rsidR="001A65D4" w:rsidRPr="00C649E1" w:rsidRDefault="001A65D4" w:rsidP="001A65D4">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20"/>
          <w:szCs w:val="20"/>
        </w:rPr>
      </w:pPr>
    </w:p>
    <w:p w14:paraId="131BD432" w14:textId="77777777" w:rsidR="001A65D4" w:rsidRPr="00C649E1" w:rsidRDefault="009F09D8" w:rsidP="0011439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The third peremptory strike at issue was against venire member Ms. Amarh. </w:t>
      </w:r>
      <w:r w:rsidR="00EE1C3F" w:rsidRPr="00C649E1">
        <w:rPr>
          <w:rFonts w:asciiTheme="majorHAnsi" w:hAnsiTheme="majorHAnsi"/>
          <w:sz w:val="20"/>
          <w:szCs w:val="20"/>
        </w:rPr>
        <w:t>According to the district court:</w:t>
      </w:r>
      <w:r w:rsidR="003738BF" w:rsidRPr="00C649E1">
        <w:rPr>
          <w:rStyle w:val="FootnoteReference"/>
          <w:rFonts w:asciiTheme="majorHAnsi" w:hAnsiTheme="majorHAnsi"/>
          <w:sz w:val="20"/>
          <w:szCs w:val="20"/>
        </w:rPr>
        <w:footnoteReference w:id="26"/>
      </w:r>
    </w:p>
    <w:p w14:paraId="2DA834AB" w14:textId="77777777" w:rsidR="00137FDE" w:rsidRPr="00C649E1" w:rsidRDefault="00137FDE" w:rsidP="00137FDE">
      <w:pPr>
        <w:pStyle w:val="ListParagraph"/>
        <w:rPr>
          <w:rFonts w:asciiTheme="majorHAnsi" w:hAnsiTheme="majorHAnsi"/>
          <w:sz w:val="20"/>
          <w:szCs w:val="20"/>
        </w:rPr>
      </w:pPr>
    </w:p>
    <w:p w14:paraId="28F947EF" w14:textId="77777777" w:rsidR="00EE1C3F" w:rsidRPr="00C649E1" w:rsidRDefault="00EE1C3F" w:rsidP="003738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1440"/>
        </w:tabs>
        <w:ind w:left="360" w:right="360"/>
        <w:jc w:val="both"/>
        <w:textAlignment w:val="baseline"/>
        <w:rPr>
          <w:rFonts w:asciiTheme="majorHAnsi" w:hAnsiTheme="majorHAnsi"/>
          <w:sz w:val="18"/>
          <w:szCs w:val="18"/>
        </w:rPr>
      </w:pPr>
      <w:r w:rsidRPr="00C649E1">
        <w:rPr>
          <w:rFonts w:asciiTheme="majorHAnsi" w:hAnsiTheme="majorHAnsi"/>
          <w:sz w:val="18"/>
          <w:szCs w:val="18"/>
        </w:rPr>
        <w:t>Upon questioning during voir dire, Amarh indicated that she was generally not in favor of the death penalty, commenting that she just did not “agree with it.” […]</w:t>
      </w:r>
      <w:r w:rsidR="0059546C" w:rsidRPr="00C649E1">
        <w:rPr>
          <w:rFonts w:asciiTheme="majorHAnsi" w:hAnsiTheme="majorHAnsi"/>
          <w:sz w:val="18"/>
          <w:szCs w:val="18"/>
        </w:rPr>
        <w:t xml:space="preserve"> </w:t>
      </w:r>
      <w:r w:rsidRPr="00C649E1">
        <w:rPr>
          <w:rFonts w:asciiTheme="majorHAnsi" w:hAnsiTheme="majorHAnsi"/>
          <w:sz w:val="18"/>
          <w:szCs w:val="18"/>
        </w:rPr>
        <w:t>Her questionnaire also indicated that she had mixed feelings about the death penalty. […] But she indicated when questioned that she believed that there are some circumstances that warrant the death penalty. […] When asked by the prosecutor if she likened her position to that of a conscientious objector […], Amarh responded:</w:t>
      </w:r>
      <w:r w:rsidR="000C7D72" w:rsidRPr="00C649E1">
        <w:rPr>
          <w:rStyle w:val="FootnoteReference"/>
          <w:rFonts w:asciiTheme="majorHAnsi" w:hAnsiTheme="majorHAnsi"/>
          <w:sz w:val="18"/>
          <w:szCs w:val="18"/>
        </w:rPr>
        <w:footnoteReference w:id="27"/>
      </w:r>
    </w:p>
    <w:p w14:paraId="7E495E0F" w14:textId="77777777" w:rsidR="000C7D72" w:rsidRPr="00C649E1" w:rsidRDefault="000C7D72" w:rsidP="003738BF">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 w:val="left" w:pos="1440"/>
        </w:tabs>
        <w:ind w:left="360" w:right="360"/>
        <w:jc w:val="both"/>
        <w:textAlignment w:val="baseline"/>
        <w:rPr>
          <w:rFonts w:asciiTheme="majorHAnsi" w:hAnsiTheme="majorHAnsi"/>
          <w:sz w:val="18"/>
          <w:szCs w:val="18"/>
        </w:rPr>
      </w:pPr>
    </w:p>
    <w:p w14:paraId="5FAA552A" w14:textId="77777777" w:rsidR="003F7D74" w:rsidRPr="00C649E1" w:rsidRDefault="00EE1C3F" w:rsidP="000B2E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720" w:right="720"/>
        <w:jc w:val="both"/>
        <w:textAlignment w:val="baseline"/>
        <w:rPr>
          <w:rFonts w:asciiTheme="majorHAnsi" w:hAnsiTheme="majorHAnsi"/>
          <w:sz w:val="18"/>
          <w:szCs w:val="18"/>
        </w:rPr>
      </w:pPr>
      <w:r w:rsidRPr="00C649E1">
        <w:rPr>
          <w:rFonts w:asciiTheme="majorHAnsi" w:hAnsiTheme="majorHAnsi"/>
          <w:sz w:val="18"/>
          <w:szCs w:val="18"/>
        </w:rPr>
        <w:t>It’s kind of hard to say. If I have to do it, you know, as a duty, I will do it. But I just don’t like, you know, the death penalty. I don’t know exactly how to say, but I feel strongly against the death penalty. But if for some – it depends on the circumstances. The circumstances would have to be very strong if I have to do jury duty.</w:t>
      </w:r>
    </w:p>
    <w:p w14:paraId="249225DE" w14:textId="77777777" w:rsidR="000C7D72" w:rsidRPr="00C649E1" w:rsidRDefault="000C7D72" w:rsidP="000B2E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720" w:right="720"/>
        <w:jc w:val="both"/>
        <w:textAlignment w:val="baseline"/>
        <w:rPr>
          <w:rFonts w:asciiTheme="majorHAnsi" w:hAnsiTheme="majorHAnsi"/>
          <w:i/>
          <w:sz w:val="18"/>
          <w:szCs w:val="18"/>
        </w:rPr>
      </w:pPr>
    </w:p>
    <w:p w14:paraId="15C387EC" w14:textId="77777777" w:rsidR="000B2E8E" w:rsidRPr="00C649E1" w:rsidRDefault="000B2E8E" w:rsidP="004A75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360" w:right="360"/>
        <w:jc w:val="both"/>
        <w:textAlignment w:val="baseline"/>
        <w:rPr>
          <w:rFonts w:asciiTheme="majorHAnsi" w:hAnsiTheme="majorHAnsi"/>
          <w:sz w:val="18"/>
          <w:szCs w:val="18"/>
        </w:rPr>
      </w:pPr>
      <w:r w:rsidRPr="00C649E1">
        <w:rPr>
          <w:rFonts w:asciiTheme="majorHAnsi" w:hAnsiTheme="majorHAnsi"/>
          <w:sz w:val="18"/>
          <w:szCs w:val="18"/>
        </w:rPr>
        <w:t xml:space="preserve">[…] the prosecution […] chose to exercise a peremptory strike against her, and defense counsel objected under Batson. […] The Court […] asked the prosecutor to provide a race-neutral reason for striking her, and the prosecution responded that she had “expressed great reluctance concerning the death penalty” and pointed out </w:t>
      </w:r>
      <w:r w:rsidRPr="00C649E1">
        <w:rPr>
          <w:rFonts w:asciiTheme="majorHAnsi" w:hAnsiTheme="majorHAnsi"/>
          <w:sz w:val="18"/>
          <w:szCs w:val="18"/>
        </w:rPr>
        <w:lastRenderedPageBreak/>
        <w:t>that the prosecution had earlier struck a white veni</w:t>
      </w:r>
      <w:r w:rsidR="00FE0C94" w:rsidRPr="00C649E1">
        <w:rPr>
          <w:rFonts w:asciiTheme="majorHAnsi" w:hAnsiTheme="majorHAnsi"/>
          <w:sz w:val="18"/>
          <w:szCs w:val="18"/>
        </w:rPr>
        <w:t>r</w:t>
      </w:r>
      <w:r w:rsidRPr="00C649E1">
        <w:rPr>
          <w:rFonts w:asciiTheme="majorHAnsi" w:hAnsiTheme="majorHAnsi"/>
          <w:sz w:val="18"/>
          <w:szCs w:val="18"/>
        </w:rPr>
        <w:t xml:space="preserve">e member with similar views on the death penalty. Accepting the prosecutor’s explanation as valid, the Court overruled the Batson challenge. A later review of the questions posed to Broadwell reveals that she did not have similar views to Amarh, but Schattman </w:t>
      </w:r>
      <w:r w:rsidR="00FE0C94" w:rsidRPr="00C649E1">
        <w:rPr>
          <w:rFonts w:asciiTheme="majorHAnsi" w:hAnsiTheme="majorHAnsi"/>
          <w:sz w:val="18"/>
          <w:szCs w:val="18"/>
        </w:rPr>
        <w:t xml:space="preserve">[the prosecutor] </w:t>
      </w:r>
      <w:r w:rsidRPr="00C649E1">
        <w:rPr>
          <w:rFonts w:asciiTheme="majorHAnsi" w:hAnsiTheme="majorHAnsi"/>
          <w:sz w:val="18"/>
          <w:szCs w:val="18"/>
        </w:rPr>
        <w:t xml:space="preserve">was apparently reviewing the wrong questionnaire when interviewing her. Regardless of that mistake, however, this Court accepted Shattman’s race </w:t>
      </w:r>
      <w:r w:rsidR="00FE0C94" w:rsidRPr="00C649E1">
        <w:rPr>
          <w:rFonts w:asciiTheme="majorHAnsi" w:hAnsiTheme="majorHAnsi"/>
          <w:sz w:val="18"/>
          <w:szCs w:val="18"/>
        </w:rPr>
        <w:t>neutral</w:t>
      </w:r>
      <w:r w:rsidRPr="00C649E1">
        <w:rPr>
          <w:rFonts w:asciiTheme="majorHAnsi" w:hAnsiTheme="majorHAnsi"/>
          <w:sz w:val="18"/>
          <w:szCs w:val="18"/>
        </w:rPr>
        <w:t xml:space="preserve"> explanation for striking Amarh based on her </w:t>
      </w:r>
      <w:r w:rsidR="00FE0C94" w:rsidRPr="00C649E1">
        <w:rPr>
          <w:rFonts w:asciiTheme="majorHAnsi" w:hAnsiTheme="majorHAnsi"/>
          <w:sz w:val="18"/>
          <w:szCs w:val="18"/>
        </w:rPr>
        <w:t xml:space="preserve">answers </w:t>
      </w:r>
      <w:r w:rsidR="00A6250F" w:rsidRPr="00C649E1">
        <w:rPr>
          <w:rFonts w:asciiTheme="majorHAnsi" w:hAnsiTheme="majorHAnsi"/>
          <w:sz w:val="18"/>
          <w:szCs w:val="18"/>
        </w:rPr>
        <w:t xml:space="preserve">in her questionnaire and </w:t>
      </w:r>
      <w:r w:rsidR="00A6250F" w:rsidRPr="00C649E1">
        <w:rPr>
          <w:rFonts w:asciiTheme="majorHAnsi" w:hAnsiTheme="majorHAnsi"/>
          <w:i/>
          <w:sz w:val="18"/>
          <w:szCs w:val="18"/>
        </w:rPr>
        <w:t>voir dire</w:t>
      </w:r>
      <w:r w:rsidR="00FE0C94" w:rsidRPr="00C649E1">
        <w:rPr>
          <w:rFonts w:asciiTheme="majorHAnsi" w:hAnsiTheme="majorHAnsi"/>
          <w:sz w:val="18"/>
          <w:szCs w:val="18"/>
        </w:rPr>
        <w:t xml:space="preserve"> regarding the death penalty.</w:t>
      </w:r>
    </w:p>
    <w:p w14:paraId="09422D26" w14:textId="77777777" w:rsidR="000C7D72" w:rsidRPr="00C649E1" w:rsidRDefault="000C7D72" w:rsidP="004A75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360" w:right="360"/>
        <w:jc w:val="both"/>
        <w:textAlignment w:val="baseline"/>
        <w:rPr>
          <w:rFonts w:asciiTheme="majorHAnsi" w:hAnsiTheme="majorHAnsi"/>
          <w:sz w:val="18"/>
          <w:szCs w:val="18"/>
        </w:rPr>
      </w:pPr>
    </w:p>
    <w:p w14:paraId="4ACAB810" w14:textId="77777777" w:rsidR="00312762" w:rsidRPr="00C649E1" w:rsidRDefault="00312762" w:rsidP="004A75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left="360" w:right="360"/>
        <w:jc w:val="both"/>
        <w:textAlignment w:val="baseline"/>
        <w:rPr>
          <w:rFonts w:asciiTheme="majorHAnsi" w:hAnsiTheme="majorHAnsi"/>
          <w:sz w:val="18"/>
          <w:szCs w:val="18"/>
        </w:rPr>
      </w:pPr>
      <w:r w:rsidRPr="00C649E1">
        <w:rPr>
          <w:rFonts w:asciiTheme="majorHAnsi" w:hAnsiTheme="majorHAnsi"/>
          <w:sz w:val="18"/>
          <w:szCs w:val="18"/>
        </w:rPr>
        <w:t xml:space="preserve">[…] the Court does not accept Robinson’s argument that white jurors with similar backgrounds were not struck. The prosecution struck a number of white venire members with similar views. </w:t>
      </w:r>
      <w:r w:rsidR="002E4F3B" w:rsidRPr="00C649E1">
        <w:rPr>
          <w:rFonts w:asciiTheme="majorHAnsi" w:hAnsiTheme="majorHAnsi"/>
          <w:sz w:val="18"/>
          <w:szCs w:val="18"/>
        </w:rPr>
        <w:t>[…]</w:t>
      </w:r>
      <w:r w:rsidR="00C462FA" w:rsidRPr="00C649E1">
        <w:rPr>
          <w:rFonts w:asciiTheme="majorHAnsi" w:hAnsiTheme="majorHAnsi"/>
          <w:sz w:val="18"/>
          <w:szCs w:val="18"/>
        </w:rPr>
        <w:t xml:space="preserve"> Robinson charges that the government chose to keep venirewoman Broome, a white juror </w:t>
      </w:r>
      <w:r w:rsidR="00B675B8" w:rsidRPr="00C649E1">
        <w:rPr>
          <w:rFonts w:asciiTheme="majorHAnsi" w:hAnsiTheme="majorHAnsi"/>
          <w:sz w:val="18"/>
          <w:szCs w:val="18"/>
        </w:rPr>
        <w:t>whom Robinson claims shared Amarh’s views […] Likewise</w:t>
      </w:r>
      <w:r w:rsidR="002E4F3B" w:rsidRPr="00C649E1">
        <w:rPr>
          <w:rFonts w:asciiTheme="majorHAnsi" w:hAnsiTheme="majorHAnsi"/>
          <w:sz w:val="18"/>
          <w:szCs w:val="18"/>
        </w:rPr>
        <w:t xml:space="preserve"> white venirewoman Mills stated that she could impose the death penalty, but noted that it would be a hard decision. And, unlike Amarh, she did not provide any answers in her questionnaire indicating that she opposed the death penalty. </w:t>
      </w:r>
      <w:r w:rsidR="0094652E" w:rsidRPr="00C649E1">
        <w:rPr>
          <w:rFonts w:asciiTheme="majorHAnsi" w:hAnsiTheme="majorHAnsi"/>
          <w:sz w:val="18"/>
          <w:szCs w:val="18"/>
        </w:rPr>
        <w:t xml:space="preserve">[…] Banser’s questionnaire answers likewise revealed that she was in favor of the death penalty. She did state, however, that if a sentence of life without release was available, she could not recommend a death sentence, but she </w:t>
      </w:r>
      <w:r w:rsidR="000C7D72" w:rsidRPr="00C649E1">
        <w:rPr>
          <w:rFonts w:asciiTheme="majorHAnsi" w:hAnsiTheme="majorHAnsi"/>
          <w:sz w:val="18"/>
          <w:szCs w:val="18"/>
        </w:rPr>
        <w:t>[later] clarified that if the facts justified a sentence of death that she could impose it.</w:t>
      </w:r>
      <w:r w:rsidRPr="00C649E1">
        <w:rPr>
          <w:rFonts w:asciiTheme="majorHAnsi" w:hAnsiTheme="majorHAnsi"/>
          <w:sz w:val="18"/>
          <w:szCs w:val="18"/>
        </w:rPr>
        <w:t xml:space="preserve"> </w:t>
      </w:r>
    </w:p>
    <w:p w14:paraId="5E040C90" w14:textId="77777777" w:rsidR="000F734B" w:rsidRPr="00C649E1" w:rsidRDefault="000F734B" w:rsidP="000B2E8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50"/>
          <w:tab w:val="left" w:pos="1440"/>
        </w:tabs>
        <w:ind w:right="720"/>
        <w:jc w:val="both"/>
        <w:textAlignment w:val="baseline"/>
        <w:rPr>
          <w:rFonts w:asciiTheme="majorHAnsi" w:hAnsiTheme="majorHAnsi"/>
          <w:sz w:val="18"/>
          <w:szCs w:val="18"/>
        </w:rPr>
      </w:pPr>
    </w:p>
    <w:p w14:paraId="5C62C67B" w14:textId="77777777" w:rsidR="000F734B" w:rsidRPr="00C649E1" w:rsidRDefault="00137FDE" w:rsidP="00182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18"/>
          <w:szCs w:val="18"/>
        </w:rPr>
      </w:pPr>
      <w:r w:rsidRPr="00C649E1">
        <w:rPr>
          <w:rFonts w:asciiTheme="majorHAnsi" w:hAnsiTheme="majorHAnsi"/>
          <w:sz w:val="20"/>
          <w:szCs w:val="20"/>
        </w:rPr>
        <w:t>Mr. Robinson also alleged that the prosecution used race as a basis for seeking the death penalty against</w:t>
      </w:r>
      <w:r w:rsidR="00870526" w:rsidRPr="00C649E1">
        <w:rPr>
          <w:rFonts w:asciiTheme="majorHAnsi" w:hAnsiTheme="majorHAnsi"/>
          <w:sz w:val="20"/>
          <w:szCs w:val="20"/>
        </w:rPr>
        <w:t xml:space="preserve"> African-Americans like himself</w:t>
      </w:r>
      <w:r w:rsidR="00540814" w:rsidRPr="00C649E1">
        <w:rPr>
          <w:rFonts w:asciiTheme="majorHAnsi" w:hAnsiTheme="majorHAnsi"/>
          <w:sz w:val="20"/>
          <w:szCs w:val="20"/>
        </w:rPr>
        <w:t>. He</w:t>
      </w:r>
      <w:r w:rsidR="00870526" w:rsidRPr="00C649E1">
        <w:rPr>
          <w:rFonts w:asciiTheme="majorHAnsi" w:hAnsiTheme="majorHAnsi"/>
          <w:sz w:val="20"/>
          <w:szCs w:val="20"/>
        </w:rPr>
        <w:t xml:space="preserve"> based his claim on statistics to show that the government has sought the death penalty against African-Americans with disproportionate frequency as compared to defendants of other races. </w:t>
      </w:r>
      <w:r w:rsidR="000C395A" w:rsidRPr="00C649E1">
        <w:rPr>
          <w:rFonts w:asciiTheme="majorHAnsi" w:hAnsiTheme="majorHAnsi"/>
          <w:sz w:val="20"/>
          <w:szCs w:val="20"/>
        </w:rPr>
        <w:t xml:space="preserve">Although the district court found that the claim was procedurally barred, it went on to analyze it and concluded that the selective-prosecution claim failed on the merits. </w:t>
      </w:r>
      <w:r w:rsidR="00182A08" w:rsidRPr="00C649E1">
        <w:rPr>
          <w:rFonts w:asciiTheme="majorHAnsi" w:hAnsiTheme="majorHAnsi"/>
          <w:sz w:val="20"/>
          <w:szCs w:val="20"/>
        </w:rPr>
        <w:t xml:space="preserve">Citing the U.S. Supreme Court, the district court </w:t>
      </w:r>
      <w:r w:rsidR="00540814" w:rsidRPr="00C649E1">
        <w:rPr>
          <w:rFonts w:asciiTheme="majorHAnsi" w:hAnsiTheme="majorHAnsi"/>
          <w:sz w:val="20"/>
          <w:szCs w:val="20"/>
        </w:rPr>
        <w:t>asserted</w:t>
      </w:r>
      <w:r w:rsidR="00182A08" w:rsidRPr="00C649E1">
        <w:rPr>
          <w:rFonts w:asciiTheme="majorHAnsi" w:hAnsiTheme="majorHAnsi"/>
          <w:sz w:val="20"/>
          <w:szCs w:val="20"/>
        </w:rPr>
        <w:t xml:space="preserve"> that, in order to establish that a criminal defendant has been selectively prosecuted on the basis of his race, “he must show that the federal prosecutorial policy had a discriminatory effect and that it was motivated by a discriminatory purpose. And, in order to establish a discriminatory effect, the defendant must show that similarly situated individuals of a different race were not prosecuted.”</w:t>
      </w:r>
      <w:r w:rsidR="00427DEF" w:rsidRPr="00C649E1">
        <w:rPr>
          <w:rStyle w:val="FootnoteReference"/>
          <w:rFonts w:asciiTheme="majorHAnsi" w:hAnsiTheme="majorHAnsi"/>
          <w:sz w:val="20"/>
          <w:szCs w:val="20"/>
        </w:rPr>
        <w:footnoteReference w:id="28"/>
      </w:r>
      <w:r w:rsidR="00C93B8A" w:rsidRPr="00C649E1">
        <w:rPr>
          <w:rFonts w:asciiTheme="majorHAnsi" w:hAnsiTheme="majorHAnsi"/>
          <w:sz w:val="20"/>
          <w:szCs w:val="20"/>
        </w:rPr>
        <w:t xml:space="preserve"> The court concluded that, without meritorious </w:t>
      </w:r>
      <w:r w:rsidR="00C93B8A" w:rsidRPr="00C649E1">
        <w:rPr>
          <w:rFonts w:asciiTheme="majorHAnsi" w:hAnsiTheme="majorHAnsi"/>
          <w:i/>
          <w:sz w:val="20"/>
          <w:szCs w:val="20"/>
        </w:rPr>
        <w:t>Batson</w:t>
      </w:r>
      <w:r w:rsidR="00C93B8A" w:rsidRPr="00C649E1">
        <w:rPr>
          <w:rFonts w:asciiTheme="majorHAnsi" w:hAnsiTheme="majorHAnsi"/>
          <w:sz w:val="20"/>
          <w:szCs w:val="20"/>
        </w:rPr>
        <w:t xml:space="preserve"> challenges to rely upon; Mr. Robinson was left </w:t>
      </w:r>
      <w:r w:rsidR="00540814" w:rsidRPr="00C649E1">
        <w:rPr>
          <w:rFonts w:asciiTheme="majorHAnsi" w:hAnsiTheme="majorHAnsi"/>
          <w:sz w:val="20"/>
          <w:szCs w:val="20"/>
        </w:rPr>
        <w:t>only with statistics t</w:t>
      </w:r>
      <w:r w:rsidR="00C93B8A" w:rsidRPr="00C649E1">
        <w:rPr>
          <w:rFonts w:asciiTheme="majorHAnsi" w:hAnsiTheme="majorHAnsi"/>
          <w:sz w:val="20"/>
          <w:szCs w:val="20"/>
        </w:rPr>
        <w:t xml:space="preserve">o support his argument, evidence that is not considered sufficient to establish a prima-facie case. </w:t>
      </w:r>
    </w:p>
    <w:p w14:paraId="5465322D" w14:textId="77777777" w:rsidR="00EE5E57" w:rsidRPr="00C649E1" w:rsidRDefault="00EE5E57" w:rsidP="00EE5E5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18"/>
          <w:szCs w:val="18"/>
        </w:rPr>
      </w:pPr>
    </w:p>
    <w:p w14:paraId="4942CBDA" w14:textId="77777777" w:rsidR="00832F1B" w:rsidRPr="00C649E1" w:rsidRDefault="00EE5E57" w:rsidP="00832F1B">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autoSpaceDE w:val="0"/>
        <w:autoSpaceDN w:val="0"/>
        <w:adjustRightInd w:val="0"/>
        <w:ind w:left="0" w:firstLine="0"/>
        <w:jc w:val="both"/>
        <w:textAlignment w:val="baseline"/>
        <w:rPr>
          <w:sz w:val="20"/>
        </w:rPr>
      </w:pPr>
      <w:r w:rsidRPr="00C649E1">
        <w:rPr>
          <w:rFonts w:asciiTheme="majorHAnsi" w:hAnsiTheme="majorHAnsi"/>
          <w:sz w:val="20"/>
          <w:szCs w:val="20"/>
        </w:rPr>
        <w:t xml:space="preserve">Mr. Robinson </w:t>
      </w:r>
      <w:r w:rsidR="008B443E" w:rsidRPr="00C649E1">
        <w:rPr>
          <w:rFonts w:asciiTheme="majorHAnsi" w:hAnsiTheme="majorHAnsi"/>
          <w:sz w:val="20"/>
          <w:szCs w:val="20"/>
        </w:rPr>
        <w:t xml:space="preserve">sought a certificate of appealability (“COA”) </w:t>
      </w:r>
      <w:r w:rsidR="000F7407" w:rsidRPr="00C649E1">
        <w:rPr>
          <w:rFonts w:asciiTheme="majorHAnsi" w:hAnsiTheme="majorHAnsi"/>
          <w:sz w:val="20"/>
          <w:szCs w:val="20"/>
        </w:rPr>
        <w:t>to appeal the denial of post-conviction, alleging that he received ineffective assistance of counsel at sentencing and that the district court erred by denying his claim without a hearing.</w:t>
      </w:r>
      <w:r w:rsidR="000F7407" w:rsidRPr="00C649E1">
        <w:rPr>
          <w:rStyle w:val="FootnoteReference"/>
          <w:rFonts w:asciiTheme="majorHAnsi" w:hAnsiTheme="majorHAnsi"/>
          <w:sz w:val="20"/>
          <w:szCs w:val="20"/>
        </w:rPr>
        <w:footnoteReference w:id="29"/>
      </w:r>
      <w:r w:rsidR="00205E34" w:rsidRPr="00C649E1">
        <w:rPr>
          <w:rFonts w:asciiTheme="majorHAnsi" w:hAnsiTheme="majorHAnsi"/>
          <w:sz w:val="20"/>
          <w:szCs w:val="20"/>
        </w:rPr>
        <w:t xml:space="preserve"> He presented two </w:t>
      </w:r>
      <w:r w:rsidR="00832F1B" w:rsidRPr="00C649E1">
        <w:rPr>
          <w:rFonts w:asciiTheme="majorHAnsi" w:hAnsiTheme="majorHAnsi"/>
          <w:sz w:val="20"/>
          <w:szCs w:val="20"/>
        </w:rPr>
        <w:t>bases</w:t>
      </w:r>
      <w:r w:rsidR="00205E34" w:rsidRPr="00C649E1">
        <w:rPr>
          <w:rFonts w:asciiTheme="majorHAnsi" w:hAnsiTheme="majorHAnsi"/>
          <w:sz w:val="20"/>
          <w:szCs w:val="20"/>
        </w:rPr>
        <w:t xml:space="preserve"> for his claim: (i) </w:t>
      </w:r>
      <w:r w:rsidR="00ED0275" w:rsidRPr="00C649E1">
        <w:rPr>
          <w:rFonts w:asciiTheme="majorHAnsi" w:hAnsiTheme="majorHAnsi"/>
          <w:sz w:val="20"/>
          <w:szCs w:val="20"/>
        </w:rPr>
        <w:t>failure to</w:t>
      </w:r>
      <w:r w:rsidR="00205E34" w:rsidRPr="00C649E1">
        <w:rPr>
          <w:rFonts w:asciiTheme="majorHAnsi" w:hAnsiTheme="majorHAnsi"/>
          <w:sz w:val="20"/>
          <w:szCs w:val="20"/>
        </w:rPr>
        <w:t xml:space="preserve"> adequately investigate and rebut the prosecution’s evidence regarding future dangerousness; and (ii) </w:t>
      </w:r>
      <w:r w:rsidR="00ED0275" w:rsidRPr="00C649E1">
        <w:rPr>
          <w:rFonts w:asciiTheme="majorHAnsi" w:hAnsiTheme="majorHAnsi"/>
          <w:sz w:val="20"/>
          <w:szCs w:val="20"/>
        </w:rPr>
        <w:t xml:space="preserve">failure to </w:t>
      </w:r>
      <w:r w:rsidR="00205E34" w:rsidRPr="00C649E1">
        <w:rPr>
          <w:rFonts w:asciiTheme="majorHAnsi" w:hAnsiTheme="majorHAnsi"/>
          <w:sz w:val="20"/>
          <w:szCs w:val="20"/>
        </w:rPr>
        <w:t xml:space="preserve">adequately investigate his life history, which would have uncovered additional mitigating evidence. </w:t>
      </w:r>
      <w:r w:rsidR="00ED0275" w:rsidRPr="00C649E1">
        <w:rPr>
          <w:rFonts w:asciiTheme="majorHAnsi" w:hAnsiTheme="majorHAnsi"/>
          <w:sz w:val="20"/>
          <w:szCs w:val="20"/>
        </w:rPr>
        <w:t>To prove his claim, Mr. Robinson was required to show that, but for counsel’s unprofessional errors, there was a reasonable probability that the outcome of the proceeding would have been different.</w:t>
      </w:r>
      <w:r w:rsidR="00832F1B" w:rsidRPr="00C649E1">
        <w:rPr>
          <w:rFonts w:asciiTheme="majorHAnsi" w:hAnsiTheme="majorHAnsi"/>
          <w:sz w:val="20"/>
          <w:szCs w:val="20"/>
        </w:rPr>
        <w:t xml:space="preserve"> Mr. Robinson produced declarations of the </w:t>
      </w:r>
      <w:r w:rsidR="001954CF" w:rsidRPr="00C649E1">
        <w:rPr>
          <w:rFonts w:asciiTheme="majorHAnsi" w:hAnsiTheme="majorHAnsi"/>
          <w:sz w:val="20"/>
          <w:szCs w:val="20"/>
        </w:rPr>
        <w:t xml:space="preserve">three </w:t>
      </w:r>
      <w:r w:rsidR="00832F1B" w:rsidRPr="00C649E1">
        <w:rPr>
          <w:rFonts w:asciiTheme="majorHAnsi" w:hAnsiTheme="majorHAnsi"/>
          <w:sz w:val="20"/>
          <w:szCs w:val="20"/>
        </w:rPr>
        <w:t>persons involved in the alleged attempt on the life of an informant</w:t>
      </w:r>
      <w:r w:rsidR="001954CF" w:rsidRPr="00C649E1">
        <w:rPr>
          <w:rFonts w:asciiTheme="majorHAnsi" w:hAnsiTheme="majorHAnsi"/>
          <w:sz w:val="20"/>
          <w:szCs w:val="20"/>
        </w:rPr>
        <w:t>, and all three</w:t>
      </w:r>
      <w:r w:rsidR="00832F1B" w:rsidRPr="00C649E1">
        <w:rPr>
          <w:rFonts w:asciiTheme="majorHAnsi" w:hAnsiTheme="majorHAnsi"/>
          <w:sz w:val="20"/>
          <w:szCs w:val="20"/>
        </w:rPr>
        <w:t xml:space="preserve"> denied that they were acting under Mr. Robinson’s orders. </w:t>
      </w:r>
    </w:p>
    <w:p w14:paraId="22934C6E" w14:textId="77777777" w:rsidR="00832F1B" w:rsidRPr="00C649E1" w:rsidRDefault="00832F1B" w:rsidP="00BB262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18"/>
          <w:szCs w:val="18"/>
        </w:rPr>
      </w:pPr>
    </w:p>
    <w:p w14:paraId="07E7D076" w14:textId="77777777" w:rsidR="00EE5E57" w:rsidRPr="00C649E1" w:rsidRDefault="00225457" w:rsidP="00182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18"/>
          <w:szCs w:val="18"/>
        </w:rPr>
      </w:pPr>
      <w:r w:rsidRPr="00C649E1">
        <w:rPr>
          <w:rFonts w:asciiTheme="majorHAnsi" w:hAnsiTheme="majorHAnsi"/>
          <w:sz w:val="20"/>
          <w:szCs w:val="20"/>
        </w:rPr>
        <w:t xml:space="preserve">On June 8, 2010, the U.S. Court of Appeals for the Fifth Circuit denied the request for a </w:t>
      </w:r>
      <w:r w:rsidR="000F7407" w:rsidRPr="00C649E1">
        <w:rPr>
          <w:rFonts w:asciiTheme="majorHAnsi" w:hAnsiTheme="majorHAnsi"/>
          <w:sz w:val="20"/>
          <w:szCs w:val="20"/>
        </w:rPr>
        <w:t>COA</w:t>
      </w:r>
      <w:r w:rsidRPr="00C649E1">
        <w:rPr>
          <w:rFonts w:asciiTheme="majorHAnsi" w:hAnsiTheme="majorHAnsi"/>
          <w:sz w:val="20"/>
          <w:szCs w:val="20"/>
        </w:rPr>
        <w:t xml:space="preserve">. </w:t>
      </w:r>
      <w:r w:rsidR="00BB2622" w:rsidRPr="00C649E1">
        <w:rPr>
          <w:rFonts w:asciiTheme="majorHAnsi" w:hAnsiTheme="majorHAnsi"/>
          <w:sz w:val="20"/>
          <w:szCs w:val="20"/>
        </w:rPr>
        <w:t xml:space="preserve">The court concluded, </w:t>
      </w:r>
      <w:r w:rsidR="00BB2622" w:rsidRPr="00C649E1">
        <w:rPr>
          <w:rFonts w:asciiTheme="majorHAnsi" w:hAnsiTheme="majorHAnsi"/>
          <w:i/>
          <w:sz w:val="20"/>
          <w:szCs w:val="20"/>
        </w:rPr>
        <w:t>inter alia</w:t>
      </w:r>
      <w:r w:rsidR="00BB2622" w:rsidRPr="00C649E1">
        <w:rPr>
          <w:rFonts w:asciiTheme="majorHAnsi" w:hAnsiTheme="majorHAnsi"/>
          <w:sz w:val="20"/>
          <w:szCs w:val="20"/>
        </w:rPr>
        <w:t xml:space="preserve">, that Mr. Robinson was not prejudiced by counsel’s deficiencies and, even if he had introduced all of the newfound evidence, the jury would have been left with plausible evidence regarding the unadjudicated offenses. </w:t>
      </w:r>
      <w:r w:rsidRPr="00C649E1">
        <w:rPr>
          <w:rFonts w:asciiTheme="majorHAnsi" w:hAnsiTheme="majorHAnsi"/>
          <w:sz w:val="20"/>
          <w:szCs w:val="20"/>
        </w:rPr>
        <w:t xml:space="preserve">On October 3, 2011, the U.S. Supreme Court denied Mr. Robinson’s application for </w:t>
      </w:r>
      <w:r w:rsidRPr="00C649E1">
        <w:rPr>
          <w:rFonts w:asciiTheme="majorHAnsi" w:hAnsiTheme="majorHAnsi"/>
          <w:i/>
          <w:sz w:val="20"/>
          <w:szCs w:val="20"/>
        </w:rPr>
        <w:t>certiorari</w:t>
      </w:r>
      <w:r w:rsidRPr="00C649E1">
        <w:rPr>
          <w:rFonts w:asciiTheme="majorHAnsi" w:hAnsiTheme="majorHAnsi"/>
          <w:sz w:val="20"/>
          <w:szCs w:val="20"/>
        </w:rPr>
        <w:t xml:space="preserve">. </w:t>
      </w:r>
    </w:p>
    <w:p w14:paraId="6334F0B1" w14:textId="77777777" w:rsidR="00413A1F" w:rsidRPr="00C649E1" w:rsidRDefault="00413A1F" w:rsidP="00413A1F">
      <w:pPr>
        <w:pStyle w:val="ListParagraph"/>
        <w:rPr>
          <w:rFonts w:asciiTheme="majorHAnsi" w:eastAsia="Arial Unicode MS" w:hAnsiTheme="majorHAnsi" w:cs="Times New Roman"/>
          <w:color w:val="auto"/>
          <w:sz w:val="20"/>
          <w:szCs w:val="20"/>
          <w:lang w:eastAsia="en-US"/>
        </w:rPr>
      </w:pPr>
    </w:p>
    <w:p w14:paraId="0102AE7D" w14:textId="77777777" w:rsidR="00413A1F" w:rsidRPr="00C649E1" w:rsidRDefault="00413A1F" w:rsidP="00182A08">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On February 28, 2018, Mr. Robinson’s counsel filed a motion to reopen the judgment of the U.S. District Court for the Northern District of Texas pursuant to Federal Rule of Civil Procedure 60(b)(6). On June 20, 2018, the District Court issued an opinion and order transferring the motion to the U.S. Court of Appeals for the Fifth Circuit. Mr. Robinson’s counsel filed a brief on November 2, 2018. There is no information regarding the outcome of that motion. </w:t>
      </w:r>
    </w:p>
    <w:p w14:paraId="5EECB25F" w14:textId="77777777" w:rsidR="0013603E" w:rsidRDefault="0013603E" w:rsidP="001360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18"/>
          <w:szCs w:val="18"/>
        </w:rPr>
      </w:pPr>
    </w:p>
    <w:p w14:paraId="3983D2DC" w14:textId="77777777" w:rsidR="006B1EDA" w:rsidRPr="00C649E1" w:rsidRDefault="006B1EDA" w:rsidP="0013603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18"/>
          <w:szCs w:val="18"/>
        </w:rPr>
      </w:pPr>
    </w:p>
    <w:p w14:paraId="113D19E4" w14:textId="77777777" w:rsidR="0013603E" w:rsidRPr="00C649E1" w:rsidRDefault="0013603E" w:rsidP="0013603E">
      <w:pPr>
        <w:pStyle w:val="Heading2"/>
        <w:numPr>
          <w:ilvl w:val="0"/>
          <w:numId w:val="58"/>
        </w:numPr>
        <w:tabs>
          <w:tab w:val="left" w:pos="360"/>
        </w:tabs>
        <w:spacing w:before="0"/>
        <w:ind w:hanging="720"/>
        <w:rPr>
          <w:color w:val="auto"/>
          <w:sz w:val="20"/>
          <w:szCs w:val="20"/>
        </w:rPr>
      </w:pPr>
      <w:bookmarkStart w:id="46" w:name="_Toc6226968"/>
      <w:bookmarkStart w:id="47" w:name="_Toc22915018"/>
      <w:bookmarkStart w:id="48" w:name="_Toc45105385"/>
      <w:bookmarkStart w:id="49" w:name="_Toc70417423"/>
      <w:r w:rsidRPr="00C649E1">
        <w:rPr>
          <w:color w:val="auto"/>
          <w:sz w:val="20"/>
          <w:szCs w:val="20"/>
        </w:rPr>
        <w:t>Legal proceedings regarding the lethal injection protocol</w:t>
      </w:r>
      <w:bookmarkEnd w:id="46"/>
      <w:bookmarkEnd w:id="47"/>
      <w:bookmarkEnd w:id="48"/>
      <w:bookmarkEnd w:id="49"/>
    </w:p>
    <w:p w14:paraId="7016FCBE" w14:textId="77777777" w:rsidR="00225457" w:rsidRPr="00C649E1" w:rsidRDefault="00225457" w:rsidP="00F527E0">
      <w:pPr>
        <w:rPr>
          <w:rFonts w:asciiTheme="majorHAnsi" w:hAnsiTheme="majorHAnsi"/>
          <w:sz w:val="20"/>
          <w:szCs w:val="20"/>
        </w:rPr>
      </w:pPr>
    </w:p>
    <w:p w14:paraId="3CEAF8B7" w14:textId="77777777" w:rsidR="00E85ABA" w:rsidRPr="00C649E1" w:rsidRDefault="00225457" w:rsidP="002254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lastRenderedPageBreak/>
        <w:t xml:space="preserve">On November 28, 2007, Mr. Robinson </w:t>
      </w:r>
      <w:r w:rsidR="003649C6" w:rsidRPr="00C649E1">
        <w:rPr>
          <w:rFonts w:asciiTheme="majorHAnsi" w:hAnsiTheme="majorHAnsi"/>
          <w:sz w:val="20"/>
          <w:szCs w:val="20"/>
        </w:rPr>
        <w:t xml:space="preserve">and other </w:t>
      </w:r>
      <w:r w:rsidR="003649C6" w:rsidRPr="00C649E1">
        <w:rPr>
          <w:rFonts w:ascii="Cambria" w:hAnsi="Cambria"/>
          <w:sz w:val="20"/>
          <w:szCs w:val="20"/>
        </w:rPr>
        <w:t xml:space="preserve">federal death row inmates </w:t>
      </w:r>
      <w:r w:rsidRPr="00C649E1">
        <w:rPr>
          <w:rFonts w:asciiTheme="majorHAnsi" w:hAnsiTheme="majorHAnsi"/>
          <w:sz w:val="20"/>
          <w:szCs w:val="20"/>
        </w:rPr>
        <w:t xml:space="preserve">filed a </w:t>
      </w:r>
      <w:r w:rsidR="0027583C" w:rsidRPr="00C649E1">
        <w:rPr>
          <w:rFonts w:asciiTheme="majorHAnsi" w:hAnsiTheme="majorHAnsi"/>
          <w:sz w:val="20"/>
          <w:szCs w:val="20"/>
        </w:rPr>
        <w:t xml:space="preserve">federal civil </w:t>
      </w:r>
      <w:r w:rsidRPr="00C649E1">
        <w:rPr>
          <w:rFonts w:asciiTheme="majorHAnsi" w:hAnsiTheme="majorHAnsi"/>
          <w:sz w:val="20"/>
          <w:szCs w:val="20"/>
        </w:rPr>
        <w:t>lawsuit in the U.S. District Court for the District of Columbia claiming that the means by which the government sought to implement the death penalty would violate the U.S. Constitution as well as federal law. On January 13, 2012, the District Court for the District of Columbia ordered that the case be stayed pending the Bureau of Prisons’ issuance of a revised lethal injection protocol.</w:t>
      </w:r>
      <w:r w:rsidR="001B6CB3" w:rsidRPr="00C649E1">
        <w:rPr>
          <w:rStyle w:val="FootnoteReference"/>
          <w:rFonts w:asciiTheme="majorHAnsi" w:hAnsiTheme="majorHAnsi"/>
          <w:sz w:val="20"/>
          <w:szCs w:val="20"/>
        </w:rPr>
        <w:footnoteReference w:id="30"/>
      </w:r>
      <w:r w:rsidRPr="00C649E1">
        <w:rPr>
          <w:rFonts w:asciiTheme="majorHAnsi" w:hAnsiTheme="majorHAnsi"/>
          <w:sz w:val="20"/>
          <w:szCs w:val="20"/>
        </w:rPr>
        <w:t xml:space="preserve"> </w:t>
      </w:r>
    </w:p>
    <w:p w14:paraId="1D544958" w14:textId="77777777" w:rsidR="00E85ABA" w:rsidRPr="00C649E1" w:rsidRDefault="00E85ABA" w:rsidP="00E85ABA">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jc w:val="both"/>
        <w:textAlignment w:val="baseline"/>
        <w:rPr>
          <w:rFonts w:asciiTheme="majorHAnsi" w:hAnsiTheme="majorHAnsi"/>
          <w:sz w:val="20"/>
          <w:szCs w:val="20"/>
        </w:rPr>
      </w:pPr>
    </w:p>
    <w:p w14:paraId="458E65AC" w14:textId="77777777" w:rsidR="00225457" w:rsidRPr="00C649E1" w:rsidRDefault="003649C6" w:rsidP="00225457">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According to publicly available information</w:t>
      </w:r>
      <w:r w:rsidRPr="00C649E1">
        <w:rPr>
          <w:rFonts w:ascii="Cambria" w:hAnsi="Cambria"/>
          <w:sz w:val="20"/>
          <w:szCs w:val="20"/>
        </w:rPr>
        <w:t>, since then activity in the case has been limited to the government filing status reports as it continues the process to determine what drug combination will be used.</w:t>
      </w:r>
      <w:r w:rsidRPr="00C649E1">
        <w:rPr>
          <w:rStyle w:val="FootnoteReference"/>
          <w:rFonts w:ascii="Cambria" w:hAnsi="Cambria"/>
          <w:sz w:val="20"/>
          <w:szCs w:val="20"/>
        </w:rPr>
        <w:footnoteReference w:id="31"/>
      </w:r>
      <w:r w:rsidR="00E85ABA" w:rsidRPr="00C649E1">
        <w:rPr>
          <w:rFonts w:ascii="Cambria" w:hAnsi="Cambria"/>
          <w:sz w:val="20"/>
          <w:szCs w:val="20"/>
        </w:rPr>
        <w:t xml:space="preserve"> Also, </w:t>
      </w:r>
      <w:r w:rsidR="002E0060" w:rsidRPr="00C649E1">
        <w:rPr>
          <w:rFonts w:ascii="Cambria" w:hAnsi="Cambria"/>
          <w:sz w:val="20"/>
          <w:szCs w:val="20"/>
        </w:rPr>
        <w:t>in July, 2019, the Justice Department announced that the federal government will resume its executions using a single drug (pentobarbital).</w:t>
      </w:r>
      <w:r w:rsidR="002E0060" w:rsidRPr="00C649E1">
        <w:rPr>
          <w:rStyle w:val="FootnoteReference"/>
          <w:rFonts w:ascii="Cambria" w:hAnsi="Cambria"/>
          <w:sz w:val="20"/>
          <w:szCs w:val="20"/>
        </w:rPr>
        <w:footnoteReference w:id="32"/>
      </w:r>
      <w:r w:rsidR="002E0060" w:rsidRPr="00C649E1">
        <w:rPr>
          <w:rFonts w:ascii="Cambria" w:hAnsi="Cambria"/>
          <w:sz w:val="20"/>
          <w:szCs w:val="20"/>
        </w:rPr>
        <w:t xml:space="preserve"> </w:t>
      </w:r>
    </w:p>
    <w:p w14:paraId="02DF53E0" w14:textId="77777777" w:rsidR="00225457" w:rsidRPr="00C649E1" w:rsidRDefault="00225457" w:rsidP="00F527E0"/>
    <w:p w14:paraId="4CA16A6D" w14:textId="77777777" w:rsidR="00677DA7" w:rsidRPr="00C649E1" w:rsidRDefault="00677DA7" w:rsidP="003676F1">
      <w:pPr>
        <w:pStyle w:val="Heading1"/>
        <w:tabs>
          <w:tab w:val="left" w:pos="360"/>
        </w:tabs>
        <w:spacing w:before="0"/>
        <w:ind w:hanging="720"/>
        <w:rPr>
          <w:color w:val="auto"/>
          <w:sz w:val="20"/>
          <w:szCs w:val="20"/>
        </w:rPr>
      </w:pPr>
      <w:bookmarkStart w:id="50" w:name="_Toc22915019"/>
      <w:bookmarkStart w:id="51" w:name="_Toc45105386"/>
      <w:bookmarkStart w:id="52" w:name="_Toc70417424"/>
      <w:r w:rsidRPr="00C649E1">
        <w:rPr>
          <w:color w:val="auto"/>
          <w:sz w:val="20"/>
          <w:szCs w:val="20"/>
        </w:rPr>
        <w:t>ANALYSIS OF LAW</w:t>
      </w:r>
      <w:bookmarkEnd w:id="50"/>
      <w:bookmarkEnd w:id="51"/>
      <w:bookmarkEnd w:id="52"/>
    </w:p>
    <w:p w14:paraId="677CBE53" w14:textId="77777777" w:rsidR="00E57AC6" w:rsidRPr="00C649E1" w:rsidRDefault="00E57AC6" w:rsidP="00E57AC6"/>
    <w:p w14:paraId="379E681E" w14:textId="77777777" w:rsidR="00677DA7" w:rsidRPr="00C649E1" w:rsidRDefault="00677DA7" w:rsidP="009C6457">
      <w:pPr>
        <w:pStyle w:val="Heading2"/>
        <w:numPr>
          <w:ilvl w:val="0"/>
          <w:numId w:val="61"/>
        </w:numPr>
        <w:tabs>
          <w:tab w:val="left" w:pos="360"/>
        </w:tabs>
        <w:spacing w:before="0"/>
        <w:ind w:left="0" w:firstLine="0"/>
        <w:rPr>
          <w:color w:val="auto"/>
          <w:sz w:val="20"/>
          <w:szCs w:val="20"/>
        </w:rPr>
      </w:pPr>
      <w:bookmarkStart w:id="53" w:name="_Toc22915020"/>
      <w:bookmarkStart w:id="54" w:name="_Toc45105387"/>
      <w:bookmarkStart w:id="55" w:name="_Toc70417425"/>
      <w:r w:rsidRPr="00C649E1">
        <w:rPr>
          <w:color w:val="auto"/>
          <w:sz w:val="20"/>
          <w:szCs w:val="20"/>
        </w:rPr>
        <w:t>Preliminary considerations</w:t>
      </w:r>
      <w:bookmarkEnd w:id="53"/>
      <w:bookmarkEnd w:id="54"/>
      <w:bookmarkEnd w:id="55"/>
    </w:p>
    <w:p w14:paraId="530D2B4D" w14:textId="77777777" w:rsidR="00E57AC6" w:rsidRPr="00C649E1" w:rsidRDefault="00E57AC6" w:rsidP="00E57AC6">
      <w:pPr>
        <w:pStyle w:val="ListParagraph"/>
      </w:pPr>
    </w:p>
    <w:p w14:paraId="3B431219" w14:textId="77777777" w:rsidR="00E57AC6" w:rsidRPr="00C649E1" w:rsidRDefault="00E57AC6" w:rsidP="00B44448">
      <w:pPr>
        <w:pStyle w:val="parrafos"/>
        <w:numPr>
          <w:ilvl w:val="0"/>
          <w:numId w:val="55"/>
        </w:numPr>
        <w:ind w:left="0" w:firstLine="0"/>
      </w:pPr>
      <w:r w:rsidRPr="00C649E1">
        <w:t xml:space="preserve">Before embarking on its analysis of the merits in the case of </w:t>
      </w:r>
      <w:r w:rsidR="00F80287" w:rsidRPr="00C649E1">
        <w:t>Julius Omar Robinson</w:t>
      </w:r>
      <w:r w:rsidRPr="00C649E1">
        <w:t xml:space="preserve">, the Inter-American Commission believes it should reiterate its previous rulings regarding the heightened scrutiny to be used in cases involving the death penalty. The right to life has received broad recognition as the supreme human right and as a sine qua non for the enjoyment of all other rights. </w:t>
      </w:r>
    </w:p>
    <w:p w14:paraId="171A1CDB" w14:textId="77777777" w:rsidR="00E57AC6" w:rsidRPr="00C649E1" w:rsidRDefault="00E57AC6" w:rsidP="00B4444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sz w:val="20"/>
          <w:szCs w:val="20"/>
        </w:rPr>
      </w:pPr>
    </w:p>
    <w:p w14:paraId="5FD1B3E1" w14:textId="77777777" w:rsidR="00E57AC6" w:rsidRPr="00C649E1" w:rsidRDefault="00E57AC6" w:rsidP="00B44448">
      <w:pPr>
        <w:pStyle w:val="parrafos"/>
        <w:numPr>
          <w:ilvl w:val="0"/>
          <w:numId w:val="55"/>
        </w:numPr>
        <w:ind w:left="0" w:firstLine="0"/>
      </w:pPr>
      <w:r w:rsidRPr="00C649E1">
        <w:t>That gives rise to the particular importance of the IACHR’s obligation to ensure that any denial of life that may arise from the enforcement of the death penalty strictly abides by the requirements set forth in the applicable instruments of the Inter-American human rights system, including the American Declaration. That heightened scrutiny is consistent with the restrictive approach adopted by other international human rights bodies in cases involving the imposition of the death penalty,</w:t>
      </w:r>
      <w:r w:rsidRPr="00C649E1">
        <w:rPr>
          <w:rStyle w:val="FootnoteReference"/>
        </w:rPr>
        <w:footnoteReference w:id="33"/>
      </w:r>
      <w:r w:rsidRPr="00C649E1">
        <w:t xml:space="preserve"> and it has been set out and applied by the Inter-American Commission in previous capital cases brought before it.</w:t>
      </w:r>
      <w:r w:rsidRPr="00C649E1">
        <w:rPr>
          <w:rStyle w:val="FootnoteReference"/>
        </w:rPr>
        <w:footnoteReference w:id="34"/>
      </w:r>
      <w:r w:rsidRPr="00C649E1">
        <w:t xml:space="preserve"> As the Inter-American Commission has explained, this standard of review is the necessary consequence of the specific penalty at issue and the right to a fair trial and all attendant due process guarantees, among others.</w:t>
      </w:r>
      <w:r w:rsidRPr="00C649E1">
        <w:rPr>
          <w:rStyle w:val="FootnoteReference"/>
        </w:rPr>
        <w:footnoteReference w:id="35"/>
      </w:r>
      <w:r w:rsidRPr="00C649E1">
        <w:t xml:space="preserve"> In the words of the Commission:</w:t>
      </w:r>
    </w:p>
    <w:p w14:paraId="0AEEB308" w14:textId="77777777" w:rsidR="00E57AC6" w:rsidRPr="00C649E1" w:rsidRDefault="00E57AC6" w:rsidP="00E57AC6">
      <w:pPr>
        <w:pStyle w:val="ListParagraph"/>
        <w:rPr>
          <w:sz w:val="20"/>
          <w:szCs w:val="20"/>
        </w:rPr>
      </w:pPr>
    </w:p>
    <w:p w14:paraId="0256E9CA" w14:textId="77777777" w:rsidR="00E57AC6" w:rsidRPr="00C649E1" w:rsidRDefault="00E57AC6" w:rsidP="00E57AC6">
      <w:pPr>
        <w:autoSpaceDE w:val="0"/>
        <w:autoSpaceDN w:val="0"/>
        <w:adjustRightInd w:val="0"/>
        <w:ind w:left="360" w:right="360"/>
        <w:jc w:val="both"/>
        <w:rPr>
          <w:rFonts w:ascii="Cambria" w:hAnsi="Cambria" w:cs="Calibri"/>
          <w:sz w:val="18"/>
          <w:szCs w:val="18"/>
        </w:rPr>
      </w:pPr>
      <w:r w:rsidRPr="00C649E1">
        <w:rPr>
          <w:rFonts w:ascii="Cambria" w:hAnsi="Cambria" w:cs="Calibri"/>
          <w:sz w:val="18"/>
          <w:szCs w:val="18"/>
        </w:rPr>
        <w:t>due in part to its irrevocable and irreversible nature, the death penalty is a form of punishment that differs in substance as well as in degree in comparison with other means of punishment, and therefore, warrants a particularly stringent need for reliability in determining whether a person is responsible for a crime that carries a penalty of death.</w:t>
      </w:r>
      <w:r w:rsidRPr="00C649E1">
        <w:rPr>
          <w:rStyle w:val="FootnoteReference"/>
          <w:rFonts w:ascii="Cambria" w:hAnsi="Cambria"/>
          <w:sz w:val="18"/>
          <w:szCs w:val="18"/>
        </w:rPr>
        <w:footnoteReference w:id="36"/>
      </w:r>
    </w:p>
    <w:p w14:paraId="5B53A07B" w14:textId="77777777" w:rsidR="00E57AC6" w:rsidRPr="00C649E1" w:rsidRDefault="00E57AC6" w:rsidP="00E57AC6">
      <w:pPr>
        <w:jc w:val="both"/>
        <w:rPr>
          <w:rFonts w:ascii="Cambria" w:hAnsi="Cambria"/>
          <w:sz w:val="20"/>
          <w:szCs w:val="20"/>
        </w:rPr>
      </w:pPr>
    </w:p>
    <w:p w14:paraId="32406E12" w14:textId="77777777" w:rsidR="00E57AC6" w:rsidRPr="00C649E1" w:rsidRDefault="00E57AC6" w:rsidP="00B44448">
      <w:pPr>
        <w:pStyle w:val="NormalWeb"/>
        <w:numPr>
          <w:ilvl w:val="0"/>
          <w:numId w:val="55"/>
        </w:numPr>
        <w:shd w:val="clear" w:color="auto" w:fill="FFFFFF"/>
        <w:tabs>
          <w:tab w:val="left" w:pos="360"/>
        </w:tabs>
        <w:spacing w:before="0" w:beforeAutospacing="0" w:after="0" w:afterAutospacing="0"/>
        <w:ind w:left="0" w:firstLine="0"/>
        <w:jc w:val="both"/>
        <w:rPr>
          <w:rFonts w:ascii="Cambria" w:eastAsia="Arial Unicode MS" w:hAnsi="Cambria"/>
          <w:sz w:val="20"/>
          <w:szCs w:val="20"/>
          <w:bdr w:val="nil"/>
        </w:rPr>
      </w:pPr>
      <w:r w:rsidRPr="00C649E1">
        <w:rPr>
          <w:rFonts w:asciiTheme="majorHAnsi" w:hAnsiTheme="majorHAnsi"/>
          <w:sz w:val="20"/>
          <w:szCs w:val="20"/>
        </w:rPr>
        <w:t xml:space="preserve">The Inter-American Commission will therefore review the petitioner’s allegations in the present case with a heightened level of scrutiny, to ensure in particular that the rights to life, </w:t>
      </w:r>
      <w:r w:rsidR="003B1D61" w:rsidRPr="00C649E1">
        <w:rPr>
          <w:rFonts w:asciiTheme="majorHAnsi" w:hAnsiTheme="majorHAnsi"/>
          <w:sz w:val="20"/>
          <w:szCs w:val="20"/>
        </w:rPr>
        <w:t xml:space="preserve">not to receive cruel, infamous or unusual punishment, to </w:t>
      </w:r>
      <w:r w:rsidRPr="00C649E1">
        <w:rPr>
          <w:rFonts w:asciiTheme="majorHAnsi" w:hAnsiTheme="majorHAnsi"/>
          <w:sz w:val="20"/>
          <w:szCs w:val="20"/>
        </w:rPr>
        <w:t>due process, and to a fair trial as prescribed under the American Declaration</w:t>
      </w:r>
      <w:r w:rsidR="003B1D61" w:rsidRPr="00C649E1">
        <w:rPr>
          <w:rFonts w:asciiTheme="majorHAnsi" w:hAnsiTheme="majorHAnsi"/>
          <w:sz w:val="20"/>
          <w:szCs w:val="20"/>
        </w:rPr>
        <w:t>,</w:t>
      </w:r>
      <w:r w:rsidRPr="00C649E1">
        <w:rPr>
          <w:rFonts w:asciiTheme="majorHAnsi" w:hAnsiTheme="majorHAnsi"/>
          <w:sz w:val="20"/>
          <w:szCs w:val="20"/>
        </w:rPr>
        <w:t xml:space="preserve"> have been respected by the State. With regard to the legal status of the American</w:t>
      </w:r>
      <w:r w:rsidRPr="00C649E1">
        <w:rPr>
          <w:rFonts w:ascii="Cambria" w:hAnsi="Cambria"/>
          <w:sz w:val="20"/>
        </w:rPr>
        <w:t xml:space="preserve"> Declaration, the IACHR reiterates that:</w:t>
      </w:r>
      <w:r w:rsidRPr="00C649E1">
        <w:rPr>
          <w:rStyle w:val="FootnoteReference"/>
          <w:rFonts w:ascii="Cambria" w:hAnsi="Cambria"/>
          <w:sz w:val="20"/>
          <w:szCs w:val="20"/>
        </w:rPr>
        <w:footnoteReference w:id="37"/>
      </w:r>
      <w:r w:rsidRPr="00C649E1">
        <w:rPr>
          <w:rFonts w:ascii="Cambria" w:hAnsi="Cambria" w:cs="Tahoma"/>
          <w:color w:val="262626"/>
          <w:sz w:val="20"/>
          <w:szCs w:val="20"/>
        </w:rPr>
        <w:t xml:space="preserve"> </w:t>
      </w:r>
    </w:p>
    <w:p w14:paraId="6CCB7BC8" w14:textId="77777777" w:rsidR="00E57AC6" w:rsidRPr="00C649E1" w:rsidRDefault="00E57AC6" w:rsidP="00E57AC6">
      <w:pPr>
        <w:tabs>
          <w:tab w:val="left" w:pos="630"/>
          <w:tab w:val="left" w:pos="810"/>
        </w:tabs>
        <w:autoSpaceDE w:val="0"/>
        <w:autoSpaceDN w:val="0"/>
        <w:adjustRightInd w:val="0"/>
        <w:jc w:val="both"/>
        <w:rPr>
          <w:rFonts w:ascii="Cambria" w:hAnsi="Cambria" w:cs="Calibri"/>
          <w:sz w:val="20"/>
          <w:szCs w:val="20"/>
        </w:rPr>
      </w:pPr>
    </w:p>
    <w:p w14:paraId="5558A04A" w14:textId="77777777" w:rsidR="00E57AC6" w:rsidRPr="00C649E1" w:rsidRDefault="00E57AC6" w:rsidP="00E57AC6">
      <w:pPr>
        <w:tabs>
          <w:tab w:val="left" w:pos="630"/>
          <w:tab w:val="left" w:pos="810"/>
        </w:tabs>
        <w:autoSpaceDE w:val="0"/>
        <w:autoSpaceDN w:val="0"/>
        <w:adjustRightInd w:val="0"/>
        <w:ind w:left="360" w:right="360"/>
        <w:jc w:val="both"/>
        <w:rPr>
          <w:rFonts w:ascii="Cambria" w:hAnsi="Cambria" w:cs="Calibri"/>
          <w:sz w:val="18"/>
          <w:szCs w:val="18"/>
        </w:rPr>
      </w:pPr>
      <w:r w:rsidRPr="00C649E1">
        <w:rPr>
          <w:rFonts w:ascii="Cambria" w:hAnsi="Cambria"/>
          <w:sz w:val="18"/>
          <w:szCs w:val="18"/>
        </w:rPr>
        <w:lastRenderedPageBreak/>
        <w:t>[t]he American Declaration is, for the Member States not parties to the American Convention, the source of international obligations related to the OAS Charter. The Charter of the Organization gave the IACHR the principal function of promoting the observance and protection of human rights in the Member States. Article 106 of the OAS Charter does not, however, list or define those rights. The General Assembly of the OAS at its Ninth Regular Period of Sessions, held in La Paz, Bolivia, in October 1979, agreed that those rights are those enunciated and defined in the American Declaration. Therefore, the American Declaration crystallizes the fundamental principles recognized by the American States. The OAS General Assembly has also repeatedly recognized that the American Declaration is a source of international obligations for the member states of the OAS.</w:t>
      </w:r>
    </w:p>
    <w:p w14:paraId="440A21CE" w14:textId="77777777" w:rsidR="00E57AC6" w:rsidRPr="00C649E1" w:rsidRDefault="00E57AC6" w:rsidP="00E57AC6">
      <w:pPr>
        <w:pStyle w:val="ListParagraph"/>
        <w:rPr>
          <w:sz w:val="20"/>
          <w:szCs w:val="20"/>
        </w:rPr>
      </w:pPr>
    </w:p>
    <w:p w14:paraId="53BFBD64" w14:textId="77777777" w:rsidR="00E57AC6" w:rsidRPr="00C649E1" w:rsidRDefault="00E57AC6" w:rsidP="00B44448">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C649E1">
        <w:rPr>
          <w:rFonts w:asciiTheme="majorHAnsi" w:hAnsiTheme="majorHAnsi"/>
          <w:sz w:val="20"/>
        </w:rPr>
        <w:t xml:space="preserve">Finally, the Commission recalls that its review does not consist of determining that the death penalty in and of itself violates the American Declaration. What this section addresses is the standard of review of the alleged human rights violations in the context of </w:t>
      </w:r>
      <w:r w:rsidR="002E3921" w:rsidRPr="00C649E1">
        <w:rPr>
          <w:rFonts w:asciiTheme="majorHAnsi" w:hAnsiTheme="majorHAnsi"/>
          <w:sz w:val="20"/>
        </w:rPr>
        <w:t>criminal proceedings in a case involving the application of t</w:t>
      </w:r>
      <w:r w:rsidRPr="00C649E1">
        <w:rPr>
          <w:rFonts w:asciiTheme="majorHAnsi" w:hAnsiTheme="majorHAnsi"/>
          <w:sz w:val="20"/>
        </w:rPr>
        <w:t>he death penalty.</w:t>
      </w:r>
    </w:p>
    <w:p w14:paraId="7DD19232" w14:textId="77777777" w:rsidR="00E57AC6" w:rsidRPr="00C649E1" w:rsidRDefault="00E57AC6" w:rsidP="00B55F23">
      <w:pPr>
        <w:pStyle w:val="Heading2"/>
        <w:tabs>
          <w:tab w:val="left" w:pos="360"/>
        </w:tabs>
        <w:spacing w:before="0"/>
        <w:rPr>
          <w:sz w:val="20"/>
          <w:szCs w:val="20"/>
        </w:rPr>
      </w:pPr>
    </w:p>
    <w:p w14:paraId="6BE28571" w14:textId="77777777" w:rsidR="00F33E5A" w:rsidRPr="00C649E1" w:rsidRDefault="00F33E5A" w:rsidP="007B02FF">
      <w:pPr>
        <w:pStyle w:val="Heading2"/>
        <w:numPr>
          <w:ilvl w:val="0"/>
          <w:numId w:val="61"/>
        </w:numPr>
        <w:tabs>
          <w:tab w:val="left" w:pos="360"/>
        </w:tabs>
        <w:spacing w:before="0"/>
        <w:ind w:left="0" w:firstLine="0"/>
        <w:rPr>
          <w:color w:val="auto"/>
          <w:sz w:val="20"/>
          <w:szCs w:val="20"/>
        </w:rPr>
      </w:pPr>
      <w:bookmarkStart w:id="56" w:name="_Toc485650798"/>
      <w:bookmarkStart w:id="57" w:name="_Toc6226971"/>
      <w:bookmarkStart w:id="58" w:name="_Toc22915021"/>
      <w:bookmarkStart w:id="59" w:name="_Toc45105388"/>
      <w:bookmarkStart w:id="60" w:name="_Toc70417426"/>
      <w:r w:rsidRPr="00C649E1">
        <w:rPr>
          <w:color w:val="auto"/>
          <w:sz w:val="20"/>
          <w:szCs w:val="20"/>
        </w:rPr>
        <w:t>Right to equality before the law</w:t>
      </w:r>
      <w:r w:rsidRPr="00C649E1">
        <w:rPr>
          <w:rStyle w:val="FootnoteReference"/>
          <w:color w:val="auto"/>
          <w:sz w:val="20"/>
          <w:szCs w:val="20"/>
        </w:rPr>
        <w:footnoteReference w:id="38"/>
      </w:r>
      <w:r w:rsidRPr="00C649E1">
        <w:rPr>
          <w:color w:val="auto"/>
          <w:sz w:val="20"/>
          <w:szCs w:val="20"/>
        </w:rPr>
        <w:t xml:space="preserve"> </w:t>
      </w:r>
      <w:bookmarkEnd w:id="56"/>
      <w:r w:rsidRPr="00C649E1">
        <w:rPr>
          <w:color w:val="auto"/>
          <w:sz w:val="20"/>
          <w:szCs w:val="20"/>
        </w:rPr>
        <w:t xml:space="preserve">and access to </w:t>
      </w:r>
      <w:r w:rsidR="009C6632" w:rsidRPr="00C649E1">
        <w:rPr>
          <w:color w:val="auto"/>
          <w:sz w:val="20"/>
          <w:szCs w:val="20"/>
        </w:rPr>
        <w:t xml:space="preserve">an </w:t>
      </w:r>
      <w:r w:rsidRPr="00C649E1">
        <w:rPr>
          <w:color w:val="auto"/>
          <w:sz w:val="20"/>
          <w:szCs w:val="20"/>
        </w:rPr>
        <w:t>effective remedy</w:t>
      </w:r>
      <w:r w:rsidRPr="00C649E1">
        <w:rPr>
          <w:rStyle w:val="FootnoteReference"/>
          <w:color w:val="auto"/>
          <w:sz w:val="20"/>
          <w:szCs w:val="20"/>
        </w:rPr>
        <w:footnoteReference w:id="39"/>
      </w:r>
      <w:bookmarkEnd w:id="57"/>
      <w:bookmarkEnd w:id="58"/>
      <w:bookmarkEnd w:id="59"/>
      <w:bookmarkEnd w:id="60"/>
    </w:p>
    <w:p w14:paraId="6C2634DD" w14:textId="77777777" w:rsidR="00F33E5A" w:rsidRPr="00C649E1" w:rsidRDefault="00F33E5A" w:rsidP="00F33E5A">
      <w:pPr>
        <w:pStyle w:val="ListParagraph"/>
        <w:ind w:left="1440" w:hanging="720"/>
        <w:jc w:val="both"/>
        <w:rPr>
          <w:rFonts w:asciiTheme="majorHAnsi" w:hAnsiTheme="majorHAnsi"/>
          <w:b/>
          <w:color w:val="auto"/>
          <w:sz w:val="20"/>
          <w:szCs w:val="20"/>
        </w:rPr>
      </w:pPr>
    </w:p>
    <w:p w14:paraId="10C6E305" w14:textId="77777777" w:rsidR="00F33E5A" w:rsidRPr="00C649E1" w:rsidRDefault="00F33E5A" w:rsidP="00074E33">
      <w:pPr>
        <w:pStyle w:val="Heading3"/>
        <w:numPr>
          <w:ilvl w:val="0"/>
          <w:numId w:val="64"/>
        </w:numPr>
        <w:spacing w:before="0"/>
        <w:ind w:left="360"/>
        <w:rPr>
          <w:color w:val="auto"/>
          <w:sz w:val="20"/>
          <w:szCs w:val="20"/>
        </w:rPr>
      </w:pPr>
      <w:bookmarkStart w:id="61" w:name="_Toc6226972"/>
      <w:bookmarkStart w:id="62" w:name="_Toc22915022"/>
      <w:bookmarkStart w:id="63" w:name="_Toc45105389"/>
      <w:bookmarkStart w:id="64" w:name="_Toc70417427"/>
      <w:r w:rsidRPr="00C649E1">
        <w:rPr>
          <w:color w:val="auto"/>
          <w:sz w:val="20"/>
          <w:szCs w:val="20"/>
        </w:rPr>
        <w:t>General considerations regarding equality before the law</w:t>
      </w:r>
      <w:bookmarkEnd w:id="61"/>
      <w:bookmarkEnd w:id="62"/>
      <w:bookmarkEnd w:id="63"/>
      <w:bookmarkEnd w:id="64"/>
      <w:r w:rsidRPr="00C649E1">
        <w:rPr>
          <w:color w:val="auto"/>
          <w:sz w:val="20"/>
          <w:szCs w:val="20"/>
        </w:rPr>
        <w:t xml:space="preserve"> </w:t>
      </w:r>
    </w:p>
    <w:p w14:paraId="38FFFD79" w14:textId="77777777" w:rsidR="00F33E5A" w:rsidRPr="00C649E1" w:rsidRDefault="00F33E5A" w:rsidP="00F33E5A">
      <w:pPr>
        <w:pStyle w:val="ListParagraph"/>
        <w:ind w:left="1440" w:hanging="720"/>
        <w:jc w:val="both"/>
        <w:rPr>
          <w:rFonts w:asciiTheme="majorHAnsi" w:hAnsiTheme="majorHAnsi"/>
          <w:b/>
          <w:color w:val="auto"/>
          <w:sz w:val="20"/>
          <w:szCs w:val="20"/>
        </w:rPr>
      </w:pPr>
    </w:p>
    <w:p w14:paraId="4FABEFCF" w14:textId="77777777" w:rsidR="00F33E5A" w:rsidRPr="00C649E1" w:rsidRDefault="00F33E5A" w:rsidP="007B02FF">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C649E1">
        <w:rPr>
          <w:rFonts w:asciiTheme="majorHAnsi" w:hAnsiTheme="majorHAnsi"/>
          <w:sz w:val="20"/>
          <w:szCs w:val="20"/>
        </w:rPr>
        <w:t xml:space="preserve">The principles of equality before the law, equal protection, and non-discrimination are among the most basic human rights, and are in fact recognized as </w:t>
      </w:r>
      <w:r w:rsidRPr="00C649E1">
        <w:rPr>
          <w:rFonts w:asciiTheme="majorHAnsi" w:hAnsiTheme="majorHAnsi"/>
          <w:i/>
          <w:sz w:val="20"/>
          <w:szCs w:val="20"/>
        </w:rPr>
        <w:t>jus cogens</w:t>
      </w:r>
      <w:r w:rsidRPr="00C649E1">
        <w:rPr>
          <w:rFonts w:asciiTheme="majorHAnsi" w:hAnsiTheme="majorHAnsi"/>
          <w:sz w:val="20"/>
          <w:szCs w:val="20"/>
        </w:rPr>
        <w:t xml:space="preserve"> norms, “because the whole legal structure of national and international public order rests on it.”</w:t>
      </w:r>
      <w:r w:rsidRPr="00C649E1">
        <w:rPr>
          <w:rFonts w:asciiTheme="majorHAnsi" w:hAnsiTheme="majorHAnsi"/>
          <w:sz w:val="20"/>
          <w:szCs w:val="20"/>
          <w:vertAlign w:val="superscript"/>
        </w:rPr>
        <w:footnoteReference w:id="40"/>
      </w:r>
      <w:r w:rsidRPr="00C649E1">
        <w:rPr>
          <w:rFonts w:asciiTheme="majorHAnsi" w:hAnsiTheme="majorHAnsi"/>
          <w:sz w:val="20"/>
          <w:szCs w:val="20"/>
        </w:rPr>
        <w:t xml:space="preserve"> In line with the Human Rights Committee, the Commission has further </w:t>
      </w:r>
      <w:r w:rsidRPr="00C649E1">
        <w:rPr>
          <w:rFonts w:asciiTheme="majorHAnsi" w:hAnsiTheme="majorHAnsi"/>
          <w:bCs/>
          <w:sz w:val="20"/>
          <w:szCs w:val="20"/>
        </w:rPr>
        <w:t>understood “discrimination” to mean</w:t>
      </w:r>
      <w:r w:rsidRPr="00C649E1">
        <w:rPr>
          <w:rFonts w:asciiTheme="majorHAnsi" w:hAnsiTheme="majorHAnsi"/>
          <w:sz w:val="20"/>
          <w:szCs w:val="20"/>
        </w:rPr>
        <w:t xml:space="preserve"> “</w:t>
      </w:r>
      <w:r w:rsidRPr="00C649E1">
        <w:rPr>
          <w:rFonts w:asciiTheme="majorHAnsi" w:hAnsiTheme="majorHAnsi"/>
          <w:bCs/>
          <w:sz w:val="20"/>
          <w:szCs w:val="20"/>
        </w:rPr>
        <w:t>any distinction, exclusion, restriction, or preference which is based on any ground such as race, colour, sex, language, religion, political or other opinion, national or social origin, property, birth or other status, and which has the purpose or effect of nullifying or impairing the recognition, enjoyment or exercise by all persons, on an equal footing, of all rights and freedoms.”</w:t>
      </w:r>
      <w:r w:rsidRPr="00C649E1">
        <w:rPr>
          <w:rStyle w:val="FootnoteReference"/>
          <w:rFonts w:asciiTheme="majorHAnsi" w:hAnsiTheme="majorHAnsi"/>
          <w:bCs/>
          <w:sz w:val="20"/>
          <w:szCs w:val="20"/>
        </w:rPr>
        <w:footnoteReference w:id="41"/>
      </w:r>
      <w:r w:rsidR="000A5560" w:rsidRPr="00C649E1">
        <w:rPr>
          <w:rFonts w:asciiTheme="majorHAnsi" w:hAnsiTheme="majorHAnsi"/>
          <w:bCs/>
          <w:sz w:val="20"/>
          <w:szCs w:val="20"/>
        </w:rPr>
        <w:t xml:space="preserve"> The Commission has also pointed out </w:t>
      </w:r>
      <w:r w:rsidR="00933788" w:rsidRPr="00C649E1">
        <w:rPr>
          <w:rFonts w:asciiTheme="majorHAnsi" w:hAnsiTheme="majorHAnsi"/>
          <w:bCs/>
          <w:sz w:val="20"/>
          <w:szCs w:val="20"/>
        </w:rPr>
        <w:t>t</w:t>
      </w:r>
      <w:r w:rsidR="00AE3A14" w:rsidRPr="00C649E1">
        <w:rPr>
          <w:rFonts w:asciiTheme="majorHAnsi" w:hAnsiTheme="majorHAnsi"/>
          <w:bCs/>
          <w:sz w:val="20"/>
          <w:szCs w:val="20"/>
        </w:rPr>
        <w:t xml:space="preserve">hat </w:t>
      </w:r>
      <w:r w:rsidR="00933788" w:rsidRPr="00C649E1">
        <w:rPr>
          <w:rFonts w:asciiTheme="majorHAnsi" w:hAnsiTheme="majorHAnsi"/>
          <w:bCs/>
          <w:sz w:val="20"/>
          <w:szCs w:val="20"/>
        </w:rPr>
        <w:t>discrimination can</w:t>
      </w:r>
      <w:r w:rsidR="00AE3A14" w:rsidRPr="00C649E1">
        <w:rPr>
          <w:rFonts w:asciiTheme="majorHAnsi" w:hAnsiTheme="majorHAnsi"/>
          <w:bCs/>
          <w:sz w:val="20"/>
          <w:szCs w:val="20"/>
        </w:rPr>
        <w:t xml:space="preserve"> manifest itself either directly (intentional or “targeted”) or indirectly (involuntary or “by outcome”), and the latter can be </w:t>
      </w:r>
      <w:r w:rsidR="00AE3A14" w:rsidRPr="00C649E1">
        <w:rPr>
          <w:rFonts w:asciiTheme="majorHAnsi" w:hAnsiTheme="majorHAnsi"/>
          <w:bCs/>
          <w:i/>
          <w:sz w:val="20"/>
          <w:szCs w:val="20"/>
        </w:rPr>
        <w:t>de facto</w:t>
      </w:r>
      <w:r w:rsidR="00AE3A14" w:rsidRPr="00C649E1">
        <w:rPr>
          <w:rFonts w:asciiTheme="majorHAnsi" w:hAnsiTheme="majorHAnsi"/>
          <w:bCs/>
          <w:sz w:val="20"/>
          <w:szCs w:val="20"/>
        </w:rPr>
        <w:t xml:space="preserve">, when it manifests itself in practice, or </w:t>
      </w:r>
      <w:r w:rsidR="00933788" w:rsidRPr="00C649E1">
        <w:rPr>
          <w:rFonts w:asciiTheme="majorHAnsi" w:hAnsiTheme="majorHAnsi"/>
          <w:bCs/>
          <w:i/>
          <w:sz w:val="20"/>
          <w:szCs w:val="20"/>
        </w:rPr>
        <w:t>de iure</w:t>
      </w:r>
      <w:r w:rsidR="00AE3A14" w:rsidRPr="00C649E1">
        <w:rPr>
          <w:rFonts w:asciiTheme="majorHAnsi" w:hAnsiTheme="majorHAnsi"/>
          <w:bCs/>
          <w:sz w:val="20"/>
          <w:szCs w:val="20"/>
        </w:rPr>
        <w:t>, when it emanates from a law or provision.</w:t>
      </w:r>
      <w:r w:rsidR="0065629A" w:rsidRPr="00C649E1">
        <w:rPr>
          <w:rStyle w:val="FootnoteReference"/>
          <w:rFonts w:asciiTheme="majorHAnsi" w:hAnsiTheme="majorHAnsi"/>
          <w:bCs/>
          <w:sz w:val="20"/>
          <w:szCs w:val="20"/>
        </w:rPr>
        <w:footnoteReference w:id="42"/>
      </w:r>
      <w:r w:rsidR="00AE3A14" w:rsidRPr="00C649E1">
        <w:rPr>
          <w:rFonts w:asciiTheme="majorHAnsi" w:hAnsiTheme="majorHAnsi"/>
          <w:bCs/>
          <w:sz w:val="20"/>
          <w:szCs w:val="20"/>
        </w:rPr>
        <w:t xml:space="preserve"> </w:t>
      </w:r>
    </w:p>
    <w:p w14:paraId="121BC4C6" w14:textId="77777777" w:rsidR="00F33E5A" w:rsidRPr="00C649E1" w:rsidRDefault="00F33E5A" w:rsidP="00F33E5A">
      <w:pPr>
        <w:pStyle w:val="ListParagraph"/>
        <w:ind w:left="0"/>
        <w:rPr>
          <w:rFonts w:asciiTheme="majorHAnsi" w:hAnsiTheme="majorHAnsi"/>
          <w:sz w:val="20"/>
          <w:szCs w:val="20"/>
        </w:rPr>
      </w:pPr>
    </w:p>
    <w:p w14:paraId="4E589AF9" w14:textId="77777777" w:rsidR="00F33E5A" w:rsidRPr="00C649E1" w:rsidRDefault="00F33E5A" w:rsidP="007B02FF">
      <w:pPr>
        <w:pStyle w:val="NormalWeb"/>
        <w:numPr>
          <w:ilvl w:val="0"/>
          <w:numId w:val="55"/>
        </w:numPr>
        <w:shd w:val="clear" w:color="auto" w:fill="FFFFFF"/>
        <w:tabs>
          <w:tab w:val="left" w:pos="360"/>
        </w:tabs>
        <w:spacing w:before="0" w:beforeAutospacing="0" w:after="0" w:afterAutospacing="0"/>
        <w:ind w:left="0" w:firstLine="0"/>
        <w:jc w:val="both"/>
        <w:rPr>
          <w:rFonts w:asciiTheme="majorHAnsi" w:eastAsia="Arial Unicode MS" w:hAnsiTheme="majorHAnsi"/>
          <w:sz w:val="20"/>
          <w:szCs w:val="20"/>
          <w:bdr w:val="nil"/>
        </w:rPr>
      </w:pPr>
      <w:r w:rsidRPr="00C649E1">
        <w:rPr>
          <w:rFonts w:asciiTheme="majorHAnsi" w:hAnsiTheme="majorHAnsi"/>
          <w:sz w:val="20"/>
          <w:szCs w:val="20"/>
        </w:rPr>
        <w:t>The principle of equality and non-discrimination incorporates both “the prohibition of arbitrary differences of treatment,” and “the obligation of States to create conditions of real equality for groups that have been historically excluded or that are at greater risk of being discriminated against.”</w:t>
      </w:r>
      <w:r w:rsidRPr="00C649E1">
        <w:rPr>
          <w:rStyle w:val="FootnoteReference"/>
          <w:rFonts w:asciiTheme="majorHAnsi" w:hAnsiTheme="majorHAnsi"/>
          <w:sz w:val="20"/>
          <w:szCs w:val="20"/>
        </w:rPr>
        <w:footnoteReference w:id="43"/>
      </w:r>
      <w:r w:rsidRPr="00C649E1">
        <w:rPr>
          <w:rFonts w:asciiTheme="majorHAnsi" w:hAnsiTheme="majorHAnsi"/>
          <w:sz w:val="20"/>
          <w:szCs w:val="20"/>
        </w:rPr>
        <w:t xml:space="preserve"> </w:t>
      </w:r>
      <w:r w:rsidRPr="00C649E1">
        <w:rPr>
          <w:rFonts w:asciiTheme="majorHAnsi" w:hAnsiTheme="majorHAnsi"/>
          <w:bCs/>
          <w:sz w:val="20"/>
          <w:szCs w:val="20"/>
        </w:rPr>
        <w:t>With regard to the former, while Article II of the American Declaration does not prohibit all distinctions in treatment in the enjoyment of protected rights and freedoms, it does require that any permissible distinctions be based on an objective and reasonable justification, that they further a legitimate objective, “regard being had to the principles which normally prevail in democratic societies, and that the means are reasonable and proportionate to the end sought.”</w:t>
      </w:r>
      <w:r w:rsidRPr="00C649E1">
        <w:rPr>
          <w:rStyle w:val="FootnoteReference"/>
          <w:rFonts w:asciiTheme="majorHAnsi" w:hAnsiTheme="majorHAnsi"/>
          <w:bCs/>
          <w:sz w:val="20"/>
          <w:szCs w:val="20"/>
        </w:rPr>
        <w:footnoteReference w:id="44"/>
      </w:r>
      <w:r w:rsidRPr="00C649E1">
        <w:rPr>
          <w:rFonts w:asciiTheme="majorHAnsi" w:hAnsiTheme="majorHAnsi"/>
          <w:bCs/>
          <w:sz w:val="20"/>
          <w:szCs w:val="20"/>
        </w:rPr>
        <w:t xml:space="preserve"> </w:t>
      </w:r>
      <w:r w:rsidRPr="00C649E1">
        <w:rPr>
          <w:rFonts w:asciiTheme="majorHAnsi" w:hAnsiTheme="majorHAnsi"/>
          <w:sz w:val="20"/>
          <w:szCs w:val="20"/>
        </w:rPr>
        <w:t>Further, distinctions based on grounds explicitly enumerated under pertinent articles of international human rights instruments are subject to a particularly strict level of scrutiny whereby States must provide an especially weighty interest and compelling justification for the distinction.</w:t>
      </w:r>
      <w:r w:rsidRPr="00C649E1">
        <w:rPr>
          <w:rStyle w:val="FootnoteReference"/>
          <w:rFonts w:asciiTheme="majorHAnsi" w:hAnsiTheme="majorHAnsi"/>
          <w:sz w:val="20"/>
          <w:szCs w:val="20"/>
        </w:rPr>
        <w:footnoteReference w:id="45"/>
      </w:r>
      <w:r w:rsidRPr="00C649E1">
        <w:rPr>
          <w:rFonts w:asciiTheme="majorHAnsi" w:hAnsiTheme="majorHAnsi"/>
          <w:sz w:val="20"/>
          <w:szCs w:val="20"/>
        </w:rPr>
        <w:t xml:space="preserve"> </w:t>
      </w:r>
    </w:p>
    <w:p w14:paraId="383E2164" w14:textId="77777777" w:rsidR="005112A4" w:rsidRPr="00C649E1" w:rsidRDefault="005112A4" w:rsidP="005112A4">
      <w:pPr>
        <w:pStyle w:val="ListParagraph"/>
        <w:rPr>
          <w:rFonts w:asciiTheme="majorHAnsi" w:eastAsia="Arial Unicode MS" w:hAnsiTheme="majorHAnsi"/>
          <w:sz w:val="20"/>
          <w:szCs w:val="20"/>
        </w:rPr>
      </w:pPr>
    </w:p>
    <w:p w14:paraId="4293D87D" w14:textId="77777777" w:rsidR="005112A4" w:rsidRPr="00C649E1" w:rsidRDefault="005112A4" w:rsidP="007B02FF">
      <w:pPr>
        <w:pStyle w:val="NormalWeb"/>
        <w:numPr>
          <w:ilvl w:val="0"/>
          <w:numId w:val="55"/>
        </w:numPr>
        <w:shd w:val="clear" w:color="auto" w:fill="FFFFFF"/>
        <w:tabs>
          <w:tab w:val="left" w:pos="360"/>
        </w:tabs>
        <w:spacing w:before="0" w:beforeAutospacing="0" w:after="0" w:afterAutospacing="0"/>
        <w:ind w:left="0" w:firstLine="0"/>
        <w:jc w:val="both"/>
        <w:rPr>
          <w:rFonts w:asciiTheme="majorHAnsi" w:hAnsiTheme="majorHAnsi"/>
          <w:sz w:val="20"/>
          <w:szCs w:val="20"/>
        </w:rPr>
      </w:pPr>
      <w:r w:rsidRPr="00C649E1">
        <w:rPr>
          <w:rFonts w:asciiTheme="majorHAnsi" w:hAnsiTheme="majorHAnsi"/>
          <w:sz w:val="20"/>
          <w:szCs w:val="20"/>
        </w:rPr>
        <w:t xml:space="preserve">Therefore, arbitrary treatment and distinctions on the basis of race are prohibited under international human rights law, and should be prevented. Race-based restrictions must be based on very compelling reasons; on this issue, there is a “presumption of invalidity” and the burden of proof rests with the State. The Commission has underscored that laws and policies should be examined to ensure that they comply with the principles of </w:t>
      </w:r>
      <w:r w:rsidRPr="00C649E1">
        <w:rPr>
          <w:rFonts w:asciiTheme="majorHAnsi" w:hAnsiTheme="majorHAnsi"/>
          <w:sz w:val="20"/>
          <w:szCs w:val="20"/>
        </w:rPr>
        <w:lastRenderedPageBreak/>
        <w:t>equality and non-discrimination; this analysis should assess the potential discriminatory effect of even facially neutral provisions. This, in light of the fact that States are not only obligated to provide for equal protection of the law, but must also adopt the legislative, policy and other measures necessary to guarantee the effective enjoyment of the rights protected under Article II of the American Declaration.</w:t>
      </w:r>
      <w:r w:rsidRPr="00C649E1">
        <w:rPr>
          <w:rStyle w:val="FootnoteReference"/>
          <w:rFonts w:asciiTheme="majorHAnsi" w:hAnsiTheme="majorHAnsi"/>
          <w:sz w:val="20"/>
          <w:szCs w:val="20"/>
        </w:rPr>
        <w:footnoteReference w:id="46"/>
      </w:r>
    </w:p>
    <w:p w14:paraId="3CE5011C" w14:textId="77777777" w:rsidR="00F33E5A" w:rsidRPr="00C649E1" w:rsidRDefault="00F33E5A" w:rsidP="00F33E5A">
      <w:pPr>
        <w:pStyle w:val="ListParagraph"/>
        <w:ind w:left="1440" w:hanging="720"/>
        <w:jc w:val="both"/>
        <w:rPr>
          <w:rFonts w:asciiTheme="majorHAnsi" w:hAnsiTheme="majorHAnsi"/>
          <w:b/>
          <w:color w:val="auto"/>
          <w:sz w:val="20"/>
          <w:szCs w:val="20"/>
        </w:rPr>
      </w:pPr>
    </w:p>
    <w:p w14:paraId="386876E0" w14:textId="77777777" w:rsidR="00F33E5A" w:rsidRPr="00C649E1" w:rsidRDefault="00F33E5A" w:rsidP="00074E33">
      <w:pPr>
        <w:pStyle w:val="Heading3"/>
        <w:numPr>
          <w:ilvl w:val="0"/>
          <w:numId w:val="64"/>
        </w:numPr>
        <w:spacing w:before="0"/>
        <w:ind w:left="360"/>
        <w:jc w:val="both"/>
        <w:rPr>
          <w:color w:val="auto"/>
          <w:sz w:val="20"/>
          <w:szCs w:val="20"/>
        </w:rPr>
      </w:pPr>
      <w:bookmarkStart w:id="65" w:name="_Toc6226973"/>
      <w:bookmarkStart w:id="66" w:name="_Toc22915023"/>
      <w:bookmarkStart w:id="67" w:name="_Toc45105390"/>
      <w:bookmarkStart w:id="68" w:name="_Toc70417428"/>
      <w:r w:rsidRPr="00C649E1">
        <w:rPr>
          <w:color w:val="auto"/>
          <w:sz w:val="20"/>
          <w:szCs w:val="20"/>
        </w:rPr>
        <w:t xml:space="preserve">Race and equality before the law in </w:t>
      </w:r>
      <w:r w:rsidR="00691262" w:rsidRPr="00C649E1">
        <w:rPr>
          <w:color w:val="auto"/>
          <w:sz w:val="20"/>
          <w:szCs w:val="20"/>
        </w:rPr>
        <w:t xml:space="preserve">the application of the death penalty in </w:t>
      </w:r>
      <w:r w:rsidRPr="00C649E1">
        <w:rPr>
          <w:color w:val="auto"/>
          <w:sz w:val="20"/>
          <w:szCs w:val="20"/>
        </w:rPr>
        <w:t>the United States</w:t>
      </w:r>
      <w:bookmarkEnd w:id="65"/>
      <w:bookmarkEnd w:id="66"/>
      <w:bookmarkEnd w:id="67"/>
      <w:bookmarkEnd w:id="68"/>
      <w:r w:rsidRPr="00C649E1">
        <w:rPr>
          <w:color w:val="auto"/>
          <w:sz w:val="20"/>
          <w:szCs w:val="20"/>
        </w:rPr>
        <w:t xml:space="preserve"> </w:t>
      </w:r>
    </w:p>
    <w:p w14:paraId="1AA531D7" w14:textId="77777777" w:rsidR="00F33E5A" w:rsidRPr="00C649E1" w:rsidRDefault="00F33E5A" w:rsidP="00F33E5A">
      <w:pPr>
        <w:pStyle w:val="ListParagraph"/>
        <w:ind w:left="1440" w:hanging="720"/>
        <w:jc w:val="both"/>
        <w:rPr>
          <w:rFonts w:asciiTheme="majorHAnsi" w:hAnsiTheme="majorHAnsi"/>
          <w:b/>
          <w:color w:val="auto"/>
          <w:sz w:val="20"/>
          <w:szCs w:val="20"/>
        </w:rPr>
      </w:pPr>
    </w:p>
    <w:p w14:paraId="4E75BD00" w14:textId="77777777" w:rsidR="006F2AB1" w:rsidRPr="00C649E1" w:rsidRDefault="00F33E5A" w:rsidP="006F2A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Verdana" w:hAnsi="Verdana"/>
        </w:rPr>
      </w:pPr>
      <w:r w:rsidRPr="00C649E1">
        <w:rPr>
          <w:rFonts w:asciiTheme="majorHAnsi" w:eastAsia="Times New Roman" w:hAnsiTheme="majorHAnsi"/>
          <w:sz w:val="20"/>
          <w:szCs w:val="20"/>
        </w:rPr>
        <w:t xml:space="preserve">With regard to the death penalty applied to African-Americans in the United States, </w:t>
      </w:r>
      <w:r w:rsidR="00966B3A" w:rsidRPr="00C649E1">
        <w:rPr>
          <w:rFonts w:asciiTheme="majorHAnsi" w:eastAsia="Times New Roman" w:hAnsiTheme="majorHAnsi"/>
          <w:sz w:val="20"/>
          <w:szCs w:val="20"/>
        </w:rPr>
        <w:t xml:space="preserve">in the case of </w:t>
      </w:r>
      <w:r w:rsidR="00B714CC" w:rsidRPr="00C649E1">
        <w:rPr>
          <w:rFonts w:asciiTheme="majorHAnsi" w:eastAsia="Times New Roman" w:hAnsiTheme="majorHAnsi"/>
          <w:sz w:val="20"/>
          <w:szCs w:val="20"/>
        </w:rPr>
        <w:t xml:space="preserve">Willie </w:t>
      </w:r>
      <w:r w:rsidR="00BA5385" w:rsidRPr="00C649E1">
        <w:rPr>
          <w:rFonts w:asciiTheme="majorHAnsi" w:eastAsia="Times New Roman" w:hAnsiTheme="majorHAnsi"/>
          <w:sz w:val="20"/>
          <w:szCs w:val="20"/>
        </w:rPr>
        <w:t xml:space="preserve">L. </w:t>
      </w:r>
      <w:r w:rsidR="00966B3A" w:rsidRPr="00C649E1">
        <w:rPr>
          <w:rFonts w:asciiTheme="majorHAnsi" w:eastAsia="Times New Roman" w:hAnsiTheme="majorHAnsi"/>
          <w:sz w:val="20"/>
          <w:szCs w:val="20"/>
        </w:rPr>
        <w:t>Celestine decided in 1989, the</w:t>
      </w:r>
      <w:r w:rsidR="00BA5385" w:rsidRPr="00C649E1">
        <w:rPr>
          <w:rFonts w:asciiTheme="majorHAnsi" w:eastAsia="Times New Roman" w:hAnsiTheme="majorHAnsi"/>
          <w:sz w:val="20"/>
          <w:szCs w:val="20"/>
        </w:rPr>
        <w:t xml:space="preserve"> Inter-American</w:t>
      </w:r>
      <w:r w:rsidR="00966B3A" w:rsidRPr="00C649E1">
        <w:rPr>
          <w:rFonts w:asciiTheme="majorHAnsi" w:eastAsia="Times New Roman" w:hAnsiTheme="majorHAnsi"/>
          <w:sz w:val="20"/>
          <w:szCs w:val="20"/>
        </w:rPr>
        <w:t xml:space="preserve"> Commission was faced for the first time with </w:t>
      </w:r>
      <w:r w:rsidR="00B714CC" w:rsidRPr="00C649E1">
        <w:rPr>
          <w:rFonts w:asciiTheme="majorHAnsi" w:eastAsia="Times New Roman" w:hAnsiTheme="majorHAnsi"/>
          <w:sz w:val="20"/>
          <w:szCs w:val="20"/>
        </w:rPr>
        <w:t xml:space="preserve">the question of </w:t>
      </w:r>
      <w:r w:rsidR="00966B3A" w:rsidRPr="00C649E1">
        <w:rPr>
          <w:rFonts w:asciiTheme="majorHAnsi" w:eastAsia="Times New Roman" w:hAnsiTheme="majorHAnsi"/>
          <w:sz w:val="20"/>
          <w:szCs w:val="20"/>
        </w:rPr>
        <w:t xml:space="preserve">whether statistics alone </w:t>
      </w:r>
      <w:r w:rsidR="00B714CC" w:rsidRPr="00C649E1">
        <w:rPr>
          <w:rFonts w:asciiTheme="majorHAnsi" w:eastAsia="Times New Roman" w:hAnsiTheme="majorHAnsi"/>
          <w:sz w:val="20"/>
          <w:szCs w:val="20"/>
        </w:rPr>
        <w:t xml:space="preserve">are </w:t>
      </w:r>
      <w:r w:rsidR="00966B3A" w:rsidRPr="00C649E1">
        <w:rPr>
          <w:rFonts w:asciiTheme="majorHAnsi" w:eastAsia="Times New Roman" w:hAnsiTheme="majorHAnsi"/>
          <w:sz w:val="20"/>
          <w:szCs w:val="20"/>
        </w:rPr>
        <w:t xml:space="preserve">sufficient to prove racial discrimination in </w:t>
      </w:r>
      <w:r w:rsidR="00B714CC" w:rsidRPr="00C649E1">
        <w:rPr>
          <w:rFonts w:asciiTheme="majorHAnsi" w:eastAsia="Times New Roman" w:hAnsiTheme="majorHAnsi"/>
          <w:sz w:val="20"/>
          <w:szCs w:val="20"/>
        </w:rPr>
        <w:t>a</w:t>
      </w:r>
      <w:r w:rsidR="00966B3A" w:rsidRPr="00C649E1">
        <w:rPr>
          <w:rFonts w:asciiTheme="majorHAnsi" w:eastAsia="Times New Roman" w:hAnsiTheme="majorHAnsi"/>
          <w:sz w:val="20"/>
          <w:szCs w:val="20"/>
        </w:rPr>
        <w:t xml:space="preserve"> capital c</w:t>
      </w:r>
      <w:r w:rsidR="00B714CC" w:rsidRPr="00C649E1">
        <w:rPr>
          <w:rFonts w:asciiTheme="majorHAnsi" w:eastAsia="Times New Roman" w:hAnsiTheme="majorHAnsi"/>
          <w:sz w:val="20"/>
          <w:szCs w:val="20"/>
        </w:rPr>
        <w:t>ase.</w:t>
      </w:r>
      <w:r w:rsidR="00527AF5" w:rsidRPr="00C649E1">
        <w:rPr>
          <w:rStyle w:val="FootnoteReference"/>
          <w:rFonts w:asciiTheme="majorHAnsi" w:eastAsia="Times New Roman" w:hAnsiTheme="majorHAnsi"/>
          <w:sz w:val="20"/>
          <w:szCs w:val="20"/>
        </w:rPr>
        <w:footnoteReference w:id="47"/>
      </w:r>
      <w:r w:rsidR="00966B3A" w:rsidRPr="00C649E1">
        <w:rPr>
          <w:rFonts w:asciiTheme="majorHAnsi" w:eastAsia="Times New Roman" w:hAnsiTheme="majorHAnsi"/>
          <w:sz w:val="20"/>
          <w:szCs w:val="20"/>
        </w:rPr>
        <w:t xml:space="preserve"> </w:t>
      </w:r>
      <w:r w:rsidR="00B714CC" w:rsidRPr="00C649E1">
        <w:rPr>
          <w:rFonts w:asciiTheme="majorHAnsi" w:eastAsia="Times New Roman" w:hAnsiTheme="majorHAnsi"/>
          <w:sz w:val="20"/>
          <w:szCs w:val="20"/>
        </w:rPr>
        <w:t xml:space="preserve">The IACHR declared the case inadmissible because the petitioner failed to present sufficient evidence that the sentence resulted from racial discrimination. The Commission </w:t>
      </w:r>
      <w:r w:rsidR="00527AF5" w:rsidRPr="00C649E1">
        <w:rPr>
          <w:rFonts w:asciiTheme="majorHAnsi" w:eastAsia="Times New Roman" w:hAnsiTheme="majorHAnsi"/>
          <w:sz w:val="20"/>
          <w:szCs w:val="20"/>
        </w:rPr>
        <w:t xml:space="preserve">found that this was a “poor case” and </w:t>
      </w:r>
      <w:r w:rsidR="00B714CC" w:rsidRPr="00C649E1">
        <w:rPr>
          <w:rFonts w:asciiTheme="majorHAnsi" w:eastAsia="Times New Roman" w:hAnsiTheme="majorHAnsi"/>
          <w:sz w:val="20"/>
          <w:szCs w:val="20"/>
        </w:rPr>
        <w:t>pointed out to the fact that the crime was sufficiently heinous and that</w:t>
      </w:r>
      <w:r w:rsidR="00527AF5" w:rsidRPr="00C649E1">
        <w:rPr>
          <w:rFonts w:ascii="Verdana" w:hAnsi="Verdana"/>
        </w:rPr>
        <w:t xml:space="preserve"> </w:t>
      </w:r>
      <w:r w:rsidR="00B714CC" w:rsidRPr="00C649E1">
        <w:rPr>
          <w:rFonts w:asciiTheme="majorHAnsi" w:eastAsia="Times New Roman" w:hAnsiTheme="majorHAnsi"/>
          <w:sz w:val="20"/>
          <w:szCs w:val="20"/>
        </w:rPr>
        <w:t xml:space="preserve">several members of the jury which unanimously voted to convict and sentence </w:t>
      </w:r>
      <w:r w:rsidR="00527AF5" w:rsidRPr="00C649E1">
        <w:rPr>
          <w:rFonts w:asciiTheme="majorHAnsi" w:eastAsia="Times New Roman" w:hAnsiTheme="majorHAnsi"/>
          <w:sz w:val="20"/>
          <w:szCs w:val="20"/>
        </w:rPr>
        <w:t>him to death were black.</w:t>
      </w:r>
      <w:r w:rsidR="00B714CC" w:rsidRPr="00C649E1">
        <w:rPr>
          <w:rFonts w:ascii="Verdana" w:hAnsi="Verdana"/>
        </w:rPr>
        <w:t> </w:t>
      </w:r>
    </w:p>
    <w:p w14:paraId="15E0962C" w14:textId="77777777" w:rsidR="006F2AB1" w:rsidRPr="00C649E1" w:rsidRDefault="006F2AB1" w:rsidP="006F2AB1">
      <w:pPr>
        <w:pStyle w:val="ListParagraph"/>
        <w:rPr>
          <w:rFonts w:asciiTheme="majorHAnsi" w:hAnsiTheme="majorHAnsi"/>
          <w:bCs/>
          <w:color w:val="auto"/>
          <w:sz w:val="20"/>
          <w:szCs w:val="20"/>
        </w:rPr>
      </w:pPr>
    </w:p>
    <w:p w14:paraId="63EDE269" w14:textId="77777777" w:rsidR="006F2AB1" w:rsidRPr="00C649E1" w:rsidRDefault="00966B3A" w:rsidP="006F2A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I</w:t>
      </w:r>
      <w:r w:rsidR="00F33E5A" w:rsidRPr="00C649E1">
        <w:rPr>
          <w:rFonts w:asciiTheme="majorHAnsi" w:hAnsiTheme="majorHAnsi"/>
          <w:bCs/>
          <w:color w:val="auto"/>
          <w:sz w:val="20"/>
          <w:szCs w:val="20"/>
        </w:rPr>
        <w:t>n the case of William Andrews</w:t>
      </w:r>
      <w:r w:rsidR="00BA5385" w:rsidRPr="00C649E1">
        <w:rPr>
          <w:rFonts w:asciiTheme="majorHAnsi" w:hAnsiTheme="majorHAnsi"/>
          <w:bCs/>
          <w:color w:val="auto"/>
          <w:sz w:val="20"/>
          <w:szCs w:val="20"/>
        </w:rPr>
        <w:t xml:space="preserve"> decided in 1997,</w:t>
      </w:r>
      <w:r w:rsidR="00F33E5A" w:rsidRPr="00C649E1">
        <w:rPr>
          <w:rFonts w:asciiTheme="majorHAnsi" w:hAnsiTheme="majorHAnsi"/>
          <w:bCs/>
          <w:color w:val="auto"/>
          <w:sz w:val="20"/>
          <w:szCs w:val="20"/>
        </w:rPr>
        <w:t xml:space="preserve"> the IACHR found that the existence of “a reasonable appearance of “racial bias” by some members of the jury” that tainted the trial and resulted in the death sentence, constituted a violation of the right to an impartial trial and to equality before the law.</w:t>
      </w:r>
      <w:r w:rsidR="00F33E5A" w:rsidRPr="00C649E1">
        <w:rPr>
          <w:rStyle w:val="FootnoteReference"/>
          <w:rFonts w:asciiTheme="majorHAnsi" w:hAnsiTheme="majorHAnsi"/>
          <w:bCs/>
          <w:color w:val="auto"/>
          <w:sz w:val="20"/>
          <w:szCs w:val="20"/>
        </w:rPr>
        <w:footnoteReference w:id="48"/>
      </w:r>
      <w:r w:rsidR="00F33E5A" w:rsidRPr="00C649E1">
        <w:rPr>
          <w:rFonts w:asciiTheme="majorHAnsi" w:hAnsiTheme="majorHAnsi"/>
          <w:bCs/>
          <w:color w:val="auto"/>
          <w:sz w:val="20"/>
          <w:szCs w:val="20"/>
        </w:rPr>
        <w:t xml:space="preserve"> </w:t>
      </w:r>
      <w:r w:rsidR="006F2AB1" w:rsidRPr="00C649E1">
        <w:rPr>
          <w:rFonts w:asciiTheme="majorHAnsi" w:hAnsiTheme="majorHAnsi"/>
          <w:bCs/>
          <w:color w:val="auto"/>
          <w:sz w:val="20"/>
          <w:szCs w:val="20"/>
        </w:rPr>
        <w:t>In this case, the record before the Commission reflected ample evidence of “racial bias.”</w:t>
      </w:r>
      <w:r w:rsidR="006F2AB1" w:rsidRPr="00C649E1">
        <w:rPr>
          <w:rStyle w:val="FootnoteReference"/>
          <w:rFonts w:asciiTheme="majorHAnsi" w:hAnsiTheme="majorHAnsi"/>
          <w:bCs/>
          <w:color w:val="auto"/>
          <w:sz w:val="20"/>
          <w:szCs w:val="20"/>
        </w:rPr>
        <w:footnoteReference w:id="49"/>
      </w:r>
      <w:r w:rsidR="006F2AB1" w:rsidRPr="00C649E1">
        <w:rPr>
          <w:rFonts w:asciiTheme="majorHAnsi" w:hAnsiTheme="majorHAnsi"/>
          <w:bCs/>
          <w:color w:val="auto"/>
          <w:sz w:val="20"/>
          <w:szCs w:val="20"/>
        </w:rPr>
        <w:t xml:space="preserve"> A napkin had been found among the jurors during a recess of the trial, which stated “Hang the Nigger’s” and a request filed by defense counsel for a mistrial and a right to question jurors concerning the note was denied by the trial judge.</w:t>
      </w:r>
      <w:r w:rsidR="006F2AB1" w:rsidRPr="00C649E1">
        <w:rPr>
          <w:rStyle w:val="FootnoteReference"/>
          <w:rFonts w:asciiTheme="majorHAnsi" w:hAnsiTheme="majorHAnsi"/>
          <w:bCs/>
          <w:color w:val="auto"/>
          <w:sz w:val="20"/>
          <w:szCs w:val="20"/>
        </w:rPr>
        <w:footnoteReference w:id="50"/>
      </w:r>
      <w:r w:rsidR="008D739C" w:rsidRPr="00C649E1">
        <w:rPr>
          <w:rFonts w:asciiTheme="majorHAnsi" w:hAnsiTheme="majorHAnsi"/>
          <w:bCs/>
          <w:color w:val="auto"/>
          <w:sz w:val="20"/>
          <w:szCs w:val="20"/>
        </w:rPr>
        <w:t xml:space="preserve"> </w:t>
      </w:r>
      <w:r w:rsidR="00F33E5A" w:rsidRPr="00C649E1">
        <w:rPr>
          <w:rFonts w:asciiTheme="majorHAnsi" w:hAnsiTheme="majorHAnsi"/>
          <w:bCs/>
          <w:color w:val="auto"/>
          <w:sz w:val="20"/>
          <w:szCs w:val="20"/>
        </w:rPr>
        <w:t>The Commission ruled that “the international standard on the issue of “judge and juror impartiality” employs an objective test based on “reasonableness, and the appearance of impartiality” and that a reasonable suspicion of bias is sufficient for juror disqualification.</w:t>
      </w:r>
      <w:r w:rsidR="00F33E5A" w:rsidRPr="00C649E1">
        <w:rPr>
          <w:rStyle w:val="FootnoteReference"/>
          <w:rFonts w:asciiTheme="majorHAnsi" w:hAnsiTheme="majorHAnsi"/>
          <w:bCs/>
          <w:color w:val="auto"/>
          <w:sz w:val="20"/>
          <w:szCs w:val="20"/>
        </w:rPr>
        <w:footnoteReference w:id="51"/>
      </w:r>
    </w:p>
    <w:p w14:paraId="3813BA79" w14:textId="77777777" w:rsidR="006F2AB1" w:rsidRPr="00C649E1" w:rsidRDefault="006F2AB1" w:rsidP="006F2AB1">
      <w:pPr>
        <w:pStyle w:val="ListParagraph"/>
        <w:rPr>
          <w:rFonts w:asciiTheme="majorHAnsi" w:hAnsiTheme="majorHAnsi"/>
          <w:bCs/>
          <w:sz w:val="20"/>
          <w:szCs w:val="20"/>
        </w:rPr>
      </w:pPr>
    </w:p>
    <w:p w14:paraId="67E5961C" w14:textId="77777777" w:rsidR="00673206" w:rsidRPr="00C649E1" w:rsidRDefault="006F2AB1" w:rsidP="006F2A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sz w:val="20"/>
          <w:szCs w:val="20"/>
        </w:rPr>
        <w:t>In the case of Kevin Cooper decided in 2015</w:t>
      </w:r>
      <w:r w:rsidR="00691B5E" w:rsidRPr="00C649E1">
        <w:rPr>
          <w:rFonts w:asciiTheme="majorHAnsi" w:hAnsiTheme="majorHAnsi"/>
          <w:bCs/>
          <w:sz w:val="20"/>
          <w:szCs w:val="20"/>
        </w:rPr>
        <w:t>,</w:t>
      </w:r>
      <w:r w:rsidR="00691B5E" w:rsidRPr="00C649E1">
        <w:rPr>
          <w:rFonts w:asciiTheme="majorHAnsi" w:hAnsiTheme="majorHAnsi"/>
          <w:bCs/>
          <w:color w:val="auto"/>
          <w:sz w:val="20"/>
          <w:szCs w:val="20"/>
        </w:rPr>
        <w:t xml:space="preserve"> the petitioners did not question the composition of the jury, its conduct, or the manner in which the members of the jury were chosen.</w:t>
      </w:r>
      <w:r w:rsidR="00673206" w:rsidRPr="00C649E1">
        <w:rPr>
          <w:rStyle w:val="FootnoteReference"/>
          <w:rFonts w:asciiTheme="majorHAnsi" w:hAnsiTheme="majorHAnsi"/>
          <w:bCs/>
          <w:color w:val="auto"/>
          <w:sz w:val="20"/>
          <w:szCs w:val="20"/>
        </w:rPr>
        <w:footnoteReference w:id="52"/>
      </w:r>
      <w:r w:rsidR="00691B5E" w:rsidRPr="00C649E1">
        <w:rPr>
          <w:rFonts w:asciiTheme="majorHAnsi" w:hAnsiTheme="majorHAnsi"/>
          <w:bCs/>
          <w:color w:val="auto"/>
          <w:sz w:val="20"/>
          <w:szCs w:val="20"/>
        </w:rPr>
        <w:t xml:space="preserve"> </w:t>
      </w:r>
      <w:r w:rsidR="00A83CC8" w:rsidRPr="00C649E1">
        <w:rPr>
          <w:rFonts w:asciiTheme="majorHAnsi" w:hAnsiTheme="majorHAnsi"/>
          <w:bCs/>
          <w:color w:val="auto"/>
          <w:sz w:val="20"/>
          <w:szCs w:val="20"/>
        </w:rPr>
        <w:t xml:space="preserve">The point at stake was </w:t>
      </w:r>
      <w:r w:rsidR="00691B5E" w:rsidRPr="00C649E1">
        <w:rPr>
          <w:rFonts w:asciiTheme="majorHAnsi" w:hAnsiTheme="majorHAnsi"/>
          <w:bCs/>
          <w:color w:val="auto"/>
          <w:sz w:val="20"/>
          <w:szCs w:val="20"/>
        </w:rPr>
        <w:t>the deficiencies in due process that ha</w:t>
      </w:r>
      <w:r w:rsidR="00A83CC8" w:rsidRPr="00C649E1">
        <w:rPr>
          <w:rFonts w:asciiTheme="majorHAnsi" w:hAnsiTheme="majorHAnsi"/>
          <w:bCs/>
          <w:color w:val="auto"/>
          <w:sz w:val="20"/>
          <w:szCs w:val="20"/>
        </w:rPr>
        <w:t>d</w:t>
      </w:r>
      <w:r w:rsidR="00691B5E" w:rsidRPr="00C649E1">
        <w:rPr>
          <w:rFonts w:asciiTheme="majorHAnsi" w:hAnsiTheme="majorHAnsi"/>
          <w:bCs/>
          <w:color w:val="auto"/>
          <w:sz w:val="20"/>
          <w:szCs w:val="20"/>
        </w:rPr>
        <w:t xml:space="preserve"> left the possibility of racial discrimination unresolved. </w:t>
      </w:r>
      <w:r w:rsidRPr="00C649E1">
        <w:rPr>
          <w:rFonts w:asciiTheme="majorHAnsi" w:hAnsiTheme="majorHAnsi"/>
          <w:bCs/>
          <w:color w:val="auto"/>
          <w:sz w:val="20"/>
          <w:szCs w:val="20"/>
        </w:rPr>
        <w:t>The Commission noted the special seriousness of the fact that the United States Government’s own studies demonstrate that the race of defendants and the race of victims of crimes has an undeniable influence on conviction and sentencing patterns and that this is not a recent finding.</w:t>
      </w:r>
      <w:r w:rsidRPr="00C649E1">
        <w:rPr>
          <w:rStyle w:val="FootnoteReference"/>
          <w:rFonts w:asciiTheme="majorHAnsi" w:hAnsiTheme="majorHAnsi"/>
          <w:bCs/>
          <w:color w:val="auto"/>
          <w:sz w:val="20"/>
          <w:szCs w:val="20"/>
        </w:rPr>
        <w:footnoteReference w:id="53"/>
      </w:r>
      <w:r w:rsidRPr="00C649E1">
        <w:rPr>
          <w:rFonts w:asciiTheme="majorHAnsi" w:hAnsiTheme="majorHAnsi"/>
          <w:bCs/>
          <w:color w:val="auto"/>
          <w:sz w:val="20"/>
          <w:szCs w:val="20"/>
        </w:rPr>
        <w:t xml:space="preserve"> </w:t>
      </w:r>
    </w:p>
    <w:p w14:paraId="6DBCAE6C" w14:textId="77777777" w:rsidR="00673206" w:rsidRDefault="00673206" w:rsidP="00673206">
      <w:pPr>
        <w:pStyle w:val="ListParagraph"/>
        <w:rPr>
          <w:rFonts w:asciiTheme="majorHAnsi" w:hAnsiTheme="majorHAnsi"/>
          <w:bCs/>
          <w:color w:val="auto"/>
          <w:sz w:val="20"/>
          <w:szCs w:val="20"/>
        </w:rPr>
      </w:pPr>
    </w:p>
    <w:p w14:paraId="7A7C67E8" w14:textId="77777777" w:rsidR="00B6392F" w:rsidRPr="00C649E1" w:rsidRDefault="00B6392F" w:rsidP="00673206">
      <w:pPr>
        <w:pStyle w:val="ListParagraph"/>
        <w:rPr>
          <w:rFonts w:asciiTheme="majorHAnsi" w:hAnsiTheme="majorHAnsi"/>
          <w:bCs/>
          <w:color w:val="auto"/>
          <w:sz w:val="20"/>
          <w:szCs w:val="20"/>
        </w:rPr>
      </w:pPr>
    </w:p>
    <w:p w14:paraId="11AB2718" w14:textId="77777777" w:rsidR="00673206" w:rsidRPr="00C649E1" w:rsidRDefault="00673206" w:rsidP="006F2AB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Given this</w:t>
      </w:r>
      <w:r w:rsidR="006F2AB1" w:rsidRPr="00C649E1">
        <w:rPr>
          <w:rFonts w:asciiTheme="majorHAnsi" w:hAnsiTheme="majorHAnsi"/>
          <w:bCs/>
          <w:color w:val="auto"/>
          <w:sz w:val="20"/>
          <w:szCs w:val="20"/>
        </w:rPr>
        <w:t xml:space="preserve"> accepted existence of statistical disparities based on race at all stages of the criminal justice process, and that the Cooper case present</w:t>
      </w:r>
      <w:r w:rsidRPr="00C649E1">
        <w:rPr>
          <w:rFonts w:asciiTheme="majorHAnsi" w:hAnsiTheme="majorHAnsi"/>
          <w:bCs/>
          <w:color w:val="auto"/>
          <w:sz w:val="20"/>
          <w:szCs w:val="20"/>
        </w:rPr>
        <w:t>ed</w:t>
      </w:r>
      <w:r w:rsidR="006F2AB1" w:rsidRPr="00C649E1">
        <w:rPr>
          <w:rFonts w:asciiTheme="majorHAnsi" w:hAnsiTheme="majorHAnsi"/>
          <w:bCs/>
          <w:color w:val="auto"/>
          <w:sz w:val="20"/>
          <w:szCs w:val="20"/>
        </w:rPr>
        <w:t xml:space="preserve"> both of the variables cited in such disparities</w:t>
      </w:r>
      <w:r w:rsidRPr="00C649E1">
        <w:rPr>
          <w:rFonts w:asciiTheme="majorHAnsi" w:hAnsiTheme="majorHAnsi"/>
          <w:bCs/>
          <w:color w:val="auto"/>
          <w:sz w:val="20"/>
          <w:szCs w:val="20"/>
        </w:rPr>
        <w:t xml:space="preserve"> (</w:t>
      </w:r>
      <w:r w:rsidR="006F2AB1" w:rsidRPr="00C649E1">
        <w:rPr>
          <w:rFonts w:asciiTheme="majorHAnsi" w:hAnsiTheme="majorHAnsi"/>
          <w:bCs/>
          <w:color w:val="auto"/>
          <w:sz w:val="20"/>
          <w:szCs w:val="20"/>
        </w:rPr>
        <w:t>an African</w:t>
      </w:r>
      <w:r w:rsidRPr="00C649E1">
        <w:rPr>
          <w:rFonts w:asciiTheme="majorHAnsi" w:hAnsiTheme="majorHAnsi"/>
          <w:bCs/>
          <w:color w:val="auto"/>
          <w:sz w:val="20"/>
          <w:szCs w:val="20"/>
        </w:rPr>
        <w:t>-</w:t>
      </w:r>
      <w:r w:rsidR="006F2AB1" w:rsidRPr="00C649E1">
        <w:rPr>
          <w:rFonts w:asciiTheme="majorHAnsi" w:hAnsiTheme="majorHAnsi"/>
          <w:bCs/>
          <w:color w:val="auto"/>
          <w:sz w:val="20"/>
          <w:szCs w:val="20"/>
        </w:rPr>
        <w:t>American defendant and white victims</w:t>
      </w:r>
      <w:r w:rsidRPr="00C649E1">
        <w:rPr>
          <w:rFonts w:asciiTheme="majorHAnsi" w:hAnsiTheme="majorHAnsi"/>
          <w:bCs/>
          <w:color w:val="auto"/>
          <w:sz w:val="20"/>
          <w:szCs w:val="20"/>
        </w:rPr>
        <w:t>)</w:t>
      </w:r>
      <w:r w:rsidR="006F2AB1" w:rsidRPr="00C649E1">
        <w:rPr>
          <w:rFonts w:asciiTheme="majorHAnsi" w:hAnsiTheme="majorHAnsi"/>
          <w:bCs/>
          <w:color w:val="auto"/>
          <w:sz w:val="20"/>
          <w:szCs w:val="20"/>
        </w:rPr>
        <w:t>, the Commission consider</w:t>
      </w:r>
      <w:r w:rsidRPr="00C649E1">
        <w:rPr>
          <w:rFonts w:asciiTheme="majorHAnsi" w:hAnsiTheme="majorHAnsi"/>
          <w:bCs/>
          <w:color w:val="auto"/>
          <w:sz w:val="20"/>
          <w:szCs w:val="20"/>
        </w:rPr>
        <w:t>ed the following:</w:t>
      </w:r>
      <w:r w:rsidRPr="00C649E1">
        <w:rPr>
          <w:rStyle w:val="FootnoteReference"/>
          <w:rFonts w:asciiTheme="majorHAnsi" w:hAnsiTheme="majorHAnsi"/>
          <w:bCs/>
          <w:color w:val="auto"/>
          <w:sz w:val="20"/>
          <w:szCs w:val="20"/>
        </w:rPr>
        <w:footnoteReference w:id="54"/>
      </w:r>
    </w:p>
    <w:p w14:paraId="6E078847" w14:textId="77777777" w:rsidR="00673206" w:rsidRPr="00C649E1" w:rsidRDefault="00673206" w:rsidP="00673206">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3203ED5A" w14:textId="77777777" w:rsidR="006F2AB1" w:rsidRPr="00C649E1" w:rsidRDefault="00673206" w:rsidP="0002178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Theme="majorHAnsi" w:hAnsiTheme="majorHAnsi"/>
          <w:bCs/>
          <w:color w:val="auto"/>
          <w:sz w:val="18"/>
          <w:szCs w:val="18"/>
        </w:rPr>
      </w:pPr>
      <w:r w:rsidRPr="00C649E1">
        <w:rPr>
          <w:rFonts w:asciiTheme="majorHAnsi" w:hAnsiTheme="majorHAnsi"/>
          <w:bCs/>
          <w:color w:val="auto"/>
          <w:sz w:val="18"/>
          <w:szCs w:val="18"/>
        </w:rPr>
        <w:t>[…]</w:t>
      </w:r>
      <w:r w:rsidR="006F2AB1" w:rsidRPr="00C649E1">
        <w:rPr>
          <w:rFonts w:asciiTheme="majorHAnsi" w:hAnsiTheme="majorHAnsi"/>
          <w:bCs/>
          <w:color w:val="auto"/>
          <w:sz w:val="18"/>
          <w:szCs w:val="18"/>
        </w:rPr>
        <w:t xml:space="preserve"> the courts were on notice of this context and had the obligation to complete a full and fair inquiry into the possibility of evidence tampering and failure to fully investigate other hypotheses that pointed to the perpetrators having been white.  While the Commission does not have before it the elements necessary to establish that racial discrimination in fact produced a tainted investigation, it does have before it elements sufficient to determine that this possibility was not fully investigated.  The Commission must make clear that the questions of due process and possible racial discrimination cannot be considered in isolation; it is precisely the deficiencies in due process that have left the possibility of racial discrimination unresolved.  It is on that basis that the United States is responsible for failing to fully respond to the allegations, information and proof concerning possible racial discrimination raised throughout this process pursuant to its obligations under Article II of the American Declaration.</w:t>
      </w:r>
    </w:p>
    <w:p w14:paraId="5BB55C5A" w14:textId="77777777" w:rsidR="00021789" w:rsidRPr="00C649E1" w:rsidRDefault="00021789" w:rsidP="0002178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Theme="majorHAnsi" w:hAnsiTheme="majorHAnsi"/>
          <w:bCs/>
          <w:color w:val="auto"/>
          <w:sz w:val="18"/>
          <w:szCs w:val="18"/>
        </w:rPr>
      </w:pPr>
    </w:p>
    <w:p w14:paraId="57A4CD8C" w14:textId="77777777" w:rsidR="00021789" w:rsidRPr="00C649E1" w:rsidRDefault="00021789" w:rsidP="0002178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lastRenderedPageBreak/>
        <w:t>In its report on The Situation of People of African Descent in the Americas, the IACHR, based on the General Recommendation No. XXXI issued by the United Nations Committee on the Elimination of Racial Discrimination (“CERD”),</w:t>
      </w:r>
      <w:r w:rsidRPr="00C649E1">
        <w:rPr>
          <w:rStyle w:val="FootnoteReference"/>
          <w:rFonts w:asciiTheme="majorHAnsi" w:hAnsiTheme="majorHAnsi"/>
          <w:bCs/>
          <w:color w:val="auto"/>
          <w:sz w:val="20"/>
          <w:szCs w:val="20"/>
        </w:rPr>
        <w:footnoteReference w:id="55"/>
      </w:r>
      <w:r w:rsidRPr="00C649E1">
        <w:rPr>
          <w:rFonts w:asciiTheme="majorHAnsi" w:hAnsiTheme="majorHAnsi"/>
          <w:bCs/>
          <w:color w:val="auto"/>
          <w:sz w:val="20"/>
          <w:szCs w:val="20"/>
        </w:rPr>
        <w:t xml:space="preserve"> indicated that “offences involving members of stigmatized or marginalized groups are more severely punished and that whatever the legal and procedural system in force in a given country, the structural inequalities, stereotypes and prejudices are mirrored in the criminal justice system.”</w:t>
      </w:r>
      <w:r w:rsidRPr="00C649E1">
        <w:rPr>
          <w:rStyle w:val="FootnoteReference"/>
          <w:rFonts w:asciiTheme="majorHAnsi" w:hAnsiTheme="majorHAnsi"/>
          <w:bCs/>
          <w:color w:val="auto"/>
          <w:sz w:val="20"/>
          <w:szCs w:val="20"/>
        </w:rPr>
        <w:footnoteReference w:id="56"/>
      </w:r>
      <w:r w:rsidRPr="00C649E1">
        <w:rPr>
          <w:rFonts w:asciiTheme="majorHAnsi" w:hAnsiTheme="majorHAnsi"/>
          <w:bCs/>
          <w:color w:val="auto"/>
          <w:sz w:val="20"/>
          <w:szCs w:val="20"/>
        </w:rPr>
        <w:t xml:space="preserve"> The Commission also observed “the impact of racism in the criminal justice systems in the region” and reiterated that “the use of race and skin color as grounds to set and adjust a criminal sentence are banned by the inter‐American system of human rights protection.”</w:t>
      </w:r>
      <w:r w:rsidRPr="00C649E1">
        <w:rPr>
          <w:rStyle w:val="FootnoteReference"/>
          <w:rFonts w:asciiTheme="majorHAnsi" w:hAnsiTheme="majorHAnsi"/>
          <w:bCs/>
          <w:color w:val="auto"/>
          <w:sz w:val="20"/>
          <w:szCs w:val="20"/>
        </w:rPr>
        <w:footnoteReference w:id="57"/>
      </w:r>
    </w:p>
    <w:p w14:paraId="686E606E" w14:textId="77777777" w:rsidR="00021789" w:rsidRPr="00C649E1" w:rsidRDefault="00021789" w:rsidP="0002178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6D763D5E" w14:textId="77777777" w:rsidR="000769D6" w:rsidRPr="00C649E1" w:rsidRDefault="00021789" w:rsidP="0002178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 xml:space="preserve">Later, in its report </w:t>
      </w:r>
      <w:r w:rsidR="008E2E22" w:rsidRPr="00C649E1">
        <w:rPr>
          <w:rFonts w:asciiTheme="majorHAnsi" w:hAnsiTheme="majorHAnsi"/>
          <w:bCs/>
          <w:color w:val="auto"/>
          <w:sz w:val="20"/>
          <w:szCs w:val="20"/>
        </w:rPr>
        <w:t>on Police Violence Against Afro-descendants in the United States</w:t>
      </w:r>
      <w:r w:rsidRPr="00C649E1">
        <w:rPr>
          <w:rFonts w:asciiTheme="majorHAnsi" w:hAnsiTheme="majorHAnsi"/>
          <w:bCs/>
          <w:color w:val="auto"/>
          <w:sz w:val="20"/>
          <w:szCs w:val="20"/>
        </w:rPr>
        <w:t>, the Commission echoed “the concerns of the CERD that African Americans continue to be disproportionately arrested, incarcerated, and subjected to harsher sentences, including life imprisonment without parole and the death penalty, and that this situation is exacerbated by the exercise of prosecutorial discretion, and the application of mandatory minimum drug-offenses sentencing policies and repeat offender laws.”</w:t>
      </w:r>
      <w:r w:rsidRPr="00C649E1">
        <w:rPr>
          <w:rStyle w:val="FootnoteReference"/>
          <w:rFonts w:asciiTheme="majorHAnsi" w:hAnsiTheme="majorHAnsi"/>
          <w:bCs/>
          <w:color w:val="auto"/>
          <w:sz w:val="20"/>
          <w:szCs w:val="20"/>
        </w:rPr>
        <w:footnoteReference w:id="58"/>
      </w:r>
      <w:r w:rsidR="00C46AC7" w:rsidRPr="00C649E1">
        <w:rPr>
          <w:rFonts w:asciiTheme="majorHAnsi" w:hAnsiTheme="majorHAnsi"/>
          <w:bCs/>
          <w:color w:val="auto"/>
          <w:sz w:val="20"/>
          <w:szCs w:val="20"/>
        </w:rPr>
        <w:t xml:space="preserve"> </w:t>
      </w:r>
      <w:r w:rsidR="000769D6" w:rsidRPr="00C649E1">
        <w:rPr>
          <w:rFonts w:asciiTheme="majorHAnsi" w:hAnsiTheme="majorHAnsi"/>
          <w:bCs/>
          <w:color w:val="auto"/>
          <w:sz w:val="20"/>
          <w:szCs w:val="20"/>
        </w:rPr>
        <w:t xml:space="preserve">The </w:t>
      </w:r>
      <w:r w:rsidR="00C46AC7" w:rsidRPr="00C649E1">
        <w:rPr>
          <w:rFonts w:asciiTheme="majorHAnsi" w:hAnsiTheme="majorHAnsi"/>
          <w:bCs/>
          <w:color w:val="auto"/>
          <w:sz w:val="20"/>
          <w:szCs w:val="20"/>
        </w:rPr>
        <w:t xml:space="preserve">IACHR </w:t>
      </w:r>
      <w:r w:rsidR="000769D6" w:rsidRPr="00C649E1">
        <w:rPr>
          <w:rFonts w:asciiTheme="majorHAnsi" w:hAnsiTheme="majorHAnsi"/>
          <w:bCs/>
          <w:color w:val="auto"/>
          <w:sz w:val="20"/>
          <w:szCs w:val="20"/>
        </w:rPr>
        <w:t>observed that “while the United States’ legal framework effectively prohibits facial discrimination in law, it largely does not prohibit the disparate impact of facially neutral policies except in very limited legal circumstances. In general, measures to prevent, protect against, and remedy the effects of indirect discrimination exist only where provided for by statute, including for claims of employment, housing, and age discrimination.”</w:t>
      </w:r>
      <w:r w:rsidR="000769D6" w:rsidRPr="00C649E1">
        <w:rPr>
          <w:rStyle w:val="FootnoteReference"/>
          <w:rFonts w:asciiTheme="majorHAnsi" w:hAnsiTheme="majorHAnsi"/>
          <w:bCs/>
          <w:color w:val="auto"/>
          <w:sz w:val="20"/>
          <w:szCs w:val="20"/>
        </w:rPr>
        <w:footnoteReference w:id="59"/>
      </w:r>
      <w:r w:rsidR="00E35189" w:rsidRPr="00C649E1">
        <w:rPr>
          <w:rFonts w:asciiTheme="majorHAnsi" w:hAnsiTheme="majorHAnsi"/>
          <w:bCs/>
          <w:color w:val="auto"/>
          <w:sz w:val="20"/>
          <w:szCs w:val="20"/>
        </w:rPr>
        <w:t xml:space="preserve"> In this regard, the IACHR stressed the urgency in bringing U.S. domestic law “in line with international standards in order to effectively prevent and sanction cases of disparate impact.”</w:t>
      </w:r>
      <w:r w:rsidR="00E35189" w:rsidRPr="00C649E1">
        <w:rPr>
          <w:rStyle w:val="FootnoteReference"/>
          <w:rFonts w:asciiTheme="majorHAnsi" w:hAnsiTheme="majorHAnsi"/>
          <w:bCs/>
          <w:color w:val="auto"/>
          <w:sz w:val="20"/>
          <w:szCs w:val="20"/>
        </w:rPr>
        <w:footnoteReference w:id="60"/>
      </w:r>
      <w:r w:rsidR="00E35189" w:rsidRPr="00C649E1">
        <w:rPr>
          <w:rFonts w:asciiTheme="majorHAnsi" w:hAnsiTheme="majorHAnsi"/>
          <w:bCs/>
          <w:color w:val="auto"/>
          <w:sz w:val="20"/>
          <w:szCs w:val="20"/>
        </w:rPr>
        <w:t xml:space="preserve"> Implementing the provisions of the American Declaration includes the obligation to organize the entire State administrative and legal structure to enable the full exercise of human rights. Such actions may include reforms and reparations intended to transform the existing situation, as well as the adoption of special measures and affirmative actions aimed at effectively promoting those rights.</w:t>
      </w:r>
      <w:r w:rsidR="00E35189" w:rsidRPr="00C649E1">
        <w:rPr>
          <w:rStyle w:val="FootnoteReference"/>
          <w:rFonts w:asciiTheme="majorHAnsi" w:hAnsiTheme="majorHAnsi"/>
          <w:bCs/>
          <w:color w:val="auto"/>
          <w:sz w:val="20"/>
          <w:szCs w:val="20"/>
        </w:rPr>
        <w:footnoteReference w:id="61"/>
      </w:r>
    </w:p>
    <w:p w14:paraId="6C1D1E15" w14:textId="77777777" w:rsidR="000769D6" w:rsidRPr="00C649E1" w:rsidRDefault="000769D6" w:rsidP="000769D6">
      <w:pPr>
        <w:pStyle w:val="ListParagraph"/>
        <w:rPr>
          <w:rFonts w:asciiTheme="majorHAnsi" w:hAnsiTheme="majorHAnsi"/>
          <w:bCs/>
          <w:color w:val="auto"/>
          <w:sz w:val="20"/>
          <w:szCs w:val="20"/>
        </w:rPr>
      </w:pPr>
    </w:p>
    <w:p w14:paraId="3417EADD" w14:textId="77777777" w:rsidR="00691262" w:rsidRPr="00C649E1" w:rsidRDefault="000769D6" w:rsidP="0002178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 xml:space="preserve">The Commission </w:t>
      </w:r>
      <w:r w:rsidR="00C46AC7" w:rsidRPr="00C649E1">
        <w:rPr>
          <w:rFonts w:asciiTheme="majorHAnsi" w:hAnsiTheme="majorHAnsi"/>
          <w:bCs/>
          <w:color w:val="auto"/>
          <w:sz w:val="20"/>
          <w:szCs w:val="20"/>
        </w:rPr>
        <w:t>also</w:t>
      </w:r>
      <w:r w:rsidRPr="00C649E1">
        <w:rPr>
          <w:rFonts w:asciiTheme="majorHAnsi" w:hAnsiTheme="majorHAnsi"/>
          <w:bCs/>
          <w:color w:val="auto"/>
          <w:sz w:val="20"/>
          <w:szCs w:val="20"/>
        </w:rPr>
        <w:t xml:space="preserve"> expressed deep concern that U.S. law does not prohibit disparate impact in the criminal justice system</w:t>
      </w:r>
      <w:r w:rsidR="00C46AC7" w:rsidRPr="00C649E1">
        <w:rPr>
          <w:rFonts w:asciiTheme="majorHAnsi" w:hAnsiTheme="majorHAnsi"/>
          <w:bCs/>
          <w:color w:val="auto"/>
          <w:sz w:val="20"/>
          <w:szCs w:val="20"/>
        </w:rPr>
        <w:t>. In this regard, it</w:t>
      </w:r>
      <w:r w:rsidR="00691262" w:rsidRPr="00C649E1">
        <w:rPr>
          <w:rFonts w:asciiTheme="majorHAnsi" w:hAnsiTheme="majorHAnsi"/>
          <w:bCs/>
          <w:color w:val="auto"/>
          <w:sz w:val="20"/>
          <w:szCs w:val="20"/>
        </w:rPr>
        <w:t xml:space="preserve"> has considered the U.S. Supreme Court’s decision in</w:t>
      </w:r>
      <w:r w:rsidRPr="00C649E1">
        <w:rPr>
          <w:rFonts w:asciiTheme="majorHAnsi" w:hAnsiTheme="majorHAnsi"/>
          <w:bCs/>
          <w:color w:val="auto"/>
          <w:sz w:val="20"/>
          <w:szCs w:val="20"/>
        </w:rPr>
        <w:t xml:space="preserve"> </w:t>
      </w:r>
      <w:r w:rsidRPr="00C649E1">
        <w:rPr>
          <w:rFonts w:asciiTheme="majorHAnsi" w:hAnsiTheme="majorHAnsi"/>
          <w:bCs/>
          <w:i/>
          <w:color w:val="auto"/>
          <w:sz w:val="20"/>
          <w:szCs w:val="20"/>
        </w:rPr>
        <w:t>McCleskey v. Kemp</w:t>
      </w:r>
      <w:r w:rsidR="00691262" w:rsidRPr="00C649E1">
        <w:rPr>
          <w:rFonts w:asciiTheme="majorHAnsi" w:hAnsiTheme="majorHAnsi"/>
          <w:bCs/>
          <w:color w:val="auto"/>
          <w:sz w:val="20"/>
          <w:szCs w:val="20"/>
        </w:rPr>
        <w:t xml:space="preserve"> </w:t>
      </w:r>
      <w:r w:rsidRPr="00C649E1">
        <w:rPr>
          <w:rFonts w:asciiTheme="majorHAnsi" w:hAnsiTheme="majorHAnsi"/>
          <w:bCs/>
          <w:color w:val="auto"/>
          <w:sz w:val="20"/>
          <w:szCs w:val="20"/>
        </w:rPr>
        <w:t>illustrative</w:t>
      </w:r>
      <w:r w:rsidR="00165F60" w:rsidRPr="00C649E1">
        <w:rPr>
          <w:rFonts w:asciiTheme="majorHAnsi" w:hAnsiTheme="majorHAnsi"/>
          <w:bCs/>
          <w:color w:val="auto"/>
          <w:sz w:val="20"/>
          <w:szCs w:val="20"/>
        </w:rPr>
        <w:t>, as follows</w:t>
      </w:r>
      <w:r w:rsidR="00691262" w:rsidRPr="00C649E1">
        <w:rPr>
          <w:rFonts w:asciiTheme="majorHAnsi" w:hAnsiTheme="majorHAnsi"/>
          <w:bCs/>
          <w:color w:val="auto"/>
          <w:sz w:val="20"/>
          <w:szCs w:val="20"/>
        </w:rPr>
        <w:t>:</w:t>
      </w:r>
      <w:r w:rsidR="00691262" w:rsidRPr="00C649E1">
        <w:rPr>
          <w:rStyle w:val="FootnoteReference"/>
          <w:rFonts w:asciiTheme="majorHAnsi" w:hAnsiTheme="majorHAnsi"/>
          <w:bCs/>
          <w:color w:val="auto"/>
          <w:sz w:val="20"/>
          <w:szCs w:val="20"/>
        </w:rPr>
        <w:footnoteReference w:id="62"/>
      </w:r>
    </w:p>
    <w:p w14:paraId="1499F508" w14:textId="77777777" w:rsidR="002463AD" w:rsidRPr="00C649E1" w:rsidRDefault="002463AD" w:rsidP="002463AD">
      <w:pPr>
        <w:pStyle w:val="ListParagraph"/>
        <w:rPr>
          <w:rFonts w:asciiTheme="majorHAnsi" w:hAnsiTheme="majorHAnsi"/>
          <w:bCs/>
          <w:color w:val="auto"/>
          <w:sz w:val="20"/>
          <w:szCs w:val="20"/>
        </w:rPr>
      </w:pPr>
    </w:p>
    <w:p w14:paraId="7159F817" w14:textId="77777777" w:rsidR="000769D6" w:rsidRPr="00C649E1" w:rsidRDefault="000769D6" w:rsidP="0069126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Theme="majorHAnsi" w:hAnsiTheme="majorHAnsi"/>
          <w:bCs/>
          <w:color w:val="auto"/>
          <w:sz w:val="18"/>
          <w:szCs w:val="18"/>
        </w:rPr>
      </w:pPr>
      <w:r w:rsidRPr="00C649E1">
        <w:rPr>
          <w:rFonts w:asciiTheme="majorHAnsi" w:hAnsiTheme="majorHAnsi"/>
          <w:bCs/>
          <w:color w:val="auto"/>
          <w:sz w:val="18"/>
          <w:szCs w:val="18"/>
        </w:rPr>
        <w:t>In McCleskey, the Supreme Court held that the "racially disproportionate impact" of the application of the death penalty in Georgia, which the Court accepted as proven by a comprehensive scientific study, was not sufficient to overturn a death sentence without additionally proving a "discriminatory purpose"</w:t>
      </w:r>
      <w:r w:rsidR="00691262" w:rsidRPr="00C649E1">
        <w:rPr>
          <w:rFonts w:asciiTheme="majorHAnsi" w:hAnsiTheme="majorHAnsi"/>
          <w:bCs/>
          <w:color w:val="auto"/>
          <w:sz w:val="18"/>
          <w:szCs w:val="18"/>
        </w:rPr>
        <w:t xml:space="preserve"> - </w:t>
      </w:r>
      <w:r w:rsidRPr="00C649E1">
        <w:rPr>
          <w:rFonts w:asciiTheme="majorHAnsi" w:hAnsiTheme="majorHAnsi"/>
          <w:bCs/>
          <w:color w:val="auto"/>
          <w:sz w:val="18"/>
          <w:szCs w:val="18"/>
        </w:rPr>
        <w:t>that is, evidence of conscious, intentional bias. This holding, which moreover involves the fundamental right to life subject to the imposition of the death penalty, directly contradicts the international standard, which does not require discrimination to be purposive, conscious or intentional to violate human rights. In light of the state of federal law on this issue, the Commission notes as a positive approach the example of North Carolina’s Racial Justice Act (introduced in 2011 and subsequently repealed in 2013), which permitted capital defendants to challenge their sentences on grounds of racial bias. The Commission recalls that the obligation to guarantee</w:t>
      </w:r>
      <w:r w:rsidR="00691262" w:rsidRPr="00C649E1">
        <w:rPr>
          <w:rFonts w:asciiTheme="majorHAnsi" w:hAnsiTheme="majorHAnsi"/>
          <w:bCs/>
          <w:color w:val="auto"/>
          <w:sz w:val="18"/>
          <w:szCs w:val="18"/>
        </w:rPr>
        <w:t xml:space="preserve"> equality and non-discrimination, as with all human rights norms, applies to all levels of government—federal, state, and local.</w:t>
      </w:r>
    </w:p>
    <w:p w14:paraId="238F6F70" w14:textId="77777777" w:rsidR="002463AD" w:rsidRPr="00C649E1" w:rsidRDefault="002463AD" w:rsidP="002463AD">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50B2D083" w14:textId="77777777" w:rsidR="002463AD" w:rsidRPr="00C649E1" w:rsidRDefault="0027627C" w:rsidP="002463AD">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In a recent decision in a case of racial discrimination in jury selection in a death penalty case, the U.S. Supreme Court of Justice noted that “in the real world of criminal trials against black defendants, both history and math tell us that a system of race-based peremptories does not treat black defendants and black prospective jurors equally with prosecutors and white prospective jurors.”</w:t>
      </w:r>
      <w:r w:rsidR="008227E1" w:rsidRPr="00C649E1">
        <w:rPr>
          <w:rStyle w:val="FootnoteReference"/>
          <w:rFonts w:asciiTheme="majorHAnsi" w:hAnsiTheme="majorHAnsi"/>
          <w:bCs/>
          <w:color w:val="auto"/>
          <w:sz w:val="20"/>
          <w:szCs w:val="20"/>
        </w:rPr>
        <w:footnoteReference w:id="63"/>
      </w:r>
      <w:r w:rsidRPr="00C649E1">
        <w:rPr>
          <w:rFonts w:asciiTheme="majorHAnsi" w:hAnsiTheme="majorHAnsi"/>
          <w:bCs/>
          <w:color w:val="auto"/>
          <w:sz w:val="20"/>
          <w:szCs w:val="20"/>
        </w:rPr>
        <w:t xml:space="preserve"> This troubling conclusion of the hig</w:t>
      </w:r>
      <w:r w:rsidR="008227E1" w:rsidRPr="00C649E1">
        <w:rPr>
          <w:rFonts w:asciiTheme="majorHAnsi" w:hAnsiTheme="majorHAnsi"/>
          <w:bCs/>
          <w:color w:val="auto"/>
          <w:sz w:val="20"/>
          <w:szCs w:val="20"/>
        </w:rPr>
        <w:t>hest court of</w:t>
      </w:r>
      <w:r w:rsidRPr="00C649E1">
        <w:rPr>
          <w:rFonts w:asciiTheme="majorHAnsi" w:hAnsiTheme="majorHAnsi"/>
          <w:bCs/>
          <w:color w:val="auto"/>
          <w:sz w:val="20"/>
          <w:szCs w:val="20"/>
        </w:rPr>
        <w:t xml:space="preserve"> the United States coincides with findings </w:t>
      </w:r>
      <w:r w:rsidR="008227E1" w:rsidRPr="00C649E1">
        <w:rPr>
          <w:rFonts w:asciiTheme="majorHAnsi" w:hAnsiTheme="majorHAnsi"/>
          <w:bCs/>
          <w:color w:val="auto"/>
          <w:sz w:val="20"/>
          <w:szCs w:val="20"/>
        </w:rPr>
        <w:t xml:space="preserve">of various studies. A study </w:t>
      </w:r>
      <w:r w:rsidR="005232E1" w:rsidRPr="00C649E1">
        <w:rPr>
          <w:rFonts w:asciiTheme="majorHAnsi" w:hAnsiTheme="majorHAnsi"/>
          <w:bCs/>
          <w:color w:val="auto"/>
          <w:sz w:val="20"/>
          <w:szCs w:val="20"/>
        </w:rPr>
        <w:t>conducted</w:t>
      </w:r>
      <w:r w:rsidR="008227E1" w:rsidRPr="00C649E1">
        <w:rPr>
          <w:rFonts w:asciiTheme="majorHAnsi" w:hAnsiTheme="majorHAnsi"/>
          <w:bCs/>
          <w:color w:val="auto"/>
          <w:sz w:val="20"/>
          <w:szCs w:val="20"/>
        </w:rPr>
        <w:t xml:space="preserve"> by </w:t>
      </w:r>
      <w:r w:rsidR="005232E1" w:rsidRPr="00C649E1">
        <w:rPr>
          <w:rFonts w:asciiTheme="majorHAnsi" w:hAnsiTheme="majorHAnsi"/>
          <w:bCs/>
          <w:color w:val="auto"/>
          <w:sz w:val="20"/>
          <w:szCs w:val="20"/>
        </w:rPr>
        <w:t>Equal Justice Initiative in 2010</w:t>
      </w:r>
      <w:r w:rsidR="008227E1" w:rsidRPr="00C649E1">
        <w:rPr>
          <w:rFonts w:asciiTheme="majorHAnsi" w:hAnsiTheme="majorHAnsi"/>
          <w:bCs/>
          <w:color w:val="auto"/>
          <w:sz w:val="20"/>
          <w:szCs w:val="20"/>
        </w:rPr>
        <w:t xml:space="preserve"> looked closely at jury selection procedures in eight states in the southern United States and uncovered shocking evidence of racial discrimination in jury selection in every state. It identified counties </w:t>
      </w:r>
      <w:r w:rsidR="007547F0" w:rsidRPr="00C649E1">
        <w:rPr>
          <w:rFonts w:asciiTheme="majorHAnsi" w:hAnsiTheme="majorHAnsi"/>
          <w:bCs/>
          <w:color w:val="auto"/>
          <w:sz w:val="20"/>
          <w:szCs w:val="20"/>
        </w:rPr>
        <w:t>where</w:t>
      </w:r>
      <w:r w:rsidR="008227E1" w:rsidRPr="00C649E1">
        <w:rPr>
          <w:rFonts w:asciiTheme="majorHAnsi" w:hAnsiTheme="majorHAnsi"/>
          <w:bCs/>
          <w:color w:val="auto"/>
          <w:sz w:val="20"/>
          <w:szCs w:val="20"/>
        </w:rPr>
        <w:t xml:space="preserve"> prosecutors have excluded nearly 80% of </w:t>
      </w:r>
      <w:r w:rsidR="007547F0" w:rsidRPr="00C649E1">
        <w:rPr>
          <w:rFonts w:asciiTheme="majorHAnsi" w:hAnsiTheme="majorHAnsi"/>
          <w:bCs/>
          <w:color w:val="auto"/>
          <w:sz w:val="20"/>
          <w:szCs w:val="20"/>
        </w:rPr>
        <w:t>African</w:t>
      </w:r>
      <w:r w:rsidR="008227E1" w:rsidRPr="00C649E1">
        <w:rPr>
          <w:rFonts w:asciiTheme="majorHAnsi" w:hAnsiTheme="majorHAnsi"/>
          <w:bCs/>
          <w:color w:val="auto"/>
          <w:sz w:val="20"/>
          <w:szCs w:val="20"/>
        </w:rPr>
        <w:t xml:space="preserve"> Americ</w:t>
      </w:r>
      <w:r w:rsidR="007547F0" w:rsidRPr="00C649E1">
        <w:rPr>
          <w:rFonts w:asciiTheme="majorHAnsi" w:hAnsiTheme="majorHAnsi"/>
          <w:bCs/>
          <w:color w:val="auto"/>
          <w:sz w:val="20"/>
          <w:szCs w:val="20"/>
        </w:rPr>
        <w:t xml:space="preserve">ans qualified for jury service, as well as </w:t>
      </w:r>
      <w:r w:rsidR="007547F0" w:rsidRPr="00C649E1">
        <w:rPr>
          <w:rFonts w:asciiTheme="majorHAnsi" w:hAnsiTheme="majorHAnsi"/>
          <w:bCs/>
          <w:color w:val="auto"/>
          <w:sz w:val="20"/>
          <w:szCs w:val="20"/>
        </w:rPr>
        <w:lastRenderedPageBreak/>
        <w:t>majority-black counties where capital defendants nonetheless were tried by all-white juries. The study also found that some prosecutors employed by state and local governments actually have been trained to exclude people on the basis of race and instructed on how to conceal their racial bias.</w:t>
      </w:r>
      <w:r w:rsidR="007547F0" w:rsidRPr="00C649E1">
        <w:rPr>
          <w:rStyle w:val="FootnoteReference"/>
          <w:rFonts w:asciiTheme="majorHAnsi" w:hAnsiTheme="majorHAnsi"/>
          <w:bCs/>
          <w:color w:val="auto"/>
          <w:sz w:val="20"/>
          <w:szCs w:val="20"/>
        </w:rPr>
        <w:footnoteReference w:id="64"/>
      </w:r>
      <w:r w:rsidR="007547F0" w:rsidRPr="00C649E1">
        <w:rPr>
          <w:rFonts w:asciiTheme="majorHAnsi" w:hAnsiTheme="majorHAnsi"/>
          <w:bCs/>
          <w:color w:val="auto"/>
          <w:sz w:val="20"/>
          <w:szCs w:val="20"/>
        </w:rPr>
        <w:t xml:space="preserve"> </w:t>
      </w:r>
    </w:p>
    <w:p w14:paraId="76F60D99" w14:textId="77777777" w:rsidR="00021789" w:rsidRPr="00C649E1" w:rsidRDefault="00021789" w:rsidP="0002178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rFonts w:asciiTheme="majorHAnsi" w:hAnsiTheme="majorHAnsi"/>
          <w:bCs/>
          <w:color w:val="auto"/>
          <w:sz w:val="18"/>
          <w:szCs w:val="18"/>
        </w:rPr>
      </w:pPr>
    </w:p>
    <w:p w14:paraId="5874A8E2" w14:textId="77777777" w:rsidR="00F33E5A" w:rsidRPr="00C649E1" w:rsidRDefault="00F33E5A" w:rsidP="00074E33">
      <w:pPr>
        <w:pStyle w:val="Heading3"/>
        <w:numPr>
          <w:ilvl w:val="0"/>
          <w:numId w:val="64"/>
        </w:numPr>
        <w:spacing w:before="0"/>
        <w:ind w:left="360"/>
        <w:rPr>
          <w:color w:val="auto"/>
          <w:sz w:val="20"/>
          <w:szCs w:val="20"/>
          <w:lang w:val="es-ES"/>
        </w:rPr>
      </w:pPr>
      <w:bookmarkStart w:id="69" w:name="_Toc6226974"/>
      <w:bookmarkStart w:id="70" w:name="_Toc22915024"/>
      <w:bookmarkStart w:id="71" w:name="_Toc45105391"/>
      <w:bookmarkStart w:id="72" w:name="_Toc70417429"/>
      <w:r w:rsidRPr="00C649E1">
        <w:rPr>
          <w:color w:val="auto"/>
          <w:sz w:val="20"/>
          <w:szCs w:val="20"/>
          <w:lang w:val="es-ES"/>
        </w:rPr>
        <w:t>Analysis of the case</w:t>
      </w:r>
      <w:bookmarkEnd w:id="69"/>
      <w:bookmarkEnd w:id="70"/>
      <w:bookmarkEnd w:id="71"/>
      <w:bookmarkEnd w:id="72"/>
    </w:p>
    <w:p w14:paraId="0E7FBB26" w14:textId="77777777" w:rsidR="007B02FF" w:rsidRPr="00C649E1" w:rsidRDefault="007B02FF" w:rsidP="00F453A7">
      <w:pPr>
        <w:jc w:val="both"/>
        <w:rPr>
          <w:rFonts w:ascii="Cambria" w:hAnsi="Cambria"/>
          <w:sz w:val="20"/>
          <w:szCs w:val="20"/>
        </w:rPr>
      </w:pPr>
    </w:p>
    <w:p w14:paraId="553B5A80" w14:textId="77777777" w:rsidR="00D91035" w:rsidRPr="00C649E1" w:rsidRDefault="00F453A7" w:rsidP="00D910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rPr>
      </w:pPr>
      <w:r w:rsidRPr="00C649E1">
        <w:rPr>
          <w:rFonts w:asciiTheme="majorHAnsi" w:hAnsiTheme="majorHAnsi"/>
          <w:bCs/>
          <w:color w:val="auto"/>
          <w:sz w:val="20"/>
          <w:szCs w:val="20"/>
        </w:rPr>
        <w:t xml:space="preserve">According to the facts established in </w:t>
      </w:r>
      <w:r w:rsidR="00864097" w:rsidRPr="00C649E1">
        <w:rPr>
          <w:rFonts w:asciiTheme="majorHAnsi" w:hAnsiTheme="majorHAnsi"/>
          <w:bCs/>
          <w:color w:val="auto"/>
          <w:sz w:val="20"/>
          <w:szCs w:val="20"/>
        </w:rPr>
        <w:t>this report, prior to trial</w:t>
      </w:r>
      <w:r w:rsidR="000510AE" w:rsidRPr="00C649E1">
        <w:rPr>
          <w:rFonts w:asciiTheme="majorHAnsi" w:hAnsiTheme="majorHAnsi"/>
          <w:bCs/>
          <w:color w:val="auto"/>
          <w:sz w:val="20"/>
          <w:szCs w:val="20"/>
        </w:rPr>
        <w:t>,</w:t>
      </w:r>
      <w:r w:rsidR="00864097" w:rsidRPr="00C649E1">
        <w:rPr>
          <w:rFonts w:asciiTheme="majorHAnsi" w:hAnsiTheme="majorHAnsi"/>
          <w:bCs/>
          <w:color w:val="auto"/>
          <w:sz w:val="20"/>
          <w:szCs w:val="20"/>
        </w:rPr>
        <w:t xml:space="preserve"> </w:t>
      </w:r>
      <w:r w:rsidRPr="00C649E1">
        <w:rPr>
          <w:rFonts w:asciiTheme="majorHAnsi" w:hAnsiTheme="majorHAnsi"/>
          <w:bCs/>
          <w:color w:val="auto"/>
          <w:sz w:val="20"/>
          <w:szCs w:val="20"/>
        </w:rPr>
        <w:t>defense</w:t>
      </w:r>
      <w:r w:rsidR="00864097" w:rsidRPr="00C649E1">
        <w:rPr>
          <w:rFonts w:asciiTheme="majorHAnsi" w:hAnsiTheme="majorHAnsi"/>
          <w:bCs/>
          <w:color w:val="auto"/>
          <w:sz w:val="20"/>
          <w:szCs w:val="20"/>
        </w:rPr>
        <w:t xml:space="preserve"> counsel</w:t>
      </w:r>
      <w:r w:rsidRPr="00C649E1">
        <w:rPr>
          <w:rFonts w:asciiTheme="majorHAnsi" w:hAnsiTheme="majorHAnsi"/>
          <w:bCs/>
          <w:color w:val="auto"/>
          <w:sz w:val="20"/>
          <w:szCs w:val="20"/>
        </w:rPr>
        <w:t xml:space="preserve"> filed a motion to dismiss the Government’s notice of intent to seek the death penalty on the ground of racial bias and disparity in </w:t>
      </w:r>
      <w:r w:rsidR="00190FE8" w:rsidRPr="00C649E1">
        <w:rPr>
          <w:rFonts w:asciiTheme="majorHAnsi" w:hAnsiTheme="majorHAnsi"/>
          <w:bCs/>
          <w:color w:val="auto"/>
          <w:sz w:val="20"/>
          <w:szCs w:val="20"/>
        </w:rPr>
        <w:t xml:space="preserve">the </w:t>
      </w:r>
      <w:r w:rsidRPr="00C649E1">
        <w:rPr>
          <w:rFonts w:asciiTheme="majorHAnsi" w:hAnsiTheme="majorHAnsi"/>
          <w:bCs/>
          <w:color w:val="auto"/>
          <w:sz w:val="20"/>
          <w:szCs w:val="20"/>
        </w:rPr>
        <w:t xml:space="preserve">application of the federal death penalty and related discrimination. In order to demonstrate the alleged systematic </w:t>
      </w:r>
      <w:r w:rsidR="00864097" w:rsidRPr="00C649E1">
        <w:rPr>
          <w:rFonts w:asciiTheme="majorHAnsi" w:hAnsiTheme="majorHAnsi"/>
          <w:bCs/>
          <w:color w:val="auto"/>
          <w:sz w:val="20"/>
          <w:szCs w:val="20"/>
        </w:rPr>
        <w:t xml:space="preserve">prosecutorial </w:t>
      </w:r>
      <w:r w:rsidRPr="00C649E1">
        <w:rPr>
          <w:rFonts w:asciiTheme="majorHAnsi" w:hAnsiTheme="majorHAnsi"/>
          <w:bCs/>
          <w:color w:val="auto"/>
          <w:sz w:val="20"/>
          <w:szCs w:val="20"/>
        </w:rPr>
        <w:t>patter</w:t>
      </w:r>
      <w:r w:rsidR="00864097" w:rsidRPr="00C649E1">
        <w:rPr>
          <w:rFonts w:asciiTheme="majorHAnsi" w:hAnsiTheme="majorHAnsi"/>
          <w:bCs/>
          <w:color w:val="auto"/>
          <w:sz w:val="20"/>
          <w:szCs w:val="20"/>
        </w:rPr>
        <w:t>n</w:t>
      </w:r>
      <w:r w:rsidRPr="00C649E1">
        <w:rPr>
          <w:rFonts w:asciiTheme="majorHAnsi" w:hAnsiTheme="majorHAnsi"/>
          <w:bCs/>
          <w:color w:val="auto"/>
          <w:sz w:val="20"/>
          <w:szCs w:val="20"/>
        </w:rPr>
        <w:t xml:space="preserve"> of racial discrimination, the defense </w:t>
      </w:r>
      <w:r w:rsidR="00864097" w:rsidRPr="00C649E1">
        <w:rPr>
          <w:rFonts w:asciiTheme="majorHAnsi" w:hAnsiTheme="majorHAnsi"/>
          <w:bCs/>
          <w:color w:val="auto"/>
          <w:sz w:val="20"/>
          <w:szCs w:val="20"/>
        </w:rPr>
        <w:t>requested</w:t>
      </w:r>
      <w:r w:rsidRPr="00C649E1">
        <w:rPr>
          <w:sz w:val="20"/>
          <w:szCs w:val="20"/>
        </w:rPr>
        <w:t xml:space="preserve"> an evidentiary hearing. The defense also </w:t>
      </w:r>
      <w:r w:rsidR="00864097" w:rsidRPr="00C649E1">
        <w:rPr>
          <w:sz w:val="20"/>
          <w:szCs w:val="20"/>
        </w:rPr>
        <w:t>asked</w:t>
      </w:r>
      <w:r w:rsidRPr="00C649E1">
        <w:rPr>
          <w:sz w:val="20"/>
          <w:szCs w:val="20"/>
        </w:rPr>
        <w:t xml:space="preserve"> </w:t>
      </w:r>
      <w:r w:rsidR="001B59C4" w:rsidRPr="00C649E1">
        <w:rPr>
          <w:sz w:val="20"/>
          <w:szCs w:val="20"/>
        </w:rPr>
        <w:t xml:space="preserve">the </w:t>
      </w:r>
      <w:r w:rsidRPr="00C649E1">
        <w:rPr>
          <w:sz w:val="20"/>
          <w:szCs w:val="20"/>
        </w:rPr>
        <w:t>court to order the prosecution to produce certain information</w:t>
      </w:r>
      <w:r w:rsidR="00864097" w:rsidRPr="00C649E1">
        <w:rPr>
          <w:sz w:val="20"/>
          <w:szCs w:val="20"/>
        </w:rPr>
        <w:t>.</w:t>
      </w:r>
    </w:p>
    <w:p w14:paraId="610BB518" w14:textId="77777777" w:rsidR="00D91035" w:rsidRPr="00C649E1" w:rsidRDefault="00D91035" w:rsidP="00D9103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sz w:val="20"/>
          <w:szCs w:val="20"/>
        </w:rPr>
      </w:pPr>
    </w:p>
    <w:p w14:paraId="192F3655" w14:textId="77777777" w:rsidR="00F453A7" w:rsidRPr="00C649E1" w:rsidRDefault="00F453A7" w:rsidP="00D910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rPr>
      </w:pPr>
      <w:r w:rsidRPr="00C649E1">
        <w:rPr>
          <w:rFonts w:asciiTheme="majorHAnsi" w:hAnsiTheme="majorHAnsi"/>
          <w:bCs/>
          <w:color w:val="auto"/>
          <w:sz w:val="20"/>
          <w:szCs w:val="20"/>
        </w:rPr>
        <w:t>Defense counsel justif</w:t>
      </w:r>
      <w:r w:rsidR="00864097" w:rsidRPr="00C649E1">
        <w:rPr>
          <w:rFonts w:asciiTheme="majorHAnsi" w:hAnsiTheme="majorHAnsi"/>
          <w:bCs/>
          <w:color w:val="auto"/>
          <w:sz w:val="20"/>
          <w:szCs w:val="20"/>
        </w:rPr>
        <w:t>ied</w:t>
      </w:r>
      <w:r w:rsidRPr="00C649E1">
        <w:rPr>
          <w:rFonts w:asciiTheme="majorHAnsi" w:hAnsiTheme="majorHAnsi"/>
          <w:bCs/>
          <w:color w:val="auto"/>
          <w:sz w:val="20"/>
          <w:szCs w:val="20"/>
        </w:rPr>
        <w:t xml:space="preserve"> the necessity of such information in order to demonstrate that the overwhelming majority of individuals for whom death penalty approval has been sought and issued from the Department of Justice, have been African-American. </w:t>
      </w:r>
      <w:r w:rsidR="00D91035" w:rsidRPr="00C649E1">
        <w:rPr>
          <w:rFonts w:asciiTheme="majorHAnsi" w:hAnsiTheme="majorHAnsi"/>
          <w:bCs/>
          <w:color w:val="auto"/>
          <w:sz w:val="20"/>
          <w:szCs w:val="20"/>
        </w:rPr>
        <w:t xml:space="preserve">Given the jurisprudence establishing that </w:t>
      </w:r>
      <w:r w:rsidR="00D91035" w:rsidRPr="00C649E1">
        <w:rPr>
          <w:rFonts w:asciiTheme="majorHAnsi" w:hAnsiTheme="majorHAnsi"/>
          <w:bCs/>
          <w:sz w:val="20"/>
          <w:szCs w:val="20"/>
        </w:rPr>
        <w:t>a racially disproportionate pattern of capital charging, standing alone, is insufficient to demonstrate purposeful discrimination on a racial basis, the defense sought to demonstrate, “</w:t>
      </w:r>
      <w:r w:rsidRPr="00C649E1">
        <w:rPr>
          <w:rFonts w:asciiTheme="majorHAnsi" w:hAnsiTheme="majorHAnsi"/>
          <w:bCs/>
          <w:sz w:val="20"/>
          <w:szCs w:val="20"/>
        </w:rPr>
        <w:t>through the requested materials and evidentiary hearing, that despite knowledge of the racial imbalance in its capital charging decisions, the Department of Justice has persisted in a system of policies</w:t>
      </w:r>
      <w:r w:rsidR="00D91035" w:rsidRPr="00C649E1">
        <w:rPr>
          <w:rFonts w:asciiTheme="majorHAnsi" w:hAnsiTheme="majorHAnsi"/>
          <w:bCs/>
          <w:sz w:val="20"/>
          <w:szCs w:val="20"/>
        </w:rPr>
        <w:t xml:space="preserve"> […]</w:t>
      </w:r>
      <w:r w:rsidRPr="00C649E1">
        <w:rPr>
          <w:rFonts w:asciiTheme="majorHAnsi" w:hAnsiTheme="majorHAnsi"/>
          <w:bCs/>
          <w:sz w:val="20"/>
          <w:szCs w:val="20"/>
        </w:rPr>
        <w:t>, which perpetuate this imbalance, thereby establishing purposeful discrimination.</w:t>
      </w:r>
      <w:r w:rsidR="00D91035" w:rsidRPr="00C649E1">
        <w:rPr>
          <w:rFonts w:asciiTheme="majorHAnsi" w:hAnsiTheme="majorHAnsi"/>
          <w:bCs/>
          <w:sz w:val="20"/>
          <w:szCs w:val="20"/>
        </w:rPr>
        <w:t>”</w:t>
      </w:r>
      <w:r w:rsidRPr="00C649E1">
        <w:rPr>
          <w:rFonts w:asciiTheme="majorHAnsi" w:hAnsiTheme="majorHAnsi"/>
          <w:bCs/>
          <w:sz w:val="20"/>
          <w:szCs w:val="20"/>
        </w:rPr>
        <w:t xml:space="preserve"> The </w:t>
      </w:r>
      <w:r w:rsidR="00BB1299" w:rsidRPr="00C649E1">
        <w:rPr>
          <w:rFonts w:asciiTheme="majorHAnsi" w:hAnsiTheme="majorHAnsi"/>
          <w:bCs/>
          <w:sz w:val="20"/>
          <w:szCs w:val="20"/>
        </w:rPr>
        <w:t>d</w:t>
      </w:r>
      <w:r w:rsidRPr="00C649E1">
        <w:rPr>
          <w:rFonts w:asciiTheme="majorHAnsi" w:hAnsiTheme="majorHAnsi"/>
          <w:bCs/>
          <w:sz w:val="20"/>
          <w:szCs w:val="20"/>
        </w:rPr>
        <w:t>efen</w:t>
      </w:r>
      <w:r w:rsidR="00BB1299" w:rsidRPr="00C649E1">
        <w:rPr>
          <w:rFonts w:asciiTheme="majorHAnsi" w:hAnsiTheme="majorHAnsi"/>
          <w:bCs/>
          <w:sz w:val="20"/>
          <w:szCs w:val="20"/>
        </w:rPr>
        <w:t>se</w:t>
      </w:r>
      <w:r w:rsidRPr="00C649E1">
        <w:rPr>
          <w:rFonts w:asciiTheme="majorHAnsi" w:hAnsiTheme="majorHAnsi"/>
          <w:bCs/>
          <w:sz w:val="20"/>
          <w:szCs w:val="20"/>
        </w:rPr>
        <w:t xml:space="preserve"> assert</w:t>
      </w:r>
      <w:r w:rsidR="00BB1299" w:rsidRPr="00C649E1">
        <w:rPr>
          <w:rFonts w:asciiTheme="majorHAnsi" w:hAnsiTheme="majorHAnsi"/>
          <w:bCs/>
          <w:sz w:val="20"/>
          <w:szCs w:val="20"/>
        </w:rPr>
        <w:t>ed</w:t>
      </w:r>
      <w:r w:rsidRPr="00C649E1">
        <w:rPr>
          <w:rFonts w:asciiTheme="majorHAnsi" w:hAnsiTheme="majorHAnsi"/>
          <w:bCs/>
          <w:sz w:val="20"/>
          <w:szCs w:val="20"/>
        </w:rPr>
        <w:t xml:space="preserve"> that the failure to take “affirmative action” to overcome this racial imbalance, despite knowledge o</w:t>
      </w:r>
      <w:r w:rsidR="003B38A9" w:rsidRPr="00C649E1">
        <w:rPr>
          <w:rFonts w:asciiTheme="majorHAnsi" w:hAnsiTheme="majorHAnsi"/>
          <w:bCs/>
          <w:sz w:val="20"/>
          <w:szCs w:val="20"/>
        </w:rPr>
        <w:t>f</w:t>
      </w:r>
      <w:r w:rsidRPr="00C649E1">
        <w:rPr>
          <w:rFonts w:asciiTheme="majorHAnsi" w:hAnsiTheme="majorHAnsi"/>
          <w:bCs/>
          <w:sz w:val="20"/>
          <w:szCs w:val="20"/>
        </w:rPr>
        <w:t xml:space="preserve"> its </w:t>
      </w:r>
      <w:r w:rsidR="003B38A9" w:rsidRPr="00C649E1">
        <w:rPr>
          <w:rFonts w:asciiTheme="majorHAnsi" w:hAnsiTheme="majorHAnsi"/>
          <w:bCs/>
          <w:sz w:val="20"/>
          <w:szCs w:val="20"/>
        </w:rPr>
        <w:t>existence,</w:t>
      </w:r>
      <w:r w:rsidRPr="00C649E1">
        <w:rPr>
          <w:rFonts w:asciiTheme="majorHAnsi" w:hAnsiTheme="majorHAnsi"/>
          <w:bCs/>
          <w:sz w:val="20"/>
          <w:szCs w:val="20"/>
        </w:rPr>
        <w:t xml:space="preserve"> is tantamount to purposeful discrimination.</w:t>
      </w:r>
      <w:r w:rsidR="00190FE8" w:rsidRPr="00C649E1">
        <w:rPr>
          <w:rFonts w:asciiTheme="majorHAnsi" w:hAnsiTheme="majorHAnsi"/>
          <w:bCs/>
          <w:sz w:val="20"/>
          <w:szCs w:val="20"/>
        </w:rPr>
        <w:t xml:space="preserve"> The district court summarily denied the motion.</w:t>
      </w:r>
    </w:p>
    <w:p w14:paraId="434421D6" w14:textId="77777777" w:rsidR="00BB1299" w:rsidRPr="00C649E1" w:rsidRDefault="00BB1299" w:rsidP="00BB1299">
      <w:pPr>
        <w:pStyle w:val="ListParagraph"/>
        <w:rPr>
          <w:rFonts w:asciiTheme="majorHAnsi" w:hAnsiTheme="majorHAnsi"/>
          <w:sz w:val="20"/>
          <w:szCs w:val="20"/>
        </w:rPr>
      </w:pPr>
    </w:p>
    <w:p w14:paraId="27D2E91C" w14:textId="77777777" w:rsidR="006973F6" w:rsidRPr="00C649E1" w:rsidRDefault="00190FE8" w:rsidP="00BE0F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 w:val="left" w:pos="1440"/>
        </w:tabs>
        <w:autoSpaceDE w:val="0"/>
        <w:autoSpaceDN w:val="0"/>
        <w:adjustRightInd w:val="0"/>
        <w:ind w:left="0" w:firstLine="0"/>
        <w:jc w:val="both"/>
        <w:textAlignment w:val="baseline"/>
        <w:rPr>
          <w:rFonts w:asciiTheme="majorHAnsi" w:hAnsiTheme="majorHAnsi"/>
          <w:sz w:val="20"/>
          <w:szCs w:val="20"/>
        </w:rPr>
      </w:pPr>
      <w:r w:rsidRPr="00C649E1">
        <w:rPr>
          <w:sz w:val="20"/>
          <w:szCs w:val="20"/>
        </w:rPr>
        <w:t xml:space="preserve">The venire panel in Mr. Robinson’s trial was made up of 125 persons, of which ten were African-Americans. Eight were questioned on </w:t>
      </w:r>
      <w:r w:rsidRPr="00C649E1">
        <w:rPr>
          <w:i/>
          <w:sz w:val="20"/>
          <w:szCs w:val="20"/>
        </w:rPr>
        <w:t>voire dire</w:t>
      </w:r>
      <w:r w:rsidRPr="00C649E1">
        <w:rPr>
          <w:sz w:val="20"/>
          <w:szCs w:val="20"/>
        </w:rPr>
        <w:t xml:space="preserve"> and the prosecution eliminated seven of them. Three of these were eliminated using peremptory strikes, that is, without a reason</w:t>
      </w:r>
      <w:r w:rsidR="00F10DC1" w:rsidRPr="00C649E1">
        <w:rPr>
          <w:sz w:val="20"/>
          <w:szCs w:val="20"/>
        </w:rPr>
        <w:t>, against which t</w:t>
      </w:r>
      <w:r w:rsidRPr="00C649E1">
        <w:rPr>
          <w:sz w:val="20"/>
          <w:szCs w:val="20"/>
        </w:rPr>
        <w:t xml:space="preserve">he </w:t>
      </w:r>
      <w:r w:rsidR="00450D64" w:rsidRPr="00C649E1">
        <w:rPr>
          <w:sz w:val="20"/>
          <w:szCs w:val="20"/>
        </w:rPr>
        <w:t xml:space="preserve">defense raised </w:t>
      </w:r>
      <w:r w:rsidR="00450D64" w:rsidRPr="00C649E1">
        <w:rPr>
          <w:i/>
          <w:sz w:val="20"/>
          <w:szCs w:val="20"/>
        </w:rPr>
        <w:t>Batson</w:t>
      </w:r>
      <w:r w:rsidR="00450D64" w:rsidRPr="00C649E1">
        <w:rPr>
          <w:sz w:val="20"/>
          <w:szCs w:val="20"/>
        </w:rPr>
        <w:t xml:space="preserve"> challenge</w:t>
      </w:r>
      <w:r w:rsidR="009A4920" w:rsidRPr="00C649E1">
        <w:rPr>
          <w:sz w:val="20"/>
          <w:szCs w:val="20"/>
        </w:rPr>
        <w:t>s</w:t>
      </w:r>
      <w:r w:rsidR="006973F6" w:rsidRPr="00C649E1">
        <w:rPr>
          <w:sz w:val="20"/>
          <w:szCs w:val="20"/>
        </w:rPr>
        <w:t>.</w:t>
      </w:r>
      <w:r w:rsidR="00F10DC1" w:rsidRPr="00C649E1">
        <w:rPr>
          <w:sz w:val="20"/>
          <w:szCs w:val="20"/>
        </w:rPr>
        <w:t xml:space="preserve"> </w:t>
      </w:r>
      <w:r w:rsidR="00F10DC1" w:rsidRPr="00C649E1">
        <w:rPr>
          <w:rFonts w:asciiTheme="majorHAnsi" w:hAnsiTheme="majorHAnsi"/>
          <w:sz w:val="20"/>
          <w:szCs w:val="20"/>
        </w:rPr>
        <w:t xml:space="preserve">Regarding the first venire member, the court noted that both the prosecutor and defense counsel exercised peremptory challenges. With regard to the second, the court concluded that the explanations given by the prosecution were race-neutral and that there was no similarly situated non-black venire member whom the prosecution chose not to strike. </w:t>
      </w:r>
    </w:p>
    <w:p w14:paraId="61458CE5" w14:textId="77777777" w:rsidR="00BE0F8F" w:rsidRPr="00C649E1" w:rsidRDefault="00BE0F8F" w:rsidP="00BE0F8F">
      <w:pPr>
        <w:pStyle w:val="ListParagraph"/>
        <w:rPr>
          <w:rFonts w:asciiTheme="majorHAnsi" w:hAnsiTheme="majorHAnsi"/>
          <w:sz w:val="20"/>
          <w:szCs w:val="20"/>
        </w:rPr>
      </w:pPr>
    </w:p>
    <w:p w14:paraId="443B1019" w14:textId="77777777" w:rsidR="008964B7" w:rsidRPr="00C649E1" w:rsidRDefault="00BE0F8F" w:rsidP="00BE0F8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 w:val="left" w:pos="1440"/>
        </w:tabs>
        <w:autoSpaceDE w:val="0"/>
        <w:autoSpaceDN w:val="0"/>
        <w:adjustRightInd w:val="0"/>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When asked to provide a race-neutral reason for striking the third venire member, </w:t>
      </w:r>
      <w:r w:rsidR="00F26D98" w:rsidRPr="00C649E1">
        <w:rPr>
          <w:rFonts w:asciiTheme="majorHAnsi" w:hAnsiTheme="majorHAnsi"/>
          <w:sz w:val="20"/>
          <w:szCs w:val="20"/>
        </w:rPr>
        <w:t xml:space="preserve">Ms. Amarh, </w:t>
      </w:r>
      <w:r w:rsidRPr="00C649E1">
        <w:rPr>
          <w:rFonts w:asciiTheme="majorHAnsi" w:hAnsiTheme="majorHAnsi"/>
          <w:sz w:val="20"/>
          <w:szCs w:val="20"/>
        </w:rPr>
        <w:t xml:space="preserve">the prosecutor </w:t>
      </w:r>
      <w:r w:rsidR="00BF32EB" w:rsidRPr="00C649E1">
        <w:rPr>
          <w:rFonts w:asciiTheme="majorHAnsi" w:hAnsiTheme="majorHAnsi"/>
          <w:sz w:val="20"/>
          <w:szCs w:val="20"/>
        </w:rPr>
        <w:t xml:space="preserve">responded that </w:t>
      </w:r>
      <w:r w:rsidR="00F26D98" w:rsidRPr="00C649E1">
        <w:rPr>
          <w:rFonts w:asciiTheme="majorHAnsi" w:hAnsiTheme="majorHAnsi"/>
          <w:sz w:val="20"/>
          <w:szCs w:val="20"/>
        </w:rPr>
        <w:t>she</w:t>
      </w:r>
      <w:r w:rsidR="00BF32EB" w:rsidRPr="00C649E1">
        <w:rPr>
          <w:rFonts w:asciiTheme="majorHAnsi" w:hAnsiTheme="majorHAnsi"/>
          <w:sz w:val="20"/>
          <w:szCs w:val="20"/>
        </w:rPr>
        <w:t xml:space="preserve"> “expressed great reluctance concerning the death penalty” and that they had </w:t>
      </w:r>
      <w:r w:rsidR="008964B7" w:rsidRPr="00C649E1">
        <w:rPr>
          <w:rFonts w:asciiTheme="majorHAnsi" w:hAnsiTheme="majorHAnsi"/>
          <w:sz w:val="20"/>
          <w:szCs w:val="20"/>
        </w:rPr>
        <w:t xml:space="preserve">earlier </w:t>
      </w:r>
      <w:r w:rsidR="00BF32EB" w:rsidRPr="00C649E1">
        <w:rPr>
          <w:rFonts w:asciiTheme="majorHAnsi" w:hAnsiTheme="majorHAnsi"/>
          <w:sz w:val="20"/>
          <w:szCs w:val="20"/>
        </w:rPr>
        <w:t>struck</w:t>
      </w:r>
      <w:r w:rsidR="008964B7" w:rsidRPr="00C649E1">
        <w:rPr>
          <w:rFonts w:asciiTheme="majorHAnsi" w:hAnsiTheme="majorHAnsi"/>
          <w:sz w:val="20"/>
          <w:szCs w:val="20"/>
        </w:rPr>
        <w:t xml:space="preserve"> Ms. Broadwell,</w:t>
      </w:r>
      <w:r w:rsidR="00BF32EB" w:rsidRPr="00C649E1">
        <w:rPr>
          <w:rFonts w:asciiTheme="majorHAnsi" w:hAnsiTheme="majorHAnsi"/>
          <w:sz w:val="20"/>
          <w:szCs w:val="20"/>
        </w:rPr>
        <w:t xml:space="preserve"> a white venire member with similar views on the death penalty. </w:t>
      </w:r>
      <w:r w:rsidR="008964B7" w:rsidRPr="00C649E1">
        <w:rPr>
          <w:rFonts w:asciiTheme="majorHAnsi" w:hAnsiTheme="majorHAnsi"/>
          <w:sz w:val="20"/>
          <w:szCs w:val="20"/>
        </w:rPr>
        <w:t xml:space="preserve">A later review of the questions posed to Ms. Broadwell, however, revealed that the prosecutor had reviewed the wrong questionnaire and that she did not have similar views to Ms. Amarh. </w:t>
      </w:r>
      <w:r w:rsidR="00633522" w:rsidRPr="00C649E1">
        <w:rPr>
          <w:rFonts w:asciiTheme="majorHAnsi" w:hAnsiTheme="majorHAnsi"/>
          <w:sz w:val="20"/>
          <w:szCs w:val="20"/>
        </w:rPr>
        <w:t>R</w:t>
      </w:r>
      <w:r w:rsidR="008538D6" w:rsidRPr="00C649E1">
        <w:rPr>
          <w:rFonts w:asciiTheme="majorHAnsi" w:hAnsiTheme="majorHAnsi"/>
          <w:sz w:val="20"/>
          <w:szCs w:val="20"/>
        </w:rPr>
        <w:t xml:space="preserve">egardless of that mistake, however, the </w:t>
      </w:r>
      <w:r w:rsidR="00633522" w:rsidRPr="00C649E1">
        <w:rPr>
          <w:rFonts w:asciiTheme="majorHAnsi" w:hAnsiTheme="majorHAnsi"/>
          <w:sz w:val="20"/>
          <w:szCs w:val="20"/>
        </w:rPr>
        <w:t>c</w:t>
      </w:r>
      <w:r w:rsidR="008538D6" w:rsidRPr="00C649E1">
        <w:rPr>
          <w:rFonts w:asciiTheme="majorHAnsi" w:hAnsiTheme="majorHAnsi"/>
          <w:sz w:val="20"/>
          <w:szCs w:val="20"/>
        </w:rPr>
        <w:t>ourt</w:t>
      </w:r>
      <w:r w:rsidR="00633522" w:rsidRPr="00C649E1">
        <w:rPr>
          <w:rFonts w:asciiTheme="majorHAnsi" w:hAnsiTheme="majorHAnsi"/>
          <w:sz w:val="20"/>
          <w:szCs w:val="20"/>
        </w:rPr>
        <w:t xml:space="preserve"> accepted </w:t>
      </w:r>
      <w:r w:rsidR="008538D6" w:rsidRPr="00C649E1">
        <w:rPr>
          <w:rFonts w:asciiTheme="majorHAnsi" w:hAnsiTheme="majorHAnsi"/>
          <w:sz w:val="20"/>
          <w:szCs w:val="20"/>
        </w:rPr>
        <w:t xml:space="preserve">the prosecutor’s race-neutral explanation for striking </w:t>
      </w:r>
      <w:r w:rsidR="00633522" w:rsidRPr="00C649E1">
        <w:rPr>
          <w:rFonts w:asciiTheme="majorHAnsi" w:hAnsiTheme="majorHAnsi"/>
          <w:sz w:val="20"/>
          <w:szCs w:val="20"/>
        </w:rPr>
        <w:t xml:space="preserve">Ms. </w:t>
      </w:r>
      <w:r w:rsidR="008538D6" w:rsidRPr="00C649E1">
        <w:rPr>
          <w:rFonts w:asciiTheme="majorHAnsi" w:hAnsiTheme="majorHAnsi"/>
          <w:sz w:val="20"/>
          <w:szCs w:val="20"/>
        </w:rPr>
        <w:t xml:space="preserve">Amarh </w:t>
      </w:r>
      <w:r w:rsidR="00633522" w:rsidRPr="00C649E1">
        <w:rPr>
          <w:rFonts w:asciiTheme="majorHAnsi" w:hAnsiTheme="majorHAnsi"/>
          <w:sz w:val="20"/>
          <w:szCs w:val="20"/>
        </w:rPr>
        <w:t xml:space="preserve">as valid, </w:t>
      </w:r>
      <w:r w:rsidR="008538D6" w:rsidRPr="00C649E1">
        <w:rPr>
          <w:rFonts w:asciiTheme="majorHAnsi" w:hAnsiTheme="majorHAnsi"/>
          <w:sz w:val="20"/>
          <w:szCs w:val="20"/>
        </w:rPr>
        <w:t xml:space="preserve">based on her answers regarding the death penalty. </w:t>
      </w:r>
      <w:r w:rsidR="00AB3A92" w:rsidRPr="00C649E1">
        <w:rPr>
          <w:rFonts w:asciiTheme="majorHAnsi" w:hAnsiTheme="majorHAnsi"/>
          <w:sz w:val="20"/>
          <w:szCs w:val="20"/>
        </w:rPr>
        <w:t>The record before the Commission shows that, although Ms. Amarh was generally not in favor of the death penalty, she stated that there were some circumstances that warranted the death penalty.</w:t>
      </w:r>
    </w:p>
    <w:p w14:paraId="28E55FEE" w14:textId="77777777" w:rsidR="008964B7" w:rsidRPr="00C649E1" w:rsidRDefault="008964B7" w:rsidP="008964B7">
      <w:pPr>
        <w:pStyle w:val="ListParagraph"/>
        <w:rPr>
          <w:rFonts w:asciiTheme="majorHAnsi" w:hAnsiTheme="majorHAnsi"/>
          <w:sz w:val="20"/>
          <w:szCs w:val="20"/>
        </w:rPr>
      </w:pPr>
    </w:p>
    <w:p w14:paraId="029E06EE" w14:textId="77777777" w:rsidR="00BB1299" w:rsidRPr="00C649E1" w:rsidRDefault="004264E9" w:rsidP="00D910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 w:val="left" w:pos="1440"/>
        </w:tabs>
        <w:autoSpaceDE w:val="0"/>
        <w:autoSpaceDN w:val="0"/>
        <w:adjustRightInd w:val="0"/>
        <w:ind w:left="0" w:firstLine="0"/>
        <w:jc w:val="both"/>
        <w:textAlignment w:val="baseline"/>
        <w:rPr>
          <w:rFonts w:asciiTheme="majorHAnsi" w:hAnsiTheme="majorHAnsi"/>
          <w:sz w:val="20"/>
          <w:szCs w:val="20"/>
        </w:rPr>
      </w:pPr>
      <w:r w:rsidRPr="00C649E1">
        <w:rPr>
          <w:rFonts w:asciiTheme="majorHAnsi" w:hAnsiTheme="majorHAnsi"/>
          <w:sz w:val="20"/>
          <w:szCs w:val="20"/>
        </w:rPr>
        <w:t xml:space="preserve"> </w:t>
      </w:r>
      <w:r w:rsidR="003151AA" w:rsidRPr="00C649E1">
        <w:rPr>
          <w:rFonts w:asciiTheme="majorHAnsi" w:hAnsiTheme="majorHAnsi"/>
          <w:sz w:val="20"/>
          <w:szCs w:val="20"/>
        </w:rPr>
        <w:t xml:space="preserve">  </w:t>
      </w:r>
      <w:r w:rsidR="00C523F4" w:rsidRPr="00C649E1">
        <w:rPr>
          <w:rFonts w:asciiTheme="majorHAnsi" w:hAnsiTheme="majorHAnsi"/>
          <w:sz w:val="20"/>
          <w:szCs w:val="20"/>
        </w:rPr>
        <w:t>The</w:t>
      </w:r>
      <w:r w:rsidR="00633522" w:rsidRPr="00C649E1">
        <w:rPr>
          <w:rFonts w:asciiTheme="majorHAnsi" w:hAnsiTheme="majorHAnsi"/>
          <w:sz w:val="20"/>
          <w:szCs w:val="20"/>
        </w:rPr>
        <w:t xml:space="preserve"> district court overruled the</w:t>
      </w:r>
      <w:r w:rsidR="00C523F4" w:rsidRPr="00C649E1">
        <w:rPr>
          <w:rFonts w:asciiTheme="majorHAnsi" w:hAnsiTheme="majorHAnsi"/>
          <w:sz w:val="20"/>
          <w:szCs w:val="20"/>
        </w:rPr>
        <w:t xml:space="preserve"> three </w:t>
      </w:r>
      <w:r w:rsidR="00C523F4" w:rsidRPr="00C649E1">
        <w:rPr>
          <w:rFonts w:asciiTheme="majorHAnsi" w:hAnsiTheme="majorHAnsi"/>
          <w:i/>
          <w:sz w:val="20"/>
          <w:szCs w:val="20"/>
        </w:rPr>
        <w:t>Batson</w:t>
      </w:r>
      <w:r w:rsidR="00C523F4" w:rsidRPr="00C649E1">
        <w:rPr>
          <w:rFonts w:asciiTheme="majorHAnsi" w:hAnsiTheme="majorHAnsi"/>
          <w:sz w:val="20"/>
          <w:szCs w:val="20"/>
        </w:rPr>
        <w:t xml:space="preserve"> challenges </w:t>
      </w:r>
      <w:r w:rsidR="00633522" w:rsidRPr="00C649E1">
        <w:rPr>
          <w:rFonts w:asciiTheme="majorHAnsi" w:hAnsiTheme="majorHAnsi"/>
          <w:sz w:val="20"/>
          <w:szCs w:val="20"/>
        </w:rPr>
        <w:t>raised by defense counsel</w:t>
      </w:r>
      <w:r w:rsidR="002D704A" w:rsidRPr="00C649E1">
        <w:rPr>
          <w:rFonts w:asciiTheme="majorHAnsi" w:hAnsiTheme="majorHAnsi"/>
          <w:sz w:val="20"/>
          <w:szCs w:val="20"/>
        </w:rPr>
        <w:t>. This</w:t>
      </w:r>
      <w:r w:rsidR="00C523F4" w:rsidRPr="00C649E1">
        <w:rPr>
          <w:sz w:val="20"/>
          <w:szCs w:val="20"/>
        </w:rPr>
        <w:t xml:space="preserve"> r</w:t>
      </w:r>
      <w:r w:rsidR="00190FE8" w:rsidRPr="00C649E1">
        <w:rPr>
          <w:sz w:val="20"/>
          <w:szCs w:val="20"/>
        </w:rPr>
        <w:t>esulted in a sitting jury of eleven white people and one black juror who stated that she strongly supported the death penalty for any first-degree murder.</w:t>
      </w:r>
    </w:p>
    <w:p w14:paraId="037C874C" w14:textId="77777777" w:rsidR="0030142A" w:rsidRPr="00C649E1" w:rsidRDefault="0030142A" w:rsidP="0030142A">
      <w:pPr>
        <w:pStyle w:val="ListParagraph"/>
        <w:rPr>
          <w:rFonts w:asciiTheme="majorHAnsi" w:hAnsiTheme="majorHAnsi"/>
          <w:sz w:val="20"/>
          <w:szCs w:val="20"/>
        </w:rPr>
      </w:pPr>
    </w:p>
    <w:p w14:paraId="5B5F0FE1" w14:textId="77777777" w:rsidR="0030142A" w:rsidRPr="00C649E1" w:rsidRDefault="00DA74B0" w:rsidP="00D910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rPr>
      </w:pPr>
      <w:r w:rsidRPr="00C649E1">
        <w:rPr>
          <w:rFonts w:asciiTheme="majorHAnsi" w:hAnsiTheme="majorHAnsi"/>
          <w:sz w:val="20"/>
          <w:szCs w:val="20"/>
        </w:rPr>
        <w:t xml:space="preserve">According to the </w:t>
      </w:r>
      <w:r w:rsidR="004501B3" w:rsidRPr="00C649E1">
        <w:rPr>
          <w:rFonts w:asciiTheme="majorHAnsi" w:hAnsiTheme="majorHAnsi"/>
          <w:sz w:val="20"/>
          <w:szCs w:val="20"/>
        </w:rPr>
        <w:t xml:space="preserve">5-4 </w:t>
      </w:r>
      <w:r w:rsidRPr="00C649E1">
        <w:rPr>
          <w:rFonts w:asciiTheme="majorHAnsi" w:hAnsiTheme="majorHAnsi"/>
          <w:sz w:val="20"/>
          <w:szCs w:val="20"/>
        </w:rPr>
        <w:t>U.S. Supreme Court</w:t>
      </w:r>
      <w:r w:rsidR="004501B3" w:rsidRPr="00C649E1">
        <w:rPr>
          <w:rFonts w:asciiTheme="majorHAnsi" w:hAnsiTheme="majorHAnsi"/>
          <w:sz w:val="20"/>
          <w:szCs w:val="20"/>
        </w:rPr>
        <w:t>’s opinion</w:t>
      </w:r>
      <w:r w:rsidRPr="00C649E1">
        <w:rPr>
          <w:rFonts w:asciiTheme="majorHAnsi" w:hAnsiTheme="majorHAnsi"/>
          <w:sz w:val="20"/>
          <w:szCs w:val="20"/>
        </w:rPr>
        <w:t xml:space="preserve"> in </w:t>
      </w:r>
      <w:r w:rsidRPr="00C649E1">
        <w:rPr>
          <w:rFonts w:asciiTheme="majorHAnsi" w:hAnsiTheme="majorHAnsi"/>
          <w:bCs/>
          <w:i/>
          <w:color w:val="auto"/>
          <w:sz w:val="20"/>
          <w:szCs w:val="20"/>
        </w:rPr>
        <w:t>McCleskey</w:t>
      </w:r>
      <w:r w:rsidRPr="00C649E1">
        <w:rPr>
          <w:rFonts w:asciiTheme="majorHAnsi" w:hAnsiTheme="majorHAnsi"/>
          <w:sz w:val="20"/>
          <w:szCs w:val="20"/>
        </w:rPr>
        <w:t xml:space="preserve">, the existence of proven racially disproportionate impact in the imposition of the death penalty is not sufficient to overturn a death sentence. The Court further requires evidence of intentional bias. As previously indicated, this Commission has expressed deep concern </w:t>
      </w:r>
      <w:r w:rsidR="00265E54" w:rsidRPr="00C649E1">
        <w:rPr>
          <w:rFonts w:asciiTheme="majorHAnsi" w:hAnsiTheme="majorHAnsi"/>
          <w:sz w:val="20"/>
          <w:szCs w:val="20"/>
        </w:rPr>
        <w:t>with regard to</w:t>
      </w:r>
      <w:r w:rsidRPr="00C649E1">
        <w:rPr>
          <w:rFonts w:asciiTheme="majorHAnsi" w:hAnsiTheme="majorHAnsi"/>
          <w:sz w:val="20"/>
          <w:szCs w:val="20"/>
        </w:rPr>
        <w:t xml:space="preserve"> this standard of proof. Beyond this concern, the </w:t>
      </w:r>
      <w:r w:rsidR="00A327C6" w:rsidRPr="00C649E1">
        <w:rPr>
          <w:rFonts w:asciiTheme="majorHAnsi" w:hAnsiTheme="majorHAnsi"/>
          <w:sz w:val="20"/>
          <w:szCs w:val="20"/>
        </w:rPr>
        <w:t>IACHR</w:t>
      </w:r>
      <w:r w:rsidRPr="00C649E1">
        <w:rPr>
          <w:rFonts w:asciiTheme="majorHAnsi" w:hAnsiTheme="majorHAnsi"/>
          <w:sz w:val="20"/>
          <w:szCs w:val="20"/>
        </w:rPr>
        <w:t xml:space="preserve"> notes that in the instant</w:t>
      </w:r>
      <w:r w:rsidR="00265E54" w:rsidRPr="00C649E1">
        <w:rPr>
          <w:rFonts w:asciiTheme="majorHAnsi" w:hAnsiTheme="majorHAnsi"/>
          <w:sz w:val="20"/>
          <w:szCs w:val="20"/>
        </w:rPr>
        <w:t xml:space="preserve"> case, defense counsel asked the district court to request specific information to the prosecution, in order to prove the existence of a discriminatory purpose </w:t>
      </w:r>
      <w:r w:rsidR="00DA2A64" w:rsidRPr="00C649E1">
        <w:rPr>
          <w:rFonts w:asciiTheme="majorHAnsi" w:hAnsiTheme="majorHAnsi"/>
          <w:sz w:val="20"/>
          <w:szCs w:val="20"/>
        </w:rPr>
        <w:t>in compliance with the requirement set by</w:t>
      </w:r>
      <w:r w:rsidR="00265E54" w:rsidRPr="00C649E1">
        <w:rPr>
          <w:rFonts w:asciiTheme="majorHAnsi" w:hAnsiTheme="majorHAnsi"/>
          <w:sz w:val="20"/>
          <w:szCs w:val="20"/>
        </w:rPr>
        <w:t xml:space="preserve"> the Supreme Court. </w:t>
      </w:r>
      <w:r w:rsidR="00265E54" w:rsidRPr="00C649E1">
        <w:rPr>
          <w:rFonts w:asciiTheme="majorHAnsi" w:hAnsiTheme="majorHAnsi"/>
          <w:sz w:val="20"/>
          <w:szCs w:val="20"/>
        </w:rPr>
        <w:lastRenderedPageBreak/>
        <w:t xml:space="preserve">As noted, the district court summarily denied </w:t>
      </w:r>
      <w:r w:rsidR="00DA2A64" w:rsidRPr="00C649E1">
        <w:rPr>
          <w:rFonts w:asciiTheme="majorHAnsi" w:hAnsiTheme="majorHAnsi"/>
          <w:sz w:val="20"/>
          <w:szCs w:val="20"/>
        </w:rPr>
        <w:t>the</w:t>
      </w:r>
      <w:r w:rsidR="00265E54" w:rsidRPr="00C649E1">
        <w:rPr>
          <w:rFonts w:asciiTheme="majorHAnsi" w:hAnsiTheme="majorHAnsi"/>
          <w:sz w:val="20"/>
          <w:szCs w:val="20"/>
        </w:rPr>
        <w:t xml:space="preserve"> request</w:t>
      </w:r>
      <w:r w:rsidR="00DA2A64" w:rsidRPr="00C649E1">
        <w:rPr>
          <w:rFonts w:asciiTheme="majorHAnsi" w:hAnsiTheme="majorHAnsi"/>
          <w:sz w:val="20"/>
          <w:szCs w:val="20"/>
        </w:rPr>
        <w:t>, as well as the request for a hearing</w:t>
      </w:r>
      <w:r w:rsidR="00265E54" w:rsidRPr="00C649E1">
        <w:rPr>
          <w:rFonts w:asciiTheme="majorHAnsi" w:hAnsiTheme="majorHAnsi"/>
          <w:sz w:val="20"/>
          <w:szCs w:val="20"/>
        </w:rPr>
        <w:t xml:space="preserve">. Therefore, </w:t>
      </w:r>
      <w:r w:rsidR="00AA1B8C" w:rsidRPr="00C649E1">
        <w:rPr>
          <w:rFonts w:asciiTheme="majorHAnsi" w:hAnsiTheme="majorHAnsi"/>
          <w:sz w:val="20"/>
          <w:szCs w:val="20"/>
        </w:rPr>
        <w:t>the possibility of racial discrimination in the capital charging decision process was left unresolved.</w:t>
      </w:r>
    </w:p>
    <w:p w14:paraId="68F10E15" w14:textId="77777777" w:rsidR="00CB2891" w:rsidRPr="00C649E1" w:rsidRDefault="00CB2891" w:rsidP="00CB2891">
      <w:pPr>
        <w:pStyle w:val="ListParagraph"/>
        <w:rPr>
          <w:rFonts w:asciiTheme="majorHAnsi" w:hAnsiTheme="majorHAnsi"/>
          <w:sz w:val="20"/>
          <w:szCs w:val="20"/>
        </w:rPr>
      </w:pPr>
    </w:p>
    <w:p w14:paraId="02B62701" w14:textId="77777777" w:rsidR="00CB2891" w:rsidRPr="00C649E1" w:rsidRDefault="00CB2891" w:rsidP="00D910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rPr>
      </w:pPr>
      <w:r w:rsidRPr="00C649E1">
        <w:rPr>
          <w:rFonts w:asciiTheme="majorHAnsi" w:hAnsiTheme="majorHAnsi"/>
          <w:sz w:val="20"/>
          <w:szCs w:val="20"/>
        </w:rPr>
        <w:t xml:space="preserve">Based on the above-mentioned inter-American human rights standards, the Commission reiterates that distinctions based on race are subject to a particularly strict level of scrutiny whereby States must provide an especially weighty interest and compelling justification for the distinction. </w:t>
      </w:r>
      <w:r w:rsidR="008C1E12" w:rsidRPr="00C649E1">
        <w:rPr>
          <w:rFonts w:asciiTheme="majorHAnsi" w:hAnsiTheme="majorHAnsi"/>
          <w:sz w:val="20"/>
          <w:szCs w:val="20"/>
        </w:rPr>
        <w:t xml:space="preserve">This level of scrutiny is even stricter in this case, given the application of the death penalty. </w:t>
      </w:r>
    </w:p>
    <w:p w14:paraId="21031001" w14:textId="77777777" w:rsidR="00265E54" w:rsidRPr="00C649E1" w:rsidRDefault="00265E54" w:rsidP="00265E54">
      <w:pPr>
        <w:pStyle w:val="ListParagraph"/>
        <w:rPr>
          <w:rFonts w:asciiTheme="majorHAnsi" w:hAnsiTheme="majorHAnsi"/>
          <w:sz w:val="20"/>
          <w:szCs w:val="20"/>
        </w:rPr>
      </w:pPr>
    </w:p>
    <w:p w14:paraId="0D89CA83" w14:textId="77777777" w:rsidR="00CB2891" w:rsidRPr="00C649E1" w:rsidRDefault="00DA2A64" w:rsidP="00D91035">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rPr>
      </w:pPr>
      <w:r w:rsidRPr="00C649E1">
        <w:rPr>
          <w:rFonts w:asciiTheme="majorHAnsi" w:hAnsiTheme="majorHAnsi"/>
          <w:sz w:val="20"/>
          <w:szCs w:val="20"/>
        </w:rPr>
        <w:t xml:space="preserve">In addition to </w:t>
      </w:r>
      <w:r w:rsidR="008C1E12" w:rsidRPr="00C649E1">
        <w:rPr>
          <w:rFonts w:asciiTheme="majorHAnsi" w:hAnsiTheme="majorHAnsi"/>
          <w:sz w:val="20"/>
          <w:szCs w:val="20"/>
        </w:rPr>
        <w:t>the unresolved possibility of racial discrimination in the capital charging decision</w:t>
      </w:r>
      <w:r w:rsidRPr="00C649E1">
        <w:rPr>
          <w:rFonts w:asciiTheme="majorHAnsi" w:hAnsiTheme="majorHAnsi"/>
          <w:sz w:val="20"/>
          <w:szCs w:val="20"/>
        </w:rPr>
        <w:t xml:space="preserve">, </w:t>
      </w:r>
      <w:r w:rsidR="001B59C4" w:rsidRPr="00C649E1">
        <w:rPr>
          <w:rFonts w:asciiTheme="majorHAnsi" w:hAnsiTheme="majorHAnsi"/>
          <w:sz w:val="20"/>
          <w:szCs w:val="20"/>
        </w:rPr>
        <w:t xml:space="preserve">there is the question about the alleged racial discrimination in the selection of the jury. </w:t>
      </w:r>
      <w:r w:rsidR="003F5DB0" w:rsidRPr="00C649E1">
        <w:rPr>
          <w:rFonts w:asciiTheme="majorHAnsi" w:hAnsiTheme="majorHAnsi"/>
          <w:sz w:val="20"/>
          <w:szCs w:val="20"/>
        </w:rPr>
        <w:t xml:space="preserve">As previously </w:t>
      </w:r>
      <w:r w:rsidR="00A9565C" w:rsidRPr="00C649E1">
        <w:rPr>
          <w:rFonts w:asciiTheme="majorHAnsi" w:hAnsiTheme="majorHAnsi"/>
          <w:sz w:val="20"/>
          <w:szCs w:val="20"/>
        </w:rPr>
        <w:t>recognized</w:t>
      </w:r>
      <w:r w:rsidR="003F5DB0" w:rsidRPr="00C649E1">
        <w:rPr>
          <w:rFonts w:asciiTheme="majorHAnsi" w:hAnsiTheme="majorHAnsi"/>
          <w:sz w:val="20"/>
          <w:szCs w:val="20"/>
        </w:rPr>
        <w:t xml:space="preserve"> by the CERD and this Commission, </w:t>
      </w:r>
      <w:r w:rsidR="003F5DB0" w:rsidRPr="00C649E1">
        <w:rPr>
          <w:rFonts w:asciiTheme="majorHAnsi" w:hAnsiTheme="majorHAnsi"/>
          <w:bCs/>
          <w:color w:val="auto"/>
          <w:sz w:val="20"/>
          <w:szCs w:val="20"/>
        </w:rPr>
        <w:t>structural inequalities, stereotypes and prejudices are mirrored in the criminal justice system. Hence the importance of ensuring that juries</w:t>
      </w:r>
      <w:r w:rsidR="00797E77" w:rsidRPr="00C649E1">
        <w:rPr>
          <w:rFonts w:asciiTheme="majorHAnsi" w:hAnsiTheme="majorHAnsi"/>
          <w:bCs/>
          <w:color w:val="auto"/>
          <w:sz w:val="20"/>
          <w:szCs w:val="20"/>
        </w:rPr>
        <w:t>’ composition</w:t>
      </w:r>
      <w:r w:rsidR="003F5DB0" w:rsidRPr="00C649E1">
        <w:rPr>
          <w:rFonts w:asciiTheme="majorHAnsi" w:hAnsiTheme="majorHAnsi"/>
          <w:bCs/>
          <w:color w:val="auto"/>
          <w:sz w:val="20"/>
          <w:szCs w:val="20"/>
        </w:rPr>
        <w:t xml:space="preserve"> reflects the </w:t>
      </w:r>
      <w:r w:rsidR="00797E77" w:rsidRPr="00C649E1">
        <w:rPr>
          <w:rFonts w:asciiTheme="majorHAnsi" w:hAnsiTheme="majorHAnsi"/>
          <w:bCs/>
          <w:color w:val="auto"/>
          <w:sz w:val="20"/>
          <w:szCs w:val="20"/>
        </w:rPr>
        <w:t xml:space="preserve">racial </w:t>
      </w:r>
      <w:r w:rsidR="003F5DB0" w:rsidRPr="00C649E1">
        <w:rPr>
          <w:rFonts w:asciiTheme="majorHAnsi" w:hAnsiTheme="majorHAnsi"/>
          <w:bCs/>
          <w:color w:val="auto"/>
          <w:sz w:val="20"/>
          <w:szCs w:val="20"/>
        </w:rPr>
        <w:t xml:space="preserve">diversity of the communities they represent. </w:t>
      </w:r>
    </w:p>
    <w:p w14:paraId="7A2ACD64" w14:textId="77777777" w:rsidR="00CB2891" w:rsidRPr="00C649E1" w:rsidRDefault="00CB2891" w:rsidP="00CB2891">
      <w:pPr>
        <w:pStyle w:val="ListParagraph"/>
        <w:rPr>
          <w:rFonts w:asciiTheme="majorHAnsi" w:hAnsiTheme="majorHAnsi"/>
          <w:bCs/>
          <w:color w:val="auto"/>
          <w:sz w:val="20"/>
          <w:szCs w:val="20"/>
        </w:rPr>
      </w:pPr>
    </w:p>
    <w:p w14:paraId="5716724F" w14:textId="77777777" w:rsidR="00570336" w:rsidRPr="00C649E1" w:rsidRDefault="003F5DB0" w:rsidP="00D9119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sz w:val="20"/>
          <w:szCs w:val="20"/>
        </w:rPr>
      </w:pPr>
      <w:r w:rsidRPr="00C649E1">
        <w:rPr>
          <w:rFonts w:asciiTheme="majorHAnsi" w:hAnsiTheme="majorHAnsi"/>
          <w:bCs/>
          <w:color w:val="auto"/>
          <w:sz w:val="20"/>
          <w:szCs w:val="20"/>
        </w:rPr>
        <w:t xml:space="preserve"> </w:t>
      </w:r>
      <w:r w:rsidRPr="00C649E1">
        <w:rPr>
          <w:rFonts w:asciiTheme="majorHAnsi" w:hAnsiTheme="majorHAnsi"/>
          <w:sz w:val="20"/>
          <w:szCs w:val="20"/>
        </w:rPr>
        <w:t xml:space="preserve"> </w:t>
      </w:r>
      <w:r w:rsidR="00CB2891" w:rsidRPr="00C649E1">
        <w:rPr>
          <w:rFonts w:asciiTheme="majorHAnsi" w:hAnsiTheme="majorHAnsi"/>
          <w:sz w:val="20"/>
          <w:szCs w:val="20"/>
        </w:rPr>
        <w:t xml:space="preserve">In </w:t>
      </w:r>
      <w:r w:rsidR="00CB2891" w:rsidRPr="00C649E1">
        <w:rPr>
          <w:rFonts w:asciiTheme="majorHAnsi" w:hAnsiTheme="majorHAnsi"/>
          <w:i/>
          <w:sz w:val="20"/>
          <w:szCs w:val="20"/>
        </w:rPr>
        <w:t>Batson</w:t>
      </w:r>
      <w:r w:rsidR="00CB2891" w:rsidRPr="00C649E1">
        <w:rPr>
          <w:rFonts w:asciiTheme="majorHAnsi" w:hAnsiTheme="majorHAnsi"/>
          <w:sz w:val="20"/>
          <w:szCs w:val="20"/>
        </w:rPr>
        <w:t xml:space="preserve"> the U.S. Supreme Court </w:t>
      </w:r>
      <w:r w:rsidR="00023B97" w:rsidRPr="00C649E1">
        <w:rPr>
          <w:rFonts w:asciiTheme="majorHAnsi" w:hAnsiTheme="majorHAnsi"/>
          <w:sz w:val="20"/>
          <w:szCs w:val="20"/>
        </w:rPr>
        <w:t xml:space="preserve">of Justice </w:t>
      </w:r>
      <w:r w:rsidR="00A9565C" w:rsidRPr="00C649E1">
        <w:rPr>
          <w:rFonts w:asciiTheme="majorHAnsi" w:hAnsiTheme="majorHAnsi"/>
          <w:sz w:val="20"/>
          <w:szCs w:val="20"/>
        </w:rPr>
        <w:t xml:space="preserve">established that, once a defendant has made a showing that the prosecution excluded a member of the jury based on race, the government must provide a race-neutral explanation. </w:t>
      </w:r>
      <w:r w:rsidR="00B813B1" w:rsidRPr="00C649E1">
        <w:rPr>
          <w:rFonts w:asciiTheme="majorHAnsi" w:hAnsiTheme="majorHAnsi"/>
          <w:sz w:val="20"/>
          <w:szCs w:val="20"/>
        </w:rPr>
        <w:t xml:space="preserve">In </w:t>
      </w:r>
      <w:r w:rsidR="0077403A" w:rsidRPr="00C649E1">
        <w:rPr>
          <w:rFonts w:asciiTheme="majorHAnsi" w:hAnsiTheme="majorHAnsi"/>
          <w:sz w:val="20"/>
          <w:szCs w:val="20"/>
        </w:rPr>
        <w:t xml:space="preserve">Mr. Robinson’s </w:t>
      </w:r>
      <w:r w:rsidR="00B813B1" w:rsidRPr="00C649E1">
        <w:rPr>
          <w:rFonts w:asciiTheme="majorHAnsi" w:hAnsiTheme="majorHAnsi"/>
          <w:sz w:val="20"/>
          <w:szCs w:val="20"/>
        </w:rPr>
        <w:t xml:space="preserve">case, </w:t>
      </w:r>
      <w:r w:rsidR="00D91199" w:rsidRPr="00C649E1">
        <w:rPr>
          <w:rFonts w:asciiTheme="majorHAnsi" w:hAnsiTheme="majorHAnsi"/>
          <w:sz w:val="20"/>
          <w:szCs w:val="20"/>
        </w:rPr>
        <w:t xml:space="preserve">the prosecution explained the peremptory strike used against a black venire member on two factors, one of which, that a white member with similar views on the death penalty had also been struck, was proven wrong. </w:t>
      </w:r>
      <w:r w:rsidR="00AD6054" w:rsidRPr="00C649E1">
        <w:rPr>
          <w:rFonts w:asciiTheme="majorHAnsi" w:hAnsiTheme="majorHAnsi"/>
          <w:sz w:val="20"/>
          <w:szCs w:val="20"/>
        </w:rPr>
        <w:t>R</w:t>
      </w:r>
      <w:r w:rsidR="00D91199" w:rsidRPr="00C649E1">
        <w:rPr>
          <w:rFonts w:asciiTheme="majorHAnsi" w:hAnsiTheme="majorHAnsi"/>
          <w:sz w:val="20"/>
          <w:szCs w:val="20"/>
        </w:rPr>
        <w:t xml:space="preserve">egardless </w:t>
      </w:r>
      <w:r w:rsidR="003A5923" w:rsidRPr="00C649E1">
        <w:rPr>
          <w:rFonts w:asciiTheme="majorHAnsi" w:hAnsiTheme="majorHAnsi"/>
          <w:sz w:val="20"/>
          <w:szCs w:val="20"/>
        </w:rPr>
        <w:t>the prosecutor’s</w:t>
      </w:r>
      <w:r w:rsidR="00D91199" w:rsidRPr="00C649E1">
        <w:rPr>
          <w:rFonts w:asciiTheme="majorHAnsi" w:hAnsiTheme="majorHAnsi"/>
          <w:sz w:val="20"/>
          <w:szCs w:val="20"/>
        </w:rPr>
        <w:t xml:space="preserve"> mistake, </w:t>
      </w:r>
      <w:r w:rsidR="0077403A" w:rsidRPr="00C649E1">
        <w:rPr>
          <w:rFonts w:asciiTheme="majorHAnsi" w:hAnsiTheme="majorHAnsi"/>
          <w:sz w:val="20"/>
          <w:szCs w:val="20"/>
        </w:rPr>
        <w:t>the district court accepted the explanation for striking Ms. Amarh</w:t>
      </w:r>
      <w:r w:rsidR="006D5CE3" w:rsidRPr="00C649E1">
        <w:rPr>
          <w:rFonts w:asciiTheme="majorHAnsi" w:hAnsiTheme="majorHAnsi"/>
          <w:sz w:val="20"/>
          <w:szCs w:val="20"/>
        </w:rPr>
        <w:t>,</w:t>
      </w:r>
      <w:r w:rsidR="00B54FF0" w:rsidRPr="00C649E1">
        <w:rPr>
          <w:rFonts w:asciiTheme="majorHAnsi" w:hAnsiTheme="majorHAnsi"/>
          <w:sz w:val="20"/>
          <w:szCs w:val="20"/>
        </w:rPr>
        <w:t xml:space="preserve"> </w:t>
      </w:r>
      <w:r w:rsidR="006D5CE3" w:rsidRPr="00C649E1">
        <w:rPr>
          <w:rFonts w:asciiTheme="majorHAnsi" w:hAnsiTheme="majorHAnsi"/>
          <w:sz w:val="20"/>
          <w:szCs w:val="20"/>
        </w:rPr>
        <w:t xml:space="preserve">based </w:t>
      </w:r>
      <w:r w:rsidR="000C7343" w:rsidRPr="00C649E1">
        <w:rPr>
          <w:rFonts w:asciiTheme="majorHAnsi" w:hAnsiTheme="majorHAnsi"/>
          <w:sz w:val="20"/>
          <w:szCs w:val="20"/>
        </w:rPr>
        <w:t xml:space="preserve">solely </w:t>
      </w:r>
      <w:r w:rsidR="006D5CE3" w:rsidRPr="00C649E1">
        <w:rPr>
          <w:rFonts w:asciiTheme="majorHAnsi" w:hAnsiTheme="majorHAnsi"/>
          <w:sz w:val="20"/>
          <w:szCs w:val="20"/>
        </w:rPr>
        <w:t xml:space="preserve">on her answers </w:t>
      </w:r>
      <w:r w:rsidR="00AD6054" w:rsidRPr="00C649E1">
        <w:rPr>
          <w:rFonts w:asciiTheme="majorHAnsi" w:hAnsiTheme="majorHAnsi"/>
          <w:sz w:val="20"/>
          <w:szCs w:val="20"/>
        </w:rPr>
        <w:t>about</w:t>
      </w:r>
      <w:r w:rsidR="006D5CE3" w:rsidRPr="00C649E1">
        <w:rPr>
          <w:rFonts w:asciiTheme="majorHAnsi" w:hAnsiTheme="majorHAnsi"/>
          <w:sz w:val="20"/>
          <w:szCs w:val="20"/>
        </w:rPr>
        <w:t xml:space="preserve"> the death penalty</w:t>
      </w:r>
      <w:r w:rsidR="00555B41" w:rsidRPr="00C649E1">
        <w:rPr>
          <w:rFonts w:asciiTheme="majorHAnsi" w:hAnsiTheme="majorHAnsi"/>
          <w:sz w:val="20"/>
          <w:szCs w:val="20"/>
        </w:rPr>
        <w:t xml:space="preserve">. </w:t>
      </w:r>
      <w:r w:rsidR="004268A0" w:rsidRPr="00C649E1">
        <w:rPr>
          <w:rFonts w:asciiTheme="majorHAnsi" w:hAnsiTheme="majorHAnsi"/>
          <w:sz w:val="20"/>
          <w:szCs w:val="20"/>
        </w:rPr>
        <w:t>T</w:t>
      </w:r>
      <w:r w:rsidR="00B54FF0" w:rsidRPr="00C649E1">
        <w:rPr>
          <w:rFonts w:asciiTheme="majorHAnsi" w:hAnsiTheme="majorHAnsi"/>
          <w:sz w:val="20"/>
          <w:szCs w:val="20"/>
        </w:rPr>
        <w:t>he court</w:t>
      </w:r>
      <w:r w:rsidR="004268A0" w:rsidRPr="00C649E1">
        <w:rPr>
          <w:rFonts w:asciiTheme="majorHAnsi" w:hAnsiTheme="majorHAnsi"/>
          <w:sz w:val="20"/>
          <w:szCs w:val="20"/>
        </w:rPr>
        <w:t>, however,</w:t>
      </w:r>
      <w:r w:rsidR="00B54FF0" w:rsidRPr="00C649E1">
        <w:rPr>
          <w:rFonts w:asciiTheme="majorHAnsi" w:hAnsiTheme="majorHAnsi"/>
          <w:sz w:val="20"/>
          <w:szCs w:val="20"/>
        </w:rPr>
        <w:t xml:space="preserve"> did not</w:t>
      </w:r>
      <w:r w:rsidR="00AD6054" w:rsidRPr="00C649E1">
        <w:rPr>
          <w:rFonts w:asciiTheme="majorHAnsi" w:hAnsiTheme="majorHAnsi"/>
          <w:sz w:val="20"/>
          <w:szCs w:val="20"/>
        </w:rPr>
        <w:t xml:space="preserve"> assess </w:t>
      </w:r>
      <w:r w:rsidR="00C27360" w:rsidRPr="00C649E1">
        <w:rPr>
          <w:rFonts w:asciiTheme="majorHAnsi" w:hAnsiTheme="majorHAnsi"/>
          <w:sz w:val="20"/>
          <w:szCs w:val="20"/>
        </w:rPr>
        <w:t>how</w:t>
      </w:r>
      <w:r w:rsidR="00AD6054" w:rsidRPr="00C649E1">
        <w:rPr>
          <w:rFonts w:asciiTheme="majorHAnsi" w:hAnsiTheme="majorHAnsi"/>
          <w:sz w:val="20"/>
          <w:szCs w:val="20"/>
        </w:rPr>
        <w:t xml:space="preserve"> her </w:t>
      </w:r>
      <w:r w:rsidR="00B54FF0" w:rsidRPr="00C649E1">
        <w:rPr>
          <w:rFonts w:asciiTheme="majorHAnsi" w:hAnsiTheme="majorHAnsi"/>
          <w:sz w:val="20"/>
          <w:szCs w:val="20"/>
        </w:rPr>
        <w:t xml:space="preserve">views were </w:t>
      </w:r>
      <w:r w:rsidR="00AD6054" w:rsidRPr="00C649E1">
        <w:rPr>
          <w:rFonts w:asciiTheme="majorHAnsi" w:hAnsiTheme="majorHAnsi"/>
          <w:sz w:val="20"/>
          <w:szCs w:val="20"/>
        </w:rPr>
        <w:t xml:space="preserve">or </w:t>
      </w:r>
      <w:r w:rsidR="00B54FF0" w:rsidRPr="00C649E1">
        <w:rPr>
          <w:rFonts w:asciiTheme="majorHAnsi" w:hAnsiTheme="majorHAnsi"/>
          <w:sz w:val="20"/>
          <w:szCs w:val="20"/>
        </w:rPr>
        <w:t>not similar to</w:t>
      </w:r>
      <w:r w:rsidR="00AD6054" w:rsidRPr="00C649E1">
        <w:rPr>
          <w:rFonts w:asciiTheme="majorHAnsi" w:hAnsiTheme="majorHAnsi"/>
          <w:sz w:val="20"/>
          <w:szCs w:val="20"/>
        </w:rPr>
        <w:t xml:space="preserve"> those of</w:t>
      </w:r>
      <w:r w:rsidR="00B54FF0" w:rsidRPr="00C649E1">
        <w:rPr>
          <w:rFonts w:asciiTheme="majorHAnsi" w:hAnsiTheme="majorHAnsi"/>
          <w:sz w:val="20"/>
          <w:szCs w:val="20"/>
        </w:rPr>
        <w:t xml:space="preserve"> Ms. Broadwell</w:t>
      </w:r>
      <w:r w:rsidR="00C27360" w:rsidRPr="00C649E1">
        <w:rPr>
          <w:rFonts w:asciiTheme="majorHAnsi" w:hAnsiTheme="majorHAnsi"/>
          <w:sz w:val="20"/>
          <w:szCs w:val="20"/>
        </w:rPr>
        <w:t xml:space="preserve">. This, according to the Commission, </w:t>
      </w:r>
      <w:r w:rsidR="00AD6054" w:rsidRPr="00C649E1">
        <w:rPr>
          <w:rFonts w:asciiTheme="majorHAnsi" w:hAnsiTheme="majorHAnsi"/>
          <w:sz w:val="20"/>
          <w:szCs w:val="20"/>
        </w:rPr>
        <w:t xml:space="preserve">was </w:t>
      </w:r>
      <w:r w:rsidR="00C27360" w:rsidRPr="00C649E1">
        <w:rPr>
          <w:rFonts w:asciiTheme="majorHAnsi" w:hAnsiTheme="majorHAnsi"/>
          <w:sz w:val="20"/>
          <w:szCs w:val="20"/>
        </w:rPr>
        <w:t>essential</w:t>
      </w:r>
      <w:r w:rsidR="00AD6054" w:rsidRPr="00C649E1">
        <w:rPr>
          <w:rFonts w:asciiTheme="majorHAnsi" w:hAnsiTheme="majorHAnsi"/>
          <w:sz w:val="20"/>
          <w:szCs w:val="20"/>
        </w:rPr>
        <w:t xml:space="preserve"> </w:t>
      </w:r>
      <w:r w:rsidR="00C27360" w:rsidRPr="00C649E1">
        <w:rPr>
          <w:rFonts w:asciiTheme="majorHAnsi" w:hAnsiTheme="majorHAnsi"/>
          <w:sz w:val="20"/>
          <w:szCs w:val="20"/>
        </w:rPr>
        <w:t>to</w:t>
      </w:r>
      <w:r w:rsidR="00AD6054" w:rsidRPr="00C649E1">
        <w:rPr>
          <w:rFonts w:asciiTheme="majorHAnsi" w:hAnsiTheme="majorHAnsi"/>
          <w:sz w:val="20"/>
          <w:szCs w:val="20"/>
        </w:rPr>
        <w:t xml:space="preserve"> establish if there was a difference in treatment</w:t>
      </w:r>
      <w:r w:rsidR="004268A0" w:rsidRPr="00C649E1">
        <w:rPr>
          <w:rFonts w:asciiTheme="majorHAnsi" w:hAnsiTheme="majorHAnsi"/>
          <w:sz w:val="20"/>
          <w:szCs w:val="20"/>
        </w:rPr>
        <w:t xml:space="preserve"> that amounted to </w:t>
      </w:r>
      <w:r w:rsidR="008C6B06" w:rsidRPr="00C649E1">
        <w:rPr>
          <w:rFonts w:asciiTheme="majorHAnsi" w:hAnsiTheme="majorHAnsi"/>
          <w:sz w:val="20"/>
          <w:szCs w:val="20"/>
        </w:rPr>
        <w:t xml:space="preserve">racial </w:t>
      </w:r>
      <w:r w:rsidR="004268A0" w:rsidRPr="00C649E1">
        <w:rPr>
          <w:rFonts w:asciiTheme="majorHAnsi" w:hAnsiTheme="majorHAnsi"/>
          <w:sz w:val="20"/>
          <w:szCs w:val="20"/>
        </w:rPr>
        <w:t>discrimination</w:t>
      </w:r>
      <w:r w:rsidR="00AD6054" w:rsidRPr="00C649E1">
        <w:rPr>
          <w:rFonts w:asciiTheme="majorHAnsi" w:hAnsiTheme="majorHAnsi"/>
          <w:sz w:val="20"/>
          <w:szCs w:val="20"/>
        </w:rPr>
        <w:t>.</w:t>
      </w:r>
      <w:r w:rsidR="008C6B06" w:rsidRPr="00C649E1">
        <w:rPr>
          <w:rFonts w:asciiTheme="majorHAnsi" w:hAnsiTheme="majorHAnsi"/>
          <w:sz w:val="20"/>
          <w:szCs w:val="20"/>
        </w:rPr>
        <w:t xml:space="preserve"> </w:t>
      </w:r>
      <w:r w:rsidR="00B11269" w:rsidRPr="00C649E1">
        <w:rPr>
          <w:rFonts w:asciiTheme="majorHAnsi" w:hAnsiTheme="majorHAnsi"/>
          <w:sz w:val="20"/>
          <w:szCs w:val="20"/>
        </w:rPr>
        <w:t>C</w:t>
      </w:r>
      <w:r w:rsidR="00A555EC" w:rsidRPr="00C649E1">
        <w:rPr>
          <w:rFonts w:asciiTheme="majorHAnsi" w:hAnsiTheme="majorHAnsi"/>
          <w:sz w:val="20"/>
          <w:szCs w:val="20"/>
        </w:rPr>
        <w:t xml:space="preserve">onsidering the </w:t>
      </w:r>
      <w:r w:rsidR="00570336" w:rsidRPr="00C649E1">
        <w:rPr>
          <w:rFonts w:asciiTheme="majorHAnsi" w:hAnsiTheme="majorHAnsi"/>
          <w:sz w:val="20"/>
          <w:szCs w:val="20"/>
        </w:rPr>
        <w:t xml:space="preserve">particularly strict level of scrutiny </w:t>
      </w:r>
      <w:r w:rsidR="00C1453E" w:rsidRPr="00C649E1">
        <w:rPr>
          <w:rFonts w:asciiTheme="majorHAnsi" w:hAnsiTheme="majorHAnsi"/>
          <w:sz w:val="20"/>
          <w:szCs w:val="20"/>
        </w:rPr>
        <w:t>required</w:t>
      </w:r>
      <w:r w:rsidR="00570336" w:rsidRPr="00C649E1">
        <w:rPr>
          <w:rFonts w:asciiTheme="majorHAnsi" w:hAnsiTheme="majorHAnsi"/>
          <w:sz w:val="20"/>
          <w:szCs w:val="20"/>
        </w:rPr>
        <w:t xml:space="preserve"> in cases of possible racial discrimination, especially in death penalty cases, </w:t>
      </w:r>
      <w:r w:rsidR="00C1453E" w:rsidRPr="00C649E1">
        <w:rPr>
          <w:rFonts w:asciiTheme="majorHAnsi" w:hAnsiTheme="majorHAnsi"/>
          <w:sz w:val="20"/>
          <w:szCs w:val="20"/>
        </w:rPr>
        <w:t xml:space="preserve">the Commission </w:t>
      </w:r>
      <w:r w:rsidR="00B11269" w:rsidRPr="00C649E1">
        <w:rPr>
          <w:rFonts w:asciiTheme="majorHAnsi" w:hAnsiTheme="majorHAnsi"/>
          <w:sz w:val="20"/>
          <w:szCs w:val="20"/>
        </w:rPr>
        <w:t>considers</w:t>
      </w:r>
      <w:r w:rsidR="00C1453E" w:rsidRPr="00C649E1">
        <w:rPr>
          <w:rFonts w:asciiTheme="majorHAnsi" w:hAnsiTheme="majorHAnsi"/>
          <w:sz w:val="20"/>
          <w:szCs w:val="20"/>
        </w:rPr>
        <w:t xml:space="preserve"> that </w:t>
      </w:r>
      <w:r w:rsidR="00B16890" w:rsidRPr="00C649E1">
        <w:rPr>
          <w:rFonts w:asciiTheme="majorHAnsi" w:hAnsiTheme="majorHAnsi"/>
          <w:sz w:val="20"/>
          <w:szCs w:val="20"/>
        </w:rPr>
        <w:t>such an error tainted the prosecutor’s expl</w:t>
      </w:r>
      <w:r w:rsidR="00B11269" w:rsidRPr="00C649E1">
        <w:rPr>
          <w:rFonts w:asciiTheme="majorHAnsi" w:hAnsiTheme="majorHAnsi"/>
          <w:sz w:val="20"/>
          <w:szCs w:val="20"/>
        </w:rPr>
        <w:t xml:space="preserve">anation and therefore the peremptory strike should have been </w:t>
      </w:r>
      <w:r w:rsidR="003A5923" w:rsidRPr="00C649E1">
        <w:rPr>
          <w:rFonts w:asciiTheme="majorHAnsi" w:hAnsiTheme="majorHAnsi"/>
          <w:sz w:val="20"/>
          <w:szCs w:val="20"/>
        </w:rPr>
        <w:t>the object of</w:t>
      </w:r>
      <w:r w:rsidR="00B11269" w:rsidRPr="00C649E1">
        <w:rPr>
          <w:rFonts w:asciiTheme="majorHAnsi" w:hAnsiTheme="majorHAnsi"/>
          <w:sz w:val="20"/>
          <w:szCs w:val="20"/>
        </w:rPr>
        <w:t xml:space="preserve"> a thorough review.</w:t>
      </w:r>
      <w:r w:rsidR="00570336" w:rsidRPr="00C649E1">
        <w:rPr>
          <w:rFonts w:asciiTheme="majorHAnsi" w:hAnsiTheme="majorHAnsi"/>
          <w:sz w:val="20"/>
          <w:szCs w:val="20"/>
        </w:rPr>
        <w:t xml:space="preserve"> </w:t>
      </w:r>
    </w:p>
    <w:p w14:paraId="132C19A4" w14:textId="77777777" w:rsidR="00B11269" w:rsidRPr="00C649E1" w:rsidRDefault="00B11269" w:rsidP="00B11269">
      <w:pPr>
        <w:pStyle w:val="ListParagraph"/>
        <w:rPr>
          <w:rFonts w:asciiTheme="majorHAnsi" w:hAnsiTheme="majorHAnsi"/>
          <w:sz w:val="20"/>
          <w:szCs w:val="20"/>
        </w:rPr>
      </w:pPr>
    </w:p>
    <w:p w14:paraId="1DE0735C" w14:textId="77777777" w:rsidR="00341FC2" w:rsidRPr="00C649E1" w:rsidRDefault="00B11269" w:rsidP="00341FC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sz w:val="20"/>
          <w:szCs w:val="20"/>
        </w:rPr>
        <w:t xml:space="preserve">The Commission </w:t>
      </w:r>
      <w:r w:rsidR="006440EE" w:rsidRPr="00C649E1">
        <w:rPr>
          <w:rFonts w:asciiTheme="majorHAnsi" w:hAnsiTheme="majorHAnsi"/>
          <w:sz w:val="20"/>
          <w:szCs w:val="20"/>
        </w:rPr>
        <w:t>emphasizes</w:t>
      </w:r>
      <w:r w:rsidRPr="00C649E1">
        <w:rPr>
          <w:rFonts w:asciiTheme="majorHAnsi" w:hAnsiTheme="majorHAnsi"/>
          <w:sz w:val="20"/>
          <w:szCs w:val="20"/>
        </w:rPr>
        <w:t xml:space="preserve"> the fact that these deficiencies in the proceedings that lead to the imposition of the death penalty </w:t>
      </w:r>
      <w:r w:rsidR="006440EE" w:rsidRPr="00C649E1">
        <w:rPr>
          <w:rFonts w:asciiTheme="majorHAnsi" w:hAnsiTheme="majorHAnsi"/>
          <w:sz w:val="20"/>
          <w:szCs w:val="20"/>
        </w:rPr>
        <w:t xml:space="preserve">in Mr. Robinson’s case, </w:t>
      </w:r>
      <w:r w:rsidR="0053303C" w:rsidRPr="00C649E1">
        <w:rPr>
          <w:rFonts w:asciiTheme="majorHAnsi" w:hAnsiTheme="majorHAnsi"/>
          <w:sz w:val="20"/>
          <w:szCs w:val="20"/>
        </w:rPr>
        <w:t>too</w:t>
      </w:r>
      <w:r w:rsidR="003A5923" w:rsidRPr="00C649E1">
        <w:rPr>
          <w:rFonts w:asciiTheme="majorHAnsi" w:hAnsiTheme="majorHAnsi"/>
          <w:sz w:val="20"/>
          <w:szCs w:val="20"/>
        </w:rPr>
        <w:t>k</w:t>
      </w:r>
      <w:r w:rsidR="0053303C" w:rsidRPr="00C649E1">
        <w:rPr>
          <w:rFonts w:asciiTheme="majorHAnsi" w:hAnsiTheme="majorHAnsi"/>
          <w:sz w:val="20"/>
          <w:szCs w:val="20"/>
        </w:rPr>
        <w:t xml:space="preserve"> place</w:t>
      </w:r>
      <w:r w:rsidRPr="00C649E1">
        <w:rPr>
          <w:rFonts w:asciiTheme="majorHAnsi" w:hAnsiTheme="majorHAnsi"/>
          <w:sz w:val="20"/>
          <w:szCs w:val="20"/>
        </w:rPr>
        <w:t xml:space="preserve"> in a proven context of structural racial discrimination in the U.S. criminal justice system. </w:t>
      </w:r>
      <w:r w:rsidR="00DD3438" w:rsidRPr="00C649E1">
        <w:rPr>
          <w:rFonts w:asciiTheme="majorHAnsi" w:hAnsiTheme="majorHAnsi"/>
          <w:bCs/>
          <w:color w:val="auto"/>
          <w:sz w:val="20"/>
          <w:szCs w:val="20"/>
        </w:rPr>
        <w:t xml:space="preserve">Given the accepted existence of statistical disparities based on race at all stages of the criminal justice process, the Commission considers that the courts were on notice of this context and had the obligation to complete a full and fair inquiry into the possibility of racial discrimination in </w:t>
      </w:r>
      <w:r w:rsidR="0080185D" w:rsidRPr="00C649E1">
        <w:rPr>
          <w:rFonts w:asciiTheme="majorHAnsi" w:hAnsiTheme="majorHAnsi"/>
          <w:bCs/>
          <w:color w:val="auto"/>
          <w:sz w:val="20"/>
          <w:szCs w:val="20"/>
        </w:rPr>
        <w:t xml:space="preserve">the capital charging decision and the jury selection. </w:t>
      </w:r>
    </w:p>
    <w:p w14:paraId="46B64E8A" w14:textId="77777777" w:rsidR="00341FC2" w:rsidRPr="00C649E1" w:rsidRDefault="00341FC2" w:rsidP="00341FC2">
      <w:pPr>
        <w:pStyle w:val="ListParagraph"/>
        <w:rPr>
          <w:rFonts w:asciiTheme="majorHAnsi" w:hAnsiTheme="majorHAnsi"/>
          <w:bCs/>
          <w:color w:val="auto"/>
          <w:sz w:val="20"/>
          <w:szCs w:val="20"/>
        </w:rPr>
      </w:pPr>
    </w:p>
    <w:p w14:paraId="5AEFCDDC" w14:textId="77777777" w:rsidR="00DC5B2F" w:rsidRPr="00C649E1" w:rsidRDefault="0080185D" w:rsidP="00DC5B2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 xml:space="preserve">As this Commission has already </w:t>
      </w:r>
      <w:r w:rsidR="00371F74" w:rsidRPr="00C649E1">
        <w:rPr>
          <w:rFonts w:asciiTheme="majorHAnsi" w:hAnsiTheme="majorHAnsi"/>
          <w:bCs/>
          <w:color w:val="auto"/>
          <w:sz w:val="20"/>
          <w:szCs w:val="20"/>
        </w:rPr>
        <w:t>found</w:t>
      </w:r>
      <w:r w:rsidRPr="00C649E1">
        <w:rPr>
          <w:rFonts w:asciiTheme="majorHAnsi" w:hAnsiTheme="majorHAnsi"/>
          <w:bCs/>
          <w:color w:val="auto"/>
          <w:sz w:val="20"/>
          <w:szCs w:val="20"/>
        </w:rPr>
        <w:t xml:space="preserve">, the questions of due process and possible racial discrimination cannot be considered in isolation; it is precisely the deficiencies in due process that have left the possibility of racial discrimination unresolved. </w:t>
      </w:r>
      <w:r w:rsidR="00371F74" w:rsidRPr="00C649E1">
        <w:rPr>
          <w:rFonts w:asciiTheme="majorHAnsi" w:hAnsiTheme="majorHAnsi"/>
          <w:bCs/>
          <w:color w:val="auto"/>
          <w:sz w:val="20"/>
          <w:szCs w:val="20"/>
        </w:rPr>
        <w:t xml:space="preserve">The Commission recalls that the obligation </w:t>
      </w:r>
      <w:r w:rsidR="00216575" w:rsidRPr="00C649E1">
        <w:rPr>
          <w:rFonts w:asciiTheme="majorHAnsi" w:hAnsiTheme="majorHAnsi"/>
          <w:bCs/>
          <w:color w:val="auto"/>
          <w:sz w:val="20"/>
          <w:szCs w:val="20"/>
        </w:rPr>
        <w:t>to</w:t>
      </w:r>
      <w:r w:rsidR="00371F74" w:rsidRPr="00C649E1">
        <w:rPr>
          <w:rFonts w:asciiTheme="majorHAnsi" w:hAnsiTheme="majorHAnsi"/>
          <w:bCs/>
          <w:color w:val="auto"/>
          <w:sz w:val="20"/>
          <w:szCs w:val="20"/>
        </w:rPr>
        <w:t xml:space="preserve"> guarantee</w:t>
      </w:r>
      <w:r w:rsidR="00216575" w:rsidRPr="00C649E1">
        <w:rPr>
          <w:rFonts w:asciiTheme="majorHAnsi" w:hAnsiTheme="majorHAnsi"/>
          <w:bCs/>
          <w:color w:val="auto"/>
          <w:sz w:val="20"/>
          <w:szCs w:val="20"/>
        </w:rPr>
        <w:t xml:space="preserve"> the human rights of individuals</w:t>
      </w:r>
      <w:r w:rsidR="00371F74" w:rsidRPr="00C649E1">
        <w:rPr>
          <w:rFonts w:asciiTheme="majorHAnsi" w:hAnsiTheme="majorHAnsi"/>
          <w:bCs/>
          <w:color w:val="auto"/>
          <w:sz w:val="20"/>
          <w:szCs w:val="20"/>
        </w:rPr>
        <w:t xml:space="preserve"> implies the obligation of the State to </w:t>
      </w:r>
      <w:r w:rsidR="00216575" w:rsidRPr="00C649E1">
        <w:rPr>
          <w:rFonts w:asciiTheme="majorHAnsi" w:hAnsiTheme="majorHAnsi"/>
          <w:bCs/>
          <w:color w:val="auto"/>
          <w:sz w:val="20"/>
          <w:szCs w:val="20"/>
        </w:rPr>
        <w:t xml:space="preserve">take all necessary measures to </w:t>
      </w:r>
      <w:r w:rsidR="00371F74" w:rsidRPr="00C649E1">
        <w:rPr>
          <w:rFonts w:asciiTheme="majorHAnsi" w:hAnsiTheme="majorHAnsi"/>
          <w:bCs/>
          <w:color w:val="auto"/>
          <w:sz w:val="20"/>
          <w:szCs w:val="20"/>
        </w:rPr>
        <w:t xml:space="preserve">remove the obstacles that may exist for individuals to enjoy the rights </w:t>
      </w:r>
      <w:r w:rsidR="00216575" w:rsidRPr="00C649E1">
        <w:rPr>
          <w:rFonts w:asciiTheme="majorHAnsi" w:hAnsiTheme="majorHAnsi"/>
          <w:bCs/>
          <w:color w:val="auto"/>
          <w:sz w:val="20"/>
          <w:szCs w:val="20"/>
        </w:rPr>
        <w:t>recognized in</w:t>
      </w:r>
      <w:r w:rsidR="00371F74" w:rsidRPr="00C649E1">
        <w:rPr>
          <w:rFonts w:asciiTheme="majorHAnsi" w:hAnsiTheme="majorHAnsi"/>
          <w:bCs/>
          <w:color w:val="auto"/>
          <w:sz w:val="20"/>
          <w:szCs w:val="20"/>
        </w:rPr>
        <w:t xml:space="preserve"> the American </w:t>
      </w:r>
      <w:r w:rsidR="00216575" w:rsidRPr="00C649E1">
        <w:rPr>
          <w:rFonts w:asciiTheme="majorHAnsi" w:hAnsiTheme="majorHAnsi"/>
          <w:bCs/>
          <w:color w:val="auto"/>
          <w:sz w:val="20"/>
          <w:szCs w:val="20"/>
        </w:rPr>
        <w:t>Declaration</w:t>
      </w:r>
      <w:r w:rsidR="00371F74" w:rsidRPr="00C649E1">
        <w:rPr>
          <w:rFonts w:asciiTheme="majorHAnsi" w:hAnsiTheme="majorHAnsi"/>
          <w:bCs/>
          <w:color w:val="auto"/>
          <w:sz w:val="20"/>
          <w:szCs w:val="20"/>
        </w:rPr>
        <w:t>.</w:t>
      </w:r>
      <w:r w:rsidR="00216575" w:rsidRPr="00C649E1">
        <w:rPr>
          <w:rFonts w:asciiTheme="majorHAnsi" w:hAnsiTheme="majorHAnsi"/>
          <w:bCs/>
          <w:color w:val="auto"/>
          <w:sz w:val="20"/>
          <w:szCs w:val="20"/>
        </w:rPr>
        <w:t xml:space="preserve"> </w:t>
      </w:r>
    </w:p>
    <w:p w14:paraId="3CB966EF" w14:textId="77777777" w:rsidR="00DC5B2F" w:rsidRPr="00C649E1" w:rsidRDefault="00DC5B2F" w:rsidP="00DC5B2F">
      <w:pPr>
        <w:pStyle w:val="ListParagraph"/>
        <w:rPr>
          <w:rFonts w:asciiTheme="majorHAnsi" w:hAnsiTheme="majorHAnsi"/>
          <w:bCs/>
          <w:color w:val="auto"/>
          <w:sz w:val="20"/>
          <w:szCs w:val="20"/>
        </w:rPr>
      </w:pPr>
    </w:p>
    <w:p w14:paraId="2FAEBBE3" w14:textId="77777777" w:rsidR="00F30608" w:rsidRPr="00C649E1" w:rsidRDefault="00DC5B2F" w:rsidP="00F3060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 xml:space="preserve">In its report on Police Violence Against Afro-descendants in the United States mentioned above, the </w:t>
      </w:r>
      <w:r w:rsidR="00F30608" w:rsidRPr="00C649E1">
        <w:rPr>
          <w:rFonts w:asciiTheme="majorHAnsi" w:hAnsiTheme="majorHAnsi"/>
          <w:bCs/>
          <w:color w:val="auto"/>
          <w:sz w:val="20"/>
          <w:szCs w:val="20"/>
        </w:rPr>
        <w:t>Commission note</w:t>
      </w:r>
      <w:r w:rsidRPr="00C649E1">
        <w:rPr>
          <w:rFonts w:asciiTheme="majorHAnsi" w:hAnsiTheme="majorHAnsi"/>
          <w:bCs/>
          <w:color w:val="auto"/>
          <w:sz w:val="20"/>
          <w:szCs w:val="20"/>
        </w:rPr>
        <w:t>d</w:t>
      </w:r>
      <w:r w:rsidR="00F30608" w:rsidRPr="00C649E1">
        <w:rPr>
          <w:rFonts w:asciiTheme="majorHAnsi" w:hAnsiTheme="majorHAnsi"/>
          <w:bCs/>
          <w:color w:val="auto"/>
          <w:sz w:val="20"/>
          <w:szCs w:val="20"/>
        </w:rPr>
        <w:t xml:space="preserve"> and echoe</w:t>
      </w:r>
      <w:r w:rsidRPr="00C649E1">
        <w:rPr>
          <w:rFonts w:asciiTheme="majorHAnsi" w:hAnsiTheme="majorHAnsi"/>
          <w:bCs/>
          <w:color w:val="auto"/>
          <w:sz w:val="20"/>
          <w:szCs w:val="20"/>
        </w:rPr>
        <w:t>d</w:t>
      </w:r>
      <w:r w:rsidR="00F30608" w:rsidRPr="00C649E1">
        <w:rPr>
          <w:rFonts w:asciiTheme="majorHAnsi" w:hAnsiTheme="majorHAnsi"/>
          <w:bCs/>
          <w:color w:val="auto"/>
          <w:sz w:val="20"/>
          <w:szCs w:val="20"/>
        </w:rPr>
        <w:t xml:space="preserve"> </w:t>
      </w:r>
      <w:r w:rsidRPr="00C649E1">
        <w:rPr>
          <w:rFonts w:asciiTheme="majorHAnsi" w:hAnsiTheme="majorHAnsi"/>
          <w:bCs/>
          <w:color w:val="auto"/>
          <w:sz w:val="20"/>
          <w:szCs w:val="20"/>
        </w:rPr>
        <w:t>“</w:t>
      </w:r>
      <w:r w:rsidR="00F30608" w:rsidRPr="00C649E1">
        <w:rPr>
          <w:rFonts w:asciiTheme="majorHAnsi" w:hAnsiTheme="majorHAnsi"/>
          <w:bCs/>
          <w:color w:val="auto"/>
          <w:sz w:val="20"/>
          <w:szCs w:val="20"/>
        </w:rPr>
        <w:t>concerns by the CERD about the limited scope and applicability of the disparate impact doctrine in the U.S.; in particular, that it is out of line with the State’s duty to “prohibit and eliminate racial discrimination in all its forms, including practices and legislation that may not be discriminatory in purpose, but are discriminatory in effect.”</w:t>
      </w:r>
      <w:r w:rsidRPr="00C649E1">
        <w:rPr>
          <w:rFonts w:asciiTheme="majorHAnsi" w:hAnsiTheme="majorHAnsi"/>
          <w:bCs/>
          <w:color w:val="auto"/>
          <w:sz w:val="20"/>
          <w:szCs w:val="20"/>
        </w:rPr>
        <w:t>”</w:t>
      </w:r>
      <w:r w:rsidR="00F30608" w:rsidRPr="00C649E1">
        <w:rPr>
          <w:rFonts w:asciiTheme="majorHAnsi" w:hAnsiTheme="majorHAnsi"/>
          <w:bCs/>
          <w:color w:val="auto"/>
          <w:sz w:val="20"/>
          <w:szCs w:val="20"/>
        </w:rPr>
        <w:t xml:space="preserve"> The Commission reiterates the United States’ obligation to adopt all legal and administrative measures necessary in order to recognize and guarantee the effective equality of all persons before the law.</w:t>
      </w:r>
    </w:p>
    <w:p w14:paraId="5D6ABDDE" w14:textId="77777777" w:rsidR="00F30608" w:rsidRPr="00C649E1" w:rsidRDefault="00F30608" w:rsidP="00F30608">
      <w:pPr>
        <w:pStyle w:val="ListParagraph"/>
        <w:rPr>
          <w:rFonts w:asciiTheme="majorHAnsi" w:hAnsiTheme="majorHAnsi"/>
          <w:bCs/>
          <w:color w:val="auto"/>
          <w:sz w:val="20"/>
          <w:szCs w:val="20"/>
        </w:rPr>
      </w:pPr>
    </w:p>
    <w:p w14:paraId="6302D5A6" w14:textId="77777777" w:rsidR="0080185D" w:rsidRPr="00C649E1" w:rsidRDefault="0080185D" w:rsidP="00341FC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 xml:space="preserve">It is on that basis that the </w:t>
      </w:r>
      <w:r w:rsidR="00F30608" w:rsidRPr="00C649E1">
        <w:rPr>
          <w:rFonts w:asciiTheme="majorHAnsi" w:hAnsiTheme="majorHAnsi"/>
          <w:bCs/>
          <w:color w:val="auto"/>
          <w:sz w:val="20"/>
          <w:szCs w:val="20"/>
        </w:rPr>
        <w:t xml:space="preserve">IACHR concludes that the </w:t>
      </w:r>
      <w:r w:rsidRPr="00C649E1">
        <w:rPr>
          <w:rFonts w:asciiTheme="majorHAnsi" w:hAnsiTheme="majorHAnsi"/>
          <w:bCs/>
          <w:color w:val="auto"/>
          <w:sz w:val="20"/>
          <w:szCs w:val="20"/>
        </w:rPr>
        <w:t xml:space="preserve">United States is responsible for failing to fully respond to the allegations </w:t>
      </w:r>
      <w:r w:rsidR="00472060" w:rsidRPr="00C649E1">
        <w:rPr>
          <w:rFonts w:asciiTheme="majorHAnsi" w:hAnsiTheme="majorHAnsi"/>
          <w:bCs/>
          <w:color w:val="auto"/>
          <w:sz w:val="20"/>
          <w:szCs w:val="20"/>
        </w:rPr>
        <w:t>of</w:t>
      </w:r>
      <w:r w:rsidRPr="00C649E1">
        <w:rPr>
          <w:rFonts w:asciiTheme="majorHAnsi" w:hAnsiTheme="majorHAnsi"/>
          <w:bCs/>
          <w:color w:val="auto"/>
          <w:sz w:val="20"/>
          <w:szCs w:val="20"/>
        </w:rPr>
        <w:t xml:space="preserve"> racial discrimination raised throughout </w:t>
      </w:r>
      <w:r w:rsidR="009A4920" w:rsidRPr="00C649E1">
        <w:rPr>
          <w:rFonts w:asciiTheme="majorHAnsi" w:hAnsiTheme="majorHAnsi"/>
          <w:bCs/>
          <w:color w:val="auto"/>
          <w:sz w:val="20"/>
          <w:szCs w:val="20"/>
        </w:rPr>
        <w:t>Mr. Robinson’s proceedings</w:t>
      </w:r>
      <w:r w:rsidRPr="00C649E1">
        <w:rPr>
          <w:rFonts w:asciiTheme="majorHAnsi" w:hAnsiTheme="majorHAnsi"/>
          <w:bCs/>
          <w:color w:val="auto"/>
          <w:sz w:val="20"/>
          <w:szCs w:val="20"/>
        </w:rPr>
        <w:t xml:space="preserve"> pursuant to its obligations under Article II of the American Declaration.</w:t>
      </w:r>
      <w:r w:rsidR="00341FC2" w:rsidRPr="00C649E1">
        <w:rPr>
          <w:rFonts w:asciiTheme="majorHAnsi" w:hAnsiTheme="majorHAnsi"/>
          <w:bCs/>
          <w:color w:val="auto"/>
          <w:sz w:val="20"/>
          <w:szCs w:val="20"/>
        </w:rPr>
        <w:t xml:space="preserve"> </w:t>
      </w:r>
      <w:r w:rsidR="00341FC2" w:rsidRPr="00C649E1">
        <w:rPr>
          <w:rFonts w:asciiTheme="majorHAnsi" w:hAnsiTheme="majorHAnsi"/>
          <w:sz w:val="20"/>
          <w:szCs w:val="20"/>
        </w:rPr>
        <w:t xml:space="preserve">The IACHR also finds that Mr. Robinson’s lack of access to an effective remedy with regard to the allegations of racial discrimination amounts to a violation of Article XVIII of the American Declaration. </w:t>
      </w:r>
    </w:p>
    <w:p w14:paraId="7ECB1FA3" w14:textId="77777777" w:rsidR="003F1DE3" w:rsidRDefault="003F1DE3" w:rsidP="003F1DE3">
      <w:pPr>
        <w:pStyle w:val="ListParagraph"/>
        <w:rPr>
          <w:rFonts w:asciiTheme="majorHAnsi" w:hAnsiTheme="majorHAnsi"/>
          <w:sz w:val="20"/>
          <w:szCs w:val="20"/>
        </w:rPr>
      </w:pPr>
    </w:p>
    <w:p w14:paraId="5189A45A" w14:textId="77777777" w:rsidR="006B1EDA" w:rsidRDefault="006B1EDA" w:rsidP="003F1DE3">
      <w:pPr>
        <w:pStyle w:val="ListParagraph"/>
        <w:rPr>
          <w:rFonts w:asciiTheme="majorHAnsi" w:hAnsiTheme="majorHAnsi"/>
          <w:sz w:val="20"/>
          <w:szCs w:val="20"/>
        </w:rPr>
      </w:pPr>
    </w:p>
    <w:p w14:paraId="2872FF84" w14:textId="77777777" w:rsidR="006B1EDA" w:rsidRPr="00C649E1" w:rsidRDefault="006B1EDA" w:rsidP="003F1DE3">
      <w:pPr>
        <w:pStyle w:val="ListParagraph"/>
        <w:rPr>
          <w:rFonts w:asciiTheme="majorHAnsi" w:hAnsiTheme="majorHAnsi"/>
          <w:sz w:val="20"/>
          <w:szCs w:val="20"/>
        </w:rPr>
      </w:pPr>
    </w:p>
    <w:p w14:paraId="5EC1373B" w14:textId="77777777" w:rsidR="00677DA7" w:rsidRPr="00C649E1" w:rsidRDefault="00582D0D" w:rsidP="009C6457">
      <w:pPr>
        <w:pStyle w:val="Heading2"/>
        <w:numPr>
          <w:ilvl w:val="0"/>
          <w:numId w:val="61"/>
        </w:numPr>
        <w:tabs>
          <w:tab w:val="left" w:pos="360"/>
        </w:tabs>
        <w:spacing w:before="0"/>
        <w:ind w:left="0" w:firstLine="0"/>
        <w:jc w:val="both"/>
        <w:rPr>
          <w:color w:val="auto"/>
          <w:sz w:val="20"/>
          <w:szCs w:val="20"/>
        </w:rPr>
      </w:pPr>
      <w:bookmarkStart w:id="73" w:name="_Toc22915025"/>
      <w:bookmarkStart w:id="74" w:name="_Toc45105392"/>
      <w:bookmarkStart w:id="75" w:name="_Toc70417430"/>
      <w:r w:rsidRPr="00C649E1">
        <w:rPr>
          <w:color w:val="auto"/>
          <w:sz w:val="20"/>
          <w:szCs w:val="20"/>
        </w:rPr>
        <w:lastRenderedPageBreak/>
        <w:t>R</w:t>
      </w:r>
      <w:r w:rsidR="00AB2ECE" w:rsidRPr="00C649E1">
        <w:rPr>
          <w:color w:val="auto"/>
          <w:sz w:val="20"/>
          <w:szCs w:val="20"/>
        </w:rPr>
        <w:t>ight to a fair trial</w:t>
      </w:r>
      <w:r w:rsidR="00F61B4C" w:rsidRPr="00C649E1">
        <w:rPr>
          <w:rStyle w:val="FootnoteReference"/>
          <w:color w:val="auto"/>
          <w:sz w:val="20"/>
          <w:szCs w:val="20"/>
        </w:rPr>
        <w:footnoteReference w:id="65"/>
      </w:r>
      <w:r w:rsidR="002E3921" w:rsidRPr="00C649E1">
        <w:rPr>
          <w:color w:val="auto"/>
          <w:sz w:val="20"/>
          <w:szCs w:val="20"/>
        </w:rPr>
        <w:t xml:space="preserve"> </w:t>
      </w:r>
      <w:r w:rsidR="00BE66B0" w:rsidRPr="00C649E1">
        <w:rPr>
          <w:color w:val="auto"/>
          <w:sz w:val="20"/>
          <w:szCs w:val="20"/>
        </w:rPr>
        <w:t>and</w:t>
      </w:r>
      <w:r w:rsidR="00AB2ECE" w:rsidRPr="00C649E1">
        <w:rPr>
          <w:color w:val="auto"/>
          <w:sz w:val="20"/>
          <w:szCs w:val="20"/>
        </w:rPr>
        <w:t xml:space="preserve"> </w:t>
      </w:r>
      <w:r w:rsidR="00B55F23" w:rsidRPr="00C649E1">
        <w:rPr>
          <w:color w:val="auto"/>
          <w:sz w:val="20"/>
          <w:szCs w:val="20"/>
        </w:rPr>
        <w:t>right to due process of law</w:t>
      </w:r>
      <w:r w:rsidR="00F61B4C" w:rsidRPr="00C649E1">
        <w:rPr>
          <w:rStyle w:val="FootnoteReference"/>
          <w:color w:val="auto"/>
          <w:sz w:val="20"/>
          <w:szCs w:val="20"/>
        </w:rPr>
        <w:footnoteReference w:id="66"/>
      </w:r>
      <w:bookmarkEnd w:id="73"/>
      <w:bookmarkEnd w:id="74"/>
      <w:bookmarkEnd w:id="75"/>
      <w:r w:rsidR="00B55F23" w:rsidRPr="00C649E1">
        <w:rPr>
          <w:color w:val="auto"/>
          <w:sz w:val="20"/>
          <w:szCs w:val="20"/>
        </w:rPr>
        <w:t xml:space="preserve"> </w:t>
      </w:r>
    </w:p>
    <w:p w14:paraId="3570A8D4" w14:textId="77777777" w:rsidR="002C6C33" w:rsidRPr="00C649E1" w:rsidRDefault="002C6C33" w:rsidP="002C6C33">
      <w:pPr>
        <w:pStyle w:val="NormalWeb"/>
        <w:shd w:val="clear" w:color="auto" w:fill="FFFFFF"/>
        <w:tabs>
          <w:tab w:val="left" w:pos="360"/>
        </w:tabs>
        <w:spacing w:before="0" w:beforeAutospacing="0" w:after="0" w:afterAutospacing="0"/>
        <w:jc w:val="both"/>
        <w:rPr>
          <w:rFonts w:asciiTheme="majorHAnsi" w:hAnsiTheme="majorHAnsi"/>
          <w:sz w:val="20"/>
          <w:szCs w:val="20"/>
        </w:rPr>
      </w:pPr>
    </w:p>
    <w:p w14:paraId="3E09910D" w14:textId="77777777" w:rsidR="00194646" w:rsidRPr="00C649E1" w:rsidRDefault="00575CF4" w:rsidP="00194646">
      <w:pPr>
        <w:pStyle w:val="Heading3"/>
        <w:numPr>
          <w:ilvl w:val="1"/>
          <w:numId w:val="53"/>
        </w:numPr>
        <w:spacing w:before="0"/>
        <w:ind w:left="360"/>
        <w:rPr>
          <w:color w:val="auto"/>
          <w:sz w:val="20"/>
          <w:szCs w:val="20"/>
        </w:rPr>
      </w:pPr>
      <w:bookmarkStart w:id="76" w:name="_Toc22915026"/>
      <w:bookmarkStart w:id="77" w:name="_Toc45105393"/>
      <w:bookmarkStart w:id="78" w:name="_Toc70417431"/>
      <w:r w:rsidRPr="00C649E1">
        <w:rPr>
          <w:color w:val="auto"/>
          <w:sz w:val="20"/>
          <w:szCs w:val="20"/>
        </w:rPr>
        <w:t xml:space="preserve">Use of unadjudicated offenses </w:t>
      </w:r>
      <w:r w:rsidR="00194646" w:rsidRPr="00C649E1">
        <w:rPr>
          <w:color w:val="auto"/>
          <w:sz w:val="20"/>
          <w:szCs w:val="20"/>
        </w:rPr>
        <w:t>and future dangerousness in the imposition of the death penalty</w:t>
      </w:r>
      <w:bookmarkEnd w:id="76"/>
      <w:bookmarkEnd w:id="77"/>
      <w:bookmarkEnd w:id="78"/>
    </w:p>
    <w:p w14:paraId="100E76DE" w14:textId="77777777" w:rsidR="00194646" w:rsidRPr="00C649E1" w:rsidRDefault="00194646" w:rsidP="00575CF4">
      <w:pPr>
        <w:rPr>
          <w:rFonts w:asciiTheme="majorHAnsi" w:hAnsiTheme="majorHAnsi"/>
          <w:sz w:val="20"/>
          <w:szCs w:val="20"/>
        </w:rPr>
      </w:pPr>
    </w:p>
    <w:p w14:paraId="15F2DFA5" w14:textId="77777777" w:rsidR="00025656" w:rsidRPr="00C649E1" w:rsidRDefault="00575CF4" w:rsidP="00B729D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 xml:space="preserve">In the case of Juan Raul Garza, who was tried and convicted by a jury in Texas under federal law on three counts of killing in a continuing criminal enterprise, the IACHR </w:t>
      </w:r>
      <w:r w:rsidR="00333A23" w:rsidRPr="00C649E1">
        <w:rPr>
          <w:rFonts w:asciiTheme="majorHAnsi" w:hAnsiTheme="majorHAnsi"/>
          <w:bCs/>
          <w:color w:val="auto"/>
          <w:sz w:val="20"/>
          <w:szCs w:val="20"/>
        </w:rPr>
        <w:t>found that the State’s conduct in introducing evidence of unadjudicated crimes during the capital sentencing hearing was contrary to Mr. Garza’s right to a fair trial, as well as his right to due process of law under Articles XVIII and XXVI of the American Declaration.</w:t>
      </w:r>
      <w:r w:rsidR="00333A23" w:rsidRPr="00C649E1">
        <w:rPr>
          <w:rStyle w:val="FootnoteReference"/>
          <w:rFonts w:asciiTheme="majorHAnsi" w:hAnsiTheme="majorHAnsi"/>
          <w:sz w:val="20"/>
          <w:szCs w:val="20"/>
        </w:rPr>
        <w:footnoteReference w:id="67"/>
      </w:r>
      <w:r w:rsidR="00333A23" w:rsidRPr="00C649E1">
        <w:rPr>
          <w:rFonts w:asciiTheme="majorHAnsi" w:hAnsiTheme="majorHAnsi"/>
          <w:bCs/>
          <w:color w:val="auto"/>
          <w:sz w:val="20"/>
          <w:szCs w:val="20"/>
        </w:rPr>
        <w:t xml:space="preserve"> </w:t>
      </w:r>
      <w:r w:rsidR="00025656" w:rsidRPr="00C649E1">
        <w:rPr>
          <w:rFonts w:asciiTheme="majorHAnsi" w:hAnsiTheme="majorHAnsi"/>
          <w:bCs/>
          <w:color w:val="auto"/>
          <w:sz w:val="20"/>
          <w:szCs w:val="20"/>
        </w:rPr>
        <w:t>This was the first case in which the Commission considered the compatibility with the American Declaration of the use of evidence of unadjudicated offenses during the punishment phase of capital proceedings.</w:t>
      </w:r>
    </w:p>
    <w:p w14:paraId="217A6AE0" w14:textId="77777777" w:rsidR="00025656" w:rsidRPr="00C649E1" w:rsidRDefault="00025656" w:rsidP="00B729D4">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7062D41C" w14:textId="77777777" w:rsidR="0003108C" w:rsidRPr="00C649E1" w:rsidRDefault="00025656" w:rsidP="00B729D4">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rFonts w:asciiTheme="majorHAnsi" w:hAnsiTheme="majorHAnsi"/>
          <w:bCs/>
          <w:color w:val="auto"/>
          <w:sz w:val="20"/>
          <w:szCs w:val="20"/>
        </w:rPr>
      </w:pPr>
      <w:r w:rsidRPr="00C649E1">
        <w:rPr>
          <w:rFonts w:asciiTheme="majorHAnsi" w:hAnsiTheme="majorHAnsi"/>
          <w:bCs/>
          <w:color w:val="auto"/>
          <w:sz w:val="20"/>
          <w:szCs w:val="20"/>
        </w:rPr>
        <w:t>T</w:t>
      </w:r>
      <w:r w:rsidR="007C3FA6" w:rsidRPr="00C649E1">
        <w:rPr>
          <w:rFonts w:asciiTheme="majorHAnsi" w:hAnsiTheme="majorHAnsi"/>
          <w:bCs/>
          <w:color w:val="auto"/>
          <w:sz w:val="20"/>
          <w:szCs w:val="20"/>
        </w:rPr>
        <w:t xml:space="preserve">he IACHR </w:t>
      </w:r>
      <w:r w:rsidRPr="00C649E1">
        <w:rPr>
          <w:rFonts w:asciiTheme="majorHAnsi" w:hAnsiTheme="majorHAnsi"/>
          <w:bCs/>
          <w:color w:val="auto"/>
          <w:sz w:val="20"/>
          <w:szCs w:val="20"/>
        </w:rPr>
        <w:t>established that</w:t>
      </w:r>
      <w:r w:rsidR="007C3FA6" w:rsidRPr="00C649E1">
        <w:rPr>
          <w:rFonts w:asciiTheme="majorHAnsi" w:hAnsiTheme="majorHAnsi"/>
          <w:bCs/>
          <w:color w:val="auto"/>
          <w:sz w:val="20"/>
          <w:szCs w:val="20"/>
        </w:rPr>
        <w:t xml:space="preserve"> “a significant and substantive distinction exists between the introduction of evidence of mitigating and aggravating factors concerning the circumstances of an offender or his or her offense” and the introduction of evidence designed to demonstrate dangerousness based on culpability for prior offenses that were never adjudicated.</w:t>
      </w:r>
      <w:r w:rsidRPr="00C649E1">
        <w:rPr>
          <w:rStyle w:val="FootnoteReference"/>
          <w:rFonts w:asciiTheme="majorHAnsi" w:hAnsiTheme="majorHAnsi"/>
          <w:sz w:val="20"/>
          <w:szCs w:val="20"/>
        </w:rPr>
        <w:footnoteReference w:id="68"/>
      </w:r>
      <w:r w:rsidRPr="00C649E1">
        <w:rPr>
          <w:rStyle w:val="FootnoteReference"/>
        </w:rPr>
        <w:t xml:space="preserve"> </w:t>
      </w:r>
      <w:r w:rsidR="00333A23" w:rsidRPr="00C649E1">
        <w:rPr>
          <w:rFonts w:asciiTheme="majorHAnsi" w:hAnsiTheme="majorHAnsi"/>
          <w:bCs/>
          <w:color w:val="auto"/>
          <w:sz w:val="20"/>
          <w:szCs w:val="20"/>
        </w:rPr>
        <w:t>The Commission r</w:t>
      </w:r>
      <w:r w:rsidR="00575CF4" w:rsidRPr="00C649E1">
        <w:rPr>
          <w:rFonts w:asciiTheme="majorHAnsi" w:hAnsiTheme="majorHAnsi"/>
          <w:bCs/>
          <w:color w:val="auto"/>
          <w:sz w:val="20"/>
          <w:szCs w:val="20"/>
        </w:rPr>
        <w:t xml:space="preserve">ecommended the </w:t>
      </w:r>
      <w:r w:rsidR="00333A23" w:rsidRPr="00C649E1">
        <w:rPr>
          <w:rFonts w:asciiTheme="majorHAnsi" w:hAnsiTheme="majorHAnsi"/>
          <w:bCs/>
          <w:color w:val="auto"/>
          <w:sz w:val="20"/>
          <w:szCs w:val="20"/>
        </w:rPr>
        <w:t xml:space="preserve">United </w:t>
      </w:r>
      <w:r w:rsidR="00575CF4" w:rsidRPr="00C649E1">
        <w:rPr>
          <w:rFonts w:asciiTheme="majorHAnsi" w:hAnsiTheme="majorHAnsi"/>
          <w:bCs/>
          <w:color w:val="auto"/>
          <w:sz w:val="20"/>
          <w:szCs w:val="20"/>
        </w:rPr>
        <w:t>State</w:t>
      </w:r>
      <w:r w:rsidR="00333A23" w:rsidRPr="00C649E1">
        <w:rPr>
          <w:rFonts w:asciiTheme="majorHAnsi" w:hAnsiTheme="majorHAnsi"/>
          <w:bCs/>
          <w:color w:val="auto"/>
          <w:sz w:val="20"/>
          <w:szCs w:val="20"/>
        </w:rPr>
        <w:t>s</w:t>
      </w:r>
      <w:r w:rsidR="00AE72C0" w:rsidRPr="00C649E1">
        <w:rPr>
          <w:rFonts w:asciiTheme="majorHAnsi" w:hAnsiTheme="majorHAnsi"/>
          <w:bCs/>
          <w:color w:val="auto"/>
          <w:sz w:val="20"/>
          <w:szCs w:val="20"/>
        </w:rPr>
        <w:t xml:space="preserve"> to</w:t>
      </w:r>
      <w:r w:rsidR="00575CF4" w:rsidRPr="00C649E1">
        <w:rPr>
          <w:rFonts w:asciiTheme="majorHAnsi" w:hAnsiTheme="majorHAnsi"/>
          <w:bCs/>
          <w:color w:val="auto"/>
          <w:sz w:val="20"/>
          <w:szCs w:val="20"/>
        </w:rPr>
        <w:t xml:space="preserve"> prohibit the introduction of evidence of unadjudicated crimes during the sentencing phase of capital trials.</w:t>
      </w:r>
      <w:r w:rsidR="0003108C" w:rsidRPr="00C649E1">
        <w:rPr>
          <w:rFonts w:asciiTheme="majorHAnsi" w:hAnsiTheme="majorHAnsi"/>
          <w:bCs/>
          <w:color w:val="auto"/>
          <w:sz w:val="20"/>
          <w:szCs w:val="20"/>
        </w:rPr>
        <w:t> </w:t>
      </w:r>
      <w:r w:rsidR="00E46CD5" w:rsidRPr="00C649E1">
        <w:rPr>
          <w:rFonts w:asciiTheme="majorHAnsi" w:hAnsiTheme="majorHAnsi"/>
          <w:bCs/>
          <w:color w:val="auto"/>
          <w:sz w:val="20"/>
          <w:szCs w:val="20"/>
        </w:rPr>
        <w:t>In the case</w:t>
      </w:r>
      <w:r w:rsidR="00383799" w:rsidRPr="00C649E1">
        <w:rPr>
          <w:rFonts w:asciiTheme="majorHAnsi" w:hAnsiTheme="majorHAnsi"/>
          <w:bCs/>
          <w:color w:val="auto"/>
          <w:sz w:val="20"/>
          <w:szCs w:val="20"/>
        </w:rPr>
        <w:t>s</w:t>
      </w:r>
      <w:r w:rsidR="00E46CD5" w:rsidRPr="00C649E1">
        <w:rPr>
          <w:rFonts w:asciiTheme="majorHAnsi" w:hAnsiTheme="majorHAnsi"/>
          <w:bCs/>
          <w:color w:val="auto"/>
          <w:sz w:val="20"/>
          <w:szCs w:val="20"/>
        </w:rPr>
        <w:t xml:space="preserve"> of Javier Suarez Medina,</w:t>
      </w:r>
      <w:r w:rsidR="00436A04" w:rsidRPr="00C649E1">
        <w:rPr>
          <w:rFonts w:asciiTheme="majorHAnsi" w:hAnsiTheme="majorHAnsi"/>
          <w:bCs/>
          <w:color w:val="auto"/>
          <w:sz w:val="20"/>
          <w:szCs w:val="20"/>
        </w:rPr>
        <w:t xml:space="preserve"> Humberto</w:t>
      </w:r>
      <w:r w:rsidR="00E46CD5" w:rsidRPr="00C649E1">
        <w:rPr>
          <w:rFonts w:asciiTheme="majorHAnsi" w:hAnsiTheme="majorHAnsi"/>
          <w:bCs/>
          <w:color w:val="auto"/>
          <w:sz w:val="20"/>
          <w:szCs w:val="20"/>
        </w:rPr>
        <w:t xml:space="preserve"> </w:t>
      </w:r>
      <w:r w:rsidR="00436A04" w:rsidRPr="00C649E1">
        <w:rPr>
          <w:rFonts w:asciiTheme="majorHAnsi" w:hAnsiTheme="majorHAnsi"/>
          <w:bCs/>
          <w:color w:val="auto"/>
          <w:sz w:val="20"/>
          <w:szCs w:val="20"/>
        </w:rPr>
        <w:t xml:space="preserve">Leal Garcia, </w:t>
      </w:r>
      <w:r w:rsidR="00383799" w:rsidRPr="00C649E1">
        <w:rPr>
          <w:rFonts w:asciiTheme="majorHAnsi" w:hAnsiTheme="majorHAnsi"/>
          <w:bCs/>
          <w:color w:val="auto"/>
          <w:sz w:val="20"/>
          <w:szCs w:val="20"/>
        </w:rPr>
        <w:t xml:space="preserve">Bernardo Aban Tercero, </w:t>
      </w:r>
      <w:r w:rsidR="00E46CD5" w:rsidRPr="00C649E1">
        <w:rPr>
          <w:rFonts w:asciiTheme="majorHAnsi" w:hAnsiTheme="majorHAnsi"/>
          <w:bCs/>
          <w:color w:val="auto"/>
          <w:sz w:val="20"/>
          <w:szCs w:val="20"/>
        </w:rPr>
        <w:t>who w</w:t>
      </w:r>
      <w:r w:rsidR="00383799" w:rsidRPr="00C649E1">
        <w:rPr>
          <w:rFonts w:asciiTheme="majorHAnsi" w:hAnsiTheme="majorHAnsi"/>
          <w:bCs/>
          <w:color w:val="auto"/>
          <w:sz w:val="20"/>
          <w:szCs w:val="20"/>
        </w:rPr>
        <w:t>ere</w:t>
      </w:r>
      <w:r w:rsidR="00E46CD5" w:rsidRPr="00C649E1">
        <w:rPr>
          <w:rFonts w:asciiTheme="majorHAnsi" w:hAnsiTheme="majorHAnsi"/>
          <w:bCs/>
          <w:color w:val="auto"/>
          <w:sz w:val="20"/>
          <w:szCs w:val="20"/>
        </w:rPr>
        <w:t xml:space="preserve"> convicted and sentenced to the death penalty in Texas, the IACHR reached the same conclusion.</w:t>
      </w:r>
      <w:r w:rsidR="00E46CD5" w:rsidRPr="00C649E1">
        <w:rPr>
          <w:rStyle w:val="FootnoteReference"/>
          <w:rFonts w:asciiTheme="majorHAnsi" w:hAnsiTheme="majorHAnsi"/>
          <w:sz w:val="20"/>
          <w:szCs w:val="20"/>
        </w:rPr>
        <w:footnoteReference w:id="69"/>
      </w:r>
    </w:p>
    <w:p w14:paraId="1A7033FB" w14:textId="77777777" w:rsidR="00383799" w:rsidRPr="00C649E1" w:rsidRDefault="00383799" w:rsidP="00575CF4">
      <w:pPr>
        <w:jc w:val="both"/>
        <w:rPr>
          <w:rFonts w:asciiTheme="majorHAnsi" w:hAnsiTheme="majorHAnsi"/>
          <w:sz w:val="20"/>
          <w:szCs w:val="20"/>
        </w:rPr>
      </w:pPr>
    </w:p>
    <w:p w14:paraId="5D86D6C2" w14:textId="77777777" w:rsidR="002C312A" w:rsidRPr="00C649E1" w:rsidRDefault="005A792E" w:rsidP="00CA2E59">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rPr>
      </w:pPr>
      <w:r w:rsidRPr="00C649E1">
        <w:rPr>
          <w:rFonts w:asciiTheme="majorHAnsi" w:hAnsiTheme="majorHAnsi"/>
          <w:bCs/>
          <w:color w:val="auto"/>
          <w:sz w:val="20"/>
          <w:szCs w:val="20"/>
        </w:rPr>
        <w:t xml:space="preserve">Texas is one of two states in the United States in which capital sentencing juries are required to find that defendants pose a continuing threat to society before they may impose the death penalty. </w:t>
      </w:r>
      <w:r w:rsidR="00CA2E59" w:rsidRPr="00C649E1">
        <w:rPr>
          <w:rFonts w:asciiTheme="majorHAnsi" w:hAnsiTheme="majorHAnsi"/>
          <w:bCs/>
          <w:sz w:val="20"/>
          <w:szCs w:val="20"/>
        </w:rPr>
        <w:t>As</w:t>
      </w:r>
      <w:r w:rsidR="00CA2E59" w:rsidRPr="00C649E1">
        <w:rPr>
          <w:rFonts w:asciiTheme="majorHAnsi" w:hAnsiTheme="majorHAnsi"/>
          <w:bCs/>
          <w:color w:val="auto"/>
          <w:sz w:val="20"/>
          <w:szCs w:val="20"/>
        </w:rPr>
        <w:t xml:space="preserve"> this Commission has noted,</w:t>
      </w:r>
      <w:r w:rsidR="00CA2E59" w:rsidRPr="00C649E1">
        <w:rPr>
          <w:sz w:val="20"/>
        </w:rPr>
        <w:t xml:space="preserve"> studies point to the lack of reliability of predictions of future dangerousness.</w:t>
      </w:r>
      <w:r w:rsidR="00CA2E59" w:rsidRPr="00C649E1">
        <w:rPr>
          <w:rStyle w:val="FootnoteReference"/>
          <w:sz w:val="20"/>
        </w:rPr>
        <w:footnoteReference w:id="70"/>
      </w:r>
      <w:r w:rsidR="00CA2E59" w:rsidRPr="00C649E1">
        <w:rPr>
          <w:sz w:val="20"/>
        </w:rPr>
        <w:t xml:space="preserve"> </w:t>
      </w:r>
      <w:r w:rsidR="00534A53" w:rsidRPr="00C649E1">
        <w:rPr>
          <w:sz w:val="20"/>
        </w:rPr>
        <w:t>The IACHR</w:t>
      </w:r>
      <w:r w:rsidR="00CA2E59" w:rsidRPr="00C649E1">
        <w:rPr>
          <w:sz w:val="20"/>
        </w:rPr>
        <w:t xml:space="preserve"> </w:t>
      </w:r>
      <w:r w:rsidR="002C312A" w:rsidRPr="00C649E1">
        <w:rPr>
          <w:sz w:val="20"/>
        </w:rPr>
        <w:t xml:space="preserve">has also </w:t>
      </w:r>
      <w:r w:rsidR="00F173E7" w:rsidRPr="00C649E1">
        <w:rPr>
          <w:sz w:val="20"/>
        </w:rPr>
        <w:t>stated</w:t>
      </w:r>
      <w:r w:rsidR="002C312A" w:rsidRPr="00C649E1">
        <w:rPr>
          <w:sz w:val="20"/>
        </w:rPr>
        <w:t xml:space="preserve"> that</w:t>
      </w:r>
      <w:r w:rsidR="00F173E7" w:rsidRPr="00C649E1">
        <w:rPr>
          <w:sz w:val="20"/>
        </w:rPr>
        <w:t xml:space="preserve"> future dangerousness may prove problematic given its discretionary nature and </w:t>
      </w:r>
      <w:r w:rsidR="00534A53" w:rsidRPr="00C649E1">
        <w:rPr>
          <w:sz w:val="20"/>
        </w:rPr>
        <w:t>the risk of considerations based on factors such as race</w:t>
      </w:r>
      <w:r w:rsidR="002C312A" w:rsidRPr="00C649E1">
        <w:rPr>
          <w:sz w:val="20"/>
        </w:rPr>
        <w:t>:</w:t>
      </w:r>
      <w:r w:rsidR="002C312A" w:rsidRPr="00C649E1">
        <w:rPr>
          <w:rStyle w:val="FootnoteReference"/>
          <w:sz w:val="20"/>
        </w:rPr>
        <w:footnoteReference w:id="71"/>
      </w:r>
    </w:p>
    <w:p w14:paraId="18E9C19F" w14:textId="77777777" w:rsidR="002C312A" w:rsidRPr="00C649E1" w:rsidRDefault="002C312A" w:rsidP="002C312A">
      <w:pPr>
        <w:pStyle w:val="ListParagraph"/>
        <w:rPr>
          <w:sz w:val="20"/>
        </w:rPr>
      </w:pPr>
    </w:p>
    <w:p w14:paraId="5AB5AEE0" w14:textId="77777777" w:rsidR="00CA2E59" w:rsidRPr="00C649E1" w:rsidRDefault="002C312A" w:rsidP="002C312A">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bCs/>
          <w:sz w:val="18"/>
          <w:szCs w:val="18"/>
        </w:rPr>
      </w:pPr>
      <w:r w:rsidRPr="00C649E1">
        <w:rPr>
          <w:sz w:val="18"/>
          <w:szCs w:val="18"/>
        </w:rPr>
        <w:t>[</w:t>
      </w:r>
      <w:r w:rsidR="00CA2E59" w:rsidRPr="00C649E1">
        <w:rPr>
          <w:sz w:val="18"/>
          <w:szCs w:val="18"/>
        </w:rPr>
        <w:t>t</w:t>
      </w:r>
      <w:r w:rsidRPr="00C649E1">
        <w:rPr>
          <w:sz w:val="18"/>
          <w:szCs w:val="18"/>
        </w:rPr>
        <w:t>]</w:t>
      </w:r>
      <w:r w:rsidR="00CA2E59" w:rsidRPr="00C649E1">
        <w:rPr>
          <w:sz w:val="18"/>
          <w:szCs w:val="18"/>
        </w:rPr>
        <w:t>he element of future dangerousness accords the jury a high degree of discretionary authority to impose the harshest possible penalty and may prove problematic, given the likelihood that a future act will occur, exceeding the scope of the crime actually committed by the person in question. Accordingly, the Commission considers that, given that this is a matter of a criterion that depends on a subjective and speculative decision by the jury, the mere fact that it is required under internal law of the State of Texas constitutes a permanent risk that human rights violations could be committed against the person convicted and in consequence, that the death penalty could be imposed arbitrarily. This may include the undue consideration of such f</w:t>
      </w:r>
      <w:r w:rsidRPr="00C649E1">
        <w:rPr>
          <w:sz w:val="18"/>
          <w:szCs w:val="18"/>
        </w:rPr>
        <w:t>actors as race or mental health […]</w:t>
      </w:r>
      <w:r w:rsidR="00CA2E59" w:rsidRPr="00C649E1">
        <w:rPr>
          <w:sz w:val="18"/>
          <w:szCs w:val="18"/>
        </w:rPr>
        <w:t xml:space="preserve">  </w:t>
      </w:r>
    </w:p>
    <w:p w14:paraId="0702B779" w14:textId="77777777" w:rsidR="00CA2E59" w:rsidRPr="00C649E1" w:rsidRDefault="00CA2E59" w:rsidP="00CA2E5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rFonts w:asciiTheme="majorHAnsi" w:hAnsiTheme="majorHAnsi"/>
          <w:bCs/>
          <w:color w:val="auto"/>
          <w:sz w:val="20"/>
          <w:szCs w:val="20"/>
        </w:rPr>
      </w:pPr>
    </w:p>
    <w:p w14:paraId="0E45463F" w14:textId="77777777" w:rsidR="000D559C" w:rsidRPr="00C649E1" w:rsidRDefault="008D5900" w:rsidP="002B14E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rPr>
      </w:pPr>
      <w:r w:rsidRPr="00C649E1">
        <w:rPr>
          <w:rFonts w:asciiTheme="majorHAnsi" w:hAnsiTheme="majorHAnsi"/>
          <w:sz w:val="20"/>
          <w:szCs w:val="20"/>
        </w:rPr>
        <w:t xml:space="preserve">The Inter-American Court has ruled that the consideration of future dangerousness constitutes an infringement of the principle of legality established in Article 9 of the American Convention. The Court indicated that “it clearly constitutes an expression of the exercise of the State's </w:t>
      </w:r>
      <w:r w:rsidRPr="00C649E1">
        <w:rPr>
          <w:rFonts w:asciiTheme="majorHAnsi" w:hAnsiTheme="majorHAnsi"/>
          <w:i/>
          <w:sz w:val="20"/>
          <w:szCs w:val="20"/>
        </w:rPr>
        <w:t>ius puniendi</w:t>
      </w:r>
      <w:r w:rsidRPr="00C649E1">
        <w:rPr>
          <w:rFonts w:asciiTheme="majorHAnsi" w:hAnsiTheme="majorHAnsi"/>
          <w:sz w:val="20"/>
          <w:szCs w:val="20"/>
        </w:rPr>
        <w:t xml:space="preserve"> on the basis of the personal characteristics of the person and not of the act committed, that is, it substitutes the criminal law of act or fact, characteristic of the criminal system of a democratic society, for the criminal law of the author, which </w:t>
      </w:r>
      <w:r w:rsidRPr="00C649E1">
        <w:rPr>
          <w:rFonts w:asciiTheme="majorHAnsi" w:hAnsiTheme="majorHAnsi"/>
          <w:sz w:val="20"/>
          <w:szCs w:val="20"/>
        </w:rPr>
        <w:lastRenderedPageBreak/>
        <w:t>opens the door to authoritarianism precisely in a matter in which the legal assets of the highest hierarchy are at stake.”</w:t>
      </w:r>
      <w:r w:rsidRPr="00C649E1">
        <w:rPr>
          <w:rStyle w:val="FootnoteReference"/>
          <w:rFonts w:asciiTheme="majorHAnsi" w:hAnsiTheme="majorHAnsi"/>
          <w:sz w:val="20"/>
          <w:szCs w:val="20"/>
        </w:rPr>
        <w:footnoteReference w:id="72"/>
      </w:r>
      <w:r w:rsidR="000D559C" w:rsidRPr="00C649E1">
        <w:rPr>
          <w:rFonts w:asciiTheme="majorHAnsi" w:hAnsiTheme="majorHAnsi"/>
          <w:sz w:val="20"/>
          <w:szCs w:val="20"/>
        </w:rPr>
        <w:t xml:space="preserve"> </w:t>
      </w:r>
      <w:r w:rsidR="0086083F" w:rsidRPr="00C649E1">
        <w:rPr>
          <w:bCs/>
          <w:sz w:val="20"/>
          <w:szCs w:val="20"/>
        </w:rPr>
        <w:t>The Court also pointed out that the assessment of dangerousness</w:t>
      </w:r>
      <w:r w:rsidR="000D559C" w:rsidRPr="00C649E1">
        <w:rPr>
          <w:bCs/>
          <w:sz w:val="20"/>
          <w:szCs w:val="20"/>
        </w:rPr>
        <w:t>:</w:t>
      </w:r>
      <w:r w:rsidR="000D559C" w:rsidRPr="00C649E1">
        <w:rPr>
          <w:rStyle w:val="FootnoteReference"/>
          <w:bCs/>
          <w:sz w:val="20"/>
          <w:szCs w:val="20"/>
        </w:rPr>
        <w:footnoteReference w:id="73"/>
      </w:r>
    </w:p>
    <w:p w14:paraId="12A49596" w14:textId="77777777" w:rsidR="000D559C" w:rsidRPr="00C649E1" w:rsidRDefault="000D559C" w:rsidP="000D559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jc w:val="both"/>
        <w:rPr>
          <w:bCs/>
          <w:sz w:val="20"/>
          <w:szCs w:val="20"/>
        </w:rPr>
      </w:pPr>
    </w:p>
    <w:p w14:paraId="4F0B65E5" w14:textId="77777777" w:rsidR="0086083F" w:rsidRPr="00C649E1" w:rsidRDefault="000D559C" w:rsidP="000D559C">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360"/>
        </w:tabs>
        <w:autoSpaceDE w:val="0"/>
        <w:autoSpaceDN w:val="0"/>
        <w:adjustRightInd w:val="0"/>
        <w:ind w:left="360" w:right="360"/>
        <w:jc w:val="both"/>
        <w:rPr>
          <w:bCs/>
          <w:sz w:val="18"/>
          <w:szCs w:val="18"/>
        </w:rPr>
      </w:pPr>
      <w:r w:rsidRPr="00C649E1">
        <w:rPr>
          <w:bCs/>
          <w:sz w:val="18"/>
          <w:szCs w:val="18"/>
        </w:rPr>
        <w:t xml:space="preserve">[…] </w:t>
      </w:r>
      <w:r w:rsidR="0086083F" w:rsidRPr="00C649E1">
        <w:rPr>
          <w:bCs/>
          <w:sz w:val="18"/>
          <w:szCs w:val="18"/>
        </w:rPr>
        <w:t xml:space="preserve">implies the judge's appreciation of the probabilities that the accused will commit criminal acts in the future, that is, it adds to the </w:t>
      </w:r>
      <w:r w:rsidRPr="00C649E1">
        <w:rPr>
          <w:bCs/>
          <w:sz w:val="18"/>
          <w:szCs w:val="18"/>
        </w:rPr>
        <w:t xml:space="preserve">indictment </w:t>
      </w:r>
      <w:r w:rsidR="0086083F" w:rsidRPr="00C649E1">
        <w:rPr>
          <w:bCs/>
          <w:sz w:val="18"/>
          <w:szCs w:val="18"/>
        </w:rPr>
        <w:t xml:space="preserve">for the </w:t>
      </w:r>
      <w:r w:rsidRPr="00C649E1">
        <w:rPr>
          <w:bCs/>
          <w:sz w:val="18"/>
          <w:szCs w:val="18"/>
        </w:rPr>
        <w:t>acts</w:t>
      </w:r>
      <w:r w:rsidR="0086083F" w:rsidRPr="00C649E1">
        <w:rPr>
          <w:bCs/>
          <w:sz w:val="18"/>
          <w:szCs w:val="18"/>
        </w:rPr>
        <w:t xml:space="preserve"> </w:t>
      </w:r>
      <w:r w:rsidRPr="00C649E1">
        <w:rPr>
          <w:bCs/>
          <w:sz w:val="18"/>
          <w:szCs w:val="18"/>
        </w:rPr>
        <w:t>committed</w:t>
      </w:r>
      <w:r w:rsidR="0086083F" w:rsidRPr="00C649E1">
        <w:rPr>
          <w:bCs/>
          <w:sz w:val="18"/>
          <w:szCs w:val="18"/>
        </w:rPr>
        <w:t xml:space="preserve">, the forecast of future </w:t>
      </w:r>
      <w:r w:rsidRPr="00C649E1">
        <w:rPr>
          <w:bCs/>
          <w:sz w:val="18"/>
          <w:szCs w:val="18"/>
        </w:rPr>
        <w:t>act</w:t>
      </w:r>
      <w:r w:rsidR="0086083F" w:rsidRPr="00C649E1">
        <w:rPr>
          <w:bCs/>
          <w:sz w:val="18"/>
          <w:szCs w:val="18"/>
        </w:rPr>
        <w:t xml:space="preserve"> that will probably occur </w:t>
      </w:r>
      <w:r w:rsidR="00F50104" w:rsidRPr="00C649E1">
        <w:rPr>
          <w:bCs/>
          <w:sz w:val="18"/>
          <w:szCs w:val="18"/>
        </w:rPr>
        <w:t>[…]</w:t>
      </w:r>
      <w:r w:rsidR="0086083F" w:rsidRPr="00C649E1">
        <w:rPr>
          <w:bCs/>
          <w:sz w:val="18"/>
          <w:szCs w:val="18"/>
        </w:rPr>
        <w:t xml:space="preserve"> In the end, the individual would be sanctioned - including the </w:t>
      </w:r>
      <w:r w:rsidR="00F50104" w:rsidRPr="00C649E1">
        <w:rPr>
          <w:bCs/>
          <w:sz w:val="18"/>
          <w:szCs w:val="18"/>
        </w:rPr>
        <w:t xml:space="preserve">possibility of the application of the </w:t>
      </w:r>
      <w:r w:rsidR="0086083F" w:rsidRPr="00C649E1">
        <w:rPr>
          <w:bCs/>
          <w:sz w:val="18"/>
          <w:szCs w:val="18"/>
        </w:rPr>
        <w:t xml:space="preserve">death penalty - not </w:t>
      </w:r>
      <w:r w:rsidR="00F50104" w:rsidRPr="00C649E1">
        <w:rPr>
          <w:bCs/>
          <w:sz w:val="18"/>
          <w:szCs w:val="18"/>
        </w:rPr>
        <w:t>based on what</w:t>
      </w:r>
      <w:r w:rsidR="0086083F" w:rsidRPr="00C649E1">
        <w:rPr>
          <w:bCs/>
          <w:sz w:val="18"/>
          <w:szCs w:val="18"/>
        </w:rPr>
        <w:t xml:space="preserve"> he has done, but </w:t>
      </w:r>
      <w:r w:rsidR="00F50104" w:rsidRPr="00C649E1">
        <w:rPr>
          <w:bCs/>
          <w:sz w:val="18"/>
          <w:szCs w:val="18"/>
        </w:rPr>
        <w:t>based on what</w:t>
      </w:r>
      <w:r w:rsidR="0086083F" w:rsidRPr="00C649E1">
        <w:rPr>
          <w:bCs/>
          <w:sz w:val="18"/>
          <w:szCs w:val="18"/>
        </w:rPr>
        <w:t xml:space="preserve"> he</w:t>
      </w:r>
      <w:r w:rsidR="00F50104" w:rsidRPr="00C649E1">
        <w:rPr>
          <w:bCs/>
          <w:sz w:val="18"/>
          <w:szCs w:val="18"/>
        </w:rPr>
        <w:t xml:space="preserve"> or she</w:t>
      </w:r>
      <w:r w:rsidR="0086083F" w:rsidRPr="00C649E1">
        <w:rPr>
          <w:bCs/>
          <w:sz w:val="18"/>
          <w:szCs w:val="18"/>
        </w:rPr>
        <w:t xml:space="preserve"> is. There is no need to ponder the implications, which are evident, of this return to the past, which is absolutely unacceptable from a human rights perspective. </w:t>
      </w:r>
    </w:p>
    <w:p w14:paraId="0350EA32" w14:textId="77777777" w:rsidR="0086083F" w:rsidRPr="00C649E1" w:rsidRDefault="0086083F" w:rsidP="0086083F">
      <w:pPr>
        <w:pStyle w:val="ListParagraph"/>
        <w:rPr>
          <w:sz w:val="20"/>
        </w:rPr>
      </w:pPr>
    </w:p>
    <w:p w14:paraId="52353822" w14:textId="77777777" w:rsidR="00F23B00" w:rsidRPr="00C649E1" w:rsidRDefault="00F23B00" w:rsidP="002B14E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rPr>
      </w:pPr>
      <w:r w:rsidRPr="00C649E1">
        <w:rPr>
          <w:sz w:val="20"/>
        </w:rPr>
        <w:t xml:space="preserve">The Commission notes that in </w:t>
      </w:r>
      <w:r w:rsidR="002B14E8" w:rsidRPr="00C649E1">
        <w:rPr>
          <w:sz w:val="20"/>
        </w:rPr>
        <w:t xml:space="preserve">2016 the Constitutional Court of Guatemala ruled </w:t>
      </w:r>
      <w:r w:rsidR="004B1EE5" w:rsidRPr="00C649E1">
        <w:rPr>
          <w:sz w:val="20"/>
        </w:rPr>
        <w:t xml:space="preserve">that </w:t>
      </w:r>
      <w:r w:rsidR="002B14E8" w:rsidRPr="00C649E1">
        <w:rPr>
          <w:sz w:val="20"/>
        </w:rPr>
        <w:t xml:space="preserve">the use of </w:t>
      </w:r>
      <w:r w:rsidRPr="00C649E1">
        <w:rPr>
          <w:sz w:val="20"/>
        </w:rPr>
        <w:t xml:space="preserve">future dangerousness </w:t>
      </w:r>
      <w:r w:rsidR="002B14E8" w:rsidRPr="00C649E1">
        <w:rPr>
          <w:sz w:val="20"/>
        </w:rPr>
        <w:t xml:space="preserve">in the imposition of </w:t>
      </w:r>
      <w:r w:rsidRPr="00C649E1">
        <w:rPr>
          <w:sz w:val="20"/>
        </w:rPr>
        <w:t xml:space="preserve">the death penalty </w:t>
      </w:r>
      <w:r w:rsidR="004B1EE5" w:rsidRPr="00C649E1">
        <w:rPr>
          <w:sz w:val="20"/>
        </w:rPr>
        <w:t xml:space="preserve">was unconstitutional </w:t>
      </w:r>
      <w:r w:rsidR="002B14E8" w:rsidRPr="00C649E1">
        <w:rPr>
          <w:sz w:val="20"/>
        </w:rPr>
        <w:t>as it violate</w:t>
      </w:r>
      <w:r w:rsidR="004B1EE5" w:rsidRPr="00C649E1">
        <w:rPr>
          <w:sz w:val="20"/>
        </w:rPr>
        <w:t>d</w:t>
      </w:r>
      <w:r w:rsidR="002B14E8" w:rsidRPr="00C649E1">
        <w:rPr>
          <w:sz w:val="20"/>
        </w:rPr>
        <w:t xml:space="preserve"> the principle of legality.</w:t>
      </w:r>
      <w:r w:rsidRPr="00C649E1">
        <w:rPr>
          <w:rStyle w:val="FootnoteReference"/>
          <w:sz w:val="20"/>
        </w:rPr>
        <w:footnoteReference w:id="74"/>
      </w:r>
    </w:p>
    <w:p w14:paraId="5EB7647E" w14:textId="77777777" w:rsidR="00255F05" w:rsidRPr="00C649E1" w:rsidRDefault="00255F05" w:rsidP="00255F0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bCs/>
          <w:sz w:val="20"/>
          <w:szCs w:val="20"/>
        </w:rPr>
      </w:pPr>
    </w:p>
    <w:p w14:paraId="3C971515" w14:textId="77777777" w:rsidR="000F2A3B" w:rsidRPr="00C649E1" w:rsidRDefault="00255F05" w:rsidP="00B959C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rPr>
      </w:pPr>
      <w:r w:rsidRPr="00C649E1">
        <w:rPr>
          <w:sz w:val="20"/>
        </w:rPr>
        <w:t xml:space="preserve">According to the facts established in this report, the prosecution relied on evidence introduced through witnesses during the capital sentencing hearing to demonstrate its position that Mr. Robinson posed a future threat to society. </w:t>
      </w:r>
      <w:r w:rsidR="000F2A3B" w:rsidRPr="00C649E1">
        <w:rPr>
          <w:sz w:val="20"/>
        </w:rPr>
        <w:t xml:space="preserve">As stated above, future dangerousness may prove problematic given its discretionary nature and the risk of considerations based on factors such as race. </w:t>
      </w:r>
    </w:p>
    <w:p w14:paraId="0B10A245" w14:textId="77777777" w:rsidR="000F2A3B" w:rsidRPr="00C649E1" w:rsidRDefault="000F2A3B" w:rsidP="000F2A3B">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bCs/>
          <w:sz w:val="20"/>
          <w:szCs w:val="20"/>
        </w:rPr>
      </w:pPr>
    </w:p>
    <w:p w14:paraId="182DEA2A" w14:textId="77777777" w:rsidR="00852875" w:rsidRPr="00C649E1" w:rsidRDefault="00BC3348" w:rsidP="00B959C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rPr>
      </w:pPr>
      <w:r w:rsidRPr="00C649E1">
        <w:rPr>
          <w:sz w:val="20"/>
        </w:rPr>
        <w:t>Further, a</w:t>
      </w:r>
      <w:r w:rsidR="00EC1F95" w:rsidRPr="00C649E1">
        <w:rPr>
          <w:sz w:val="20"/>
        </w:rPr>
        <w:t xml:space="preserve">s </w:t>
      </w:r>
      <w:r w:rsidRPr="00C649E1">
        <w:rPr>
          <w:sz w:val="20"/>
        </w:rPr>
        <w:t xml:space="preserve">previously </w:t>
      </w:r>
      <w:r w:rsidR="00EC1F95" w:rsidRPr="00C649E1">
        <w:rPr>
          <w:sz w:val="20"/>
        </w:rPr>
        <w:t xml:space="preserve">stated, in similar cases regarding the application of the death penalty in Texas, the IACHR ruled that the introduction of evidence of unadjudicated crimes during the capital sentencing hearing was contrary to the rights to a fair trial and to due process of law. </w:t>
      </w:r>
      <w:r w:rsidR="005E3F88" w:rsidRPr="00C649E1">
        <w:rPr>
          <w:sz w:val="20"/>
        </w:rPr>
        <w:t xml:space="preserve">In the instant case, </w:t>
      </w:r>
      <w:r w:rsidR="005E3F88" w:rsidRPr="00C649E1">
        <w:rPr>
          <w:rFonts w:asciiTheme="majorHAnsi" w:hAnsiTheme="majorHAnsi"/>
          <w:sz w:val="20"/>
          <w:szCs w:val="20"/>
        </w:rPr>
        <w:t>part of the evidence the jury relied on in making its sentencing decision was evidence introduced by the prosecution that Mr. Robinson had attempted to kill an informant who testified against him before the grand jury, as well as a former high-school classmate who owed him money for crack cocaine. Regarding the latter, the Commission notes that</w:t>
      </w:r>
      <w:r w:rsidR="00B23AEB" w:rsidRPr="00C649E1">
        <w:rPr>
          <w:rFonts w:asciiTheme="majorHAnsi" w:hAnsiTheme="majorHAnsi"/>
          <w:sz w:val="20"/>
          <w:szCs w:val="20"/>
        </w:rPr>
        <w:t>,</w:t>
      </w:r>
      <w:r w:rsidR="005E3F88" w:rsidRPr="00C649E1">
        <w:rPr>
          <w:rFonts w:asciiTheme="majorHAnsi" w:hAnsiTheme="majorHAnsi"/>
          <w:sz w:val="20"/>
          <w:szCs w:val="20"/>
        </w:rPr>
        <w:t xml:space="preserve"> although Mr. Robinson was ultimately sentenced to five years’ probation, he was convicted of deadly conduct and not of attempted </w:t>
      </w:r>
      <w:r w:rsidR="0090308C" w:rsidRPr="00C649E1">
        <w:rPr>
          <w:rFonts w:asciiTheme="majorHAnsi" w:hAnsiTheme="majorHAnsi"/>
          <w:sz w:val="20"/>
          <w:szCs w:val="20"/>
        </w:rPr>
        <w:t>murder</w:t>
      </w:r>
      <w:r w:rsidR="005E3F88" w:rsidRPr="00C649E1">
        <w:rPr>
          <w:rFonts w:asciiTheme="majorHAnsi" w:hAnsiTheme="majorHAnsi"/>
          <w:sz w:val="20"/>
          <w:szCs w:val="20"/>
        </w:rPr>
        <w:t xml:space="preserve">. </w:t>
      </w:r>
      <w:r w:rsidR="0090308C" w:rsidRPr="00C649E1">
        <w:rPr>
          <w:rFonts w:asciiTheme="majorHAnsi" w:hAnsiTheme="majorHAnsi"/>
          <w:sz w:val="20"/>
          <w:szCs w:val="20"/>
        </w:rPr>
        <w:t xml:space="preserve">The Commission further notes that, according to the information available, Mr. Robinson was never </w:t>
      </w:r>
      <w:r w:rsidR="00B23AEB" w:rsidRPr="00C649E1">
        <w:rPr>
          <w:rFonts w:asciiTheme="majorHAnsi" w:hAnsiTheme="majorHAnsi"/>
          <w:sz w:val="20"/>
          <w:szCs w:val="20"/>
        </w:rPr>
        <w:t xml:space="preserve">charged </w:t>
      </w:r>
      <w:r w:rsidR="00380A00" w:rsidRPr="00C649E1">
        <w:rPr>
          <w:rFonts w:asciiTheme="majorHAnsi" w:hAnsiTheme="majorHAnsi"/>
          <w:sz w:val="20"/>
          <w:szCs w:val="20"/>
        </w:rPr>
        <w:t>for</w:t>
      </w:r>
      <w:r w:rsidR="00B23AEB" w:rsidRPr="00C649E1">
        <w:rPr>
          <w:rFonts w:asciiTheme="majorHAnsi" w:hAnsiTheme="majorHAnsi"/>
          <w:sz w:val="20"/>
          <w:szCs w:val="20"/>
        </w:rPr>
        <w:t xml:space="preserve"> the supposed attempt to kill the informant. As the court of appeals noted, this evidence was used to show that Mr. Robinson had a propensity to commit future acts of violence.</w:t>
      </w:r>
    </w:p>
    <w:p w14:paraId="347D1078" w14:textId="77777777" w:rsidR="00B23AEB" w:rsidRPr="00C649E1" w:rsidRDefault="00B23AEB" w:rsidP="00B23AEB">
      <w:pPr>
        <w:pStyle w:val="ListParagraph"/>
        <w:rPr>
          <w:bCs/>
          <w:sz w:val="20"/>
          <w:szCs w:val="20"/>
        </w:rPr>
      </w:pPr>
    </w:p>
    <w:p w14:paraId="3CEDA2D0" w14:textId="77777777" w:rsidR="00B23AEB" w:rsidRPr="00C649E1" w:rsidRDefault="00B23AEB" w:rsidP="00B959C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bCs/>
          <w:sz w:val="20"/>
          <w:szCs w:val="20"/>
        </w:rPr>
      </w:pPr>
      <w:r w:rsidRPr="00C649E1">
        <w:rPr>
          <w:bCs/>
          <w:sz w:val="20"/>
          <w:szCs w:val="20"/>
        </w:rPr>
        <w:t xml:space="preserve">Therefore, </w:t>
      </w:r>
      <w:r w:rsidR="00803AC6" w:rsidRPr="00C649E1">
        <w:rPr>
          <w:bCs/>
          <w:sz w:val="20"/>
          <w:szCs w:val="20"/>
        </w:rPr>
        <w:t>given that the likelihood of future dangerousness played an essential part in the determination of the death penalty</w:t>
      </w:r>
      <w:r w:rsidR="00222C57" w:rsidRPr="00C649E1">
        <w:rPr>
          <w:bCs/>
          <w:sz w:val="20"/>
          <w:szCs w:val="20"/>
        </w:rPr>
        <w:t xml:space="preserve">, coupled with the fact that </w:t>
      </w:r>
      <w:r w:rsidR="00884136" w:rsidRPr="00C649E1">
        <w:rPr>
          <w:bCs/>
          <w:sz w:val="20"/>
          <w:szCs w:val="20"/>
        </w:rPr>
        <w:t xml:space="preserve">evidence of </w:t>
      </w:r>
      <w:r w:rsidR="00222C57" w:rsidRPr="00C649E1">
        <w:rPr>
          <w:bCs/>
          <w:sz w:val="20"/>
          <w:szCs w:val="20"/>
        </w:rPr>
        <w:t>unadjudicated crimes w</w:t>
      </w:r>
      <w:r w:rsidR="00884136" w:rsidRPr="00C649E1">
        <w:rPr>
          <w:bCs/>
          <w:sz w:val="20"/>
          <w:szCs w:val="20"/>
        </w:rPr>
        <w:t>as</w:t>
      </w:r>
      <w:r w:rsidR="00222C57" w:rsidRPr="00C649E1">
        <w:rPr>
          <w:bCs/>
          <w:sz w:val="20"/>
          <w:szCs w:val="20"/>
        </w:rPr>
        <w:t xml:space="preserve"> introduced during the capital sentencing hearing, the IACHR concludes that the United States </w:t>
      </w:r>
      <w:r w:rsidR="003E59E3" w:rsidRPr="00C649E1">
        <w:rPr>
          <w:bCs/>
          <w:sz w:val="20"/>
          <w:szCs w:val="20"/>
        </w:rPr>
        <w:t xml:space="preserve">violated Mr. Robinson’s rights to a </w:t>
      </w:r>
      <w:r w:rsidR="00387501" w:rsidRPr="00C649E1">
        <w:rPr>
          <w:bCs/>
          <w:sz w:val="20"/>
          <w:szCs w:val="20"/>
        </w:rPr>
        <w:t xml:space="preserve">fair trial and to due process of law </w:t>
      </w:r>
      <w:r w:rsidR="00387501" w:rsidRPr="00C649E1">
        <w:rPr>
          <w:rFonts w:eastAsia="Times New Roman"/>
          <w:sz w:val="20"/>
          <w:szCs w:val="20"/>
          <w:bdr w:val="none" w:sz="0" w:space="0" w:color="auto"/>
        </w:rPr>
        <w:t>set forth in Article</w:t>
      </w:r>
      <w:r w:rsidR="00725530" w:rsidRPr="00C649E1">
        <w:rPr>
          <w:rFonts w:eastAsia="Times New Roman"/>
          <w:sz w:val="20"/>
          <w:szCs w:val="20"/>
          <w:bdr w:val="none" w:sz="0" w:space="0" w:color="auto"/>
        </w:rPr>
        <w:t>s</w:t>
      </w:r>
      <w:r w:rsidR="00387501" w:rsidRPr="00C649E1">
        <w:rPr>
          <w:rFonts w:eastAsia="Times New Roman"/>
          <w:sz w:val="20"/>
          <w:szCs w:val="20"/>
          <w:bdr w:val="none" w:sz="0" w:space="0" w:color="auto"/>
        </w:rPr>
        <w:t xml:space="preserve"> </w:t>
      </w:r>
      <w:r w:rsidR="00725530" w:rsidRPr="00C649E1">
        <w:rPr>
          <w:rFonts w:eastAsia="Times New Roman"/>
          <w:sz w:val="20"/>
          <w:szCs w:val="20"/>
          <w:bdr w:val="none" w:sz="0" w:space="0" w:color="auto"/>
        </w:rPr>
        <w:t>XVIII and XXVI</w:t>
      </w:r>
      <w:r w:rsidR="00387501" w:rsidRPr="00C649E1">
        <w:rPr>
          <w:rFonts w:eastAsia="Times New Roman"/>
          <w:sz w:val="20"/>
          <w:szCs w:val="20"/>
          <w:bdr w:val="none" w:sz="0" w:space="0" w:color="auto"/>
        </w:rPr>
        <w:t xml:space="preserve"> of the American Declaration</w:t>
      </w:r>
      <w:r w:rsidR="00725530" w:rsidRPr="00C649E1">
        <w:rPr>
          <w:rFonts w:eastAsia="Times New Roman"/>
          <w:sz w:val="20"/>
          <w:szCs w:val="20"/>
          <w:bdr w:val="none" w:sz="0" w:space="0" w:color="auto"/>
        </w:rPr>
        <w:t>.</w:t>
      </w:r>
    </w:p>
    <w:p w14:paraId="038BC987" w14:textId="77777777" w:rsidR="004815A2" w:rsidRDefault="004815A2" w:rsidP="00B959C3"/>
    <w:p w14:paraId="24BEE9DB" w14:textId="77777777" w:rsidR="006E1407" w:rsidRPr="00C649E1" w:rsidRDefault="002C6C33" w:rsidP="00224AA7">
      <w:pPr>
        <w:pStyle w:val="Heading3"/>
        <w:numPr>
          <w:ilvl w:val="1"/>
          <w:numId w:val="53"/>
        </w:numPr>
        <w:spacing w:before="0"/>
        <w:ind w:left="360"/>
        <w:rPr>
          <w:color w:val="auto"/>
          <w:sz w:val="20"/>
          <w:szCs w:val="20"/>
        </w:rPr>
      </w:pPr>
      <w:bookmarkStart w:id="79" w:name="_Toc22915027"/>
      <w:bookmarkStart w:id="80" w:name="_Toc45105394"/>
      <w:bookmarkStart w:id="81" w:name="_Toc70417432"/>
      <w:r w:rsidRPr="00C649E1">
        <w:rPr>
          <w:color w:val="auto"/>
          <w:sz w:val="20"/>
          <w:szCs w:val="20"/>
        </w:rPr>
        <w:t>Ineffective assistance</w:t>
      </w:r>
      <w:r w:rsidR="000C5DEE" w:rsidRPr="00C649E1">
        <w:rPr>
          <w:color w:val="auto"/>
          <w:sz w:val="20"/>
          <w:szCs w:val="20"/>
        </w:rPr>
        <w:t xml:space="preserve"> of </w:t>
      </w:r>
      <w:r w:rsidR="00AB6F62" w:rsidRPr="00C649E1">
        <w:rPr>
          <w:color w:val="auto"/>
          <w:sz w:val="20"/>
          <w:szCs w:val="20"/>
        </w:rPr>
        <w:t xml:space="preserve">court-appointed </w:t>
      </w:r>
      <w:r w:rsidR="000C5DEE" w:rsidRPr="00C649E1">
        <w:rPr>
          <w:color w:val="auto"/>
          <w:sz w:val="20"/>
          <w:szCs w:val="20"/>
        </w:rPr>
        <w:t>counsel</w:t>
      </w:r>
      <w:bookmarkEnd w:id="79"/>
      <w:bookmarkEnd w:id="80"/>
      <w:bookmarkEnd w:id="81"/>
      <w:r w:rsidR="000C5DEE" w:rsidRPr="00C649E1">
        <w:rPr>
          <w:color w:val="auto"/>
          <w:sz w:val="20"/>
          <w:szCs w:val="20"/>
        </w:rPr>
        <w:t xml:space="preserve"> </w:t>
      </w:r>
    </w:p>
    <w:p w14:paraId="4B1E37AC" w14:textId="77777777" w:rsidR="000C5DEE" w:rsidRPr="00C649E1" w:rsidRDefault="000C5DEE" w:rsidP="000C5DEE">
      <w:pPr>
        <w:pStyle w:val="NormalWeb"/>
        <w:shd w:val="clear" w:color="auto" w:fill="FFFFFF"/>
        <w:tabs>
          <w:tab w:val="left" w:pos="360"/>
        </w:tabs>
        <w:spacing w:before="0" w:beforeAutospacing="0" w:after="0" w:afterAutospacing="0"/>
        <w:jc w:val="both"/>
        <w:rPr>
          <w:rFonts w:asciiTheme="majorHAnsi" w:hAnsiTheme="majorHAnsi"/>
          <w:b/>
          <w:sz w:val="20"/>
          <w:szCs w:val="20"/>
        </w:rPr>
      </w:pPr>
    </w:p>
    <w:p w14:paraId="614A9567" w14:textId="77777777" w:rsidR="00D12883" w:rsidRPr="00C649E1" w:rsidRDefault="00D12883" w:rsidP="002E38C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C649E1">
        <w:rPr>
          <w:sz w:val="20"/>
        </w:rPr>
        <w:t>Adequate legal representation is a fundamental component of the right to a fair trial. The IACHR has found that “[t]he right to due process and to a fair trial includes the right to adequate means for the preparation of a defense, assisted by adequate legal counsel.”</w:t>
      </w:r>
      <w:r w:rsidRPr="00C649E1">
        <w:rPr>
          <w:rStyle w:val="FootnoteReference"/>
          <w:sz w:val="20"/>
        </w:rPr>
        <w:footnoteReference w:id="75"/>
      </w:r>
      <w:r w:rsidRPr="00C649E1">
        <w:rPr>
          <w:sz w:val="20"/>
        </w:rPr>
        <w:t xml:space="preserve"> According to the Commission, “[t]he State cannot be held responsible for all deficiencies in the conduct of State-funded defense counsel. National authorities are, however, required […] to intervene if a failure by legal aid counsel to provide effective representation is manifest or sufficiently brought to their attention. Rigorous compliance with the defendant’s right to competent counsel is compelled by the possibility of the application of the death penalty.”</w:t>
      </w:r>
      <w:r w:rsidRPr="00C649E1">
        <w:rPr>
          <w:rStyle w:val="FootnoteReference"/>
          <w:sz w:val="20"/>
        </w:rPr>
        <w:footnoteReference w:id="76"/>
      </w:r>
    </w:p>
    <w:p w14:paraId="05527B0B" w14:textId="77777777" w:rsidR="00D12883" w:rsidRDefault="00D12883" w:rsidP="002E38C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48471AAE" w14:textId="77777777" w:rsidR="006B1EDA" w:rsidRDefault="006B1EDA" w:rsidP="002E38C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6AD75C33" w14:textId="77777777" w:rsidR="006B1EDA" w:rsidRPr="00C649E1" w:rsidRDefault="006B1EDA" w:rsidP="002E38C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62F90C4F" w14:textId="77777777" w:rsidR="00D12883" w:rsidRPr="00C649E1" w:rsidRDefault="00D12883" w:rsidP="002E38C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pPr>
      <w:r w:rsidRPr="00C649E1">
        <w:rPr>
          <w:sz w:val="20"/>
        </w:rPr>
        <w:lastRenderedPageBreak/>
        <w:t>The appointment of an attorney by the state does not, in and of itself, ensure effective assistance of counsel</w:t>
      </w:r>
      <w:r w:rsidR="009A4920" w:rsidRPr="00C649E1">
        <w:rPr>
          <w:sz w:val="20"/>
        </w:rPr>
        <w:t>.  At the same time, while the S</w:t>
      </w:r>
      <w:r w:rsidRPr="00C649E1">
        <w:rPr>
          <w:sz w:val="20"/>
        </w:rPr>
        <w:t>tate is responsible for ensuring that such assistance is effective, it is not responsible for what may be understood as decisions of strategy or for every possible shortcoming. Rather, the Commission must evaluate whether the assistance of counsel was effective in the overall context of the process and taking into account the specific interests at stake.</w:t>
      </w:r>
      <w:r w:rsidRPr="00C649E1">
        <w:rPr>
          <w:rStyle w:val="FootnoteReference"/>
          <w:sz w:val="20"/>
        </w:rPr>
        <w:footnoteReference w:id="77"/>
      </w:r>
      <w:r w:rsidRPr="00C649E1">
        <w:rPr>
          <w:rStyle w:val="FootnoteReference"/>
        </w:rPr>
        <w:t xml:space="preserve"> </w:t>
      </w:r>
    </w:p>
    <w:p w14:paraId="075A0F3D" w14:textId="77777777" w:rsidR="00D12883" w:rsidRPr="00C649E1" w:rsidRDefault="00D12883" w:rsidP="002E38C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25075727" w14:textId="77777777" w:rsidR="00D12883" w:rsidRPr="00C649E1" w:rsidRDefault="00D12883" w:rsidP="002E38C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C649E1">
        <w:rPr>
          <w:sz w:val="20"/>
        </w:rPr>
        <w:t>The Commission has established that “the fundamental due process requirements for capital trials include the obligation to afford a defendant a full and fair opportunity to present mitigating evidence for consideration in determining whether the death penalty is the appropriate punishment in the circumstances of his or her case.”</w:t>
      </w:r>
      <w:r w:rsidRPr="00C649E1">
        <w:rPr>
          <w:rStyle w:val="FootnoteReference"/>
          <w:sz w:val="20"/>
        </w:rPr>
        <w:footnoteReference w:id="78"/>
      </w:r>
      <w:r w:rsidRPr="00C649E1">
        <w:rPr>
          <w:rStyle w:val="FootnoteReference"/>
        </w:rPr>
        <w:t xml:space="preserve"> </w:t>
      </w:r>
      <w:r w:rsidRPr="00C649E1">
        <w:rPr>
          <w:sz w:val="20"/>
        </w:rPr>
        <w:t xml:space="preserve">The Commission has also indicated that due process protections, under the Declaration: </w:t>
      </w:r>
    </w:p>
    <w:p w14:paraId="25A72B4B" w14:textId="77777777" w:rsidR="00D12883" w:rsidRPr="00C649E1" w:rsidRDefault="00D12883" w:rsidP="002E38C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19349199" w14:textId="77777777" w:rsidR="00D12883" w:rsidRPr="00C649E1" w:rsidRDefault="00D12883" w:rsidP="002E38C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360" w:right="360"/>
        <w:jc w:val="both"/>
        <w:rPr>
          <w:sz w:val="18"/>
          <w:szCs w:val="18"/>
        </w:rPr>
      </w:pPr>
      <w:r w:rsidRPr="00C649E1">
        <w:rPr>
          <w:sz w:val="18"/>
          <w:szCs w:val="18"/>
        </w:rPr>
        <w:t>guarantee an opportunity to make submissions and present evidence as to whether a death sentence may not be a permissible or appropriate punishment in the circumstances of the defendant’s case, in light of such considerations as the offender’s character and record, subjective factors that might have motivated his or her conduct, the design and manner of execution of the particular offense, and the possibility of reform and social readaptation of the offender.</w:t>
      </w:r>
      <w:r w:rsidRPr="00C649E1">
        <w:rPr>
          <w:rStyle w:val="FootnoteReference"/>
          <w:sz w:val="18"/>
          <w:szCs w:val="18"/>
        </w:rPr>
        <w:footnoteReference w:id="79"/>
      </w:r>
    </w:p>
    <w:p w14:paraId="10C25AA6" w14:textId="77777777" w:rsidR="00D12883" w:rsidRPr="00C649E1" w:rsidRDefault="00D12883" w:rsidP="002E38CE">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0B1C5166" w14:textId="77777777" w:rsidR="00D12883" w:rsidRPr="00C649E1" w:rsidRDefault="00D12883" w:rsidP="002E38C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C649E1">
        <w:rPr>
          <w:sz w:val="20"/>
        </w:rPr>
        <w:t>It may be noted that the fundamental nature of this guarantee has been reflected in practice guidelines for lawyers. The American Bar Association has prepared and adopted guidelines and related commentaries that emphasize the importance of investigating and presenting mitigating evidence in death penalty cases.</w:t>
      </w:r>
      <w:r w:rsidRPr="00C649E1">
        <w:rPr>
          <w:rStyle w:val="FootnoteReference"/>
          <w:sz w:val="20"/>
        </w:rPr>
        <w:footnoteReference w:id="80"/>
      </w:r>
      <w:r w:rsidRPr="00C649E1">
        <w:rPr>
          <w:rStyle w:val="FootnoteReference"/>
        </w:rPr>
        <w:t xml:space="preserve"> </w:t>
      </w:r>
      <w:r w:rsidRPr="00C649E1">
        <w:rPr>
          <w:sz w:val="20"/>
        </w:rPr>
        <w:t>According to these guidelines, the duty of counsel in the United States to investigate and present mitigating evidence is now well-established and “[b]ecause the sentencer in a capital case must consider in mitigation, anything in the life of the defendant which might militate against the appropriateness of the death penalty for the defendant,” penalty phase preparation requires extensive and generally unparalleled investigation into personal and family history.</w:t>
      </w:r>
      <w:r w:rsidRPr="00C649E1">
        <w:rPr>
          <w:rStyle w:val="FootnoteReference"/>
          <w:sz w:val="20"/>
        </w:rPr>
        <w:footnoteReference w:id="81"/>
      </w:r>
      <w:r w:rsidRPr="00C649E1">
        <w:rPr>
          <w:rStyle w:val="FootnoteReference"/>
        </w:rPr>
        <w:t xml:space="preserve"> </w:t>
      </w:r>
      <w:r w:rsidRPr="00C649E1">
        <w:rPr>
          <w:sz w:val="20"/>
        </w:rPr>
        <w:t>The Guidelines also emphasize that the “mitigation investigation should begin as quickly as possible, because it may affect the investigation of first phase defenses (e.g., by suggesting additional areas for questioning police officers or other witnesses), decisions about the need for expert evaluations (including competency, mental retardation, or insanity), motion practice, and plea negotiations.”</w:t>
      </w:r>
      <w:r w:rsidRPr="00C649E1">
        <w:rPr>
          <w:rStyle w:val="FootnoteReference"/>
          <w:sz w:val="20"/>
        </w:rPr>
        <w:footnoteReference w:id="82"/>
      </w:r>
      <w:r w:rsidRPr="00C649E1">
        <w:rPr>
          <w:rStyle w:val="FootnoteReference"/>
        </w:rPr>
        <w:t xml:space="preserve"> </w:t>
      </w:r>
    </w:p>
    <w:p w14:paraId="586B6748" w14:textId="77777777" w:rsidR="00F96149" w:rsidRPr="00C649E1" w:rsidRDefault="00F96149" w:rsidP="00F9614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2B661BF6" w14:textId="77777777" w:rsidR="00B807C7" w:rsidRPr="00C649E1" w:rsidRDefault="00F96149" w:rsidP="002E38C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C649E1">
        <w:rPr>
          <w:sz w:val="20"/>
        </w:rPr>
        <w:t xml:space="preserve">The petitioners allege ineffective assistance of trial counsel given the failure to adequately prepare for the penalty phase. </w:t>
      </w:r>
      <w:r w:rsidR="00D942DB" w:rsidRPr="00C649E1">
        <w:rPr>
          <w:sz w:val="20"/>
        </w:rPr>
        <w:t xml:space="preserve">In the post-conviction proceedings, Mr. Robinson’s counsel claimed, </w:t>
      </w:r>
      <w:r w:rsidR="00D942DB" w:rsidRPr="00C649E1">
        <w:rPr>
          <w:i/>
          <w:sz w:val="20"/>
        </w:rPr>
        <w:t>inter alia</w:t>
      </w:r>
      <w:r w:rsidR="00D942DB" w:rsidRPr="00C649E1">
        <w:rPr>
          <w:sz w:val="20"/>
        </w:rPr>
        <w:t xml:space="preserve">, failure to investigate and rebut prosecution’s aggravating evidence and failure to thoroughly prepare and present mitigating evidence. </w:t>
      </w:r>
      <w:r w:rsidR="00370294" w:rsidRPr="00C649E1">
        <w:rPr>
          <w:sz w:val="20"/>
        </w:rPr>
        <w:t xml:space="preserve">The district court concluded that Mr. Robinson failed to establish that his trial counsel’s performance fell below an objectively reasonable professional standard and that it prejudiced his case. </w:t>
      </w:r>
    </w:p>
    <w:p w14:paraId="074B67F0" w14:textId="77777777" w:rsidR="00B807C7" w:rsidRPr="00C649E1" w:rsidRDefault="00B807C7" w:rsidP="00B807C7">
      <w:pPr>
        <w:pStyle w:val="ListParagraph"/>
        <w:rPr>
          <w:sz w:val="20"/>
        </w:rPr>
      </w:pPr>
    </w:p>
    <w:p w14:paraId="72DF252C" w14:textId="77777777" w:rsidR="00662410" w:rsidRPr="00C649E1" w:rsidRDefault="00370294" w:rsidP="002E38C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C649E1">
        <w:rPr>
          <w:sz w:val="20"/>
        </w:rPr>
        <w:t xml:space="preserve">The </w:t>
      </w:r>
      <w:r w:rsidR="00662410" w:rsidRPr="00C649E1">
        <w:rPr>
          <w:sz w:val="20"/>
        </w:rPr>
        <w:t xml:space="preserve">IACHR notes that the information on the record shows that </w:t>
      </w:r>
      <w:r w:rsidR="00B807C7" w:rsidRPr="00C649E1">
        <w:rPr>
          <w:sz w:val="20"/>
        </w:rPr>
        <w:t xml:space="preserve">trial </w:t>
      </w:r>
      <w:r w:rsidR="00E85B34" w:rsidRPr="00C649E1">
        <w:rPr>
          <w:sz w:val="20"/>
        </w:rPr>
        <w:t>counsel hired a licensed investigator who had been involved in hundreds of criminal-defense investigations, including several capital-murder cases</w:t>
      </w:r>
      <w:r w:rsidR="00662410" w:rsidRPr="00C649E1">
        <w:rPr>
          <w:sz w:val="20"/>
        </w:rPr>
        <w:t>. Trial counsel also called ten positive character witnesses, in addition to the declaration of Mr. Robinson’s mother and uncle, as well as an expert witness</w:t>
      </w:r>
      <w:r w:rsidR="00E85B34" w:rsidRPr="00C649E1">
        <w:rPr>
          <w:sz w:val="20"/>
        </w:rPr>
        <w:t xml:space="preserve">. </w:t>
      </w:r>
      <w:r w:rsidR="00FA6AEA" w:rsidRPr="00C649E1">
        <w:rPr>
          <w:sz w:val="20"/>
        </w:rPr>
        <w:t>Based on these elements, t</w:t>
      </w:r>
      <w:r w:rsidR="00662410" w:rsidRPr="00C649E1">
        <w:rPr>
          <w:sz w:val="20"/>
        </w:rPr>
        <w:t xml:space="preserve">he district court concluded that trial counsel conducted a thorough investigation. </w:t>
      </w:r>
      <w:r w:rsidR="00B807C7" w:rsidRPr="00C649E1">
        <w:rPr>
          <w:sz w:val="20"/>
        </w:rPr>
        <w:t xml:space="preserve">It also concluded that there was no reason for counsel </w:t>
      </w:r>
      <w:r w:rsidR="00E85B34" w:rsidRPr="00C649E1">
        <w:rPr>
          <w:sz w:val="20"/>
        </w:rPr>
        <w:t>to review Mr. Robinson’s l</w:t>
      </w:r>
      <w:r w:rsidR="00B807C7" w:rsidRPr="00C649E1">
        <w:rPr>
          <w:sz w:val="20"/>
        </w:rPr>
        <w:t>ower-school records</w:t>
      </w:r>
      <w:r w:rsidR="00FA6290" w:rsidRPr="00C649E1">
        <w:rPr>
          <w:sz w:val="20"/>
        </w:rPr>
        <w:t xml:space="preserve"> as he argued</w:t>
      </w:r>
      <w:r w:rsidR="00E85B34" w:rsidRPr="00C649E1">
        <w:rPr>
          <w:sz w:val="20"/>
        </w:rPr>
        <w:t>,</w:t>
      </w:r>
      <w:r w:rsidR="00B807C7" w:rsidRPr="00C649E1">
        <w:rPr>
          <w:sz w:val="20"/>
        </w:rPr>
        <w:t xml:space="preserve"> given that </w:t>
      </w:r>
      <w:r w:rsidR="00FA6290" w:rsidRPr="00C649E1">
        <w:rPr>
          <w:sz w:val="20"/>
        </w:rPr>
        <w:t xml:space="preserve">counsel </w:t>
      </w:r>
      <w:r w:rsidR="00B807C7" w:rsidRPr="00C649E1">
        <w:rPr>
          <w:sz w:val="20"/>
        </w:rPr>
        <w:t xml:space="preserve">had reviewed his more recent high-school and college records. </w:t>
      </w:r>
    </w:p>
    <w:p w14:paraId="75A1F1A8" w14:textId="77777777" w:rsidR="00662410" w:rsidRDefault="00662410" w:rsidP="00662410">
      <w:pPr>
        <w:pStyle w:val="ListParagraph"/>
        <w:rPr>
          <w:sz w:val="20"/>
        </w:rPr>
      </w:pPr>
    </w:p>
    <w:p w14:paraId="60C0B0CA" w14:textId="77777777" w:rsidR="00C63C59" w:rsidRDefault="00C63C59" w:rsidP="00662410">
      <w:pPr>
        <w:pStyle w:val="ListParagraph"/>
        <w:rPr>
          <w:sz w:val="20"/>
        </w:rPr>
      </w:pPr>
    </w:p>
    <w:p w14:paraId="5B4B31D6" w14:textId="77777777" w:rsidR="00C63C59" w:rsidRPr="00C649E1" w:rsidRDefault="00C63C59" w:rsidP="00662410">
      <w:pPr>
        <w:pStyle w:val="ListParagraph"/>
        <w:rPr>
          <w:sz w:val="20"/>
        </w:rPr>
      </w:pPr>
    </w:p>
    <w:p w14:paraId="6EC3D3A1" w14:textId="77777777" w:rsidR="00FA6290" w:rsidRPr="00C649E1" w:rsidRDefault="00AE7C6B" w:rsidP="00B8679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 w:val="left" w:pos="720"/>
          <w:tab w:val="left" w:pos="1440"/>
        </w:tabs>
        <w:autoSpaceDE w:val="0"/>
        <w:autoSpaceDN w:val="0"/>
        <w:adjustRightInd w:val="0"/>
        <w:ind w:left="0" w:firstLine="0"/>
        <w:jc w:val="both"/>
        <w:textAlignment w:val="baseline"/>
        <w:rPr>
          <w:rFonts w:asciiTheme="majorHAnsi" w:hAnsiTheme="majorHAnsi"/>
          <w:sz w:val="20"/>
          <w:szCs w:val="20"/>
        </w:rPr>
      </w:pPr>
      <w:r w:rsidRPr="00C649E1">
        <w:rPr>
          <w:sz w:val="20"/>
        </w:rPr>
        <w:lastRenderedPageBreak/>
        <w:t xml:space="preserve">The Commission </w:t>
      </w:r>
      <w:r w:rsidR="00FA6290" w:rsidRPr="00C649E1">
        <w:rPr>
          <w:sz w:val="20"/>
        </w:rPr>
        <w:t xml:space="preserve">also </w:t>
      </w:r>
      <w:r w:rsidRPr="00C649E1">
        <w:rPr>
          <w:sz w:val="20"/>
        </w:rPr>
        <w:t xml:space="preserve">notes that </w:t>
      </w:r>
      <w:r w:rsidR="00690EBF" w:rsidRPr="00C649E1">
        <w:rPr>
          <w:sz w:val="20"/>
        </w:rPr>
        <w:t xml:space="preserve">post-conviction </w:t>
      </w:r>
      <w:r w:rsidRPr="00C649E1">
        <w:rPr>
          <w:sz w:val="20"/>
        </w:rPr>
        <w:t>examinations concluded that Mr. Robinson had subtle cognitive deficits</w:t>
      </w:r>
      <w:r w:rsidR="00690EBF" w:rsidRPr="00C649E1">
        <w:rPr>
          <w:sz w:val="20"/>
        </w:rPr>
        <w:t xml:space="preserve">, general learning disabilities, and was more vulnerable to psychological and emotional problems.  </w:t>
      </w:r>
      <w:r w:rsidR="00FA6290" w:rsidRPr="00C649E1">
        <w:rPr>
          <w:sz w:val="20"/>
        </w:rPr>
        <w:t>The district court ruled that, even if the new declarations provided evidence that Mr. Robinson’s life “may have been less positive than was portrayed at trial,” that evidence did not demonstrate how it would have altered the outcome of the trial.</w:t>
      </w:r>
      <w:r w:rsidR="00B86792" w:rsidRPr="00C649E1">
        <w:rPr>
          <w:sz w:val="20"/>
        </w:rPr>
        <w:t xml:space="preserve"> </w:t>
      </w:r>
      <w:r w:rsidR="00E9548A" w:rsidRPr="00C649E1">
        <w:rPr>
          <w:sz w:val="20"/>
        </w:rPr>
        <w:t>A</w:t>
      </w:r>
      <w:r w:rsidR="00B86792" w:rsidRPr="00C649E1">
        <w:rPr>
          <w:sz w:val="20"/>
        </w:rPr>
        <w:t xml:space="preserve">ccording to the court, this information </w:t>
      </w:r>
      <w:r w:rsidR="00FA6290" w:rsidRPr="00C649E1">
        <w:rPr>
          <w:rFonts w:asciiTheme="majorHAnsi" w:hAnsiTheme="majorHAnsi"/>
          <w:sz w:val="20"/>
          <w:szCs w:val="20"/>
        </w:rPr>
        <w:t xml:space="preserve">would have not persuaded the jury, in light of all evidence to the contrary, that Mr. Robinson was less culpable for the murders. </w:t>
      </w:r>
      <w:r w:rsidR="00981AF3" w:rsidRPr="00C649E1">
        <w:rPr>
          <w:sz w:val="20"/>
        </w:rPr>
        <w:t>Regarding Mr. Robinson’s claim that trial counsel failed to sufficiently look for mitigating evidence in his social history, such as his involvement with gangs during his youth, the district court noted that counsel strategically chose not to emphasize this information because of fear that it would harm Mr. Robinson’s case more than it would help.</w:t>
      </w:r>
    </w:p>
    <w:p w14:paraId="699AAF1D" w14:textId="77777777" w:rsidR="00B807C7" w:rsidRPr="00C649E1" w:rsidRDefault="00B807C7" w:rsidP="00B807C7">
      <w:pPr>
        <w:pStyle w:val="ListParagraph"/>
        <w:rPr>
          <w:sz w:val="20"/>
        </w:rPr>
      </w:pPr>
    </w:p>
    <w:p w14:paraId="6E3CCD77" w14:textId="77777777" w:rsidR="00981AF3" w:rsidRPr="00C649E1" w:rsidRDefault="00981AF3" w:rsidP="00981AF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s>
        <w:autoSpaceDE w:val="0"/>
        <w:autoSpaceDN w:val="0"/>
        <w:adjustRightInd w:val="0"/>
        <w:ind w:left="0" w:firstLine="0"/>
        <w:jc w:val="both"/>
        <w:rPr>
          <w:sz w:val="20"/>
        </w:rPr>
      </w:pPr>
      <w:r w:rsidRPr="00C649E1">
        <w:rPr>
          <w:sz w:val="20"/>
        </w:rPr>
        <w:t xml:space="preserve">As previously indicated, while States are responsible for ensuring the effective assistance of court-appointed counsel, they are not responsible for what may be understood as decisions of strategy or for every possible shortcoming. </w:t>
      </w:r>
      <w:r w:rsidR="00354EA8" w:rsidRPr="00C649E1">
        <w:rPr>
          <w:sz w:val="20"/>
        </w:rPr>
        <w:t>Regarding the above-mentioned claims</w:t>
      </w:r>
      <w:r w:rsidRPr="00C649E1">
        <w:rPr>
          <w:sz w:val="20"/>
        </w:rPr>
        <w:t xml:space="preserve">, </w:t>
      </w:r>
      <w:r w:rsidRPr="00C649E1">
        <w:rPr>
          <w:rFonts w:asciiTheme="majorHAnsi" w:hAnsiTheme="majorHAnsi"/>
          <w:sz w:val="20"/>
          <w:szCs w:val="20"/>
        </w:rPr>
        <w:t xml:space="preserve">the IACHR does not have sufficient factual elements to determine that </w:t>
      </w:r>
      <w:r w:rsidRPr="00C649E1">
        <w:rPr>
          <w:sz w:val="20"/>
        </w:rPr>
        <w:t xml:space="preserve">trial counsel failed to adequately prepare for the penalty phase in detriment of Mr. Robinson’s right to </w:t>
      </w:r>
      <w:r w:rsidRPr="00C649E1">
        <w:rPr>
          <w:rFonts w:asciiTheme="majorHAnsi" w:hAnsiTheme="majorHAnsi"/>
          <w:sz w:val="20"/>
          <w:szCs w:val="20"/>
        </w:rPr>
        <w:t>effective legal representation</w:t>
      </w:r>
      <w:r w:rsidRPr="00C649E1">
        <w:rPr>
          <w:sz w:val="20"/>
        </w:rPr>
        <w:t>.</w:t>
      </w:r>
    </w:p>
    <w:p w14:paraId="2DA33795" w14:textId="77777777" w:rsidR="00981AF3" w:rsidRPr="00C649E1" w:rsidRDefault="00981AF3" w:rsidP="00981AF3">
      <w:pPr>
        <w:pStyle w:val="ListParagraph"/>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360"/>
        </w:tabs>
        <w:autoSpaceDE w:val="0"/>
        <w:autoSpaceDN w:val="0"/>
        <w:adjustRightInd w:val="0"/>
        <w:ind w:left="0"/>
        <w:jc w:val="both"/>
        <w:rPr>
          <w:sz w:val="20"/>
        </w:rPr>
      </w:pPr>
    </w:p>
    <w:p w14:paraId="69981197" w14:textId="77777777" w:rsidR="00802CB0" w:rsidRPr="00C649E1" w:rsidRDefault="00B66AAC" w:rsidP="002E38C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C649E1">
        <w:rPr>
          <w:sz w:val="20"/>
        </w:rPr>
        <w:t>W</w:t>
      </w:r>
      <w:r w:rsidR="007C4878" w:rsidRPr="00C649E1">
        <w:rPr>
          <w:sz w:val="20"/>
        </w:rPr>
        <w:t>ith regard to the investigat</w:t>
      </w:r>
      <w:r w:rsidR="000B3477" w:rsidRPr="00C649E1">
        <w:rPr>
          <w:sz w:val="20"/>
        </w:rPr>
        <w:t>ion of</w:t>
      </w:r>
      <w:r w:rsidR="007C4878" w:rsidRPr="00C649E1">
        <w:rPr>
          <w:sz w:val="20"/>
        </w:rPr>
        <w:t xml:space="preserve"> the prosecution’s evidence of future dangerousness, </w:t>
      </w:r>
      <w:r w:rsidR="007B6366" w:rsidRPr="00C649E1">
        <w:rPr>
          <w:sz w:val="20"/>
        </w:rPr>
        <w:t xml:space="preserve">the record before </w:t>
      </w:r>
      <w:r w:rsidR="00802CB0" w:rsidRPr="00C649E1">
        <w:rPr>
          <w:sz w:val="20"/>
        </w:rPr>
        <w:t xml:space="preserve">the Commission </w:t>
      </w:r>
      <w:r w:rsidR="007B6366" w:rsidRPr="00C649E1">
        <w:rPr>
          <w:sz w:val="20"/>
        </w:rPr>
        <w:t>shows</w:t>
      </w:r>
      <w:r w:rsidR="00802CB0" w:rsidRPr="00C649E1">
        <w:rPr>
          <w:sz w:val="20"/>
        </w:rPr>
        <w:t xml:space="preserve"> that </w:t>
      </w:r>
      <w:r w:rsidR="007B6366" w:rsidRPr="00C649E1">
        <w:rPr>
          <w:sz w:val="20"/>
        </w:rPr>
        <w:t xml:space="preserve">trial counsel failed to interview the persons involved in the incident that gave rise to the alleged </w:t>
      </w:r>
      <w:r w:rsidR="007B6366" w:rsidRPr="00C649E1">
        <w:rPr>
          <w:rFonts w:asciiTheme="majorHAnsi" w:hAnsiTheme="majorHAnsi"/>
          <w:sz w:val="20"/>
          <w:szCs w:val="20"/>
        </w:rPr>
        <w:t>attempt on the life of an informant.</w:t>
      </w:r>
      <w:r w:rsidR="00802CB0" w:rsidRPr="00C649E1">
        <w:rPr>
          <w:sz w:val="20"/>
        </w:rPr>
        <w:t xml:space="preserve"> </w:t>
      </w:r>
      <w:r w:rsidR="007B6366" w:rsidRPr="00C649E1">
        <w:rPr>
          <w:sz w:val="20"/>
        </w:rPr>
        <w:t>In post-conviction</w:t>
      </w:r>
      <w:r w:rsidR="00CC7647" w:rsidRPr="00C649E1">
        <w:rPr>
          <w:sz w:val="20"/>
        </w:rPr>
        <w:t>,</w:t>
      </w:r>
      <w:r w:rsidR="007B6366" w:rsidRPr="00C649E1">
        <w:rPr>
          <w:sz w:val="20"/>
        </w:rPr>
        <w:t xml:space="preserve"> </w:t>
      </w:r>
      <w:r w:rsidR="00382956" w:rsidRPr="00C649E1">
        <w:rPr>
          <w:sz w:val="20"/>
        </w:rPr>
        <w:t>defense counsel</w:t>
      </w:r>
      <w:r w:rsidR="007B6366" w:rsidRPr="00C649E1">
        <w:rPr>
          <w:sz w:val="20"/>
        </w:rPr>
        <w:t xml:space="preserve"> </w:t>
      </w:r>
      <w:r w:rsidR="00382956" w:rsidRPr="00C649E1">
        <w:rPr>
          <w:sz w:val="20"/>
        </w:rPr>
        <w:t xml:space="preserve">interviewed the </w:t>
      </w:r>
      <w:r w:rsidR="001C3D2F" w:rsidRPr="00C649E1">
        <w:rPr>
          <w:sz w:val="20"/>
        </w:rPr>
        <w:t xml:space="preserve">three </w:t>
      </w:r>
      <w:r w:rsidR="00382956" w:rsidRPr="00C649E1">
        <w:rPr>
          <w:sz w:val="20"/>
        </w:rPr>
        <w:t>persons</w:t>
      </w:r>
      <w:r w:rsidR="00FE3EFB" w:rsidRPr="00C649E1">
        <w:rPr>
          <w:sz w:val="20"/>
        </w:rPr>
        <w:t xml:space="preserve"> involved, who</w:t>
      </w:r>
      <w:r w:rsidR="00382956" w:rsidRPr="00C649E1">
        <w:rPr>
          <w:sz w:val="20"/>
        </w:rPr>
        <w:t xml:space="preserve"> </w:t>
      </w:r>
      <w:r w:rsidR="00382956" w:rsidRPr="00C649E1">
        <w:rPr>
          <w:rFonts w:asciiTheme="majorHAnsi" w:eastAsia="Arial Unicode MS" w:hAnsiTheme="majorHAnsi" w:cs="Times New Roman"/>
          <w:color w:val="auto"/>
          <w:sz w:val="20"/>
          <w:szCs w:val="20"/>
          <w:lang w:eastAsia="en-US"/>
        </w:rPr>
        <w:t xml:space="preserve">denied having acted under Mr. Robinson’s orders. </w:t>
      </w:r>
      <w:r w:rsidR="00555630" w:rsidRPr="00C649E1">
        <w:rPr>
          <w:rFonts w:asciiTheme="majorHAnsi" w:eastAsia="Arial Unicode MS" w:hAnsiTheme="majorHAnsi" w:cs="Times New Roman"/>
          <w:color w:val="auto"/>
          <w:sz w:val="20"/>
          <w:szCs w:val="20"/>
          <w:lang w:eastAsia="en-US"/>
        </w:rPr>
        <w:t>The district court ruled that it was unlikely that</w:t>
      </w:r>
      <w:r w:rsidR="001C3D2F" w:rsidRPr="00C649E1">
        <w:rPr>
          <w:rFonts w:asciiTheme="majorHAnsi" w:eastAsia="Arial Unicode MS" w:hAnsiTheme="majorHAnsi" w:cs="Times New Roman"/>
          <w:color w:val="auto"/>
          <w:sz w:val="20"/>
          <w:szCs w:val="20"/>
          <w:lang w:eastAsia="en-US"/>
        </w:rPr>
        <w:t xml:space="preserve"> the punishment would have been different if the jury had been presented with these versions of </w:t>
      </w:r>
      <w:r w:rsidR="00164552" w:rsidRPr="00C649E1">
        <w:rPr>
          <w:rFonts w:asciiTheme="majorHAnsi" w:eastAsia="Arial Unicode MS" w:hAnsiTheme="majorHAnsi" w:cs="Times New Roman"/>
          <w:color w:val="auto"/>
          <w:sz w:val="20"/>
          <w:szCs w:val="20"/>
          <w:lang w:eastAsia="en-US"/>
        </w:rPr>
        <w:t xml:space="preserve">the </w:t>
      </w:r>
      <w:r w:rsidR="001C3D2F" w:rsidRPr="00C649E1">
        <w:rPr>
          <w:rFonts w:asciiTheme="majorHAnsi" w:eastAsia="Arial Unicode MS" w:hAnsiTheme="majorHAnsi" w:cs="Times New Roman"/>
          <w:color w:val="auto"/>
          <w:sz w:val="20"/>
          <w:szCs w:val="20"/>
          <w:lang w:eastAsia="en-US"/>
        </w:rPr>
        <w:t xml:space="preserve">events, versions that the court considered contradictory. </w:t>
      </w:r>
      <w:r w:rsidR="00555630" w:rsidRPr="00C649E1">
        <w:rPr>
          <w:rFonts w:asciiTheme="majorHAnsi" w:eastAsia="Arial Unicode MS" w:hAnsiTheme="majorHAnsi" w:cs="Times New Roman"/>
          <w:color w:val="auto"/>
          <w:sz w:val="20"/>
          <w:szCs w:val="20"/>
          <w:lang w:eastAsia="en-US"/>
        </w:rPr>
        <w:t xml:space="preserve"> </w:t>
      </w:r>
    </w:p>
    <w:p w14:paraId="09E7AC1E" w14:textId="77777777" w:rsidR="00CB3FFC" w:rsidRPr="00C649E1" w:rsidRDefault="00CB3FFC" w:rsidP="00CB3FFC">
      <w:pPr>
        <w:pStyle w:val="ListParagraph"/>
        <w:rPr>
          <w:sz w:val="20"/>
        </w:rPr>
      </w:pPr>
    </w:p>
    <w:p w14:paraId="17C2C1B5" w14:textId="77777777" w:rsidR="00E15B49" w:rsidRPr="00C649E1" w:rsidRDefault="00CB3FFC" w:rsidP="00D80E08">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firstLine="0"/>
        <w:jc w:val="both"/>
        <w:rPr>
          <w:sz w:val="20"/>
        </w:rPr>
      </w:pPr>
      <w:r w:rsidRPr="00C649E1">
        <w:rPr>
          <w:sz w:val="20"/>
        </w:rPr>
        <w:t xml:space="preserve">The Commission notes that </w:t>
      </w:r>
      <w:r w:rsidR="000B3477" w:rsidRPr="00C649E1">
        <w:rPr>
          <w:sz w:val="20"/>
        </w:rPr>
        <w:t xml:space="preserve">trial </w:t>
      </w:r>
      <w:r w:rsidRPr="00C649E1">
        <w:rPr>
          <w:sz w:val="20"/>
        </w:rPr>
        <w:t xml:space="preserve">counsel’s failure to investigate resulted in an inability to rebut evidence of future dangerousness. </w:t>
      </w:r>
      <w:r w:rsidR="005A0046" w:rsidRPr="00C649E1">
        <w:rPr>
          <w:sz w:val="20"/>
        </w:rPr>
        <w:t xml:space="preserve">As indicated above, capital sentencing juries in Texas are required to find that defendants pose a continuing threat to society before they may impose the death penalty. </w:t>
      </w:r>
      <w:r w:rsidR="00F2719B" w:rsidRPr="00C649E1">
        <w:rPr>
          <w:sz w:val="20"/>
        </w:rPr>
        <w:t>Therefore, any rebuttal of such evidence introduced by the prosecution might in practice have an impact in the imposition of the death penalty. Had</w:t>
      </w:r>
      <w:r w:rsidR="00F2719B" w:rsidRPr="00C649E1">
        <w:rPr>
          <w:rFonts w:asciiTheme="majorHAnsi" w:hAnsiTheme="majorHAnsi"/>
          <w:sz w:val="20"/>
          <w:szCs w:val="20"/>
        </w:rPr>
        <w:t xml:space="preserve"> trial counsel </w:t>
      </w:r>
      <w:r w:rsidR="00D80E08" w:rsidRPr="00C649E1">
        <w:rPr>
          <w:sz w:val="20"/>
        </w:rPr>
        <w:t xml:space="preserve">interviewed the three persons involved in the incident who </w:t>
      </w:r>
      <w:r w:rsidR="00D80E08" w:rsidRPr="00C649E1">
        <w:rPr>
          <w:rFonts w:asciiTheme="majorHAnsi" w:eastAsia="Arial Unicode MS" w:hAnsiTheme="majorHAnsi" w:cs="Times New Roman"/>
          <w:color w:val="auto"/>
          <w:sz w:val="20"/>
          <w:szCs w:val="20"/>
          <w:lang w:eastAsia="en-US"/>
        </w:rPr>
        <w:t>denied having acted under Mr. Robinson’s orders</w:t>
      </w:r>
      <w:r w:rsidR="00F2719B" w:rsidRPr="00C649E1">
        <w:rPr>
          <w:rFonts w:asciiTheme="majorHAnsi" w:hAnsiTheme="majorHAnsi"/>
          <w:sz w:val="20"/>
          <w:szCs w:val="20"/>
        </w:rPr>
        <w:t>,</w:t>
      </w:r>
      <w:r w:rsidR="00D80E08" w:rsidRPr="00C649E1">
        <w:rPr>
          <w:rFonts w:asciiTheme="majorHAnsi" w:hAnsiTheme="majorHAnsi"/>
          <w:sz w:val="20"/>
          <w:szCs w:val="20"/>
        </w:rPr>
        <w:t xml:space="preserve"> </w:t>
      </w:r>
      <w:r w:rsidR="00F2719B" w:rsidRPr="00C649E1">
        <w:rPr>
          <w:rFonts w:asciiTheme="majorHAnsi" w:hAnsiTheme="majorHAnsi"/>
          <w:sz w:val="20"/>
          <w:szCs w:val="20"/>
        </w:rPr>
        <w:t xml:space="preserve">they could have persuaded </w:t>
      </w:r>
      <w:r w:rsidR="00A84775" w:rsidRPr="00C649E1">
        <w:rPr>
          <w:rFonts w:asciiTheme="majorHAnsi" w:hAnsiTheme="majorHAnsi"/>
          <w:sz w:val="20"/>
          <w:szCs w:val="20"/>
        </w:rPr>
        <w:t>the jurors</w:t>
      </w:r>
      <w:r w:rsidR="00F2719B" w:rsidRPr="00C649E1">
        <w:rPr>
          <w:rFonts w:asciiTheme="majorHAnsi" w:hAnsiTheme="majorHAnsi"/>
          <w:sz w:val="20"/>
          <w:szCs w:val="20"/>
        </w:rPr>
        <w:t xml:space="preserve"> </w:t>
      </w:r>
      <w:r w:rsidR="00D80E08" w:rsidRPr="00C649E1">
        <w:rPr>
          <w:rFonts w:asciiTheme="majorHAnsi" w:hAnsiTheme="majorHAnsi"/>
          <w:sz w:val="20"/>
          <w:szCs w:val="20"/>
        </w:rPr>
        <w:t>that Mr. Robinson did not pose a continuing threat to society so the</w:t>
      </w:r>
      <w:r w:rsidR="00A84775" w:rsidRPr="00C649E1">
        <w:rPr>
          <w:rFonts w:asciiTheme="majorHAnsi" w:hAnsiTheme="majorHAnsi"/>
          <w:sz w:val="20"/>
          <w:szCs w:val="20"/>
        </w:rPr>
        <w:t>y</w:t>
      </w:r>
      <w:r w:rsidR="00D80E08" w:rsidRPr="00C649E1">
        <w:rPr>
          <w:rFonts w:asciiTheme="majorHAnsi" w:hAnsiTheme="majorHAnsi"/>
          <w:sz w:val="20"/>
          <w:szCs w:val="20"/>
        </w:rPr>
        <w:t xml:space="preserve"> could</w:t>
      </w:r>
      <w:r w:rsidR="00F2719B" w:rsidRPr="00C649E1">
        <w:rPr>
          <w:rFonts w:asciiTheme="majorHAnsi" w:hAnsiTheme="majorHAnsi"/>
          <w:sz w:val="20"/>
          <w:szCs w:val="20"/>
        </w:rPr>
        <w:t xml:space="preserve"> spare Mr. </w:t>
      </w:r>
      <w:r w:rsidR="00D80E08" w:rsidRPr="00C649E1">
        <w:rPr>
          <w:rFonts w:asciiTheme="majorHAnsi" w:hAnsiTheme="majorHAnsi"/>
          <w:sz w:val="20"/>
          <w:szCs w:val="20"/>
        </w:rPr>
        <w:t>Robinson</w:t>
      </w:r>
      <w:r w:rsidR="00F2719B" w:rsidRPr="00C649E1">
        <w:rPr>
          <w:rFonts w:asciiTheme="majorHAnsi" w:hAnsiTheme="majorHAnsi"/>
          <w:sz w:val="20"/>
          <w:szCs w:val="20"/>
        </w:rPr>
        <w:t>’s life notwithstanding the seriousness of his crime.</w:t>
      </w:r>
      <w:r w:rsidR="00D80E08" w:rsidRPr="00C649E1">
        <w:rPr>
          <w:sz w:val="20"/>
        </w:rPr>
        <w:t xml:space="preserve"> G</w:t>
      </w:r>
      <w:r w:rsidR="00E15B49" w:rsidRPr="00C649E1">
        <w:rPr>
          <w:sz w:val="20"/>
        </w:rPr>
        <w:t>iven the strict scrutiny applied in death penalty cases</w:t>
      </w:r>
      <w:r w:rsidR="00AC6143" w:rsidRPr="00C649E1">
        <w:rPr>
          <w:sz w:val="20"/>
        </w:rPr>
        <w:t xml:space="preserve"> </w:t>
      </w:r>
      <w:r w:rsidR="00164552" w:rsidRPr="00C649E1">
        <w:rPr>
          <w:sz w:val="20"/>
        </w:rPr>
        <w:t>and</w:t>
      </w:r>
      <w:r w:rsidR="00572E10" w:rsidRPr="00C649E1">
        <w:rPr>
          <w:sz w:val="20"/>
        </w:rPr>
        <w:t xml:space="preserve"> the interests at stake</w:t>
      </w:r>
      <w:r w:rsidR="00E15B49" w:rsidRPr="00C649E1">
        <w:rPr>
          <w:sz w:val="20"/>
        </w:rPr>
        <w:t xml:space="preserve">, </w:t>
      </w:r>
      <w:r w:rsidR="000B3477" w:rsidRPr="00C649E1">
        <w:rPr>
          <w:sz w:val="20"/>
        </w:rPr>
        <w:t>the sole possibility of a different outcome</w:t>
      </w:r>
      <w:r w:rsidR="00572E10" w:rsidRPr="00C649E1">
        <w:rPr>
          <w:sz w:val="20"/>
        </w:rPr>
        <w:t xml:space="preserve"> warrants that such failure should have been corrected by the courts.</w:t>
      </w:r>
      <w:r w:rsidR="000B3477" w:rsidRPr="00C649E1">
        <w:rPr>
          <w:sz w:val="20"/>
        </w:rPr>
        <w:t xml:space="preserve"> </w:t>
      </w:r>
    </w:p>
    <w:p w14:paraId="258E092F" w14:textId="77777777" w:rsidR="00E15B49" w:rsidRPr="00C649E1" w:rsidRDefault="00E15B49" w:rsidP="00E15B4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s>
        <w:autoSpaceDE w:val="0"/>
        <w:autoSpaceDN w:val="0"/>
        <w:adjustRightInd w:val="0"/>
        <w:ind w:left="0"/>
        <w:jc w:val="both"/>
        <w:rPr>
          <w:sz w:val="20"/>
        </w:rPr>
      </w:pPr>
    </w:p>
    <w:p w14:paraId="55030E0A" w14:textId="77777777" w:rsidR="00680273" w:rsidRPr="00C649E1" w:rsidRDefault="00981AF3" w:rsidP="00AB6F6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num" w:pos="0"/>
          <w:tab w:val="left" w:pos="360"/>
        </w:tabs>
        <w:autoSpaceDE w:val="0"/>
        <w:autoSpaceDN w:val="0"/>
        <w:adjustRightInd w:val="0"/>
        <w:ind w:left="0" w:firstLine="0"/>
        <w:jc w:val="both"/>
        <w:rPr>
          <w:sz w:val="20"/>
        </w:rPr>
      </w:pPr>
      <w:r w:rsidRPr="00C649E1">
        <w:rPr>
          <w:sz w:val="20"/>
        </w:rPr>
        <w:t xml:space="preserve">Finally, </w:t>
      </w:r>
      <w:r w:rsidR="002E1EAC" w:rsidRPr="00C649E1">
        <w:rPr>
          <w:sz w:val="20"/>
        </w:rPr>
        <w:t xml:space="preserve">the Commission notes that </w:t>
      </w:r>
      <w:r w:rsidR="00FC0B6E" w:rsidRPr="00C649E1">
        <w:rPr>
          <w:sz w:val="20"/>
        </w:rPr>
        <w:t xml:space="preserve">Mr. Robinson’s counsel chose not to raise </w:t>
      </w:r>
      <w:r w:rsidR="00FC0B6E" w:rsidRPr="00C649E1">
        <w:rPr>
          <w:i/>
          <w:sz w:val="20"/>
        </w:rPr>
        <w:t>Batson</w:t>
      </w:r>
      <w:r w:rsidR="00FC0B6E" w:rsidRPr="00C649E1">
        <w:rPr>
          <w:sz w:val="20"/>
        </w:rPr>
        <w:t xml:space="preserve"> as a ground in direct appeal. </w:t>
      </w:r>
      <w:r w:rsidR="00D5431C" w:rsidRPr="00C649E1">
        <w:rPr>
          <w:sz w:val="20"/>
        </w:rPr>
        <w:t xml:space="preserve">As it has already been established, defense counsel raised </w:t>
      </w:r>
      <w:r w:rsidR="00D5431C" w:rsidRPr="00C649E1">
        <w:rPr>
          <w:i/>
          <w:sz w:val="20"/>
        </w:rPr>
        <w:t>Batson</w:t>
      </w:r>
      <w:r w:rsidR="00D5431C" w:rsidRPr="00C649E1">
        <w:rPr>
          <w:sz w:val="20"/>
        </w:rPr>
        <w:t xml:space="preserve"> challenges against the elimination of three black venire members. </w:t>
      </w:r>
      <w:r w:rsidR="00D5431C" w:rsidRPr="00C649E1">
        <w:rPr>
          <w:rFonts w:asciiTheme="majorHAnsi" w:hAnsiTheme="majorHAnsi"/>
          <w:sz w:val="20"/>
          <w:szCs w:val="20"/>
        </w:rPr>
        <w:t>The court accepted the prosecutor’s race-neutral explanation for striking the third venire member, notwithstanding</w:t>
      </w:r>
      <w:r w:rsidR="00046729" w:rsidRPr="00C649E1">
        <w:rPr>
          <w:rFonts w:asciiTheme="majorHAnsi" w:hAnsiTheme="majorHAnsi"/>
          <w:sz w:val="20"/>
          <w:szCs w:val="20"/>
        </w:rPr>
        <w:t xml:space="preserve"> a mistake </w:t>
      </w:r>
      <w:r w:rsidR="00F532C9" w:rsidRPr="00C649E1">
        <w:rPr>
          <w:rFonts w:asciiTheme="majorHAnsi" w:hAnsiTheme="majorHAnsi"/>
          <w:sz w:val="20"/>
          <w:szCs w:val="20"/>
        </w:rPr>
        <w:t xml:space="preserve">in the review of a questionnaire. The IACHR concluded that, considering the particularly strict level of scrutiny required in cases of possible racial discrimination, especially in death penalty cases, such an error tainted the prosecutor’s explanation and therefore the peremptory strike should have been the object of a thorough review. </w:t>
      </w:r>
    </w:p>
    <w:p w14:paraId="713E77C9" w14:textId="77777777" w:rsidR="009E6EE2" w:rsidRPr="00C649E1" w:rsidRDefault="009E6EE2" w:rsidP="00E863BB">
      <w:pPr>
        <w:rPr>
          <w:rFonts w:asciiTheme="majorHAnsi" w:hAnsiTheme="majorHAnsi"/>
          <w:sz w:val="20"/>
          <w:szCs w:val="20"/>
        </w:rPr>
      </w:pPr>
    </w:p>
    <w:p w14:paraId="04865847" w14:textId="77777777" w:rsidR="00E863BB" w:rsidRPr="00C649E1" w:rsidRDefault="00E863BB" w:rsidP="00AC6143">
      <w:pPr>
        <w:pStyle w:val="NormalWeb"/>
        <w:numPr>
          <w:ilvl w:val="0"/>
          <w:numId w:val="55"/>
        </w:numPr>
        <w:shd w:val="clear" w:color="auto" w:fill="FFFFFF"/>
        <w:tabs>
          <w:tab w:val="left" w:pos="360"/>
          <w:tab w:val="left" w:pos="540"/>
        </w:tabs>
        <w:spacing w:before="0" w:beforeAutospacing="0" w:after="0" w:afterAutospacing="0"/>
        <w:ind w:left="0" w:firstLine="0"/>
        <w:jc w:val="both"/>
        <w:rPr>
          <w:rFonts w:ascii="Cambria" w:hAnsi="Cambria"/>
          <w:sz w:val="20"/>
          <w:szCs w:val="20"/>
        </w:rPr>
      </w:pPr>
      <w:r w:rsidRPr="00C649E1">
        <w:rPr>
          <w:rFonts w:ascii="Cambria" w:hAnsi="Cambria"/>
          <w:sz w:val="20"/>
          <w:szCs w:val="20"/>
        </w:rPr>
        <w:t xml:space="preserve">Considering that </w:t>
      </w:r>
      <w:r w:rsidRPr="00C649E1">
        <w:rPr>
          <w:rFonts w:ascii="Cambria" w:hAnsi="Cambria" w:cs="Arial"/>
          <w:sz w:val="20"/>
          <w:szCs w:val="20"/>
        </w:rPr>
        <w:t>the fundamental due process and fair trial requirements for capital trials include the obligation to afford adequate legal representation, and that the failure to</w:t>
      </w:r>
      <w:r w:rsidR="005F6768" w:rsidRPr="00C649E1">
        <w:rPr>
          <w:rFonts w:ascii="Cambria" w:hAnsi="Cambria" w:cs="Arial"/>
          <w:sz w:val="20"/>
          <w:szCs w:val="20"/>
        </w:rPr>
        <w:t xml:space="preserve"> adequately investigate and rebut the prosecution’s evidence and</w:t>
      </w:r>
      <w:r w:rsidR="008B443E" w:rsidRPr="00C649E1">
        <w:rPr>
          <w:rFonts w:ascii="Cambria" w:hAnsi="Cambria" w:cs="Arial"/>
          <w:sz w:val="20"/>
          <w:szCs w:val="20"/>
        </w:rPr>
        <w:t xml:space="preserve"> to </w:t>
      </w:r>
      <w:r w:rsidRPr="00C649E1">
        <w:rPr>
          <w:rFonts w:ascii="Cambria" w:hAnsi="Cambria" w:cs="Arial"/>
          <w:sz w:val="20"/>
          <w:szCs w:val="20"/>
        </w:rPr>
        <w:t xml:space="preserve">adequately appeal the </w:t>
      </w:r>
      <w:r w:rsidR="00626109" w:rsidRPr="00C649E1">
        <w:rPr>
          <w:rFonts w:ascii="Cambria" w:hAnsi="Cambria" w:cs="Arial"/>
          <w:sz w:val="20"/>
          <w:szCs w:val="20"/>
        </w:rPr>
        <w:t>death</w:t>
      </w:r>
      <w:r w:rsidRPr="00C649E1">
        <w:rPr>
          <w:rFonts w:ascii="Cambria" w:hAnsi="Cambria" w:cs="Arial"/>
          <w:sz w:val="20"/>
          <w:szCs w:val="20"/>
        </w:rPr>
        <w:t xml:space="preserve"> sentence would constitute inadequate representation, the Inter-American Commission concludes that the United States violated Mr. Ro</w:t>
      </w:r>
      <w:r w:rsidR="00626109" w:rsidRPr="00C649E1">
        <w:rPr>
          <w:rFonts w:ascii="Cambria" w:hAnsi="Cambria" w:cs="Arial"/>
          <w:sz w:val="20"/>
          <w:szCs w:val="20"/>
        </w:rPr>
        <w:t>binson</w:t>
      </w:r>
      <w:r w:rsidRPr="00C649E1">
        <w:rPr>
          <w:rFonts w:ascii="Cambria" w:hAnsi="Cambria" w:cs="Arial"/>
          <w:sz w:val="20"/>
          <w:szCs w:val="20"/>
        </w:rPr>
        <w:t>’s right to due process and to a fair trial under Articles XVIII and XXVI of the American Declaration.</w:t>
      </w:r>
      <w:r w:rsidR="005F6768" w:rsidRPr="00C649E1">
        <w:rPr>
          <w:rFonts w:ascii="Cambria" w:hAnsi="Cambria" w:cs="Arial"/>
          <w:sz w:val="20"/>
          <w:szCs w:val="20"/>
        </w:rPr>
        <w:t xml:space="preserve"> The Commission also concludes that Mr. Robinson’s lacked an effective remedy to </w:t>
      </w:r>
      <w:r w:rsidR="001A326A" w:rsidRPr="00C649E1">
        <w:rPr>
          <w:rFonts w:ascii="Cambria" w:hAnsi="Cambria" w:cs="Arial"/>
          <w:sz w:val="20"/>
          <w:szCs w:val="20"/>
        </w:rPr>
        <w:t xml:space="preserve">assert his claim of failure to investigate and rebut the prosecutor’s evidence regarding future dangerousness. </w:t>
      </w:r>
    </w:p>
    <w:p w14:paraId="30F551D1" w14:textId="77777777" w:rsidR="009E6EE2" w:rsidRDefault="009E6EE2"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4E509757" w14:textId="77777777" w:rsidR="00C63C59" w:rsidRDefault="00C63C59"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04CACB56" w14:textId="77777777" w:rsidR="00C63C59" w:rsidRDefault="00C63C59"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72E756D7" w14:textId="77777777" w:rsidR="00C63C59" w:rsidRDefault="00C63C59"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2FFB6394" w14:textId="77777777" w:rsidR="00C63C59" w:rsidRDefault="00C63C59"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5A27E6C7" w14:textId="77777777" w:rsidR="00C63C59" w:rsidRDefault="00C63C59"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47CD3B1B" w14:textId="77777777" w:rsidR="00C63C59" w:rsidRPr="00C649E1" w:rsidRDefault="00C63C59" w:rsidP="00AB6F62">
      <w:pPr>
        <w:pStyle w:val="NormalWeb"/>
        <w:shd w:val="clear" w:color="auto" w:fill="FFFFFF"/>
        <w:tabs>
          <w:tab w:val="left" w:pos="360"/>
        </w:tabs>
        <w:spacing w:before="0" w:beforeAutospacing="0" w:after="0" w:afterAutospacing="0"/>
        <w:jc w:val="both"/>
        <w:rPr>
          <w:rFonts w:ascii="Cambria" w:hAnsi="Cambria"/>
          <w:sz w:val="20"/>
          <w:szCs w:val="20"/>
        </w:rPr>
      </w:pPr>
    </w:p>
    <w:p w14:paraId="27615A58" w14:textId="77777777" w:rsidR="00840141" w:rsidRPr="00C649E1" w:rsidRDefault="00840141" w:rsidP="00840141">
      <w:pPr>
        <w:pStyle w:val="Heading2"/>
        <w:numPr>
          <w:ilvl w:val="0"/>
          <w:numId w:val="61"/>
        </w:numPr>
        <w:tabs>
          <w:tab w:val="left" w:pos="360"/>
        </w:tabs>
        <w:spacing w:before="0"/>
        <w:ind w:left="0" w:firstLine="0"/>
        <w:jc w:val="both"/>
        <w:rPr>
          <w:color w:val="auto"/>
          <w:sz w:val="20"/>
          <w:szCs w:val="20"/>
        </w:rPr>
      </w:pPr>
      <w:bookmarkStart w:id="82" w:name="_Toc6226983"/>
      <w:bookmarkStart w:id="83" w:name="_Toc22915028"/>
      <w:bookmarkStart w:id="84" w:name="_Toc45105395"/>
      <w:bookmarkStart w:id="85" w:name="_Toc70417433"/>
      <w:r w:rsidRPr="00C649E1">
        <w:rPr>
          <w:color w:val="auto"/>
          <w:sz w:val="20"/>
          <w:szCs w:val="20"/>
        </w:rPr>
        <w:lastRenderedPageBreak/>
        <w:t>The right to access to information</w:t>
      </w:r>
      <w:r w:rsidRPr="00C649E1">
        <w:rPr>
          <w:rStyle w:val="FootnoteReference"/>
          <w:rFonts w:eastAsia="Arial Unicode MS"/>
          <w:bCs w:val="0"/>
          <w:color w:val="auto"/>
          <w:sz w:val="20"/>
          <w:szCs w:val="20"/>
        </w:rPr>
        <w:footnoteReference w:id="83"/>
      </w:r>
      <w:r w:rsidRPr="00C649E1">
        <w:rPr>
          <w:rStyle w:val="FootnoteReference"/>
          <w:rFonts w:eastAsia="Arial Unicode MS"/>
          <w:bCs w:val="0"/>
        </w:rPr>
        <w:t xml:space="preserve"> </w:t>
      </w:r>
      <w:r w:rsidRPr="00C649E1">
        <w:rPr>
          <w:color w:val="auto"/>
          <w:sz w:val="20"/>
          <w:szCs w:val="20"/>
        </w:rPr>
        <w:t>with respect to the death penalty decision-making process and the lethal injection protocol</w:t>
      </w:r>
      <w:bookmarkEnd w:id="82"/>
      <w:bookmarkEnd w:id="83"/>
      <w:bookmarkEnd w:id="84"/>
      <w:bookmarkEnd w:id="85"/>
    </w:p>
    <w:p w14:paraId="5CD3AC25" w14:textId="77777777" w:rsidR="00840141" w:rsidRPr="00C649E1" w:rsidRDefault="00840141" w:rsidP="00840141">
      <w:pPr>
        <w:pStyle w:val="Heading2"/>
        <w:keepLines w:val="0"/>
        <w:pBdr>
          <w:top w:val="none" w:sz="0" w:space="0" w:color="auto"/>
          <w:left w:val="none" w:sz="0" w:space="0" w:color="auto"/>
          <w:bottom w:val="none" w:sz="0" w:space="0" w:color="auto"/>
          <w:right w:val="none" w:sz="0" w:space="0" w:color="auto"/>
          <w:between w:val="none" w:sz="0" w:space="0" w:color="auto"/>
          <w:bar w:val="none" w:sz="0" w:color="auto"/>
        </w:pBdr>
        <w:spacing w:before="0"/>
        <w:ind w:left="1440" w:hanging="720"/>
        <w:jc w:val="both"/>
        <w:rPr>
          <w:color w:val="auto"/>
          <w:sz w:val="20"/>
          <w:szCs w:val="20"/>
        </w:rPr>
      </w:pPr>
    </w:p>
    <w:p w14:paraId="3F8000E7" w14:textId="77777777" w:rsidR="00840141" w:rsidRPr="00C649E1" w:rsidRDefault="00840141" w:rsidP="007905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num" w:pos="2040"/>
        </w:tabs>
        <w:ind w:left="0" w:firstLine="0"/>
        <w:jc w:val="both"/>
      </w:pPr>
      <w:r w:rsidRPr="00C649E1">
        <w:rPr>
          <w:rFonts w:ascii="Cambria" w:hAnsi="Cambria"/>
          <w:bCs/>
          <w:sz w:val="20"/>
          <w:szCs w:val="20"/>
        </w:rPr>
        <w:t xml:space="preserve">The Commission notes that Mr. Robinson was twice denied access to relevant information during the proceedings. First, a </w:t>
      </w:r>
      <w:r w:rsidRPr="00C649E1">
        <w:rPr>
          <w:rFonts w:ascii="Cambria" w:hAnsi="Cambria"/>
          <w:sz w:val="20"/>
          <w:szCs w:val="20"/>
        </w:rPr>
        <w:t>request for discovery regarding the government’s decision-making in death-penalty cases was denied by the district court. This information was necessary to know the arguments presented by the government to seek the death penalty and identify any possible racial bias. Second,</w:t>
      </w:r>
      <w:r w:rsidR="00D9546A" w:rsidRPr="00C649E1">
        <w:rPr>
          <w:rFonts w:ascii="Cambria" w:hAnsi="Cambria"/>
          <w:sz w:val="20"/>
          <w:szCs w:val="20"/>
        </w:rPr>
        <w:t xml:space="preserve"> the petitioners </w:t>
      </w:r>
      <w:r w:rsidR="00D9546A" w:rsidRPr="00C649E1">
        <w:rPr>
          <w:rFonts w:asciiTheme="majorHAnsi" w:hAnsiTheme="majorHAnsi"/>
          <w:sz w:val="20"/>
          <w:szCs w:val="20"/>
        </w:rPr>
        <w:t xml:space="preserve">argue that the U.S. Government designated as “confidential” the lethal injection protocol as well as critical portions of deposition testimony revealing the qualifications, training, and procedures used by personnel involved in its lethal injection process. </w:t>
      </w:r>
      <w:r w:rsidR="00D9546A" w:rsidRPr="00C649E1">
        <w:rPr>
          <w:rFonts w:ascii="Cambria" w:hAnsi="Cambria"/>
          <w:sz w:val="20"/>
          <w:szCs w:val="20"/>
        </w:rPr>
        <w:t>The State does not dispute this information.</w:t>
      </w:r>
    </w:p>
    <w:p w14:paraId="2CAF6241" w14:textId="77777777" w:rsidR="00840141" w:rsidRPr="00C649E1" w:rsidRDefault="00840141" w:rsidP="0084014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pPr>
    </w:p>
    <w:p w14:paraId="5F592443" w14:textId="77777777" w:rsidR="00840141" w:rsidRPr="00C649E1" w:rsidRDefault="00840141" w:rsidP="007905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num" w:pos="2040"/>
        </w:tabs>
        <w:ind w:left="0" w:firstLine="0"/>
        <w:jc w:val="both"/>
      </w:pPr>
      <w:r w:rsidRPr="00C649E1">
        <w:rPr>
          <w:rFonts w:asciiTheme="majorHAnsi" w:hAnsiTheme="majorHAnsi"/>
          <w:sz w:val="20"/>
          <w:szCs w:val="20"/>
        </w:rPr>
        <w:t>The right to access to information is a fundamental right protected by Article IV of the American Declaration, and the States have the obligation to guarantee the full exercise of this right.</w:t>
      </w:r>
      <w:r w:rsidRPr="00C649E1">
        <w:rPr>
          <w:rStyle w:val="FootnoteReference"/>
          <w:rFonts w:asciiTheme="majorHAnsi" w:hAnsiTheme="majorHAnsi"/>
          <w:sz w:val="20"/>
          <w:szCs w:val="20"/>
        </w:rPr>
        <w:footnoteReference w:id="84"/>
      </w:r>
      <w:r w:rsidRPr="00C649E1">
        <w:rPr>
          <w:rFonts w:asciiTheme="majorHAnsi" w:hAnsiTheme="majorHAnsi"/>
          <w:sz w:val="20"/>
          <w:szCs w:val="20"/>
        </w:rPr>
        <w:t xml:space="preserve"> The IACHR’s Declaration of Principles on Freedom of Expression establishes in Principle 3 that every person has the right to access to information about himself or herself in an expeditious manner.</w:t>
      </w:r>
      <w:r w:rsidRPr="00C649E1">
        <w:rPr>
          <w:rStyle w:val="FootnoteReference"/>
          <w:rFonts w:asciiTheme="majorHAnsi" w:hAnsiTheme="majorHAnsi"/>
          <w:sz w:val="20"/>
          <w:szCs w:val="20"/>
        </w:rPr>
        <w:footnoteReference w:id="85"/>
      </w:r>
      <w:r w:rsidRPr="00C649E1">
        <w:rPr>
          <w:rFonts w:asciiTheme="majorHAnsi" w:hAnsiTheme="majorHAnsi"/>
          <w:sz w:val="20"/>
          <w:szCs w:val="20"/>
        </w:rPr>
        <w:t xml:space="preserve"> </w:t>
      </w:r>
    </w:p>
    <w:p w14:paraId="79D11792" w14:textId="77777777" w:rsidR="00840141" w:rsidRPr="00C649E1" w:rsidRDefault="00840141" w:rsidP="00840141">
      <w:pPr>
        <w:pStyle w:val="ListParagraph"/>
        <w:tabs>
          <w:tab w:val="left" w:pos="720"/>
        </w:tabs>
        <w:rPr>
          <w:rFonts w:asciiTheme="majorHAnsi" w:hAnsiTheme="majorHAnsi"/>
          <w:sz w:val="20"/>
          <w:szCs w:val="20"/>
        </w:rPr>
      </w:pPr>
    </w:p>
    <w:p w14:paraId="65823831" w14:textId="77777777" w:rsidR="00840141" w:rsidRPr="00C649E1" w:rsidRDefault="00840141" w:rsidP="007905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num" w:pos="2040"/>
        </w:tabs>
        <w:ind w:left="0" w:firstLine="0"/>
        <w:jc w:val="both"/>
      </w:pPr>
      <w:r w:rsidRPr="00C649E1">
        <w:rPr>
          <w:rFonts w:asciiTheme="majorHAnsi" w:hAnsiTheme="majorHAnsi"/>
          <w:sz w:val="20"/>
          <w:szCs w:val="20"/>
        </w:rPr>
        <w:t xml:space="preserve">With regard to access to information relating to judicial proceedings, although the State is allowed to reserve the proceedings at the initial stage to safeguard the investigation, it must substantiate the legitimate aim pursued and demonstrate that it is a suitable, necessary and strictly proportional means for the purpose sought. The State, however, cannot invoke the reservation to prevent the accused from having access to the judicial file since this is a basic requirement of the right to an effective defense. In the instant case, the discovery request was denied by the district court and there is no information before the IACHR on the reasons stated by the court to deny the request. This information was essential to establish whether Mr. Robinson’s race had any bearing on the government’s decision to seek the death penalty and thus had an impact on his right to due process and judicial protection. </w:t>
      </w:r>
    </w:p>
    <w:p w14:paraId="4FB2AF41" w14:textId="77777777" w:rsidR="00840141" w:rsidRPr="00C649E1" w:rsidRDefault="00840141" w:rsidP="0084014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ind w:left="720"/>
        <w:jc w:val="both"/>
      </w:pPr>
    </w:p>
    <w:p w14:paraId="14FA2955" w14:textId="77777777" w:rsidR="00840141" w:rsidRPr="00C649E1" w:rsidRDefault="00840141" w:rsidP="007905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num" w:pos="2040"/>
        </w:tabs>
        <w:ind w:left="0" w:firstLine="0"/>
        <w:jc w:val="both"/>
        <w:rPr>
          <w:rFonts w:ascii="Cambria" w:eastAsia="Times New Roman" w:hAnsi="Cambria"/>
          <w:sz w:val="20"/>
          <w:szCs w:val="20"/>
          <w:bdr w:val="none" w:sz="0" w:space="0" w:color="auto"/>
        </w:rPr>
      </w:pPr>
      <w:r w:rsidRPr="00C649E1">
        <w:rPr>
          <w:rFonts w:ascii="Cambria" w:eastAsia="Times New Roman" w:hAnsi="Cambria"/>
          <w:sz w:val="20"/>
          <w:szCs w:val="20"/>
          <w:bdr w:val="none" w:sz="0" w:space="0" w:color="auto"/>
        </w:rPr>
        <w:t xml:space="preserve">With regard to the </w:t>
      </w:r>
      <w:r w:rsidR="0075783F" w:rsidRPr="00C649E1">
        <w:rPr>
          <w:rFonts w:ascii="Cambria" w:eastAsia="Times New Roman" w:hAnsi="Cambria"/>
          <w:sz w:val="20"/>
          <w:szCs w:val="20"/>
          <w:bdr w:val="none" w:sz="0" w:space="0" w:color="auto"/>
        </w:rPr>
        <w:t>confidentiality of</w:t>
      </w:r>
      <w:r w:rsidRPr="00C649E1">
        <w:rPr>
          <w:rFonts w:asciiTheme="majorHAnsi" w:hAnsiTheme="majorHAnsi"/>
          <w:sz w:val="20"/>
          <w:szCs w:val="20"/>
        </w:rPr>
        <w:t xml:space="preserve"> the lethal injection protocol, the IACHR recalls that i</w:t>
      </w:r>
      <w:r w:rsidRPr="00C649E1">
        <w:rPr>
          <w:rFonts w:ascii="Cambria" w:eastAsia="Times New Roman" w:hAnsi="Cambria"/>
          <w:sz w:val="20"/>
          <w:szCs w:val="20"/>
          <w:bdr w:val="none" w:sz="0" w:space="0" w:color="auto"/>
        </w:rPr>
        <w:t>n capital cases the State has an enhanced obligation to ensure that the person sentenced to death has access to all the relevant information regarding the manner in which he or she is going to die. In particular, the convicted person must have access to information related to the precise procedures to be followed, the drugs and doses to be used in the case of execution by lethal injection, and the composition of the execution team as well as the training of its members.</w:t>
      </w:r>
      <w:r w:rsidRPr="00C649E1">
        <w:rPr>
          <w:rFonts w:eastAsia="Times New Roman"/>
          <w:sz w:val="20"/>
          <w:szCs w:val="20"/>
          <w:bdr w:val="none" w:sz="0" w:space="0" w:color="auto"/>
          <w:vertAlign w:val="superscript"/>
        </w:rPr>
        <w:footnoteReference w:id="86"/>
      </w:r>
      <w:r w:rsidRPr="00C649E1">
        <w:rPr>
          <w:rFonts w:ascii="Cambria" w:eastAsia="Times New Roman" w:hAnsi="Cambria"/>
          <w:sz w:val="20"/>
          <w:szCs w:val="20"/>
          <w:bdr w:val="none" w:sz="0" w:space="0" w:color="auto"/>
        </w:rPr>
        <w:t xml:space="preserve">  </w:t>
      </w:r>
    </w:p>
    <w:p w14:paraId="5C1057C0" w14:textId="77777777" w:rsidR="00840141" w:rsidRPr="00C649E1" w:rsidRDefault="00840141" w:rsidP="00840141">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s>
        <w:jc w:val="both"/>
        <w:rPr>
          <w:rFonts w:ascii="Cambria" w:eastAsia="Times New Roman" w:hAnsi="Cambria"/>
          <w:sz w:val="20"/>
          <w:szCs w:val="20"/>
          <w:bdr w:val="none" w:sz="0" w:space="0" w:color="auto"/>
        </w:rPr>
      </w:pPr>
    </w:p>
    <w:p w14:paraId="7A035197" w14:textId="77777777" w:rsidR="00840141" w:rsidRPr="00C649E1" w:rsidRDefault="00840141" w:rsidP="007578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num" w:pos="2040"/>
        </w:tabs>
        <w:ind w:left="0" w:firstLine="0"/>
        <w:jc w:val="both"/>
        <w:rPr>
          <w:rFonts w:ascii="Cambria" w:eastAsia="Times New Roman" w:hAnsi="Cambria"/>
          <w:sz w:val="20"/>
          <w:szCs w:val="20"/>
          <w:bdr w:val="none" w:sz="0" w:space="0" w:color="auto"/>
        </w:rPr>
      </w:pPr>
      <w:r w:rsidRPr="00C649E1">
        <w:rPr>
          <w:rFonts w:ascii="Cambria" w:eastAsia="Times New Roman" w:hAnsi="Cambria"/>
          <w:sz w:val="20"/>
          <w:szCs w:val="20"/>
          <w:bdr w:val="none" w:sz="0" w:space="0" w:color="auto"/>
        </w:rPr>
        <w:t>Any person subjected to the death penalty must have the opportunity to challenge every aspect of the execution procedure and such information is necessary to file a challenge. The IACHR notes in this regard that the obligation of the State to provide due process is not limited to the conviction and post-conviction proceedings.</w:t>
      </w:r>
      <w:r w:rsidRPr="00C649E1">
        <w:rPr>
          <w:rFonts w:eastAsia="Times New Roman"/>
          <w:sz w:val="20"/>
          <w:szCs w:val="20"/>
          <w:bdr w:val="none" w:sz="0" w:space="0" w:color="auto"/>
          <w:vertAlign w:val="superscript"/>
        </w:rPr>
        <w:footnoteReference w:id="87"/>
      </w:r>
      <w:r w:rsidRPr="00C649E1">
        <w:rPr>
          <w:rFonts w:ascii="Cambria" w:eastAsia="Times New Roman" w:hAnsi="Cambria"/>
          <w:sz w:val="20"/>
          <w:szCs w:val="20"/>
          <w:bdr w:val="none" w:sz="0" w:space="0" w:color="auto"/>
        </w:rPr>
        <w:t xml:space="preserve"> Accordingly, the State has the duty to inform the person sentenced to death, in a timely manner, about the drug and method of execution that will be used, so he or she is not precluded from litigating the right to be executed in a manner devoid of cruel and unusual suffering. </w:t>
      </w:r>
    </w:p>
    <w:p w14:paraId="6C5DFCD2" w14:textId="77777777" w:rsidR="00840141" w:rsidRPr="00C649E1" w:rsidRDefault="00840141" w:rsidP="00840141">
      <w:pPr>
        <w:pStyle w:val="ListParagraph"/>
        <w:tabs>
          <w:tab w:val="left" w:pos="720"/>
        </w:tabs>
        <w:rPr>
          <w:rFonts w:eastAsia="Times New Roman"/>
          <w:sz w:val="20"/>
          <w:szCs w:val="20"/>
          <w:bdr w:val="none" w:sz="0" w:space="0" w:color="auto"/>
        </w:rPr>
      </w:pPr>
    </w:p>
    <w:p w14:paraId="6CB904F0" w14:textId="77777777" w:rsidR="00840141" w:rsidRPr="00C649E1" w:rsidRDefault="00840141" w:rsidP="0075783F">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 w:val="num" w:pos="2040"/>
        </w:tabs>
        <w:ind w:left="0" w:firstLine="0"/>
        <w:jc w:val="both"/>
        <w:rPr>
          <w:rFonts w:ascii="Cambria" w:eastAsia="Times New Roman" w:hAnsi="Cambria"/>
          <w:sz w:val="20"/>
          <w:szCs w:val="20"/>
          <w:bdr w:val="none" w:sz="0" w:space="0" w:color="auto"/>
        </w:rPr>
      </w:pPr>
      <w:r w:rsidRPr="00C649E1">
        <w:rPr>
          <w:rFonts w:ascii="Cambria" w:eastAsia="Times New Roman" w:hAnsi="Cambria"/>
          <w:sz w:val="20"/>
          <w:szCs w:val="20"/>
          <w:bdr w:val="none" w:sz="0" w:space="0" w:color="auto"/>
        </w:rPr>
        <w:t xml:space="preserve">Based on the above considerations, the IACHR concludes that, by refusing to provide information on </w:t>
      </w:r>
      <w:r w:rsidRPr="00C649E1">
        <w:rPr>
          <w:rFonts w:ascii="Cambria" w:hAnsi="Cambria"/>
          <w:sz w:val="20"/>
          <w:szCs w:val="20"/>
        </w:rPr>
        <w:t xml:space="preserve">the arguments presented by the government to seek the death penalty and </w:t>
      </w:r>
      <w:r w:rsidRPr="00C649E1">
        <w:rPr>
          <w:rFonts w:ascii="Cambria" w:eastAsia="Times New Roman" w:hAnsi="Cambria"/>
          <w:sz w:val="20"/>
          <w:szCs w:val="20"/>
          <w:bdr w:val="none" w:sz="0" w:space="0" w:color="auto"/>
        </w:rPr>
        <w:t xml:space="preserve">to reveal the execution protocol, the State has violated Mr. Robinson’s right to access to information set forth in Article IV of the American Declaration, in connection to Mr. Robinson’s right to fair trial and due process of law set forth in Articles XVIII and XXVI of the Declaration. </w:t>
      </w:r>
    </w:p>
    <w:p w14:paraId="10FF66BF" w14:textId="77777777" w:rsidR="00840141" w:rsidRDefault="00840141" w:rsidP="0084014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rPr>
      </w:pPr>
    </w:p>
    <w:p w14:paraId="31157518" w14:textId="77777777" w:rsidR="00C63C59" w:rsidRDefault="00C63C59" w:rsidP="0084014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rPr>
      </w:pPr>
    </w:p>
    <w:p w14:paraId="1F39ED0B" w14:textId="77777777" w:rsidR="00C63C59" w:rsidRDefault="00C63C59" w:rsidP="0084014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rPr>
      </w:pPr>
    </w:p>
    <w:p w14:paraId="0C4771E0" w14:textId="77777777" w:rsidR="00C63C59" w:rsidRPr="00C649E1" w:rsidRDefault="00C63C59" w:rsidP="0084014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jc w:val="both"/>
        <w:rPr>
          <w:rFonts w:ascii="Cambria" w:eastAsia="Times New Roman" w:hAnsi="Cambria"/>
          <w:sz w:val="20"/>
          <w:szCs w:val="20"/>
          <w:bdr w:val="none" w:sz="0" w:space="0" w:color="auto"/>
        </w:rPr>
      </w:pPr>
    </w:p>
    <w:p w14:paraId="2BE85EAA" w14:textId="77777777" w:rsidR="006B5C2E" w:rsidRPr="00C649E1" w:rsidRDefault="006B5C2E" w:rsidP="009C6457">
      <w:pPr>
        <w:pStyle w:val="Heading2"/>
        <w:numPr>
          <w:ilvl w:val="0"/>
          <w:numId w:val="61"/>
        </w:numPr>
        <w:tabs>
          <w:tab w:val="left" w:pos="360"/>
        </w:tabs>
        <w:spacing w:before="0"/>
        <w:ind w:left="0" w:firstLine="0"/>
        <w:jc w:val="both"/>
        <w:rPr>
          <w:color w:val="auto"/>
          <w:sz w:val="20"/>
          <w:szCs w:val="20"/>
        </w:rPr>
      </w:pPr>
      <w:bookmarkStart w:id="86" w:name="_Toc22915029"/>
      <w:bookmarkStart w:id="87" w:name="_Toc45105396"/>
      <w:bookmarkStart w:id="88" w:name="_Toc70417434"/>
      <w:r w:rsidRPr="00C649E1">
        <w:rPr>
          <w:color w:val="auto"/>
          <w:sz w:val="20"/>
          <w:szCs w:val="20"/>
        </w:rPr>
        <w:lastRenderedPageBreak/>
        <w:t>Right not to receive cruel, infamous or unusual punishment</w:t>
      </w:r>
      <w:bookmarkEnd w:id="86"/>
      <w:bookmarkEnd w:id="87"/>
      <w:bookmarkEnd w:id="88"/>
      <w:r w:rsidRPr="00C649E1">
        <w:rPr>
          <w:color w:val="auto"/>
          <w:sz w:val="20"/>
          <w:szCs w:val="20"/>
        </w:rPr>
        <w:t xml:space="preserve"> </w:t>
      </w:r>
    </w:p>
    <w:p w14:paraId="0C8473C2" w14:textId="77777777" w:rsidR="00801C7F" w:rsidRPr="00C649E1" w:rsidRDefault="00801C7F" w:rsidP="00801C7F">
      <w:pPr>
        <w:tabs>
          <w:tab w:val="left" w:pos="360"/>
        </w:tabs>
        <w:rPr>
          <w:b/>
          <w:sz w:val="20"/>
          <w:szCs w:val="20"/>
        </w:rPr>
      </w:pPr>
    </w:p>
    <w:p w14:paraId="50597E57" w14:textId="77777777" w:rsidR="006B5C2E" w:rsidRPr="00C649E1" w:rsidRDefault="00801C7F" w:rsidP="00224AA7">
      <w:pPr>
        <w:pStyle w:val="Heading3"/>
        <w:numPr>
          <w:ilvl w:val="3"/>
          <w:numId w:val="53"/>
        </w:numPr>
        <w:spacing w:before="0"/>
        <w:ind w:left="360"/>
        <w:rPr>
          <w:color w:val="auto"/>
          <w:sz w:val="20"/>
          <w:szCs w:val="20"/>
        </w:rPr>
      </w:pPr>
      <w:bookmarkStart w:id="89" w:name="_Toc22915030"/>
      <w:bookmarkStart w:id="90" w:name="_Toc45105397"/>
      <w:bookmarkStart w:id="91" w:name="_Toc70417435"/>
      <w:r w:rsidRPr="00C649E1">
        <w:rPr>
          <w:color w:val="auto"/>
          <w:sz w:val="20"/>
          <w:szCs w:val="20"/>
        </w:rPr>
        <w:t>Method of execution</w:t>
      </w:r>
      <w:bookmarkEnd w:id="89"/>
      <w:bookmarkEnd w:id="90"/>
      <w:bookmarkEnd w:id="91"/>
    </w:p>
    <w:p w14:paraId="1450B789" w14:textId="77777777" w:rsidR="00801C7F" w:rsidRPr="00C649E1" w:rsidRDefault="00801C7F" w:rsidP="00801C7F">
      <w:pPr>
        <w:pStyle w:val="ListParagraph"/>
        <w:tabs>
          <w:tab w:val="left" w:pos="360"/>
        </w:tabs>
        <w:ind w:left="0"/>
        <w:rPr>
          <w:b/>
          <w:sz w:val="20"/>
          <w:szCs w:val="20"/>
        </w:rPr>
      </w:pPr>
    </w:p>
    <w:p w14:paraId="779DB3C5" w14:textId="77777777" w:rsidR="005C7E23" w:rsidRPr="00C649E1" w:rsidRDefault="00F91540" w:rsidP="00AF3B7B">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C649E1">
        <w:rPr>
          <w:sz w:val="20"/>
        </w:rPr>
        <w:t>In capital cases the State has an enhanced obligation to ensure that the person sentenced to death has access to all the relevant information regarding the manner in which he or she is going to die. In particular, the convicted person must have access to information related to the precise procedures to be followed, the drugs and doses to be used in case of executions by lethal injection, and the composition of the execution team as well as the training of its members.</w:t>
      </w:r>
      <w:r w:rsidRPr="00C649E1">
        <w:rPr>
          <w:rStyle w:val="FootnoteReference"/>
          <w:rFonts w:asciiTheme="majorHAnsi" w:eastAsia="Times New Roman" w:hAnsiTheme="majorHAnsi"/>
          <w:color w:val="auto"/>
          <w:sz w:val="20"/>
          <w:szCs w:val="20"/>
          <w:bdr w:val="none" w:sz="0" w:space="0" w:color="auto"/>
          <w:lang w:eastAsia="en-US"/>
        </w:rPr>
        <w:footnoteReference w:id="88"/>
      </w:r>
      <w:r w:rsidRPr="00C649E1">
        <w:rPr>
          <w:rStyle w:val="FootnoteReference"/>
          <w:rFonts w:asciiTheme="majorHAnsi" w:eastAsia="Times New Roman" w:hAnsiTheme="majorHAnsi"/>
          <w:color w:val="auto"/>
          <w:sz w:val="20"/>
          <w:szCs w:val="20"/>
          <w:bdr w:val="none" w:sz="0" w:space="0" w:color="auto"/>
          <w:lang w:eastAsia="en-US"/>
        </w:rPr>
        <w:t xml:space="preserve"> </w:t>
      </w:r>
      <w:r w:rsidRPr="00C649E1">
        <w:rPr>
          <w:sz w:val="20"/>
        </w:rPr>
        <w:t xml:space="preserve"> </w:t>
      </w:r>
    </w:p>
    <w:p w14:paraId="780684D3" w14:textId="77777777" w:rsidR="005C7E23" w:rsidRPr="00C649E1" w:rsidRDefault="005C7E23" w:rsidP="005C7E23">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rPr>
      </w:pPr>
    </w:p>
    <w:p w14:paraId="2D228106" w14:textId="77777777" w:rsidR="005C7E23" w:rsidRPr="00C649E1" w:rsidRDefault="00F91540"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C649E1">
        <w:rPr>
          <w:sz w:val="20"/>
          <w:szCs w:val="20"/>
        </w:rPr>
        <w:t>Any person subjected to the death penalty must have the opportunity to challenge every aspect of the execution procedure and such information is necessary to file a challenge. The IACHR notes in this regard that the due process requirement is not limited to the conviction and post-conviction proceedings.</w:t>
      </w:r>
      <w:r w:rsidRPr="00C649E1">
        <w:rPr>
          <w:rStyle w:val="FootnoteReference"/>
          <w:rFonts w:asciiTheme="majorHAnsi" w:hAnsiTheme="majorHAnsi"/>
          <w:sz w:val="20"/>
          <w:szCs w:val="20"/>
        </w:rPr>
        <w:footnoteReference w:id="89"/>
      </w:r>
      <w:r w:rsidRPr="00C649E1">
        <w:rPr>
          <w:rStyle w:val="FootnoteReference"/>
          <w:rFonts w:asciiTheme="majorHAnsi" w:hAnsiTheme="majorHAnsi"/>
        </w:rPr>
        <w:t xml:space="preserve"> </w:t>
      </w:r>
      <w:r w:rsidRPr="00C649E1">
        <w:rPr>
          <w:sz w:val="20"/>
          <w:szCs w:val="20"/>
        </w:rPr>
        <w:t xml:space="preserve"> Therefore, the State has the duty to inform the person sentenced to death, in a timely manner, about the drug and method of execution that will be used, so he or she is not precluded from litigating the right to be executed in a manner devoid of cruel and unusual suffering.    </w:t>
      </w:r>
    </w:p>
    <w:p w14:paraId="1FBC8C16" w14:textId="77777777" w:rsidR="005C7E23" w:rsidRPr="00C649E1" w:rsidRDefault="005C7E23" w:rsidP="005C7E23">
      <w:pPr>
        <w:pStyle w:val="ListParagraph"/>
        <w:rPr>
          <w:sz w:val="20"/>
          <w:szCs w:val="20"/>
        </w:rPr>
      </w:pPr>
    </w:p>
    <w:p w14:paraId="1F56F7B8" w14:textId="77777777" w:rsidR="005C7E23" w:rsidRPr="00C649E1" w:rsidRDefault="00F91540"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C649E1">
        <w:rPr>
          <w:sz w:val="20"/>
          <w:szCs w:val="20"/>
        </w:rPr>
        <w:t>Further, the IACHR highlights the reinforced special duty of the State to ensure that the method of execution does not constitute cruel, infamous or unusual punishment. In this regard, the U.N. Special Rapporteur on torture and other cruel, inhuman or degrading treatment or punishment stated that “[t]</w:t>
      </w:r>
      <w:r w:rsidRPr="00C649E1">
        <w:rPr>
          <w:rFonts w:cs="TimesNewRomanPS"/>
          <w:color w:val="231F20"/>
          <w:sz w:val="20"/>
          <w:szCs w:val="20"/>
        </w:rPr>
        <w:t>he fact that a number of execution methods have been deemed to constitute torture or CIDT, together with a growing trend to review all methods of execution for their potential to cause severe pain and suffering, highlights the increasing difficulty with which a state may impose the death penalty without violating international law.”</w:t>
      </w:r>
      <w:r w:rsidRPr="00C649E1">
        <w:rPr>
          <w:rStyle w:val="FootnoteReference"/>
          <w:rFonts w:asciiTheme="majorHAnsi" w:hAnsiTheme="majorHAnsi"/>
          <w:sz w:val="20"/>
          <w:szCs w:val="20"/>
        </w:rPr>
        <w:footnoteReference w:id="90"/>
      </w:r>
    </w:p>
    <w:p w14:paraId="666A0B82" w14:textId="77777777" w:rsidR="005C7E23" w:rsidRPr="00C649E1" w:rsidRDefault="005C7E23" w:rsidP="005C7E23">
      <w:pPr>
        <w:pStyle w:val="ListParagraph"/>
        <w:rPr>
          <w:sz w:val="20"/>
          <w:szCs w:val="20"/>
        </w:rPr>
      </w:pPr>
    </w:p>
    <w:p w14:paraId="0D4866E0" w14:textId="77777777" w:rsidR="005C7E23" w:rsidRPr="00C649E1" w:rsidRDefault="00F91540"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C649E1">
        <w:rPr>
          <w:sz w:val="20"/>
          <w:szCs w:val="20"/>
        </w:rPr>
        <w:t>The IACHR also notes that the United Nations Committee Against Torture received substantiated information indicating that executions in the United States can be accompanied by severe pain and suffering and requested the State to “carefully review its execution methods, in particular lethal injection, in order to prevent severe pain and suffering.”</w:t>
      </w:r>
      <w:r w:rsidRPr="00C649E1">
        <w:rPr>
          <w:rStyle w:val="FootnoteReference"/>
          <w:rFonts w:asciiTheme="majorHAnsi" w:hAnsiTheme="majorHAnsi"/>
          <w:sz w:val="20"/>
          <w:szCs w:val="20"/>
        </w:rPr>
        <w:footnoteReference w:id="91"/>
      </w:r>
    </w:p>
    <w:p w14:paraId="2D9F6163" w14:textId="77777777" w:rsidR="005C7E23" w:rsidRPr="00C649E1" w:rsidRDefault="005C7E23" w:rsidP="005C7E23">
      <w:pPr>
        <w:pStyle w:val="ListParagraph"/>
        <w:rPr>
          <w:sz w:val="20"/>
          <w:szCs w:val="20"/>
        </w:rPr>
      </w:pPr>
    </w:p>
    <w:p w14:paraId="5667EDC7" w14:textId="77777777" w:rsidR="005C7E23" w:rsidRPr="00C649E1" w:rsidRDefault="00BC2DB5" w:rsidP="007905CA">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0"/>
          <w:tab w:val="left" w:pos="360"/>
          <w:tab w:val="left" w:pos="540"/>
          <w:tab w:val="left" w:pos="1440"/>
        </w:tabs>
        <w:ind w:left="0" w:firstLine="0"/>
        <w:jc w:val="both"/>
        <w:textAlignment w:val="baseline"/>
        <w:rPr>
          <w:rFonts w:asciiTheme="majorHAnsi" w:hAnsiTheme="majorHAnsi"/>
          <w:sz w:val="20"/>
          <w:szCs w:val="20"/>
        </w:rPr>
      </w:pPr>
      <w:r w:rsidRPr="00C649E1">
        <w:rPr>
          <w:rFonts w:asciiTheme="majorHAnsi" w:hAnsiTheme="majorHAnsi"/>
          <w:sz w:val="20"/>
          <w:szCs w:val="20"/>
        </w:rPr>
        <w:t>In</w:t>
      </w:r>
      <w:r w:rsidR="007169BB" w:rsidRPr="00C649E1">
        <w:rPr>
          <w:rFonts w:asciiTheme="majorHAnsi" w:hAnsiTheme="majorHAnsi"/>
          <w:sz w:val="20"/>
          <w:szCs w:val="20"/>
        </w:rPr>
        <w:t xml:space="preserve"> 2007, Mr. Robinson and other </w:t>
      </w:r>
      <w:r w:rsidR="007169BB" w:rsidRPr="00C649E1">
        <w:rPr>
          <w:rFonts w:ascii="Cambria" w:hAnsi="Cambria"/>
          <w:sz w:val="20"/>
          <w:szCs w:val="20"/>
        </w:rPr>
        <w:t xml:space="preserve">federal death row inmates </w:t>
      </w:r>
      <w:r w:rsidR="007169BB" w:rsidRPr="00C649E1">
        <w:rPr>
          <w:rFonts w:asciiTheme="majorHAnsi" w:hAnsiTheme="majorHAnsi"/>
          <w:sz w:val="20"/>
          <w:szCs w:val="20"/>
        </w:rPr>
        <w:t xml:space="preserve">filed a federal civil lawsuit in the U.S. District Court for the District of Columbia claiming that the means by which the government sought to implement the death penalty would violate the U.S. Constitution as well as federal law. </w:t>
      </w:r>
      <w:r w:rsidRPr="00C649E1">
        <w:rPr>
          <w:rFonts w:asciiTheme="majorHAnsi" w:hAnsiTheme="majorHAnsi"/>
          <w:sz w:val="20"/>
          <w:szCs w:val="20"/>
        </w:rPr>
        <w:t>In</w:t>
      </w:r>
      <w:r w:rsidR="007169BB" w:rsidRPr="00C649E1">
        <w:rPr>
          <w:rFonts w:asciiTheme="majorHAnsi" w:hAnsiTheme="majorHAnsi"/>
          <w:sz w:val="20"/>
          <w:szCs w:val="20"/>
        </w:rPr>
        <w:t xml:space="preserve"> 2012, the District Court for the District of Columbia ordered that the case be stayed pending the Bureau of Prisons’ issuance of a revised lethal injection protocol. According to publicly available information</w:t>
      </w:r>
      <w:r w:rsidR="007169BB" w:rsidRPr="00C649E1">
        <w:rPr>
          <w:rFonts w:ascii="Cambria" w:hAnsi="Cambria"/>
          <w:sz w:val="20"/>
          <w:szCs w:val="20"/>
        </w:rPr>
        <w:t xml:space="preserve">, in July, 2019, the Justice Department announced that the federal government will resume its executions using a single drug (pentobarbital). However, </w:t>
      </w:r>
      <w:r w:rsidR="003A01D0" w:rsidRPr="00C649E1">
        <w:rPr>
          <w:rFonts w:ascii="Cambria" w:hAnsi="Cambria"/>
          <w:sz w:val="20"/>
          <w:szCs w:val="20"/>
        </w:rPr>
        <w:t>as of the time of adoption of the present report, there is no information regarding Mr. Robinson’s possible execution. There is also no information regarding the origins of the drugs that will be used, the composition of the execution team or the training of its members.</w:t>
      </w:r>
    </w:p>
    <w:p w14:paraId="6C19CAD3" w14:textId="77777777" w:rsidR="005C7E23" w:rsidRDefault="005C7E23" w:rsidP="005C7E23">
      <w:pPr>
        <w:pStyle w:val="ListParagraph"/>
        <w:rPr>
          <w:sz w:val="20"/>
          <w:szCs w:val="20"/>
        </w:rPr>
      </w:pPr>
    </w:p>
    <w:p w14:paraId="3486F132" w14:textId="77777777" w:rsidR="00B6392F" w:rsidRPr="00C649E1" w:rsidRDefault="00B6392F" w:rsidP="005C7E23">
      <w:pPr>
        <w:pStyle w:val="ListParagraph"/>
        <w:rPr>
          <w:sz w:val="20"/>
          <w:szCs w:val="20"/>
        </w:rPr>
      </w:pPr>
    </w:p>
    <w:p w14:paraId="37DFDE69" w14:textId="77777777" w:rsidR="001B4E52" w:rsidRPr="00C649E1" w:rsidRDefault="001B4E52"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C649E1">
        <w:rPr>
          <w:sz w:val="20"/>
          <w:szCs w:val="20"/>
        </w:rPr>
        <w:t xml:space="preserve">Based on the above considerations, and the uncertainty surrounding death penalty executions in </w:t>
      </w:r>
      <w:r w:rsidR="005C7E23" w:rsidRPr="00C649E1">
        <w:rPr>
          <w:sz w:val="20"/>
          <w:szCs w:val="20"/>
        </w:rPr>
        <w:t>Texas</w:t>
      </w:r>
      <w:r w:rsidRPr="00C649E1">
        <w:rPr>
          <w:sz w:val="20"/>
          <w:szCs w:val="20"/>
        </w:rPr>
        <w:t xml:space="preserve">, the IACHR concludes that the State is exposing Mr. </w:t>
      </w:r>
      <w:r w:rsidR="005C7E23" w:rsidRPr="00C649E1">
        <w:rPr>
          <w:sz w:val="20"/>
          <w:szCs w:val="20"/>
        </w:rPr>
        <w:t>Robinson</w:t>
      </w:r>
      <w:r w:rsidRPr="00C649E1">
        <w:rPr>
          <w:sz w:val="20"/>
          <w:szCs w:val="20"/>
        </w:rPr>
        <w:t xml:space="preserve"> to anguish and fear that amount to a violation of his right to humane treatment and not to receive cruel, infamous or unusual punishment set forth in Articles XXV and XXVI of the Declaration. </w:t>
      </w:r>
    </w:p>
    <w:p w14:paraId="2264346B" w14:textId="77777777" w:rsidR="00801C7F" w:rsidRDefault="00801C7F" w:rsidP="00801C7F">
      <w:pPr>
        <w:pStyle w:val="ListParagraph"/>
        <w:tabs>
          <w:tab w:val="left" w:pos="360"/>
        </w:tabs>
        <w:rPr>
          <w:sz w:val="20"/>
          <w:szCs w:val="20"/>
        </w:rPr>
      </w:pPr>
    </w:p>
    <w:p w14:paraId="793BB147" w14:textId="77777777" w:rsidR="00C63C59" w:rsidRDefault="00C63C59" w:rsidP="00801C7F">
      <w:pPr>
        <w:pStyle w:val="ListParagraph"/>
        <w:tabs>
          <w:tab w:val="left" w:pos="360"/>
        </w:tabs>
        <w:rPr>
          <w:sz w:val="20"/>
          <w:szCs w:val="20"/>
        </w:rPr>
      </w:pPr>
    </w:p>
    <w:p w14:paraId="020CEAC8" w14:textId="77777777" w:rsidR="00C63C59" w:rsidRDefault="00C63C59" w:rsidP="00801C7F">
      <w:pPr>
        <w:pStyle w:val="ListParagraph"/>
        <w:tabs>
          <w:tab w:val="left" w:pos="360"/>
        </w:tabs>
        <w:rPr>
          <w:sz w:val="20"/>
          <w:szCs w:val="20"/>
        </w:rPr>
      </w:pPr>
    </w:p>
    <w:p w14:paraId="4497A30B" w14:textId="77777777" w:rsidR="00C63C59" w:rsidRDefault="00C63C59" w:rsidP="00801C7F">
      <w:pPr>
        <w:pStyle w:val="ListParagraph"/>
        <w:tabs>
          <w:tab w:val="left" w:pos="360"/>
        </w:tabs>
        <w:rPr>
          <w:sz w:val="20"/>
          <w:szCs w:val="20"/>
        </w:rPr>
      </w:pPr>
    </w:p>
    <w:p w14:paraId="0856B32B" w14:textId="77777777" w:rsidR="00C63C59" w:rsidRPr="00C649E1" w:rsidRDefault="00C63C59" w:rsidP="00801C7F">
      <w:pPr>
        <w:pStyle w:val="ListParagraph"/>
        <w:tabs>
          <w:tab w:val="left" w:pos="360"/>
        </w:tabs>
        <w:rPr>
          <w:sz w:val="20"/>
          <w:szCs w:val="20"/>
        </w:rPr>
      </w:pPr>
    </w:p>
    <w:p w14:paraId="01243EC2" w14:textId="77777777" w:rsidR="00801C7F" w:rsidRPr="00C649E1" w:rsidRDefault="00BB76B9" w:rsidP="00873480">
      <w:pPr>
        <w:pStyle w:val="Heading3"/>
        <w:numPr>
          <w:ilvl w:val="3"/>
          <w:numId w:val="53"/>
        </w:numPr>
        <w:spacing w:before="0"/>
        <w:ind w:left="360"/>
        <w:jc w:val="both"/>
        <w:rPr>
          <w:color w:val="auto"/>
          <w:sz w:val="20"/>
          <w:szCs w:val="20"/>
        </w:rPr>
      </w:pPr>
      <w:bookmarkStart w:id="92" w:name="_Toc22915031"/>
      <w:bookmarkStart w:id="93" w:name="_Toc45105398"/>
      <w:bookmarkStart w:id="94" w:name="_Toc70417436"/>
      <w:r w:rsidRPr="00C649E1">
        <w:rPr>
          <w:color w:val="auto"/>
          <w:sz w:val="20"/>
          <w:szCs w:val="20"/>
        </w:rPr>
        <w:lastRenderedPageBreak/>
        <w:t>The d</w:t>
      </w:r>
      <w:r w:rsidR="00801C7F" w:rsidRPr="00C649E1">
        <w:rPr>
          <w:color w:val="auto"/>
          <w:sz w:val="20"/>
          <w:szCs w:val="20"/>
        </w:rPr>
        <w:t>eprivation of liberty on death row</w:t>
      </w:r>
      <w:r w:rsidRPr="00C649E1">
        <w:rPr>
          <w:color w:val="auto"/>
          <w:sz w:val="20"/>
          <w:szCs w:val="20"/>
        </w:rPr>
        <w:t xml:space="preserve"> and the right of protection against cruel, infamous or unusual punishment</w:t>
      </w:r>
      <w:bookmarkEnd w:id="92"/>
      <w:bookmarkEnd w:id="93"/>
      <w:bookmarkEnd w:id="94"/>
    </w:p>
    <w:p w14:paraId="66884C8D" w14:textId="77777777" w:rsidR="00801C7F" w:rsidRPr="00C649E1" w:rsidRDefault="00801C7F" w:rsidP="00801C7F">
      <w:pPr>
        <w:pStyle w:val="ListParagraph"/>
        <w:tabs>
          <w:tab w:val="left" w:pos="360"/>
        </w:tabs>
        <w:ind w:left="0"/>
        <w:rPr>
          <w:b/>
          <w:sz w:val="20"/>
          <w:szCs w:val="20"/>
        </w:rPr>
      </w:pPr>
    </w:p>
    <w:p w14:paraId="15EDA048" w14:textId="77777777" w:rsidR="00585229" w:rsidRPr="00C649E1" w:rsidRDefault="003A5E9B" w:rsidP="00DB0FBE">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szCs w:val="20"/>
        </w:rPr>
      </w:pPr>
      <w:r w:rsidRPr="00C649E1">
        <w:rPr>
          <w:sz w:val="20"/>
          <w:szCs w:val="20"/>
        </w:rPr>
        <w:t>In both international human rights law and comparative law, the issue of long term deprivation of liberty on death row, known as the “death row phenomenon,” has been developed for decades, in light of the prohibition of cruel, inhuman or degrading punishment in Constitutions and in multiple international treaties, including the American Declaration (Articles XXV and XXVI).</w:t>
      </w:r>
      <w:r w:rsidRPr="00C649E1">
        <w:rPr>
          <w:rFonts w:eastAsia="Arial Unicode MS" w:cs="Times New Roman"/>
          <w:color w:val="auto"/>
          <w:sz w:val="20"/>
          <w:vertAlign w:val="superscript"/>
          <w:lang w:eastAsia="en-US"/>
        </w:rPr>
        <w:footnoteReference w:id="92"/>
      </w:r>
      <w:r w:rsidRPr="00C649E1">
        <w:rPr>
          <w:sz w:val="20"/>
          <w:szCs w:val="20"/>
        </w:rPr>
        <w:t xml:space="preserve"> Based on those standards, in the case of Russell Bucklew the IACHR found that “the very fact of spending 20 years on death row is, by any account, excessive and inhuman.”</w:t>
      </w:r>
      <w:r w:rsidRPr="00C649E1">
        <w:rPr>
          <w:rFonts w:eastAsia="Arial Unicode MS" w:cs="Times New Roman"/>
          <w:color w:val="auto"/>
          <w:sz w:val="20"/>
          <w:vertAlign w:val="superscript"/>
          <w:lang w:eastAsia="en-US"/>
        </w:rPr>
        <w:footnoteReference w:id="93"/>
      </w:r>
    </w:p>
    <w:p w14:paraId="582AAE0A" w14:textId="77777777" w:rsidR="00585229" w:rsidRPr="00C649E1" w:rsidRDefault="00585229" w:rsidP="00585229">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autoSpaceDE w:val="0"/>
        <w:autoSpaceDN w:val="0"/>
        <w:adjustRightInd w:val="0"/>
        <w:ind w:left="0"/>
        <w:jc w:val="both"/>
        <w:rPr>
          <w:sz w:val="20"/>
          <w:szCs w:val="20"/>
        </w:rPr>
      </w:pPr>
    </w:p>
    <w:p w14:paraId="7863A533" w14:textId="77777777" w:rsidR="00585229" w:rsidRPr="00C649E1" w:rsidRDefault="003A5E9B" w:rsidP="00E038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450"/>
        </w:tabs>
        <w:autoSpaceDE w:val="0"/>
        <w:autoSpaceDN w:val="0"/>
        <w:adjustRightInd w:val="0"/>
        <w:ind w:left="0" w:firstLine="0"/>
        <w:jc w:val="both"/>
        <w:rPr>
          <w:sz w:val="20"/>
          <w:szCs w:val="20"/>
        </w:rPr>
      </w:pPr>
      <w:r w:rsidRPr="00C649E1">
        <w:rPr>
          <w:sz w:val="20"/>
        </w:rPr>
        <w:t>Specifically</w:t>
      </w:r>
      <w:r w:rsidR="0082383C">
        <w:rPr>
          <w:sz w:val="20"/>
        </w:rPr>
        <w:t>,</w:t>
      </w:r>
      <w:r w:rsidRPr="00C649E1">
        <w:rPr>
          <w:sz w:val="20"/>
        </w:rPr>
        <w:t xml:space="preserve"> regarding the matter of prolonged solitary confinement on death row, the Inter-American Commission has determined that deprivation of liberty under certain conditions on death row, including solitary confinement for four years, constituted inhuman treatment.</w:t>
      </w:r>
      <w:r w:rsidRPr="00C649E1">
        <w:rPr>
          <w:rFonts w:eastAsia="Arial Unicode MS" w:cs="Times New Roman"/>
          <w:color w:val="auto"/>
          <w:sz w:val="20"/>
          <w:vertAlign w:val="superscript"/>
          <w:lang w:eastAsia="en-US"/>
        </w:rPr>
        <w:footnoteReference w:id="94"/>
      </w:r>
      <w:r w:rsidRPr="00C649E1">
        <w:rPr>
          <w:rFonts w:eastAsia="Arial Unicode MS"/>
          <w:sz w:val="20"/>
          <w:vertAlign w:val="superscript"/>
        </w:rPr>
        <w:t xml:space="preserve">   </w:t>
      </w:r>
      <w:r w:rsidRPr="00C649E1">
        <w:rPr>
          <w:sz w:val="20"/>
        </w:rPr>
        <w:t xml:space="preserve">  </w:t>
      </w:r>
    </w:p>
    <w:p w14:paraId="21C58120" w14:textId="77777777" w:rsidR="00585229" w:rsidRPr="00C649E1" w:rsidRDefault="00585229" w:rsidP="00585229">
      <w:pPr>
        <w:pStyle w:val="ListParagraph"/>
        <w:rPr>
          <w:sz w:val="20"/>
        </w:rPr>
      </w:pPr>
    </w:p>
    <w:p w14:paraId="30F77C2C" w14:textId="77777777" w:rsidR="003A5E9B" w:rsidRPr="00C649E1" w:rsidRDefault="003A5E9B" w:rsidP="00E038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szCs w:val="20"/>
        </w:rPr>
      </w:pPr>
      <w:r w:rsidRPr="00C649E1">
        <w:rPr>
          <w:sz w:val="20"/>
        </w:rPr>
        <w:t xml:space="preserve">The UN Special Rapporteur on Torture has found that: </w:t>
      </w:r>
    </w:p>
    <w:p w14:paraId="21636BC5" w14:textId="77777777" w:rsidR="003A5E9B" w:rsidRPr="00C649E1" w:rsidRDefault="003A5E9B" w:rsidP="003A5E9B">
      <w:pPr>
        <w:widowControl w:val="0"/>
        <w:pBdr>
          <w:top w:val="none" w:sz="0" w:space="0" w:color="auto"/>
          <w:left w:val="none" w:sz="0" w:space="0" w:color="auto"/>
          <w:bottom w:val="none" w:sz="0" w:space="0" w:color="auto"/>
          <w:right w:val="none" w:sz="0" w:space="0" w:color="auto"/>
          <w:bar w:val="none" w:sz="0" w:color="auto"/>
        </w:pBdr>
        <w:tabs>
          <w:tab w:val="left" w:pos="360"/>
        </w:tabs>
        <w:suppressAutoHyphens/>
        <w:ind w:left="1500"/>
        <w:jc w:val="both"/>
        <w:rPr>
          <w:rFonts w:ascii="Cambria" w:hAnsi="Cambria"/>
          <w:b/>
          <w:bCs/>
          <w:sz w:val="20"/>
        </w:rPr>
      </w:pPr>
    </w:p>
    <w:p w14:paraId="7E2A187D" w14:textId="77777777" w:rsidR="003A5E9B" w:rsidRPr="00C649E1" w:rsidRDefault="003A5E9B" w:rsidP="003A5E9B">
      <w:pPr>
        <w:pBdr>
          <w:top w:val="none" w:sz="0" w:space="0" w:color="auto"/>
          <w:left w:val="none" w:sz="0" w:space="0" w:color="auto"/>
          <w:bottom w:val="none" w:sz="0" w:space="0" w:color="auto"/>
          <w:right w:val="none" w:sz="0" w:space="0" w:color="auto"/>
          <w:bar w:val="none" w:sz="0" w:color="auto"/>
        </w:pBdr>
        <w:ind w:left="360" w:right="360"/>
        <w:jc w:val="both"/>
        <w:rPr>
          <w:rFonts w:ascii="Cambria" w:eastAsia="Times New Roman" w:hAnsi="Cambria"/>
          <w:sz w:val="18"/>
          <w:szCs w:val="18"/>
        </w:rPr>
      </w:pPr>
      <w:r w:rsidRPr="00C649E1">
        <w:rPr>
          <w:rFonts w:ascii="Cambria" w:eastAsia="Times New Roman" w:hAnsi="Cambria"/>
          <w:sz w:val="18"/>
          <w:szCs w:val="18"/>
        </w:rPr>
        <w:t>Individuals held in solitary confinement suffer extreme forms of sensory deprivation, anxiety and exclusion, clearly surpassing lawful conditions of deprivation of liberty. Solitary confinement, in combination with the foreknowledge of death and the uncertainty of whether or when an execution is to take place, contributes to the risk of serious and irreparable mental and physical harm and suffering to the inmate. Solitary confinement used on death row is by definition prolonged and indefinite and thus constitutes cruel, inhuman or degrading treatment or punishment or even torture.</w:t>
      </w:r>
      <w:r w:rsidRPr="00C649E1">
        <w:rPr>
          <w:rFonts w:ascii="Cambria" w:eastAsia="Times New Roman" w:hAnsi="Cambria"/>
          <w:sz w:val="18"/>
          <w:szCs w:val="18"/>
          <w:vertAlign w:val="superscript"/>
        </w:rPr>
        <w:footnoteReference w:id="95"/>
      </w:r>
    </w:p>
    <w:p w14:paraId="2FFA6EE5" w14:textId="77777777" w:rsidR="003A5E9B" w:rsidRPr="00C649E1" w:rsidRDefault="003A5E9B" w:rsidP="003A5E9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Cambria" w:hAnsi="Cambria" w:cs="Arial"/>
          <w:sz w:val="20"/>
          <w:szCs w:val="20"/>
        </w:rPr>
      </w:pPr>
    </w:p>
    <w:p w14:paraId="357D07DB" w14:textId="77777777" w:rsidR="003A5E9B" w:rsidRPr="00C649E1" w:rsidRDefault="003A5E9B" w:rsidP="00E038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360"/>
          <w:tab w:val="left" w:pos="540"/>
        </w:tabs>
        <w:autoSpaceDE w:val="0"/>
        <w:autoSpaceDN w:val="0"/>
        <w:adjustRightInd w:val="0"/>
        <w:ind w:left="0" w:firstLine="0"/>
        <w:jc w:val="both"/>
        <w:rPr>
          <w:sz w:val="20"/>
        </w:rPr>
      </w:pPr>
      <w:r w:rsidRPr="00C649E1">
        <w:rPr>
          <w:sz w:val="20"/>
        </w:rPr>
        <w:t xml:space="preserve">As established in this report, Mr. </w:t>
      </w:r>
      <w:r w:rsidR="00A52EB5" w:rsidRPr="00C649E1">
        <w:rPr>
          <w:sz w:val="20"/>
        </w:rPr>
        <w:t>Robinson</w:t>
      </w:r>
      <w:r w:rsidRPr="00C649E1">
        <w:rPr>
          <w:sz w:val="20"/>
        </w:rPr>
        <w:t xml:space="preserve"> </w:t>
      </w:r>
      <w:r w:rsidR="00D73D78" w:rsidRPr="00C649E1">
        <w:rPr>
          <w:sz w:val="20"/>
        </w:rPr>
        <w:t>has been deprived of his liberty on death row for</w:t>
      </w:r>
      <w:r w:rsidRPr="00C649E1">
        <w:rPr>
          <w:sz w:val="20"/>
        </w:rPr>
        <w:t xml:space="preserve"> </w:t>
      </w:r>
      <w:r w:rsidR="00A52EB5" w:rsidRPr="00C649E1">
        <w:rPr>
          <w:sz w:val="20"/>
        </w:rPr>
        <w:t>20</w:t>
      </w:r>
      <w:r w:rsidRPr="00C649E1">
        <w:rPr>
          <w:sz w:val="20"/>
        </w:rPr>
        <w:t xml:space="preserve"> years. The Commission notes that the very fact of spending </w:t>
      </w:r>
      <w:r w:rsidR="00B11C6F" w:rsidRPr="00C649E1">
        <w:rPr>
          <w:sz w:val="20"/>
        </w:rPr>
        <w:t>2</w:t>
      </w:r>
      <w:r w:rsidR="00A52EB5" w:rsidRPr="00C649E1">
        <w:rPr>
          <w:sz w:val="20"/>
        </w:rPr>
        <w:t>0</w:t>
      </w:r>
      <w:r w:rsidRPr="00C649E1">
        <w:rPr>
          <w:sz w:val="20"/>
        </w:rPr>
        <w:t xml:space="preserve"> years on death row is, by any account, excessive and inhuman, and is aggravated by the prolonged expectation that the death sentence could be executed. Consequently, the United States is responsible for violating, to the detriment of Mr. Ro</w:t>
      </w:r>
      <w:r w:rsidR="00A52EB5" w:rsidRPr="00C649E1">
        <w:rPr>
          <w:sz w:val="20"/>
        </w:rPr>
        <w:t>binson</w:t>
      </w:r>
      <w:r w:rsidRPr="00C649E1">
        <w:rPr>
          <w:sz w:val="20"/>
        </w:rPr>
        <w:t xml:space="preserve">, the right to humane treatment, and not to receive cruel, infamous or unusual punishment established in </w:t>
      </w:r>
      <w:r w:rsidR="00970813" w:rsidRPr="00C649E1">
        <w:rPr>
          <w:sz w:val="20"/>
        </w:rPr>
        <w:t xml:space="preserve">Articles XXV and XXVI of </w:t>
      </w:r>
      <w:r w:rsidRPr="00C649E1">
        <w:rPr>
          <w:sz w:val="20"/>
        </w:rPr>
        <w:t xml:space="preserve">the American Declaration.  </w:t>
      </w:r>
    </w:p>
    <w:p w14:paraId="18A32D09" w14:textId="77777777" w:rsidR="00801C7F" w:rsidRPr="00C649E1" w:rsidRDefault="00801C7F" w:rsidP="00801C7F">
      <w:pPr>
        <w:pStyle w:val="NormalWeb"/>
        <w:shd w:val="clear" w:color="auto" w:fill="FFFFFF"/>
        <w:tabs>
          <w:tab w:val="left" w:pos="360"/>
        </w:tabs>
        <w:spacing w:before="0" w:beforeAutospacing="0" w:after="0" w:afterAutospacing="0"/>
        <w:jc w:val="both"/>
        <w:rPr>
          <w:sz w:val="20"/>
          <w:szCs w:val="20"/>
        </w:rPr>
      </w:pPr>
    </w:p>
    <w:p w14:paraId="470368E4" w14:textId="77777777" w:rsidR="00801C7F" w:rsidRPr="00C649E1" w:rsidRDefault="00375D88" w:rsidP="009C6457">
      <w:pPr>
        <w:pStyle w:val="Heading2"/>
        <w:numPr>
          <w:ilvl w:val="0"/>
          <w:numId w:val="61"/>
        </w:numPr>
        <w:tabs>
          <w:tab w:val="left" w:pos="360"/>
        </w:tabs>
        <w:spacing w:before="0"/>
        <w:ind w:left="0" w:firstLine="0"/>
        <w:jc w:val="both"/>
        <w:rPr>
          <w:color w:val="auto"/>
          <w:sz w:val="20"/>
          <w:szCs w:val="20"/>
        </w:rPr>
      </w:pPr>
      <w:bookmarkStart w:id="95" w:name="_Toc22915032"/>
      <w:bookmarkStart w:id="96" w:name="_Toc45105399"/>
      <w:bookmarkStart w:id="97" w:name="_Toc70417437"/>
      <w:r w:rsidRPr="00C649E1">
        <w:rPr>
          <w:color w:val="auto"/>
          <w:sz w:val="20"/>
          <w:szCs w:val="20"/>
        </w:rPr>
        <w:t>R</w:t>
      </w:r>
      <w:r w:rsidR="002B4417" w:rsidRPr="00C649E1">
        <w:rPr>
          <w:color w:val="auto"/>
          <w:sz w:val="20"/>
          <w:szCs w:val="20"/>
        </w:rPr>
        <w:t>ight to life</w:t>
      </w:r>
      <w:r w:rsidR="00C535F1" w:rsidRPr="00C649E1">
        <w:rPr>
          <w:rStyle w:val="FootnoteReference"/>
          <w:color w:val="auto"/>
          <w:sz w:val="20"/>
          <w:szCs w:val="20"/>
        </w:rPr>
        <w:footnoteReference w:id="96"/>
      </w:r>
      <w:r w:rsidR="00DD5501" w:rsidRPr="00C649E1">
        <w:rPr>
          <w:color w:val="auto"/>
          <w:sz w:val="20"/>
          <w:szCs w:val="20"/>
        </w:rPr>
        <w:t xml:space="preserve"> and to protection against cruel, infamous o</w:t>
      </w:r>
      <w:r w:rsidR="00224AA7" w:rsidRPr="00C649E1">
        <w:rPr>
          <w:color w:val="auto"/>
          <w:sz w:val="20"/>
          <w:szCs w:val="20"/>
        </w:rPr>
        <w:t>r</w:t>
      </w:r>
      <w:r w:rsidR="00DD5501" w:rsidRPr="00C649E1">
        <w:rPr>
          <w:color w:val="auto"/>
          <w:sz w:val="20"/>
          <w:szCs w:val="20"/>
        </w:rPr>
        <w:t xml:space="preserve"> unusual punishment with respect to the eventual execution of </w:t>
      </w:r>
      <w:r w:rsidR="00585229" w:rsidRPr="00C649E1">
        <w:rPr>
          <w:color w:val="auto"/>
          <w:sz w:val="20"/>
          <w:szCs w:val="20"/>
        </w:rPr>
        <w:t>Julius Omar Robinson</w:t>
      </w:r>
      <w:bookmarkEnd w:id="95"/>
      <w:bookmarkEnd w:id="96"/>
      <w:bookmarkEnd w:id="97"/>
      <w:r w:rsidR="00867DA3" w:rsidRPr="00C649E1">
        <w:rPr>
          <w:color w:val="auto"/>
          <w:sz w:val="20"/>
          <w:szCs w:val="20"/>
        </w:rPr>
        <w:t xml:space="preserve"> </w:t>
      </w:r>
    </w:p>
    <w:p w14:paraId="68DBDCA0" w14:textId="77777777" w:rsidR="00867DA3" w:rsidRPr="00C649E1" w:rsidRDefault="00867DA3" w:rsidP="00867DA3">
      <w:pPr>
        <w:rPr>
          <w:rFonts w:asciiTheme="majorHAnsi" w:hAnsiTheme="majorHAnsi"/>
          <w:sz w:val="20"/>
          <w:szCs w:val="20"/>
        </w:rPr>
      </w:pPr>
    </w:p>
    <w:p w14:paraId="55ABD23F" w14:textId="77777777" w:rsidR="00585229" w:rsidRPr="00C649E1" w:rsidRDefault="00BE3560" w:rsidP="008401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rPr>
      </w:pPr>
      <w:r w:rsidRPr="00C649E1">
        <w:rPr>
          <w:sz w:val="20"/>
        </w:rPr>
        <w:t>As indicated above, the Inter-American Commission considers that it is incumbent upon the national courts, not the Commission, to interpret and apply national law. Nevertheless, the IACHR must ensure that any deprivation of life resulting from imposition of the death penalty complies with the requirements of the American Declaration.</w:t>
      </w:r>
      <w:r w:rsidRPr="00C649E1">
        <w:rPr>
          <w:rFonts w:eastAsia="Arial Unicode MS" w:cs="Times New Roman"/>
          <w:color w:val="auto"/>
          <w:sz w:val="20"/>
          <w:vertAlign w:val="superscript"/>
          <w:lang w:eastAsia="en-US"/>
        </w:rPr>
        <w:footnoteReference w:id="97"/>
      </w:r>
    </w:p>
    <w:p w14:paraId="3BAD98D9" w14:textId="77777777" w:rsidR="00585229" w:rsidRPr="00C649E1" w:rsidRDefault="00585229" w:rsidP="00840141">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rPr>
      </w:pPr>
    </w:p>
    <w:p w14:paraId="0DCD8E22" w14:textId="77777777" w:rsidR="00585229" w:rsidRPr="00C649E1" w:rsidRDefault="00BE3560" w:rsidP="00884136">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540"/>
          <w:tab w:val="left" w:pos="720"/>
        </w:tabs>
        <w:ind w:left="0" w:firstLine="0"/>
        <w:jc w:val="both"/>
        <w:rPr>
          <w:rFonts w:asciiTheme="majorHAnsi" w:hAnsiTheme="majorHAnsi"/>
          <w:sz w:val="20"/>
          <w:szCs w:val="20"/>
        </w:rPr>
      </w:pPr>
      <w:r w:rsidRPr="00C649E1">
        <w:rPr>
          <w:rFonts w:asciiTheme="majorHAnsi" w:hAnsiTheme="majorHAnsi"/>
          <w:sz w:val="20"/>
          <w:szCs w:val="20"/>
        </w:rPr>
        <w:t>Throughout this report, the Commission established that</w:t>
      </w:r>
      <w:r w:rsidR="006146AC" w:rsidRPr="00C649E1">
        <w:rPr>
          <w:rFonts w:asciiTheme="majorHAnsi" w:hAnsiTheme="majorHAnsi"/>
          <w:sz w:val="20"/>
          <w:szCs w:val="20"/>
        </w:rPr>
        <w:t xml:space="preserve">, </w:t>
      </w:r>
      <w:r w:rsidR="006146AC" w:rsidRPr="00C649E1">
        <w:rPr>
          <w:rFonts w:asciiTheme="majorHAnsi" w:hAnsiTheme="majorHAnsi"/>
          <w:i/>
          <w:sz w:val="20"/>
          <w:szCs w:val="20"/>
        </w:rPr>
        <w:t>inter alia</w:t>
      </w:r>
      <w:r w:rsidR="006146AC" w:rsidRPr="00C649E1">
        <w:rPr>
          <w:rFonts w:asciiTheme="majorHAnsi" w:hAnsiTheme="majorHAnsi"/>
          <w:sz w:val="20"/>
          <w:szCs w:val="20"/>
        </w:rPr>
        <w:t>,</w:t>
      </w:r>
      <w:r w:rsidR="00854C85" w:rsidRPr="00C649E1">
        <w:rPr>
          <w:rFonts w:asciiTheme="majorHAnsi" w:hAnsiTheme="majorHAnsi"/>
          <w:sz w:val="20"/>
          <w:szCs w:val="20"/>
        </w:rPr>
        <w:t xml:space="preserve"> the United States failed to fully respond to the </w:t>
      </w:r>
      <w:r w:rsidR="00472060" w:rsidRPr="00C649E1">
        <w:rPr>
          <w:rFonts w:asciiTheme="majorHAnsi" w:hAnsiTheme="majorHAnsi"/>
          <w:sz w:val="20"/>
          <w:szCs w:val="20"/>
        </w:rPr>
        <w:t>claims</w:t>
      </w:r>
      <w:r w:rsidR="00854C85" w:rsidRPr="00C649E1">
        <w:rPr>
          <w:rFonts w:asciiTheme="majorHAnsi" w:hAnsiTheme="majorHAnsi"/>
          <w:sz w:val="20"/>
          <w:szCs w:val="20"/>
        </w:rPr>
        <w:t xml:space="preserve"> </w:t>
      </w:r>
      <w:r w:rsidR="00B84D35" w:rsidRPr="00C649E1">
        <w:rPr>
          <w:rFonts w:asciiTheme="majorHAnsi" w:hAnsiTheme="majorHAnsi"/>
          <w:sz w:val="20"/>
          <w:szCs w:val="20"/>
        </w:rPr>
        <w:t>of</w:t>
      </w:r>
      <w:r w:rsidR="00854C85" w:rsidRPr="00C649E1">
        <w:rPr>
          <w:rFonts w:asciiTheme="majorHAnsi" w:hAnsiTheme="majorHAnsi"/>
          <w:sz w:val="20"/>
          <w:szCs w:val="20"/>
        </w:rPr>
        <w:t xml:space="preserve"> racial discrimination</w:t>
      </w:r>
      <w:r w:rsidR="00B84D35" w:rsidRPr="00C649E1">
        <w:rPr>
          <w:rFonts w:asciiTheme="majorHAnsi" w:hAnsiTheme="majorHAnsi"/>
          <w:sz w:val="20"/>
          <w:szCs w:val="20"/>
        </w:rPr>
        <w:t xml:space="preserve"> </w:t>
      </w:r>
      <w:r w:rsidR="00472060" w:rsidRPr="00C649E1">
        <w:rPr>
          <w:rFonts w:asciiTheme="majorHAnsi" w:hAnsiTheme="majorHAnsi"/>
          <w:sz w:val="20"/>
          <w:szCs w:val="20"/>
        </w:rPr>
        <w:t xml:space="preserve">raised </w:t>
      </w:r>
      <w:r w:rsidR="00B84D35" w:rsidRPr="00C649E1">
        <w:rPr>
          <w:rFonts w:asciiTheme="majorHAnsi" w:hAnsiTheme="majorHAnsi"/>
          <w:sz w:val="20"/>
          <w:szCs w:val="20"/>
        </w:rPr>
        <w:t>in Mr. Robinson’s proceedings</w:t>
      </w:r>
      <w:r w:rsidR="00884136" w:rsidRPr="00C649E1">
        <w:rPr>
          <w:rFonts w:asciiTheme="majorHAnsi" w:hAnsiTheme="majorHAnsi"/>
          <w:sz w:val="20"/>
          <w:szCs w:val="20"/>
        </w:rPr>
        <w:t xml:space="preserve">, that the </w:t>
      </w:r>
      <w:r w:rsidR="00472060" w:rsidRPr="00C649E1">
        <w:rPr>
          <w:rFonts w:asciiTheme="majorHAnsi" w:hAnsiTheme="majorHAnsi"/>
          <w:sz w:val="20"/>
          <w:szCs w:val="20"/>
        </w:rPr>
        <w:t>prosecution introduced</w:t>
      </w:r>
      <w:r w:rsidR="00884136" w:rsidRPr="00C649E1">
        <w:rPr>
          <w:rFonts w:asciiTheme="majorHAnsi" w:hAnsiTheme="majorHAnsi"/>
          <w:sz w:val="20"/>
          <w:szCs w:val="20"/>
        </w:rPr>
        <w:t xml:space="preserve"> evidence of</w:t>
      </w:r>
      <w:r w:rsidR="00AA4618" w:rsidRPr="00C649E1">
        <w:rPr>
          <w:rFonts w:asciiTheme="majorHAnsi" w:hAnsiTheme="majorHAnsi"/>
          <w:sz w:val="20"/>
          <w:szCs w:val="20"/>
        </w:rPr>
        <w:t xml:space="preserve"> </w:t>
      </w:r>
      <w:r w:rsidR="00B84D35" w:rsidRPr="00C649E1">
        <w:rPr>
          <w:rFonts w:asciiTheme="majorHAnsi" w:hAnsiTheme="majorHAnsi"/>
          <w:bCs/>
          <w:sz w:val="20"/>
          <w:szCs w:val="20"/>
        </w:rPr>
        <w:t>unadjudicated crimes</w:t>
      </w:r>
      <w:r w:rsidR="00472060" w:rsidRPr="00C649E1">
        <w:rPr>
          <w:rFonts w:asciiTheme="majorHAnsi" w:hAnsiTheme="majorHAnsi"/>
          <w:bCs/>
          <w:sz w:val="20"/>
          <w:szCs w:val="20"/>
        </w:rPr>
        <w:t xml:space="preserve"> during the capital sentencing hearing, that</w:t>
      </w:r>
      <w:r w:rsidR="00854C85" w:rsidRPr="00C649E1">
        <w:rPr>
          <w:rFonts w:asciiTheme="majorHAnsi" w:hAnsiTheme="majorHAnsi"/>
          <w:sz w:val="20"/>
          <w:szCs w:val="20"/>
        </w:rPr>
        <w:t xml:space="preserve"> Mr. Robinson </w:t>
      </w:r>
      <w:r w:rsidR="00472060" w:rsidRPr="00C649E1">
        <w:rPr>
          <w:rFonts w:asciiTheme="majorHAnsi" w:hAnsiTheme="majorHAnsi"/>
          <w:sz w:val="20"/>
          <w:szCs w:val="20"/>
        </w:rPr>
        <w:t xml:space="preserve">was </w:t>
      </w:r>
      <w:r w:rsidR="00854C85" w:rsidRPr="00C649E1">
        <w:rPr>
          <w:rFonts w:asciiTheme="majorHAnsi" w:hAnsiTheme="majorHAnsi"/>
          <w:sz w:val="20"/>
          <w:szCs w:val="20"/>
        </w:rPr>
        <w:t>not afforded with adequate legal representation on direct appeal, and the 20 years that he has been on death row constitute cruel and inhumane treatment.</w:t>
      </w:r>
    </w:p>
    <w:p w14:paraId="21D264E7" w14:textId="77777777" w:rsidR="00884136" w:rsidRDefault="00884136" w:rsidP="008841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Theme="majorHAnsi" w:hAnsiTheme="majorHAnsi"/>
          <w:sz w:val="20"/>
          <w:szCs w:val="20"/>
        </w:rPr>
      </w:pPr>
    </w:p>
    <w:p w14:paraId="1F75AE63" w14:textId="77777777" w:rsidR="00C63C59" w:rsidRDefault="00C63C59" w:rsidP="008841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Theme="majorHAnsi" w:hAnsiTheme="majorHAnsi"/>
          <w:sz w:val="20"/>
          <w:szCs w:val="20"/>
        </w:rPr>
      </w:pPr>
    </w:p>
    <w:p w14:paraId="00AFD5D9" w14:textId="77777777" w:rsidR="00C63C59" w:rsidRPr="00C649E1" w:rsidRDefault="00C63C59" w:rsidP="00884136">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720"/>
        </w:tabs>
        <w:jc w:val="both"/>
        <w:rPr>
          <w:rFonts w:asciiTheme="majorHAnsi" w:hAnsiTheme="majorHAnsi"/>
          <w:sz w:val="20"/>
          <w:szCs w:val="20"/>
        </w:rPr>
      </w:pPr>
    </w:p>
    <w:p w14:paraId="74AB9D0D" w14:textId="77777777" w:rsidR="00BE3560" w:rsidRPr="0007594F" w:rsidRDefault="00BE3560" w:rsidP="00840141">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rPr>
      </w:pPr>
      <w:r w:rsidRPr="00C649E1">
        <w:rPr>
          <w:sz w:val="20"/>
          <w:szCs w:val="20"/>
        </w:rPr>
        <w:lastRenderedPageBreak/>
        <w:t>Under these circumstances, the IACHR has maintained that executing a person after proceedings that were conducted in violation of his rights would be extremely grave and constitute a deliberate violation of the right to life established in Article I of the American Declaration.</w:t>
      </w:r>
      <w:r w:rsidRPr="00C649E1">
        <w:rPr>
          <w:rStyle w:val="FootnoteReference"/>
          <w:sz w:val="20"/>
          <w:szCs w:val="20"/>
        </w:rPr>
        <w:footnoteReference w:id="98"/>
      </w:r>
      <w:r w:rsidRPr="00C649E1">
        <w:rPr>
          <w:sz w:val="20"/>
          <w:szCs w:val="20"/>
        </w:rPr>
        <w:t xml:space="preserve"> Further, based on the conclusions regarding the deprivation of liberty on death row, the eventual execution of Mr. </w:t>
      </w:r>
      <w:r w:rsidR="00585229" w:rsidRPr="00C649E1">
        <w:rPr>
          <w:sz w:val="20"/>
          <w:szCs w:val="20"/>
        </w:rPr>
        <w:t>Robinson</w:t>
      </w:r>
      <w:r w:rsidRPr="00C649E1">
        <w:rPr>
          <w:sz w:val="20"/>
          <w:szCs w:val="20"/>
        </w:rPr>
        <w:t xml:space="preserve"> would constitute, by any account, a violation of the right to protection against cruel, infamous or unusual punishment. In light of the foregoing and taking into account the determinations made throughout this report, the IACHR concludes that the execution of Mr. </w:t>
      </w:r>
      <w:r w:rsidR="00585229" w:rsidRPr="00C649E1">
        <w:rPr>
          <w:sz w:val="20"/>
          <w:szCs w:val="20"/>
        </w:rPr>
        <w:t>Robinson</w:t>
      </w:r>
      <w:r w:rsidRPr="00C649E1">
        <w:rPr>
          <w:sz w:val="20"/>
          <w:szCs w:val="20"/>
        </w:rPr>
        <w:t xml:space="preserve"> would constitute a serious violation of his right to life established in Articles I of the American Declaration.</w:t>
      </w:r>
    </w:p>
    <w:p w14:paraId="76B4F6E7" w14:textId="77777777" w:rsidR="0007594F" w:rsidRPr="0007594F" w:rsidRDefault="0007594F" w:rsidP="0007594F">
      <w:pPr>
        <w:rPr>
          <w:rFonts w:asciiTheme="majorHAnsi" w:eastAsiaTheme="majorEastAsia" w:hAnsiTheme="majorHAnsi" w:cstheme="majorBidi"/>
          <w:b/>
          <w:bCs/>
          <w:sz w:val="20"/>
          <w:szCs w:val="20"/>
        </w:rPr>
      </w:pPr>
    </w:p>
    <w:p w14:paraId="1770F8FA" w14:textId="77777777" w:rsidR="0007594F" w:rsidRPr="00447CFC" w:rsidRDefault="0007594F" w:rsidP="00ED5F33">
      <w:pPr>
        <w:pStyle w:val="Heading1"/>
        <w:tabs>
          <w:tab w:val="left" w:pos="360"/>
        </w:tabs>
        <w:spacing w:before="0"/>
        <w:ind w:hanging="720"/>
        <w:rPr>
          <w:color w:val="auto"/>
          <w:sz w:val="20"/>
          <w:szCs w:val="20"/>
        </w:rPr>
      </w:pPr>
      <w:bookmarkStart w:id="98" w:name="_Toc45105400"/>
      <w:bookmarkStart w:id="99" w:name="_Toc70417438"/>
      <w:r w:rsidRPr="00447CFC">
        <w:rPr>
          <w:color w:val="auto"/>
          <w:sz w:val="20"/>
          <w:szCs w:val="20"/>
        </w:rPr>
        <w:t>REPORT No. 162/19</w:t>
      </w:r>
      <w:r w:rsidR="00D919AC" w:rsidRPr="00447CFC">
        <w:rPr>
          <w:color w:val="auto"/>
          <w:sz w:val="20"/>
          <w:szCs w:val="20"/>
        </w:rPr>
        <w:t xml:space="preserve"> AND INFORMATION ABOUT COMPLIANCE</w:t>
      </w:r>
      <w:bookmarkEnd w:id="98"/>
      <w:bookmarkEnd w:id="99"/>
    </w:p>
    <w:p w14:paraId="640C4870" w14:textId="77777777" w:rsidR="0007594F" w:rsidRPr="00447CFC" w:rsidRDefault="0007594F" w:rsidP="0007594F">
      <w:pPr>
        <w:rPr>
          <w:rFonts w:asciiTheme="majorHAnsi" w:hAnsiTheme="majorHAnsi"/>
          <w:sz w:val="20"/>
          <w:szCs w:val="20"/>
        </w:rPr>
      </w:pPr>
    </w:p>
    <w:p w14:paraId="4643E4AD" w14:textId="77777777" w:rsidR="0007594F" w:rsidRPr="00447CFC" w:rsidRDefault="0007594F" w:rsidP="0007594F">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447CFC">
        <w:rPr>
          <w:rFonts w:asciiTheme="majorHAnsi" w:hAnsiTheme="majorHAnsi"/>
          <w:sz w:val="20"/>
          <w:szCs w:val="20"/>
        </w:rPr>
        <w:t>On November 9, 2019, the Commission approved Report No. 162/19 on the merits of the instant case, which encompasses paragraphs 1 to 12</w:t>
      </w:r>
      <w:r w:rsidR="00681DF5" w:rsidRPr="00447CFC">
        <w:rPr>
          <w:rFonts w:asciiTheme="majorHAnsi" w:hAnsiTheme="majorHAnsi"/>
          <w:sz w:val="20"/>
          <w:szCs w:val="20"/>
        </w:rPr>
        <w:t>1</w:t>
      </w:r>
      <w:r w:rsidRPr="00447CFC">
        <w:rPr>
          <w:rFonts w:asciiTheme="majorHAnsi" w:hAnsiTheme="majorHAnsi"/>
          <w:sz w:val="20"/>
          <w:szCs w:val="20"/>
        </w:rPr>
        <w:t xml:space="preserve"> supra, and issued the following recommendations to the State: </w:t>
      </w:r>
    </w:p>
    <w:p w14:paraId="35A8A195" w14:textId="77777777" w:rsidR="0007594F" w:rsidRPr="00447CFC" w:rsidRDefault="0007594F" w:rsidP="0007594F">
      <w:pPr>
        <w:rPr>
          <w:rFonts w:asciiTheme="majorHAnsi" w:hAnsiTheme="majorHAnsi"/>
          <w:sz w:val="20"/>
          <w:szCs w:val="20"/>
        </w:rPr>
      </w:pPr>
    </w:p>
    <w:p w14:paraId="214B97B7" w14:textId="77777777" w:rsidR="00681DF5" w:rsidRPr="00447CFC" w:rsidRDefault="00681DF5" w:rsidP="00074E3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447CFC">
        <w:rPr>
          <w:rFonts w:eastAsia="Times New Roman" w:cs="Tahoma"/>
          <w:sz w:val="20"/>
          <w:szCs w:val="20"/>
          <w:bdr w:val="none" w:sz="0" w:space="0" w:color="auto" w:frame="1"/>
        </w:rPr>
        <w:t xml:space="preserve">Grant </w:t>
      </w:r>
      <w:r w:rsidRPr="00447CFC">
        <w:rPr>
          <w:rFonts w:asciiTheme="majorHAnsi" w:hAnsiTheme="majorHAnsi"/>
          <w:color w:val="000000" w:themeColor="text1"/>
          <w:sz w:val="20"/>
          <w:szCs w:val="20"/>
        </w:rPr>
        <w:t>Julius Omar Robinson</w:t>
      </w:r>
      <w:r w:rsidRPr="00447CFC">
        <w:rPr>
          <w:rFonts w:eastAsia="Times New Roman" w:cs="Tahoma"/>
          <w:sz w:val="20"/>
          <w:szCs w:val="20"/>
          <w:bdr w:val="none" w:sz="0" w:space="0" w:color="auto" w:frame="1"/>
        </w:rPr>
        <w:t xml:space="preserve"> effective relief, including the review of his trial and sentence in accordance with the guarantees of fair trial and due process set forth in Articles </w:t>
      </w:r>
      <w:r w:rsidRPr="00447CFC">
        <w:rPr>
          <w:rFonts w:asciiTheme="majorHAnsi" w:hAnsiTheme="majorHAnsi"/>
          <w:color w:val="000000" w:themeColor="text1"/>
          <w:sz w:val="20"/>
          <w:szCs w:val="20"/>
        </w:rPr>
        <w:t xml:space="preserve">XVIII, XXV and XXVI </w:t>
      </w:r>
      <w:r w:rsidRPr="00447CFC">
        <w:rPr>
          <w:rFonts w:eastAsia="Times New Roman" w:cs="Tahoma"/>
          <w:sz w:val="20"/>
          <w:szCs w:val="20"/>
          <w:bdr w:val="none" w:sz="0" w:space="0" w:color="auto" w:frame="1"/>
        </w:rPr>
        <w:t xml:space="preserve">of the American Declaration, and the payment of pecuniary compensation. </w:t>
      </w:r>
      <w:r w:rsidRPr="00447CFC">
        <w:rPr>
          <w:rFonts w:cs="Arial"/>
          <w:color w:val="auto"/>
          <w:sz w:val="20"/>
          <w:szCs w:val="20"/>
        </w:rPr>
        <w:t xml:space="preserve">Taking into account the conclusions of the IACHR on the time </w:t>
      </w:r>
      <w:r w:rsidRPr="00447CFC">
        <w:rPr>
          <w:rFonts w:asciiTheme="majorHAnsi" w:hAnsiTheme="majorHAnsi"/>
          <w:color w:val="000000" w:themeColor="text1"/>
          <w:sz w:val="20"/>
          <w:szCs w:val="20"/>
        </w:rPr>
        <w:t>Julius Omar Robinson</w:t>
      </w:r>
      <w:r w:rsidRPr="00447CFC">
        <w:rPr>
          <w:rFonts w:eastAsia="Times New Roman" w:cs="Tahoma"/>
          <w:sz w:val="20"/>
          <w:szCs w:val="20"/>
          <w:bdr w:val="none" w:sz="0" w:space="0" w:color="auto" w:frame="1"/>
        </w:rPr>
        <w:t xml:space="preserve"> </w:t>
      </w:r>
      <w:r w:rsidRPr="00447CFC">
        <w:rPr>
          <w:rFonts w:cs="Arial"/>
          <w:color w:val="auto"/>
          <w:sz w:val="20"/>
          <w:szCs w:val="20"/>
        </w:rPr>
        <w:t>has been held on death row, the Commission recommends that if the new trial results in a conviction, that his sentence be commuted</w:t>
      </w:r>
      <w:r w:rsidRPr="00447CFC">
        <w:rPr>
          <w:rFonts w:eastAsia="Times New Roman" w:cs="Tahoma"/>
          <w:sz w:val="20"/>
          <w:szCs w:val="20"/>
          <w:bdr w:val="none" w:sz="0" w:space="0" w:color="auto" w:frame="1"/>
        </w:rPr>
        <w:t>.</w:t>
      </w:r>
    </w:p>
    <w:p w14:paraId="6C07FF00" w14:textId="77777777" w:rsidR="00681DF5" w:rsidRPr="00447CFC" w:rsidRDefault="00681DF5" w:rsidP="00681DF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p>
    <w:p w14:paraId="09CE93B2" w14:textId="77777777" w:rsidR="00681DF5" w:rsidRPr="00447CFC" w:rsidRDefault="00681DF5" w:rsidP="00074E3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447CFC">
        <w:rPr>
          <w:sz w:val="20"/>
        </w:rPr>
        <w:t>Review its laws, procedures, and practices at the federal level to ensure that persons accused of capital crimes are tried and, if convicted, sentenced in accordance with the rights established in the American Declaration,</w:t>
      </w:r>
      <w:r w:rsidRPr="00447CFC">
        <w:rPr>
          <w:rStyle w:val="FootnoteReference"/>
          <w:sz w:val="20"/>
        </w:rPr>
        <w:footnoteReference w:id="99"/>
      </w:r>
      <w:r w:rsidRPr="00447CFC">
        <w:rPr>
          <w:sz w:val="20"/>
        </w:rPr>
        <w:t xml:space="preserve"> including Articles I, II, </w:t>
      </w:r>
      <w:r w:rsidRPr="00447CFC">
        <w:rPr>
          <w:rFonts w:eastAsia="Times New Roman"/>
          <w:sz w:val="20"/>
          <w:szCs w:val="20"/>
          <w:bdr w:val="none" w:sz="0" w:space="0" w:color="auto"/>
        </w:rPr>
        <w:t>IV,</w:t>
      </w:r>
      <w:r w:rsidRPr="00447CFC">
        <w:rPr>
          <w:sz w:val="20"/>
          <w:szCs w:val="20"/>
        </w:rPr>
        <w:t xml:space="preserve"> </w:t>
      </w:r>
      <w:r w:rsidRPr="00447CFC">
        <w:rPr>
          <w:sz w:val="20"/>
        </w:rPr>
        <w:t>XVIII, XXV and XXVI thereof, and, in particular that:</w:t>
      </w:r>
    </w:p>
    <w:p w14:paraId="5504CE55" w14:textId="77777777" w:rsidR="00681DF5" w:rsidRPr="00447CFC" w:rsidRDefault="00681DF5" w:rsidP="00681DF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jc w:val="both"/>
        <w:rPr>
          <w:rFonts w:eastAsia="Times New Roman" w:cs="Tahoma"/>
          <w:sz w:val="20"/>
          <w:szCs w:val="20"/>
          <w:bdr w:val="none" w:sz="0" w:space="0" w:color="auto" w:frame="1"/>
        </w:rPr>
      </w:pPr>
    </w:p>
    <w:p w14:paraId="346C7556" w14:textId="77777777" w:rsidR="00681DF5" w:rsidRPr="00447CFC" w:rsidRDefault="00681DF5" w:rsidP="00074E33">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447CFC">
        <w:rPr>
          <w:rFonts w:asciiTheme="majorHAnsi" w:hAnsiTheme="majorHAnsi"/>
          <w:sz w:val="20"/>
          <w:szCs w:val="20"/>
        </w:rPr>
        <w:t>claims of racial discrimination are thoroughly and fully investigated</w:t>
      </w:r>
      <w:r w:rsidRPr="00447CFC">
        <w:rPr>
          <w:sz w:val="20"/>
        </w:rPr>
        <w:t xml:space="preserve">; </w:t>
      </w:r>
    </w:p>
    <w:p w14:paraId="3FDE31A5" w14:textId="77777777" w:rsidR="00681DF5" w:rsidRPr="00447CFC" w:rsidRDefault="00681DF5" w:rsidP="00074E33">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447CFC">
        <w:rPr>
          <w:rFonts w:eastAsia="Times New Roman" w:cs="Tahoma"/>
          <w:sz w:val="20"/>
          <w:szCs w:val="20"/>
          <w:bdr w:val="none" w:sz="0" w:space="0" w:color="auto" w:frame="1"/>
        </w:rPr>
        <w:t>defense counsel have access to information in the framework of the criminal proceedings;</w:t>
      </w:r>
    </w:p>
    <w:p w14:paraId="4A2352C5" w14:textId="77777777" w:rsidR="00681DF5" w:rsidRPr="00447CFC" w:rsidRDefault="00681DF5" w:rsidP="00074E33">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447CFC">
        <w:rPr>
          <w:sz w:val="20"/>
          <w:szCs w:val="20"/>
          <w:bdr w:val="none" w:sz="0" w:space="0" w:color="auto" w:frame="1"/>
        </w:rPr>
        <w:t>trial and appellate court-appointed counsel provide adequate legal representation in death penalty cases, including claims regarding racial discrimination; and</w:t>
      </w:r>
    </w:p>
    <w:p w14:paraId="482B2283" w14:textId="77777777" w:rsidR="00681DF5" w:rsidRPr="00447CFC" w:rsidRDefault="00681DF5" w:rsidP="00074E33">
      <w:pPr>
        <w:pStyle w:val="ListParagraph"/>
        <w:numPr>
          <w:ilvl w:val="1"/>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1080"/>
        <w:jc w:val="both"/>
        <w:rPr>
          <w:rFonts w:eastAsia="Times New Roman" w:cs="Tahoma"/>
          <w:sz w:val="20"/>
          <w:szCs w:val="20"/>
          <w:bdr w:val="none" w:sz="0" w:space="0" w:color="auto" w:frame="1"/>
        </w:rPr>
      </w:pPr>
      <w:r w:rsidRPr="00447CFC">
        <w:rPr>
          <w:rFonts w:asciiTheme="majorHAnsi" w:hAnsiTheme="majorHAnsi"/>
          <w:bCs/>
          <w:color w:val="auto"/>
          <w:sz w:val="20"/>
          <w:szCs w:val="20"/>
        </w:rPr>
        <w:t>evidence of unadjudicated offenses are not introduced during capital sentencing.</w:t>
      </w:r>
    </w:p>
    <w:p w14:paraId="39D7D85A" w14:textId="77777777" w:rsidR="00681DF5" w:rsidRPr="00447CFC" w:rsidRDefault="00681DF5" w:rsidP="00681DF5">
      <w:pPr>
        <w:pStyle w:val="ListParagraph"/>
        <w:rPr>
          <w:rFonts w:eastAsia="Times New Roman" w:cs="Tahoma"/>
          <w:sz w:val="20"/>
          <w:szCs w:val="20"/>
          <w:bdr w:val="none" w:sz="0" w:space="0" w:color="auto" w:frame="1"/>
        </w:rPr>
      </w:pPr>
    </w:p>
    <w:p w14:paraId="2893C997" w14:textId="77777777" w:rsidR="00681DF5" w:rsidRPr="00447CFC" w:rsidRDefault="00681DF5" w:rsidP="00074E3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447CFC">
        <w:rPr>
          <w:rFonts w:eastAsia="Times New Roman" w:cs="Tahoma"/>
          <w:sz w:val="20"/>
          <w:szCs w:val="20"/>
          <w:bdr w:val="none" w:sz="0" w:space="0" w:color="auto"/>
        </w:rPr>
        <w:t>Review its laws, procedures, and practices to ensure that persons sentenced to the death penalty have access to effective judicial remedies to challenge the possible impact of the method of execution on their fundamental rights in accordance with the standards set forth in this merits report.</w:t>
      </w:r>
    </w:p>
    <w:p w14:paraId="48A977FA" w14:textId="77777777" w:rsidR="00681DF5" w:rsidRPr="00447CFC" w:rsidRDefault="00681DF5" w:rsidP="00681DF5">
      <w:pPr>
        <w:pStyle w:val="ListParagraph"/>
        <w:tabs>
          <w:tab w:val="left" w:pos="360"/>
        </w:tabs>
        <w:ind w:left="360" w:hanging="360"/>
        <w:jc w:val="both"/>
        <w:rPr>
          <w:rFonts w:eastAsia="Times New Roman" w:cs="Tahoma"/>
          <w:sz w:val="20"/>
          <w:szCs w:val="20"/>
          <w:bdr w:val="none" w:sz="0" w:space="0" w:color="auto" w:frame="1"/>
        </w:rPr>
      </w:pPr>
    </w:p>
    <w:p w14:paraId="286C8EA9" w14:textId="77777777" w:rsidR="00681DF5" w:rsidRPr="00447CFC" w:rsidRDefault="00681DF5" w:rsidP="00074E33">
      <w:pPr>
        <w:pStyle w:val="ListParagraph"/>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360"/>
        </w:tabs>
        <w:ind w:left="360"/>
        <w:jc w:val="both"/>
        <w:rPr>
          <w:rFonts w:eastAsia="Times New Roman" w:cs="Tahoma"/>
          <w:sz w:val="20"/>
          <w:szCs w:val="20"/>
          <w:bdr w:val="none" w:sz="0" w:space="0" w:color="auto" w:frame="1"/>
        </w:rPr>
      </w:pPr>
      <w:r w:rsidRPr="00447CFC">
        <w:rPr>
          <w:rFonts w:asciiTheme="majorHAnsi" w:hAnsiTheme="majorHAnsi"/>
          <w:sz w:val="20"/>
        </w:rPr>
        <w:t>Given the violations of the American Declaration the IACHR has established in the present</w:t>
      </w:r>
      <w:r w:rsidRPr="00447CFC">
        <w:rPr>
          <w:sz w:val="20"/>
        </w:rPr>
        <w:t xml:space="preserve"> case and in others involving application of the death penalty, the Inter-American Commission also recommends to the United States that it adopt a moratorium on executions of persons sentenced to death.</w:t>
      </w:r>
      <w:r w:rsidRPr="00447CFC">
        <w:rPr>
          <w:rStyle w:val="FootnoteReference"/>
          <w:sz w:val="20"/>
        </w:rPr>
        <w:footnoteReference w:id="100"/>
      </w:r>
    </w:p>
    <w:p w14:paraId="67A99EE4" w14:textId="77777777" w:rsidR="0007594F" w:rsidRPr="00447CFC" w:rsidRDefault="0007594F" w:rsidP="0007594F">
      <w:pPr>
        <w:rPr>
          <w:rFonts w:asciiTheme="majorHAnsi" w:hAnsiTheme="majorHAnsi"/>
          <w:sz w:val="20"/>
          <w:szCs w:val="20"/>
        </w:rPr>
      </w:pPr>
    </w:p>
    <w:p w14:paraId="71418530" w14:textId="77777777" w:rsidR="0007594F" w:rsidRPr="00447CFC" w:rsidRDefault="0007594F" w:rsidP="000641B6">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447CFC">
        <w:rPr>
          <w:rFonts w:asciiTheme="majorHAnsi" w:hAnsiTheme="majorHAnsi"/>
          <w:sz w:val="20"/>
          <w:szCs w:val="20"/>
        </w:rPr>
        <w:t xml:space="preserve">On </w:t>
      </w:r>
      <w:r w:rsidR="000641B6" w:rsidRPr="00447CFC">
        <w:rPr>
          <w:rFonts w:asciiTheme="majorHAnsi" w:hAnsiTheme="majorHAnsi"/>
          <w:sz w:val="20"/>
          <w:szCs w:val="20"/>
        </w:rPr>
        <w:t>December 11</w:t>
      </w:r>
      <w:r w:rsidRPr="00447CFC">
        <w:rPr>
          <w:rFonts w:asciiTheme="majorHAnsi" w:hAnsiTheme="majorHAnsi"/>
          <w:sz w:val="20"/>
          <w:szCs w:val="20"/>
        </w:rPr>
        <w:t>, 2019, the Commission transmitted the report to the State with a time period of two months to inform on the measures taken to comply with its recommendations. On that same date the IACHR notified the petitioners about the adoption of the report. To</w:t>
      </w:r>
      <w:r w:rsidR="00A63A2B" w:rsidRPr="00447CFC">
        <w:rPr>
          <w:rFonts w:asciiTheme="majorHAnsi" w:hAnsiTheme="majorHAnsi"/>
          <w:sz w:val="20"/>
          <w:szCs w:val="20"/>
        </w:rPr>
        <w:t xml:space="preserve"> the</w:t>
      </w:r>
      <w:r w:rsidRPr="00447CFC">
        <w:rPr>
          <w:rFonts w:asciiTheme="majorHAnsi" w:hAnsiTheme="majorHAnsi"/>
          <w:sz w:val="20"/>
          <w:szCs w:val="20"/>
        </w:rPr>
        <w:t xml:space="preserve"> date</w:t>
      </w:r>
      <w:r w:rsidR="00A63A2B" w:rsidRPr="00447CFC">
        <w:rPr>
          <w:rFonts w:asciiTheme="majorHAnsi" w:hAnsiTheme="majorHAnsi"/>
          <w:sz w:val="20"/>
          <w:szCs w:val="20"/>
        </w:rPr>
        <w:t xml:space="preserve"> of approval of this report</w:t>
      </w:r>
      <w:r w:rsidRPr="00447CFC">
        <w:rPr>
          <w:rFonts w:asciiTheme="majorHAnsi" w:hAnsiTheme="majorHAnsi"/>
          <w:sz w:val="20"/>
          <w:szCs w:val="20"/>
        </w:rPr>
        <w:t xml:space="preserve">, the IACHR has not received any response from the United States regarding Report No. </w:t>
      </w:r>
      <w:r w:rsidR="000641B6" w:rsidRPr="00447CFC">
        <w:rPr>
          <w:rFonts w:asciiTheme="majorHAnsi" w:hAnsiTheme="majorHAnsi"/>
          <w:sz w:val="20"/>
          <w:szCs w:val="20"/>
        </w:rPr>
        <w:t>162</w:t>
      </w:r>
      <w:r w:rsidRPr="00447CFC">
        <w:rPr>
          <w:rFonts w:asciiTheme="majorHAnsi" w:hAnsiTheme="majorHAnsi"/>
          <w:sz w:val="20"/>
          <w:szCs w:val="20"/>
        </w:rPr>
        <w:t>/19.</w:t>
      </w:r>
    </w:p>
    <w:p w14:paraId="799F8602" w14:textId="77777777" w:rsidR="00F23F07" w:rsidRPr="00447CFC" w:rsidRDefault="00F23F07" w:rsidP="00F23F07">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szCs w:val="20"/>
        </w:rPr>
      </w:pPr>
    </w:p>
    <w:p w14:paraId="77E4F96D" w14:textId="77777777" w:rsidR="00681DF5" w:rsidRPr="003824C7" w:rsidRDefault="00F23F07" w:rsidP="00AE6B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rFonts w:asciiTheme="majorHAnsi" w:hAnsiTheme="majorHAnsi"/>
          <w:sz w:val="20"/>
          <w:szCs w:val="20"/>
        </w:rPr>
      </w:pPr>
      <w:r w:rsidRPr="00447CFC">
        <w:rPr>
          <w:rFonts w:asciiTheme="majorHAnsi" w:hAnsiTheme="majorHAnsi"/>
          <w:sz w:val="20"/>
          <w:szCs w:val="20"/>
        </w:rPr>
        <w:t>On May 18, 2020</w:t>
      </w:r>
      <w:r w:rsidR="005861B6" w:rsidRPr="00447CFC">
        <w:rPr>
          <w:rFonts w:asciiTheme="majorHAnsi" w:hAnsiTheme="majorHAnsi"/>
          <w:sz w:val="20"/>
          <w:szCs w:val="20"/>
        </w:rPr>
        <w:t>,</w:t>
      </w:r>
      <w:r w:rsidRPr="00447CFC">
        <w:rPr>
          <w:rFonts w:asciiTheme="majorHAnsi" w:hAnsiTheme="majorHAnsi"/>
          <w:sz w:val="20"/>
          <w:szCs w:val="20"/>
        </w:rPr>
        <w:t xml:space="preserve"> petitioners informed the Commission that so far, </w:t>
      </w:r>
      <w:r w:rsidR="00AE6B43" w:rsidRPr="00447CFC">
        <w:rPr>
          <w:rFonts w:asciiTheme="majorHAnsi" w:hAnsiTheme="majorHAnsi"/>
          <w:sz w:val="20"/>
          <w:szCs w:val="20"/>
        </w:rPr>
        <w:t>they</w:t>
      </w:r>
      <w:r w:rsidRPr="00447CFC">
        <w:rPr>
          <w:rFonts w:asciiTheme="majorHAnsi" w:hAnsiTheme="majorHAnsi"/>
          <w:sz w:val="20"/>
          <w:szCs w:val="20"/>
        </w:rPr>
        <w:t xml:space="preserve"> have not received any communication from any United States Government agency regarding measures taken to implement the Commission’s recommendations. Petitioners also informed that on January 6, 2020</w:t>
      </w:r>
      <w:r w:rsidR="005861B6" w:rsidRPr="00447CFC">
        <w:rPr>
          <w:rFonts w:asciiTheme="majorHAnsi" w:hAnsiTheme="majorHAnsi"/>
          <w:sz w:val="20"/>
          <w:szCs w:val="20"/>
        </w:rPr>
        <w:t>,</w:t>
      </w:r>
      <w:r w:rsidRPr="00447CFC">
        <w:rPr>
          <w:rFonts w:asciiTheme="majorHAnsi" w:hAnsiTheme="majorHAnsi"/>
          <w:sz w:val="20"/>
          <w:szCs w:val="20"/>
        </w:rPr>
        <w:t xml:space="preserve"> they contacted the U.S. Department of State to speak with </w:t>
      </w:r>
      <w:r w:rsidR="005861B6" w:rsidRPr="00447CFC">
        <w:rPr>
          <w:rFonts w:asciiTheme="majorHAnsi" w:hAnsiTheme="majorHAnsi"/>
          <w:sz w:val="20"/>
          <w:szCs w:val="20"/>
        </w:rPr>
        <w:t>c</w:t>
      </w:r>
      <w:r w:rsidRPr="00447CFC">
        <w:rPr>
          <w:rFonts w:asciiTheme="majorHAnsi" w:hAnsiTheme="majorHAnsi"/>
          <w:sz w:val="20"/>
          <w:szCs w:val="20"/>
        </w:rPr>
        <w:t>ounsel of the United States in this matter</w:t>
      </w:r>
      <w:r w:rsidR="00AE6B43" w:rsidRPr="00447CFC">
        <w:rPr>
          <w:rFonts w:asciiTheme="majorHAnsi" w:hAnsiTheme="majorHAnsi"/>
          <w:sz w:val="20"/>
          <w:szCs w:val="20"/>
        </w:rPr>
        <w:t xml:space="preserve"> </w:t>
      </w:r>
      <w:r w:rsidR="005861B6" w:rsidRPr="00447CFC">
        <w:rPr>
          <w:rFonts w:asciiTheme="majorHAnsi" w:hAnsiTheme="majorHAnsi"/>
          <w:sz w:val="20"/>
          <w:szCs w:val="20"/>
        </w:rPr>
        <w:t>and that</w:t>
      </w:r>
      <w:r w:rsidR="00AE6B43" w:rsidRPr="00447CFC">
        <w:rPr>
          <w:rFonts w:asciiTheme="majorHAnsi" w:hAnsiTheme="majorHAnsi"/>
          <w:sz w:val="20"/>
          <w:szCs w:val="20"/>
        </w:rPr>
        <w:t xml:space="preserve"> on</w:t>
      </w:r>
      <w:r w:rsidRPr="00447CFC">
        <w:rPr>
          <w:rFonts w:asciiTheme="majorHAnsi" w:hAnsiTheme="majorHAnsi"/>
          <w:sz w:val="20"/>
          <w:szCs w:val="20"/>
        </w:rPr>
        <w:t xml:space="preserve"> February 4, </w:t>
      </w:r>
      <w:r w:rsidR="00AE6B43" w:rsidRPr="00447CFC">
        <w:rPr>
          <w:rFonts w:asciiTheme="majorHAnsi" w:hAnsiTheme="majorHAnsi"/>
          <w:sz w:val="20"/>
          <w:szCs w:val="20"/>
        </w:rPr>
        <w:t xml:space="preserve">2020 </w:t>
      </w:r>
      <w:r w:rsidR="005861B6" w:rsidRPr="00447CFC">
        <w:rPr>
          <w:rFonts w:asciiTheme="majorHAnsi" w:hAnsiTheme="majorHAnsi"/>
          <w:sz w:val="20"/>
          <w:szCs w:val="20"/>
        </w:rPr>
        <w:t>it replied</w:t>
      </w:r>
      <w:r w:rsidR="00AE6B43" w:rsidRPr="00447CFC">
        <w:rPr>
          <w:rFonts w:asciiTheme="majorHAnsi" w:hAnsiTheme="majorHAnsi"/>
          <w:sz w:val="20"/>
          <w:szCs w:val="20"/>
        </w:rPr>
        <w:t xml:space="preserve"> that it was waiting for a response from the D</w:t>
      </w:r>
      <w:r w:rsidR="005861B6" w:rsidRPr="00447CFC">
        <w:rPr>
          <w:rFonts w:asciiTheme="majorHAnsi" w:hAnsiTheme="majorHAnsi"/>
          <w:sz w:val="20"/>
          <w:szCs w:val="20"/>
        </w:rPr>
        <w:t>oJ</w:t>
      </w:r>
      <w:r w:rsidR="00AE6B43" w:rsidRPr="00447CFC">
        <w:rPr>
          <w:rFonts w:asciiTheme="majorHAnsi" w:hAnsiTheme="majorHAnsi"/>
          <w:sz w:val="20"/>
          <w:szCs w:val="20"/>
        </w:rPr>
        <w:t>. Petitioners</w:t>
      </w:r>
      <w:r w:rsidRPr="00447CFC">
        <w:rPr>
          <w:rFonts w:asciiTheme="majorHAnsi" w:hAnsiTheme="majorHAnsi"/>
          <w:sz w:val="20"/>
          <w:szCs w:val="20"/>
        </w:rPr>
        <w:t xml:space="preserve"> requested the Department of State that it expedite its internal review process such that the parties could attempt to work out a settlement.</w:t>
      </w:r>
      <w:r w:rsidRPr="00447CFC">
        <w:t xml:space="preserve"> </w:t>
      </w:r>
      <w:r w:rsidRPr="00447CFC">
        <w:rPr>
          <w:rFonts w:asciiTheme="majorHAnsi" w:hAnsiTheme="majorHAnsi"/>
          <w:sz w:val="20"/>
          <w:szCs w:val="20"/>
        </w:rPr>
        <w:t xml:space="preserve">Since 4 </w:t>
      </w:r>
      <w:r w:rsidRPr="003824C7">
        <w:rPr>
          <w:rFonts w:asciiTheme="majorHAnsi" w:hAnsiTheme="majorHAnsi"/>
          <w:sz w:val="20"/>
          <w:szCs w:val="20"/>
        </w:rPr>
        <w:t xml:space="preserve">February 2020, </w:t>
      </w:r>
      <w:r w:rsidR="00AE6B43" w:rsidRPr="003824C7">
        <w:rPr>
          <w:rFonts w:asciiTheme="majorHAnsi" w:hAnsiTheme="majorHAnsi"/>
          <w:sz w:val="20"/>
          <w:szCs w:val="20"/>
        </w:rPr>
        <w:t>they</w:t>
      </w:r>
      <w:r w:rsidRPr="003824C7">
        <w:rPr>
          <w:rFonts w:asciiTheme="majorHAnsi" w:hAnsiTheme="majorHAnsi"/>
          <w:sz w:val="20"/>
          <w:szCs w:val="20"/>
        </w:rPr>
        <w:t xml:space="preserve"> have heard nothing further from the </w:t>
      </w:r>
      <w:r w:rsidR="00AE6B43" w:rsidRPr="003824C7">
        <w:rPr>
          <w:rFonts w:asciiTheme="majorHAnsi" w:hAnsiTheme="majorHAnsi"/>
          <w:sz w:val="20"/>
          <w:szCs w:val="20"/>
        </w:rPr>
        <w:t>Government.</w:t>
      </w:r>
    </w:p>
    <w:p w14:paraId="2641D0CC" w14:textId="77777777" w:rsidR="008D36F5" w:rsidRPr="003824C7" w:rsidRDefault="008D36F5" w:rsidP="008D36F5">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szCs w:val="20"/>
        </w:rPr>
      </w:pPr>
    </w:p>
    <w:p w14:paraId="45F3E1E0" w14:textId="77777777" w:rsidR="008D36F5" w:rsidRPr="003824C7" w:rsidRDefault="008D36F5" w:rsidP="008D36F5">
      <w:pPr>
        <w:pStyle w:val="Heading1"/>
        <w:tabs>
          <w:tab w:val="left" w:pos="360"/>
        </w:tabs>
        <w:spacing w:before="0"/>
        <w:ind w:hanging="720"/>
        <w:rPr>
          <w:color w:val="auto"/>
          <w:sz w:val="20"/>
          <w:szCs w:val="20"/>
        </w:rPr>
      </w:pPr>
      <w:bookmarkStart w:id="100" w:name="_Toc70417439"/>
      <w:r w:rsidRPr="003824C7">
        <w:rPr>
          <w:color w:val="auto"/>
          <w:sz w:val="20"/>
          <w:szCs w:val="20"/>
        </w:rPr>
        <w:t xml:space="preserve">REPORT No. </w:t>
      </w:r>
      <w:r w:rsidR="00587000" w:rsidRPr="003824C7">
        <w:rPr>
          <w:color w:val="auto"/>
          <w:sz w:val="20"/>
          <w:szCs w:val="20"/>
        </w:rPr>
        <w:t>199</w:t>
      </w:r>
      <w:r w:rsidRPr="003824C7">
        <w:rPr>
          <w:color w:val="auto"/>
          <w:sz w:val="20"/>
          <w:szCs w:val="20"/>
        </w:rPr>
        <w:t>/20 AND INFORMATION ABOUT COMPLIANCE</w:t>
      </w:r>
      <w:bookmarkEnd w:id="100"/>
    </w:p>
    <w:p w14:paraId="382D17F5" w14:textId="77777777" w:rsidR="005B0272" w:rsidRPr="003824C7" w:rsidRDefault="005B0272" w:rsidP="005B0272">
      <w:pPr>
        <w:pStyle w:val="ListParagraph"/>
        <w:rPr>
          <w:rFonts w:asciiTheme="majorHAnsi" w:hAnsiTheme="majorHAnsi"/>
          <w:sz w:val="20"/>
          <w:szCs w:val="20"/>
        </w:rPr>
      </w:pPr>
    </w:p>
    <w:p w14:paraId="34FCD3B8" w14:textId="77777777" w:rsidR="005B0272" w:rsidRPr="003824C7" w:rsidRDefault="005B0272" w:rsidP="005B0272">
      <w:pPr>
        <w:pStyle w:val="ListParagraph"/>
        <w:pBdr>
          <w:top w:val="none" w:sz="0" w:space="0" w:color="auto"/>
          <w:left w:val="none" w:sz="0" w:space="0" w:color="auto"/>
          <w:bottom w:val="none" w:sz="0" w:space="0" w:color="auto"/>
          <w:right w:val="none" w:sz="0" w:space="0" w:color="auto"/>
          <w:between w:val="none" w:sz="0" w:space="0" w:color="auto"/>
          <w:bar w:val="none" w:sz="0" w:color="auto"/>
        </w:pBdr>
        <w:tabs>
          <w:tab w:val="left" w:pos="540"/>
        </w:tabs>
        <w:autoSpaceDE w:val="0"/>
        <w:autoSpaceDN w:val="0"/>
        <w:adjustRightInd w:val="0"/>
        <w:ind w:left="0"/>
        <w:jc w:val="both"/>
        <w:rPr>
          <w:rFonts w:asciiTheme="majorHAnsi" w:hAnsiTheme="majorHAnsi"/>
          <w:sz w:val="20"/>
          <w:szCs w:val="20"/>
        </w:rPr>
      </w:pPr>
    </w:p>
    <w:p w14:paraId="6252F8C8" w14:textId="77777777" w:rsidR="005B0272" w:rsidRPr="003824C7" w:rsidRDefault="005B0272" w:rsidP="005B0272">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lang w:eastAsia="zh-CN"/>
        </w:rPr>
      </w:pPr>
      <w:r w:rsidRPr="003824C7">
        <w:rPr>
          <w:sz w:val="20"/>
          <w:szCs w:val="20"/>
        </w:rPr>
        <w:t>On Ju</w:t>
      </w:r>
      <w:r w:rsidR="001F2FDD" w:rsidRPr="003824C7">
        <w:rPr>
          <w:sz w:val="20"/>
          <w:szCs w:val="20"/>
        </w:rPr>
        <w:t>ly</w:t>
      </w:r>
      <w:r w:rsidRPr="003824C7">
        <w:rPr>
          <w:sz w:val="20"/>
          <w:szCs w:val="20"/>
        </w:rPr>
        <w:t xml:space="preserve"> </w:t>
      </w:r>
      <w:r w:rsidR="001F2FDD" w:rsidRPr="003824C7">
        <w:rPr>
          <w:sz w:val="20"/>
          <w:szCs w:val="20"/>
        </w:rPr>
        <w:t>31</w:t>
      </w:r>
      <w:r w:rsidRPr="003824C7">
        <w:rPr>
          <w:sz w:val="20"/>
          <w:szCs w:val="20"/>
        </w:rPr>
        <w:t>, 20</w:t>
      </w:r>
      <w:r w:rsidR="001F2FDD" w:rsidRPr="003824C7">
        <w:rPr>
          <w:sz w:val="20"/>
          <w:szCs w:val="20"/>
        </w:rPr>
        <w:t>10</w:t>
      </w:r>
      <w:r w:rsidRPr="003824C7">
        <w:rPr>
          <w:sz w:val="20"/>
          <w:szCs w:val="20"/>
        </w:rPr>
        <w:t xml:space="preserve">, the Commission approved Final Merits Report No. </w:t>
      </w:r>
      <w:r w:rsidR="001F2FDD" w:rsidRPr="003824C7">
        <w:rPr>
          <w:sz w:val="20"/>
          <w:szCs w:val="20"/>
        </w:rPr>
        <w:t>199</w:t>
      </w:r>
      <w:r w:rsidRPr="003824C7">
        <w:rPr>
          <w:sz w:val="20"/>
          <w:szCs w:val="20"/>
        </w:rPr>
        <w:t>/</w:t>
      </w:r>
      <w:r w:rsidR="008D36F5" w:rsidRPr="003824C7">
        <w:rPr>
          <w:sz w:val="20"/>
          <w:szCs w:val="20"/>
        </w:rPr>
        <w:t>20</w:t>
      </w:r>
      <w:r w:rsidRPr="003824C7">
        <w:rPr>
          <w:sz w:val="20"/>
          <w:szCs w:val="20"/>
        </w:rPr>
        <w:t xml:space="preserve"> in which the Commission reiterated all of its recommendations to the State. On </w:t>
      </w:r>
      <w:r w:rsidR="001F2FDD" w:rsidRPr="003824C7">
        <w:rPr>
          <w:sz w:val="20"/>
          <w:szCs w:val="20"/>
        </w:rPr>
        <w:t>the same day</w:t>
      </w:r>
      <w:r w:rsidRPr="003824C7">
        <w:rPr>
          <w:sz w:val="20"/>
          <w:szCs w:val="20"/>
        </w:rPr>
        <w:t>, the IACHR transmitted the report to the State and the petitioners with a time period of</w:t>
      </w:r>
      <w:r w:rsidR="001F2FDD" w:rsidRPr="003824C7">
        <w:rPr>
          <w:sz w:val="20"/>
          <w:szCs w:val="20"/>
        </w:rPr>
        <w:t xml:space="preserve"> one week</w:t>
      </w:r>
      <w:r w:rsidRPr="003824C7">
        <w:rPr>
          <w:sz w:val="20"/>
          <w:szCs w:val="20"/>
        </w:rPr>
        <w:t xml:space="preserve"> to inform the Commission on the measures taken to comply with its recommendations. To date, the Commis</w:t>
      </w:r>
      <w:r w:rsidR="008D36F5" w:rsidRPr="003824C7">
        <w:rPr>
          <w:sz w:val="20"/>
          <w:szCs w:val="20"/>
        </w:rPr>
        <w:t xml:space="preserve">sion has not received any response from the United States or the petitioners regarding report No. </w:t>
      </w:r>
      <w:r w:rsidR="001F2FDD" w:rsidRPr="003824C7">
        <w:rPr>
          <w:sz w:val="20"/>
          <w:szCs w:val="20"/>
        </w:rPr>
        <w:t>199</w:t>
      </w:r>
      <w:r w:rsidR="008D36F5" w:rsidRPr="003824C7">
        <w:rPr>
          <w:sz w:val="20"/>
          <w:szCs w:val="20"/>
        </w:rPr>
        <w:t>/20.</w:t>
      </w:r>
    </w:p>
    <w:p w14:paraId="241F00AD" w14:textId="77777777" w:rsidR="002237F3" w:rsidRPr="00447CFC" w:rsidRDefault="002237F3" w:rsidP="00867DA3">
      <w:pPr>
        <w:rPr>
          <w:rFonts w:asciiTheme="majorHAnsi" w:hAnsiTheme="majorHAnsi"/>
          <w:sz w:val="20"/>
          <w:szCs w:val="20"/>
        </w:rPr>
      </w:pPr>
    </w:p>
    <w:p w14:paraId="5469B587" w14:textId="77777777" w:rsidR="00C55560" w:rsidRPr="00447CFC" w:rsidRDefault="0007594F" w:rsidP="00224AA7">
      <w:pPr>
        <w:pStyle w:val="Heading1"/>
        <w:tabs>
          <w:tab w:val="left" w:pos="360"/>
        </w:tabs>
        <w:spacing w:before="0"/>
        <w:ind w:hanging="720"/>
        <w:rPr>
          <w:color w:val="auto"/>
          <w:sz w:val="20"/>
          <w:szCs w:val="20"/>
        </w:rPr>
      </w:pPr>
      <w:bookmarkStart w:id="101" w:name="_Toc22915033"/>
      <w:bookmarkStart w:id="102" w:name="_Toc45105401"/>
      <w:bookmarkStart w:id="103" w:name="_Toc70417440"/>
      <w:r w:rsidRPr="00447CFC">
        <w:rPr>
          <w:color w:val="auto"/>
          <w:sz w:val="20"/>
          <w:szCs w:val="20"/>
        </w:rPr>
        <w:t xml:space="preserve">FINAL </w:t>
      </w:r>
      <w:r w:rsidR="00677DA7" w:rsidRPr="00447CFC">
        <w:rPr>
          <w:color w:val="auto"/>
          <w:sz w:val="20"/>
          <w:szCs w:val="20"/>
        </w:rPr>
        <w:t>CONCLUSIONS AND RECOMMENDATIONS</w:t>
      </w:r>
      <w:bookmarkEnd w:id="101"/>
      <w:bookmarkEnd w:id="102"/>
      <w:bookmarkEnd w:id="103"/>
    </w:p>
    <w:p w14:paraId="7665DD39" w14:textId="77777777" w:rsidR="00BC5766" w:rsidRPr="00447CFC" w:rsidRDefault="00BC5766" w:rsidP="00BC5766">
      <w:pPr>
        <w:rPr>
          <w:rFonts w:ascii="Cambria" w:eastAsia="Cambria" w:hAnsi="Cambria" w:cs="Cambria"/>
          <w:color w:val="000000"/>
          <w:sz w:val="16"/>
          <w:szCs w:val="16"/>
          <w:u w:color="000000"/>
          <w:lang w:eastAsia="es-ES"/>
        </w:rPr>
      </w:pPr>
    </w:p>
    <w:p w14:paraId="3CE4C41A" w14:textId="77777777" w:rsidR="004E4423" w:rsidRPr="00447CFC" w:rsidRDefault="00BC5766" w:rsidP="00AE6B4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rPr>
          <w:sz w:val="20"/>
          <w:szCs w:val="20"/>
        </w:rPr>
      </w:pPr>
      <w:r w:rsidRPr="00447CFC">
        <w:rPr>
          <w:sz w:val="20"/>
          <w:szCs w:val="20"/>
        </w:rPr>
        <w:t xml:space="preserve">On the basis of determinations of fact and law, the Inter-American Commission concludes that the State is responsible for the violation of </w:t>
      </w:r>
      <w:r w:rsidR="006D70BA" w:rsidRPr="00447CFC">
        <w:rPr>
          <w:sz w:val="20"/>
          <w:szCs w:val="20"/>
        </w:rPr>
        <w:t>Articles I (</w:t>
      </w:r>
      <w:r w:rsidR="004E4423" w:rsidRPr="00447CFC">
        <w:rPr>
          <w:sz w:val="20"/>
          <w:szCs w:val="20"/>
        </w:rPr>
        <w:t xml:space="preserve">life, liberty and personal security), II (equality before the law), </w:t>
      </w:r>
      <w:r w:rsidR="006D70BA" w:rsidRPr="00447CFC">
        <w:rPr>
          <w:rFonts w:eastAsia="Times New Roman"/>
          <w:sz w:val="20"/>
          <w:szCs w:val="20"/>
          <w:bdr w:val="none" w:sz="0" w:space="0" w:color="auto"/>
        </w:rPr>
        <w:t>IV</w:t>
      </w:r>
      <w:r w:rsidR="006D70BA" w:rsidRPr="00447CFC">
        <w:rPr>
          <w:sz w:val="20"/>
          <w:szCs w:val="20"/>
        </w:rPr>
        <w:t xml:space="preserve"> (freedom of expression), </w:t>
      </w:r>
      <w:r w:rsidR="004E4423" w:rsidRPr="00447CFC">
        <w:rPr>
          <w:sz w:val="20"/>
          <w:szCs w:val="20"/>
        </w:rPr>
        <w:t xml:space="preserve">XVIII (fair trial), </w:t>
      </w:r>
      <w:r w:rsidR="0013698A" w:rsidRPr="00447CFC">
        <w:rPr>
          <w:rFonts w:asciiTheme="majorHAnsi" w:hAnsiTheme="majorHAnsi"/>
          <w:color w:val="000000" w:themeColor="text1"/>
          <w:sz w:val="20"/>
          <w:szCs w:val="20"/>
        </w:rPr>
        <w:t xml:space="preserve">XXV (protection from arbitrary detention), </w:t>
      </w:r>
      <w:r w:rsidR="004E4423" w:rsidRPr="00447CFC">
        <w:rPr>
          <w:sz w:val="20"/>
          <w:szCs w:val="20"/>
        </w:rPr>
        <w:t>and XXVI (due process of law) of the American Declaration.</w:t>
      </w:r>
    </w:p>
    <w:p w14:paraId="2F43DE9B" w14:textId="77777777" w:rsidR="00BC5766" w:rsidRPr="00447CFC" w:rsidRDefault="00BC5766" w:rsidP="00BC5766">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720"/>
        <w:jc w:val="both"/>
        <w:rPr>
          <w:rFonts w:ascii="Cambria" w:hAnsi="Cambria"/>
          <w:sz w:val="20"/>
          <w:szCs w:val="20"/>
        </w:rPr>
      </w:pPr>
    </w:p>
    <w:p w14:paraId="59BFACE2" w14:textId="77777777" w:rsidR="00BC5766" w:rsidRPr="00447CFC" w:rsidRDefault="00BC5766" w:rsidP="00BC5766">
      <w:pPr>
        <w:tabs>
          <w:tab w:val="left" w:pos="360"/>
        </w:tabs>
        <w:jc w:val="both"/>
        <w:rPr>
          <w:rFonts w:ascii="Cambria" w:hAnsi="Cambria"/>
          <w:b/>
          <w:sz w:val="20"/>
          <w:szCs w:val="20"/>
        </w:rPr>
      </w:pPr>
      <w:r w:rsidRPr="00447CFC">
        <w:rPr>
          <w:rFonts w:ascii="Cambria" w:hAnsi="Cambria"/>
          <w:b/>
          <w:sz w:val="20"/>
          <w:szCs w:val="20"/>
        </w:rPr>
        <w:t>THE INTER-AMERICAN COMMISSION ON HUMAN RIGHTS RE</w:t>
      </w:r>
      <w:r w:rsidR="00ED5F33" w:rsidRPr="00447CFC">
        <w:rPr>
          <w:rFonts w:ascii="Cambria" w:hAnsi="Cambria"/>
          <w:b/>
          <w:sz w:val="20"/>
          <w:szCs w:val="20"/>
        </w:rPr>
        <w:t>ITERATES</w:t>
      </w:r>
      <w:r w:rsidRPr="00447CFC">
        <w:rPr>
          <w:rFonts w:ascii="Cambria" w:hAnsi="Cambria"/>
          <w:b/>
          <w:sz w:val="20"/>
          <w:szCs w:val="20"/>
        </w:rPr>
        <w:t xml:space="preserve"> THAT THE UNITED STATES OF AMERICA,</w:t>
      </w:r>
    </w:p>
    <w:p w14:paraId="29584C5E" w14:textId="77777777" w:rsidR="0013698A" w:rsidRPr="00447CFC" w:rsidRDefault="0013698A" w:rsidP="00BC5766">
      <w:pPr>
        <w:tabs>
          <w:tab w:val="left" w:pos="360"/>
        </w:tabs>
        <w:jc w:val="both"/>
        <w:rPr>
          <w:rFonts w:ascii="Cambria" w:hAnsi="Cambria"/>
          <w:b/>
          <w:sz w:val="16"/>
          <w:szCs w:val="16"/>
        </w:rPr>
      </w:pPr>
    </w:p>
    <w:p w14:paraId="3B768C10" w14:textId="77777777" w:rsidR="00CC5302" w:rsidRPr="00447CFC" w:rsidRDefault="00CC5302" w:rsidP="002F3379">
      <w:pPr>
        <w:tabs>
          <w:tab w:val="left" w:pos="1170"/>
        </w:tabs>
        <w:suppressAutoHyphens/>
        <w:ind w:firstLine="720"/>
        <w:jc w:val="both"/>
        <w:rPr>
          <w:rFonts w:ascii="Cambria" w:hAnsi="Cambria"/>
          <w:spacing w:val="-2"/>
          <w:sz w:val="20"/>
        </w:rPr>
      </w:pPr>
      <w:r w:rsidRPr="00447CFC">
        <w:rPr>
          <w:rFonts w:ascii="Cambria" w:hAnsi="Cambria"/>
          <w:spacing w:val="-2"/>
          <w:sz w:val="20"/>
        </w:rPr>
        <w:t>1.</w:t>
      </w:r>
      <w:r w:rsidRPr="00447CFC">
        <w:rPr>
          <w:rFonts w:ascii="Cambria" w:hAnsi="Cambria"/>
          <w:spacing w:val="-2"/>
          <w:sz w:val="20"/>
        </w:rPr>
        <w:tab/>
        <w:t>Grant Julius Omar Robinson effective relief, including the review of his trial and sentence in accordance with the guarantees of fair trial and due process set forth in Articles XVIII, XXV and XXVI of the American Declaration, and the payment of pecuniary compensation. Taking into account the conclusions of the IACHR on the time Julius Omar Robinson has been held on death row, the Commission recommends that if the new trial results in a conviction, that his sentence be commuted.</w:t>
      </w:r>
    </w:p>
    <w:p w14:paraId="4DE81A74" w14:textId="77777777" w:rsidR="00CC5302" w:rsidRPr="00447CFC" w:rsidRDefault="00CC5302" w:rsidP="00447CFC">
      <w:pPr>
        <w:tabs>
          <w:tab w:val="left" w:pos="2820"/>
        </w:tabs>
        <w:suppressAutoHyphens/>
        <w:rPr>
          <w:rFonts w:ascii="Cambria" w:hAnsi="Cambria"/>
          <w:spacing w:val="-2"/>
          <w:sz w:val="16"/>
          <w:szCs w:val="16"/>
        </w:rPr>
      </w:pPr>
    </w:p>
    <w:p w14:paraId="5C4BA968" w14:textId="77777777" w:rsidR="00CC5302" w:rsidRPr="00447CFC" w:rsidRDefault="00CC5302" w:rsidP="002F3379">
      <w:pPr>
        <w:tabs>
          <w:tab w:val="left" w:pos="1170"/>
        </w:tabs>
        <w:suppressAutoHyphens/>
        <w:ind w:firstLine="720"/>
        <w:jc w:val="both"/>
        <w:rPr>
          <w:rFonts w:ascii="Cambria" w:hAnsi="Cambria"/>
          <w:spacing w:val="-2"/>
          <w:sz w:val="20"/>
        </w:rPr>
      </w:pPr>
      <w:r w:rsidRPr="00447CFC">
        <w:rPr>
          <w:rFonts w:ascii="Cambria" w:hAnsi="Cambria"/>
          <w:spacing w:val="-2"/>
          <w:sz w:val="20"/>
        </w:rPr>
        <w:t>2.</w:t>
      </w:r>
      <w:r w:rsidRPr="00447CFC">
        <w:rPr>
          <w:rFonts w:ascii="Cambria" w:hAnsi="Cambria"/>
          <w:spacing w:val="-2"/>
          <w:sz w:val="20"/>
        </w:rPr>
        <w:tab/>
        <w:t>Review its laws, procedures, and practices at the federal level to ensure that persons accused of capital crimes are tried and, if convicted, sentenced in accordance with the rights established in the American Declaration, including Articles I, II, IV, XVIII, XXV and XXVI thereof, and, in particular that:</w:t>
      </w:r>
    </w:p>
    <w:p w14:paraId="5DAEEFBE" w14:textId="77777777" w:rsidR="00CC5302" w:rsidRPr="00447CFC" w:rsidRDefault="00CC5302" w:rsidP="002F3379">
      <w:pPr>
        <w:tabs>
          <w:tab w:val="left" w:pos="1170"/>
        </w:tabs>
        <w:suppressAutoHyphens/>
        <w:ind w:firstLine="720"/>
        <w:jc w:val="both"/>
        <w:rPr>
          <w:rFonts w:ascii="Cambria" w:hAnsi="Cambria"/>
          <w:spacing w:val="-2"/>
          <w:sz w:val="20"/>
        </w:rPr>
      </w:pPr>
      <w:r w:rsidRPr="00447CFC">
        <w:rPr>
          <w:rFonts w:ascii="Cambria" w:hAnsi="Cambria"/>
          <w:spacing w:val="-2"/>
          <w:sz w:val="20"/>
        </w:rPr>
        <w:t>a.</w:t>
      </w:r>
      <w:r w:rsidRPr="00447CFC">
        <w:rPr>
          <w:rFonts w:ascii="Cambria" w:hAnsi="Cambria"/>
          <w:spacing w:val="-2"/>
          <w:sz w:val="20"/>
        </w:rPr>
        <w:tab/>
        <w:t xml:space="preserve">claims of racial discrimination are thoroughly and fully investigated; </w:t>
      </w:r>
    </w:p>
    <w:p w14:paraId="1B303A9F" w14:textId="77777777" w:rsidR="00CC5302" w:rsidRPr="00447CFC" w:rsidRDefault="00CC5302" w:rsidP="002F3379">
      <w:pPr>
        <w:tabs>
          <w:tab w:val="left" w:pos="1170"/>
        </w:tabs>
        <w:suppressAutoHyphens/>
        <w:ind w:firstLine="720"/>
        <w:jc w:val="both"/>
        <w:rPr>
          <w:rFonts w:ascii="Cambria" w:hAnsi="Cambria"/>
          <w:spacing w:val="-2"/>
          <w:sz w:val="20"/>
        </w:rPr>
      </w:pPr>
      <w:r w:rsidRPr="00447CFC">
        <w:rPr>
          <w:rFonts w:ascii="Cambria" w:hAnsi="Cambria"/>
          <w:spacing w:val="-2"/>
          <w:sz w:val="20"/>
        </w:rPr>
        <w:t>b.</w:t>
      </w:r>
      <w:r w:rsidRPr="00447CFC">
        <w:rPr>
          <w:rFonts w:ascii="Cambria" w:hAnsi="Cambria"/>
          <w:spacing w:val="-2"/>
          <w:sz w:val="20"/>
        </w:rPr>
        <w:tab/>
        <w:t>defense counsel have access to information in the framework of the criminal proceedings;</w:t>
      </w:r>
    </w:p>
    <w:p w14:paraId="24459D23" w14:textId="77777777" w:rsidR="00CC5302" w:rsidRPr="00447CFC" w:rsidRDefault="00CC5302" w:rsidP="002F3379">
      <w:pPr>
        <w:tabs>
          <w:tab w:val="left" w:pos="1170"/>
        </w:tabs>
        <w:suppressAutoHyphens/>
        <w:ind w:firstLine="720"/>
        <w:jc w:val="both"/>
        <w:rPr>
          <w:rFonts w:ascii="Cambria" w:hAnsi="Cambria"/>
          <w:spacing w:val="-2"/>
          <w:sz w:val="20"/>
        </w:rPr>
      </w:pPr>
      <w:r w:rsidRPr="00447CFC">
        <w:rPr>
          <w:rFonts w:ascii="Cambria" w:hAnsi="Cambria"/>
          <w:spacing w:val="-2"/>
          <w:sz w:val="20"/>
        </w:rPr>
        <w:t>c.</w:t>
      </w:r>
      <w:r w:rsidRPr="00447CFC">
        <w:rPr>
          <w:rFonts w:ascii="Cambria" w:hAnsi="Cambria"/>
          <w:spacing w:val="-2"/>
          <w:sz w:val="20"/>
        </w:rPr>
        <w:tab/>
        <w:t>trial and appellate court-appointed counsel provide adequate legal representation in death penalty cases, including claims regarding racial discrimination; and</w:t>
      </w:r>
    </w:p>
    <w:p w14:paraId="1DAA041C" w14:textId="77777777" w:rsidR="00CC5302" w:rsidRPr="00447CFC" w:rsidRDefault="00CC5302" w:rsidP="002F3379">
      <w:pPr>
        <w:tabs>
          <w:tab w:val="left" w:pos="1170"/>
        </w:tabs>
        <w:suppressAutoHyphens/>
        <w:ind w:firstLine="720"/>
        <w:jc w:val="both"/>
        <w:rPr>
          <w:rFonts w:ascii="Cambria" w:hAnsi="Cambria"/>
          <w:spacing w:val="-2"/>
          <w:sz w:val="20"/>
        </w:rPr>
      </w:pPr>
      <w:r w:rsidRPr="00447CFC">
        <w:rPr>
          <w:rFonts w:ascii="Cambria" w:hAnsi="Cambria"/>
          <w:spacing w:val="-2"/>
          <w:sz w:val="20"/>
        </w:rPr>
        <w:t>d.</w:t>
      </w:r>
      <w:r w:rsidRPr="00447CFC">
        <w:rPr>
          <w:rFonts w:ascii="Cambria" w:hAnsi="Cambria"/>
          <w:spacing w:val="-2"/>
          <w:sz w:val="20"/>
        </w:rPr>
        <w:tab/>
        <w:t>evidence of unadjudicated offenses are not introduced during capital sentencing.</w:t>
      </w:r>
    </w:p>
    <w:p w14:paraId="1E6C6916" w14:textId="77777777" w:rsidR="00CC5302" w:rsidRPr="00447CFC" w:rsidRDefault="00CC5302" w:rsidP="00447CFC">
      <w:pPr>
        <w:tabs>
          <w:tab w:val="left" w:pos="2820"/>
        </w:tabs>
        <w:suppressAutoHyphens/>
        <w:rPr>
          <w:rFonts w:ascii="Cambria" w:hAnsi="Cambria"/>
          <w:spacing w:val="-2"/>
          <w:sz w:val="16"/>
          <w:szCs w:val="16"/>
        </w:rPr>
      </w:pPr>
    </w:p>
    <w:p w14:paraId="40082C56" w14:textId="77777777" w:rsidR="00CC5302" w:rsidRPr="00447CFC" w:rsidRDefault="00CC5302" w:rsidP="002F3379">
      <w:pPr>
        <w:tabs>
          <w:tab w:val="left" w:pos="1170"/>
        </w:tabs>
        <w:suppressAutoHyphens/>
        <w:ind w:firstLine="720"/>
        <w:jc w:val="both"/>
        <w:rPr>
          <w:rFonts w:ascii="Cambria" w:hAnsi="Cambria"/>
          <w:spacing w:val="-2"/>
          <w:sz w:val="20"/>
        </w:rPr>
      </w:pPr>
      <w:r w:rsidRPr="00447CFC">
        <w:rPr>
          <w:rFonts w:ascii="Cambria" w:hAnsi="Cambria"/>
          <w:spacing w:val="-2"/>
          <w:sz w:val="20"/>
        </w:rPr>
        <w:t>3.</w:t>
      </w:r>
      <w:r w:rsidRPr="00447CFC">
        <w:rPr>
          <w:rFonts w:ascii="Cambria" w:hAnsi="Cambria"/>
          <w:spacing w:val="-2"/>
          <w:sz w:val="20"/>
        </w:rPr>
        <w:tab/>
        <w:t>Review its laws, procedures, and practices to ensure that persons sentenced to the death penalty have access to effective judicial remedies to challenge the possible impact of the method of execution on their fundamental rights in accordance with the standards set forth in this merits report.</w:t>
      </w:r>
    </w:p>
    <w:p w14:paraId="1499B3B0" w14:textId="77777777" w:rsidR="00CC5302" w:rsidRPr="00447CFC" w:rsidRDefault="00CC5302" w:rsidP="00447CFC">
      <w:pPr>
        <w:tabs>
          <w:tab w:val="left" w:pos="2820"/>
        </w:tabs>
        <w:suppressAutoHyphens/>
        <w:rPr>
          <w:rFonts w:ascii="Cambria" w:hAnsi="Cambria"/>
          <w:spacing w:val="-2"/>
          <w:sz w:val="16"/>
          <w:szCs w:val="16"/>
        </w:rPr>
      </w:pPr>
    </w:p>
    <w:p w14:paraId="678F359C" w14:textId="77777777" w:rsidR="0007594F" w:rsidRPr="00447CFC" w:rsidRDefault="00CC5302" w:rsidP="002F3379">
      <w:pPr>
        <w:tabs>
          <w:tab w:val="left" w:pos="1260"/>
        </w:tabs>
        <w:suppressAutoHyphens/>
        <w:ind w:firstLine="720"/>
        <w:jc w:val="both"/>
        <w:rPr>
          <w:rFonts w:ascii="Cambria" w:hAnsi="Cambria"/>
          <w:spacing w:val="-2"/>
          <w:sz w:val="20"/>
        </w:rPr>
      </w:pPr>
      <w:r w:rsidRPr="00447CFC">
        <w:rPr>
          <w:rFonts w:ascii="Cambria" w:hAnsi="Cambria"/>
          <w:spacing w:val="-2"/>
          <w:sz w:val="20"/>
        </w:rPr>
        <w:t>4.</w:t>
      </w:r>
      <w:r w:rsidRPr="00447CFC">
        <w:rPr>
          <w:rFonts w:ascii="Cambria" w:hAnsi="Cambria"/>
          <w:spacing w:val="-2"/>
          <w:sz w:val="20"/>
        </w:rPr>
        <w:tab/>
        <w:t>Given the violations of the American Declaration the IACHR has established in the present case and in others involving application of the death penalty, the Inter-American Commission also recommends to the United States that it adopt a moratorium on executions of persons sentenced to death.</w:t>
      </w:r>
    </w:p>
    <w:p w14:paraId="7C08973B" w14:textId="77777777" w:rsidR="002F3379" w:rsidRPr="002F3379" w:rsidRDefault="002F3379" w:rsidP="00AA401A">
      <w:pPr>
        <w:suppressAutoHyphens/>
        <w:ind w:firstLine="720"/>
        <w:jc w:val="both"/>
        <w:rPr>
          <w:rFonts w:ascii="Cambria" w:hAnsi="Cambria"/>
          <w:spacing w:val="-2"/>
          <w:sz w:val="16"/>
          <w:szCs w:val="16"/>
        </w:rPr>
      </w:pPr>
    </w:p>
    <w:p w14:paraId="709EB269" w14:textId="77777777" w:rsidR="00693813" w:rsidRPr="003824C7" w:rsidRDefault="00693813" w:rsidP="00693813">
      <w:pPr>
        <w:pStyle w:val="Heading1"/>
        <w:tabs>
          <w:tab w:val="left" w:pos="360"/>
        </w:tabs>
        <w:spacing w:before="0"/>
        <w:ind w:left="720" w:hanging="720"/>
        <w:rPr>
          <w:rFonts w:ascii="Cambria" w:hAnsi="Cambria"/>
          <w:color w:val="auto"/>
          <w:sz w:val="20"/>
          <w:szCs w:val="20"/>
        </w:rPr>
      </w:pPr>
      <w:bookmarkStart w:id="104" w:name="_Toc70417441"/>
      <w:r w:rsidRPr="003824C7">
        <w:rPr>
          <w:color w:val="auto"/>
          <w:sz w:val="20"/>
          <w:szCs w:val="20"/>
        </w:rPr>
        <w:t>PUBLICATION</w:t>
      </w:r>
      <w:bookmarkEnd w:id="104"/>
      <w:r w:rsidRPr="003824C7">
        <w:rPr>
          <w:rFonts w:ascii="Cambria" w:hAnsi="Cambria"/>
          <w:color w:val="auto"/>
          <w:sz w:val="20"/>
          <w:szCs w:val="20"/>
        </w:rPr>
        <w:t xml:space="preserve"> </w:t>
      </w:r>
    </w:p>
    <w:p w14:paraId="132F4947" w14:textId="77777777" w:rsidR="00693813" w:rsidRPr="003824C7" w:rsidRDefault="00693813" w:rsidP="00693813"/>
    <w:p w14:paraId="181AE843" w14:textId="77777777" w:rsidR="00693813" w:rsidRPr="003824C7" w:rsidRDefault="00693813" w:rsidP="0069381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num" w:pos="0"/>
          <w:tab w:val="left" w:pos="540"/>
        </w:tabs>
        <w:autoSpaceDE w:val="0"/>
        <w:autoSpaceDN w:val="0"/>
        <w:adjustRightInd w:val="0"/>
        <w:ind w:left="0" w:firstLine="0"/>
        <w:jc w:val="both"/>
      </w:pPr>
      <w:r w:rsidRPr="003824C7">
        <w:rPr>
          <w:sz w:val="20"/>
          <w:szCs w:val="20"/>
        </w:rPr>
        <w:t xml:space="preserve">In light of the above and in accordance with Article 47.3 of its Rules of Procedure, the IACHR decides to make this report public, and to include it in its Annual Report to the General Assembly of the Organization of American States. The Inter-American Commission, according to the norms contained in the instruments which govern its mandate, will continue evaluating the measures adopted by the United States with respect to the above recommendations until it determines there has been full compliance. </w:t>
      </w:r>
    </w:p>
    <w:p w14:paraId="5B4D000B" w14:textId="77777777" w:rsidR="00447CFC" w:rsidRDefault="00447CFC" w:rsidP="00693813">
      <w:pPr>
        <w:tabs>
          <w:tab w:val="left" w:pos="-720"/>
          <w:tab w:val="left" w:pos="5760"/>
        </w:tabs>
        <w:jc w:val="both"/>
        <w:rPr>
          <w:rFonts w:asciiTheme="majorHAnsi" w:hAnsiTheme="majorHAnsi"/>
          <w:sz w:val="20"/>
          <w:szCs w:val="20"/>
        </w:rPr>
      </w:pPr>
    </w:p>
    <w:p w14:paraId="34079E8F" w14:textId="77777777" w:rsidR="008419E0" w:rsidRPr="00D874C4" w:rsidRDefault="008419E0" w:rsidP="008419E0">
      <w:pPr>
        <w:suppressAutoHyphens/>
        <w:ind w:firstLine="720"/>
        <w:jc w:val="both"/>
        <w:rPr>
          <w:rFonts w:ascii="Cambria" w:hAnsi="Cambria"/>
          <w:spacing w:val="-2"/>
          <w:sz w:val="20"/>
        </w:rPr>
      </w:pPr>
      <w:r w:rsidRPr="00D874C4">
        <w:rPr>
          <w:rFonts w:ascii="Cambria" w:hAnsi="Cambria"/>
          <w:spacing w:val="-2"/>
          <w:sz w:val="20"/>
        </w:rPr>
        <w:t xml:space="preserve">Approved by </w:t>
      </w:r>
      <w:r w:rsidRPr="00D874C4">
        <w:rPr>
          <w:rFonts w:ascii="Cambria" w:hAnsi="Cambria" w:cs="Arial"/>
          <w:sz w:val="20"/>
          <w:szCs w:val="20"/>
        </w:rPr>
        <w:t xml:space="preserve">the </w:t>
      </w:r>
      <w:r w:rsidRPr="00D874C4">
        <w:rPr>
          <w:rFonts w:ascii="Cambria" w:hAnsi="Cambria"/>
          <w:sz w:val="20"/>
        </w:rPr>
        <w:t>Inter-American Commission on Human Rights</w:t>
      </w:r>
      <w:r w:rsidRPr="00D874C4">
        <w:rPr>
          <w:rFonts w:ascii="Cambria" w:hAnsi="Cambria"/>
          <w:spacing w:val="-2"/>
          <w:sz w:val="20"/>
        </w:rPr>
        <w:t xml:space="preserve"> on the 12 day of the month of August 2020. (Signed): </w:t>
      </w:r>
      <w:r w:rsidRPr="00D874C4">
        <w:rPr>
          <w:spacing w:val="-2"/>
          <w:sz w:val="20"/>
        </w:rPr>
        <w:t xml:space="preserve">Joel Hernández García, President; Antonia Urrejola Noguera, </w:t>
      </w:r>
      <w:r w:rsidRPr="00D874C4">
        <w:rPr>
          <w:rFonts w:cs="Arial"/>
          <w:sz w:val="20"/>
        </w:rPr>
        <w:t xml:space="preserve">First Vice President; </w:t>
      </w:r>
      <w:r w:rsidRPr="00D874C4">
        <w:rPr>
          <w:spacing w:val="-2"/>
          <w:sz w:val="20"/>
        </w:rPr>
        <w:t xml:space="preserve">Flávia </w:t>
      </w:r>
      <w:r w:rsidR="00432040">
        <w:rPr>
          <w:spacing w:val="-2"/>
          <w:sz w:val="20"/>
        </w:rPr>
        <w:t xml:space="preserve">Piovesan, Second Vice President </w:t>
      </w:r>
      <w:r w:rsidRPr="00D874C4">
        <w:rPr>
          <w:spacing w:val="-2"/>
          <w:sz w:val="20"/>
        </w:rPr>
        <w:t>and Juliss</w:t>
      </w:r>
      <w:r>
        <w:rPr>
          <w:spacing w:val="-2"/>
          <w:sz w:val="20"/>
        </w:rPr>
        <w:t>a Mantilla Falcón, Commissioner.</w:t>
      </w:r>
    </w:p>
    <w:p w14:paraId="235A9164" w14:textId="77777777" w:rsidR="008419E0" w:rsidRPr="00D874C4" w:rsidRDefault="008419E0" w:rsidP="008419E0">
      <w:pPr>
        <w:suppressAutoHyphens/>
        <w:jc w:val="both"/>
        <w:rPr>
          <w:rFonts w:ascii="Cambria" w:hAnsi="Cambria"/>
          <w:spacing w:val="-2"/>
          <w:sz w:val="16"/>
          <w:szCs w:val="16"/>
        </w:rPr>
      </w:pPr>
    </w:p>
    <w:p w14:paraId="69D62378" w14:textId="1DA296E6" w:rsidR="003824C7" w:rsidRPr="0015272D" w:rsidRDefault="003824C7" w:rsidP="0022655F">
      <w:pPr>
        <w:tabs>
          <w:tab w:val="left" w:pos="-720"/>
          <w:tab w:val="left" w:pos="5760"/>
        </w:tabs>
        <w:rPr>
          <w:rFonts w:asciiTheme="majorHAnsi" w:hAnsiTheme="majorHAnsi"/>
          <w:sz w:val="20"/>
          <w:szCs w:val="20"/>
        </w:rPr>
      </w:pPr>
    </w:p>
    <w:sectPr w:rsidR="003824C7" w:rsidRPr="0015272D" w:rsidSect="006311DA">
      <w:footerReference w:type="first" r:id="rId14"/>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3698A" w14:textId="77777777" w:rsidR="008419E0" w:rsidRDefault="008419E0" w:rsidP="00036A8A">
      <w:r>
        <w:separator/>
      </w:r>
    </w:p>
  </w:endnote>
  <w:endnote w:type="continuationSeparator" w:id="0">
    <w:p w14:paraId="69606C5A" w14:textId="77777777" w:rsidR="008419E0" w:rsidRDefault="008419E0"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34BC5F6" w14:textId="77777777" w:rsidR="008419E0" w:rsidRPr="006311DA" w:rsidRDefault="008419E0">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320324">
          <w:rPr>
            <w:noProof/>
            <w:sz w:val="16"/>
          </w:rPr>
          <w:t>26</w:t>
        </w:r>
        <w:r w:rsidRPr="006311DA">
          <w:rPr>
            <w:noProof/>
            <w:sz w:val="16"/>
          </w:rPr>
          <w:fldChar w:fldCharType="end"/>
        </w:r>
      </w:p>
    </w:sdtContent>
  </w:sdt>
  <w:p w14:paraId="6CF6594A" w14:textId="77777777" w:rsidR="008419E0" w:rsidRDefault="008419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AEB5" w14:textId="77777777" w:rsidR="008419E0" w:rsidRDefault="008419E0">
    <w:pPr>
      <w:pStyle w:val="Footer"/>
      <w:jc w:val="center"/>
    </w:pPr>
  </w:p>
  <w:p w14:paraId="4F123A9B" w14:textId="77777777" w:rsidR="008419E0" w:rsidRDefault="008419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2515F126" w14:textId="77777777" w:rsidR="008419E0" w:rsidRDefault="008419E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5D0F760" w14:textId="77777777" w:rsidR="008419E0" w:rsidRDefault="008419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8BB27" w14:textId="77777777" w:rsidR="008419E0" w:rsidRPr="00036A8A" w:rsidRDefault="008419E0"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39DD1AC5" w14:textId="77777777" w:rsidR="008419E0" w:rsidRPr="00036A8A" w:rsidRDefault="008419E0" w:rsidP="00036A8A">
      <w:pPr>
        <w:rPr>
          <w:rFonts w:asciiTheme="majorHAnsi" w:hAnsiTheme="majorHAnsi"/>
          <w:sz w:val="16"/>
          <w:szCs w:val="16"/>
        </w:rPr>
      </w:pPr>
      <w:r w:rsidRPr="00036A8A">
        <w:rPr>
          <w:rFonts w:asciiTheme="majorHAnsi" w:hAnsiTheme="majorHAnsi"/>
          <w:sz w:val="16"/>
          <w:szCs w:val="16"/>
        </w:rPr>
        <w:separator/>
      </w:r>
    </w:p>
    <w:p w14:paraId="7258C304" w14:textId="77777777" w:rsidR="008419E0" w:rsidRPr="00036A8A" w:rsidRDefault="008419E0"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3FF354AC" w14:textId="77777777" w:rsidR="008419E0" w:rsidRPr="0093441A" w:rsidRDefault="008419E0"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43003BC8" w14:textId="77777777" w:rsidR="008419E0" w:rsidRPr="00F61B4C" w:rsidRDefault="008419E0" w:rsidP="00CD403E">
      <w:pPr>
        <w:pStyle w:val="FootnoteText"/>
        <w:jc w:val="both"/>
        <w:rPr>
          <w:rFonts w:asciiTheme="majorHAnsi" w:hAnsiTheme="majorHAnsi"/>
          <w:sz w:val="16"/>
          <w:szCs w:val="16"/>
        </w:rPr>
      </w:pPr>
      <w:r w:rsidRPr="00044B20">
        <w:rPr>
          <w:rStyle w:val="FootnoteReference"/>
          <w:rFonts w:asciiTheme="majorHAnsi" w:hAnsiTheme="majorHAnsi"/>
          <w:sz w:val="16"/>
          <w:szCs w:val="16"/>
        </w:rPr>
        <w:footnoteRef/>
      </w:r>
      <w:r w:rsidRPr="00044B20">
        <w:rPr>
          <w:rFonts w:asciiTheme="majorHAnsi" w:hAnsiTheme="majorHAnsi"/>
          <w:sz w:val="16"/>
          <w:szCs w:val="16"/>
        </w:rPr>
        <w:t xml:space="preserve"> On April 9, 2012, the IACHR granted precautionary measures on behalf of Mr. Robinson pursuant to Article 25(1) of its Rules of Procedure and requested the United States to take the measures necessary to preserve his life and physical integrity so as not to hinder the processing of his case before the Inter-American system.</w:t>
      </w:r>
    </w:p>
  </w:footnote>
  <w:footnote w:id="3">
    <w:p w14:paraId="7B023428" w14:textId="77777777" w:rsidR="008419E0" w:rsidRPr="00F61B4C" w:rsidRDefault="008419E0" w:rsidP="0076495F">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On </w:t>
      </w:r>
      <w:r>
        <w:rPr>
          <w:rFonts w:asciiTheme="majorHAnsi" w:hAnsiTheme="majorHAnsi"/>
          <w:sz w:val="16"/>
          <w:szCs w:val="16"/>
        </w:rPr>
        <w:t>January 28</w:t>
      </w:r>
      <w:r w:rsidRPr="00F61B4C">
        <w:rPr>
          <w:rFonts w:asciiTheme="majorHAnsi" w:hAnsiTheme="majorHAnsi"/>
          <w:sz w:val="16"/>
          <w:szCs w:val="16"/>
        </w:rPr>
        <w:t xml:space="preserve">, 2016, </w:t>
      </w:r>
      <w:r>
        <w:rPr>
          <w:rFonts w:asciiTheme="majorHAnsi" w:hAnsiTheme="majorHAnsi"/>
          <w:sz w:val="16"/>
          <w:szCs w:val="16"/>
        </w:rPr>
        <w:t xml:space="preserve">the petitioner informed that the International Human Rights Clinic at Loyola Law School joined the case as co-counsel for Mr. Robinson. </w:t>
      </w:r>
    </w:p>
  </w:footnote>
  <w:footnote w:id="4">
    <w:p w14:paraId="1E97CDD5" w14:textId="77777777" w:rsidR="008419E0" w:rsidRDefault="008419E0" w:rsidP="004815A2">
      <w:pPr>
        <w:pStyle w:val="FootnoteText"/>
        <w:jc w:val="both"/>
      </w:pPr>
      <w:r w:rsidRPr="004815A2">
        <w:rPr>
          <w:rStyle w:val="FootnoteReference"/>
          <w:rFonts w:asciiTheme="majorHAnsi" w:hAnsiTheme="majorHAnsi"/>
          <w:color w:val="auto"/>
          <w:sz w:val="16"/>
          <w:szCs w:val="16"/>
        </w:rPr>
        <w:footnoteRef/>
      </w:r>
      <w:r>
        <w:t xml:space="preserve"> </w:t>
      </w:r>
      <w:r w:rsidRPr="004815A2">
        <w:rPr>
          <w:rFonts w:asciiTheme="majorHAnsi" w:hAnsiTheme="majorHAnsi"/>
          <w:color w:val="auto"/>
          <w:sz w:val="16"/>
          <w:szCs w:val="16"/>
        </w:rPr>
        <w:t>IACHR. Report No. 100/14.  Petition 11.082. Inadmissibility. International Abductions. United States. November 7, 2014.</w:t>
      </w:r>
    </w:p>
  </w:footnote>
  <w:footnote w:id="5">
    <w:p w14:paraId="40C01C0D" w14:textId="77777777" w:rsidR="008419E0" w:rsidRPr="00F61B4C" w:rsidRDefault="008419E0" w:rsidP="007766F0">
      <w:pPr>
        <w:pStyle w:val="FootnoteText"/>
        <w:jc w:val="both"/>
        <w:rPr>
          <w:rFonts w:asciiTheme="majorHAnsi" w:hAnsiTheme="majorHAnsi"/>
          <w:sz w:val="16"/>
          <w:szCs w:val="16"/>
        </w:rPr>
      </w:pPr>
      <w:r w:rsidRPr="00F61B4C">
        <w:rPr>
          <w:rStyle w:val="FootnoteReference"/>
          <w:rFonts w:asciiTheme="majorHAnsi" w:hAnsiTheme="majorHAnsi"/>
          <w:color w:val="auto"/>
          <w:sz w:val="16"/>
          <w:szCs w:val="16"/>
        </w:rPr>
        <w:footnoteRef/>
      </w:r>
      <w:r w:rsidRPr="00F61B4C">
        <w:rPr>
          <w:rStyle w:val="FootnoteReference"/>
          <w:rFonts w:asciiTheme="majorHAnsi" w:hAnsiTheme="majorHAnsi"/>
          <w:color w:val="auto"/>
          <w:sz w:val="16"/>
          <w:szCs w:val="16"/>
        </w:rPr>
        <w:t xml:space="preserve"> </w:t>
      </w:r>
      <w:r w:rsidRPr="00F61B4C">
        <w:rPr>
          <w:rFonts w:asciiTheme="majorHAnsi" w:hAnsiTheme="majorHAnsi"/>
          <w:color w:val="auto"/>
          <w:sz w:val="16"/>
          <w:szCs w:val="16"/>
        </w:rPr>
        <w:t>IACHR, Report No. 54/14, Petition 684-14. Admissibility. Russel Bucklew and Charles Warner. United States. July 21, 2014, para. 28.</w:t>
      </w:r>
    </w:p>
  </w:footnote>
  <w:footnote w:id="6">
    <w:p w14:paraId="2500F6FD" w14:textId="77777777" w:rsidR="008419E0" w:rsidRPr="00F61B4C" w:rsidRDefault="008419E0" w:rsidP="007766F0">
      <w:pPr>
        <w:pStyle w:val="FootnoteText"/>
        <w:jc w:val="both"/>
        <w:rPr>
          <w:rFonts w:asciiTheme="majorHAnsi" w:hAnsiTheme="majorHAnsi"/>
          <w:sz w:val="16"/>
          <w:szCs w:val="16"/>
        </w:rPr>
      </w:pPr>
      <w:r w:rsidRPr="00F61B4C">
        <w:rPr>
          <w:rStyle w:val="FootnoteReference"/>
          <w:rFonts w:asciiTheme="majorHAnsi" w:hAnsiTheme="majorHAnsi"/>
          <w:color w:val="auto"/>
          <w:sz w:val="16"/>
          <w:szCs w:val="16"/>
        </w:rPr>
        <w:footnoteRef/>
      </w:r>
      <w:r w:rsidRPr="00F61B4C">
        <w:rPr>
          <w:rStyle w:val="FootnoteReference"/>
          <w:rFonts w:asciiTheme="majorHAnsi" w:hAnsiTheme="majorHAnsi"/>
          <w:color w:val="auto"/>
          <w:sz w:val="16"/>
          <w:szCs w:val="16"/>
        </w:rPr>
        <w:t xml:space="preserve"> </w:t>
      </w:r>
      <w:r w:rsidRPr="00F61B4C">
        <w:rPr>
          <w:rFonts w:asciiTheme="majorHAnsi" w:hAnsiTheme="majorHAnsi"/>
          <w:color w:val="auto"/>
          <w:sz w:val="16"/>
          <w:szCs w:val="16"/>
        </w:rPr>
        <w:t>IACHR, Report No. 54/14, Petition 684-14. Admissibility. Russel Bucklew and Charles Warner. United States. July 21, 2014, para. 28.</w:t>
      </w:r>
    </w:p>
  </w:footnote>
  <w:footnote w:id="7">
    <w:p w14:paraId="311020B4" w14:textId="77777777" w:rsidR="008419E0" w:rsidRPr="00ED56AB" w:rsidRDefault="008419E0" w:rsidP="00A35DC6">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 xml:space="preserve">The Federal Death Penalty System: a statistical survey (1988-2000). United States Department of Justice. Washington, D.C. September 12, 2000. </w:t>
      </w:r>
    </w:p>
  </w:footnote>
  <w:footnote w:id="8">
    <w:p w14:paraId="52C3563B" w14:textId="77777777" w:rsidR="008419E0" w:rsidRDefault="008419E0" w:rsidP="00CA7CA7">
      <w:pPr>
        <w:pStyle w:val="FootnoteText"/>
        <w:jc w:val="both"/>
      </w:pPr>
      <w:r w:rsidRPr="00613ABF">
        <w:rPr>
          <w:rStyle w:val="FootnoteReference"/>
          <w:rFonts w:asciiTheme="majorHAnsi" w:hAnsiTheme="majorHAnsi"/>
          <w:sz w:val="16"/>
          <w:szCs w:val="16"/>
        </w:rPr>
        <w:footnoteRef/>
      </w:r>
      <w:r w:rsidRPr="00613ABF">
        <w:rPr>
          <w:rStyle w:val="FootnoteReference"/>
          <w:rFonts w:asciiTheme="majorHAnsi" w:hAnsiTheme="majorHAnsi"/>
          <w:sz w:val="16"/>
          <w:szCs w:val="16"/>
        </w:rPr>
        <w:t xml:space="preserve"> </w:t>
      </w:r>
      <w:r w:rsidRPr="00613ABF">
        <w:rPr>
          <w:rFonts w:asciiTheme="majorHAnsi" w:hAnsiTheme="majorHAnsi"/>
          <w:sz w:val="16"/>
          <w:szCs w:val="16"/>
        </w:rPr>
        <w:t>Declaration of Scott Phillips</w:t>
      </w:r>
      <w:r>
        <w:rPr>
          <w:rFonts w:asciiTheme="majorHAnsi" w:hAnsiTheme="majorHAnsi"/>
          <w:sz w:val="16"/>
          <w:szCs w:val="16"/>
        </w:rPr>
        <w:t>.</w:t>
      </w:r>
      <w:r w:rsidRPr="00613ABF">
        <w:rPr>
          <w:rFonts w:asciiTheme="majorHAnsi" w:hAnsiTheme="majorHAnsi"/>
          <w:sz w:val="16"/>
          <w:szCs w:val="16"/>
        </w:rPr>
        <w:t xml:space="preserve"> Chair of the Department of Sociology and Criminology and Director of Socio-Legal Studies at the University of Denver</w:t>
      </w:r>
      <w:r>
        <w:rPr>
          <w:rFonts w:asciiTheme="majorHAnsi" w:hAnsiTheme="majorHAnsi"/>
          <w:sz w:val="16"/>
          <w:szCs w:val="16"/>
        </w:rPr>
        <w:t xml:space="preserve"> (March 29, 2011)</w:t>
      </w:r>
      <w:r w:rsidRPr="00613ABF">
        <w:rPr>
          <w:rFonts w:asciiTheme="majorHAnsi" w:hAnsiTheme="majorHAnsi"/>
          <w:sz w:val="16"/>
          <w:szCs w:val="16"/>
        </w:rPr>
        <w:t xml:space="preserve">. </w:t>
      </w:r>
      <w:r w:rsidRPr="0056759E">
        <w:rPr>
          <w:rFonts w:asciiTheme="majorHAnsi" w:hAnsiTheme="majorHAnsi"/>
          <w:sz w:val="16"/>
          <w:szCs w:val="16"/>
        </w:rPr>
        <w:t xml:space="preserve">Exhibit </w:t>
      </w:r>
      <w:r>
        <w:rPr>
          <w:rFonts w:asciiTheme="majorHAnsi" w:hAnsiTheme="majorHAnsi"/>
          <w:sz w:val="16"/>
          <w:szCs w:val="16"/>
        </w:rPr>
        <w:t>A</w:t>
      </w:r>
      <w:r w:rsidRPr="0056759E">
        <w:rPr>
          <w:rFonts w:asciiTheme="majorHAnsi" w:hAnsiTheme="majorHAnsi"/>
          <w:sz w:val="16"/>
          <w:szCs w:val="16"/>
        </w:rPr>
        <w:t>, submitted with petitioners’ original petition on April 3, 2012.</w:t>
      </w:r>
    </w:p>
  </w:footnote>
  <w:footnote w:id="9">
    <w:p w14:paraId="2AD00228" w14:textId="77777777" w:rsidR="008419E0" w:rsidRDefault="008419E0">
      <w:pPr>
        <w:pStyle w:val="FootnoteText"/>
      </w:pPr>
      <w:r w:rsidRPr="00AC3D64">
        <w:rPr>
          <w:rStyle w:val="FootnoteReference"/>
          <w:rFonts w:asciiTheme="majorHAnsi" w:hAnsiTheme="majorHAnsi"/>
          <w:sz w:val="16"/>
          <w:szCs w:val="16"/>
        </w:rPr>
        <w:footnoteRef/>
      </w:r>
      <w:r w:rsidRPr="00AC3D64">
        <w:rPr>
          <w:rStyle w:val="FootnoteReference"/>
          <w:rFonts w:asciiTheme="majorHAnsi" w:hAnsiTheme="majorHAnsi"/>
          <w:sz w:val="16"/>
          <w:szCs w:val="16"/>
        </w:rPr>
        <w:t xml:space="preserve"> </w:t>
      </w:r>
      <w:r w:rsidRPr="00AC3D64">
        <w:rPr>
          <w:rFonts w:asciiTheme="majorHAnsi" w:hAnsiTheme="majorHAnsi"/>
          <w:sz w:val="16"/>
          <w:szCs w:val="16"/>
        </w:rPr>
        <w:t>Black’s Law Dictionary, 9th edition, pages 261-262.</w:t>
      </w:r>
    </w:p>
  </w:footnote>
  <w:footnote w:id="10">
    <w:p w14:paraId="08EF8184" w14:textId="77777777" w:rsidR="008419E0" w:rsidRDefault="008419E0" w:rsidP="00613ABF">
      <w:pPr>
        <w:pStyle w:val="FootnoteText"/>
        <w:jc w:val="both"/>
      </w:pPr>
      <w:r w:rsidRPr="0056759E">
        <w:rPr>
          <w:rStyle w:val="FootnoteReference"/>
          <w:rFonts w:asciiTheme="majorHAnsi" w:hAnsiTheme="majorHAnsi"/>
          <w:sz w:val="16"/>
          <w:szCs w:val="16"/>
        </w:rPr>
        <w:footnoteRef/>
      </w:r>
      <w:r w:rsidRPr="0056759E">
        <w:rPr>
          <w:rStyle w:val="FootnoteReference"/>
          <w:rFonts w:asciiTheme="majorHAnsi" w:hAnsiTheme="majorHAnsi"/>
          <w:sz w:val="16"/>
          <w:szCs w:val="16"/>
        </w:rPr>
        <w:t xml:space="preserve"> </w:t>
      </w:r>
      <w:r w:rsidRPr="0056759E">
        <w:rPr>
          <w:rFonts w:asciiTheme="majorHAnsi" w:hAnsiTheme="majorHAnsi"/>
          <w:sz w:val="16"/>
          <w:szCs w:val="16"/>
        </w:rPr>
        <w:t>Robinson v. United States, 2008 WL 4906272 (N.D. Tex Nov. 7, 2008). Exhibit B, submitted with petitioners’ original petition on April 3, 2012.</w:t>
      </w:r>
    </w:p>
  </w:footnote>
  <w:footnote w:id="11">
    <w:p w14:paraId="67485548" w14:textId="77777777" w:rsidR="008419E0" w:rsidRDefault="008419E0" w:rsidP="00613ABF">
      <w:pPr>
        <w:pStyle w:val="FootnoteText"/>
        <w:jc w:val="both"/>
      </w:pPr>
      <w:r w:rsidRPr="00707C8E">
        <w:rPr>
          <w:rStyle w:val="FootnoteReference"/>
          <w:rFonts w:asciiTheme="majorHAnsi" w:hAnsiTheme="majorHAnsi"/>
          <w:sz w:val="16"/>
          <w:szCs w:val="16"/>
        </w:rPr>
        <w:footnoteRef/>
      </w:r>
      <w:r w:rsidRPr="00707C8E">
        <w:rPr>
          <w:rStyle w:val="FootnoteReference"/>
          <w:rFonts w:asciiTheme="majorHAnsi" w:hAnsiTheme="majorHAnsi"/>
          <w:sz w:val="16"/>
          <w:szCs w:val="16"/>
        </w:rPr>
        <w:t xml:space="preserve"> </w:t>
      </w:r>
      <w:r w:rsidRPr="00707C8E">
        <w:rPr>
          <w:rFonts w:asciiTheme="majorHAnsi" w:hAnsiTheme="majorHAnsi"/>
          <w:sz w:val="16"/>
          <w:szCs w:val="16"/>
        </w:rPr>
        <w:t xml:space="preserve">United States v. Robinson, Motion to Dismiss (Dec. 21, 2001). </w:t>
      </w:r>
      <w:r w:rsidRPr="0056759E">
        <w:rPr>
          <w:rFonts w:asciiTheme="majorHAnsi" w:hAnsiTheme="majorHAnsi"/>
          <w:sz w:val="16"/>
          <w:szCs w:val="16"/>
        </w:rPr>
        <w:t xml:space="preserve">Exhibit </w:t>
      </w:r>
      <w:r>
        <w:rPr>
          <w:rFonts w:asciiTheme="majorHAnsi" w:hAnsiTheme="majorHAnsi"/>
          <w:sz w:val="16"/>
          <w:szCs w:val="16"/>
        </w:rPr>
        <w:t>F</w:t>
      </w:r>
      <w:r w:rsidRPr="0056759E">
        <w:rPr>
          <w:rFonts w:asciiTheme="majorHAnsi" w:hAnsiTheme="majorHAnsi"/>
          <w:sz w:val="16"/>
          <w:szCs w:val="16"/>
        </w:rPr>
        <w:t>, submitted with petitioners’ original petition on April 3, 2012.</w:t>
      </w:r>
    </w:p>
  </w:footnote>
  <w:footnote w:id="12">
    <w:p w14:paraId="5CFC8B10" w14:textId="77777777" w:rsidR="008419E0" w:rsidRDefault="008419E0" w:rsidP="00613ABF">
      <w:pPr>
        <w:pStyle w:val="FootnoteText"/>
        <w:jc w:val="both"/>
      </w:pPr>
      <w:r w:rsidRPr="0024410B">
        <w:rPr>
          <w:rStyle w:val="FootnoteReference"/>
          <w:rFonts w:asciiTheme="majorHAnsi" w:hAnsiTheme="majorHAnsi"/>
          <w:sz w:val="16"/>
          <w:szCs w:val="16"/>
        </w:rPr>
        <w:footnoteRef/>
      </w:r>
      <w:r w:rsidRPr="0024410B">
        <w:rPr>
          <w:rStyle w:val="FootnoteReference"/>
          <w:rFonts w:asciiTheme="majorHAnsi" w:hAnsiTheme="majorHAnsi"/>
          <w:sz w:val="16"/>
          <w:szCs w:val="16"/>
        </w:rPr>
        <w:t xml:space="preserve"> </w:t>
      </w:r>
      <w:r w:rsidRPr="00707C8E">
        <w:rPr>
          <w:rFonts w:asciiTheme="majorHAnsi" w:hAnsiTheme="majorHAnsi"/>
          <w:sz w:val="16"/>
          <w:szCs w:val="16"/>
        </w:rPr>
        <w:t xml:space="preserve">United States v. Robinson, Motion to Dismiss (Dec. 21, 2001). </w:t>
      </w:r>
      <w:r w:rsidRPr="0056759E">
        <w:rPr>
          <w:rFonts w:asciiTheme="majorHAnsi" w:hAnsiTheme="majorHAnsi"/>
          <w:sz w:val="16"/>
          <w:szCs w:val="16"/>
        </w:rPr>
        <w:t xml:space="preserve">Exhibit </w:t>
      </w:r>
      <w:r>
        <w:rPr>
          <w:rFonts w:asciiTheme="majorHAnsi" w:hAnsiTheme="majorHAnsi"/>
          <w:sz w:val="16"/>
          <w:szCs w:val="16"/>
        </w:rPr>
        <w:t>F</w:t>
      </w:r>
      <w:r w:rsidRPr="0056759E">
        <w:rPr>
          <w:rFonts w:asciiTheme="majorHAnsi" w:hAnsiTheme="majorHAnsi"/>
          <w:sz w:val="16"/>
          <w:szCs w:val="16"/>
        </w:rPr>
        <w:t>, submitted with petitioners’ original petition on April 3, 2012</w:t>
      </w:r>
      <w:r>
        <w:rPr>
          <w:rFonts w:asciiTheme="majorHAnsi" w:hAnsiTheme="majorHAnsi"/>
          <w:sz w:val="16"/>
          <w:szCs w:val="16"/>
        </w:rPr>
        <w:t>, p. 3.</w:t>
      </w:r>
    </w:p>
  </w:footnote>
  <w:footnote w:id="13">
    <w:p w14:paraId="5F6FD1D5" w14:textId="77777777" w:rsidR="008419E0" w:rsidRDefault="008419E0" w:rsidP="006B7813">
      <w:pPr>
        <w:pStyle w:val="FootnoteText"/>
        <w:jc w:val="both"/>
      </w:pPr>
      <w:r w:rsidRPr="00707C8E">
        <w:rPr>
          <w:rStyle w:val="FootnoteReference"/>
          <w:rFonts w:asciiTheme="majorHAnsi" w:hAnsiTheme="majorHAnsi"/>
          <w:sz w:val="16"/>
          <w:szCs w:val="16"/>
        </w:rPr>
        <w:footnoteRef/>
      </w:r>
      <w:r w:rsidRPr="00707C8E">
        <w:rPr>
          <w:rStyle w:val="FootnoteReference"/>
          <w:rFonts w:asciiTheme="majorHAnsi" w:hAnsiTheme="majorHAnsi"/>
          <w:sz w:val="16"/>
          <w:szCs w:val="16"/>
        </w:rPr>
        <w:t xml:space="preserve"> </w:t>
      </w:r>
      <w:r w:rsidRPr="00707C8E">
        <w:rPr>
          <w:rFonts w:asciiTheme="majorHAnsi" w:hAnsiTheme="majorHAnsi"/>
          <w:sz w:val="16"/>
          <w:szCs w:val="16"/>
        </w:rPr>
        <w:t xml:space="preserve">United States v. Robinson, Motion to Dismiss (Dec. 21, 2001). </w:t>
      </w:r>
      <w:r w:rsidRPr="0056759E">
        <w:rPr>
          <w:rFonts w:asciiTheme="majorHAnsi" w:hAnsiTheme="majorHAnsi"/>
          <w:sz w:val="16"/>
          <w:szCs w:val="16"/>
        </w:rPr>
        <w:t xml:space="preserve">Exhibit </w:t>
      </w:r>
      <w:r>
        <w:rPr>
          <w:rFonts w:asciiTheme="majorHAnsi" w:hAnsiTheme="majorHAnsi"/>
          <w:sz w:val="16"/>
          <w:szCs w:val="16"/>
        </w:rPr>
        <w:t>F</w:t>
      </w:r>
      <w:r w:rsidRPr="0056759E">
        <w:rPr>
          <w:rFonts w:asciiTheme="majorHAnsi" w:hAnsiTheme="majorHAnsi"/>
          <w:sz w:val="16"/>
          <w:szCs w:val="16"/>
        </w:rPr>
        <w:t>, submitted with petitioners’ original petition on April 3, 2012.</w:t>
      </w:r>
    </w:p>
  </w:footnote>
  <w:footnote w:id="14">
    <w:p w14:paraId="5FD1BD3B" w14:textId="77777777" w:rsidR="008419E0" w:rsidRPr="00D81ED2" w:rsidRDefault="008419E0">
      <w:pPr>
        <w:pStyle w:val="FootnoteText"/>
        <w:rPr>
          <w:rFonts w:asciiTheme="majorHAnsi" w:hAnsiTheme="majorHAnsi"/>
          <w:sz w:val="16"/>
          <w:szCs w:val="16"/>
        </w:rPr>
      </w:pPr>
      <w:r w:rsidRPr="00D81ED2">
        <w:rPr>
          <w:rStyle w:val="FootnoteReference"/>
          <w:rFonts w:asciiTheme="majorHAnsi" w:hAnsiTheme="majorHAnsi"/>
          <w:sz w:val="16"/>
          <w:szCs w:val="16"/>
        </w:rPr>
        <w:footnoteRef/>
      </w:r>
      <w:r w:rsidRPr="00D81ED2">
        <w:rPr>
          <w:rStyle w:val="FootnoteReference"/>
          <w:rFonts w:asciiTheme="majorHAnsi" w:hAnsiTheme="majorHAnsi"/>
          <w:sz w:val="16"/>
          <w:szCs w:val="16"/>
        </w:rPr>
        <w:t xml:space="preserve"> </w:t>
      </w:r>
      <w:r w:rsidRPr="00D81ED2">
        <w:rPr>
          <w:rFonts w:asciiTheme="majorHAnsi" w:hAnsiTheme="majorHAnsi"/>
          <w:sz w:val="16"/>
          <w:szCs w:val="16"/>
        </w:rPr>
        <w:t>P</w:t>
      </w:r>
      <w:r w:rsidRPr="0056759E">
        <w:rPr>
          <w:rFonts w:asciiTheme="majorHAnsi" w:hAnsiTheme="majorHAnsi"/>
          <w:sz w:val="16"/>
          <w:szCs w:val="16"/>
        </w:rPr>
        <w:t>etitioners’ original petition</w:t>
      </w:r>
      <w:r>
        <w:rPr>
          <w:rFonts w:asciiTheme="majorHAnsi" w:hAnsiTheme="majorHAnsi"/>
          <w:sz w:val="16"/>
          <w:szCs w:val="16"/>
        </w:rPr>
        <w:t xml:space="preserve"> submitted</w:t>
      </w:r>
      <w:r w:rsidRPr="0056759E">
        <w:rPr>
          <w:rFonts w:asciiTheme="majorHAnsi" w:hAnsiTheme="majorHAnsi"/>
          <w:sz w:val="16"/>
          <w:szCs w:val="16"/>
        </w:rPr>
        <w:t xml:space="preserve"> on April 3, 2012</w:t>
      </w:r>
      <w:r>
        <w:rPr>
          <w:rFonts w:asciiTheme="majorHAnsi" w:hAnsiTheme="majorHAnsi"/>
          <w:sz w:val="16"/>
          <w:szCs w:val="16"/>
        </w:rPr>
        <w:t>, p</w:t>
      </w:r>
      <w:r w:rsidRPr="00D81ED2">
        <w:rPr>
          <w:rFonts w:asciiTheme="majorHAnsi" w:hAnsiTheme="majorHAnsi"/>
          <w:sz w:val="16"/>
          <w:szCs w:val="16"/>
        </w:rPr>
        <w:t>p.</w:t>
      </w:r>
      <w:r>
        <w:rPr>
          <w:rFonts w:asciiTheme="majorHAnsi" w:hAnsiTheme="majorHAnsi"/>
          <w:sz w:val="16"/>
          <w:szCs w:val="16"/>
        </w:rPr>
        <w:t xml:space="preserve"> </w:t>
      </w:r>
      <w:r w:rsidRPr="00D81ED2">
        <w:rPr>
          <w:rFonts w:asciiTheme="majorHAnsi" w:hAnsiTheme="majorHAnsi"/>
          <w:sz w:val="16"/>
          <w:szCs w:val="16"/>
        </w:rPr>
        <w:t>11-12.</w:t>
      </w:r>
    </w:p>
  </w:footnote>
  <w:footnote w:id="15">
    <w:p w14:paraId="0C556D02" w14:textId="77777777" w:rsidR="008419E0" w:rsidRDefault="008419E0" w:rsidP="000E49DF">
      <w:pPr>
        <w:pStyle w:val="FootnoteText"/>
        <w:jc w:val="both"/>
      </w:pPr>
      <w:r w:rsidRPr="00AA4352">
        <w:rPr>
          <w:rStyle w:val="FootnoteReference"/>
          <w:rFonts w:asciiTheme="majorHAnsi" w:hAnsiTheme="majorHAnsi"/>
          <w:sz w:val="16"/>
          <w:szCs w:val="16"/>
        </w:rPr>
        <w:footnoteRef/>
      </w:r>
      <w:r w:rsidRPr="003824C7">
        <w:rPr>
          <w:rStyle w:val="FootnoteReference"/>
          <w:rFonts w:asciiTheme="majorHAnsi" w:hAnsiTheme="majorHAnsi"/>
          <w:sz w:val="16"/>
          <w:szCs w:val="16"/>
        </w:rPr>
        <w:t xml:space="preserve"> </w:t>
      </w:r>
      <w:r w:rsidRPr="003824C7">
        <w:rPr>
          <w:rFonts w:asciiTheme="majorHAnsi" w:hAnsiTheme="majorHAnsi"/>
          <w:sz w:val="16"/>
          <w:szCs w:val="16"/>
        </w:rPr>
        <w:t xml:space="preserve">Robinson v. United States, Civil No 4:05-CV-756-Y, Crim. No. 4:00-CR-260-Y-2,2008 WL 4906272 (N.D. Tex. Nov. 7, 2008), pp. 7-10.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16">
    <w:p w14:paraId="4443A0C5" w14:textId="77777777" w:rsidR="008419E0" w:rsidRDefault="008419E0" w:rsidP="00CA40EF">
      <w:pPr>
        <w:pStyle w:val="FootnoteText"/>
        <w:jc w:val="both"/>
      </w:pPr>
      <w:r w:rsidRPr="00CA40EF">
        <w:rPr>
          <w:rStyle w:val="FootnoteReference"/>
          <w:rFonts w:asciiTheme="majorHAnsi" w:hAnsiTheme="majorHAnsi"/>
          <w:sz w:val="16"/>
          <w:szCs w:val="16"/>
        </w:rPr>
        <w:footnoteRef/>
      </w:r>
      <w:r w:rsidRPr="00CD1132">
        <w:rPr>
          <w:rStyle w:val="FootnoteReference"/>
          <w:rFonts w:asciiTheme="majorHAnsi" w:hAnsiTheme="majorHAnsi"/>
          <w:sz w:val="16"/>
          <w:szCs w:val="16"/>
          <w:lang w:val="es-US"/>
        </w:rPr>
        <w:t xml:space="preserve"> </w:t>
      </w:r>
      <w:r w:rsidRPr="00CD1132">
        <w:rPr>
          <w:rFonts w:asciiTheme="majorHAnsi" w:hAnsiTheme="majorHAnsi"/>
          <w:sz w:val="16"/>
          <w:szCs w:val="16"/>
          <w:lang w:val="es-US"/>
        </w:rPr>
        <w:t xml:space="preserve">Robinson v. United States, Civil No 4:05-CV-756-Y, Crim. No. 4:00-CR-260-Y-2,2008 WL 4906272 (N.D. Tex. Nov. 7, 2008), p. 5.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17">
    <w:p w14:paraId="717B847F" w14:textId="77777777" w:rsidR="008419E0" w:rsidRDefault="008419E0">
      <w:pPr>
        <w:pStyle w:val="FootnoteText"/>
      </w:pPr>
      <w:r w:rsidRPr="007A066B">
        <w:rPr>
          <w:rStyle w:val="FootnoteReference"/>
          <w:rFonts w:asciiTheme="majorHAnsi" w:hAnsiTheme="majorHAnsi"/>
          <w:sz w:val="16"/>
          <w:szCs w:val="16"/>
        </w:rPr>
        <w:footnoteRef/>
      </w:r>
      <w:r w:rsidRPr="007A066B">
        <w:rPr>
          <w:rStyle w:val="FootnoteReference"/>
          <w:rFonts w:asciiTheme="majorHAnsi" w:hAnsiTheme="majorHAnsi"/>
          <w:sz w:val="16"/>
          <w:szCs w:val="16"/>
        </w:rPr>
        <w:t xml:space="preserve"> </w:t>
      </w:r>
      <w:r w:rsidRPr="007A066B">
        <w:rPr>
          <w:rFonts w:asciiTheme="majorHAnsi" w:hAnsiTheme="majorHAnsi"/>
          <w:sz w:val="16"/>
          <w:szCs w:val="16"/>
        </w:rPr>
        <w:t>United States v. Robinson, No. 4:00-CR-260-Y-2 (N.D. Tx</w:t>
      </w:r>
      <w:r>
        <w:rPr>
          <w:rFonts w:asciiTheme="majorHAnsi" w:hAnsiTheme="majorHAnsi"/>
          <w:sz w:val="16"/>
          <w:szCs w:val="16"/>
        </w:rPr>
        <w:t>.</w:t>
      </w:r>
      <w:r w:rsidRPr="007A066B">
        <w:rPr>
          <w:rFonts w:asciiTheme="majorHAnsi" w:hAnsiTheme="majorHAnsi"/>
          <w:sz w:val="16"/>
          <w:szCs w:val="16"/>
        </w:rPr>
        <w:t xml:space="preserve"> June 5, 2002).</w:t>
      </w:r>
    </w:p>
  </w:footnote>
  <w:footnote w:id="18">
    <w:p w14:paraId="2A9701A9" w14:textId="77777777" w:rsidR="008419E0" w:rsidRDefault="008419E0">
      <w:pPr>
        <w:pStyle w:val="FootnoteText"/>
      </w:pPr>
      <w:r w:rsidRPr="007A066B">
        <w:rPr>
          <w:rStyle w:val="FootnoteReference"/>
          <w:rFonts w:asciiTheme="majorHAnsi" w:hAnsiTheme="majorHAnsi"/>
          <w:sz w:val="16"/>
          <w:szCs w:val="16"/>
        </w:rPr>
        <w:footnoteRef/>
      </w:r>
      <w:r w:rsidRPr="007A066B">
        <w:rPr>
          <w:rStyle w:val="FootnoteReference"/>
          <w:rFonts w:asciiTheme="majorHAnsi" w:hAnsiTheme="majorHAnsi"/>
          <w:sz w:val="16"/>
          <w:szCs w:val="16"/>
        </w:rPr>
        <w:t xml:space="preserve"> </w:t>
      </w:r>
      <w:r>
        <w:rPr>
          <w:rFonts w:asciiTheme="majorHAnsi" w:hAnsiTheme="majorHAnsi"/>
          <w:sz w:val="16"/>
          <w:szCs w:val="16"/>
        </w:rPr>
        <w:t>U.S. v. R</w:t>
      </w:r>
      <w:r w:rsidRPr="007A066B">
        <w:rPr>
          <w:rFonts w:asciiTheme="majorHAnsi" w:hAnsiTheme="majorHAnsi"/>
          <w:sz w:val="16"/>
          <w:szCs w:val="16"/>
        </w:rPr>
        <w:t>obinson, 367 F.3d 278</w:t>
      </w:r>
      <w:r>
        <w:rPr>
          <w:rFonts w:asciiTheme="majorHAnsi" w:hAnsiTheme="majorHAnsi"/>
          <w:sz w:val="16"/>
          <w:szCs w:val="16"/>
        </w:rPr>
        <w:t xml:space="preserve"> (2004)</w:t>
      </w:r>
      <w:r w:rsidRPr="007A066B">
        <w:rPr>
          <w:rFonts w:asciiTheme="majorHAnsi" w:hAnsiTheme="majorHAnsi"/>
          <w:sz w:val="16"/>
          <w:szCs w:val="16"/>
        </w:rPr>
        <w:t>. Exhibit 1, submitted with the State’s response on</w:t>
      </w:r>
      <w:r w:rsidRPr="00C31BE0">
        <w:rPr>
          <w:rFonts w:asciiTheme="majorHAnsi" w:hAnsiTheme="majorHAnsi"/>
          <w:sz w:val="16"/>
          <w:szCs w:val="16"/>
        </w:rPr>
        <w:t xml:space="preserve"> September 8, 2016.</w:t>
      </w:r>
    </w:p>
  </w:footnote>
  <w:footnote w:id="19">
    <w:p w14:paraId="7E277E3E" w14:textId="77777777" w:rsidR="008419E0" w:rsidRPr="00EA446B" w:rsidRDefault="008419E0" w:rsidP="00EA446B">
      <w:pPr>
        <w:pStyle w:val="FootnoteText"/>
        <w:jc w:val="both"/>
      </w:pPr>
      <w:r w:rsidRPr="00EA446B">
        <w:rPr>
          <w:rStyle w:val="FootnoteReference"/>
          <w:rFonts w:asciiTheme="majorHAnsi" w:hAnsiTheme="majorHAnsi"/>
          <w:sz w:val="16"/>
          <w:szCs w:val="16"/>
        </w:rPr>
        <w:footnoteRef/>
      </w:r>
      <w:r w:rsidRPr="00CD1132">
        <w:rPr>
          <w:lang w:val="es-US"/>
        </w:rPr>
        <w:t xml:space="preserve"> </w:t>
      </w:r>
      <w:r w:rsidRPr="00CD1132">
        <w:rPr>
          <w:rFonts w:asciiTheme="majorHAnsi" w:hAnsiTheme="majorHAnsi"/>
          <w:sz w:val="16"/>
          <w:szCs w:val="16"/>
          <w:lang w:val="es-US"/>
        </w:rPr>
        <w:t xml:space="preserve">Robinson v. United States, Civil No 4:05-CV-756-Y, Crim. No. 4:00-CR-260-Y-2,2008 WL 4906272 (N.D. Tex. Nov. 7, 2008), p. 4.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20">
    <w:p w14:paraId="4C230629" w14:textId="77777777" w:rsidR="008419E0" w:rsidRDefault="008419E0">
      <w:pPr>
        <w:pStyle w:val="FootnoteText"/>
      </w:pPr>
      <w:r w:rsidRPr="00C31BE0">
        <w:rPr>
          <w:rStyle w:val="FootnoteReference"/>
          <w:rFonts w:asciiTheme="majorHAnsi" w:hAnsiTheme="majorHAnsi"/>
          <w:sz w:val="16"/>
          <w:szCs w:val="16"/>
        </w:rPr>
        <w:footnoteRef/>
      </w:r>
      <w:r w:rsidRPr="00C31BE0">
        <w:rPr>
          <w:rStyle w:val="FootnoteReference"/>
          <w:rFonts w:asciiTheme="majorHAnsi" w:hAnsiTheme="majorHAnsi"/>
          <w:sz w:val="16"/>
          <w:szCs w:val="16"/>
        </w:rPr>
        <w:t xml:space="preserve"> </w:t>
      </w:r>
      <w:r w:rsidRPr="00C31BE0">
        <w:rPr>
          <w:rFonts w:asciiTheme="majorHAnsi" w:hAnsiTheme="majorHAnsi"/>
          <w:sz w:val="16"/>
          <w:szCs w:val="16"/>
        </w:rPr>
        <w:t>Robinson v. United States, 543 U.S. 1005 (2004).</w:t>
      </w:r>
      <w:r>
        <w:rPr>
          <w:rFonts w:asciiTheme="majorHAnsi" w:hAnsiTheme="majorHAnsi"/>
          <w:sz w:val="16"/>
          <w:szCs w:val="16"/>
        </w:rPr>
        <w:t xml:space="preserve"> </w:t>
      </w:r>
    </w:p>
  </w:footnote>
  <w:footnote w:id="21">
    <w:p w14:paraId="76B033A0" w14:textId="77777777" w:rsidR="008419E0" w:rsidRDefault="008419E0" w:rsidP="005224D2">
      <w:pPr>
        <w:pStyle w:val="FootnoteText"/>
        <w:jc w:val="both"/>
      </w:pPr>
      <w:r w:rsidRPr="005224D2">
        <w:rPr>
          <w:rStyle w:val="FootnoteReference"/>
          <w:rFonts w:asciiTheme="majorHAnsi" w:hAnsiTheme="majorHAnsi"/>
          <w:sz w:val="16"/>
          <w:szCs w:val="16"/>
        </w:rPr>
        <w:footnoteRef/>
      </w:r>
      <w:r w:rsidRPr="00CD1132">
        <w:rPr>
          <w:rStyle w:val="FootnoteReference"/>
          <w:rFonts w:asciiTheme="majorHAnsi" w:hAnsiTheme="majorHAnsi"/>
          <w:sz w:val="16"/>
          <w:szCs w:val="16"/>
          <w:lang w:val="es-US"/>
        </w:rPr>
        <w:t xml:space="preserve"> </w:t>
      </w:r>
      <w:r w:rsidRPr="00CD1132">
        <w:rPr>
          <w:rFonts w:asciiTheme="majorHAnsi" w:hAnsiTheme="majorHAnsi"/>
          <w:sz w:val="16"/>
          <w:szCs w:val="16"/>
          <w:lang w:val="es-US"/>
        </w:rPr>
        <w:t xml:space="preserve">Robinson v. United States, Civil No 4:05-CV-756-Y, Crim. No. 4:00-CR-260-Y-2,2008 WL 4906272 (N.D. Tex. Nov. 7, 2008).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22">
    <w:p w14:paraId="60B96E12" w14:textId="77777777" w:rsidR="008419E0" w:rsidRPr="00325098" w:rsidRDefault="008419E0" w:rsidP="00325098">
      <w:pPr>
        <w:pStyle w:val="FootnoteText"/>
        <w:jc w:val="both"/>
      </w:pPr>
      <w:r w:rsidRPr="00325098">
        <w:rPr>
          <w:rStyle w:val="FootnoteReference"/>
          <w:rFonts w:asciiTheme="majorHAnsi" w:hAnsiTheme="majorHAnsi"/>
          <w:sz w:val="16"/>
          <w:szCs w:val="16"/>
        </w:rPr>
        <w:footnoteRef/>
      </w:r>
      <w:r w:rsidRPr="00100038">
        <w:rPr>
          <w:rStyle w:val="FootnoteReference"/>
          <w:rFonts w:asciiTheme="majorHAnsi" w:hAnsiTheme="majorHAnsi"/>
          <w:sz w:val="16"/>
          <w:szCs w:val="16"/>
        </w:rPr>
        <w:t xml:space="preserve"> </w:t>
      </w:r>
      <w:r w:rsidRPr="00100038">
        <w:rPr>
          <w:rFonts w:asciiTheme="majorHAnsi" w:hAnsiTheme="majorHAnsi"/>
          <w:sz w:val="16"/>
          <w:szCs w:val="16"/>
        </w:rPr>
        <w:t xml:space="preserve">Robinson v. United States, Civil No 4:05-CV-756-Y, Crim. No. 4:00-CR-260-Y-2,2008 WL 4906272 (N.D. Tex. Nov. 7, 2008), pp. 17-21.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23">
    <w:p w14:paraId="44C08693" w14:textId="77777777" w:rsidR="008419E0" w:rsidRDefault="008419E0" w:rsidP="00866759">
      <w:pPr>
        <w:pStyle w:val="FootnoteText"/>
        <w:jc w:val="both"/>
      </w:pPr>
      <w:r w:rsidRPr="00866759">
        <w:rPr>
          <w:rStyle w:val="FootnoteReference"/>
          <w:rFonts w:asciiTheme="majorHAnsi" w:hAnsiTheme="majorHAnsi"/>
          <w:sz w:val="16"/>
          <w:szCs w:val="16"/>
        </w:rPr>
        <w:footnoteRef/>
      </w:r>
      <w:r w:rsidRPr="00380A00">
        <w:rPr>
          <w:rStyle w:val="FootnoteReference"/>
          <w:rFonts w:asciiTheme="majorHAnsi" w:hAnsiTheme="majorHAnsi"/>
          <w:sz w:val="16"/>
          <w:szCs w:val="16"/>
        </w:rPr>
        <w:t xml:space="preserve"> </w:t>
      </w:r>
      <w:r w:rsidRPr="00380A00">
        <w:rPr>
          <w:rFonts w:asciiTheme="majorHAnsi" w:hAnsiTheme="majorHAnsi"/>
          <w:sz w:val="16"/>
          <w:szCs w:val="16"/>
        </w:rPr>
        <w:t xml:space="preserve">Robinson v. United States, Civil No 4:05-CV-756-Y, Crim. No. 4:00-CR-260-Y-2,2008 WL 4906272 (N.D. Tex. Nov. 7, 2008), p. 26.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24">
    <w:p w14:paraId="28F78DAB" w14:textId="77777777" w:rsidR="008419E0" w:rsidRDefault="008419E0" w:rsidP="00AD5BF9">
      <w:pPr>
        <w:pStyle w:val="FootnoteText"/>
        <w:jc w:val="both"/>
      </w:pPr>
      <w:r w:rsidRPr="00AD5BF9">
        <w:rPr>
          <w:rStyle w:val="FootnoteReference"/>
          <w:rFonts w:asciiTheme="majorHAnsi" w:hAnsiTheme="majorHAnsi"/>
          <w:sz w:val="16"/>
          <w:szCs w:val="16"/>
        </w:rPr>
        <w:footnoteRef/>
      </w:r>
      <w:r w:rsidRPr="00380A00">
        <w:rPr>
          <w:rStyle w:val="FootnoteReference"/>
          <w:rFonts w:asciiTheme="majorHAnsi" w:hAnsiTheme="majorHAnsi"/>
          <w:sz w:val="16"/>
          <w:szCs w:val="16"/>
        </w:rPr>
        <w:t xml:space="preserve"> </w:t>
      </w:r>
      <w:r w:rsidRPr="00380A00">
        <w:rPr>
          <w:rFonts w:asciiTheme="majorHAnsi" w:hAnsiTheme="majorHAnsi"/>
          <w:sz w:val="16"/>
          <w:szCs w:val="16"/>
        </w:rPr>
        <w:t xml:space="preserve">Robinson v. United States, Civil No 4:05-CV-756-Y, Crim. No. 4:00-CR-260-Y-2,2008 WL 4906272 (N.D. Tex. Nov. 7, 2008), p. 31.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25">
    <w:p w14:paraId="3C02B1E9" w14:textId="77777777" w:rsidR="008419E0" w:rsidRDefault="008419E0" w:rsidP="00DC1C6D">
      <w:pPr>
        <w:pStyle w:val="FootnoteText"/>
        <w:jc w:val="both"/>
      </w:pPr>
      <w:r w:rsidRPr="00DC1C6D">
        <w:rPr>
          <w:rStyle w:val="FootnoteReference"/>
          <w:rFonts w:asciiTheme="majorHAnsi" w:hAnsiTheme="majorHAnsi"/>
          <w:sz w:val="16"/>
          <w:szCs w:val="16"/>
        </w:rPr>
        <w:footnoteRef/>
      </w:r>
      <w:r w:rsidRPr="00380A00">
        <w:rPr>
          <w:rStyle w:val="FootnoteReference"/>
          <w:rFonts w:asciiTheme="majorHAnsi" w:hAnsiTheme="majorHAnsi"/>
          <w:sz w:val="16"/>
          <w:szCs w:val="16"/>
        </w:rPr>
        <w:t xml:space="preserve"> </w:t>
      </w:r>
      <w:r w:rsidRPr="00380A00">
        <w:rPr>
          <w:rFonts w:asciiTheme="majorHAnsi" w:hAnsiTheme="majorHAnsi"/>
          <w:sz w:val="16"/>
          <w:szCs w:val="16"/>
        </w:rPr>
        <w:t xml:space="preserve">Robinson v. United States, Civil No 4:05-CV-756-Y, Crim. No. 4:00-CR-260-Y-2,2008 WL 4906272 (N.D. Tex. Nov. 7, 2008), pp. 33-34.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26">
    <w:p w14:paraId="4E701AD9" w14:textId="77777777" w:rsidR="008419E0" w:rsidRDefault="008419E0" w:rsidP="003738BF">
      <w:pPr>
        <w:pStyle w:val="FootnoteText"/>
        <w:jc w:val="both"/>
      </w:pPr>
      <w:r w:rsidRPr="003738BF">
        <w:rPr>
          <w:rStyle w:val="FootnoteReference"/>
          <w:rFonts w:asciiTheme="majorHAnsi" w:hAnsiTheme="majorHAnsi"/>
          <w:sz w:val="16"/>
          <w:szCs w:val="16"/>
        </w:rPr>
        <w:footnoteRef/>
      </w:r>
      <w:r w:rsidRPr="00380A00">
        <w:rPr>
          <w:rStyle w:val="FootnoteReference"/>
          <w:rFonts w:asciiTheme="majorHAnsi" w:hAnsiTheme="majorHAnsi"/>
          <w:sz w:val="16"/>
          <w:szCs w:val="16"/>
        </w:rPr>
        <w:t xml:space="preserve"> </w:t>
      </w:r>
      <w:r w:rsidRPr="00380A00">
        <w:rPr>
          <w:rFonts w:asciiTheme="majorHAnsi" w:hAnsiTheme="majorHAnsi"/>
          <w:sz w:val="16"/>
          <w:szCs w:val="16"/>
        </w:rPr>
        <w:t xml:space="preserve">Robinson v. United States, Civil No 4:05-CV-756-Y, Crim. No. 4:00-CR-260-Y-2,2008 WL 4906272 (N.D. Tex. Nov. 7, 2008), p. 36.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r>
        <w:rPr>
          <w:rFonts w:asciiTheme="majorHAnsi" w:hAnsiTheme="majorHAnsi"/>
          <w:sz w:val="16"/>
          <w:szCs w:val="16"/>
        </w:rPr>
        <w:t xml:space="preserve"> </w:t>
      </w:r>
    </w:p>
  </w:footnote>
  <w:footnote w:id="27">
    <w:p w14:paraId="3DC2E38E" w14:textId="77777777" w:rsidR="008419E0" w:rsidRDefault="008419E0" w:rsidP="00501B09">
      <w:pPr>
        <w:pStyle w:val="FootnoteText"/>
        <w:jc w:val="both"/>
      </w:pPr>
      <w:r w:rsidRPr="00501B09">
        <w:rPr>
          <w:rStyle w:val="FootnoteReference"/>
          <w:rFonts w:asciiTheme="majorHAnsi" w:hAnsiTheme="majorHAnsi"/>
          <w:sz w:val="16"/>
          <w:szCs w:val="16"/>
        </w:rPr>
        <w:footnoteRef/>
      </w:r>
      <w:r w:rsidRPr="00380A00">
        <w:rPr>
          <w:rStyle w:val="FootnoteReference"/>
          <w:rFonts w:asciiTheme="majorHAnsi" w:hAnsiTheme="majorHAnsi"/>
          <w:sz w:val="16"/>
          <w:szCs w:val="16"/>
        </w:rPr>
        <w:t xml:space="preserve"> </w:t>
      </w:r>
      <w:r w:rsidRPr="00380A00">
        <w:rPr>
          <w:rFonts w:asciiTheme="majorHAnsi" w:hAnsiTheme="majorHAnsi"/>
          <w:sz w:val="16"/>
          <w:szCs w:val="16"/>
        </w:rPr>
        <w:t xml:space="preserve">Robinson v. United States, Civil No 4:05-CV-756-Y, Crim. No. 4:00-CR-260-Y-2,2008 WL 4906272 (N.D. Tex. Nov. 7, 2008), pp. 36-39.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28">
    <w:p w14:paraId="78A08790" w14:textId="77777777" w:rsidR="008419E0" w:rsidRDefault="008419E0" w:rsidP="00427DEF">
      <w:pPr>
        <w:pStyle w:val="FootnoteText"/>
        <w:jc w:val="both"/>
      </w:pPr>
      <w:r w:rsidRPr="00427DEF">
        <w:rPr>
          <w:rStyle w:val="FootnoteReference"/>
          <w:rFonts w:asciiTheme="majorHAnsi" w:hAnsiTheme="majorHAnsi"/>
          <w:sz w:val="16"/>
          <w:szCs w:val="16"/>
        </w:rPr>
        <w:footnoteRef/>
      </w:r>
      <w:r w:rsidRPr="00100038">
        <w:rPr>
          <w:rStyle w:val="FootnoteReference"/>
          <w:rFonts w:asciiTheme="majorHAnsi" w:hAnsiTheme="majorHAnsi"/>
          <w:sz w:val="16"/>
          <w:szCs w:val="16"/>
        </w:rPr>
        <w:t xml:space="preserve"> </w:t>
      </w:r>
      <w:r w:rsidRPr="00100038">
        <w:rPr>
          <w:rFonts w:asciiTheme="majorHAnsi" w:hAnsiTheme="majorHAnsi"/>
          <w:sz w:val="16"/>
          <w:szCs w:val="16"/>
        </w:rPr>
        <w:t xml:space="preserve">Robinson v. United States, Civil No 4:05-CV-756-Y, Crim. No. 4:00-CR-260-Y-2,2008 WL 4906272 (N.D. Tex. Nov. 7, 2008), p. 41. </w:t>
      </w:r>
      <w:r w:rsidRPr="0056759E">
        <w:rPr>
          <w:rFonts w:asciiTheme="majorHAnsi" w:hAnsiTheme="majorHAnsi"/>
          <w:sz w:val="16"/>
          <w:szCs w:val="16"/>
        </w:rPr>
        <w:t xml:space="preserve">Exhibit </w:t>
      </w:r>
      <w:r>
        <w:rPr>
          <w:rFonts w:asciiTheme="majorHAnsi" w:hAnsiTheme="majorHAnsi"/>
          <w:sz w:val="16"/>
          <w:szCs w:val="16"/>
        </w:rPr>
        <w:t>B</w:t>
      </w:r>
      <w:r w:rsidRPr="0056759E">
        <w:rPr>
          <w:rFonts w:asciiTheme="majorHAnsi" w:hAnsiTheme="majorHAnsi"/>
          <w:sz w:val="16"/>
          <w:szCs w:val="16"/>
        </w:rPr>
        <w:t>, submitted with petitioners’ original petition on April 3, 2012.</w:t>
      </w:r>
    </w:p>
  </w:footnote>
  <w:footnote w:id="29">
    <w:p w14:paraId="417D9C5E" w14:textId="77777777" w:rsidR="008419E0" w:rsidRDefault="008419E0">
      <w:pPr>
        <w:pStyle w:val="FootnoteText"/>
      </w:pPr>
      <w:r w:rsidRPr="000F7407">
        <w:rPr>
          <w:rStyle w:val="FootnoteReference"/>
          <w:rFonts w:asciiTheme="majorHAnsi" w:hAnsiTheme="majorHAnsi"/>
          <w:sz w:val="16"/>
          <w:szCs w:val="16"/>
        </w:rPr>
        <w:footnoteRef/>
      </w:r>
      <w:r w:rsidRPr="000F7407">
        <w:rPr>
          <w:rStyle w:val="FootnoteReference"/>
          <w:rFonts w:asciiTheme="majorHAnsi" w:hAnsiTheme="majorHAnsi"/>
          <w:sz w:val="16"/>
          <w:szCs w:val="16"/>
        </w:rPr>
        <w:t xml:space="preserve"> </w:t>
      </w:r>
      <w:r w:rsidRPr="00100038">
        <w:rPr>
          <w:rFonts w:asciiTheme="majorHAnsi" w:hAnsiTheme="majorHAnsi"/>
          <w:sz w:val="16"/>
          <w:szCs w:val="16"/>
        </w:rPr>
        <w:t>United States v. Robinson (Fifth Circuit Court of Appeals 2010). Exhibit 3, submitted with the State’s response on September 8, 2016.</w:t>
      </w:r>
    </w:p>
  </w:footnote>
  <w:footnote w:id="30">
    <w:p w14:paraId="0AE4A223" w14:textId="77777777" w:rsidR="008419E0" w:rsidRPr="001B6CB3" w:rsidRDefault="008419E0" w:rsidP="001B6CB3">
      <w:pPr>
        <w:pStyle w:val="FootnoteText"/>
      </w:pPr>
      <w:r w:rsidRPr="006E52D2">
        <w:rPr>
          <w:rStyle w:val="FootnoteReference"/>
          <w:rFonts w:asciiTheme="majorHAnsi" w:hAnsiTheme="majorHAnsi"/>
          <w:sz w:val="16"/>
          <w:szCs w:val="16"/>
        </w:rPr>
        <w:footnoteRef/>
      </w:r>
      <w:r w:rsidRPr="006E52D2">
        <w:rPr>
          <w:rStyle w:val="FootnoteReference"/>
          <w:rFonts w:asciiTheme="majorHAnsi" w:hAnsiTheme="majorHAnsi"/>
          <w:sz w:val="16"/>
          <w:szCs w:val="16"/>
        </w:rPr>
        <w:t xml:space="preserve"> </w:t>
      </w:r>
      <w:r w:rsidRPr="006E52D2">
        <w:rPr>
          <w:rFonts w:asciiTheme="majorHAnsi" w:hAnsiTheme="majorHAnsi"/>
          <w:sz w:val="16"/>
          <w:szCs w:val="16"/>
        </w:rPr>
        <w:t>Robinson v. Mukasey et al., No. 1:07-cv-02145-RWR, U.S. District Court for the District of Columbia.</w:t>
      </w:r>
    </w:p>
  </w:footnote>
  <w:footnote w:id="31">
    <w:p w14:paraId="002CBFFB" w14:textId="77777777" w:rsidR="008419E0" w:rsidRPr="00ED56AB" w:rsidRDefault="008419E0" w:rsidP="003649C6">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Roane v. Leonhart, 741 F.3d 147 (D.C. Cir. 2014); Roane v. Holder, Civil Action No. 05-2337 (D.D.C. 2016).</w:t>
      </w:r>
      <w:r>
        <w:rPr>
          <w:rFonts w:asciiTheme="majorHAnsi" w:hAnsiTheme="majorHAnsi"/>
          <w:color w:val="auto"/>
          <w:sz w:val="16"/>
          <w:szCs w:val="16"/>
        </w:rPr>
        <w:t xml:space="preserve"> See also, JUSTIA Dockets &amp;Filings. Available at: </w:t>
      </w:r>
      <w:hyperlink r:id="rId1" w:history="1">
        <w:r w:rsidRPr="003649C6">
          <w:rPr>
            <w:rFonts w:asciiTheme="majorHAnsi" w:hAnsiTheme="majorHAnsi"/>
            <w:color w:val="auto"/>
            <w:sz w:val="16"/>
            <w:szCs w:val="16"/>
          </w:rPr>
          <w:t>https://dockets.justia.com/docket/district-of-columbia/dcdce/1:2019mc00145/210604</w:t>
        </w:r>
      </w:hyperlink>
      <w:r>
        <w:rPr>
          <w:rFonts w:asciiTheme="majorHAnsi" w:hAnsiTheme="majorHAnsi"/>
          <w:color w:val="auto"/>
          <w:sz w:val="16"/>
          <w:szCs w:val="16"/>
        </w:rPr>
        <w:t xml:space="preserve">  </w:t>
      </w:r>
      <w:r>
        <w:t xml:space="preserve"> </w:t>
      </w:r>
    </w:p>
  </w:footnote>
  <w:footnote w:id="32">
    <w:p w14:paraId="4FCDBA8D" w14:textId="77777777" w:rsidR="008419E0" w:rsidRDefault="008419E0" w:rsidP="002E0060">
      <w:pPr>
        <w:pStyle w:val="FootnoteText"/>
        <w:jc w:val="both"/>
      </w:pPr>
      <w:r w:rsidRPr="002E0060">
        <w:rPr>
          <w:rStyle w:val="FootnoteReference"/>
          <w:rFonts w:asciiTheme="majorHAnsi" w:hAnsiTheme="majorHAnsi"/>
          <w:color w:val="auto"/>
          <w:sz w:val="16"/>
          <w:szCs w:val="16"/>
        </w:rPr>
        <w:footnoteRef/>
      </w:r>
      <w:r w:rsidRPr="002E0060">
        <w:rPr>
          <w:rStyle w:val="FootnoteReference"/>
          <w:rFonts w:asciiTheme="majorHAnsi" w:hAnsiTheme="majorHAnsi"/>
          <w:color w:val="auto"/>
          <w:sz w:val="16"/>
          <w:szCs w:val="16"/>
        </w:rPr>
        <w:t xml:space="preserve"> </w:t>
      </w:r>
      <w:r w:rsidRPr="002E0060">
        <w:rPr>
          <w:rFonts w:asciiTheme="majorHAnsi" w:hAnsiTheme="majorHAnsi"/>
          <w:color w:val="auto"/>
          <w:sz w:val="16"/>
          <w:szCs w:val="16"/>
        </w:rPr>
        <w:t xml:space="preserve">NPR. Lethal Injection Drug’s Efficacy </w:t>
      </w:r>
      <w:r>
        <w:rPr>
          <w:rFonts w:asciiTheme="majorHAnsi" w:hAnsiTheme="majorHAnsi"/>
          <w:color w:val="auto"/>
          <w:sz w:val="16"/>
          <w:szCs w:val="16"/>
        </w:rPr>
        <w:t>a</w:t>
      </w:r>
      <w:r w:rsidRPr="002E0060">
        <w:rPr>
          <w:rFonts w:asciiTheme="majorHAnsi" w:hAnsiTheme="majorHAnsi"/>
          <w:color w:val="auto"/>
          <w:sz w:val="16"/>
          <w:szCs w:val="16"/>
        </w:rPr>
        <w:t xml:space="preserve">nd Availability For Federal Executions. July 26, 2019. Available at: </w:t>
      </w:r>
      <w:hyperlink r:id="rId2" w:history="1">
        <w:r w:rsidRPr="002E0060">
          <w:rPr>
            <w:rFonts w:asciiTheme="majorHAnsi" w:hAnsiTheme="majorHAnsi"/>
            <w:color w:val="auto"/>
            <w:sz w:val="16"/>
            <w:szCs w:val="16"/>
          </w:rPr>
          <w:t>https://www.npr.org/2019/07/26/745722219/lethal-injection-drugs-efficacy-and-availability-for-federal-executions</w:t>
        </w:r>
      </w:hyperlink>
    </w:p>
  </w:footnote>
  <w:footnote w:id="33">
    <w:p w14:paraId="227AA02C" w14:textId="77777777" w:rsidR="008419E0" w:rsidRPr="00F61B4C" w:rsidRDefault="008419E0" w:rsidP="00E57AC6">
      <w:pPr>
        <w:pStyle w:val="FootnoteText"/>
        <w:jc w:val="both"/>
        <w:rPr>
          <w:rFonts w:asciiTheme="majorHAnsi" w:hAnsiTheme="majorHAnsi"/>
          <w:color w:val="auto"/>
          <w:sz w:val="16"/>
          <w:szCs w:val="16"/>
        </w:rPr>
      </w:pPr>
      <w:r w:rsidRPr="00F61B4C">
        <w:rPr>
          <w:rStyle w:val="FootnoteReference"/>
          <w:rFonts w:asciiTheme="majorHAnsi" w:hAnsiTheme="majorHAnsi"/>
          <w:color w:val="auto"/>
          <w:sz w:val="16"/>
          <w:szCs w:val="16"/>
        </w:rPr>
        <w:footnoteRef/>
      </w:r>
      <w:r w:rsidRPr="00F61B4C">
        <w:rPr>
          <w:rFonts w:asciiTheme="majorHAnsi" w:hAnsiTheme="majorHAnsi"/>
          <w:color w:val="auto"/>
          <w:sz w:val="16"/>
          <w:szCs w:val="16"/>
        </w:rPr>
        <w:t xml:space="preserve"> See, for example: I/A Court H. R., Advisory Opinion OC-16/99 (October 1, 1999), </w:t>
      </w:r>
      <w:r w:rsidRPr="00F61B4C">
        <w:rPr>
          <w:rFonts w:asciiTheme="majorHAnsi" w:hAnsiTheme="majorHAnsi"/>
          <w:i/>
          <w:iCs/>
          <w:color w:val="auto"/>
          <w:sz w:val="16"/>
          <w:szCs w:val="16"/>
        </w:rPr>
        <w:t>The Right to Information on Consular Assistance in the Framework of the Guarantees of the Due Process of Law</w:t>
      </w:r>
      <w:r w:rsidRPr="00F61B4C">
        <w:rPr>
          <w:rFonts w:asciiTheme="majorHAnsi" w:hAnsiTheme="majorHAnsi"/>
          <w:color w:val="auto"/>
          <w:sz w:val="16"/>
          <w:szCs w:val="16"/>
        </w:rPr>
        <w:t xml:space="preserve">, para. 136; United Nations Human Rights Committee, </w:t>
      </w:r>
      <w:r w:rsidRPr="00F61B4C">
        <w:rPr>
          <w:rFonts w:asciiTheme="majorHAnsi" w:hAnsiTheme="majorHAnsi"/>
          <w:i/>
          <w:iCs/>
          <w:color w:val="auto"/>
          <w:sz w:val="16"/>
          <w:szCs w:val="16"/>
        </w:rPr>
        <w:t>Baboheram-Adhin et al. v. Suriname</w:t>
      </w:r>
      <w:r w:rsidRPr="00F61B4C">
        <w:rPr>
          <w:rFonts w:asciiTheme="majorHAnsi" w:hAnsiTheme="majorHAnsi"/>
          <w:color w:val="auto"/>
          <w:sz w:val="16"/>
          <w:szCs w:val="16"/>
        </w:rPr>
        <w:t>,</w:t>
      </w:r>
      <w:r w:rsidRPr="00F61B4C">
        <w:rPr>
          <w:rFonts w:asciiTheme="majorHAnsi" w:hAnsiTheme="majorHAnsi"/>
          <w:i/>
          <w:iCs/>
          <w:color w:val="auto"/>
          <w:sz w:val="16"/>
          <w:szCs w:val="16"/>
        </w:rPr>
        <w:t xml:space="preserve"> </w:t>
      </w:r>
      <w:r w:rsidRPr="00F61B4C">
        <w:rPr>
          <w:rFonts w:asciiTheme="majorHAnsi" w:hAnsiTheme="majorHAnsi"/>
          <w:color w:val="auto"/>
          <w:sz w:val="16"/>
          <w:szCs w:val="16"/>
        </w:rPr>
        <w:t xml:space="preserve">Communications Nos. 148-154/1983, adopted on April 4, 1985, para. 14.3; </w:t>
      </w:r>
      <w:r w:rsidRPr="00F61B4C">
        <w:rPr>
          <w:rFonts w:asciiTheme="majorHAnsi" w:hAnsiTheme="majorHAnsi"/>
          <w:i/>
          <w:iCs/>
          <w:color w:val="auto"/>
          <w:sz w:val="16"/>
          <w:szCs w:val="16"/>
        </w:rPr>
        <w:t>Report of the United Nations Special Rapporteur on Extrajudicial Executions</w:t>
      </w:r>
      <w:r w:rsidRPr="00F61B4C">
        <w:rPr>
          <w:rFonts w:asciiTheme="majorHAnsi" w:hAnsiTheme="majorHAnsi"/>
          <w:color w:val="auto"/>
          <w:sz w:val="16"/>
          <w:szCs w:val="16"/>
        </w:rPr>
        <w:t>, Bacre Waly Ndiaye, submitted pursuant to Commission on Human Rights Resolution 1994/82, Question of the Violation of Human Rights and Fundamental Freedoms in any part of the World, with particular reference to Colonial and Other Dependent Countries and Territories, UN Doc.E/CN.4/1995/61 (December 14, 1994), para. 378.</w:t>
      </w:r>
    </w:p>
  </w:footnote>
  <w:footnote w:id="34">
    <w:p w14:paraId="555F7DE4" w14:textId="77777777" w:rsidR="008419E0" w:rsidRPr="00F61B4C" w:rsidRDefault="008419E0" w:rsidP="00E57AC6">
      <w:pPr>
        <w:pStyle w:val="FootnoteText"/>
        <w:jc w:val="both"/>
        <w:rPr>
          <w:rFonts w:asciiTheme="majorHAnsi" w:hAnsiTheme="majorHAnsi"/>
          <w:color w:val="auto"/>
          <w:sz w:val="16"/>
          <w:szCs w:val="16"/>
        </w:rPr>
      </w:pPr>
      <w:r w:rsidRPr="00F61B4C">
        <w:rPr>
          <w:rStyle w:val="FootnoteReference"/>
          <w:rFonts w:asciiTheme="majorHAnsi" w:hAnsiTheme="majorHAnsi"/>
          <w:color w:val="auto"/>
          <w:sz w:val="16"/>
          <w:szCs w:val="16"/>
        </w:rPr>
        <w:footnoteRef/>
      </w:r>
      <w:r w:rsidRPr="00F61B4C">
        <w:rPr>
          <w:rFonts w:asciiTheme="majorHAnsi" w:hAnsiTheme="majorHAnsi"/>
          <w:color w:val="auto"/>
          <w:sz w:val="16"/>
          <w:szCs w:val="16"/>
        </w:rPr>
        <w:t xml:space="preserve"> IACHR,</w:t>
      </w:r>
      <w:r w:rsidRPr="00F61B4C">
        <w:rPr>
          <w:rFonts w:asciiTheme="majorHAnsi" w:hAnsiTheme="majorHAnsi"/>
          <w:i/>
          <w:iCs/>
          <w:color w:val="auto"/>
          <w:sz w:val="16"/>
          <w:szCs w:val="16"/>
        </w:rPr>
        <w:t xml:space="preserve"> </w:t>
      </w:r>
      <w:r w:rsidRPr="00F61B4C">
        <w:rPr>
          <w:rFonts w:asciiTheme="majorHAnsi" w:hAnsiTheme="majorHAnsi"/>
          <w:color w:val="auto"/>
          <w:sz w:val="16"/>
          <w:szCs w:val="16"/>
        </w:rPr>
        <w:t xml:space="preserve">Report No. 57/96, </w:t>
      </w:r>
      <w:r w:rsidRPr="00F61B4C">
        <w:rPr>
          <w:rFonts w:asciiTheme="majorHAnsi" w:hAnsiTheme="majorHAnsi"/>
          <w:iCs/>
          <w:color w:val="auto"/>
          <w:sz w:val="16"/>
          <w:szCs w:val="16"/>
        </w:rPr>
        <w:t>Andrews, United States</w:t>
      </w:r>
      <w:r w:rsidRPr="00F61B4C">
        <w:rPr>
          <w:rFonts w:asciiTheme="majorHAnsi" w:hAnsiTheme="majorHAnsi"/>
          <w:color w:val="auto"/>
          <w:sz w:val="16"/>
          <w:szCs w:val="16"/>
        </w:rPr>
        <w:t xml:space="preserve">, IACHR Annual Report 1997, para. 170-171; Report No. 38/00 Baptiste, Grenada, IACHR Annual Report 1999, paras. 64-66; Report No. 41/00, McKenzie </w:t>
      </w:r>
      <w:r w:rsidRPr="00F61B4C">
        <w:rPr>
          <w:rFonts w:asciiTheme="majorHAnsi" w:hAnsiTheme="majorHAnsi"/>
          <w:i/>
          <w:iCs/>
          <w:color w:val="auto"/>
          <w:sz w:val="16"/>
          <w:szCs w:val="16"/>
        </w:rPr>
        <w:t>et al.</w:t>
      </w:r>
      <w:r w:rsidRPr="00F61B4C">
        <w:rPr>
          <w:rFonts w:asciiTheme="majorHAnsi" w:hAnsiTheme="majorHAnsi"/>
          <w:iCs/>
          <w:color w:val="auto"/>
          <w:sz w:val="16"/>
          <w:szCs w:val="16"/>
        </w:rPr>
        <w:t>,</w:t>
      </w:r>
      <w:r w:rsidRPr="00F61B4C">
        <w:rPr>
          <w:rFonts w:asciiTheme="majorHAnsi" w:hAnsiTheme="majorHAnsi"/>
          <w:color w:val="auto"/>
          <w:sz w:val="16"/>
          <w:szCs w:val="16"/>
        </w:rPr>
        <w:t xml:space="preserve"> Jamaica, IACHR Annual Report 1999, paras. 169-171.</w:t>
      </w:r>
    </w:p>
  </w:footnote>
  <w:footnote w:id="35">
    <w:p w14:paraId="4B6D7FB9" w14:textId="77777777" w:rsidR="008419E0" w:rsidRPr="00F61B4C" w:rsidRDefault="008419E0" w:rsidP="00E57AC6">
      <w:pPr>
        <w:autoSpaceDE w:val="0"/>
        <w:autoSpaceDN w:val="0"/>
        <w:adjustRightInd w:val="0"/>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IACHR, The death penalty in the Inter-American System of Human Rights: From restrictions to abolition, </w:t>
      </w:r>
      <w:r w:rsidRPr="00F61B4C">
        <w:rPr>
          <w:rFonts w:asciiTheme="majorHAnsi" w:hAnsiTheme="majorHAnsi" w:cs="Calibri"/>
          <w:sz w:val="16"/>
          <w:szCs w:val="16"/>
        </w:rPr>
        <w:t xml:space="preserve">OEA/Ser.L/V/II.Doc. 68, December 31, 2011, </w:t>
      </w:r>
      <w:r w:rsidRPr="00F61B4C">
        <w:rPr>
          <w:rFonts w:asciiTheme="majorHAnsi" w:hAnsiTheme="majorHAnsi"/>
          <w:sz w:val="16"/>
          <w:szCs w:val="16"/>
        </w:rPr>
        <w:t>para. 41.</w:t>
      </w:r>
    </w:p>
  </w:footnote>
  <w:footnote w:id="36">
    <w:p w14:paraId="42C9CBA0" w14:textId="77777777" w:rsidR="008419E0" w:rsidRPr="00F61B4C" w:rsidRDefault="008419E0" w:rsidP="00E57AC6">
      <w:pPr>
        <w:autoSpaceDE w:val="0"/>
        <w:autoSpaceDN w:val="0"/>
        <w:adjustRightInd w:val="0"/>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IACHR, Report No. 78/07, Case 12.265, Merits (Publication), Chad Roger Goodman, The Bahamas, October 15, 2007, para. 34.</w:t>
      </w:r>
    </w:p>
  </w:footnote>
  <w:footnote w:id="37">
    <w:p w14:paraId="529596C9" w14:textId="77777777" w:rsidR="008419E0" w:rsidRPr="00F61B4C" w:rsidRDefault="008419E0" w:rsidP="00E57AC6">
      <w:pPr>
        <w:pStyle w:val="FootnoteText"/>
        <w:jc w:val="both"/>
        <w:rPr>
          <w:rFonts w:asciiTheme="majorHAnsi" w:hAnsiTheme="majorHAnsi" w:cs="Times New Roman"/>
          <w:color w:val="auto"/>
          <w:sz w:val="16"/>
          <w:szCs w:val="16"/>
        </w:rPr>
      </w:pPr>
      <w:r w:rsidRPr="00F61B4C">
        <w:rPr>
          <w:rStyle w:val="FootnoteReference"/>
          <w:rFonts w:asciiTheme="majorHAnsi" w:hAnsiTheme="majorHAnsi"/>
          <w:color w:val="auto"/>
          <w:sz w:val="16"/>
          <w:szCs w:val="16"/>
        </w:rPr>
        <w:footnoteRef/>
      </w:r>
      <w:r w:rsidRPr="00F61B4C">
        <w:rPr>
          <w:rFonts w:asciiTheme="majorHAnsi" w:hAnsiTheme="majorHAnsi"/>
          <w:color w:val="auto"/>
          <w:sz w:val="16"/>
          <w:szCs w:val="16"/>
        </w:rPr>
        <w:t xml:space="preserve"> IACHR, Report No. 44/14, Case 12,873, Report on Merits (Publication), Edgar Tamayo Arias, United States, July 17, 2014, para. 214.</w:t>
      </w:r>
    </w:p>
  </w:footnote>
  <w:footnote w:id="38">
    <w:p w14:paraId="4FC678CE" w14:textId="77777777" w:rsidR="008419E0" w:rsidRPr="00ED56AB" w:rsidRDefault="008419E0" w:rsidP="00F33E5A">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Article II of the American Declaration provides: “All persons are equal before the law and have the rights and duties established in this Declaration, without distinction as to race, sex, language, creed or any other factor.”</w:t>
      </w:r>
    </w:p>
  </w:footnote>
  <w:footnote w:id="39">
    <w:p w14:paraId="0C15643C" w14:textId="77777777" w:rsidR="008419E0" w:rsidRDefault="008419E0" w:rsidP="00F33E5A">
      <w:pPr>
        <w:jc w:val="both"/>
      </w:pPr>
      <w:r w:rsidRPr="00047F35">
        <w:rPr>
          <w:rStyle w:val="FootnoteReference"/>
          <w:rFonts w:asciiTheme="majorHAnsi" w:eastAsia="Calibri" w:hAnsiTheme="majorHAnsi"/>
          <w:sz w:val="16"/>
          <w:szCs w:val="16"/>
          <w:u w:color="000000"/>
          <w:lang w:eastAsia="es-ES"/>
        </w:rPr>
        <w:footnoteRef/>
      </w:r>
      <w:r w:rsidRPr="00047F35">
        <w:rPr>
          <w:rStyle w:val="FootnoteReference"/>
          <w:rFonts w:asciiTheme="majorHAnsi" w:eastAsia="Calibri" w:hAnsiTheme="majorHAnsi"/>
          <w:sz w:val="16"/>
          <w:szCs w:val="16"/>
          <w:u w:color="000000"/>
          <w:lang w:eastAsia="es-ES"/>
        </w:rPr>
        <w:t xml:space="preserve"> </w:t>
      </w:r>
      <w:r w:rsidRPr="00ED56AB">
        <w:rPr>
          <w:rFonts w:asciiTheme="majorHAnsi" w:hAnsiTheme="majorHAnsi"/>
          <w:sz w:val="16"/>
          <w:szCs w:val="16"/>
        </w:rPr>
        <w:t>Article XVIII of the American Declaration provides: “Every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40">
    <w:p w14:paraId="2BB30CC4" w14:textId="77777777" w:rsidR="008419E0" w:rsidRPr="00ED56AB" w:rsidRDefault="008419E0" w:rsidP="00F33E5A">
      <w:pPr>
        <w:pStyle w:val="FootnoteText"/>
        <w:jc w:val="both"/>
        <w:rPr>
          <w:rFonts w:asciiTheme="majorHAnsi" w:hAnsiTheme="majorHAnsi" w:cstheme="majorHAnsi"/>
          <w:color w:val="auto"/>
          <w:sz w:val="16"/>
          <w:szCs w:val="16"/>
        </w:rPr>
      </w:pPr>
      <w:r w:rsidRPr="00ED56AB">
        <w:rPr>
          <w:rStyle w:val="FootnoteReference"/>
          <w:rFonts w:asciiTheme="majorHAnsi" w:hAnsiTheme="majorHAnsi" w:cstheme="majorHAnsi"/>
          <w:color w:val="auto"/>
          <w:sz w:val="16"/>
          <w:szCs w:val="16"/>
        </w:rPr>
        <w:footnoteRef/>
      </w:r>
      <w:r w:rsidRPr="00ED56AB">
        <w:rPr>
          <w:rFonts w:asciiTheme="majorHAnsi" w:hAnsiTheme="majorHAnsi" w:cstheme="majorHAnsi"/>
          <w:color w:val="auto"/>
          <w:sz w:val="16"/>
          <w:szCs w:val="16"/>
        </w:rPr>
        <w:t xml:space="preserve"> </w:t>
      </w:r>
      <w:r w:rsidRPr="00ED56AB">
        <w:rPr>
          <w:rFonts w:asciiTheme="majorHAnsi" w:hAnsiTheme="majorHAnsi" w:cstheme="majorHAnsi"/>
          <w:i/>
          <w:color w:val="auto"/>
          <w:sz w:val="16"/>
          <w:szCs w:val="16"/>
        </w:rPr>
        <w:t>See</w:t>
      </w:r>
      <w:r w:rsidRPr="00ED56AB">
        <w:rPr>
          <w:rFonts w:asciiTheme="majorHAnsi" w:hAnsiTheme="majorHAnsi" w:cstheme="majorHAnsi"/>
          <w:i/>
          <w:iCs/>
          <w:color w:val="auto"/>
          <w:sz w:val="16"/>
          <w:szCs w:val="16"/>
        </w:rPr>
        <w:t xml:space="preserve"> </w:t>
      </w:r>
      <w:r w:rsidRPr="00ED56AB">
        <w:rPr>
          <w:rFonts w:asciiTheme="majorHAnsi" w:hAnsiTheme="majorHAnsi"/>
          <w:color w:val="auto"/>
          <w:sz w:val="16"/>
          <w:szCs w:val="16"/>
        </w:rPr>
        <w:t xml:space="preserve">I/A Ct. H.R. </w:t>
      </w:r>
      <w:r w:rsidRPr="00ED56AB">
        <w:rPr>
          <w:rFonts w:asciiTheme="majorHAnsi" w:hAnsiTheme="majorHAnsi"/>
          <w:i/>
          <w:color w:val="auto"/>
          <w:sz w:val="16"/>
          <w:szCs w:val="16"/>
        </w:rPr>
        <w:t>Juridical Condition and Rights of Undocumented Migrants</w:t>
      </w:r>
      <w:r w:rsidRPr="00ED56AB">
        <w:rPr>
          <w:rFonts w:asciiTheme="majorHAnsi" w:hAnsiTheme="majorHAnsi"/>
          <w:color w:val="auto"/>
          <w:sz w:val="16"/>
          <w:szCs w:val="16"/>
        </w:rPr>
        <w:t>, Advisory Opinion OC-18/03 of Sept. 17, 2003, para</w:t>
      </w:r>
      <w:r w:rsidRPr="00ED56AB">
        <w:rPr>
          <w:rFonts w:asciiTheme="majorHAnsi" w:hAnsiTheme="majorHAnsi" w:cstheme="majorHAnsi"/>
          <w:color w:val="auto"/>
          <w:sz w:val="16"/>
          <w:szCs w:val="16"/>
        </w:rPr>
        <w:t xml:space="preserve">. 101. </w:t>
      </w:r>
      <w:r w:rsidRPr="00ED56AB">
        <w:rPr>
          <w:rFonts w:asciiTheme="majorHAnsi" w:hAnsiTheme="majorHAnsi" w:cstheme="majorHAnsi"/>
          <w:i/>
          <w:color w:val="auto"/>
          <w:sz w:val="16"/>
          <w:szCs w:val="16"/>
        </w:rPr>
        <w:t>See also</w:t>
      </w:r>
      <w:r w:rsidRPr="00ED56AB">
        <w:rPr>
          <w:rFonts w:asciiTheme="majorHAnsi" w:hAnsiTheme="majorHAnsi" w:cstheme="majorHAnsi"/>
          <w:color w:val="auto"/>
          <w:sz w:val="16"/>
          <w:szCs w:val="16"/>
        </w:rPr>
        <w:t xml:space="preserve"> IACHR, Report No. 50/16, Case 12.834, Merits (Publication), Undocumented Workers, United States, Nov. 30, 2016, para. 72.</w:t>
      </w:r>
    </w:p>
  </w:footnote>
  <w:footnote w:id="41">
    <w:p w14:paraId="0EFD932C" w14:textId="77777777" w:rsidR="008419E0" w:rsidRPr="003824C7" w:rsidRDefault="008419E0" w:rsidP="00F33E5A">
      <w:pPr>
        <w:pStyle w:val="Footnotes"/>
        <w:spacing w:after="0"/>
        <w:ind w:firstLine="0"/>
        <w:rPr>
          <w:rFonts w:asciiTheme="majorHAnsi" w:hAnsiTheme="majorHAnsi"/>
          <w:sz w:val="16"/>
          <w:szCs w:val="16"/>
          <w:lang w:val="es-US"/>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50/16, Case 12.834, Merits (Publication), Undocumented Workers, United States, Nov. 30, 2016, para. </w:t>
      </w:r>
      <w:r w:rsidRPr="003824C7">
        <w:rPr>
          <w:rFonts w:asciiTheme="majorHAnsi" w:hAnsiTheme="majorHAnsi"/>
          <w:sz w:val="16"/>
          <w:szCs w:val="16"/>
          <w:lang w:val="es-US"/>
        </w:rPr>
        <w:t xml:space="preserve">75. </w:t>
      </w:r>
    </w:p>
  </w:footnote>
  <w:footnote w:id="42">
    <w:p w14:paraId="3103BBE7" w14:textId="77777777" w:rsidR="008419E0" w:rsidRDefault="008419E0">
      <w:pPr>
        <w:pStyle w:val="FootnoteText"/>
      </w:pPr>
      <w:r w:rsidRPr="0065629A">
        <w:rPr>
          <w:rStyle w:val="FootnoteReference"/>
          <w:rFonts w:asciiTheme="majorHAnsi" w:hAnsiTheme="majorHAnsi"/>
          <w:color w:val="auto"/>
          <w:sz w:val="16"/>
          <w:szCs w:val="16"/>
          <w:bdr w:val="none" w:sz="0" w:space="0" w:color="auto"/>
          <w:lang w:eastAsia="en-US"/>
        </w:rPr>
        <w:footnoteRef/>
      </w:r>
      <w:r w:rsidRPr="003824C7">
        <w:rPr>
          <w:rStyle w:val="FootnoteReference"/>
          <w:rFonts w:asciiTheme="majorHAnsi" w:hAnsiTheme="majorHAnsi"/>
          <w:color w:val="auto"/>
          <w:sz w:val="16"/>
          <w:szCs w:val="16"/>
          <w:bdr w:val="none" w:sz="0" w:space="0" w:color="auto"/>
          <w:lang w:val="es-US" w:eastAsia="en-US"/>
        </w:rPr>
        <w:t xml:space="preserve"> </w:t>
      </w:r>
      <w:r w:rsidRPr="003824C7">
        <w:rPr>
          <w:rFonts w:asciiTheme="majorHAnsi" w:hAnsiTheme="majorHAnsi" w:cstheme="majorHAnsi"/>
          <w:color w:val="auto"/>
          <w:sz w:val="16"/>
          <w:szCs w:val="16"/>
          <w:lang w:val="es-US"/>
        </w:rPr>
        <w:t xml:space="preserve">IACHR, Report No. 5/14. Case 12,841. Merits. Angel Alberto Duque. Colombia. April 2, 2014, para. </w:t>
      </w:r>
      <w:r w:rsidRPr="0065629A">
        <w:rPr>
          <w:rFonts w:asciiTheme="majorHAnsi" w:hAnsiTheme="majorHAnsi" w:cstheme="majorHAnsi"/>
          <w:color w:val="auto"/>
          <w:sz w:val="16"/>
          <w:szCs w:val="16"/>
        </w:rPr>
        <w:t>67.</w:t>
      </w:r>
    </w:p>
  </w:footnote>
  <w:footnote w:id="43">
    <w:p w14:paraId="774C5A3E" w14:textId="77777777" w:rsidR="008419E0" w:rsidRPr="00ED56AB" w:rsidRDefault="008419E0" w:rsidP="00F33E5A">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w:t>
      </w:r>
      <w:r w:rsidRPr="00ED56AB">
        <w:rPr>
          <w:rFonts w:asciiTheme="majorHAnsi" w:hAnsiTheme="majorHAnsi"/>
          <w:i/>
          <w:color w:val="auto"/>
          <w:sz w:val="16"/>
          <w:szCs w:val="16"/>
        </w:rPr>
        <w:t xml:space="preserve">See, e.g., </w:t>
      </w:r>
      <w:r w:rsidRPr="00ED56AB">
        <w:rPr>
          <w:rFonts w:asciiTheme="majorHAnsi" w:hAnsiTheme="majorHAnsi"/>
          <w:color w:val="auto"/>
          <w:sz w:val="16"/>
          <w:szCs w:val="16"/>
        </w:rPr>
        <w:t>I/A Ct. H.R.</w:t>
      </w:r>
      <w:r w:rsidRPr="00ED56AB">
        <w:rPr>
          <w:rFonts w:asciiTheme="majorHAnsi" w:eastAsia="Times New Roman" w:hAnsiTheme="majorHAnsi"/>
          <w:bCs/>
          <w:color w:val="auto"/>
          <w:sz w:val="16"/>
          <w:szCs w:val="16"/>
        </w:rPr>
        <w:t xml:space="preserve"> Furlan and family Vs. Argentina. Judgment of Aug. 31, 2012, para. 267.</w:t>
      </w:r>
    </w:p>
  </w:footnote>
  <w:footnote w:id="44">
    <w:p w14:paraId="472EE7BF" w14:textId="77777777" w:rsidR="008419E0" w:rsidRPr="00ED56AB" w:rsidRDefault="008419E0" w:rsidP="00F33E5A">
      <w:pPr>
        <w:pStyle w:val="Footnotes"/>
        <w:spacing w:after="0"/>
        <w:ind w:firstLine="0"/>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Report No. 50/16, Case 12.834, Merits (Publication), Undocumented Workers, United States, Nov. 30, 2016, para. 74; IACHR, Report No. 51/01, Case 9903, </w:t>
      </w:r>
      <w:r w:rsidRPr="00ED56AB">
        <w:rPr>
          <w:rFonts w:asciiTheme="majorHAnsi" w:hAnsiTheme="majorHAnsi"/>
          <w:i/>
          <w:sz w:val="16"/>
          <w:szCs w:val="16"/>
        </w:rPr>
        <w:t>Rafael Ferrer-Mazorra et al.</w:t>
      </w:r>
      <w:r w:rsidRPr="00ED56AB">
        <w:rPr>
          <w:rFonts w:asciiTheme="majorHAnsi" w:hAnsiTheme="majorHAnsi"/>
          <w:sz w:val="16"/>
          <w:szCs w:val="16"/>
        </w:rPr>
        <w:t>, United States, Apr. 4, 2001, para. 238</w:t>
      </w:r>
      <w:r w:rsidRPr="00ED56AB">
        <w:rPr>
          <w:rFonts w:asciiTheme="majorHAnsi" w:eastAsia="Times New Roman" w:hAnsiTheme="majorHAnsi"/>
          <w:sz w:val="16"/>
          <w:szCs w:val="16"/>
        </w:rPr>
        <w:t xml:space="preserve">. </w:t>
      </w:r>
    </w:p>
  </w:footnote>
  <w:footnote w:id="45">
    <w:p w14:paraId="6D7D6187" w14:textId="77777777" w:rsidR="008419E0" w:rsidRPr="00ED56AB" w:rsidRDefault="008419E0" w:rsidP="00F33E5A">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w:t>
      </w:r>
      <w:r w:rsidRPr="00E93D8E">
        <w:rPr>
          <w:rFonts w:asciiTheme="majorHAnsi" w:hAnsiTheme="majorHAnsi"/>
          <w:color w:val="auto"/>
          <w:sz w:val="16"/>
          <w:szCs w:val="16"/>
        </w:rPr>
        <w:t>, Report on Terrorism and Human Rights (</w:t>
      </w:r>
      <w:r w:rsidRPr="00ED56AB">
        <w:rPr>
          <w:rFonts w:asciiTheme="majorHAnsi" w:hAnsiTheme="majorHAnsi"/>
          <w:color w:val="auto"/>
          <w:sz w:val="16"/>
          <w:szCs w:val="16"/>
        </w:rPr>
        <w:t>2002), para. 338.</w:t>
      </w:r>
    </w:p>
  </w:footnote>
  <w:footnote w:id="46">
    <w:p w14:paraId="7E135B65" w14:textId="77777777" w:rsidR="008419E0" w:rsidRDefault="008419E0">
      <w:pPr>
        <w:pStyle w:val="FootnoteText"/>
      </w:pPr>
      <w:r w:rsidRPr="008E2E22">
        <w:rPr>
          <w:rStyle w:val="FootnoteReference"/>
          <w:rFonts w:asciiTheme="majorHAnsi" w:hAnsiTheme="majorHAnsi"/>
          <w:color w:val="auto"/>
          <w:sz w:val="16"/>
          <w:szCs w:val="16"/>
        </w:rPr>
        <w:footnoteRef/>
      </w:r>
      <w:r w:rsidRPr="008E2E22">
        <w:rPr>
          <w:rStyle w:val="FootnoteReference"/>
          <w:rFonts w:asciiTheme="majorHAnsi" w:hAnsiTheme="majorHAnsi"/>
          <w:color w:val="auto"/>
          <w:sz w:val="16"/>
          <w:szCs w:val="16"/>
        </w:rPr>
        <w:t xml:space="preserve"> </w:t>
      </w:r>
      <w:r w:rsidRPr="008E2E22">
        <w:rPr>
          <w:rFonts w:asciiTheme="majorHAnsi" w:hAnsiTheme="majorHAnsi"/>
          <w:color w:val="auto"/>
          <w:sz w:val="16"/>
          <w:szCs w:val="16"/>
        </w:rPr>
        <w:t>IACHR, Police Violence Against Afro-descendants in the United States. November 26, 2018, para.</w:t>
      </w:r>
      <w:r>
        <w:rPr>
          <w:rFonts w:asciiTheme="majorHAnsi" w:hAnsiTheme="majorHAnsi"/>
          <w:color w:val="auto"/>
          <w:sz w:val="16"/>
          <w:szCs w:val="16"/>
        </w:rPr>
        <w:t xml:space="preserve"> 195.</w:t>
      </w:r>
    </w:p>
  </w:footnote>
  <w:footnote w:id="47">
    <w:p w14:paraId="47A62C80" w14:textId="77777777" w:rsidR="008419E0" w:rsidRDefault="008419E0" w:rsidP="00691B5E">
      <w:pPr>
        <w:pStyle w:val="FootnoteText"/>
      </w:pPr>
      <w:r w:rsidRPr="00527AF5">
        <w:rPr>
          <w:rStyle w:val="FootnoteReference"/>
          <w:rFonts w:asciiTheme="majorHAnsi" w:hAnsiTheme="majorHAnsi" w:cstheme="majorHAnsi"/>
          <w:color w:val="auto"/>
          <w:sz w:val="16"/>
          <w:szCs w:val="16"/>
        </w:rPr>
        <w:footnoteRef/>
      </w:r>
      <w:r w:rsidRPr="00527AF5">
        <w:rPr>
          <w:rStyle w:val="FootnoteReference"/>
          <w:rFonts w:asciiTheme="majorHAnsi" w:hAnsiTheme="majorHAnsi" w:cstheme="majorHAnsi"/>
          <w:color w:val="auto"/>
          <w:sz w:val="16"/>
          <w:szCs w:val="16"/>
        </w:rPr>
        <w:t xml:space="preserve"> </w:t>
      </w:r>
      <w:r w:rsidRPr="00527AF5">
        <w:rPr>
          <w:rFonts w:asciiTheme="majorHAnsi" w:hAnsiTheme="majorHAnsi"/>
          <w:color w:val="auto"/>
          <w:sz w:val="16"/>
          <w:szCs w:val="16"/>
        </w:rPr>
        <w:t>IACHR. Resolution No. 23/89. Case 10.031. Willie L. Celestine. United States. September 28, 1989.</w:t>
      </w:r>
    </w:p>
  </w:footnote>
  <w:footnote w:id="48">
    <w:p w14:paraId="4D05F940" w14:textId="77777777" w:rsidR="008419E0" w:rsidRPr="00ED56AB" w:rsidRDefault="008419E0" w:rsidP="00691B5E">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57/97, Case No. 11.139, William Andrews, Merits, United States, December 6, 1996, para. 165. </w:t>
      </w:r>
    </w:p>
  </w:footnote>
  <w:footnote w:id="49">
    <w:p w14:paraId="7937E26A" w14:textId="77777777" w:rsidR="008419E0" w:rsidRPr="00437231" w:rsidRDefault="008419E0" w:rsidP="00691B5E">
      <w:pPr>
        <w:pStyle w:val="FootnoteText"/>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57/97, Case No. 11.139, William Andrews, Merits, United States, December 6, 1996, para. 165.</w:t>
      </w:r>
    </w:p>
  </w:footnote>
  <w:footnote w:id="50">
    <w:p w14:paraId="6FF5F85D" w14:textId="77777777" w:rsidR="008419E0" w:rsidRPr="00437231" w:rsidRDefault="008419E0" w:rsidP="00691B5E">
      <w:pPr>
        <w:pStyle w:val="FootnoteText"/>
        <w:jc w:val="both"/>
        <w:rPr>
          <w:rFonts w:asciiTheme="majorHAnsi" w:hAnsiTheme="majorHAnsi"/>
          <w:sz w:val="16"/>
          <w:szCs w:val="16"/>
        </w:rPr>
      </w:pPr>
      <w:r w:rsidRPr="00437231">
        <w:rPr>
          <w:rStyle w:val="FootnoteReference"/>
          <w:rFonts w:asciiTheme="majorHAnsi" w:hAnsiTheme="majorHAnsi"/>
          <w:sz w:val="16"/>
          <w:szCs w:val="16"/>
        </w:rPr>
        <w:footnoteRef/>
      </w:r>
      <w:r w:rsidRPr="00437231">
        <w:rPr>
          <w:rFonts w:asciiTheme="majorHAnsi" w:hAnsiTheme="majorHAnsi"/>
          <w:sz w:val="16"/>
          <w:szCs w:val="16"/>
        </w:rPr>
        <w:t xml:space="preserve"> IACHR, Report No. 57/97, Case No. 11.139, William Andrews, Merits, United States, December 6, 1996, para. 4.</w:t>
      </w:r>
    </w:p>
  </w:footnote>
  <w:footnote w:id="51">
    <w:p w14:paraId="4A45EB5D" w14:textId="77777777" w:rsidR="008419E0" w:rsidRPr="00ED56AB" w:rsidRDefault="008419E0" w:rsidP="00691B5E">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57/97, Case No. 11.139, William Andrews, Merits, United States, December 6, 1996, para. 159.</w:t>
      </w:r>
    </w:p>
  </w:footnote>
  <w:footnote w:id="52">
    <w:p w14:paraId="7763380E" w14:textId="77777777" w:rsidR="008419E0" w:rsidRDefault="008419E0" w:rsidP="00673206">
      <w:pPr>
        <w:pStyle w:val="FootnoteText"/>
        <w:jc w:val="both"/>
      </w:pPr>
      <w:r w:rsidRPr="00673206">
        <w:rPr>
          <w:rStyle w:val="FootnoteReference"/>
          <w:rFonts w:asciiTheme="majorHAnsi" w:hAnsiTheme="majorHAnsi"/>
          <w:color w:val="auto"/>
          <w:sz w:val="16"/>
          <w:szCs w:val="16"/>
        </w:rPr>
        <w:footnoteRef/>
      </w:r>
      <w:r w:rsidRPr="00673206">
        <w:rPr>
          <w:rStyle w:val="FootnoteReference"/>
          <w:rFonts w:asciiTheme="majorHAnsi" w:hAnsiTheme="majorHAnsi"/>
          <w:color w:val="auto"/>
          <w:sz w:val="16"/>
          <w:szCs w:val="16"/>
        </w:rPr>
        <w:t xml:space="preserve"> </w:t>
      </w:r>
      <w:r w:rsidRPr="00673206">
        <w:rPr>
          <w:rFonts w:asciiTheme="majorHAnsi" w:hAnsiTheme="majorHAnsi"/>
          <w:color w:val="auto"/>
          <w:sz w:val="16"/>
          <w:szCs w:val="16"/>
        </w:rPr>
        <w:t>IACHR, Report No. 78/15, Case 12.831. Merits (Publication). Kevin Cooper. United States. October 28, 2015</w:t>
      </w:r>
    </w:p>
  </w:footnote>
  <w:footnote w:id="53">
    <w:p w14:paraId="346A7928" w14:textId="77777777" w:rsidR="008419E0" w:rsidRPr="00ED56AB" w:rsidRDefault="008419E0" w:rsidP="00673206">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78/15, Case 12.831. Merits (Publication). Kevin Cooper. United States. October</w:t>
      </w:r>
      <w:r>
        <w:rPr>
          <w:rFonts w:asciiTheme="majorHAnsi" w:hAnsiTheme="majorHAnsi"/>
          <w:color w:val="auto"/>
          <w:sz w:val="16"/>
          <w:szCs w:val="16"/>
        </w:rPr>
        <w:t xml:space="preserve"> </w:t>
      </w:r>
      <w:r w:rsidRPr="00ED56AB">
        <w:rPr>
          <w:rFonts w:asciiTheme="majorHAnsi" w:hAnsiTheme="majorHAnsi"/>
          <w:color w:val="auto"/>
          <w:sz w:val="16"/>
          <w:szCs w:val="16"/>
        </w:rPr>
        <w:t>28, 2015, para</w:t>
      </w:r>
      <w:r>
        <w:rPr>
          <w:rFonts w:asciiTheme="majorHAnsi" w:hAnsiTheme="majorHAnsi"/>
          <w:color w:val="auto"/>
          <w:sz w:val="16"/>
          <w:szCs w:val="16"/>
        </w:rPr>
        <w:t>s</w:t>
      </w:r>
      <w:r w:rsidRPr="00ED56AB">
        <w:rPr>
          <w:rFonts w:asciiTheme="majorHAnsi" w:hAnsiTheme="majorHAnsi"/>
          <w:color w:val="auto"/>
          <w:sz w:val="16"/>
          <w:szCs w:val="16"/>
        </w:rPr>
        <w:t>. 140 and 141.</w:t>
      </w:r>
    </w:p>
  </w:footnote>
  <w:footnote w:id="54">
    <w:p w14:paraId="73B6C7F9" w14:textId="77777777" w:rsidR="008419E0" w:rsidRDefault="008419E0" w:rsidP="00673206">
      <w:pPr>
        <w:pStyle w:val="FootnoteText"/>
        <w:jc w:val="both"/>
      </w:pPr>
      <w:r w:rsidRPr="00673206">
        <w:rPr>
          <w:rStyle w:val="FootnoteReference"/>
          <w:rFonts w:asciiTheme="majorHAnsi" w:hAnsiTheme="majorHAnsi"/>
          <w:color w:val="auto"/>
          <w:sz w:val="16"/>
          <w:szCs w:val="16"/>
        </w:rPr>
        <w:footnoteRef/>
      </w:r>
      <w:r w:rsidRPr="00673206">
        <w:rPr>
          <w:rStyle w:val="FootnoteReference"/>
          <w:rFonts w:asciiTheme="majorHAnsi" w:hAnsiTheme="majorHAnsi"/>
          <w:color w:val="auto"/>
          <w:sz w:val="16"/>
          <w:szCs w:val="16"/>
        </w:rPr>
        <w:t xml:space="preserve"> </w:t>
      </w:r>
      <w:r w:rsidRPr="00673206">
        <w:rPr>
          <w:rFonts w:asciiTheme="majorHAnsi" w:hAnsiTheme="majorHAnsi"/>
          <w:color w:val="auto"/>
          <w:sz w:val="16"/>
          <w:szCs w:val="16"/>
        </w:rPr>
        <w:t>IACHR, Report No. 78/15, Case 12.831. Merits (Publication). Kevin Cooper. United States. October 28, 2015, para. 146.</w:t>
      </w:r>
    </w:p>
  </w:footnote>
  <w:footnote w:id="55">
    <w:p w14:paraId="4622907F" w14:textId="77777777" w:rsidR="008419E0" w:rsidRPr="00ED56AB" w:rsidRDefault="008419E0" w:rsidP="000217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CERD, General Recommendation No. XXXI, U.N. Doc. CERD/C/GC/31/Rev.4 (2005).  </w:t>
      </w:r>
    </w:p>
  </w:footnote>
  <w:footnote w:id="56">
    <w:p w14:paraId="370E277D" w14:textId="77777777" w:rsidR="008419E0" w:rsidRPr="00ED56AB" w:rsidRDefault="008419E0" w:rsidP="00021789">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The Situation of People of African Descent in the Americas, OEA/Ser.L/V/II. Doc. 62, December 5, 2011, para. 184.</w:t>
      </w:r>
    </w:p>
  </w:footnote>
  <w:footnote w:id="57">
    <w:p w14:paraId="350DA799" w14:textId="77777777" w:rsidR="008419E0" w:rsidRPr="00ED56AB" w:rsidRDefault="008419E0" w:rsidP="00021789">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The Situation of People of African Descent in the Americas, OEA/Ser.L/V/II. Doc. 62, December 5, 2011, para. 189.</w:t>
      </w:r>
    </w:p>
  </w:footnote>
  <w:footnote w:id="58">
    <w:p w14:paraId="67E37378" w14:textId="77777777" w:rsidR="008419E0" w:rsidRDefault="008419E0" w:rsidP="00021789">
      <w:pPr>
        <w:pStyle w:val="FootnoteText"/>
      </w:pPr>
      <w:r w:rsidRPr="008E2E22">
        <w:rPr>
          <w:rStyle w:val="FootnoteReference"/>
          <w:rFonts w:asciiTheme="majorHAnsi" w:hAnsiTheme="majorHAnsi"/>
          <w:color w:val="auto"/>
          <w:sz w:val="16"/>
          <w:szCs w:val="16"/>
        </w:rPr>
        <w:footnoteRef/>
      </w:r>
      <w:r w:rsidRPr="008E2E22">
        <w:rPr>
          <w:rStyle w:val="FootnoteReference"/>
          <w:rFonts w:asciiTheme="majorHAnsi" w:hAnsiTheme="majorHAnsi"/>
          <w:color w:val="auto"/>
          <w:sz w:val="16"/>
          <w:szCs w:val="16"/>
        </w:rPr>
        <w:t xml:space="preserve"> </w:t>
      </w:r>
      <w:r w:rsidRPr="008E2E22">
        <w:rPr>
          <w:rFonts w:asciiTheme="majorHAnsi" w:hAnsiTheme="majorHAnsi"/>
          <w:color w:val="auto"/>
          <w:sz w:val="16"/>
          <w:szCs w:val="16"/>
        </w:rPr>
        <w:t>IACHR, Police Violence Against Afro-descendants in the United States. November 26, 2018, para. 136.</w:t>
      </w:r>
    </w:p>
  </w:footnote>
  <w:footnote w:id="59">
    <w:p w14:paraId="1BD1A919" w14:textId="77777777" w:rsidR="008419E0" w:rsidRDefault="008419E0">
      <w:pPr>
        <w:pStyle w:val="FootnoteText"/>
      </w:pPr>
      <w:r w:rsidRPr="008E2E22">
        <w:rPr>
          <w:rStyle w:val="FootnoteReference"/>
          <w:rFonts w:asciiTheme="majorHAnsi" w:hAnsiTheme="majorHAnsi"/>
          <w:color w:val="auto"/>
          <w:sz w:val="16"/>
          <w:szCs w:val="16"/>
        </w:rPr>
        <w:footnoteRef/>
      </w:r>
      <w:r w:rsidRPr="008E2E22">
        <w:rPr>
          <w:rStyle w:val="FootnoteReference"/>
          <w:rFonts w:asciiTheme="majorHAnsi" w:hAnsiTheme="majorHAnsi"/>
          <w:color w:val="auto"/>
          <w:sz w:val="16"/>
          <w:szCs w:val="16"/>
        </w:rPr>
        <w:t xml:space="preserve"> </w:t>
      </w:r>
      <w:r w:rsidRPr="008E2E22">
        <w:rPr>
          <w:rFonts w:asciiTheme="majorHAnsi" w:hAnsiTheme="majorHAnsi"/>
          <w:color w:val="auto"/>
          <w:sz w:val="16"/>
          <w:szCs w:val="16"/>
        </w:rPr>
        <w:t>IACHR, Police Violence Against Afro-descendants in the United States. November 26, 2018, para.</w:t>
      </w:r>
      <w:r>
        <w:rPr>
          <w:rFonts w:asciiTheme="majorHAnsi" w:hAnsiTheme="majorHAnsi"/>
          <w:color w:val="auto"/>
          <w:sz w:val="16"/>
          <w:szCs w:val="16"/>
        </w:rPr>
        <w:t xml:space="preserve"> 196.</w:t>
      </w:r>
    </w:p>
  </w:footnote>
  <w:footnote w:id="60">
    <w:p w14:paraId="5550EA24" w14:textId="77777777" w:rsidR="008419E0" w:rsidRDefault="008419E0" w:rsidP="00E35189">
      <w:pPr>
        <w:pStyle w:val="FootnoteText"/>
      </w:pPr>
      <w:r w:rsidRPr="007B208B">
        <w:rPr>
          <w:rStyle w:val="FootnoteReference"/>
          <w:rFonts w:asciiTheme="majorHAnsi" w:hAnsiTheme="majorHAnsi"/>
          <w:color w:val="auto"/>
          <w:sz w:val="16"/>
          <w:szCs w:val="16"/>
        </w:rPr>
        <w:footnoteRef/>
      </w:r>
      <w:r w:rsidRPr="007B208B">
        <w:rPr>
          <w:rStyle w:val="FootnoteReference"/>
          <w:rFonts w:asciiTheme="majorHAnsi" w:hAnsiTheme="majorHAnsi"/>
          <w:color w:val="auto"/>
          <w:sz w:val="16"/>
          <w:szCs w:val="16"/>
        </w:rPr>
        <w:t xml:space="preserve"> </w:t>
      </w:r>
      <w:r w:rsidRPr="008E2E22">
        <w:rPr>
          <w:rFonts w:asciiTheme="majorHAnsi" w:hAnsiTheme="majorHAnsi"/>
          <w:color w:val="auto"/>
          <w:sz w:val="16"/>
          <w:szCs w:val="16"/>
        </w:rPr>
        <w:t>IACHR, Police Violence Against Afro-descendants in the United States. November 26, 2018, para.</w:t>
      </w:r>
      <w:r>
        <w:rPr>
          <w:rFonts w:asciiTheme="majorHAnsi" w:hAnsiTheme="majorHAnsi"/>
          <w:color w:val="auto"/>
          <w:sz w:val="16"/>
          <w:szCs w:val="16"/>
        </w:rPr>
        <w:t xml:space="preserve"> 7.</w:t>
      </w:r>
    </w:p>
  </w:footnote>
  <w:footnote w:id="61">
    <w:p w14:paraId="1C333A8D" w14:textId="77777777" w:rsidR="008419E0" w:rsidRDefault="008419E0" w:rsidP="00E35189">
      <w:pPr>
        <w:pStyle w:val="FootnoteText"/>
      </w:pPr>
      <w:r w:rsidRPr="00375623">
        <w:rPr>
          <w:rStyle w:val="FootnoteReference"/>
          <w:rFonts w:asciiTheme="majorHAnsi" w:hAnsiTheme="majorHAnsi"/>
          <w:color w:val="auto"/>
          <w:sz w:val="16"/>
          <w:szCs w:val="16"/>
        </w:rPr>
        <w:footnoteRef/>
      </w:r>
      <w:r w:rsidRPr="00375623">
        <w:rPr>
          <w:rStyle w:val="FootnoteReference"/>
          <w:rFonts w:asciiTheme="majorHAnsi" w:hAnsiTheme="majorHAnsi"/>
          <w:color w:val="auto"/>
          <w:sz w:val="16"/>
          <w:szCs w:val="16"/>
        </w:rPr>
        <w:t xml:space="preserve"> </w:t>
      </w:r>
      <w:r w:rsidRPr="008E2E22">
        <w:rPr>
          <w:rFonts w:asciiTheme="majorHAnsi" w:hAnsiTheme="majorHAnsi"/>
          <w:color w:val="auto"/>
          <w:sz w:val="16"/>
          <w:szCs w:val="16"/>
        </w:rPr>
        <w:t>IACHR, Police Violence Against Afro-descendants in the United States. November 26, 2018, para.</w:t>
      </w:r>
      <w:r>
        <w:rPr>
          <w:rFonts w:asciiTheme="majorHAnsi" w:hAnsiTheme="majorHAnsi"/>
          <w:color w:val="auto"/>
          <w:sz w:val="16"/>
          <w:szCs w:val="16"/>
        </w:rPr>
        <w:t xml:space="preserve"> 42.</w:t>
      </w:r>
    </w:p>
  </w:footnote>
  <w:footnote w:id="62">
    <w:p w14:paraId="7459F408" w14:textId="77777777" w:rsidR="008419E0" w:rsidRDefault="008419E0">
      <w:pPr>
        <w:pStyle w:val="FootnoteText"/>
      </w:pPr>
      <w:r w:rsidRPr="008E2E22">
        <w:rPr>
          <w:rStyle w:val="FootnoteReference"/>
          <w:rFonts w:asciiTheme="majorHAnsi" w:hAnsiTheme="majorHAnsi"/>
          <w:color w:val="auto"/>
          <w:sz w:val="16"/>
          <w:szCs w:val="16"/>
        </w:rPr>
        <w:footnoteRef/>
      </w:r>
      <w:r w:rsidRPr="008E2E22">
        <w:rPr>
          <w:rStyle w:val="FootnoteReference"/>
          <w:rFonts w:asciiTheme="majorHAnsi" w:hAnsiTheme="majorHAnsi"/>
          <w:color w:val="auto"/>
          <w:sz w:val="16"/>
          <w:szCs w:val="16"/>
        </w:rPr>
        <w:t xml:space="preserve"> </w:t>
      </w:r>
      <w:r w:rsidRPr="008E2E22">
        <w:rPr>
          <w:rFonts w:asciiTheme="majorHAnsi" w:hAnsiTheme="majorHAnsi"/>
          <w:color w:val="auto"/>
          <w:sz w:val="16"/>
          <w:szCs w:val="16"/>
        </w:rPr>
        <w:t>IACHR, Police Violence Against Afro-descendants in the United States. November 26, 2018, para.</w:t>
      </w:r>
      <w:r>
        <w:rPr>
          <w:rFonts w:asciiTheme="majorHAnsi" w:hAnsiTheme="majorHAnsi"/>
          <w:color w:val="auto"/>
          <w:sz w:val="16"/>
          <w:szCs w:val="16"/>
        </w:rPr>
        <w:t xml:space="preserve"> 197.</w:t>
      </w:r>
    </w:p>
  </w:footnote>
  <w:footnote w:id="63">
    <w:p w14:paraId="39F3DBAE" w14:textId="77777777" w:rsidR="008419E0" w:rsidRPr="008227E1" w:rsidRDefault="008419E0">
      <w:pPr>
        <w:pStyle w:val="FootnoteText"/>
      </w:pPr>
      <w:r w:rsidRPr="008227E1">
        <w:rPr>
          <w:rStyle w:val="FootnoteReference"/>
          <w:rFonts w:asciiTheme="majorHAnsi" w:hAnsiTheme="majorHAnsi"/>
          <w:color w:val="auto"/>
          <w:sz w:val="16"/>
          <w:szCs w:val="16"/>
        </w:rPr>
        <w:footnoteRef/>
      </w:r>
      <w:r w:rsidRPr="008227E1">
        <w:t xml:space="preserve"> </w:t>
      </w:r>
      <w:r w:rsidRPr="008227E1">
        <w:rPr>
          <w:rFonts w:asciiTheme="majorHAnsi" w:hAnsiTheme="majorHAnsi"/>
          <w:bCs/>
          <w:color w:val="auto"/>
          <w:sz w:val="16"/>
          <w:szCs w:val="16"/>
        </w:rPr>
        <w:t>Flowers v</w:t>
      </w:r>
      <w:r w:rsidRPr="008227E1">
        <w:rPr>
          <w:rFonts w:asciiTheme="majorHAnsi" w:hAnsiTheme="majorHAnsi"/>
          <w:color w:val="auto"/>
          <w:sz w:val="16"/>
          <w:szCs w:val="16"/>
        </w:rPr>
        <w:t xml:space="preserve">. </w:t>
      </w:r>
      <w:r w:rsidRPr="008227E1">
        <w:rPr>
          <w:rFonts w:asciiTheme="majorHAnsi" w:hAnsiTheme="majorHAnsi"/>
          <w:bCs/>
          <w:color w:val="auto"/>
          <w:sz w:val="16"/>
          <w:szCs w:val="16"/>
        </w:rPr>
        <w:t>Mississippi</w:t>
      </w:r>
      <w:r w:rsidRPr="008227E1">
        <w:rPr>
          <w:rFonts w:asciiTheme="majorHAnsi" w:hAnsiTheme="majorHAnsi"/>
          <w:color w:val="auto"/>
          <w:sz w:val="16"/>
          <w:szCs w:val="16"/>
        </w:rPr>
        <w:t xml:space="preserve">, No. 17–9572, 588 </w:t>
      </w:r>
      <w:r w:rsidRPr="008227E1">
        <w:rPr>
          <w:rFonts w:asciiTheme="majorHAnsi" w:hAnsiTheme="majorHAnsi"/>
          <w:bCs/>
          <w:color w:val="auto"/>
          <w:sz w:val="16"/>
          <w:szCs w:val="16"/>
        </w:rPr>
        <w:t>U.S.</w:t>
      </w:r>
      <w:r w:rsidRPr="008227E1">
        <w:rPr>
          <w:rFonts w:asciiTheme="majorHAnsi" w:hAnsiTheme="majorHAnsi"/>
          <w:color w:val="auto"/>
          <w:sz w:val="16"/>
          <w:szCs w:val="16"/>
        </w:rPr>
        <w:t xml:space="preserve"> ___ (2019)</w:t>
      </w:r>
      <w:r>
        <w:rPr>
          <w:rFonts w:asciiTheme="majorHAnsi" w:hAnsiTheme="majorHAnsi"/>
          <w:color w:val="auto"/>
          <w:sz w:val="16"/>
          <w:szCs w:val="16"/>
        </w:rPr>
        <w:t>, p. 15.</w:t>
      </w:r>
    </w:p>
  </w:footnote>
  <w:footnote w:id="64">
    <w:p w14:paraId="5B3F76F4" w14:textId="77777777" w:rsidR="008419E0" w:rsidRPr="005232E1" w:rsidRDefault="008419E0" w:rsidP="005232E1">
      <w:pPr>
        <w:pStyle w:val="FootnoteText"/>
        <w:jc w:val="both"/>
        <w:rPr>
          <w:rFonts w:asciiTheme="majorHAnsi" w:hAnsiTheme="majorHAnsi"/>
          <w:sz w:val="16"/>
          <w:szCs w:val="16"/>
        </w:rPr>
      </w:pPr>
      <w:r w:rsidRPr="005232E1">
        <w:rPr>
          <w:rStyle w:val="FootnoteReference"/>
          <w:rFonts w:asciiTheme="majorHAnsi" w:hAnsiTheme="majorHAnsi"/>
          <w:sz w:val="16"/>
          <w:szCs w:val="16"/>
        </w:rPr>
        <w:footnoteRef/>
      </w:r>
      <w:r w:rsidRPr="005232E1">
        <w:rPr>
          <w:rFonts w:asciiTheme="majorHAnsi" w:hAnsiTheme="majorHAnsi"/>
          <w:sz w:val="16"/>
          <w:szCs w:val="16"/>
        </w:rPr>
        <w:t xml:space="preserve"> Equal Justice Initiative. Illegal Racial Discrimination in Jury Selection: A Continuing Legacy. August 2010. Available at: </w:t>
      </w:r>
      <w:hyperlink r:id="rId3" w:history="1">
        <w:r w:rsidRPr="00E451F2">
          <w:rPr>
            <w:rStyle w:val="Hyperlink"/>
            <w:rFonts w:asciiTheme="majorHAnsi" w:hAnsiTheme="majorHAnsi"/>
            <w:sz w:val="16"/>
            <w:szCs w:val="16"/>
          </w:rPr>
          <w:t>https://eji.org/sites/default/files/illegal-racial-discrimination-in-jury-selection.pdf</w:t>
        </w:r>
      </w:hyperlink>
      <w:r>
        <w:rPr>
          <w:rFonts w:asciiTheme="majorHAnsi" w:hAnsiTheme="majorHAnsi"/>
          <w:sz w:val="16"/>
          <w:szCs w:val="16"/>
        </w:rPr>
        <w:t xml:space="preserve"> </w:t>
      </w:r>
    </w:p>
  </w:footnote>
  <w:footnote w:id="65">
    <w:p w14:paraId="2CC35931" w14:textId="77777777" w:rsidR="008419E0" w:rsidRPr="00F61B4C" w:rsidRDefault="008419E0" w:rsidP="00D12883">
      <w:pPr>
        <w:pStyle w:val="FootnoteText"/>
        <w:jc w:val="both"/>
        <w:rPr>
          <w:rFonts w:asciiTheme="majorHAnsi" w:hAnsiTheme="majorHAnsi"/>
          <w:sz w:val="16"/>
          <w:szCs w:val="16"/>
        </w:rPr>
      </w:pPr>
      <w:r w:rsidRPr="00F61B4C">
        <w:rPr>
          <w:rStyle w:val="FootnoteReference"/>
          <w:rFonts w:asciiTheme="majorHAnsi" w:hAnsiTheme="majorHAnsi"/>
          <w:sz w:val="16"/>
          <w:szCs w:val="16"/>
        </w:rPr>
        <w:footnoteRef/>
      </w:r>
      <w:r w:rsidRPr="00F61B4C">
        <w:rPr>
          <w:rFonts w:asciiTheme="majorHAnsi" w:hAnsiTheme="majorHAnsi"/>
          <w:sz w:val="16"/>
          <w:szCs w:val="16"/>
        </w:rPr>
        <w:t xml:space="preserve"> </w:t>
      </w:r>
      <w:r>
        <w:rPr>
          <w:rFonts w:asciiTheme="majorHAnsi" w:eastAsia="Arial Unicode MS" w:hAnsiTheme="majorHAnsi" w:cs="Times New Roman"/>
          <w:color w:val="auto"/>
          <w:sz w:val="16"/>
          <w:szCs w:val="16"/>
          <w:lang w:eastAsia="en-US"/>
        </w:rPr>
        <w:t>Article X</w:t>
      </w:r>
      <w:r w:rsidRPr="00966854">
        <w:rPr>
          <w:rFonts w:asciiTheme="majorHAnsi" w:eastAsia="Arial Unicode MS" w:hAnsiTheme="majorHAnsi" w:cs="Times New Roman"/>
          <w:color w:val="auto"/>
          <w:sz w:val="16"/>
          <w:szCs w:val="16"/>
          <w:lang w:eastAsia="en-US"/>
        </w:rPr>
        <w:t xml:space="preserve">VIII of the American Declaration establishes: </w:t>
      </w:r>
      <w:r w:rsidRPr="00F61B4C">
        <w:rPr>
          <w:rFonts w:asciiTheme="majorHAnsi" w:hAnsiTheme="majorHAnsi"/>
          <w:sz w:val="16"/>
          <w:szCs w:val="16"/>
        </w:rPr>
        <w:t>Every person may resort to the courts to ensure respect for his legal rights. There should likewise be available to him a simple, brief procedure whereby the courts will protect him from acts of authority that, to his prejudice, violate any fundamental constitutional rights.</w:t>
      </w:r>
    </w:p>
  </w:footnote>
  <w:footnote w:id="66">
    <w:p w14:paraId="5D416B84" w14:textId="77777777" w:rsidR="008419E0" w:rsidRPr="00F61B4C" w:rsidRDefault="008419E0" w:rsidP="00D12883">
      <w:pPr>
        <w:pStyle w:val="FootnoteText"/>
        <w:jc w:val="both"/>
        <w:rPr>
          <w:rFonts w:asciiTheme="majorHAnsi" w:hAnsiTheme="majorHAnsi"/>
          <w:sz w:val="16"/>
          <w:szCs w:val="16"/>
        </w:rPr>
      </w:pPr>
      <w:r w:rsidRPr="00D12883">
        <w:rPr>
          <w:rStyle w:val="FootnoteReference"/>
          <w:rFonts w:asciiTheme="majorHAnsi" w:hAnsiTheme="majorHAnsi"/>
          <w:sz w:val="16"/>
          <w:szCs w:val="16"/>
        </w:rPr>
        <w:footnoteRef/>
      </w:r>
      <w:r>
        <w:rPr>
          <w:rFonts w:asciiTheme="majorHAnsi" w:hAnsiTheme="majorHAnsi"/>
          <w:sz w:val="16"/>
          <w:szCs w:val="16"/>
        </w:rPr>
        <w:t xml:space="preserve"> </w:t>
      </w:r>
      <w:r>
        <w:rPr>
          <w:rFonts w:asciiTheme="majorHAnsi" w:eastAsia="Arial Unicode MS" w:hAnsiTheme="majorHAnsi" w:cs="Times New Roman"/>
          <w:color w:val="auto"/>
          <w:sz w:val="16"/>
          <w:szCs w:val="16"/>
          <w:lang w:eastAsia="en-US"/>
        </w:rPr>
        <w:t>Article XXVI</w:t>
      </w:r>
      <w:r w:rsidRPr="00966854">
        <w:rPr>
          <w:rFonts w:asciiTheme="majorHAnsi" w:eastAsia="Arial Unicode MS" w:hAnsiTheme="majorHAnsi" w:cs="Times New Roman"/>
          <w:color w:val="auto"/>
          <w:sz w:val="16"/>
          <w:szCs w:val="16"/>
          <w:lang w:eastAsia="en-US"/>
        </w:rPr>
        <w:t xml:space="preserve"> of the American Declaration establishes:</w:t>
      </w:r>
      <w:r w:rsidRPr="00D12883">
        <w:rPr>
          <w:rStyle w:val="FootnoteReference"/>
          <w:rFonts w:asciiTheme="majorHAnsi" w:hAnsiTheme="majorHAnsi"/>
          <w:sz w:val="16"/>
          <w:szCs w:val="16"/>
        </w:rPr>
        <w:t xml:space="preserve"> </w:t>
      </w:r>
      <w:r w:rsidRPr="00F61B4C">
        <w:rPr>
          <w:rFonts w:asciiTheme="majorHAnsi" w:hAnsiTheme="majorHAnsi"/>
          <w:sz w:val="16"/>
          <w:szCs w:val="16"/>
        </w:rPr>
        <w:t>Every accused person is presumed to be innocent until proved guilty.</w:t>
      </w:r>
    </w:p>
    <w:p w14:paraId="31C68211" w14:textId="77777777" w:rsidR="008419E0" w:rsidRPr="00F61B4C" w:rsidRDefault="008419E0" w:rsidP="00D12883">
      <w:pPr>
        <w:pStyle w:val="FootnoteText"/>
        <w:jc w:val="both"/>
      </w:pPr>
      <w:r w:rsidRPr="00F61B4C">
        <w:rPr>
          <w:rFonts w:asciiTheme="majorHAnsi" w:hAnsiTheme="majorHAnsi"/>
          <w:sz w:val="16"/>
          <w:szCs w:val="16"/>
        </w:rPr>
        <w:t>Every person accused of an offense has the right to be given an impartial and public hearing, and to be tried by courts previously established in accordance with pre-existing laws, and not to receive cruel, infamous or unusual punishment.</w:t>
      </w:r>
    </w:p>
  </w:footnote>
  <w:footnote w:id="67">
    <w:p w14:paraId="27789B39" w14:textId="77777777" w:rsidR="008419E0" w:rsidRDefault="008419E0">
      <w:pPr>
        <w:pStyle w:val="FootnoteText"/>
      </w:pPr>
      <w:r w:rsidRPr="001A1BFC">
        <w:rPr>
          <w:rStyle w:val="FootnoteReference"/>
          <w:rFonts w:asciiTheme="majorHAnsi" w:hAnsiTheme="majorHAnsi"/>
          <w:sz w:val="16"/>
          <w:szCs w:val="16"/>
        </w:rPr>
        <w:footnoteRef/>
      </w:r>
      <w:r>
        <w:rPr>
          <w:rStyle w:val="FootnoteReference"/>
          <w:rFonts w:asciiTheme="majorHAnsi" w:hAnsiTheme="majorHAnsi"/>
          <w:sz w:val="16"/>
          <w:szCs w:val="16"/>
        </w:rPr>
        <w:t xml:space="preserve"> </w:t>
      </w:r>
      <w:r w:rsidRPr="001A1BFC">
        <w:rPr>
          <w:rFonts w:asciiTheme="majorHAnsi" w:hAnsiTheme="majorHAnsi"/>
          <w:sz w:val="16"/>
          <w:szCs w:val="16"/>
        </w:rPr>
        <w:t>IACHR. Report No. 52/01. Case 12.243. Juan Raul Garza. United States. April 4, 2001, para. 110.</w:t>
      </w:r>
    </w:p>
  </w:footnote>
  <w:footnote w:id="68">
    <w:p w14:paraId="58E79367" w14:textId="77777777" w:rsidR="008419E0" w:rsidRDefault="008419E0">
      <w:pPr>
        <w:pStyle w:val="FootnoteText"/>
      </w:pPr>
      <w:r w:rsidRPr="00025656">
        <w:rPr>
          <w:rStyle w:val="FootnoteReference"/>
          <w:rFonts w:asciiTheme="majorHAnsi" w:hAnsiTheme="majorHAnsi"/>
          <w:sz w:val="16"/>
          <w:szCs w:val="16"/>
        </w:rPr>
        <w:footnoteRef/>
      </w:r>
      <w:r w:rsidRPr="00025656">
        <w:rPr>
          <w:rStyle w:val="FootnoteReference"/>
          <w:rFonts w:asciiTheme="majorHAnsi" w:hAnsiTheme="majorHAnsi"/>
          <w:sz w:val="16"/>
          <w:szCs w:val="16"/>
        </w:rPr>
        <w:t xml:space="preserve"> </w:t>
      </w:r>
      <w:r w:rsidRPr="001A1BFC">
        <w:rPr>
          <w:rFonts w:asciiTheme="majorHAnsi" w:hAnsiTheme="majorHAnsi"/>
          <w:sz w:val="16"/>
          <w:szCs w:val="16"/>
        </w:rPr>
        <w:t>IACHR. Report No. 52/01. Case 12.243. Juan Raul Garza. United States. April 4, 2001, para. 1</w:t>
      </w:r>
      <w:r>
        <w:rPr>
          <w:rFonts w:asciiTheme="majorHAnsi" w:hAnsiTheme="majorHAnsi"/>
          <w:sz w:val="16"/>
          <w:szCs w:val="16"/>
        </w:rPr>
        <w:t>03-112</w:t>
      </w:r>
      <w:r w:rsidRPr="001A1BFC">
        <w:rPr>
          <w:rFonts w:asciiTheme="majorHAnsi" w:hAnsiTheme="majorHAnsi"/>
          <w:sz w:val="16"/>
          <w:szCs w:val="16"/>
        </w:rPr>
        <w:t>.</w:t>
      </w:r>
    </w:p>
  </w:footnote>
  <w:footnote w:id="69">
    <w:p w14:paraId="470EAB03" w14:textId="77777777" w:rsidR="008419E0" w:rsidRDefault="008419E0" w:rsidP="00C2173A">
      <w:pPr>
        <w:pStyle w:val="FootnoteText"/>
        <w:jc w:val="both"/>
      </w:pPr>
      <w:r w:rsidRPr="00E46CD5">
        <w:rPr>
          <w:rStyle w:val="FootnoteReference"/>
          <w:rFonts w:asciiTheme="majorHAnsi" w:hAnsiTheme="majorHAnsi"/>
          <w:sz w:val="16"/>
          <w:szCs w:val="16"/>
        </w:rPr>
        <w:footnoteRef/>
      </w:r>
      <w:r w:rsidRPr="00E46CD5">
        <w:rPr>
          <w:rStyle w:val="FootnoteReference"/>
          <w:rFonts w:asciiTheme="majorHAnsi" w:hAnsiTheme="majorHAnsi"/>
          <w:sz w:val="16"/>
          <w:szCs w:val="16"/>
        </w:rPr>
        <w:t xml:space="preserve"> </w:t>
      </w:r>
      <w:r w:rsidRPr="001A1BFC">
        <w:rPr>
          <w:rFonts w:asciiTheme="majorHAnsi" w:hAnsiTheme="majorHAnsi"/>
          <w:sz w:val="16"/>
          <w:szCs w:val="16"/>
        </w:rPr>
        <w:t xml:space="preserve">IACHR. Report No. </w:t>
      </w:r>
      <w:r>
        <w:rPr>
          <w:rFonts w:asciiTheme="majorHAnsi" w:hAnsiTheme="majorHAnsi"/>
          <w:sz w:val="16"/>
          <w:szCs w:val="16"/>
        </w:rPr>
        <w:t>91/05</w:t>
      </w:r>
      <w:r w:rsidRPr="001A1BFC">
        <w:rPr>
          <w:rFonts w:asciiTheme="majorHAnsi" w:hAnsiTheme="majorHAnsi"/>
          <w:sz w:val="16"/>
          <w:szCs w:val="16"/>
        </w:rPr>
        <w:t>. Case 12.</w:t>
      </w:r>
      <w:r>
        <w:rPr>
          <w:rFonts w:asciiTheme="majorHAnsi" w:hAnsiTheme="majorHAnsi"/>
          <w:sz w:val="16"/>
          <w:szCs w:val="16"/>
        </w:rPr>
        <w:t>421</w:t>
      </w:r>
      <w:r w:rsidRPr="001A1BFC">
        <w:rPr>
          <w:rFonts w:asciiTheme="majorHAnsi" w:hAnsiTheme="majorHAnsi"/>
          <w:sz w:val="16"/>
          <w:szCs w:val="16"/>
        </w:rPr>
        <w:t xml:space="preserve">. </w:t>
      </w:r>
      <w:r>
        <w:rPr>
          <w:rFonts w:asciiTheme="majorHAnsi" w:hAnsiTheme="majorHAnsi"/>
          <w:sz w:val="16"/>
          <w:szCs w:val="16"/>
        </w:rPr>
        <w:t>Javier Suarez Medina</w:t>
      </w:r>
      <w:r w:rsidRPr="001A1BFC">
        <w:rPr>
          <w:rFonts w:asciiTheme="majorHAnsi" w:hAnsiTheme="majorHAnsi"/>
          <w:sz w:val="16"/>
          <w:szCs w:val="16"/>
        </w:rPr>
        <w:t xml:space="preserve">. United States. </w:t>
      </w:r>
      <w:r>
        <w:rPr>
          <w:rFonts w:asciiTheme="majorHAnsi" w:hAnsiTheme="majorHAnsi"/>
          <w:sz w:val="16"/>
          <w:szCs w:val="16"/>
        </w:rPr>
        <w:t>October 24, 2005;</w:t>
      </w:r>
      <w:r w:rsidRPr="00C2173A">
        <w:rPr>
          <w:rFonts w:asciiTheme="majorHAnsi" w:hAnsiTheme="majorHAnsi"/>
          <w:sz w:val="16"/>
          <w:szCs w:val="16"/>
        </w:rPr>
        <w:t xml:space="preserve"> IACHR</w:t>
      </w:r>
      <w:r>
        <w:rPr>
          <w:rFonts w:asciiTheme="majorHAnsi" w:hAnsiTheme="majorHAnsi"/>
          <w:sz w:val="16"/>
          <w:szCs w:val="16"/>
        </w:rPr>
        <w:t>.</w:t>
      </w:r>
      <w:r w:rsidRPr="00C2173A">
        <w:rPr>
          <w:rFonts w:asciiTheme="majorHAnsi" w:hAnsiTheme="majorHAnsi"/>
          <w:sz w:val="16"/>
          <w:szCs w:val="16"/>
        </w:rPr>
        <w:t xml:space="preserve"> Report No. 90/09</w:t>
      </w:r>
      <w:r>
        <w:rPr>
          <w:rFonts w:asciiTheme="majorHAnsi" w:hAnsiTheme="majorHAnsi"/>
          <w:sz w:val="16"/>
          <w:szCs w:val="16"/>
        </w:rPr>
        <w:t>.</w:t>
      </w:r>
      <w:r w:rsidRPr="00C2173A">
        <w:rPr>
          <w:rFonts w:asciiTheme="majorHAnsi" w:hAnsiTheme="majorHAnsi"/>
          <w:sz w:val="16"/>
          <w:szCs w:val="16"/>
        </w:rPr>
        <w:t xml:space="preserve"> Case 12.644</w:t>
      </w:r>
      <w:r>
        <w:rPr>
          <w:rFonts w:asciiTheme="majorHAnsi" w:hAnsiTheme="majorHAnsi"/>
          <w:sz w:val="16"/>
          <w:szCs w:val="16"/>
        </w:rPr>
        <w:t>.</w:t>
      </w:r>
      <w:r w:rsidRPr="00C2173A">
        <w:rPr>
          <w:rFonts w:asciiTheme="majorHAnsi" w:hAnsiTheme="majorHAnsi"/>
          <w:sz w:val="16"/>
          <w:szCs w:val="16"/>
        </w:rPr>
        <w:t xml:space="preserve"> Admissibility and Merits (Publication), Medellín, Ramírez Cardenas and Leal García, United States, August 7, 2009</w:t>
      </w:r>
      <w:r>
        <w:rPr>
          <w:rFonts w:asciiTheme="majorHAnsi" w:hAnsiTheme="majorHAnsi"/>
          <w:sz w:val="16"/>
          <w:szCs w:val="16"/>
        </w:rPr>
        <w:t>; and IACHR. Report No. 79/15. Case 12.994. Bernardo Aban Tercero. United States. October 28, 2015.</w:t>
      </w:r>
    </w:p>
  </w:footnote>
  <w:footnote w:id="70">
    <w:p w14:paraId="18C36EB4" w14:textId="77777777" w:rsidR="008419E0" w:rsidRPr="00590D73" w:rsidRDefault="008419E0" w:rsidP="002C312A">
      <w:pPr>
        <w:pStyle w:val="FootnoteText"/>
        <w:pBdr>
          <w:top w:val="none" w:sz="0" w:space="0" w:color="auto"/>
          <w:left w:val="none" w:sz="0" w:space="0" w:color="auto"/>
          <w:bottom w:val="none" w:sz="0" w:space="0" w:color="auto"/>
          <w:right w:val="none" w:sz="0" w:space="0" w:color="auto"/>
          <w:bar w:val="none" w:sz="0" w:color="auto"/>
        </w:pBdr>
        <w:jc w:val="both"/>
        <w:rPr>
          <w:color w:val="auto"/>
        </w:rPr>
      </w:pPr>
      <w:r w:rsidRPr="00590D73">
        <w:rPr>
          <w:rStyle w:val="FootnoteReference"/>
          <w:rFonts w:ascii="Cambria" w:hAnsi="Cambria"/>
          <w:color w:val="auto"/>
          <w:sz w:val="16"/>
          <w:szCs w:val="16"/>
        </w:rPr>
        <w:footnoteRef/>
      </w:r>
      <w:r w:rsidRPr="00590D73">
        <w:rPr>
          <w:rFonts w:ascii="Cambria" w:hAnsi="Cambria"/>
          <w:color w:val="auto"/>
          <w:sz w:val="16"/>
          <w:szCs w:val="16"/>
        </w:rPr>
        <w:t xml:space="preserve">Deadly Speculation: Misleading Texas Capital Juries with False Predictions of Future Dangerousness 34 (2004) http://texasdefender.org/wp- content/uploads/TDS_Deadly-Speculation.pdf; Thomas J. Reidy, Jon R. Sorenson &amp; Mark D. Cunningham, Probability of Criminal Acts of Violence: A Test of Jury Predictive Accuracy, 31 Behav. Sci. L. 286, 289 (2013). </w:t>
      </w:r>
    </w:p>
  </w:footnote>
  <w:footnote w:id="71">
    <w:p w14:paraId="1C7AB65A" w14:textId="77777777" w:rsidR="008419E0" w:rsidRPr="00F453A7" w:rsidRDefault="008419E0" w:rsidP="002C312A">
      <w:pPr>
        <w:pStyle w:val="FootnoteText"/>
        <w:rPr>
          <w:lang w:val="es-ES"/>
        </w:rPr>
      </w:pPr>
      <w:r w:rsidRPr="002C312A">
        <w:rPr>
          <w:rStyle w:val="FootnoteReference"/>
          <w:rFonts w:ascii="Cambria" w:hAnsi="Cambria"/>
          <w:color w:val="auto"/>
          <w:sz w:val="16"/>
          <w:szCs w:val="16"/>
        </w:rPr>
        <w:footnoteRef/>
      </w:r>
      <w:r w:rsidRPr="002C312A">
        <w:rPr>
          <w:rStyle w:val="FootnoteReference"/>
          <w:rFonts w:ascii="Cambria" w:hAnsi="Cambria"/>
          <w:color w:val="auto"/>
          <w:sz w:val="16"/>
          <w:szCs w:val="16"/>
        </w:rPr>
        <w:t xml:space="preserve"> </w:t>
      </w:r>
      <w:r w:rsidRPr="008A0792">
        <w:rPr>
          <w:rFonts w:asciiTheme="majorHAnsi" w:eastAsia="Arial Unicode MS" w:hAnsiTheme="majorHAnsi" w:cs="Times New Roman"/>
          <w:color w:val="auto"/>
          <w:sz w:val="16"/>
          <w:szCs w:val="16"/>
          <w:lang w:eastAsia="en-US"/>
        </w:rPr>
        <w:t xml:space="preserve">IACHR, Report No. 24/17, Case 12.254. Merits. Victor Saldaño. United States. </w:t>
      </w:r>
      <w:r w:rsidRPr="00F453A7">
        <w:rPr>
          <w:rFonts w:asciiTheme="majorHAnsi" w:eastAsia="Arial Unicode MS" w:hAnsiTheme="majorHAnsi" w:cs="Times New Roman"/>
          <w:color w:val="auto"/>
          <w:sz w:val="16"/>
          <w:szCs w:val="16"/>
          <w:lang w:val="es-ES" w:eastAsia="en-US"/>
        </w:rPr>
        <w:t>March 18, 2017, para. 184.</w:t>
      </w:r>
    </w:p>
  </w:footnote>
  <w:footnote w:id="72">
    <w:p w14:paraId="2AB24EB2" w14:textId="77777777" w:rsidR="008419E0" w:rsidRPr="007F3D68" w:rsidRDefault="008419E0" w:rsidP="00F12F12">
      <w:pPr>
        <w:pStyle w:val="FootnoteText"/>
        <w:jc w:val="both"/>
        <w:rPr>
          <w:rFonts w:asciiTheme="majorHAnsi" w:hAnsiTheme="majorHAnsi"/>
          <w:sz w:val="16"/>
          <w:szCs w:val="16"/>
          <w:lang w:val="es-ES"/>
        </w:rPr>
      </w:pPr>
      <w:r w:rsidRPr="007F3D68">
        <w:rPr>
          <w:rStyle w:val="FootnoteReference"/>
          <w:rFonts w:asciiTheme="majorHAnsi" w:hAnsiTheme="majorHAnsi"/>
          <w:sz w:val="16"/>
          <w:szCs w:val="16"/>
        </w:rPr>
        <w:footnoteRef/>
      </w:r>
      <w:r w:rsidRPr="00F453A7">
        <w:rPr>
          <w:rFonts w:asciiTheme="majorHAnsi" w:hAnsiTheme="majorHAnsi"/>
          <w:sz w:val="16"/>
          <w:szCs w:val="16"/>
          <w:lang w:val="es-ES"/>
        </w:rPr>
        <w:t xml:space="preserve"> Corte IDH. Caso Fermín Ramírez vs. Guatemala. </w:t>
      </w:r>
      <w:r w:rsidRPr="007F3D68">
        <w:rPr>
          <w:rFonts w:asciiTheme="majorHAnsi" w:hAnsiTheme="majorHAnsi"/>
          <w:sz w:val="16"/>
          <w:szCs w:val="16"/>
          <w:lang w:val="es-VE"/>
        </w:rPr>
        <w:t>Fondo, Reparaciones y Costas. Sentencia de 20 de junio de 2005. Serie C No. 126</w:t>
      </w:r>
      <w:r>
        <w:rPr>
          <w:rFonts w:asciiTheme="majorHAnsi" w:hAnsiTheme="majorHAnsi"/>
          <w:sz w:val="16"/>
          <w:szCs w:val="16"/>
          <w:lang w:val="es-VE"/>
        </w:rPr>
        <w:t>, para.</w:t>
      </w:r>
      <w:r w:rsidRPr="007F3D68">
        <w:rPr>
          <w:rFonts w:asciiTheme="majorHAnsi" w:hAnsiTheme="majorHAnsi"/>
          <w:sz w:val="16"/>
          <w:szCs w:val="16"/>
          <w:lang w:val="es-VE"/>
        </w:rPr>
        <w:t xml:space="preserve"> 94. </w:t>
      </w:r>
    </w:p>
  </w:footnote>
  <w:footnote w:id="73">
    <w:p w14:paraId="1581DEC1" w14:textId="77777777" w:rsidR="008419E0" w:rsidRPr="003824C7" w:rsidRDefault="008419E0" w:rsidP="00A53D71">
      <w:pPr>
        <w:pStyle w:val="FootnoteText"/>
        <w:jc w:val="both"/>
      </w:pPr>
      <w:r w:rsidRPr="00662AAD">
        <w:rPr>
          <w:rStyle w:val="FootnoteReference"/>
          <w:rFonts w:asciiTheme="majorHAnsi" w:hAnsiTheme="majorHAnsi"/>
          <w:sz w:val="16"/>
          <w:szCs w:val="16"/>
        </w:rPr>
        <w:footnoteRef/>
      </w:r>
      <w:r w:rsidRPr="00F453A7">
        <w:rPr>
          <w:rStyle w:val="FootnoteReference"/>
          <w:rFonts w:asciiTheme="majorHAnsi" w:hAnsiTheme="majorHAnsi"/>
          <w:sz w:val="16"/>
          <w:szCs w:val="16"/>
          <w:lang w:val="es-ES"/>
        </w:rPr>
        <w:t xml:space="preserve"> </w:t>
      </w:r>
      <w:r w:rsidRPr="00F453A7">
        <w:rPr>
          <w:rFonts w:asciiTheme="majorHAnsi" w:hAnsiTheme="majorHAnsi"/>
          <w:sz w:val="16"/>
          <w:szCs w:val="16"/>
          <w:lang w:val="es-ES"/>
        </w:rPr>
        <w:t xml:space="preserve">Corte IDH. Caso Fermín Ramírez vs. Guatemala. </w:t>
      </w:r>
      <w:r w:rsidRPr="007F3D68">
        <w:rPr>
          <w:rFonts w:asciiTheme="majorHAnsi" w:hAnsiTheme="majorHAnsi"/>
          <w:sz w:val="16"/>
          <w:szCs w:val="16"/>
          <w:lang w:val="es-VE"/>
        </w:rPr>
        <w:t xml:space="preserve">Fondo, Reparaciones y Costas. Sentencia de 20 de junio de 2005. </w:t>
      </w:r>
      <w:r w:rsidRPr="003824C7">
        <w:rPr>
          <w:rFonts w:asciiTheme="majorHAnsi" w:hAnsiTheme="majorHAnsi"/>
          <w:sz w:val="16"/>
          <w:szCs w:val="16"/>
        </w:rPr>
        <w:t>Serie C No. 126, para. 94.</w:t>
      </w:r>
    </w:p>
  </w:footnote>
  <w:footnote w:id="74">
    <w:p w14:paraId="324B4EA8" w14:textId="77777777" w:rsidR="008419E0" w:rsidRPr="00447CFC" w:rsidRDefault="008419E0" w:rsidP="007259C3">
      <w:pPr>
        <w:pStyle w:val="FootnoteText"/>
        <w:pBdr>
          <w:top w:val="none" w:sz="0" w:space="0" w:color="auto"/>
          <w:left w:val="none" w:sz="0" w:space="0" w:color="auto"/>
          <w:bottom w:val="none" w:sz="0" w:space="0" w:color="auto"/>
          <w:right w:val="none" w:sz="0" w:space="0" w:color="auto"/>
          <w:bar w:val="none" w:sz="0" w:color="auto"/>
        </w:pBdr>
        <w:jc w:val="both"/>
        <w:rPr>
          <w:color w:val="auto"/>
        </w:rPr>
      </w:pPr>
      <w:r w:rsidRPr="00590D73">
        <w:rPr>
          <w:rStyle w:val="FootnoteReference"/>
          <w:rFonts w:ascii="Cambria" w:hAnsi="Cambria"/>
          <w:color w:val="auto"/>
          <w:sz w:val="16"/>
          <w:szCs w:val="16"/>
        </w:rPr>
        <w:footnoteRef/>
      </w:r>
      <w:r w:rsidRPr="003824C7">
        <w:rPr>
          <w:rFonts w:ascii="Cambria" w:hAnsi="Cambria"/>
          <w:color w:val="auto"/>
          <w:sz w:val="16"/>
          <w:szCs w:val="16"/>
        </w:rPr>
        <w:t xml:space="preserve"> Decision of the Constitutional Court of Guatemala. </w:t>
      </w:r>
      <w:r w:rsidRPr="00447CFC">
        <w:rPr>
          <w:rFonts w:ascii="Cambria" w:hAnsi="Cambria"/>
          <w:color w:val="auto"/>
          <w:sz w:val="16"/>
          <w:szCs w:val="16"/>
        </w:rPr>
        <w:t xml:space="preserve">February 11, 2016. Available at: </w:t>
      </w:r>
      <w:hyperlink r:id="rId4">
        <w:r w:rsidRPr="00447CFC">
          <w:rPr>
            <w:rFonts w:ascii="Cambria" w:hAnsi="Cambria"/>
            <w:color w:val="auto"/>
            <w:sz w:val="16"/>
            <w:szCs w:val="16"/>
            <w:u w:val="single" w:color="0000E9"/>
          </w:rPr>
          <w:t>http://181.174.117.21/cc/wp-content/uploads/2016/11/1097-2015.pdf</w:t>
        </w:r>
      </w:hyperlink>
      <w:r w:rsidRPr="00447CFC">
        <w:rPr>
          <w:rFonts w:ascii="Cambria" w:hAnsi="Cambria"/>
          <w:color w:val="auto"/>
          <w:sz w:val="16"/>
          <w:szCs w:val="16"/>
          <w:u w:val="single" w:color="0000E9"/>
        </w:rPr>
        <w:t>.</w:t>
      </w:r>
    </w:p>
  </w:footnote>
  <w:footnote w:id="75">
    <w:p w14:paraId="0E1553E2" w14:textId="77777777" w:rsidR="008419E0" w:rsidRPr="008C5978" w:rsidRDefault="008419E0" w:rsidP="007259C3">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76">
    <w:p w14:paraId="633FB833" w14:textId="77777777" w:rsidR="008419E0" w:rsidRPr="008C5978" w:rsidRDefault="008419E0" w:rsidP="00D12883">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The death penalty in the Inter-American System of Human Rights: From restrictions to abolition, OEA/Ser.L/V/II.Doc. 68, December 31, 2011, p. 123.</w:t>
      </w:r>
    </w:p>
  </w:footnote>
  <w:footnote w:id="77">
    <w:p w14:paraId="1E8A7816" w14:textId="77777777" w:rsidR="008419E0" w:rsidRPr="008C5978" w:rsidRDefault="008419E0" w:rsidP="00D12883">
      <w:pPr>
        <w:pStyle w:val="FootnoteText"/>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Cambria" w:hAnsi="Cambria" w:cs="Arial"/>
          <w:sz w:val="16"/>
          <w:szCs w:val="16"/>
        </w:rPr>
        <w:t xml:space="preserve">IACHR, </w:t>
      </w:r>
      <w:r w:rsidRPr="008C5978">
        <w:rPr>
          <w:rFonts w:ascii="Cambria" w:hAnsi="Cambria" w:cs="Arial"/>
          <w:bCs/>
          <w:sz w:val="16"/>
          <w:szCs w:val="16"/>
        </w:rPr>
        <w:t>Report No. 79/15</w:t>
      </w:r>
      <w:r w:rsidRPr="008C5978">
        <w:rPr>
          <w:rFonts w:ascii="Cambria" w:hAnsi="Cambria" w:cs="Arial"/>
          <w:sz w:val="16"/>
          <w:szCs w:val="16"/>
        </w:rPr>
        <w:t>, Case 12.994. Merits (Publication). Bernardo Aban Tercero. United States. October 28, 2015, para. 111.</w:t>
      </w:r>
    </w:p>
  </w:footnote>
  <w:footnote w:id="78">
    <w:p w14:paraId="412DABA0" w14:textId="77777777" w:rsidR="008419E0" w:rsidRPr="008C5978" w:rsidRDefault="008419E0" w:rsidP="00D12883">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w:t>
      </w:r>
    </w:p>
  </w:footnote>
  <w:footnote w:id="79">
    <w:p w14:paraId="101DE57B" w14:textId="77777777" w:rsidR="008419E0" w:rsidRPr="008C5978" w:rsidRDefault="008419E0" w:rsidP="00D12883">
      <w:pPr>
        <w:pStyle w:val="FootnoteText"/>
        <w:pBdr>
          <w:top w:val="none" w:sz="0" w:space="0" w:color="auto"/>
          <w:left w:val="none" w:sz="0" w:space="0" w:color="auto"/>
          <w:bottom w:val="none" w:sz="0" w:space="0" w:color="auto"/>
          <w:right w:val="none" w:sz="0" w:space="0" w:color="auto"/>
          <w:bar w:val="none" w:sz="0" w:color="auto"/>
        </w:pBdr>
        <w:tabs>
          <w:tab w:val="left" w:pos="180"/>
          <w:tab w:val="left" w:pos="360"/>
        </w:tabs>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Fonts w:asciiTheme="majorHAnsi" w:hAnsiTheme="majorHAnsi"/>
          <w:color w:val="auto"/>
          <w:sz w:val="16"/>
          <w:szCs w:val="16"/>
        </w:rPr>
        <w:t xml:space="preserve"> IACHR, Report No. 90/09, Case 12.644, Admissibility and Merits (Publication), Medellín, Ramírez Cárdenas and Leal García, United States, August 7, 2009, para. 134. </w:t>
      </w:r>
    </w:p>
  </w:footnote>
  <w:footnote w:id="80">
    <w:p w14:paraId="65F956AE" w14:textId="77777777" w:rsidR="008419E0" w:rsidRPr="008C5978" w:rsidRDefault="008419E0" w:rsidP="00D12883">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Available at: </w:t>
      </w:r>
      <w:hyperlink r:id="rId5" w:history="1">
        <w:r w:rsidRPr="008C5978">
          <w:rPr>
            <w:rStyle w:val="Hyperlink"/>
            <w:rFonts w:asciiTheme="majorHAnsi" w:hAnsiTheme="majorHAnsi" w:cs="Arial"/>
            <w:color w:val="auto"/>
            <w:sz w:val="16"/>
            <w:szCs w:val="16"/>
          </w:rPr>
          <w:t>http://www.abanet.org/legalservices/downloads/ sclaid/deathpenaltyguidelines.pdf</w:t>
        </w:r>
      </w:hyperlink>
      <w:r w:rsidRPr="008C5978">
        <w:rPr>
          <w:rFonts w:asciiTheme="majorHAnsi" w:hAnsiTheme="majorHAnsi" w:cs="Arial"/>
          <w:color w:val="auto"/>
          <w:sz w:val="16"/>
          <w:szCs w:val="16"/>
        </w:rPr>
        <w:t xml:space="preserve">. </w:t>
      </w:r>
    </w:p>
  </w:footnote>
  <w:footnote w:id="81">
    <w:p w14:paraId="297F377D" w14:textId="77777777" w:rsidR="008419E0" w:rsidRPr="008C5978" w:rsidRDefault="008419E0" w:rsidP="00D12883">
      <w:pPr>
        <w:pStyle w:val="FootnoteText"/>
        <w:jc w:val="both"/>
        <w:rPr>
          <w:rFonts w:asciiTheme="majorHAnsi" w:hAnsiTheme="majorHAnsi" w:cs="Arial"/>
          <w:color w:val="auto"/>
          <w:sz w:val="16"/>
          <w:szCs w:val="16"/>
        </w:rPr>
      </w:pPr>
      <w:r w:rsidRPr="008C5978">
        <w:rPr>
          <w:rStyle w:val="FootnoteReference"/>
          <w:rFonts w:asciiTheme="majorHAnsi" w:hAnsiTheme="majorHAnsi" w:cs="Arial"/>
          <w:color w:val="auto"/>
          <w:sz w:val="16"/>
          <w:szCs w:val="16"/>
        </w:rPr>
        <w:footnoteRef/>
      </w:r>
      <w:r w:rsidRPr="008C5978">
        <w:rPr>
          <w:rFonts w:asciiTheme="majorHAnsi" w:hAnsiTheme="majorHAnsi" w:cs="Arial"/>
          <w:color w:val="auto"/>
          <w:sz w:val="16"/>
          <w:szCs w:val="16"/>
        </w:rPr>
        <w:t xml:space="preserve"> American Bar Association, </w:t>
      </w:r>
      <w:r w:rsidRPr="008C5978">
        <w:rPr>
          <w:rFonts w:asciiTheme="majorHAnsi" w:hAnsiTheme="majorHAnsi" w:cs="Arial"/>
          <w:i/>
          <w:iCs/>
          <w:color w:val="auto"/>
          <w:sz w:val="16"/>
          <w:szCs w:val="16"/>
        </w:rPr>
        <w:t>Guidelines for the Appointment and Performance of Defense Counsel in Death Penalty Cases</w:t>
      </w:r>
      <w:r w:rsidRPr="008C5978">
        <w:rPr>
          <w:rFonts w:asciiTheme="majorHAnsi" w:hAnsiTheme="majorHAnsi" w:cs="Arial"/>
          <w:color w:val="auto"/>
          <w:sz w:val="16"/>
          <w:szCs w:val="16"/>
        </w:rPr>
        <w:t xml:space="preserve"> (Revised editions) (February 2003), Guideline 10.7 – Investigation, at 82.</w:t>
      </w:r>
    </w:p>
  </w:footnote>
  <w:footnote w:id="82">
    <w:p w14:paraId="10808DEE" w14:textId="77777777" w:rsidR="008419E0" w:rsidRPr="00D70778" w:rsidRDefault="008419E0" w:rsidP="00D12883">
      <w:pPr>
        <w:pStyle w:val="FootnoteText"/>
        <w:jc w:val="both"/>
        <w:rPr>
          <w:rFonts w:asciiTheme="majorHAnsi" w:hAnsiTheme="majorHAnsi" w:cs="Arial"/>
          <w:color w:val="auto"/>
          <w:sz w:val="16"/>
          <w:szCs w:val="16"/>
        </w:rPr>
      </w:pPr>
      <w:r w:rsidRPr="00D70778">
        <w:rPr>
          <w:rStyle w:val="FootnoteReference"/>
          <w:rFonts w:asciiTheme="majorHAnsi" w:hAnsiTheme="majorHAnsi" w:cs="Arial"/>
          <w:color w:val="auto"/>
          <w:sz w:val="16"/>
          <w:szCs w:val="16"/>
        </w:rPr>
        <w:footnoteRef/>
      </w:r>
      <w:r w:rsidRPr="00D70778">
        <w:rPr>
          <w:rFonts w:asciiTheme="majorHAnsi" w:hAnsiTheme="majorHAnsi" w:cs="Arial"/>
          <w:color w:val="auto"/>
          <w:sz w:val="16"/>
          <w:szCs w:val="16"/>
        </w:rPr>
        <w:t xml:space="preserve"> American Bar Association, </w:t>
      </w:r>
      <w:r w:rsidRPr="00D70778">
        <w:rPr>
          <w:rFonts w:asciiTheme="majorHAnsi" w:hAnsiTheme="majorHAnsi" w:cs="Arial"/>
          <w:i/>
          <w:iCs/>
          <w:color w:val="auto"/>
          <w:sz w:val="16"/>
          <w:szCs w:val="16"/>
        </w:rPr>
        <w:t>Guidelines for the Appointment and Performance of Defense Counsel in Death Penalty Cases</w:t>
      </w:r>
      <w:r w:rsidRPr="00D70778">
        <w:rPr>
          <w:rFonts w:asciiTheme="majorHAnsi" w:hAnsiTheme="majorHAnsi" w:cs="Arial"/>
          <w:color w:val="auto"/>
          <w:sz w:val="16"/>
          <w:szCs w:val="16"/>
        </w:rPr>
        <w:t xml:space="preserve"> (Revised editions) (February 2003), Guideline 10.7 – Investigation, at 83.</w:t>
      </w:r>
    </w:p>
  </w:footnote>
  <w:footnote w:id="83">
    <w:p w14:paraId="2ED19CEF" w14:textId="77777777" w:rsidR="008419E0" w:rsidRPr="00ED56AB" w:rsidRDefault="008419E0" w:rsidP="00840141">
      <w:pPr>
        <w:pStyle w:val="FootnoteText"/>
        <w:jc w:val="both"/>
        <w:rPr>
          <w:rFonts w:asciiTheme="majorHAnsi" w:hAnsiTheme="majorHAnsi"/>
          <w:sz w:val="16"/>
          <w:szCs w:val="16"/>
        </w:rPr>
      </w:pPr>
      <w:r w:rsidRPr="00ED56AB">
        <w:rPr>
          <w:rStyle w:val="FootnoteReference"/>
          <w:rFonts w:asciiTheme="majorHAnsi" w:hAnsiTheme="majorHAnsi"/>
          <w:color w:val="auto"/>
          <w:sz w:val="16"/>
          <w:szCs w:val="16"/>
        </w:rPr>
        <w:footnoteRef/>
      </w:r>
      <w:r w:rsidRPr="00ED56AB">
        <w:rPr>
          <w:rStyle w:val="FootnoteReference"/>
          <w:rFonts w:asciiTheme="majorHAnsi" w:hAnsiTheme="majorHAnsi"/>
          <w:color w:val="auto"/>
          <w:sz w:val="16"/>
          <w:szCs w:val="16"/>
        </w:rPr>
        <w:t xml:space="preserve"> </w:t>
      </w:r>
      <w:r w:rsidRPr="00ED56AB">
        <w:rPr>
          <w:rFonts w:asciiTheme="majorHAnsi" w:hAnsiTheme="majorHAnsi"/>
          <w:color w:val="auto"/>
          <w:sz w:val="16"/>
          <w:szCs w:val="16"/>
        </w:rPr>
        <w:t>Article IV of the American Declaration provides: “Every person has the right to freedom of investigation, of opinion, and of the expression and dissemination of ideas, by any medium whatsoever.”</w:t>
      </w:r>
    </w:p>
  </w:footnote>
  <w:footnote w:id="84">
    <w:p w14:paraId="3A7E3C84" w14:textId="77777777" w:rsidR="008419E0" w:rsidRPr="00ED56AB" w:rsidRDefault="008419E0" w:rsidP="00840141">
      <w:pPr>
        <w:pStyle w:val="FootnoteText"/>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w:t>
      </w:r>
      <w:r w:rsidRPr="00ED56AB">
        <w:rPr>
          <w:rFonts w:asciiTheme="majorHAnsi" w:hAnsiTheme="majorHAnsi"/>
          <w:i/>
          <w:sz w:val="16"/>
          <w:szCs w:val="16"/>
        </w:rPr>
        <w:t>See generally</w:t>
      </w:r>
      <w:r w:rsidRPr="00ED56AB">
        <w:rPr>
          <w:rFonts w:asciiTheme="majorHAnsi" w:hAnsiTheme="majorHAnsi"/>
          <w:sz w:val="16"/>
          <w:szCs w:val="16"/>
        </w:rPr>
        <w:t xml:space="preserve"> IACHR, The Inter-American Legal Framework Regarding the Right to Access to Information. December 30, 2009.</w:t>
      </w:r>
    </w:p>
  </w:footnote>
  <w:footnote w:id="85">
    <w:p w14:paraId="17E45691" w14:textId="77777777" w:rsidR="008419E0" w:rsidRPr="00ED56AB" w:rsidRDefault="008419E0" w:rsidP="00840141">
      <w:pPr>
        <w:pStyle w:val="FootnoteText"/>
        <w:jc w:val="both"/>
        <w:rPr>
          <w:rFonts w:asciiTheme="majorHAnsi" w:hAnsiTheme="majorHAnsi"/>
          <w:sz w:val="16"/>
          <w:szCs w:val="16"/>
        </w:rPr>
      </w:pPr>
      <w:r w:rsidRPr="00ED56AB">
        <w:rPr>
          <w:rStyle w:val="FootnoteReference"/>
          <w:rFonts w:asciiTheme="majorHAnsi" w:hAnsiTheme="majorHAnsi"/>
          <w:sz w:val="16"/>
          <w:szCs w:val="16"/>
        </w:rPr>
        <w:footnoteRef/>
      </w:r>
      <w:r w:rsidRPr="00ED56AB">
        <w:rPr>
          <w:rFonts w:asciiTheme="majorHAnsi" w:hAnsiTheme="majorHAnsi"/>
          <w:sz w:val="16"/>
          <w:szCs w:val="16"/>
        </w:rPr>
        <w:t xml:space="preserve"> IACHR. Declaration of Principles on Freedom of Expression, </w:t>
      </w:r>
      <w:r>
        <w:rPr>
          <w:rFonts w:asciiTheme="majorHAnsi" w:hAnsiTheme="majorHAnsi"/>
          <w:sz w:val="16"/>
          <w:szCs w:val="16"/>
        </w:rPr>
        <w:t xml:space="preserve">Principle 3, </w:t>
      </w:r>
      <w:r w:rsidRPr="00ED56AB">
        <w:rPr>
          <w:rFonts w:asciiTheme="majorHAnsi" w:hAnsiTheme="majorHAnsi"/>
          <w:sz w:val="16"/>
          <w:szCs w:val="16"/>
        </w:rPr>
        <w:t>October 20, 2000.</w:t>
      </w:r>
    </w:p>
  </w:footnote>
  <w:footnote w:id="86">
    <w:p w14:paraId="2DD9BE83" w14:textId="77777777" w:rsidR="008419E0" w:rsidRPr="00ED56AB" w:rsidRDefault="008419E0" w:rsidP="00840141">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44/14, Case 12.873, Merits (Publication), Edgar Tamayo Arias, United States, July 17, 2014, para. 189.</w:t>
      </w:r>
    </w:p>
  </w:footnote>
  <w:footnote w:id="87">
    <w:p w14:paraId="156E6628" w14:textId="77777777" w:rsidR="008419E0" w:rsidRPr="000A7DBA" w:rsidRDefault="008419E0" w:rsidP="00840141">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44/14, Case 12.873, Merits (Publication), Edgar Tamayo Arias, United States, July 17, 2014, para. </w:t>
      </w:r>
      <w:r w:rsidRPr="000A7DBA">
        <w:rPr>
          <w:rFonts w:asciiTheme="majorHAnsi" w:hAnsiTheme="majorHAnsi"/>
          <w:color w:val="auto"/>
          <w:sz w:val="16"/>
          <w:szCs w:val="16"/>
        </w:rPr>
        <w:t>190.</w:t>
      </w:r>
    </w:p>
  </w:footnote>
  <w:footnote w:id="88">
    <w:p w14:paraId="4751D9B5" w14:textId="77777777" w:rsidR="008419E0" w:rsidRPr="00612350" w:rsidRDefault="008419E0"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Report No.</w:t>
      </w:r>
      <w:r>
        <w:rPr>
          <w:rFonts w:ascii="Cambria" w:hAnsi="Cambria"/>
          <w:sz w:val="16"/>
          <w:szCs w:val="16"/>
        </w:rPr>
        <w:t xml:space="preserve"> 44/14, Case 12.873. Merits (Publication). Edgar Tamayo Arias. United States. July 17, 2014</w:t>
      </w:r>
      <w:r w:rsidRPr="00612350">
        <w:rPr>
          <w:rFonts w:ascii="Cambria" w:hAnsi="Cambria"/>
          <w:sz w:val="16"/>
          <w:szCs w:val="16"/>
        </w:rPr>
        <w:t>, para. 1</w:t>
      </w:r>
      <w:r>
        <w:rPr>
          <w:rFonts w:ascii="Cambria" w:hAnsi="Cambria"/>
          <w:sz w:val="16"/>
          <w:szCs w:val="16"/>
        </w:rPr>
        <w:t>89</w:t>
      </w:r>
      <w:r w:rsidRPr="00612350">
        <w:rPr>
          <w:rFonts w:ascii="Cambria" w:hAnsi="Cambria"/>
          <w:sz w:val="16"/>
          <w:szCs w:val="16"/>
        </w:rPr>
        <w:t>.</w:t>
      </w:r>
    </w:p>
  </w:footnote>
  <w:footnote w:id="89">
    <w:p w14:paraId="2A19D20B" w14:textId="77777777" w:rsidR="008419E0" w:rsidRPr="00612350" w:rsidRDefault="008419E0"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IACHR, Report No.</w:t>
      </w:r>
      <w:r>
        <w:rPr>
          <w:rFonts w:ascii="Cambria" w:hAnsi="Cambria"/>
          <w:sz w:val="16"/>
          <w:szCs w:val="16"/>
        </w:rPr>
        <w:t xml:space="preserve"> 44/14, Case 12.873. Merits (Publication). Edgar Tamayo Arias. United States. July 17, 2014</w:t>
      </w:r>
      <w:r w:rsidRPr="00612350">
        <w:rPr>
          <w:rFonts w:ascii="Cambria" w:hAnsi="Cambria"/>
          <w:sz w:val="16"/>
          <w:szCs w:val="16"/>
        </w:rPr>
        <w:t>, para. 1</w:t>
      </w:r>
      <w:r>
        <w:rPr>
          <w:rFonts w:ascii="Cambria" w:hAnsi="Cambria"/>
          <w:sz w:val="16"/>
          <w:szCs w:val="16"/>
        </w:rPr>
        <w:t>90</w:t>
      </w:r>
      <w:r w:rsidRPr="00612350">
        <w:rPr>
          <w:rFonts w:ascii="Cambria" w:hAnsi="Cambria"/>
          <w:sz w:val="16"/>
          <w:szCs w:val="16"/>
        </w:rPr>
        <w:t>.</w:t>
      </w:r>
    </w:p>
  </w:footnote>
  <w:footnote w:id="90">
    <w:p w14:paraId="3B9BA8F1" w14:textId="77777777" w:rsidR="008419E0" w:rsidRPr="00612350" w:rsidRDefault="008419E0"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The death penalty and the absolute prohibition of Torture and Cruel, Inhuman, and Degrading Treatment or Punishment, Juan E. Mendez, Human Right Brief, Volume 20, Issue 1, Article 1, p. 3. </w:t>
      </w:r>
    </w:p>
  </w:footnote>
  <w:footnote w:id="91">
    <w:p w14:paraId="5DAD0130" w14:textId="77777777" w:rsidR="008419E0" w:rsidRPr="00612350" w:rsidRDefault="008419E0" w:rsidP="00F91540">
      <w:pPr>
        <w:pStyle w:val="FootnoteText"/>
        <w:jc w:val="both"/>
        <w:rPr>
          <w:rFonts w:ascii="Cambria" w:hAnsi="Cambria"/>
          <w:sz w:val="16"/>
          <w:szCs w:val="16"/>
        </w:rPr>
      </w:pPr>
      <w:r w:rsidRPr="00612350">
        <w:rPr>
          <w:rStyle w:val="FootnoteReference"/>
          <w:rFonts w:ascii="Cambria" w:hAnsi="Cambria"/>
          <w:sz w:val="16"/>
          <w:szCs w:val="16"/>
        </w:rPr>
        <w:footnoteRef/>
      </w:r>
      <w:r w:rsidRPr="00612350">
        <w:rPr>
          <w:rFonts w:ascii="Cambria" w:hAnsi="Cambria"/>
          <w:sz w:val="16"/>
          <w:szCs w:val="16"/>
        </w:rPr>
        <w:t xml:space="preserve"> Committee Against Torture, Considerations of Reports submitted by State Parties under Article 19 of the Convention, United States, CAT</w:t>
      </w:r>
      <w:r>
        <w:rPr>
          <w:rFonts w:ascii="Cambria" w:hAnsi="Cambria"/>
          <w:sz w:val="16"/>
          <w:szCs w:val="16"/>
        </w:rPr>
        <w:t>/C/USA/CO/2, July 25, 2006, para</w:t>
      </w:r>
      <w:r w:rsidRPr="00612350">
        <w:rPr>
          <w:rFonts w:ascii="Cambria" w:hAnsi="Cambria"/>
          <w:sz w:val="16"/>
          <w:szCs w:val="16"/>
        </w:rPr>
        <w:t>. 31.</w:t>
      </w:r>
    </w:p>
  </w:footnote>
  <w:footnote w:id="92">
    <w:p w14:paraId="51136DE5" w14:textId="77777777" w:rsidR="008419E0" w:rsidRPr="008C5978" w:rsidRDefault="008419E0" w:rsidP="00F91540">
      <w:pPr>
        <w:pStyle w:val="FootnoteText"/>
        <w:jc w:val="both"/>
        <w:rPr>
          <w:rFonts w:asciiTheme="majorHAnsi" w:hAnsiTheme="majorHAnsi"/>
          <w:color w:val="auto"/>
          <w:sz w:val="16"/>
          <w:szCs w:val="16"/>
        </w:rPr>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color w:val="auto"/>
          <w:sz w:val="16"/>
          <w:szCs w:val="16"/>
        </w:rPr>
        <w:t>IACHR, Report No. 71/18, Case 12.958. Merits. Russell Bucklew. United States, May 10, 2018, paras. 86-90. In this report the Commission has cited a number of developments in the inter-American and other protections systems, including the regional and United Nations systems.</w:t>
      </w:r>
    </w:p>
  </w:footnote>
  <w:footnote w:id="93">
    <w:p w14:paraId="716BD3C3" w14:textId="77777777" w:rsidR="008419E0" w:rsidRPr="00376462" w:rsidRDefault="008419E0" w:rsidP="003A5E9B">
      <w:pPr>
        <w:pStyle w:val="FootnoteText"/>
        <w:tabs>
          <w:tab w:val="left" w:pos="0"/>
        </w:tabs>
      </w:pPr>
      <w:r w:rsidRPr="008C5978">
        <w:rPr>
          <w:rStyle w:val="FootnoteReference"/>
          <w:rFonts w:asciiTheme="majorHAnsi" w:hAnsiTheme="majorHAnsi"/>
          <w:color w:val="auto"/>
          <w:sz w:val="16"/>
          <w:szCs w:val="16"/>
        </w:rPr>
        <w:footnoteRef/>
      </w:r>
      <w:r w:rsidRPr="008C5978">
        <w:rPr>
          <w:rStyle w:val="FootnoteReference"/>
          <w:rFonts w:asciiTheme="majorHAnsi" w:hAnsiTheme="majorHAnsi"/>
          <w:color w:val="auto"/>
          <w:sz w:val="16"/>
          <w:szCs w:val="16"/>
        </w:rPr>
        <w:t xml:space="preserve"> </w:t>
      </w:r>
      <w:r w:rsidRPr="008C5978">
        <w:rPr>
          <w:rFonts w:asciiTheme="majorHAnsi" w:hAnsiTheme="majorHAnsi"/>
          <w:color w:val="auto"/>
          <w:sz w:val="16"/>
          <w:szCs w:val="16"/>
        </w:rPr>
        <w:t>IACHR, Report No. 71/18, Case 12.</w:t>
      </w:r>
      <w:r w:rsidRPr="00376462">
        <w:rPr>
          <w:rFonts w:asciiTheme="majorHAnsi" w:hAnsiTheme="majorHAnsi"/>
          <w:color w:val="auto"/>
          <w:sz w:val="16"/>
          <w:szCs w:val="16"/>
        </w:rPr>
        <w:t>958. Merits. Russell Bucklew. United States, May 10, 2018, para. 83.</w:t>
      </w:r>
    </w:p>
  </w:footnote>
  <w:footnote w:id="94">
    <w:p w14:paraId="50A7DD6B" w14:textId="77777777" w:rsidR="008419E0" w:rsidRPr="00376462" w:rsidRDefault="008419E0" w:rsidP="003A5E9B">
      <w:pPr>
        <w:pStyle w:val="FootnoteText"/>
        <w:pBdr>
          <w:top w:val="none" w:sz="0" w:space="0" w:color="auto"/>
          <w:left w:val="none" w:sz="0" w:space="0" w:color="auto"/>
          <w:bottom w:val="none" w:sz="0" w:space="0" w:color="auto"/>
          <w:right w:val="none" w:sz="0" w:space="0" w:color="auto"/>
          <w:bar w:val="none" w:sz="0" w:color="auto"/>
        </w:pBdr>
        <w:tabs>
          <w:tab w:val="left" w:pos="0"/>
          <w:tab w:val="right" w:pos="540"/>
          <w:tab w:val="left" w:pos="900"/>
        </w:tabs>
        <w:jc w:val="both"/>
        <w:rPr>
          <w:color w:val="auto"/>
        </w:rPr>
      </w:pPr>
      <w:r w:rsidRPr="00376462">
        <w:rPr>
          <w:rStyle w:val="FootnoteReference"/>
          <w:rFonts w:asciiTheme="majorHAnsi" w:hAnsiTheme="majorHAnsi"/>
          <w:color w:val="auto"/>
          <w:sz w:val="16"/>
          <w:szCs w:val="16"/>
        </w:rPr>
        <w:footnoteRef/>
      </w:r>
      <w:r w:rsidRPr="00376462">
        <w:rPr>
          <w:rStyle w:val="FootnoteReference"/>
          <w:rFonts w:asciiTheme="majorHAnsi" w:hAnsiTheme="majorHAnsi"/>
          <w:color w:val="auto"/>
          <w:sz w:val="16"/>
          <w:szCs w:val="16"/>
        </w:rPr>
        <w:t xml:space="preserve"> </w:t>
      </w:r>
      <w:r w:rsidRPr="00376462">
        <w:rPr>
          <w:rFonts w:asciiTheme="majorHAnsi" w:hAnsiTheme="majorHAnsi"/>
          <w:color w:val="auto"/>
          <w:sz w:val="16"/>
          <w:szCs w:val="16"/>
        </w:rPr>
        <w:t>IACHR, Report No. 24/17, Case 12.254. Merits. Victor Saldaño. United States. March 18, 2017, para. 246, citing IACHR, Report No. 58/02. Merits. Case 12.275. Denton Aitken. Jamaica. October 21, 2002, paras. 133 and 134.</w:t>
      </w:r>
    </w:p>
  </w:footnote>
  <w:footnote w:id="95">
    <w:p w14:paraId="52E63C32" w14:textId="77777777" w:rsidR="008419E0" w:rsidRPr="00590D73" w:rsidRDefault="008419E0" w:rsidP="003A5E9B">
      <w:pPr>
        <w:pStyle w:val="FootnoteText"/>
        <w:pBdr>
          <w:top w:val="none" w:sz="0" w:space="0" w:color="auto"/>
          <w:left w:val="none" w:sz="0" w:space="0" w:color="auto"/>
          <w:bottom w:val="none" w:sz="0" w:space="0" w:color="auto"/>
          <w:right w:val="none" w:sz="0" w:space="0" w:color="auto"/>
          <w:bar w:val="none" w:sz="0" w:color="auto"/>
        </w:pBdr>
        <w:tabs>
          <w:tab w:val="left" w:pos="0"/>
        </w:tabs>
        <w:jc w:val="both"/>
        <w:rPr>
          <w:color w:val="auto"/>
        </w:rPr>
      </w:pPr>
      <w:r w:rsidRPr="00376462">
        <w:rPr>
          <w:rStyle w:val="FootnoteReference"/>
          <w:rFonts w:ascii="Cambria" w:hAnsi="Cambria"/>
          <w:color w:val="auto"/>
          <w:sz w:val="16"/>
          <w:szCs w:val="16"/>
        </w:rPr>
        <w:footnoteRef/>
      </w:r>
      <w:r w:rsidRPr="00376462">
        <w:rPr>
          <w:rFonts w:ascii="Cambria" w:hAnsi="Cambria"/>
          <w:color w:val="auto"/>
          <w:sz w:val="16"/>
          <w:szCs w:val="16"/>
        </w:rPr>
        <w:t xml:space="preserve"> United Nations. Interim report of the Special Rapporteur on torture and other cruel, inhuman or degrading treatment of punishment.  9 August 2012. A/67/279. para 48.</w:t>
      </w:r>
    </w:p>
  </w:footnote>
  <w:footnote w:id="96">
    <w:p w14:paraId="65A01A56" w14:textId="77777777" w:rsidR="008419E0" w:rsidRDefault="008419E0">
      <w:pPr>
        <w:pStyle w:val="FootnoteText"/>
      </w:pPr>
      <w:r w:rsidRPr="00C535F1">
        <w:rPr>
          <w:rStyle w:val="FootnoteReference"/>
          <w:rFonts w:ascii="Cambria" w:hAnsi="Cambria"/>
          <w:color w:val="auto"/>
          <w:sz w:val="16"/>
          <w:szCs w:val="16"/>
        </w:rPr>
        <w:footnoteRef/>
      </w:r>
      <w:r w:rsidRPr="00C535F1">
        <w:rPr>
          <w:rStyle w:val="FootnoteReference"/>
          <w:rFonts w:ascii="Cambria" w:hAnsi="Cambria"/>
          <w:color w:val="auto"/>
          <w:sz w:val="16"/>
          <w:szCs w:val="16"/>
        </w:rPr>
        <w:t xml:space="preserve"> </w:t>
      </w:r>
      <w:r>
        <w:rPr>
          <w:rFonts w:asciiTheme="majorHAnsi" w:hAnsiTheme="majorHAnsi"/>
          <w:color w:val="auto"/>
          <w:sz w:val="16"/>
          <w:szCs w:val="16"/>
        </w:rPr>
        <w:t>Article I of the American Declaration establishes: Every human being has the right to life, liberty and the security of his person.</w:t>
      </w:r>
    </w:p>
  </w:footnote>
  <w:footnote w:id="97">
    <w:p w14:paraId="4A1F3CB8" w14:textId="77777777" w:rsidR="008419E0" w:rsidRPr="00ED56AB" w:rsidRDefault="008419E0" w:rsidP="00BE3560">
      <w:pPr>
        <w:pStyle w:val="FootnoteText"/>
        <w:jc w:val="both"/>
        <w:rPr>
          <w:rFonts w:asciiTheme="majorHAnsi" w:hAnsiTheme="majorHAnsi"/>
          <w:color w:val="auto"/>
          <w:sz w:val="16"/>
          <w:szCs w:val="16"/>
        </w:rPr>
      </w:pPr>
      <w:r w:rsidRPr="00ED56AB">
        <w:rPr>
          <w:rStyle w:val="FootnoteReference"/>
          <w:rFonts w:asciiTheme="majorHAnsi" w:hAnsiTheme="majorHAnsi"/>
          <w:color w:val="auto"/>
          <w:sz w:val="16"/>
          <w:szCs w:val="16"/>
        </w:rPr>
        <w:footnoteRef/>
      </w:r>
      <w:r w:rsidRPr="00ED56AB">
        <w:rPr>
          <w:rFonts w:asciiTheme="majorHAnsi" w:hAnsiTheme="majorHAnsi"/>
          <w:color w:val="auto"/>
          <w:sz w:val="16"/>
          <w:szCs w:val="16"/>
        </w:rPr>
        <w:t xml:space="preserve"> IACHR, Report No. 53/13, Case 12.864, Merits (Publication), Ivan Teleguz, United States, July 15, 2013, para. 129.</w:t>
      </w:r>
    </w:p>
  </w:footnote>
  <w:footnote w:id="98">
    <w:p w14:paraId="2B6932C4" w14:textId="77777777" w:rsidR="008419E0" w:rsidRPr="00700471" w:rsidRDefault="008419E0" w:rsidP="00BE3560">
      <w:pPr>
        <w:pStyle w:val="FootnoteText"/>
        <w:jc w:val="both"/>
        <w:rPr>
          <w:rFonts w:asciiTheme="majorHAnsi" w:hAnsiTheme="majorHAnsi"/>
          <w:color w:val="auto"/>
          <w:sz w:val="16"/>
          <w:szCs w:val="16"/>
        </w:rPr>
      </w:pPr>
      <w:r w:rsidRPr="00700471">
        <w:rPr>
          <w:rStyle w:val="FootnoteReference"/>
          <w:rFonts w:asciiTheme="majorHAnsi" w:hAnsiTheme="majorHAnsi"/>
          <w:color w:val="auto"/>
          <w:sz w:val="16"/>
          <w:szCs w:val="16"/>
        </w:rPr>
        <w:footnoteRef/>
      </w:r>
      <w:r w:rsidRPr="00700471">
        <w:rPr>
          <w:rFonts w:asciiTheme="majorHAnsi" w:hAnsiTheme="majorHAnsi"/>
          <w:color w:val="auto"/>
          <w:sz w:val="16"/>
          <w:szCs w:val="16"/>
        </w:rPr>
        <w:t xml:space="preserve"> IACHR, Report No. 11/15, Case 12.833, Merits (Publication), Félix Rocha Díaz, United States, March 23, 2015, para. 106.</w:t>
      </w:r>
    </w:p>
  </w:footnote>
  <w:footnote w:id="99">
    <w:p w14:paraId="7DCD4D76" w14:textId="77777777" w:rsidR="008419E0" w:rsidRDefault="008419E0" w:rsidP="00681DF5">
      <w:pPr>
        <w:pStyle w:val="FootnoteText"/>
        <w:jc w:val="both"/>
      </w:pPr>
      <w:r w:rsidRPr="00C320A3">
        <w:rPr>
          <w:rStyle w:val="FootnoteReference"/>
          <w:rFonts w:asciiTheme="majorHAnsi" w:hAnsiTheme="majorHAnsi"/>
          <w:color w:val="auto"/>
          <w:sz w:val="16"/>
          <w:szCs w:val="16"/>
        </w:rPr>
        <w:footnoteRef/>
      </w:r>
      <w:r w:rsidRPr="00C320A3">
        <w:rPr>
          <w:rStyle w:val="FootnoteReference"/>
          <w:rFonts w:asciiTheme="majorHAnsi" w:hAnsiTheme="majorHAnsi"/>
          <w:color w:val="auto"/>
          <w:sz w:val="16"/>
          <w:szCs w:val="16"/>
        </w:rPr>
        <w:t xml:space="preserve"> </w:t>
      </w:r>
      <w:r>
        <w:rPr>
          <w:rFonts w:asciiTheme="majorHAnsi" w:hAnsiTheme="majorHAnsi"/>
          <w:color w:val="auto"/>
          <w:sz w:val="16"/>
          <w:szCs w:val="16"/>
        </w:rPr>
        <w:t>See in this regard, IACHR, The death penalty in the Inter-American Human Rights System: From restrictions to abolition, OEA/Ser.L/V/II.Doc 68, December 31, 2011.</w:t>
      </w:r>
    </w:p>
  </w:footnote>
  <w:footnote w:id="100">
    <w:p w14:paraId="482193EA" w14:textId="77777777" w:rsidR="008419E0" w:rsidRDefault="008419E0" w:rsidP="00681DF5">
      <w:pPr>
        <w:pStyle w:val="FootnoteText"/>
        <w:jc w:val="both"/>
        <w:rPr>
          <w:rFonts w:asciiTheme="majorHAnsi" w:hAnsiTheme="majorHAnsi"/>
          <w:color w:val="auto"/>
          <w:sz w:val="16"/>
          <w:szCs w:val="16"/>
          <w:bdr w:val="none" w:sz="0" w:space="0" w:color="auto"/>
        </w:rPr>
      </w:pPr>
      <w:r>
        <w:rPr>
          <w:rStyle w:val="FootnoteReference"/>
          <w:rFonts w:asciiTheme="majorHAnsi" w:hAnsiTheme="majorHAnsi"/>
          <w:color w:val="auto"/>
          <w:sz w:val="16"/>
          <w:szCs w:val="16"/>
        </w:rPr>
        <w:footnoteRef/>
      </w:r>
      <w:r>
        <w:rPr>
          <w:rFonts w:asciiTheme="majorHAnsi" w:hAnsiTheme="majorHAnsi"/>
          <w:color w:val="auto"/>
          <w:sz w:val="16"/>
          <w:szCs w:val="16"/>
        </w:rPr>
        <w:t xml:space="preserve"> See in this regard, IACHR, The death penalty in the Inter-American Human Rights System: From restrictions to abolition, OEA/Ser.L/V/II.Doc 68, December 31,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AE28" w14:textId="77777777" w:rsidR="008419E0" w:rsidRDefault="008419E0" w:rsidP="00C1470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D312A65" w14:textId="77777777" w:rsidR="008419E0" w:rsidRDefault="008419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AB93" w14:textId="77777777" w:rsidR="008419E0" w:rsidRDefault="008419E0" w:rsidP="002C1641">
    <w:pPr>
      <w:pStyle w:val="Header"/>
      <w:tabs>
        <w:tab w:val="clear" w:pos="4320"/>
        <w:tab w:val="clear" w:pos="8640"/>
      </w:tabs>
      <w:jc w:val="center"/>
      <w:rPr>
        <w:sz w:val="22"/>
        <w:szCs w:val="22"/>
      </w:rPr>
    </w:pPr>
    <w:r>
      <w:rPr>
        <w:noProof/>
        <w:sz w:val="22"/>
        <w:szCs w:val="22"/>
      </w:rPr>
      <w:drawing>
        <wp:inline distT="0" distB="0" distL="0" distR="0" wp14:anchorId="322784CC" wp14:editId="311E4892">
          <wp:extent cx="2209800" cy="117396"/>
          <wp:effectExtent l="0" t="0" r="0" b="0"/>
          <wp:docPr id="10" name="Picture 10"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2926E74B" w14:textId="77777777" w:rsidR="008419E0" w:rsidRPr="00EC7D62" w:rsidRDefault="0010693F" w:rsidP="002C1641">
    <w:pPr>
      <w:pStyle w:val="Header"/>
      <w:tabs>
        <w:tab w:val="clear" w:pos="4320"/>
        <w:tab w:val="clear" w:pos="8640"/>
      </w:tabs>
      <w:jc w:val="center"/>
      <w:rPr>
        <w:sz w:val="22"/>
        <w:szCs w:val="22"/>
      </w:rPr>
    </w:pPr>
    <w:r>
      <w:rPr>
        <w:noProof/>
        <w:sz w:val="22"/>
        <w:szCs w:val="22"/>
        <w:bdr w:val="nil"/>
      </w:rPr>
      <w:pict w14:anchorId="71D2E74C">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5"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9C37724"/>
    <w:multiLevelType w:val="hybridMultilevel"/>
    <w:tmpl w:val="CCF46BB8"/>
    <w:lvl w:ilvl="0" w:tplc="18FAB24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5"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6"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9" w15:restartNumberingAfterBreak="0">
    <w:nsid w:val="51EB7415"/>
    <w:multiLevelType w:val="hybridMultilevel"/>
    <w:tmpl w:val="CD1AEBEA"/>
    <w:lvl w:ilvl="0" w:tplc="2BA82C8E">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24A2B98"/>
    <w:multiLevelType w:val="hybridMultilevel"/>
    <w:tmpl w:val="F7647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A681F10"/>
    <w:multiLevelType w:val="hybridMultilevel"/>
    <w:tmpl w:val="3A34527E"/>
    <w:lvl w:ilvl="0" w:tplc="040A000F">
      <w:start w:val="1"/>
      <w:numFmt w:val="decimal"/>
      <w:lvlText w:val="%1."/>
      <w:lvlJc w:val="left"/>
      <w:pPr>
        <w:ind w:left="1080" w:hanging="360"/>
      </w:pPr>
      <w:rPr>
        <w:sz w:val="20"/>
        <w:szCs w:val="20"/>
      </w:rPr>
    </w:lvl>
    <w:lvl w:ilvl="1" w:tplc="5AC23584">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5D7D4B9D"/>
    <w:multiLevelType w:val="hybridMultilevel"/>
    <w:tmpl w:val="6166DB58"/>
    <w:lvl w:ilvl="0" w:tplc="5830BC58">
      <w:start w:val="1"/>
      <w:numFmt w:val="decimal"/>
      <w:lvlText w:val="%1."/>
      <w:lvlJc w:val="left"/>
      <w:pPr>
        <w:ind w:left="3420" w:hanging="360"/>
      </w:pPr>
      <w:rPr>
        <w:rFonts w:ascii="Cambria" w:hAnsi="Cambria" w:hint="default"/>
        <w:b w:val="0"/>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3767A48"/>
    <w:multiLevelType w:val="hybridMultilevel"/>
    <w:tmpl w:val="D8F0FF18"/>
    <w:lvl w:ilvl="0" w:tplc="A5D2DF80">
      <w:numFmt w:val="bullet"/>
      <w:lvlText w:val="-"/>
      <w:lvlJc w:val="left"/>
      <w:pPr>
        <w:ind w:left="720" w:hanging="360"/>
      </w:pPr>
      <w:rPr>
        <w:rFonts w:ascii="Cambria" w:eastAsia="Arial Unicode MS"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67CC5AD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0786ED7"/>
    <w:multiLevelType w:val="hybridMultilevel"/>
    <w:tmpl w:val="073A8A9E"/>
    <w:lvl w:ilvl="0" w:tplc="69020C3E">
      <w:start w:val="1"/>
      <w:numFmt w:val="upperRoman"/>
      <w:pStyle w:val="Heading1"/>
      <w:lvlText w:val="%1."/>
      <w:lvlJc w:val="left"/>
      <w:pPr>
        <w:ind w:left="450" w:hanging="360"/>
      </w:pPr>
      <w:rPr>
        <w:rFonts w:hint="default"/>
      </w:rPr>
    </w:lvl>
    <w:lvl w:ilvl="1" w:tplc="677C583C">
      <w:start w:val="1"/>
      <w:numFmt w:val="decimal"/>
      <w:lvlText w:val="%2."/>
      <w:lvlJc w:val="left"/>
      <w:pPr>
        <w:ind w:left="1530" w:hanging="360"/>
      </w:pPr>
      <w:rPr>
        <w:rFonts w:hint="default"/>
      </w:rPr>
    </w:lvl>
    <w:lvl w:ilvl="2" w:tplc="0409001B">
      <w:start w:val="1"/>
      <w:numFmt w:val="lowerRoman"/>
      <w:lvlText w:val="%3."/>
      <w:lvlJc w:val="right"/>
      <w:pPr>
        <w:ind w:left="2160" w:hanging="180"/>
      </w:pPr>
    </w:lvl>
    <w:lvl w:ilvl="3" w:tplc="7BB669AE">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471F5F"/>
    <w:multiLevelType w:val="hybridMultilevel"/>
    <w:tmpl w:val="81E83EEA"/>
    <w:lvl w:ilvl="0" w:tplc="1FFEA4D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745554A"/>
    <w:multiLevelType w:val="hybridMultilevel"/>
    <w:tmpl w:val="FA40F4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7"/>
  </w:num>
  <w:num w:numId="4">
    <w:abstractNumId w:val="19"/>
  </w:num>
  <w:num w:numId="5">
    <w:abstractNumId w:val="48"/>
  </w:num>
  <w:num w:numId="6">
    <w:abstractNumId w:val="24"/>
  </w:num>
  <w:num w:numId="7">
    <w:abstractNumId w:val="5"/>
  </w:num>
  <w:num w:numId="8">
    <w:abstractNumId w:val="15"/>
  </w:num>
  <w:num w:numId="9">
    <w:abstractNumId w:val="41"/>
  </w:num>
  <w:num w:numId="10">
    <w:abstractNumId w:val="0"/>
  </w:num>
  <w:num w:numId="11">
    <w:abstractNumId w:val="34"/>
  </w:num>
  <w:num w:numId="12">
    <w:abstractNumId w:val="35"/>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3"/>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6"/>
  </w:num>
  <w:num w:numId="40">
    <w:abstractNumId w:val="37"/>
  </w:num>
  <w:num w:numId="41">
    <w:abstractNumId w:val="46"/>
  </w:num>
  <w:num w:numId="42">
    <w:abstractNumId w:val="50"/>
  </w:num>
  <w:num w:numId="43">
    <w:abstractNumId w:val="51"/>
  </w:num>
  <w:num w:numId="44">
    <w:abstractNumId w:val="54"/>
  </w:num>
  <w:num w:numId="45">
    <w:abstractNumId w:val="56"/>
  </w:num>
  <w:num w:numId="46">
    <w:abstractNumId w:val="58"/>
  </w:num>
  <w:num w:numId="47">
    <w:abstractNumId w:val="59"/>
  </w:num>
  <w:num w:numId="48">
    <w:abstractNumId w:val="60"/>
  </w:num>
  <w:num w:numId="49">
    <w:abstractNumId w:val="61"/>
  </w:num>
  <w:num w:numId="50">
    <w:abstractNumId w:val="62"/>
  </w:num>
  <w:num w:numId="51">
    <w:abstractNumId w:val="18"/>
  </w:num>
  <w:num w:numId="52">
    <w:abstractNumId w:val="38"/>
  </w:num>
  <w:num w:numId="53">
    <w:abstractNumId w:val="52"/>
  </w:num>
  <w:num w:numId="54">
    <w:abstractNumId w:val="44"/>
  </w:num>
  <w:num w:numId="55">
    <w:abstractNumId w:val="45"/>
  </w:num>
  <w:num w:numId="56">
    <w:abstractNumId w:val="49"/>
  </w:num>
  <w:num w:numId="57">
    <w:abstractNumId w:val="40"/>
  </w:num>
  <w:num w:numId="58">
    <w:abstractNumId w:val="55"/>
  </w:num>
  <w:num w:numId="59">
    <w:abstractNumId w:val="53"/>
    <w:lvlOverride w:ilvl="0">
      <w:startOverride w:val="1"/>
    </w:lvlOverride>
  </w:num>
  <w:num w:numId="60">
    <w:abstractNumId w:val="53"/>
  </w:num>
  <w:num w:numId="61">
    <w:abstractNumId w:val="39"/>
  </w:num>
  <w:num w:numId="62">
    <w:abstractNumId w:val="42"/>
  </w:num>
  <w:num w:numId="63">
    <w:abstractNumId w:val="47"/>
  </w:num>
  <w:num w:numId="64">
    <w:abstractNumId w:val="33"/>
  </w:num>
  <w:num w:numId="65">
    <w:abstractNumId w:val="5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8194"/>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1132"/>
    <w:rsid w:val="00001B5B"/>
    <w:rsid w:val="00002328"/>
    <w:rsid w:val="00004013"/>
    <w:rsid w:val="000050CC"/>
    <w:rsid w:val="00006DD7"/>
    <w:rsid w:val="00006E50"/>
    <w:rsid w:val="00006EDD"/>
    <w:rsid w:val="000070D7"/>
    <w:rsid w:val="00007690"/>
    <w:rsid w:val="00007B4D"/>
    <w:rsid w:val="00010600"/>
    <w:rsid w:val="00010877"/>
    <w:rsid w:val="00010A7E"/>
    <w:rsid w:val="000111A8"/>
    <w:rsid w:val="00011E4C"/>
    <w:rsid w:val="00011EB8"/>
    <w:rsid w:val="00012267"/>
    <w:rsid w:val="00012470"/>
    <w:rsid w:val="00012683"/>
    <w:rsid w:val="00012ADD"/>
    <w:rsid w:val="00012E4F"/>
    <w:rsid w:val="00013BDD"/>
    <w:rsid w:val="00013F78"/>
    <w:rsid w:val="000149B3"/>
    <w:rsid w:val="00014FBC"/>
    <w:rsid w:val="00015F42"/>
    <w:rsid w:val="00017552"/>
    <w:rsid w:val="0001788C"/>
    <w:rsid w:val="00021201"/>
    <w:rsid w:val="00021557"/>
    <w:rsid w:val="00021789"/>
    <w:rsid w:val="00022424"/>
    <w:rsid w:val="00022F55"/>
    <w:rsid w:val="0002357A"/>
    <w:rsid w:val="00023B97"/>
    <w:rsid w:val="00024428"/>
    <w:rsid w:val="00024730"/>
    <w:rsid w:val="00024BB7"/>
    <w:rsid w:val="00025656"/>
    <w:rsid w:val="000265CB"/>
    <w:rsid w:val="0002681D"/>
    <w:rsid w:val="00030190"/>
    <w:rsid w:val="0003022F"/>
    <w:rsid w:val="00030834"/>
    <w:rsid w:val="0003108C"/>
    <w:rsid w:val="00031189"/>
    <w:rsid w:val="00031819"/>
    <w:rsid w:val="00031A82"/>
    <w:rsid w:val="0003262C"/>
    <w:rsid w:val="00032BDA"/>
    <w:rsid w:val="0003324D"/>
    <w:rsid w:val="000332F4"/>
    <w:rsid w:val="00035616"/>
    <w:rsid w:val="00036A8A"/>
    <w:rsid w:val="00037633"/>
    <w:rsid w:val="000378D5"/>
    <w:rsid w:val="00040A05"/>
    <w:rsid w:val="00040C3A"/>
    <w:rsid w:val="000414D2"/>
    <w:rsid w:val="000427EE"/>
    <w:rsid w:val="00042A17"/>
    <w:rsid w:val="0004390C"/>
    <w:rsid w:val="000439BE"/>
    <w:rsid w:val="00044B20"/>
    <w:rsid w:val="00045601"/>
    <w:rsid w:val="000459E0"/>
    <w:rsid w:val="00046729"/>
    <w:rsid w:val="0004681B"/>
    <w:rsid w:val="00046D40"/>
    <w:rsid w:val="0004761C"/>
    <w:rsid w:val="00047DA5"/>
    <w:rsid w:val="00047F35"/>
    <w:rsid w:val="000510AE"/>
    <w:rsid w:val="000516F4"/>
    <w:rsid w:val="000517B2"/>
    <w:rsid w:val="00051EB4"/>
    <w:rsid w:val="000520FB"/>
    <w:rsid w:val="00052D20"/>
    <w:rsid w:val="00053172"/>
    <w:rsid w:val="0005454A"/>
    <w:rsid w:val="00054E1B"/>
    <w:rsid w:val="000550C0"/>
    <w:rsid w:val="0005544C"/>
    <w:rsid w:val="000564E1"/>
    <w:rsid w:val="00056C0E"/>
    <w:rsid w:val="000576AA"/>
    <w:rsid w:val="00057AD6"/>
    <w:rsid w:val="00057D4F"/>
    <w:rsid w:val="00057EDB"/>
    <w:rsid w:val="00060666"/>
    <w:rsid w:val="0006097A"/>
    <w:rsid w:val="0006100F"/>
    <w:rsid w:val="00062269"/>
    <w:rsid w:val="00062C0F"/>
    <w:rsid w:val="00062FEC"/>
    <w:rsid w:val="000630E1"/>
    <w:rsid w:val="000639C0"/>
    <w:rsid w:val="000641B6"/>
    <w:rsid w:val="000657E1"/>
    <w:rsid w:val="00065FBA"/>
    <w:rsid w:val="00066108"/>
    <w:rsid w:val="00066378"/>
    <w:rsid w:val="000679BC"/>
    <w:rsid w:val="00070B9D"/>
    <w:rsid w:val="00070F3A"/>
    <w:rsid w:val="000710C5"/>
    <w:rsid w:val="0007127E"/>
    <w:rsid w:val="000716C5"/>
    <w:rsid w:val="00071A9D"/>
    <w:rsid w:val="00071E45"/>
    <w:rsid w:val="000728CA"/>
    <w:rsid w:val="00072B03"/>
    <w:rsid w:val="00073F3C"/>
    <w:rsid w:val="00074669"/>
    <w:rsid w:val="00074E33"/>
    <w:rsid w:val="000756B4"/>
    <w:rsid w:val="0007594F"/>
    <w:rsid w:val="00075E23"/>
    <w:rsid w:val="000764E3"/>
    <w:rsid w:val="000769D6"/>
    <w:rsid w:val="0007716F"/>
    <w:rsid w:val="00077A87"/>
    <w:rsid w:val="00080249"/>
    <w:rsid w:val="00080357"/>
    <w:rsid w:val="00081EC3"/>
    <w:rsid w:val="000823DA"/>
    <w:rsid w:val="00082C6B"/>
    <w:rsid w:val="00082CBB"/>
    <w:rsid w:val="000830D5"/>
    <w:rsid w:val="0008366A"/>
    <w:rsid w:val="00083970"/>
    <w:rsid w:val="00084A11"/>
    <w:rsid w:val="00084C5B"/>
    <w:rsid w:val="00085519"/>
    <w:rsid w:val="00085F60"/>
    <w:rsid w:val="00085F65"/>
    <w:rsid w:val="0008675E"/>
    <w:rsid w:val="00086BFA"/>
    <w:rsid w:val="0008733D"/>
    <w:rsid w:val="000901D7"/>
    <w:rsid w:val="00090720"/>
    <w:rsid w:val="00090E48"/>
    <w:rsid w:val="00090E82"/>
    <w:rsid w:val="00091707"/>
    <w:rsid w:val="000922C5"/>
    <w:rsid w:val="00092817"/>
    <w:rsid w:val="000929D9"/>
    <w:rsid w:val="00092F32"/>
    <w:rsid w:val="00093055"/>
    <w:rsid w:val="0009344A"/>
    <w:rsid w:val="0009454E"/>
    <w:rsid w:val="00094AFA"/>
    <w:rsid w:val="00095575"/>
    <w:rsid w:val="0009575D"/>
    <w:rsid w:val="000973C5"/>
    <w:rsid w:val="00097428"/>
    <w:rsid w:val="000A0BA7"/>
    <w:rsid w:val="000A0EDD"/>
    <w:rsid w:val="000A0EF3"/>
    <w:rsid w:val="000A128A"/>
    <w:rsid w:val="000A16DB"/>
    <w:rsid w:val="000A1E84"/>
    <w:rsid w:val="000A2085"/>
    <w:rsid w:val="000A254B"/>
    <w:rsid w:val="000A25B1"/>
    <w:rsid w:val="000A3276"/>
    <w:rsid w:val="000A3299"/>
    <w:rsid w:val="000A393C"/>
    <w:rsid w:val="000A3E84"/>
    <w:rsid w:val="000A4138"/>
    <w:rsid w:val="000A4DDD"/>
    <w:rsid w:val="000A5152"/>
    <w:rsid w:val="000A51D4"/>
    <w:rsid w:val="000A5560"/>
    <w:rsid w:val="000A575F"/>
    <w:rsid w:val="000A584B"/>
    <w:rsid w:val="000A5B0F"/>
    <w:rsid w:val="000A62C0"/>
    <w:rsid w:val="000A650D"/>
    <w:rsid w:val="000A68B6"/>
    <w:rsid w:val="000A6C50"/>
    <w:rsid w:val="000A753A"/>
    <w:rsid w:val="000A7A76"/>
    <w:rsid w:val="000A7DBA"/>
    <w:rsid w:val="000B022D"/>
    <w:rsid w:val="000B040F"/>
    <w:rsid w:val="000B06AC"/>
    <w:rsid w:val="000B094A"/>
    <w:rsid w:val="000B0AEA"/>
    <w:rsid w:val="000B25B8"/>
    <w:rsid w:val="000B25FC"/>
    <w:rsid w:val="000B276D"/>
    <w:rsid w:val="000B2E8E"/>
    <w:rsid w:val="000B2EF7"/>
    <w:rsid w:val="000B3477"/>
    <w:rsid w:val="000B39B4"/>
    <w:rsid w:val="000B418A"/>
    <w:rsid w:val="000B478D"/>
    <w:rsid w:val="000B47EE"/>
    <w:rsid w:val="000B4DAF"/>
    <w:rsid w:val="000B4EAA"/>
    <w:rsid w:val="000B50C3"/>
    <w:rsid w:val="000B6574"/>
    <w:rsid w:val="000C0092"/>
    <w:rsid w:val="000C0149"/>
    <w:rsid w:val="000C04CF"/>
    <w:rsid w:val="000C1094"/>
    <w:rsid w:val="000C1B5A"/>
    <w:rsid w:val="000C1C2F"/>
    <w:rsid w:val="000C1E67"/>
    <w:rsid w:val="000C2C82"/>
    <w:rsid w:val="000C395A"/>
    <w:rsid w:val="000C45C3"/>
    <w:rsid w:val="000C5219"/>
    <w:rsid w:val="000C556C"/>
    <w:rsid w:val="000C5C98"/>
    <w:rsid w:val="000C5DEE"/>
    <w:rsid w:val="000C6FFD"/>
    <w:rsid w:val="000C7343"/>
    <w:rsid w:val="000C7D72"/>
    <w:rsid w:val="000C7F55"/>
    <w:rsid w:val="000D0BD2"/>
    <w:rsid w:val="000D10DB"/>
    <w:rsid w:val="000D1FC7"/>
    <w:rsid w:val="000D33C9"/>
    <w:rsid w:val="000D3921"/>
    <w:rsid w:val="000D3B27"/>
    <w:rsid w:val="000D4039"/>
    <w:rsid w:val="000D43E0"/>
    <w:rsid w:val="000D559C"/>
    <w:rsid w:val="000D5691"/>
    <w:rsid w:val="000D600D"/>
    <w:rsid w:val="000D6817"/>
    <w:rsid w:val="000D68F4"/>
    <w:rsid w:val="000D6EEF"/>
    <w:rsid w:val="000E0392"/>
    <w:rsid w:val="000E07F7"/>
    <w:rsid w:val="000E0F8F"/>
    <w:rsid w:val="000E1356"/>
    <w:rsid w:val="000E24D2"/>
    <w:rsid w:val="000E3937"/>
    <w:rsid w:val="000E44C7"/>
    <w:rsid w:val="000E49DF"/>
    <w:rsid w:val="000E56C3"/>
    <w:rsid w:val="000E5CBA"/>
    <w:rsid w:val="000E69B3"/>
    <w:rsid w:val="000E6A5E"/>
    <w:rsid w:val="000E6EDD"/>
    <w:rsid w:val="000E7140"/>
    <w:rsid w:val="000E7636"/>
    <w:rsid w:val="000E7ED0"/>
    <w:rsid w:val="000E7F69"/>
    <w:rsid w:val="000F0A25"/>
    <w:rsid w:val="000F0EEC"/>
    <w:rsid w:val="000F1DA9"/>
    <w:rsid w:val="000F2A3B"/>
    <w:rsid w:val="000F3514"/>
    <w:rsid w:val="000F4547"/>
    <w:rsid w:val="000F49F6"/>
    <w:rsid w:val="000F4D36"/>
    <w:rsid w:val="000F5D64"/>
    <w:rsid w:val="000F734B"/>
    <w:rsid w:val="000F7407"/>
    <w:rsid w:val="000F7409"/>
    <w:rsid w:val="00100038"/>
    <w:rsid w:val="00100FB7"/>
    <w:rsid w:val="00101553"/>
    <w:rsid w:val="001024E3"/>
    <w:rsid w:val="001025B1"/>
    <w:rsid w:val="0010275F"/>
    <w:rsid w:val="00102F8A"/>
    <w:rsid w:val="001032AB"/>
    <w:rsid w:val="00103331"/>
    <w:rsid w:val="00103526"/>
    <w:rsid w:val="00103ABE"/>
    <w:rsid w:val="00104889"/>
    <w:rsid w:val="00104896"/>
    <w:rsid w:val="00104C50"/>
    <w:rsid w:val="00105599"/>
    <w:rsid w:val="0010592A"/>
    <w:rsid w:val="00105C96"/>
    <w:rsid w:val="0010625B"/>
    <w:rsid w:val="001063FA"/>
    <w:rsid w:val="0010693F"/>
    <w:rsid w:val="00106990"/>
    <w:rsid w:val="00106A88"/>
    <w:rsid w:val="00107476"/>
    <w:rsid w:val="00111C50"/>
    <w:rsid w:val="00112617"/>
    <w:rsid w:val="001126EB"/>
    <w:rsid w:val="00113149"/>
    <w:rsid w:val="001131EC"/>
    <w:rsid w:val="00113ACF"/>
    <w:rsid w:val="00114390"/>
    <w:rsid w:val="00114527"/>
    <w:rsid w:val="00115009"/>
    <w:rsid w:val="00115CB1"/>
    <w:rsid w:val="00122DF4"/>
    <w:rsid w:val="00123ECD"/>
    <w:rsid w:val="00125D3B"/>
    <w:rsid w:val="0012610A"/>
    <w:rsid w:val="001267FB"/>
    <w:rsid w:val="00126F3B"/>
    <w:rsid w:val="00130A27"/>
    <w:rsid w:val="00130DE9"/>
    <w:rsid w:val="00131042"/>
    <w:rsid w:val="0013104F"/>
    <w:rsid w:val="0013178F"/>
    <w:rsid w:val="00131B01"/>
    <w:rsid w:val="00133465"/>
    <w:rsid w:val="0013403C"/>
    <w:rsid w:val="00134FF0"/>
    <w:rsid w:val="001357AD"/>
    <w:rsid w:val="0013603E"/>
    <w:rsid w:val="001365B6"/>
    <w:rsid w:val="0013698A"/>
    <w:rsid w:val="00136CB7"/>
    <w:rsid w:val="00137EBA"/>
    <w:rsid w:val="00137FDE"/>
    <w:rsid w:val="00140380"/>
    <w:rsid w:val="0014051C"/>
    <w:rsid w:val="00140921"/>
    <w:rsid w:val="00141DEA"/>
    <w:rsid w:val="00142AE8"/>
    <w:rsid w:val="00143E4B"/>
    <w:rsid w:val="00143EB9"/>
    <w:rsid w:val="0014445A"/>
    <w:rsid w:val="00145EDC"/>
    <w:rsid w:val="00147723"/>
    <w:rsid w:val="00147DC5"/>
    <w:rsid w:val="001503E0"/>
    <w:rsid w:val="00150DD0"/>
    <w:rsid w:val="00152085"/>
    <w:rsid w:val="00152829"/>
    <w:rsid w:val="00152944"/>
    <w:rsid w:val="0015335C"/>
    <w:rsid w:val="00154179"/>
    <w:rsid w:val="0015575F"/>
    <w:rsid w:val="0015592F"/>
    <w:rsid w:val="00155EEE"/>
    <w:rsid w:val="00155F1D"/>
    <w:rsid w:val="00157341"/>
    <w:rsid w:val="001577B2"/>
    <w:rsid w:val="00157A9F"/>
    <w:rsid w:val="00157CE4"/>
    <w:rsid w:val="00157F0D"/>
    <w:rsid w:val="001600A4"/>
    <w:rsid w:val="001603B5"/>
    <w:rsid w:val="0016108B"/>
    <w:rsid w:val="00161150"/>
    <w:rsid w:val="00162AAD"/>
    <w:rsid w:val="00162CEF"/>
    <w:rsid w:val="0016356D"/>
    <w:rsid w:val="00163742"/>
    <w:rsid w:val="001638DF"/>
    <w:rsid w:val="0016440B"/>
    <w:rsid w:val="00164552"/>
    <w:rsid w:val="0016465A"/>
    <w:rsid w:val="0016499F"/>
    <w:rsid w:val="00165F60"/>
    <w:rsid w:val="00166496"/>
    <w:rsid w:val="0016671A"/>
    <w:rsid w:val="00166F26"/>
    <w:rsid w:val="00166F35"/>
    <w:rsid w:val="00167A34"/>
    <w:rsid w:val="00170952"/>
    <w:rsid w:val="00170976"/>
    <w:rsid w:val="001710D1"/>
    <w:rsid w:val="00171725"/>
    <w:rsid w:val="0017269A"/>
    <w:rsid w:val="00172A98"/>
    <w:rsid w:val="001733D5"/>
    <w:rsid w:val="0017348C"/>
    <w:rsid w:val="001739DA"/>
    <w:rsid w:val="001739F5"/>
    <w:rsid w:val="001747B4"/>
    <w:rsid w:val="00174911"/>
    <w:rsid w:val="00174F72"/>
    <w:rsid w:val="00175827"/>
    <w:rsid w:val="0017642E"/>
    <w:rsid w:val="00176765"/>
    <w:rsid w:val="001774F7"/>
    <w:rsid w:val="00177B4F"/>
    <w:rsid w:val="00180064"/>
    <w:rsid w:val="0018037F"/>
    <w:rsid w:val="001805B4"/>
    <w:rsid w:val="00180BA3"/>
    <w:rsid w:val="00180D3C"/>
    <w:rsid w:val="00180E3B"/>
    <w:rsid w:val="0018151F"/>
    <w:rsid w:val="001819A8"/>
    <w:rsid w:val="0018210D"/>
    <w:rsid w:val="00182A08"/>
    <w:rsid w:val="00182F27"/>
    <w:rsid w:val="00184083"/>
    <w:rsid w:val="00184C6F"/>
    <w:rsid w:val="001851E4"/>
    <w:rsid w:val="00187268"/>
    <w:rsid w:val="00190214"/>
    <w:rsid w:val="00190BC5"/>
    <w:rsid w:val="00190F48"/>
    <w:rsid w:val="00190FE8"/>
    <w:rsid w:val="001917D9"/>
    <w:rsid w:val="00192815"/>
    <w:rsid w:val="00192FD4"/>
    <w:rsid w:val="0019332D"/>
    <w:rsid w:val="001937A5"/>
    <w:rsid w:val="00194646"/>
    <w:rsid w:val="001954CF"/>
    <w:rsid w:val="00195ECB"/>
    <w:rsid w:val="00196280"/>
    <w:rsid w:val="001965CC"/>
    <w:rsid w:val="001970F2"/>
    <w:rsid w:val="0019748D"/>
    <w:rsid w:val="001A0782"/>
    <w:rsid w:val="001A0B42"/>
    <w:rsid w:val="001A1B32"/>
    <w:rsid w:val="001A1BFC"/>
    <w:rsid w:val="001A2434"/>
    <w:rsid w:val="001A326A"/>
    <w:rsid w:val="001A39CF"/>
    <w:rsid w:val="001A4221"/>
    <w:rsid w:val="001A45A8"/>
    <w:rsid w:val="001A5F27"/>
    <w:rsid w:val="001A6423"/>
    <w:rsid w:val="001A64EB"/>
    <w:rsid w:val="001A65D4"/>
    <w:rsid w:val="001A7439"/>
    <w:rsid w:val="001A7870"/>
    <w:rsid w:val="001A7D5B"/>
    <w:rsid w:val="001A7EDC"/>
    <w:rsid w:val="001B09AD"/>
    <w:rsid w:val="001B17B9"/>
    <w:rsid w:val="001B3279"/>
    <w:rsid w:val="001B4593"/>
    <w:rsid w:val="001B4974"/>
    <w:rsid w:val="001B4E52"/>
    <w:rsid w:val="001B56BC"/>
    <w:rsid w:val="001B59C4"/>
    <w:rsid w:val="001B5F45"/>
    <w:rsid w:val="001B60FE"/>
    <w:rsid w:val="001B6CB3"/>
    <w:rsid w:val="001B7BA1"/>
    <w:rsid w:val="001C04BF"/>
    <w:rsid w:val="001C0710"/>
    <w:rsid w:val="001C1B41"/>
    <w:rsid w:val="001C2003"/>
    <w:rsid w:val="001C2173"/>
    <w:rsid w:val="001C217B"/>
    <w:rsid w:val="001C2F45"/>
    <w:rsid w:val="001C3032"/>
    <w:rsid w:val="001C38BC"/>
    <w:rsid w:val="001C3B2D"/>
    <w:rsid w:val="001C3D2F"/>
    <w:rsid w:val="001C4006"/>
    <w:rsid w:val="001C48AF"/>
    <w:rsid w:val="001C4ADD"/>
    <w:rsid w:val="001C50DC"/>
    <w:rsid w:val="001C6025"/>
    <w:rsid w:val="001C68E7"/>
    <w:rsid w:val="001C6BD5"/>
    <w:rsid w:val="001C6E0E"/>
    <w:rsid w:val="001C6F52"/>
    <w:rsid w:val="001D0E0E"/>
    <w:rsid w:val="001D1343"/>
    <w:rsid w:val="001D1A17"/>
    <w:rsid w:val="001D1FC1"/>
    <w:rsid w:val="001D42A6"/>
    <w:rsid w:val="001D4D75"/>
    <w:rsid w:val="001D59B1"/>
    <w:rsid w:val="001D652F"/>
    <w:rsid w:val="001D6BA1"/>
    <w:rsid w:val="001D75F2"/>
    <w:rsid w:val="001D7B45"/>
    <w:rsid w:val="001E0270"/>
    <w:rsid w:val="001E0808"/>
    <w:rsid w:val="001E1061"/>
    <w:rsid w:val="001E10CA"/>
    <w:rsid w:val="001E2867"/>
    <w:rsid w:val="001E3060"/>
    <w:rsid w:val="001E31D4"/>
    <w:rsid w:val="001E3F3E"/>
    <w:rsid w:val="001E477E"/>
    <w:rsid w:val="001E4D7D"/>
    <w:rsid w:val="001E53FB"/>
    <w:rsid w:val="001E59A9"/>
    <w:rsid w:val="001E5A1A"/>
    <w:rsid w:val="001E5F04"/>
    <w:rsid w:val="001E5F8E"/>
    <w:rsid w:val="001E699E"/>
    <w:rsid w:val="001E6C37"/>
    <w:rsid w:val="001F094C"/>
    <w:rsid w:val="001F0B72"/>
    <w:rsid w:val="001F2FDD"/>
    <w:rsid w:val="001F3B00"/>
    <w:rsid w:val="001F4A4B"/>
    <w:rsid w:val="001F4DB8"/>
    <w:rsid w:val="001F62D9"/>
    <w:rsid w:val="001F65E5"/>
    <w:rsid w:val="001F6E7F"/>
    <w:rsid w:val="00200D2E"/>
    <w:rsid w:val="002018AF"/>
    <w:rsid w:val="002027D1"/>
    <w:rsid w:val="00202A19"/>
    <w:rsid w:val="00203841"/>
    <w:rsid w:val="00204924"/>
    <w:rsid w:val="00204DFD"/>
    <w:rsid w:val="002056C8"/>
    <w:rsid w:val="00205E34"/>
    <w:rsid w:val="00206728"/>
    <w:rsid w:val="002067F4"/>
    <w:rsid w:val="00207544"/>
    <w:rsid w:val="0021055A"/>
    <w:rsid w:val="00210E0E"/>
    <w:rsid w:val="00211891"/>
    <w:rsid w:val="00211F3B"/>
    <w:rsid w:val="00212497"/>
    <w:rsid w:val="00213A2F"/>
    <w:rsid w:val="00214962"/>
    <w:rsid w:val="002154D4"/>
    <w:rsid w:val="0021591D"/>
    <w:rsid w:val="00215CE2"/>
    <w:rsid w:val="00216520"/>
    <w:rsid w:val="00216575"/>
    <w:rsid w:val="002175A5"/>
    <w:rsid w:val="00217D6A"/>
    <w:rsid w:val="00220BC7"/>
    <w:rsid w:val="0022169F"/>
    <w:rsid w:val="002218FD"/>
    <w:rsid w:val="00222050"/>
    <w:rsid w:val="00222647"/>
    <w:rsid w:val="002226AA"/>
    <w:rsid w:val="00222B27"/>
    <w:rsid w:val="00222C57"/>
    <w:rsid w:val="00222CA4"/>
    <w:rsid w:val="00223245"/>
    <w:rsid w:val="002237F3"/>
    <w:rsid w:val="00224AA7"/>
    <w:rsid w:val="00224E5F"/>
    <w:rsid w:val="00225375"/>
    <w:rsid w:val="00225457"/>
    <w:rsid w:val="002256AE"/>
    <w:rsid w:val="0022655F"/>
    <w:rsid w:val="002277C3"/>
    <w:rsid w:val="0023061B"/>
    <w:rsid w:val="00231242"/>
    <w:rsid w:val="00231CD1"/>
    <w:rsid w:val="00232A3C"/>
    <w:rsid w:val="00233353"/>
    <w:rsid w:val="002351E7"/>
    <w:rsid w:val="002368C5"/>
    <w:rsid w:val="00236FA5"/>
    <w:rsid w:val="0024070A"/>
    <w:rsid w:val="00241918"/>
    <w:rsid w:val="00241B9E"/>
    <w:rsid w:val="0024247E"/>
    <w:rsid w:val="0024379B"/>
    <w:rsid w:val="0024410B"/>
    <w:rsid w:val="00244E7D"/>
    <w:rsid w:val="00245446"/>
    <w:rsid w:val="00245452"/>
    <w:rsid w:val="00245F40"/>
    <w:rsid w:val="002463AD"/>
    <w:rsid w:val="00246E7D"/>
    <w:rsid w:val="00247019"/>
    <w:rsid w:val="00247403"/>
    <w:rsid w:val="00247542"/>
    <w:rsid w:val="00247592"/>
    <w:rsid w:val="00247E0E"/>
    <w:rsid w:val="00250662"/>
    <w:rsid w:val="0025070B"/>
    <w:rsid w:val="00250B61"/>
    <w:rsid w:val="00250F0E"/>
    <w:rsid w:val="00250F42"/>
    <w:rsid w:val="0025100E"/>
    <w:rsid w:val="002520C0"/>
    <w:rsid w:val="00253F1B"/>
    <w:rsid w:val="00255140"/>
    <w:rsid w:val="002552DF"/>
    <w:rsid w:val="0025532E"/>
    <w:rsid w:val="00255475"/>
    <w:rsid w:val="00255759"/>
    <w:rsid w:val="00255F05"/>
    <w:rsid w:val="002560C3"/>
    <w:rsid w:val="00256813"/>
    <w:rsid w:val="00256D45"/>
    <w:rsid w:val="00257893"/>
    <w:rsid w:val="0026109F"/>
    <w:rsid w:val="0026154C"/>
    <w:rsid w:val="002626A2"/>
    <w:rsid w:val="002626F5"/>
    <w:rsid w:val="00262ECA"/>
    <w:rsid w:val="00263B2B"/>
    <w:rsid w:val="00264033"/>
    <w:rsid w:val="00264870"/>
    <w:rsid w:val="00264944"/>
    <w:rsid w:val="00265E54"/>
    <w:rsid w:val="00266092"/>
    <w:rsid w:val="00266B61"/>
    <w:rsid w:val="0026712A"/>
    <w:rsid w:val="00267891"/>
    <w:rsid w:val="00267EF0"/>
    <w:rsid w:val="0027004C"/>
    <w:rsid w:val="002701A7"/>
    <w:rsid w:val="0027039B"/>
    <w:rsid w:val="002704DB"/>
    <w:rsid w:val="002704E0"/>
    <w:rsid w:val="002706E4"/>
    <w:rsid w:val="00270C7A"/>
    <w:rsid w:val="00271175"/>
    <w:rsid w:val="00271289"/>
    <w:rsid w:val="00272596"/>
    <w:rsid w:val="00272854"/>
    <w:rsid w:val="00272A02"/>
    <w:rsid w:val="00272A20"/>
    <w:rsid w:val="00272DEF"/>
    <w:rsid w:val="00272F7D"/>
    <w:rsid w:val="00273032"/>
    <w:rsid w:val="002730F6"/>
    <w:rsid w:val="00274F86"/>
    <w:rsid w:val="0027583C"/>
    <w:rsid w:val="00275FC9"/>
    <w:rsid w:val="0027627C"/>
    <w:rsid w:val="0027671E"/>
    <w:rsid w:val="00276C31"/>
    <w:rsid w:val="002772E3"/>
    <w:rsid w:val="002809AC"/>
    <w:rsid w:val="0028111A"/>
    <w:rsid w:val="00283909"/>
    <w:rsid w:val="0028392E"/>
    <w:rsid w:val="00284E86"/>
    <w:rsid w:val="002869C6"/>
    <w:rsid w:val="00287642"/>
    <w:rsid w:val="00287E01"/>
    <w:rsid w:val="00290094"/>
    <w:rsid w:val="00291C7D"/>
    <w:rsid w:val="00292239"/>
    <w:rsid w:val="00292CEC"/>
    <w:rsid w:val="0029397E"/>
    <w:rsid w:val="00293AEB"/>
    <w:rsid w:val="00293B75"/>
    <w:rsid w:val="0029466E"/>
    <w:rsid w:val="00294727"/>
    <w:rsid w:val="00294B4A"/>
    <w:rsid w:val="00294FA9"/>
    <w:rsid w:val="00294FB3"/>
    <w:rsid w:val="002955D3"/>
    <w:rsid w:val="002957D7"/>
    <w:rsid w:val="00295C76"/>
    <w:rsid w:val="0029615A"/>
    <w:rsid w:val="002963E4"/>
    <w:rsid w:val="0029715B"/>
    <w:rsid w:val="00297288"/>
    <w:rsid w:val="0029754B"/>
    <w:rsid w:val="002A00C2"/>
    <w:rsid w:val="002A036F"/>
    <w:rsid w:val="002A05B1"/>
    <w:rsid w:val="002A1564"/>
    <w:rsid w:val="002A1C6E"/>
    <w:rsid w:val="002A1D6A"/>
    <w:rsid w:val="002A1EF3"/>
    <w:rsid w:val="002A24D4"/>
    <w:rsid w:val="002A2593"/>
    <w:rsid w:val="002A2720"/>
    <w:rsid w:val="002A3CD5"/>
    <w:rsid w:val="002A5150"/>
    <w:rsid w:val="002A733A"/>
    <w:rsid w:val="002A7A01"/>
    <w:rsid w:val="002B008D"/>
    <w:rsid w:val="002B0BE7"/>
    <w:rsid w:val="002B0C15"/>
    <w:rsid w:val="002B0F7A"/>
    <w:rsid w:val="002B110C"/>
    <w:rsid w:val="002B1184"/>
    <w:rsid w:val="002B14E8"/>
    <w:rsid w:val="002B1D55"/>
    <w:rsid w:val="002B2AB5"/>
    <w:rsid w:val="002B30E6"/>
    <w:rsid w:val="002B3A2B"/>
    <w:rsid w:val="002B4417"/>
    <w:rsid w:val="002B4B61"/>
    <w:rsid w:val="002B53FA"/>
    <w:rsid w:val="002B5EC3"/>
    <w:rsid w:val="002B5F8A"/>
    <w:rsid w:val="002B6DE7"/>
    <w:rsid w:val="002C0B64"/>
    <w:rsid w:val="002C10D7"/>
    <w:rsid w:val="002C1641"/>
    <w:rsid w:val="002C1EB3"/>
    <w:rsid w:val="002C1F13"/>
    <w:rsid w:val="002C2792"/>
    <w:rsid w:val="002C312A"/>
    <w:rsid w:val="002C3312"/>
    <w:rsid w:val="002C3671"/>
    <w:rsid w:val="002C3D66"/>
    <w:rsid w:val="002C4070"/>
    <w:rsid w:val="002C58D2"/>
    <w:rsid w:val="002C5A89"/>
    <w:rsid w:val="002C5BCE"/>
    <w:rsid w:val="002C5EC4"/>
    <w:rsid w:val="002C6C33"/>
    <w:rsid w:val="002D033F"/>
    <w:rsid w:val="002D0341"/>
    <w:rsid w:val="002D064D"/>
    <w:rsid w:val="002D12CF"/>
    <w:rsid w:val="002D144B"/>
    <w:rsid w:val="002D14A8"/>
    <w:rsid w:val="002D1CFA"/>
    <w:rsid w:val="002D33B3"/>
    <w:rsid w:val="002D40D8"/>
    <w:rsid w:val="002D45C2"/>
    <w:rsid w:val="002D4CA0"/>
    <w:rsid w:val="002D628F"/>
    <w:rsid w:val="002D6E69"/>
    <w:rsid w:val="002D704A"/>
    <w:rsid w:val="002D7DC4"/>
    <w:rsid w:val="002D7EA2"/>
    <w:rsid w:val="002E0060"/>
    <w:rsid w:val="002E03A4"/>
    <w:rsid w:val="002E10CD"/>
    <w:rsid w:val="002E10DC"/>
    <w:rsid w:val="002E15DF"/>
    <w:rsid w:val="002E16E8"/>
    <w:rsid w:val="002E187C"/>
    <w:rsid w:val="002E18E3"/>
    <w:rsid w:val="002E1CDE"/>
    <w:rsid w:val="002E1EAC"/>
    <w:rsid w:val="002E349E"/>
    <w:rsid w:val="002E35D7"/>
    <w:rsid w:val="002E38CE"/>
    <w:rsid w:val="002E3921"/>
    <w:rsid w:val="002E3C15"/>
    <w:rsid w:val="002E432F"/>
    <w:rsid w:val="002E4F0A"/>
    <w:rsid w:val="002E4F3B"/>
    <w:rsid w:val="002E61E7"/>
    <w:rsid w:val="002E620F"/>
    <w:rsid w:val="002E6267"/>
    <w:rsid w:val="002E6663"/>
    <w:rsid w:val="002E6B47"/>
    <w:rsid w:val="002E6E57"/>
    <w:rsid w:val="002E755E"/>
    <w:rsid w:val="002E77C5"/>
    <w:rsid w:val="002E78C1"/>
    <w:rsid w:val="002E7E79"/>
    <w:rsid w:val="002F097A"/>
    <w:rsid w:val="002F17C9"/>
    <w:rsid w:val="002F1B00"/>
    <w:rsid w:val="002F1B4A"/>
    <w:rsid w:val="002F2D41"/>
    <w:rsid w:val="002F2FCB"/>
    <w:rsid w:val="002F3202"/>
    <w:rsid w:val="002F3379"/>
    <w:rsid w:val="002F3554"/>
    <w:rsid w:val="002F3598"/>
    <w:rsid w:val="002F35CB"/>
    <w:rsid w:val="002F362D"/>
    <w:rsid w:val="002F3D27"/>
    <w:rsid w:val="002F414B"/>
    <w:rsid w:val="002F443F"/>
    <w:rsid w:val="002F503E"/>
    <w:rsid w:val="002F5346"/>
    <w:rsid w:val="002F5686"/>
    <w:rsid w:val="002F5941"/>
    <w:rsid w:val="002F5E45"/>
    <w:rsid w:val="002F6201"/>
    <w:rsid w:val="002F63D9"/>
    <w:rsid w:val="002F6C1E"/>
    <w:rsid w:val="002F6ECD"/>
    <w:rsid w:val="002F7B0F"/>
    <w:rsid w:val="00301075"/>
    <w:rsid w:val="003011E9"/>
    <w:rsid w:val="0030142A"/>
    <w:rsid w:val="00301B3D"/>
    <w:rsid w:val="00301F71"/>
    <w:rsid w:val="00302733"/>
    <w:rsid w:val="003035DD"/>
    <w:rsid w:val="00303A15"/>
    <w:rsid w:val="00303B04"/>
    <w:rsid w:val="00304182"/>
    <w:rsid w:val="0030446B"/>
    <w:rsid w:val="00304EED"/>
    <w:rsid w:val="003058E3"/>
    <w:rsid w:val="0030600F"/>
    <w:rsid w:val="00306C30"/>
    <w:rsid w:val="00306D2A"/>
    <w:rsid w:val="00307577"/>
    <w:rsid w:val="00307C8D"/>
    <w:rsid w:val="00307DF7"/>
    <w:rsid w:val="00307F34"/>
    <w:rsid w:val="003112C6"/>
    <w:rsid w:val="00311A4F"/>
    <w:rsid w:val="00311C91"/>
    <w:rsid w:val="00312762"/>
    <w:rsid w:val="00313332"/>
    <w:rsid w:val="00314078"/>
    <w:rsid w:val="003151AA"/>
    <w:rsid w:val="00315905"/>
    <w:rsid w:val="00316026"/>
    <w:rsid w:val="00316559"/>
    <w:rsid w:val="0031724D"/>
    <w:rsid w:val="00317255"/>
    <w:rsid w:val="00317E8A"/>
    <w:rsid w:val="00317FC6"/>
    <w:rsid w:val="00320324"/>
    <w:rsid w:val="00320402"/>
    <w:rsid w:val="00320A64"/>
    <w:rsid w:val="00320D26"/>
    <w:rsid w:val="00320F80"/>
    <w:rsid w:val="003215F2"/>
    <w:rsid w:val="003218DF"/>
    <w:rsid w:val="00321A96"/>
    <w:rsid w:val="00322398"/>
    <w:rsid w:val="00322450"/>
    <w:rsid w:val="00323421"/>
    <w:rsid w:val="003241CF"/>
    <w:rsid w:val="003245A7"/>
    <w:rsid w:val="003246B5"/>
    <w:rsid w:val="00324882"/>
    <w:rsid w:val="003249CF"/>
    <w:rsid w:val="00325098"/>
    <w:rsid w:val="003267B5"/>
    <w:rsid w:val="00327501"/>
    <w:rsid w:val="00327AD6"/>
    <w:rsid w:val="00327DA0"/>
    <w:rsid w:val="00330196"/>
    <w:rsid w:val="0033054B"/>
    <w:rsid w:val="00330E0E"/>
    <w:rsid w:val="0033161A"/>
    <w:rsid w:val="00331687"/>
    <w:rsid w:val="0033169F"/>
    <w:rsid w:val="00331A29"/>
    <w:rsid w:val="00331F29"/>
    <w:rsid w:val="00332152"/>
    <w:rsid w:val="00332A4D"/>
    <w:rsid w:val="003330D2"/>
    <w:rsid w:val="00333A23"/>
    <w:rsid w:val="00333FDB"/>
    <w:rsid w:val="003343F1"/>
    <w:rsid w:val="00336085"/>
    <w:rsid w:val="00336304"/>
    <w:rsid w:val="00337546"/>
    <w:rsid w:val="003378E0"/>
    <w:rsid w:val="00337961"/>
    <w:rsid w:val="00337C43"/>
    <w:rsid w:val="003407E0"/>
    <w:rsid w:val="00340A95"/>
    <w:rsid w:val="003410A6"/>
    <w:rsid w:val="003414AC"/>
    <w:rsid w:val="003414E6"/>
    <w:rsid w:val="00341FC2"/>
    <w:rsid w:val="00342070"/>
    <w:rsid w:val="003447BB"/>
    <w:rsid w:val="00344B38"/>
    <w:rsid w:val="0034569F"/>
    <w:rsid w:val="00346D16"/>
    <w:rsid w:val="00347742"/>
    <w:rsid w:val="00347B94"/>
    <w:rsid w:val="00351655"/>
    <w:rsid w:val="003519AE"/>
    <w:rsid w:val="003519EE"/>
    <w:rsid w:val="003520F3"/>
    <w:rsid w:val="0035485A"/>
    <w:rsid w:val="00354A17"/>
    <w:rsid w:val="00354EA8"/>
    <w:rsid w:val="00355779"/>
    <w:rsid w:val="00356185"/>
    <w:rsid w:val="003567C7"/>
    <w:rsid w:val="00357206"/>
    <w:rsid w:val="00357961"/>
    <w:rsid w:val="00357C4D"/>
    <w:rsid w:val="00357D78"/>
    <w:rsid w:val="00360380"/>
    <w:rsid w:val="0036056F"/>
    <w:rsid w:val="0036137D"/>
    <w:rsid w:val="00361EB7"/>
    <w:rsid w:val="00362FE0"/>
    <w:rsid w:val="0036346A"/>
    <w:rsid w:val="00363954"/>
    <w:rsid w:val="003649C6"/>
    <w:rsid w:val="00365D52"/>
    <w:rsid w:val="00366182"/>
    <w:rsid w:val="00366DBE"/>
    <w:rsid w:val="00367444"/>
    <w:rsid w:val="003675B8"/>
    <w:rsid w:val="003676F1"/>
    <w:rsid w:val="0036775E"/>
    <w:rsid w:val="00367EDD"/>
    <w:rsid w:val="00370294"/>
    <w:rsid w:val="00370DD4"/>
    <w:rsid w:val="003712A0"/>
    <w:rsid w:val="003712A7"/>
    <w:rsid w:val="00371EFD"/>
    <w:rsid w:val="00371F74"/>
    <w:rsid w:val="00372B13"/>
    <w:rsid w:val="00372F8E"/>
    <w:rsid w:val="00373790"/>
    <w:rsid w:val="003738BF"/>
    <w:rsid w:val="003741EF"/>
    <w:rsid w:val="003745F9"/>
    <w:rsid w:val="00374940"/>
    <w:rsid w:val="003750C8"/>
    <w:rsid w:val="003759D2"/>
    <w:rsid w:val="00375D88"/>
    <w:rsid w:val="00376244"/>
    <w:rsid w:val="00376462"/>
    <w:rsid w:val="00376CCB"/>
    <w:rsid w:val="00377183"/>
    <w:rsid w:val="00377AD8"/>
    <w:rsid w:val="00380645"/>
    <w:rsid w:val="00380A00"/>
    <w:rsid w:val="00380A1D"/>
    <w:rsid w:val="00380B68"/>
    <w:rsid w:val="00380ECF"/>
    <w:rsid w:val="003813A2"/>
    <w:rsid w:val="0038209A"/>
    <w:rsid w:val="003824C7"/>
    <w:rsid w:val="00382598"/>
    <w:rsid w:val="00382956"/>
    <w:rsid w:val="00382CE7"/>
    <w:rsid w:val="003832D9"/>
    <w:rsid w:val="0038330F"/>
    <w:rsid w:val="00383799"/>
    <w:rsid w:val="00383F84"/>
    <w:rsid w:val="00384072"/>
    <w:rsid w:val="0038421B"/>
    <w:rsid w:val="00384BAF"/>
    <w:rsid w:val="0038559B"/>
    <w:rsid w:val="00385B08"/>
    <w:rsid w:val="00386608"/>
    <w:rsid w:val="00386CF0"/>
    <w:rsid w:val="00386FEA"/>
    <w:rsid w:val="00387501"/>
    <w:rsid w:val="003902B2"/>
    <w:rsid w:val="0039061F"/>
    <w:rsid w:val="00390D19"/>
    <w:rsid w:val="00391CD8"/>
    <w:rsid w:val="00392ED3"/>
    <w:rsid w:val="00393C8E"/>
    <w:rsid w:val="00394608"/>
    <w:rsid w:val="0039471C"/>
    <w:rsid w:val="00394A5D"/>
    <w:rsid w:val="00395036"/>
    <w:rsid w:val="00396106"/>
    <w:rsid w:val="003964BF"/>
    <w:rsid w:val="003A01D0"/>
    <w:rsid w:val="003A187E"/>
    <w:rsid w:val="003A18F4"/>
    <w:rsid w:val="003A1AE3"/>
    <w:rsid w:val="003A21C5"/>
    <w:rsid w:val="003A27F4"/>
    <w:rsid w:val="003A2DC1"/>
    <w:rsid w:val="003A348D"/>
    <w:rsid w:val="003A3C43"/>
    <w:rsid w:val="003A430F"/>
    <w:rsid w:val="003A4790"/>
    <w:rsid w:val="003A485E"/>
    <w:rsid w:val="003A4B42"/>
    <w:rsid w:val="003A527A"/>
    <w:rsid w:val="003A54CE"/>
    <w:rsid w:val="003A5923"/>
    <w:rsid w:val="003A5E9B"/>
    <w:rsid w:val="003A6019"/>
    <w:rsid w:val="003A632E"/>
    <w:rsid w:val="003A7118"/>
    <w:rsid w:val="003A71F1"/>
    <w:rsid w:val="003A7BFE"/>
    <w:rsid w:val="003B1BD7"/>
    <w:rsid w:val="003B1D61"/>
    <w:rsid w:val="003B27EA"/>
    <w:rsid w:val="003B2C86"/>
    <w:rsid w:val="003B349D"/>
    <w:rsid w:val="003B38A9"/>
    <w:rsid w:val="003B3E94"/>
    <w:rsid w:val="003B5191"/>
    <w:rsid w:val="003B5C8C"/>
    <w:rsid w:val="003B63A0"/>
    <w:rsid w:val="003B640E"/>
    <w:rsid w:val="003B6423"/>
    <w:rsid w:val="003B66DC"/>
    <w:rsid w:val="003B6950"/>
    <w:rsid w:val="003B70BA"/>
    <w:rsid w:val="003C21BD"/>
    <w:rsid w:val="003C269F"/>
    <w:rsid w:val="003C32BC"/>
    <w:rsid w:val="003C3722"/>
    <w:rsid w:val="003C4BC0"/>
    <w:rsid w:val="003C4F69"/>
    <w:rsid w:val="003C54AD"/>
    <w:rsid w:val="003C6480"/>
    <w:rsid w:val="003C7061"/>
    <w:rsid w:val="003D007D"/>
    <w:rsid w:val="003D0C05"/>
    <w:rsid w:val="003D0D3E"/>
    <w:rsid w:val="003D1E49"/>
    <w:rsid w:val="003D2871"/>
    <w:rsid w:val="003D2C7F"/>
    <w:rsid w:val="003D3279"/>
    <w:rsid w:val="003D3435"/>
    <w:rsid w:val="003D3507"/>
    <w:rsid w:val="003D3CAC"/>
    <w:rsid w:val="003D3E1C"/>
    <w:rsid w:val="003D40A7"/>
    <w:rsid w:val="003D45DE"/>
    <w:rsid w:val="003D4A67"/>
    <w:rsid w:val="003D51A2"/>
    <w:rsid w:val="003D5A38"/>
    <w:rsid w:val="003D5C6C"/>
    <w:rsid w:val="003D5CD7"/>
    <w:rsid w:val="003D5F18"/>
    <w:rsid w:val="003D79BC"/>
    <w:rsid w:val="003E06A3"/>
    <w:rsid w:val="003E0852"/>
    <w:rsid w:val="003E14B0"/>
    <w:rsid w:val="003E1FEC"/>
    <w:rsid w:val="003E2564"/>
    <w:rsid w:val="003E366F"/>
    <w:rsid w:val="003E4D93"/>
    <w:rsid w:val="003E4E8A"/>
    <w:rsid w:val="003E520F"/>
    <w:rsid w:val="003E59E3"/>
    <w:rsid w:val="003E60B8"/>
    <w:rsid w:val="003E65E7"/>
    <w:rsid w:val="003E68BB"/>
    <w:rsid w:val="003E6FB6"/>
    <w:rsid w:val="003E70A6"/>
    <w:rsid w:val="003E7291"/>
    <w:rsid w:val="003E7380"/>
    <w:rsid w:val="003E752C"/>
    <w:rsid w:val="003F0153"/>
    <w:rsid w:val="003F03FA"/>
    <w:rsid w:val="003F0B2B"/>
    <w:rsid w:val="003F1230"/>
    <w:rsid w:val="003F1BBF"/>
    <w:rsid w:val="003F1DE3"/>
    <w:rsid w:val="003F2D46"/>
    <w:rsid w:val="003F57C9"/>
    <w:rsid w:val="003F5DB0"/>
    <w:rsid w:val="003F6707"/>
    <w:rsid w:val="003F7001"/>
    <w:rsid w:val="003F7161"/>
    <w:rsid w:val="003F7D74"/>
    <w:rsid w:val="00400C14"/>
    <w:rsid w:val="00400E6B"/>
    <w:rsid w:val="00400EA4"/>
    <w:rsid w:val="00400FF0"/>
    <w:rsid w:val="004010E9"/>
    <w:rsid w:val="0040128B"/>
    <w:rsid w:val="0040219C"/>
    <w:rsid w:val="004022E4"/>
    <w:rsid w:val="00404333"/>
    <w:rsid w:val="00404A51"/>
    <w:rsid w:val="00404EFC"/>
    <w:rsid w:val="00404F22"/>
    <w:rsid w:val="00405991"/>
    <w:rsid w:val="00405F19"/>
    <w:rsid w:val="00406721"/>
    <w:rsid w:val="00406CB6"/>
    <w:rsid w:val="0040735D"/>
    <w:rsid w:val="0040759C"/>
    <w:rsid w:val="00407C66"/>
    <w:rsid w:val="00407F3D"/>
    <w:rsid w:val="00410925"/>
    <w:rsid w:val="00411C40"/>
    <w:rsid w:val="004122AE"/>
    <w:rsid w:val="00412AF2"/>
    <w:rsid w:val="0041354F"/>
    <w:rsid w:val="0041358D"/>
    <w:rsid w:val="00413779"/>
    <w:rsid w:val="00413A1F"/>
    <w:rsid w:val="00413B37"/>
    <w:rsid w:val="004142F6"/>
    <w:rsid w:val="00414A54"/>
    <w:rsid w:val="00414D3F"/>
    <w:rsid w:val="00415BAE"/>
    <w:rsid w:val="004165C2"/>
    <w:rsid w:val="00416BC5"/>
    <w:rsid w:val="00417263"/>
    <w:rsid w:val="00417356"/>
    <w:rsid w:val="0041797E"/>
    <w:rsid w:val="00420486"/>
    <w:rsid w:val="00421966"/>
    <w:rsid w:val="00421D29"/>
    <w:rsid w:val="00422536"/>
    <w:rsid w:val="00423909"/>
    <w:rsid w:val="00423E69"/>
    <w:rsid w:val="004264E9"/>
    <w:rsid w:val="004264FA"/>
    <w:rsid w:val="004268A0"/>
    <w:rsid w:val="00426A93"/>
    <w:rsid w:val="00426DB7"/>
    <w:rsid w:val="00427406"/>
    <w:rsid w:val="0042749C"/>
    <w:rsid w:val="00427737"/>
    <w:rsid w:val="00427DEF"/>
    <w:rsid w:val="00431C7B"/>
    <w:rsid w:val="00432040"/>
    <w:rsid w:val="00432731"/>
    <w:rsid w:val="004331DC"/>
    <w:rsid w:val="004332C3"/>
    <w:rsid w:val="004343C8"/>
    <w:rsid w:val="00436A04"/>
    <w:rsid w:val="00436C66"/>
    <w:rsid w:val="004375C9"/>
    <w:rsid w:val="00440CD9"/>
    <w:rsid w:val="00440E90"/>
    <w:rsid w:val="004413C0"/>
    <w:rsid w:val="00441D48"/>
    <w:rsid w:val="0044268E"/>
    <w:rsid w:val="00443C71"/>
    <w:rsid w:val="00444596"/>
    <w:rsid w:val="00445C74"/>
    <w:rsid w:val="0044613D"/>
    <w:rsid w:val="0044650B"/>
    <w:rsid w:val="004467BD"/>
    <w:rsid w:val="00446F15"/>
    <w:rsid w:val="0044706E"/>
    <w:rsid w:val="00447468"/>
    <w:rsid w:val="00447B8F"/>
    <w:rsid w:val="00447CFC"/>
    <w:rsid w:val="004501B3"/>
    <w:rsid w:val="00450A4A"/>
    <w:rsid w:val="00450D64"/>
    <w:rsid w:val="00450D96"/>
    <w:rsid w:val="00453466"/>
    <w:rsid w:val="00454345"/>
    <w:rsid w:val="00454492"/>
    <w:rsid w:val="0045481D"/>
    <w:rsid w:val="00455165"/>
    <w:rsid w:val="0045524E"/>
    <w:rsid w:val="00456CCD"/>
    <w:rsid w:val="00456D70"/>
    <w:rsid w:val="00456FF9"/>
    <w:rsid w:val="00457228"/>
    <w:rsid w:val="00457B89"/>
    <w:rsid w:val="0046041C"/>
    <w:rsid w:val="004606C0"/>
    <w:rsid w:val="0046072C"/>
    <w:rsid w:val="00461E19"/>
    <w:rsid w:val="0046208F"/>
    <w:rsid w:val="00462248"/>
    <w:rsid w:val="00462781"/>
    <w:rsid w:val="00462827"/>
    <w:rsid w:val="00462F9A"/>
    <w:rsid w:val="004642EF"/>
    <w:rsid w:val="0046488C"/>
    <w:rsid w:val="0046574C"/>
    <w:rsid w:val="004662B0"/>
    <w:rsid w:val="004666FB"/>
    <w:rsid w:val="00467542"/>
    <w:rsid w:val="00467B7E"/>
    <w:rsid w:val="00467CF1"/>
    <w:rsid w:val="0047006D"/>
    <w:rsid w:val="004702E9"/>
    <w:rsid w:val="004715B7"/>
    <w:rsid w:val="00471BC8"/>
    <w:rsid w:val="00471ED1"/>
    <w:rsid w:val="00472060"/>
    <w:rsid w:val="00472B0E"/>
    <w:rsid w:val="004730AF"/>
    <w:rsid w:val="00473197"/>
    <w:rsid w:val="0047494F"/>
    <w:rsid w:val="00475E68"/>
    <w:rsid w:val="004764FC"/>
    <w:rsid w:val="00476B10"/>
    <w:rsid w:val="00477BE3"/>
    <w:rsid w:val="00477D29"/>
    <w:rsid w:val="00480B24"/>
    <w:rsid w:val="004810B3"/>
    <w:rsid w:val="0048119E"/>
    <w:rsid w:val="004815A2"/>
    <w:rsid w:val="004817BD"/>
    <w:rsid w:val="00481C1F"/>
    <w:rsid w:val="00482208"/>
    <w:rsid w:val="00482359"/>
    <w:rsid w:val="00482528"/>
    <w:rsid w:val="00482644"/>
    <w:rsid w:val="00483146"/>
    <w:rsid w:val="00483697"/>
    <w:rsid w:val="00483974"/>
    <w:rsid w:val="00483D9E"/>
    <w:rsid w:val="00484B2F"/>
    <w:rsid w:val="00484F80"/>
    <w:rsid w:val="004850C2"/>
    <w:rsid w:val="00486A15"/>
    <w:rsid w:val="0048701C"/>
    <w:rsid w:val="0049044E"/>
    <w:rsid w:val="004907E1"/>
    <w:rsid w:val="00490BE7"/>
    <w:rsid w:val="00490C98"/>
    <w:rsid w:val="0049419D"/>
    <w:rsid w:val="004949AA"/>
    <w:rsid w:val="00494BFF"/>
    <w:rsid w:val="00495029"/>
    <w:rsid w:val="00495396"/>
    <w:rsid w:val="00495CD7"/>
    <w:rsid w:val="004962B8"/>
    <w:rsid w:val="00496687"/>
    <w:rsid w:val="00496C69"/>
    <w:rsid w:val="00496DBC"/>
    <w:rsid w:val="0049749D"/>
    <w:rsid w:val="004977D3"/>
    <w:rsid w:val="00497D68"/>
    <w:rsid w:val="004A0977"/>
    <w:rsid w:val="004A0A82"/>
    <w:rsid w:val="004A1588"/>
    <w:rsid w:val="004A17A5"/>
    <w:rsid w:val="004A17FF"/>
    <w:rsid w:val="004A1B3A"/>
    <w:rsid w:val="004A1B66"/>
    <w:rsid w:val="004A1EEA"/>
    <w:rsid w:val="004A2B9D"/>
    <w:rsid w:val="004A37A5"/>
    <w:rsid w:val="004A3806"/>
    <w:rsid w:val="004A38DF"/>
    <w:rsid w:val="004A3DC4"/>
    <w:rsid w:val="004A423C"/>
    <w:rsid w:val="004A4400"/>
    <w:rsid w:val="004A4A3E"/>
    <w:rsid w:val="004A4DB0"/>
    <w:rsid w:val="004A514F"/>
    <w:rsid w:val="004A53E7"/>
    <w:rsid w:val="004A5960"/>
    <w:rsid w:val="004A5A1D"/>
    <w:rsid w:val="004A6298"/>
    <w:rsid w:val="004A7566"/>
    <w:rsid w:val="004B1EE5"/>
    <w:rsid w:val="004B23FB"/>
    <w:rsid w:val="004B2762"/>
    <w:rsid w:val="004B2DE8"/>
    <w:rsid w:val="004B31F9"/>
    <w:rsid w:val="004B388C"/>
    <w:rsid w:val="004B40A9"/>
    <w:rsid w:val="004B45B7"/>
    <w:rsid w:val="004B4E6F"/>
    <w:rsid w:val="004B634D"/>
    <w:rsid w:val="004B7D4C"/>
    <w:rsid w:val="004B7EB6"/>
    <w:rsid w:val="004C0FE4"/>
    <w:rsid w:val="004C14B0"/>
    <w:rsid w:val="004C17B4"/>
    <w:rsid w:val="004C2235"/>
    <w:rsid w:val="004C2999"/>
    <w:rsid w:val="004C427F"/>
    <w:rsid w:val="004C4B62"/>
    <w:rsid w:val="004C599D"/>
    <w:rsid w:val="004C68B8"/>
    <w:rsid w:val="004C7257"/>
    <w:rsid w:val="004C758F"/>
    <w:rsid w:val="004C77DC"/>
    <w:rsid w:val="004C7EE2"/>
    <w:rsid w:val="004D0229"/>
    <w:rsid w:val="004D0B53"/>
    <w:rsid w:val="004D15C2"/>
    <w:rsid w:val="004D37B1"/>
    <w:rsid w:val="004D3942"/>
    <w:rsid w:val="004D46A5"/>
    <w:rsid w:val="004D4782"/>
    <w:rsid w:val="004D4A6A"/>
    <w:rsid w:val="004D4D1B"/>
    <w:rsid w:val="004D4E01"/>
    <w:rsid w:val="004D5931"/>
    <w:rsid w:val="004D6025"/>
    <w:rsid w:val="004D61E8"/>
    <w:rsid w:val="004D657F"/>
    <w:rsid w:val="004D6A97"/>
    <w:rsid w:val="004D72BC"/>
    <w:rsid w:val="004D78B4"/>
    <w:rsid w:val="004E13F5"/>
    <w:rsid w:val="004E2452"/>
    <w:rsid w:val="004E2FE2"/>
    <w:rsid w:val="004E3A16"/>
    <w:rsid w:val="004E4423"/>
    <w:rsid w:val="004E4761"/>
    <w:rsid w:val="004E4C6B"/>
    <w:rsid w:val="004E662D"/>
    <w:rsid w:val="004E6C9C"/>
    <w:rsid w:val="004F04A5"/>
    <w:rsid w:val="004F0842"/>
    <w:rsid w:val="004F15C4"/>
    <w:rsid w:val="004F16E8"/>
    <w:rsid w:val="004F173D"/>
    <w:rsid w:val="004F1DAD"/>
    <w:rsid w:val="004F2694"/>
    <w:rsid w:val="004F2FC4"/>
    <w:rsid w:val="004F37CA"/>
    <w:rsid w:val="004F3905"/>
    <w:rsid w:val="004F441A"/>
    <w:rsid w:val="004F4C1C"/>
    <w:rsid w:val="004F530D"/>
    <w:rsid w:val="004F5466"/>
    <w:rsid w:val="004F5EE6"/>
    <w:rsid w:val="004F6949"/>
    <w:rsid w:val="004F69EA"/>
    <w:rsid w:val="004F69ED"/>
    <w:rsid w:val="004F6D1E"/>
    <w:rsid w:val="004F7707"/>
    <w:rsid w:val="005008C7"/>
    <w:rsid w:val="00501399"/>
    <w:rsid w:val="00501B09"/>
    <w:rsid w:val="00501D6B"/>
    <w:rsid w:val="00501DFB"/>
    <w:rsid w:val="00502E35"/>
    <w:rsid w:val="005035D3"/>
    <w:rsid w:val="00503C4C"/>
    <w:rsid w:val="0050536C"/>
    <w:rsid w:val="00505B63"/>
    <w:rsid w:val="005061B9"/>
    <w:rsid w:val="005066A4"/>
    <w:rsid w:val="005068B0"/>
    <w:rsid w:val="00507534"/>
    <w:rsid w:val="00507BC4"/>
    <w:rsid w:val="0051007A"/>
    <w:rsid w:val="00510311"/>
    <w:rsid w:val="00510327"/>
    <w:rsid w:val="005112A4"/>
    <w:rsid w:val="005128E4"/>
    <w:rsid w:val="00512A35"/>
    <w:rsid w:val="00513229"/>
    <w:rsid w:val="00513B84"/>
    <w:rsid w:val="005140FC"/>
    <w:rsid w:val="005142E0"/>
    <w:rsid w:val="005152B7"/>
    <w:rsid w:val="00516035"/>
    <w:rsid w:val="00516BBE"/>
    <w:rsid w:val="00520369"/>
    <w:rsid w:val="00521895"/>
    <w:rsid w:val="00521909"/>
    <w:rsid w:val="005223AF"/>
    <w:rsid w:val="005224D2"/>
    <w:rsid w:val="005232E1"/>
    <w:rsid w:val="005234E7"/>
    <w:rsid w:val="00523977"/>
    <w:rsid w:val="00524268"/>
    <w:rsid w:val="00524748"/>
    <w:rsid w:val="00524EB4"/>
    <w:rsid w:val="00525278"/>
    <w:rsid w:val="00525560"/>
    <w:rsid w:val="00525C32"/>
    <w:rsid w:val="00525F05"/>
    <w:rsid w:val="00526204"/>
    <w:rsid w:val="005267AC"/>
    <w:rsid w:val="00526D24"/>
    <w:rsid w:val="00526DF9"/>
    <w:rsid w:val="00526EF8"/>
    <w:rsid w:val="00527461"/>
    <w:rsid w:val="0052770D"/>
    <w:rsid w:val="00527AF5"/>
    <w:rsid w:val="00527E0A"/>
    <w:rsid w:val="00530295"/>
    <w:rsid w:val="00530B2B"/>
    <w:rsid w:val="00531008"/>
    <w:rsid w:val="0053134C"/>
    <w:rsid w:val="00531517"/>
    <w:rsid w:val="0053187E"/>
    <w:rsid w:val="00532507"/>
    <w:rsid w:val="005325F6"/>
    <w:rsid w:val="0053303C"/>
    <w:rsid w:val="005343C0"/>
    <w:rsid w:val="005346E1"/>
    <w:rsid w:val="00534A53"/>
    <w:rsid w:val="00535135"/>
    <w:rsid w:val="005357A6"/>
    <w:rsid w:val="0053592E"/>
    <w:rsid w:val="00535FF9"/>
    <w:rsid w:val="005366E5"/>
    <w:rsid w:val="005367D0"/>
    <w:rsid w:val="00536848"/>
    <w:rsid w:val="005369AE"/>
    <w:rsid w:val="00536B9E"/>
    <w:rsid w:val="005401F2"/>
    <w:rsid w:val="00540814"/>
    <w:rsid w:val="00540AEC"/>
    <w:rsid w:val="00541B01"/>
    <w:rsid w:val="005422EF"/>
    <w:rsid w:val="00542375"/>
    <w:rsid w:val="005430A6"/>
    <w:rsid w:val="00543705"/>
    <w:rsid w:val="005439C3"/>
    <w:rsid w:val="0054420E"/>
    <w:rsid w:val="00544C49"/>
    <w:rsid w:val="00544FD7"/>
    <w:rsid w:val="0054561F"/>
    <w:rsid w:val="005456B2"/>
    <w:rsid w:val="005458F3"/>
    <w:rsid w:val="0054591A"/>
    <w:rsid w:val="00547EB7"/>
    <w:rsid w:val="00550141"/>
    <w:rsid w:val="00550FAA"/>
    <w:rsid w:val="0055160C"/>
    <w:rsid w:val="005531BB"/>
    <w:rsid w:val="00553EC6"/>
    <w:rsid w:val="00554BAB"/>
    <w:rsid w:val="00555492"/>
    <w:rsid w:val="00555630"/>
    <w:rsid w:val="005557F2"/>
    <w:rsid w:val="00555A6E"/>
    <w:rsid w:val="00555B41"/>
    <w:rsid w:val="00555C6B"/>
    <w:rsid w:val="00557C07"/>
    <w:rsid w:val="00560563"/>
    <w:rsid w:val="005627FD"/>
    <w:rsid w:val="00562E4A"/>
    <w:rsid w:val="00563167"/>
    <w:rsid w:val="00563314"/>
    <w:rsid w:val="005633E7"/>
    <w:rsid w:val="00563F04"/>
    <w:rsid w:val="00563FEC"/>
    <w:rsid w:val="00563FEE"/>
    <w:rsid w:val="0056432A"/>
    <w:rsid w:val="00565B4B"/>
    <w:rsid w:val="00566246"/>
    <w:rsid w:val="00566AEA"/>
    <w:rsid w:val="0056759E"/>
    <w:rsid w:val="00570336"/>
    <w:rsid w:val="00570699"/>
    <w:rsid w:val="005706EF"/>
    <w:rsid w:val="00570AF2"/>
    <w:rsid w:val="00571247"/>
    <w:rsid w:val="005713C7"/>
    <w:rsid w:val="00571D63"/>
    <w:rsid w:val="00572495"/>
    <w:rsid w:val="0057276F"/>
    <w:rsid w:val="00572E10"/>
    <w:rsid w:val="0057402A"/>
    <w:rsid w:val="00574148"/>
    <w:rsid w:val="005744A4"/>
    <w:rsid w:val="00574D8E"/>
    <w:rsid w:val="0057516B"/>
    <w:rsid w:val="005755D5"/>
    <w:rsid w:val="00575737"/>
    <w:rsid w:val="00575CF4"/>
    <w:rsid w:val="005761DA"/>
    <w:rsid w:val="005764DD"/>
    <w:rsid w:val="00576832"/>
    <w:rsid w:val="005771D0"/>
    <w:rsid w:val="00577B42"/>
    <w:rsid w:val="0058022B"/>
    <w:rsid w:val="005826EA"/>
    <w:rsid w:val="00582750"/>
    <w:rsid w:val="00582D0D"/>
    <w:rsid w:val="0058343A"/>
    <w:rsid w:val="00583F72"/>
    <w:rsid w:val="00584C28"/>
    <w:rsid w:val="00584F43"/>
    <w:rsid w:val="00585229"/>
    <w:rsid w:val="00585DED"/>
    <w:rsid w:val="005861B6"/>
    <w:rsid w:val="00587000"/>
    <w:rsid w:val="00587964"/>
    <w:rsid w:val="005902A3"/>
    <w:rsid w:val="0059066D"/>
    <w:rsid w:val="00590A3C"/>
    <w:rsid w:val="00590A78"/>
    <w:rsid w:val="00590BF3"/>
    <w:rsid w:val="00590C43"/>
    <w:rsid w:val="00590C5B"/>
    <w:rsid w:val="00590E8E"/>
    <w:rsid w:val="005910C0"/>
    <w:rsid w:val="005916E2"/>
    <w:rsid w:val="0059191A"/>
    <w:rsid w:val="00591B96"/>
    <w:rsid w:val="00591F60"/>
    <w:rsid w:val="005921FF"/>
    <w:rsid w:val="00592299"/>
    <w:rsid w:val="0059318E"/>
    <w:rsid w:val="005937E2"/>
    <w:rsid w:val="005946FF"/>
    <w:rsid w:val="00594CE1"/>
    <w:rsid w:val="0059546C"/>
    <w:rsid w:val="00595766"/>
    <w:rsid w:val="00596514"/>
    <w:rsid w:val="0059670F"/>
    <w:rsid w:val="00596ABE"/>
    <w:rsid w:val="00596AD3"/>
    <w:rsid w:val="00596B97"/>
    <w:rsid w:val="00596D4A"/>
    <w:rsid w:val="00596F42"/>
    <w:rsid w:val="00597162"/>
    <w:rsid w:val="0059770B"/>
    <w:rsid w:val="00597C8A"/>
    <w:rsid w:val="005A0046"/>
    <w:rsid w:val="005A0410"/>
    <w:rsid w:val="005A10C2"/>
    <w:rsid w:val="005A2E9B"/>
    <w:rsid w:val="005A37BB"/>
    <w:rsid w:val="005A482E"/>
    <w:rsid w:val="005A4B8E"/>
    <w:rsid w:val="005A6205"/>
    <w:rsid w:val="005A6A13"/>
    <w:rsid w:val="005A6D0E"/>
    <w:rsid w:val="005A6E50"/>
    <w:rsid w:val="005A6E68"/>
    <w:rsid w:val="005A734E"/>
    <w:rsid w:val="005A792E"/>
    <w:rsid w:val="005B0001"/>
    <w:rsid w:val="005B0272"/>
    <w:rsid w:val="005B0676"/>
    <w:rsid w:val="005B0C41"/>
    <w:rsid w:val="005B12C2"/>
    <w:rsid w:val="005B1DBA"/>
    <w:rsid w:val="005B222D"/>
    <w:rsid w:val="005B245E"/>
    <w:rsid w:val="005B28A7"/>
    <w:rsid w:val="005B3609"/>
    <w:rsid w:val="005B3795"/>
    <w:rsid w:val="005B3A12"/>
    <w:rsid w:val="005B3DEC"/>
    <w:rsid w:val="005B3EF2"/>
    <w:rsid w:val="005B52B0"/>
    <w:rsid w:val="005B65AF"/>
    <w:rsid w:val="005B67DE"/>
    <w:rsid w:val="005B6806"/>
    <w:rsid w:val="005B711D"/>
    <w:rsid w:val="005B7A72"/>
    <w:rsid w:val="005B7EDC"/>
    <w:rsid w:val="005C00F9"/>
    <w:rsid w:val="005C05FA"/>
    <w:rsid w:val="005C0C21"/>
    <w:rsid w:val="005C164F"/>
    <w:rsid w:val="005C1853"/>
    <w:rsid w:val="005C18DA"/>
    <w:rsid w:val="005C1A8D"/>
    <w:rsid w:val="005C1D8E"/>
    <w:rsid w:val="005C207A"/>
    <w:rsid w:val="005C23BD"/>
    <w:rsid w:val="005C2B10"/>
    <w:rsid w:val="005C2BA2"/>
    <w:rsid w:val="005C2E02"/>
    <w:rsid w:val="005C3149"/>
    <w:rsid w:val="005C34BB"/>
    <w:rsid w:val="005C3944"/>
    <w:rsid w:val="005C3E22"/>
    <w:rsid w:val="005C400B"/>
    <w:rsid w:val="005C4011"/>
    <w:rsid w:val="005C4225"/>
    <w:rsid w:val="005C456D"/>
    <w:rsid w:val="005C4AF4"/>
    <w:rsid w:val="005C5F93"/>
    <w:rsid w:val="005C7E23"/>
    <w:rsid w:val="005D0AC5"/>
    <w:rsid w:val="005D0FBF"/>
    <w:rsid w:val="005D1076"/>
    <w:rsid w:val="005D1128"/>
    <w:rsid w:val="005D1D34"/>
    <w:rsid w:val="005D2E13"/>
    <w:rsid w:val="005D489C"/>
    <w:rsid w:val="005D50AD"/>
    <w:rsid w:val="005D55A5"/>
    <w:rsid w:val="005D5A45"/>
    <w:rsid w:val="005D5C54"/>
    <w:rsid w:val="005D5DED"/>
    <w:rsid w:val="005D6891"/>
    <w:rsid w:val="005D6A03"/>
    <w:rsid w:val="005D6AC4"/>
    <w:rsid w:val="005D6B2C"/>
    <w:rsid w:val="005D7191"/>
    <w:rsid w:val="005D7280"/>
    <w:rsid w:val="005E04BC"/>
    <w:rsid w:val="005E09BC"/>
    <w:rsid w:val="005E1D4B"/>
    <w:rsid w:val="005E287A"/>
    <w:rsid w:val="005E2BDE"/>
    <w:rsid w:val="005E3F88"/>
    <w:rsid w:val="005E4A95"/>
    <w:rsid w:val="005E4CF1"/>
    <w:rsid w:val="005E5196"/>
    <w:rsid w:val="005E5258"/>
    <w:rsid w:val="005E5419"/>
    <w:rsid w:val="005E6C0C"/>
    <w:rsid w:val="005E6EE3"/>
    <w:rsid w:val="005E74C5"/>
    <w:rsid w:val="005E7642"/>
    <w:rsid w:val="005F0F33"/>
    <w:rsid w:val="005F1C54"/>
    <w:rsid w:val="005F1F31"/>
    <w:rsid w:val="005F2A0D"/>
    <w:rsid w:val="005F32A0"/>
    <w:rsid w:val="005F3F11"/>
    <w:rsid w:val="005F5456"/>
    <w:rsid w:val="005F55DC"/>
    <w:rsid w:val="005F57C1"/>
    <w:rsid w:val="005F6768"/>
    <w:rsid w:val="005F7C35"/>
    <w:rsid w:val="0060040E"/>
    <w:rsid w:val="006005C1"/>
    <w:rsid w:val="00600A96"/>
    <w:rsid w:val="00600DEB"/>
    <w:rsid w:val="00600EE3"/>
    <w:rsid w:val="00601BF7"/>
    <w:rsid w:val="00602146"/>
    <w:rsid w:val="006021D4"/>
    <w:rsid w:val="0060270A"/>
    <w:rsid w:val="00602B9B"/>
    <w:rsid w:val="00603D6F"/>
    <w:rsid w:val="00604B83"/>
    <w:rsid w:val="006058CB"/>
    <w:rsid w:val="006059FA"/>
    <w:rsid w:val="00607325"/>
    <w:rsid w:val="00607F83"/>
    <w:rsid w:val="006104FA"/>
    <w:rsid w:val="006112EF"/>
    <w:rsid w:val="00612B39"/>
    <w:rsid w:val="00613027"/>
    <w:rsid w:val="00613120"/>
    <w:rsid w:val="00613A08"/>
    <w:rsid w:val="00613ABF"/>
    <w:rsid w:val="0061412F"/>
    <w:rsid w:val="00614153"/>
    <w:rsid w:val="006146AC"/>
    <w:rsid w:val="00614AE8"/>
    <w:rsid w:val="00615073"/>
    <w:rsid w:val="0061546B"/>
    <w:rsid w:val="00615B67"/>
    <w:rsid w:val="00615D70"/>
    <w:rsid w:val="00615F46"/>
    <w:rsid w:val="00616320"/>
    <w:rsid w:val="006169E9"/>
    <w:rsid w:val="00617156"/>
    <w:rsid w:val="006176BF"/>
    <w:rsid w:val="00617842"/>
    <w:rsid w:val="006206FF"/>
    <w:rsid w:val="00620A30"/>
    <w:rsid w:val="00620A65"/>
    <w:rsid w:val="00620B75"/>
    <w:rsid w:val="00620B9F"/>
    <w:rsid w:val="006225B7"/>
    <w:rsid w:val="00623324"/>
    <w:rsid w:val="006238CB"/>
    <w:rsid w:val="00624716"/>
    <w:rsid w:val="006247DB"/>
    <w:rsid w:val="00624E66"/>
    <w:rsid w:val="006250EE"/>
    <w:rsid w:val="00625577"/>
    <w:rsid w:val="00625585"/>
    <w:rsid w:val="00625A51"/>
    <w:rsid w:val="006260B6"/>
    <w:rsid w:val="00626109"/>
    <w:rsid w:val="00626360"/>
    <w:rsid w:val="006263C9"/>
    <w:rsid w:val="006263CE"/>
    <w:rsid w:val="00626A1D"/>
    <w:rsid w:val="00626FB3"/>
    <w:rsid w:val="006272AD"/>
    <w:rsid w:val="00627A51"/>
    <w:rsid w:val="00627C9F"/>
    <w:rsid w:val="006307DF"/>
    <w:rsid w:val="00630A0E"/>
    <w:rsid w:val="00630B42"/>
    <w:rsid w:val="00630C75"/>
    <w:rsid w:val="00630F01"/>
    <w:rsid w:val="00630F7D"/>
    <w:rsid w:val="006311DA"/>
    <w:rsid w:val="006311E9"/>
    <w:rsid w:val="00631FE8"/>
    <w:rsid w:val="006322B9"/>
    <w:rsid w:val="00632354"/>
    <w:rsid w:val="00632429"/>
    <w:rsid w:val="0063262B"/>
    <w:rsid w:val="00632BF2"/>
    <w:rsid w:val="00633261"/>
    <w:rsid w:val="00633522"/>
    <w:rsid w:val="006354CD"/>
    <w:rsid w:val="00636406"/>
    <w:rsid w:val="00636E0C"/>
    <w:rsid w:val="00636F4A"/>
    <w:rsid w:val="00637539"/>
    <w:rsid w:val="00637B7B"/>
    <w:rsid w:val="00637E84"/>
    <w:rsid w:val="00640173"/>
    <w:rsid w:val="0064172A"/>
    <w:rsid w:val="006418C1"/>
    <w:rsid w:val="006420B7"/>
    <w:rsid w:val="00642810"/>
    <w:rsid w:val="00643F66"/>
    <w:rsid w:val="006440EE"/>
    <w:rsid w:val="006458AD"/>
    <w:rsid w:val="00647033"/>
    <w:rsid w:val="0064712F"/>
    <w:rsid w:val="0064793C"/>
    <w:rsid w:val="006504D5"/>
    <w:rsid w:val="00650FA3"/>
    <w:rsid w:val="006516A4"/>
    <w:rsid w:val="006516FE"/>
    <w:rsid w:val="00651D1D"/>
    <w:rsid w:val="00652333"/>
    <w:rsid w:val="00653FB1"/>
    <w:rsid w:val="006549A4"/>
    <w:rsid w:val="00656085"/>
    <w:rsid w:val="0065629A"/>
    <w:rsid w:val="00656FE7"/>
    <w:rsid w:val="0065765B"/>
    <w:rsid w:val="006605AC"/>
    <w:rsid w:val="006609DD"/>
    <w:rsid w:val="00662410"/>
    <w:rsid w:val="0066264A"/>
    <w:rsid w:val="00662AAD"/>
    <w:rsid w:val="00662F5D"/>
    <w:rsid w:val="006634C1"/>
    <w:rsid w:val="006635A6"/>
    <w:rsid w:val="00663FCB"/>
    <w:rsid w:val="00664C08"/>
    <w:rsid w:val="00664DDE"/>
    <w:rsid w:val="00666382"/>
    <w:rsid w:val="006663C5"/>
    <w:rsid w:val="00666536"/>
    <w:rsid w:val="0066666B"/>
    <w:rsid w:val="00666AEF"/>
    <w:rsid w:val="006705A7"/>
    <w:rsid w:val="00670B3D"/>
    <w:rsid w:val="006716B8"/>
    <w:rsid w:val="00673206"/>
    <w:rsid w:val="0067329C"/>
    <w:rsid w:val="00674465"/>
    <w:rsid w:val="0067472A"/>
    <w:rsid w:val="00674C6A"/>
    <w:rsid w:val="00676ED0"/>
    <w:rsid w:val="00677938"/>
    <w:rsid w:val="00677DA7"/>
    <w:rsid w:val="0068009E"/>
    <w:rsid w:val="00680273"/>
    <w:rsid w:val="00680A71"/>
    <w:rsid w:val="00680AC6"/>
    <w:rsid w:val="00681DF5"/>
    <w:rsid w:val="00681ED3"/>
    <w:rsid w:val="00682CC9"/>
    <w:rsid w:val="00682D35"/>
    <w:rsid w:val="006831D4"/>
    <w:rsid w:val="00683305"/>
    <w:rsid w:val="00684434"/>
    <w:rsid w:val="006847BC"/>
    <w:rsid w:val="006849BF"/>
    <w:rsid w:val="00684EFB"/>
    <w:rsid w:val="00685184"/>
    <w:rsid w:val="0068579A"/>
    <w:rsid w:val="006865D7"/>
    <w:rsid w:val="00686D22"/>
    <w:rsid w:val="00687432"/>
    <w:rsid w:val="006874B7"/>
    <w:rsid w:val="00687725"/>
    <w:rsid w:val="006901ED"/>
    <w:rsid w:val="00690EBF"/>
    <w:rsid w:val="00691262"/>
    <w:rsid w:val="00691B5E"/>
    <w:rsid w:val="00691DE4"/>
    <w:rsid w:val="0069244C"/>
    <w:rsid w:val="00692996"/>
    <w:rsid w:val="00692A55"/>
    <w:rsid w:val="00693813"/>
    <w:rsid w:val="006951BB"/>
    <w:rsid w:val="0069578C"/>
    <w:rsid w:val="00695EAA"/>
    <w:rsid w:val="00696944"/>
    <w:rsid w:val="006972FB"/>
    <w:rsid w:val="00697339"/>
    <w:rsid w:val="006973F6"/>
    <w:rsid w:val="00697B2C"/>
    <w:rsid w:val="00697E01"/>
    <w:rsid w:val="006A0548"/>
    <w:rsid w:val="006A0F00"/>
    <w:rsid w:val="006A0F77"/>
    <w:rsid w:val="006A11FD"/>
    <w:rsid w:val="006A17D2"/>
    <w:rsid w:val="006A2490"/>
    <w:rsid w:val="006A3252"/>
    <w:rsid w:val="006A3B33"/>
    <w:rsid w:val="006A3EE1"/>
    <w:rsid w:val="006A4B8C"/>
    <w:rsid w:val="006A508B"/>
    <w:rsid w:val="006A538E"/>
    <w:rsid w:val="006A58D1"/>
    <w:rsid w:val="006A6E1A"/>
    <w:rsid w:val="006A70B4"/>
    <w:rsid w:val="006A73E6"/>
    <w:rsid w:val="006A7408"/>
    <w:rsid w:val="006A7764"/>
    <w:rsid w:val="006B00DA"/>
    <w:rsid w:val="006B0169"/>
    <w:rsid w:val="006B05D1"/>
    <w:rsid w:val="006B130C"/>
    <w:rsid w:val="006B17B3"/>
    <w:rsid w:val="006B1EDA"/>
    <w:rsid w:val="006B22C0"/>
    <w:rsid w:val="006B231D"/>
    <w:rsid w:val="006B248C"/>
    <w:rsid w:val="006B2623"/>
    <w:rsid w:val="006B265D"/>
    <w:rsid w:val="006B295E"/>
    <w:rsid w:val="006B2D5C"/>
    <w:rsid w:val="006B37DA"/>
    <w:rsid w:val="006B4324"/>
    <w:rsid w:val="006B544B"/>
    <w:rsid w:val="006B596A"/>
    <w:rsid w:val="006B5C2E"/>
    <w:rsid w:val="006B5FBA"/>
    <w:rsid w:val="006B6D64"/>
    <w:rsid w:val="006B6FFA"/>
    <w:rsid w:val="006B7813"/>
    <w:rsid w:val="006C030E"/>
    <w:rsid w:val="006C0F5D"/>
    <w:rsid w:val="006C116A"/>
    <w:rsid w:val="006C11E8"/>
    <w:rsid w:val="006C1815"/>
    <w:rsid w:val="006C2346"/>
    <w:rsid w:val="006C2B38"/>
    <w:rsid w:val="006C3179"/>
    <w:rsid w:val="006C3197"/>
    <w:rsid w:val="006C4233"/>
    <w:rsid w:val="006C448A"/>
    <w:rsid w:val="006C4596"/>
    <w:rsid w:val="006C4D48"/>
    <w:rsid w:val="006C4EB1"/>
    <w:rsid w:val="006C6E31"/>
    <w:rsid w:val="006C73ED"/>
    <w:rsid w:val="006C7E62"/>
    <w:rsid w:val="006D0195"/>
    <w:rsid w:val="006D01E3"/>
    <w:rsid w:val="006D0424"/>
    <w:rsid w:val="006D1A3C"/>
    <w:rsid w:val="006D2C28"/>
    <w:rsid w:val="006D2CC2"/>
    <w:rsid w:val="006D2D13"/>
    <w:rsid w:val="006D48BB"/>
    <w:rsid w:val="006D52FC"/>
    <w:rsid w:val="006D5CE3"/>
    <w:rsid w:val="006D5D5D"/>
    <w:rsid w:val="006D6E36"/>
    <w:rsid w:val="006D70BA"/>
    <w:rsid w:val="006D7976"/>
    <w:rsid w:val="006E00AB"/>
    <w:rsid w:val="006E0166"/>
    <w:rsid w:val="006E0DF6"/>
    <w:rsid w:val="006E0F9B"/>
    <w:rsid w:val="006E0FB2"/>
    <w:rsid w:val="006E1163"/>
    <w:rsid w:val="006E1407"/>
    <w:rsid w:val="006E18B8"/>
    <w:rsid w:val="006E2357"/>
    <w:rsid w:val="006E2E6B"/>
    <w:rsid w:val="006E30DB"/>
    <w:rsid w:val="006E33EC"/>
    <w:rsid w:val="006E35A0"/>
    <w:rsid w:val="006E37D3"/>
    <w:rsid w:val="006E4B61"/>
    <w:rsid w:val="006E4CCE"/>
    <w:rsid w:val="006E52D2"/>
    <w:rsid w:val="006E5C58"/>
    <w:rsid w:val="006E6048"/>
    <w:rsid w:val="006E67F6"/>
    <w:rsid w:val="006E6C78"/>
    <w:rsid w:val="006E6F1E"/>
    <w:rsid w:val="006E7B34"/>
    <w:rsid w:val="006E7EA4"/>
    <w:rsid w:val="006F0D61"/>
    <w:rsid w:val="006F0E46"/>
    <w:rsid w:val="006F157C"/>
    <w:rsid w:val="006F1601"/>
    <w:rsid w:val="006F1716"/>
    <w:rsid w:val="006F2AB1"/>
    <w:rsid w:val="006F3590"/>
    <w:rsid w:val="006F3597"/>
    <w:rsid w:val="006F374D"/>
    <w:rsid w:val="006F41F1"/>
    <w:rsid w:val="006F5723"/>
    <w:rsid w:val="006F672E"/>
    <w:rsid w:val="006F67D6"/>
    <w:rsid w:val="006F6DFD"/>
    <w:rsid w:val="006F6EE6"/>
    <w:rsid w:val="006F7488"/>
    <w:rsid w:val="0070045F"/>
    <w:rsid w:val="00700471"/>
    <w:rsid w:val="00700C65"/>
    <w:rsid w:val="00700E42"/>
    <w:rsid w:val="00701610"/>
    <w:rsid w:val="007016FE"/>
    <w:rsid w:val="00701B24"/>
    <w:rsid w:val="00702565"/>
    <w:rsid w:val="007025EB"/>
    <w:rsid w:val="0070267B"/>
    <w:rsid w:val="00702A7C"/>
    <w:rsid w:val="00702CC5"/>
    <w:rsid w:val="00702CD7"/>
    <w:rsid w:val="00702DE6"/>
    <w:rsid w:val="00702EA5"/>
    <w:rsid w:val="00703F16"/>
    <w:rsid w:val="00703F90"/>
    <w:rsid w:val="0070404E"/>
    <w:rsid w:val="00704098"/>
    <w:rsid w:val="0070456C"/>
    <w:rsid w:val="00704B18"/>
    <w:rsid w:val="00705FAC"/>
    <w:rsid w:val="0070603C"/>
    <w:rsid w:val="00706591"/>
    <w:rsid w:val="00706698"/>
    <w:rsid w:val="00706D7E"/>
    <w:rsid w:val="00707486"/>
    <w:rsid w:val="00707A5C"/>
    <w:rsid w:val="00707BAF"/>
    <w:rsid w:val="00707C8E"/>
    <w:rsid w:val="00707E8E"/>
    <w:rsid w:val="00710376"/>
    <w:rsid w:val="00710ED5"/>
    <w:rsid w:val="00711137"/>
    <w:rsid w:val="0071191F"/>
    <w:rsid w:val="00711D41"/>
    <w:rsid w:val="007140C0"/>
    <w:rsid w:val="00715902"/>
    <w:rsid w:val="00715928"/>
    <w:rsid w:val="007169BB"/>
    <w:rsid w:val="00716BEC"/>
    <w:rsid w:val="00716D62"/>
    <w:rsid w:val="00717B70"/>
    <w:rsid w:val="0072003B"/>
    <w:rsid w:val="0072130B"/>
    <w:rsid w:val="00722293"/>
    <w:rsid w:val="0072335A"/>
    <w:rsid w:val="007237C3"/>
    <w:rsid w:val="0072472F"/>
    <w:rsid w:val="007247E2"/>
    <w:rsid w:val="00725530"/>
    <w:rsid w:val="007258C2"/>
    <w:rsid w:val="007259C3"/>
    <w:rsid w:val="00727D80"/>
    <w:rsid w:val="00730731"/>
    <w:rsid w:val="00731457"/>
    <w:rsid w:val="00731DA0"/>
    <w:rsid w:val="00733573"/>
    <w:rsid w:val="007359CB"/>
    <w:rsid w:val="00737A15"/>
    <w:rsid w:val="00740021"/>
    <w:rsid w:val="007400D8"/>
    <w:rsid w:val="00741346"/>
    <w:rsid w:val="0074145C"/>
    <w:rsid w:val="00741D4C"/>
    <w:rsid w:val="0074296A"/>
    <w:rsid w:val="007433B0"/>
    <w:rsid w:val="007451C8"/>
    <w:rsid w:val="0074535C"/>
    <w:rsid w:val="0074572F"/>
    <w:rsid w:val="0074581C"/>
    <w:rsid w:val="00745899"/>
    <w:rsid w:val="00750078"/>
    <w:rsid w:val="00750568"/>
    <w:rsid w:val="00750BB6"/>
    <w:rsid w:val="00750E1A"/>
    <w:rsid w:val="00751379"/>
    <w:rsid w:val="0075164B"/>
    <w:rsid w:val="007538FC"/>
    <w:rsid w:val="007547F0"/>
    <w:rsid w:val="00754A2A"/>
    <w:rsid w:val="00754E95"/>
    <w:rsid w:val="00755F05"/>
    <w:rsid w:val="007561AD"/>
    <w:rsid w:val="007570FA"/>
    <w:rsid w:val="0075783F"/>
    <w:rsid w:val="00757F66"/>
    <w:rsid w:val="007607C4"/>
    <w:rsid w:val="007607EC"/>
    <w:rsid w:val="00761A58"/>
    <w:rsid w:val="00761EBF"/>
    <w:rsid w:val="00761FA1"/>
    <w:rsid w:val="00762A2F"/>
    <w:rsid w:val="00764470"/>
    <w:rsid w:val="0076495F"/>
    <w:rsid w:val="007649AF"/>
    <w:rsid w:val="00765584"/>
    <w:rsid w:val="00765CB7"/>
    <w:rsid w:val="0076643F"/>
    <w:rsid w:val="007676F5"/>
    <w:rsid w:val="00767E86"/>
    <w:rsid w:val="00771045"/>
    <w:rsid w:val="0077118F"/>
    <w:rsid w:val="00771205"/>
    <w:rsid w:val="00773C5A"/>
    <w:rsid w:val="0077403A"/>
    <w:rsid w:val="00774375"/>
    <w:rsid w:val="007744CC"/>
    <w:rsid w:val="00774C36"/>
    <w:rsid w:val="0077526E"/>
    <w:rsid w:val="007766F0"/>
    <w:rsid w:val="007769BE"/>
    <w:rsid w:val="007771C5"/>
    <w:rsid w:val="007776FF"/>
    <w:rsid w:val="0078069F"/>
    <w:rsid w:val="007809DA"/>
    <w:rsid w:val="00780BCB"/>
    <w:rsid w:val="00780ED7"/>
    <w:rsid w:val="007813A7"/>
    <w:rsid w:val="00781C89"/>
    <w:rsid w:val="007820BB"/>
    <w:rsid w:val="00782E68"/>
    <w:rsid w:val="00783298"/>
    <w:rsid w:val="0078426B"/>
    <w:rsid w:val="00784600"/>
    <w:rsid w:val="00784DE5"/>
    <w:rsid w:val="00784FEC"/>
    <w:rsid w:val="00785522"/>
    <w:rsid w:val="007855C3"/>
    <w:rsid w:val="0078587E"/>
    <w:rsid w:val="0078595F"/>
    <w:rsid w:val="00785F8D"/>
    <w:rsid w:val="00786501"/>
    <w:rsid w:val="0078761D"/>
    <w:rsid w:val="00790499"/>
    <w:rsid w:val="007905CA"/>
    <w:rsid w:val="00791124"/>
    <w:rsid w:val="007928DA"/>
    <w:rsid w:val="00792EA6"/>
    <w:rsid w:val="00793A12"/>
    <w:rsid w:val="00794E14"/>
    <w:rsid w:val="00795940"/>
    <w:rsid w:val="00795B5E"/>
    <w:rsid w:val="00795E01"/>
    <w:rsid w:val="00796E7A"/>
    <w:rsid w:val="007977A5"/>
    <w:rsid w:val="00797AE7"/>
    <w:rsid w:val="00797E77"/>
    <w:rsid w:val="007A066B"/>
    <w:rsid w:val="007A13D7"/>
    <w:rsid w:val="007A17C8"/>
    <w:rsid w:val="007A18EB"/>
    <w:rsid w:val="007A2423"/>
    <w:rsid w:val="007A281C"/>
    <w:rsid w:val="007A2BD9"/>
    <w:rsid w:val="007A2EC7"/>
    <w:rsid w:val="007A2F70"/>
    <w:rsid w:val="007A3293"/>
    <w:rsid w:val="007A3478"/>
    <w:rsid w:val="007A41E8"/>
    <w:rsid w:val="007A4240"/>
    <w:rsid w:val="007A4980"/>
    <w:rsid w:val="007A57A6"/>
    <w:rsid w:val="007A5893"/>
    <w:rsid w:val="007A636F"/>
    <w:rsid w:val="007A6474"/>
    <w:rsid w:val="007A73BC"/>
    <w:rsid w:val="007A7F31"/>
    <w:rsid w:val="007B02FF"/>
    <w:rsid w:val="007B04BF"/>
    <w:rsid w:val="007B0DBB"/>
    <w:rsid w:val="007B186C"/>
    <w:rsid w:val="007B19A1"/>
    <w:rsid w:val="007B19FE"/>
    <w:rsid w:val="007B1B6A"/>
    <w:rsid w:val="007B2769"/>
    <w:rsid w:val="007B3C72"/>
    <w:rsid w:val="007B430B"/>
    <w:rsid w:val="007B4826"/>
    <w:rsid w:val="007B4C00"/>
    <w:rsid w:val="007B5867"/>
    <w:rsid w:val="007B6279"/>
    <w:rsid w:val="007B6366"/>
    <w:rsid w:val="007B6C22"/>
    <w:rsid w:val="007B6EC4"/>
    <w:rsid w:val="007B762A"/>
    <w:rsid w:val="007C10AC"/>
    <w:rsid w:val="007C16AB"/>
    <w:rsid w:val="007C1BDE"/>
    <w:rsid w:val="007C22DF"/>
    <w:rsid w:val="007C2B7D"/>
    <w:rsid w:val="007C3334"/>
    <w:rsid w:val="007C3481"/>
    <w:rsid w:val="007C3734"/>
    <w:rsid w:val="007C3FA6"/>
    <w:rsid w:val="007C4878"/>
    <w:rsid w:val="007C4F1C"/>
    <w:rsid w:val="007C50F6"/>
    <w:rsid w:val="007C52BB"/>
    <w:rsid w:val="007C5476"/>
    <w:rsid w:val="007C58E8"/>
    <w:rsid w:val="007C6630"/>
    <w:rsid w:val="007C7402"/>
    <w:rsid w:val="007C757E"/>
    <w:rsid w:val="007C769E"/>
    <w:rsid w:val="007C798F"/>
    <w:rsid w:val="007C7B95"/>
    <w:rsid w:val="007D0207"/>
    <w:rsid w:val="007D0309"/>
    <w:rsid w:val="007D052B"/>
    <w:rsid w:val="007D06CB"/>
    <w:rsid w:val="007D0E5C"/>
    <w:rsid w:val="007D278F"/>
    <w:rsid w:val="007D2B98"/>
    <w:rsid w:val="007D2FEE"/>
    <w:rsid w:val="007D362A"/>
    <w:rsid w:val="007D3E9B"/>
    <w:rsid w:val="007D4591"/>
    <w:rsid w:val="007D4C93"/>
    <w:rsid w:val="007D4FA5"/>
    <w:rsid w:val="007D64C4"/>
    <w:rsid w:val="007D69AC"/>
    <w:rsid w:val="007D71CD"/>
    <w:rsid w:val="007E051C"/>
    <w:rsid w:val="007E13CE"/>
    <w:rsid w:val="007E1856"/>
    <w:rsid w:val="007E2C05"/>
    <w:rsid w:val="007E33C3"/>
    <w:rsid w:val="007E42C4"/>
    <w:rsid w:val="007E5338"/>
    <w:rsid w:val="007E5598"/>
    <w:rsid w:val="007E5CC7"/>
    <w:rsid w:val="007E6DAC"/>
    <w:rsid w:val="007E715E"/>
    <w:rsid w:val="007E783F"/>
    <w:rsid w:val="007F05E6"/>
    <w:rsid w:val="007F074A"/>
    <w:rsid w:val="007F1641"/>
    <w:rsid w:val="007F210C"/>
    <w:rsid w:val="007F39A0"/>
    <w:rsid w:val="007F410D"/>
    <w:rsid w:val="007F42BF"/>
    <w:rsid w:val="007F4652"/>
    <w:rsid w:val="007F4A54"/>
    <w:rsid w:val="007F4B82"/>
    <w:rsid w:val="007F4F2C"/>
    <w:rsid w:val="007F4FE2"/>
    <w:rsid w:val="007F6BB0"/>
    <w:rsid w:val="00800983"/>
    <w:rsid w:val="00800E57"/>
    <w:rsid w:val="0080185D"/>
    <w:rsid w:val="00801B96"/>
    <w:rsid w:val="00801C7F"/>
    <w:rsid w:val="00802A23"/>
    <w:rsid w:val="00802CB0"/>
    <w:rsid w:val="0080393B"/>
    <w:rsid w:val="00803AC6"/>
    <w:rsid w:val="00803F1C"/>
    <w:rsid w:val="00805489"/>
    <w:rsid w:val="0080600E"/>
    <w:rsid w:val="00806589"/>
    <w:rsid w:val="0080677A"/>
    <w:rsid w:val="00807F96"/>
    <w:rsid w:val="00811543"/>
    <w:rsid w:val="0081181A"/>
    <w:rsid w:val="00811C09"/>
    <w:rsid w:val="00812C8D"/>
    <w:rsid w:val="00812EAF"/>
    <w:rsid w:val="0081365E"/>
    <w:rsid w:val="00814282"/>
    <w:rsid w:val="008150B2"/>
    <w:rsid w:val="00817612"/>
    <w:rsid w:val="00817884"/>
    <w:rsid w:val="00817967"/>
    <w:rsid w:val="00817D2F"/>
    <w:rsid w:val="008204AE"/>
    <w:rsid w:val="00820D73"/>
    <w:rsid w:val="008215C0"/>
    <w:rsid w:val="008218A2"/>
    <w:rsid w:val="008227E1"/>
    <w:rsid w:val="0082383C"/>
    <w:rsid w:val="00823A91"/>
    <w:rsid w:val="008245AD"/>
    <w:rsid w:val="00825698"/>
    <w:rsid w:val="00825952"/>
    <w:rsid w:val="00825B7F"/>
    <w:rsid w:val="00827DB7"/>
    <w:rsid w:val="00830E88"/>
    <w:rsid w:val="008315C5"/>
    <w:rsid w:val="008316A7"/>
    <w:rsid w:val="00832F1B"/>
    <w:rsid w:val="00835F5A"/>
    <w:rsid w:val="0083716D"/>
    <w:rsid w:val="008373B6"/>
    <w:rsid w:val="00837C45"/>
    <w:rsid w:val="00837EDD"/>
    <w:rsid w:val="00840141"/>
    <w:rsid w:val="0084043E"/>
    <w:rsid w:val="00840923"/>
    <w:rsid w:val="008414A3"/>
    <w:rsid w:val="008419E0"/>
    <w:rsid w:val="008422DA"/>
    <w:rsid w:val="008426FE"/>
    <w:rsid w:val="0084302E"/>
    <w:rsid w:val="00843C1B"/>
    <w:rsid w:val="008456F3"/>
    <w:rsid w:val="00845C1A"/>
    <w:rsid w:val="00846865"/>
    <w:rsid w:val="00846B2C"/>
    <w:rsid w:val="00846D39"/>
    <w:rsid w:val="008472FB"/>
    <w:rsid w:val="008473B2"/>
    <w:rsid w:val="00847A56"/>
    <w:rsid w:val="00847A8B"/>
    <w:rsid w:val="00847B26"/>
    <w:rsid w:val="008509CC"/>
    <w:rsid w:val="0085268D"/>
    <w:rsid w:val="00852875"/>
    <w:rsid w:val="0085323F"/>
    <w:rsid w:val="00853419"/>
    <w:rsid w:val="008538D6"/>
    <w:rsid w:val="00853A23"/>
    <w:rsid w:val="00854C85"/>
    <w:rsid w:val="00854FE3"/>
    <w:rsid w:val="00855876"/>
    <w:rsid w:val="008560E1"/>
    <w:rsid w:val="008573A3"/>
    <w:rsid w:val="008600B3"/>
    <w:rsid w:val="00860233"/>
    <w:rsid w:val="0086083F"/>
    <w:rsid w:val="00860A02"/>
    <w:rsid w:val="00860C50"/>
    <w:rsid w:val="00861437"/>
    <w:rsid w:val="0086147D"/>
    <w:rsid w:val="00861972"/>
    <w:rsid w:val="00861E30"/>
    <w:rsid w:val="00861EC2"/>
    <w:rsid w:val="00861F6D"/>
    <w:rsid w:val="008628FD"/>
    <w:rsid w:val="00863139"/>
    <w:rsid w:val="00863E9F"/>
    <w:rsid w:val="00864097"/>
    <w:rsid w:val="00864785"/>
    <w:rsid w:val="00865279"/>
    <w:rsid w:val="00865368"/>
    <w:rsid w:val="00865C9B"/>
    <w:rsid w:val="0086628D"/>
    <w:rsid w:val="008665EC"/>
    <w:rsid w:val="00866759"/>
    <w:rsid w:val="00866D7E"/>
    <w:rsid w:val="008676D3"/>
    <w:rsid w:val="008678EF"/>
    <w:rsid w:val="00867DA3"/>
    <w:rsid w:val="0087014C"/>
    <w:rsid w:val="00870526"/>
    <w:rsid w:val="00871372"/>
    <w:rsid w:val="00871D12"/>
    <w:rsid w:val="00871EBE"/>
    <w:rsid w:val="00872F34"/>
    <w:rsid w:val="00873480"/>
    <w:rsid w:val="00873CC0"/>
    <w:rsid w:val="008741A2"/>
    <w:rsid w:val="00874BEE"/>
    <w:rsid w:val="00875ABB"/>
    <w:rsid w:val="00875EC6"/>
    <w:rsid w:val="00876085"/>
    <w:rsid w:val="00876BB5"/>
    <w:rsid w:val="00877E1B"/>
    <w:rsid w:val="00880B21"/>
    <w:rsid w:val="00880F95"/>
    <w:rsid w:val="0088253F"/>
    <w:rsid w:val="00882952"/>
    <w:rsid w:val="00882C32"/>
    <w:rsid w:val="0088373B"/>
    <w:rsid w:val="00883E89"/>
    <w:rsid w:val="00883EA4"/>
    <w:rsid w:val="00884136"/>
    <w:rsid w:val="00884270"/>
    <w:rsid w:val="008859F9"/>
    <w:rsid w:val="008869BA"/>
    <w:rsid w:val="00887B7D"/>
    <w:rsid w:val="008903D5"/>
    <w:rsid w:val="0089156D"/>
    <w:rsid w:val="008917C2"/>
    <w:rsid w:val="00893A3F"/>
    <w:rsid w:val="00893E24"/>
    <w:rsid w:val="00893E44"/>
    <w:rsid w:val="008945B4"/>
    <w:rsid w:val="0089514B"/>
    <w:rsid w:val="008964B7"/>
    <w:rsid w:val="008969D3"/>
    <w:rsid w:val="00896EC2"/>
    <w:rsid w:val="008971D8"/>
    <w:rsid w:val="00897A3D"/>
    <w:rsid w:val="00897E12"/>
    <w:rsid w:val="008A065A"/>
    <w:rsid w:val="008A0792"/>
    <w:rsid w:val="008A1C4B"/>
    <w:rsid w:val="008A2C74"/>
    <w:rsid w:val="008A3434"/>
    <w:rsid w:val="008A36FA"/>
    <w:rsid w:val="008A4FAC"/>
    <w:rsid w:val="008A5A80"/>
    <w:rsid w:val="008A5BF4"/>
    <w:rsid w:val="008A6043"/>
    <w:rsid w:val="008A67CF"/>
    <w:rsid w:val="008A6DA2"/>
    <w:rsid w:val="008A7E83"/>
    <w:rsid w:val="008A7F97"/>
    <w:rsid w:val="008A7FC7"/>
    <w:rsid w:val="008B0E6D"/>
    <w:rsid w:val="008B0EE7"/>
    <w:rsid w:val="008B14CB"/>
    <w:rsid w:val="008B1CA7"/>
    <w:rsid w:val="008B23D9"/>
    <w:rsid w:val="008B24D5"/>
    <w:rsid w:val="008B25FC"/>
    <w:rsid w:val="008B2DA9"/>
    <w:rsid w:val="008B3466"/>
    <w:rsid w:val="008B443E"/>
    <w:rsid w:val="008B44C5"/>
    <w:rsid w:val="008B4BF9"/>
    <w:rsid w:val="008B5124"/>
    <w:rsid w:val="008B7B3C"/>
    <w:rsid w:val="008C00EE"/>
    <w:rsid w:val="008C067C"/>
    <w:rsid w:val="008C1E12"/>
    <w:rsid w:val="008C2789"/>
    <w:rsid w:val="008C2DF6"/>
    <w:rsid w:val="008C51AF"/>
    <w:rsid w:val="008C5978"/>
    <w:rsid w:val="008C606A"/>
    <w:rsid w:val="008C698C"/>
    <w:rsid w:val="008C6B06"/>
    <w:rsid w:val="008C6F82"/>
    <w:rsid w:val="008C6FC4"/>
    <w:rsid w:val="008C7564"/>
    <w:rsid w:val="008D02D4"/>
    <w:rsid w:val="008D0556"/>
    <w:rsid w:val="008D2272"/>
    <w:rsid w:val="008D2EA5"/>
    <w:rsid w:val="008D307A"/>
    <w:rsid w:val="008D33C9"/>
    <w:rsid w:val="008D36F5"/>
    <w:rsid w:val="008D3989"/>
    <w:rsid w:val="008D3D6F"/>
    <w:rsid w:val="008D43BA"/>
    <w:rsid w:val="008D5900"/>
    <w:rsid w:val="008D6086"/>
    <w:rsid w:val="008D6249"/>
    <w:rsid w:val="008D6E5F"/>
    <w:rsid w:val="008D7317"/>
    <w:rsid w:val="008D739C"/>
    <w:rsid w:val="008D7DF4"/>
    <w:rsid w:val="008E0A77"/>
    <w:rsid w:val="008E10AE"/>
    <w:rsid w:val="008E164D"/>
    <w:rsid w:val="008E2E22"/>
    <w:rsid w:val="008E33FB"/>
    <w:rsid w:val="008E34F3"/>
    <w:rsid w:val="008E3759"/>
    <w:rsid w:val="008E3EE8"/>
    <w:rsid w:val="008E53E4"/>
    <w:rsid w:val="008E5615"/>
    <w:rsid w:val="008E71E6"/>
    <w:rsid w:val="008F166D"/>
    <w:rsid w:val="008F298E"/>
    <w:rsid w:val="008F2A35"/>
    <w:rsid w:val="008F2A73"/>
    <w:rsid w:val="008F2E03"/>
    <w:rsid w:val="008F2E1C"/>
    <w:rsid w:val="008F3BF9"/>
    <w:rsid w:val="008F3C7F"/>
    <w:rsid w:val="008F3E4A"/>
    <w:rsid w:val="008F4101"/>
    <w:rsid w:val="008F4522"/>
    <w:rsid w:val="008F49E6"/>
    <w:rsid w:val="008F559D"/>
    <w:rsid w:val="008F7B4C"/>
    <w:rsid w:val="008F7F3F"/>
    <w:rsid w:val="00900D01"/>
    <w:rsid w:val="009021D6"/>
    <w:rsid w:val="00902D58"/>
    <w:rsid w:val="0090308C"/>
    <w:rsid w:val="009041DC"/>
    <w:rsid w:val="009047EE"/>
    <w:rsid w:val="00904B4B"/>
    <w:rsid w:val="009062C5"/>
    <w:rsid w:val="0090668D"/>
    <w:rsid w:val="009104B4"/>
    <w:rsid w:val="009111FF"/>
    <w:rsid w:val="00912171"/>
    <w:rsid w:val="00912642"/>
    <w:rsid w:val="00913B6D"/>
    <w:rsid w:val="00915CDE"/>
    <w:rsid w:val="00915FDE"/>
    <w:rsid w:val="0091677E"/>
    <w:rsid w:val="00917013"/>
    <w:rsid w:val="0091728F"/>
    <w:rsid w:val="0091789D"/>
    <w:rsid w:val="00917F4B"/>
    <w:rsid w:val="00920A6E"/>
    <w:rsid w:val="00921023"/>
    <w:rsid w:val="009214A7"/>
    <w:rsid w:val="009214C8"/>
    <w:rsid w:val="0092286D"/>
    <w:rsid w:val="00922A9F"/>
    <w:rsid w:val="00922B74"/>
    <w:rsid w:val="00922E4D"/>
    <w:rsid w:val="00923920"/>
    <w:rsid w:val="00923E54"/>
    <w:rsid w:val="00923EA6"/>
    <w:rsid w:val="00924F0A"/>
    <w:rsid w:val="00925FCD"/>
    <w:rsid w:val="00927527"/>
    <w:rsid w:val="00927B0B"/>
    <w:rsid w:val="009300A7"/>
    <w:rsid w:val="0093035E"/>
    <w:rsid w:val="00930ED0"/>
    <w:rsid w:val="009320F5"/>
    <w:rsid w:val="009322FE"/>
    <w:rsid w:val="00933621"/>
    <w:rsid w:val="00933788"/>
    <w:rsid w:val="0093441A"/>
    <w:rsid w:val="00934829"/>
    <w:rsid w:val="009356F2"/>
    <w:rsid w:val="00935735"/>
    <w:rsid w:val="009359E3"/>
    <w:rsid w:val="00935A29"/>
    <w:rsid w:val="00936C4F"/>
    <w:rsid w:val="009412E0"/>
    <w:rsid w:val="00941393"/>
    <w:rsid w:val="0094199B"/>
    <w:rsid w:val="00941E4E"/>
    <w:rsid w:val="009424BD"/>
    <w:rsid w:val="0094253B"/>
    <w:rsid w:val="00942AA6"/>
    <w:rsid w:val="00942BBC"/>
    <w:rsid w:val="009435DC"/>
    <w:rsid w:val="00945F51"/>
    <w:rsid w:val="0094652E"/>
    <w:rsid w:val="00946729"/>
    <w:rsid w:val="0094702E"/>
    <w:rsid w:val="00947215"/>
    <w:rsid w:val="00947B86"/>
    <w:rsid w:val="00950D77"/>
    <w:rsid w:val="00951A16"/>
    <w:rsid w:val="00952CAA"/>
    <w:rsid w:val="00952DC4"/>
    <w:rsid w:val="00953247"/>
    <w:rsid w:val="009544AF"/>
    <w:rsid w:val="0095466D"/>
    <w:rsid w:val="00954BF7"/>
    <w:rsid w:val="00955093"/>
    <w:rsid w:val="009554F0"/>
    <w:rsid w:val="00955C06"/>
    <w:rsid w:val="00955CB9"/>
    <w:rsid w:val="00955EA3"/>
    <w:rsid w:val="0095641C"/>
    <w:rsid w:val="00956868"/>
    <w:rsid w:val="0095713F"/>
    <w:rsid w:val="009579D8"/>
    <w:rsid w:val="00957A32"/>
    <w:rsid w:val="00957FED"/>
    <w:rsid w:val="00960555"/>
    <w:rsid w:val="009612BC"/>
    <w:rsid w:val="009630D0"/>
    <w:rsid w:val="00963233"/>
    <w:rsid w:val="009633C5"/>
    <w:rsid w:val="009653A0"/>
    <w:rsid w:val="0096588D"/>
    <w:rsid w:val="00965F42"/>
    <w:rsid w:val="009661DF"/>
    <w:rsid w:val="009668D9"/>
    <w:rsid w:val="009668E5"/>
    <w:rsid w:val="00966B3A"/>
    <w:rsid w:val="0096706E"/>
    <w:rsid w:val="00967987"/>
    <w:rsid w:val="00967ECF"/>
    <w:rsid w:val="00970813"/>
    <w:rsid w:val="00970FD7"/>
    <w:rsid w:val="009714F6"/>
    <w:rsid w:val="009724C3"/>
    <w:rsid w:val="0097261D"/>
    <w:rsid w:val="00973675"/>
    <w:rsid w:val="00973798"/>
    <w:rsid w:val="00973E1D"/>
    <w:rsid w:val="009753D7"/>
    <w:rsid w:val="00976295"/>
    <w:rsid w:val="0097691D"/>
    <w:rsid w:val="00976E74"/>
    <w:rsid w:val="00977E93"/>
    <w:rsid w:val="009800E4"/>
    <w:rsid w:val="009810FE"/>
    <w:rsid w:val="00981AF3"/>
    <w:rsid w:val="00981FBA"/>
    <w:rsid w:val="00982E24"/>
    <w:rsid w:val="00983AF6"/>
    <w:rsid w:val="00983D6A"/>
    <w:rsid w:val="009843A2"/>
    <w:rsid w:val="00984651"/>
    <w:rsid w:val="009856D7"/>
    <w:rsid w:val="00985A4B"/>
    <w:rsid w:val="00985C9A"/>
    <w:rsid w:val="00986129"/>
    <w:rsid w:val="00986662"/>
    <w:rsid w:val="00986966"/>
    <w:rsid w:val="00986AEE"/>
    <w:rsid w:val="009879D3"/>
    <w:rsid w:val="0099145D"/>
    <w:rsid w:val="009937A7"/>
    <w:rsid w:val="00994ECF"/>
    <w:rsid w:val="0099538C"/>
    <w:rsid w:val="009967AF"/>
    <w:rsid w:val="0099714E"/>
    <w:rsid w:val="009978F5"/>
    <w:rsid w:val="00997E99"/>
    <w:rsid w:val="009A01D8"/>
    <w:rsid w:val="009A03E7"/>
    <w:rsid w:val="009A0816"/>
    <w:rsid w:val="009A0B09"/>
    <w:rsid w:val="009A0F04"/>
    <w:rsid w:val="009A1A5D"/>
    <w:rsid w:val="009A1D2A"/>
    <w:rsid w:val="009A28FA"/>
    <w:rsid w:val="009A4920"/>
    <w:rsid w:val="009A6130"/>
    <w:rsid w:val="009A700D"/>
    <w:rsid w:val="009A7953"/>
    <w:rsid w:val="009B07BE"/>
    <w:rsid w:val="009B1206"/>
    <w:rsid w:val="009B1525"/>
    <w:rsid w:val="009B18E1"/>
    <w:rsid w:val="009B26C8"/>
    <w:rsid w:val="009B2F9E"/>
    <w:rsid w:val="009B351F"/>
    <w:rsid w:val="009B381B"/>
    <w:rsid w:val="009B5129"/>
    <w:rsid w:val="009B541A"/>
    <w:rsid w:val="009B5D32"/>
    <w:rsid w:val="009B61B2"/>
    <w:rsid w:val="009B6619"/>
    <w:rsid w:val="009B71D5"/>
    <w:rsid w:val="009B74A4"/>
    <w:rsid w:val="009C0330"/>
    <w:rsid w:val="009C03AE"/>
    <w:rsid w:val="009C047F"/>
    <w:rsid w:val="009C14DA"/>
    <w:rsid w:val="009C1615"/>
    <w:rsid w:val="009C1691"/>
    <w:rsid w:val="009C1877"/>
    <w:rsid w:val="009C1D8B"/>
    <w:rsid w:val="009C2F75"/>
    <w:rsid w:val="009C2F9F"/>
    <w:rsid w:val="009C3DCF"/>
    <w:rsid w:val="009C458A"/>
    <w:rsid w:val="009C4893"/>
    <w:rsid w:val="009C4D68"/>
    <w:rsid w:val="009C59D3"/>
    <w:rsid w:val="009C6457"/>
    <w:rsid w:val="009C6632"/>
    <w:rsid w:val="009C7A36"/>
    <w:rsid w:val="009D0012"/>
    <w:rsid w:val="009D0941"/>
    <w:rsid w:val="009D0946"/>
    <w:rsid w:val="009D0DEE"/>
    <w:rsid w:val="009D15C7"/>
    <w:rsid w:val="009D16D3"/>
    <w:rsid w:val="009D173B"/>
    <w:rsid w:val="009D2342"/>
    <w:rsid w:val="009D241E"/>
    <w:rsid w:val="009D280B"/>
    <w:rsid w:val="009D3728"/>
    <w:rsid w:val="009D561E"/>
    <w:rsid w:val="009D6116"/>
    <w:rsid w:val="009D7611"/>
    <w:rsid w:val="009E075C"/>
    <w:rsid w:val="009E27A9"/>
    <w:rsid w:val="009E3488"/>
    <w:rsid w:val="009E374A"/>
    <w:rsid w:val="009E3A41"/>
    <w:rsid w:val="009E3A4E"/>
    <w:rsid w:val="009E3ABD"/>
    <w:rsid w:val="009E3C23"/>
    <w:rsid w:val="009E3F7C"/>
    <w:rsid w:val="009E41B3"/>
    <w:rsid w:val="009E4906"/>
    <w:rsid w:val="009E53DE"/>
    <w:rsid w:val="009E6EE2"/>
    <w:rsid w:val="009E6FD9"/>
    <w:rsid w:val="009F09D8"/>
    <w:rsid w:val="009F0AED"/>
    <w:rsid w:val="009F114F"/>
    <w:rsid w:val="009F1ED5"/>
    <w:rsid w:val="009F229C"/>
    <w:rsid w:val="009F2349"/>
    <w:rsid w:val="009F24AF"/>
    <w:rsid w:val="009F24FF"/>
    <w:rsid w:val="009F297A"/>
    <w:rsid w:val="009F2CC4"/>
    <w:rsid w:val="009F7113"/>
    <w:rsid w:val="009F76DF"/>
    <w:rsid w:val="009F76E5"/>
    <w:rsid w:val="009F7E41"/>
    <w:rsid w:val="00A01453"/>
    <w:rsid w:val="00A014DA"/>
    <w:rsid w:val="00A03222"/>
    <w:rsid w:val="00A03579"/>
    <w:rsid w:val="00A03B6C"/>
    <w:rsid w:val="00A03DA5"/>
    <w:rsid w:val="00A05601"/>
    <w:rsid w:val="00A057B8"/>
    <w:rsid w:val="00A05C64"/>
    <w:rsid w:val="00A0645D"/>
    <w:rsid w:val="00A06ECF"/>
    <w:rsid w:val="00A06FEB"/>
    <w:rsid w:val="00A07134"/>
    <w:rsid w:val="00A10246"/>
    <w:rsid w:val="00A10403"/>
    <w:rsid w:val="00A10450"/>
    <w:rsid w:val="00A108C3"/>
    <w:rsid w:val="00A10C01"/>
    <w:rsid w:val="00A10CCC"/>
    <w:rsid w:val="00A1131F"/>
    <w:rsid w:val="00A12250"/>
    <w:rsid w:val="00A12773"/>
    <w:rsid w:val="00A13A94"/>
    <w:rsid w:val="00A14D37"/>
    <w:rsid w:val="00A15A9B"/>
    <w:rsid w:val="00A15C9A"/>
    <w:rsid w:val="00A163A4"/>
    <w:rsid w:val="00A1688B"/>
    <w:rsid w:val="00A16943"/>
    <w:rsid w:val="00A17625"/>
    <w:rsid w:val="00A17E82"/>
    <w:rsid w:val="00A2015A"/>
    <w:rsid w:val="00A2089E"/>
    <w:rsid w:val="00A20B65"/>
    <w:rsid w:val="00A20F5F"/>
    <w:rsid w:val="00A21930"/>
    <w:rsid w:val="00A21BFD"/>
    <w:rsid w:val="00A2232B"/>
    <w:rsid w:val="00A22B7B"/>
    <w:rsid w:val="00A23100"/>
    <w:rsid w:val="00A23924"/>
    <w:rsid w:val="00A23AFA"/>
    <w:rsid w:val="00A24331"/>
    <w:rsid w:val="00A2456A"/>
    <w:rsid w:val="00A249A8"/>
    <w:rsid w:val="00A255BD"/>
    <w:rsid w:val="00A2645F"/>
    <w:rsid w:val="00A269C8"/>
    <w:rsid w:val="00A27314"/>
    <w:rsid w:val="00A27C5A"/>
    <w:rsid w:val="00A3014C"/>
    <w:rsid w:val="00A31451"/>
    <w:rsid w:val="00A31CB0"/>
    <w:rsid w:val="00A321C2"/>
    <w:rsid w:val="00A327C6"/>
    <w:rsid w:val="00A3286C"/>
    <w:rsid w:val="00A32D38"/>
    <w:rsid w:val="00A33219"/>
    <w:rsid w:val="00A34273"/>
    <w:rsid w:val="00A35DC6"/>
    <w:rsid w:val="00A36168"/>
    <w:rsid w:val="00A36320"/>
    <w:rsid w:val="00A36E16"/>
    <w:rsid w:val="00A37DA9"/>
    <w:rsid w:val="00A40463"/>
    <w:rsid w:val="00A40C4A"/>
    <w:rsid w:val="00A40CED"/>
    <w:rsid w:val="00A42803"/>
    <w:rsid w:val="00A43458"/>
    <w:rsid w:val="00A438C4"/>
    <w:rsid w:val="00A438F6"/>
    <w:rsid w:val="00A43E87"/>
    <w:rsid w:val="00A444C4"/>
    <w:rsid w:val="00A445B3"/>
    <w:rsid w:val="00A447CD"/>
    <w:rsid w:val="00A47174"/>
    <w:rsid w:val="00A473E3"/>
    <w:rsid w:val="00A47406"/>
    <w:rsid w:val="00A47D0B"/>
    <w:rsid w:val="00A500DA"/>
    <w:rsid w:val="00A50201"/>
    <w:rsid w:val="00A5028C"/>
    <w:rsid w:val="00A50CF2"/>
    <w:rsid w:val="00A51D32"/>
    <w:rsid w:val="00A52375"/>
    <w:rsid w:val="00A5251F"/>
    <w:rsid w:val="00A527E1"/>
    <w:rsid w:val="00A528D1"/>
    <w:rsid w:val="00A52EB5"/>
    <w:rsid w:val="00A53D23"/>
    <w:rsid w:val="00A53D71"/>
    <w:rsid w:val="00A5414C"/>
    <w:rsid w:val="00A542D1"/>
    <w:rsid w:val="00A547A8"/>
    <w:rsid w:val="00A54E22"/>
    <w:rsid w:val="00A555EC"/>
    <w:rsid w:val="00A55776"/>
    <w:rsid w:val="00A60093"/>
    <w:rsid w:val="00A6250F"/>
    <w:rsid w:val="00A6269C"/>
    <w:rsid w:val="00A6287A"/>
    <w:rsid w:val="00A6386E"/>
    <w:rsid w:val="00A63958"/>
    <w:rsid w:val="00A63A2B"/>
    <w:rsid w:val="00A640BF"/>
    <w:rsid w:val="00A642B6"/>
    <w:rsid w:val="00A647EB"/>
    <w:rsid w:val="00A649AE"/>
    <w:rsid w:val="00A64DA8"/>
    <w:rsid w:val="00A64EE8"/>
    <w:rsid w:val="00A64F5F"/>
    <w:rsid w:val="00A650D1"/>
    <w:rsid w:val="00A669C6"/>
    <w:rsid w:val="00A66BE5"/>
    <w:rsid w:val="00A67461"/>
    <w:rsid w:val="00A709DB"/>
    <w:rsid w:val="00A70FA6"/>
    <w:rsid w:val="00A71D99"/>
    <w:rsid w:val="00A734B2"/>
    <w:rsid w:val="00A73772"/>
    <w:rsid w:val="00A7605D"/>
    <w:rsid w:val="00A76DDE"/>
    <w:rsid w:val="00A774E2"/>
    <w:rsid w:val="00A77E82"/>
    <w:rsid w:val="00A80079"/>
    <w:rsid w:val="00A80C1E"/>
    <w:rsid w:val="00A8162B"/>
    <w:rsid w:val="00A818FD"/>
    <w:rsid w:val="00A81A99"/>
    <w:rsid w:val="00A81D28"/>
    <w:rsid w:val="00A8335C"/>
    <w:rsid w:val="00A83588"/>
    <w:rsid w:val="00A837A6"/>
    <w:rsid w:val="00A83CC8"/>
    <w:rsid w:val="00A845BE"/>
    <w:rsid w:val="00A84775"/>
    <w:rsid w:val="00A84A45"/>
    <w:rsid w:val="00A84A53"/>
    <w:rsid w:val="00A84B01"/>
    <w:rsid w:val="00A871CA"/>
    <w:rsid w:val="00A87FF5"/>
    <w:rsid w:val="00A914BC"/>
    <w:rsid w:val="00A91C87"/>
    <w:rsid w:val="00A91ED0"/>
    <w:rsid w:val="00A91F89"/>
    <w:rsid w:val="00A926D6"/>
    <w:rsid w:val="00A92714"/>
    <w:rsid w:val="00A92DCA"/>
    <w:rsid w:val="00A947C6"/>
    <w:rsid w:val="00A94BBB"/>
    <w:rsid w:val="00A9565C"/>
    <w:rsid w:val="00A95F1A"/>
    <w:rsid w:val="00A9641B"/>
    <w:rsid w:val="00A96D18"/>
    <w:rsid w:val="00A97366"/>
    <w:rsid w:val="00A97722"/>
    <w:rsid w:val="00A978E7"/>
    <w:rsid w:val="00A979CE"/>
    <w:rsid w:val="00A97CDE"/>
    <w:rsid w:val="00AA1B8C"/>
    <w:rsid w:val="00AA23D3"/>
    <w:rsid w:val="00AA33AF"/>
    <w:rsid w:val="00AA3C41"/>
    <w:rsid w:val="00AA3C9F"/>
    <w:rsid w:val="00AA401A"/>
    <w:rsid w:val="00AA4352"/>
    <w:rsid w:val="00AA4618"/>
    <w:rsid w:val="00AA4746"/>
    <w:rsid w:val="00AA4DF0"/>
    <w:rsid w:val="00AA5C88"/>
    <w:rsid w:val="00AA792C"/>
    <w:rsid w:val="00AA7A2C"/>
    <w:rsid w:val="00AA7E8A"/>
    <w:rsid w:val="00AB0745"/>
    <w:rsid w:val="00AB097B"/>
    <w:rsid w:val="00AB1BDA"/>
    <w:rsid w:val="00AB2ECC"/>
    <w:rsid w:val="00AB2ECE"/>
    <w:rsid w:val="00AB3118"/>
    <w:rsid w:val="00AB3712"/>
    <w:rsid w:val="00AB3A92"/>
    <w:rsid w:val="00AB3AA6"/>
    <w:rsid w:val="00AB55B8"/>
    <w:rsid w:val="00AB6166"/>
    <w:rsid w:val="00AB6D53"/>
    <w:rsid w:val="00AB6F62"/>
    <w:rsid w:val="00AB7EE1"/>
    <w:rsid w:val="00AC0531"/>
    <w:rsid w:val="00AC0F5B"/>
    <w:rsid w:val="00AC29FB"/>
    <w:rsid w:val="00AC30C7"/>
    <w:rsid w:val="00AC313B"/>
    <w:rsid w:val="00AC388E"/>
    <w:rsid w:val="00AC3D64"/>
    <w:rsid w:val="00AC4106"/>
    <w:rsid w:val="00AC4350"/>
    <w:rsid w:val="00AC487B"/>
    <w:rsid w:val="00AC4E50"/>
    <w:rsid w:val="00AC4F7C"/>
    <w:rsid w:val="00AC6117"/>
    <w:rsid w:val="00AC6143"/>
    <w:rsid w:val="00AC6AE6"/>
    <w:rsid w:val="00AC740E"/>
    <w:rsid w:val="00AC7AC6"/>
    <w:rsid w:val="00AC7F4D"/>
    <w:rsid w:val="00AD03B1"/>
    <w:rsid w:val="00AD08D1"/>
    <w:rsid w:val="00AD0D8F"/>
    <w:rsid w:val="00AD1E27"/>
    <w:rsid w:val="00AD29F5"/>
    <w:rsid w:val="00AD34D9"/>
    <w:rsid w:val="00AD37C1"/>
    <w:rsid w:val="00AD38E9"/>
    <w:rsid w:val="00AD3EC8"/>
    <w:rsid w:val="00AD4435"/>
    <w:rsid w:val="00AD452E"/>
    <w:rsid w:val="00AD4A7C"/>
    <w:rsid w:val="00AD4C43"/>
    <w:rsid w:val="00AD4CD7"/>
    <w:rsid w:val="00AD4E05"/>
    <w:rsid w:val="00AD51A7"/>
    <w:rsid w:val="00AD5BF9"/>
    <w:rsid w:val="00AD5EB5"/>
    <w:rsid w:val="00AD6054"/>
    <w:rsid w:val="00AD72AC"/>
    <w:rsid w:val="00AD7A33"/>
    <w:rsid w:val="00AE0DEC"/>
    <w:rsid w:val="00AE15A9"/>
    <w:rsid w:val="00AE1852"/>
    <w:rsid w:val="00AE1F0C"/>
    <w:rsid w:val="00AE3A14"/>
    <w:rsid w:val="00AE3F3C"/>
    <w:rsid w:val="00AE4C05"/>
    <w:rsid w:val="00AE4C43"/>
    <w:rsid w:val="00AE6271"/>
    <w:rsid w:val="00AE66EC"/>
    <w:rsid w:val="00AE6AE5"/>
    <w:rsid w:val="00AE6B43"/>
    <w:rsid w:val="00AE6F91"/>
    <w:rsid w:val="00AE72C0"/>
    <w:rsid w:val="00AE7C6B"/>
    <w:rsid w:val="00AF010B"/>
    <w:rsid w:val="00AF0440"/>
    <w:rsid w:val="00AF14A6"/>
    <w:rsid w:val="00AF22CE"/>
    <w:rsid w:val="00AF2782"/>
    <w:rsid w:val="00AF3344"/>
    <w:rsid w:val="00AF3A10"/>
    <w:rsid w:val="00AF3B7B"/>
    <w:rsid w:val="00AF5571"/>
    <w:rsid w:val="00AF5B3F"/>
    <w:rsid w:val="00AF61BB"/>
    <w:rsid w:val="00AF72FA"/>
    <w:rsid w:val="00AF7526"/>
    <w:rsid w:val="00AF79FA"/>
    <w:rsid w:val="00B00476"/>
    <w:rsid w:val="00B00CBD"/>
    <w:rsid w:val="00B01430"/>
    <w:rsid w:val="00B016BF"/>
    <w:rsid w:val="00B016EF"/>
    <w:rsid w:val="00B018F6"/>
    <w:rsid w:val="00B01D8D"/>
    <w:rsid w:val="00B0207D"/>
    <w:rsid w:val="00B033E8"/>
    <w:rsid w:val="00B0667E"/>
    <w:rsid w:val="00B06BF4"/>
    <w:rsid w:val="00B07033"/>
    <w:rsid w:val="00B11269"/>
    <w:rsid w:val="00B11C6F"/>
    <w:rsid w:val="00B11E55"/>
    <w:rsid w:val="00B124E6"/>
    <w:rsid w:val="00B12638"/>
    <w:rsid w:val="00B13ABA"/>
    <w:rsid w:val="00B14837"/>
    <w:rsid w:val="00B14E88"/>
    <w:rsid w:val="00B160A4"/>
    <w:rsid w:val="00B167E9"/>
    <w:rsid w:val="00B16890"/>
    <w:rsid w:val="00B16FF4"/>
    <w:rsid w:val="00B1724A"/>
    <w:rsid w:val="00B207F5"/>
    <w:rsid w:val="00B20B83"/>
    <w:rsid w:val="00B21064"/>
    <w:rsid w:val="00B21BC5"/>
    <w:rsid w:val="00B22C40"/>
    <w:rsid w:val="00B23A86"/>
    <w:rsid w:val="00B23AEB"/>
    <w:rsid w:val="00B24749"/>
    <w:rsid w:val="00B24A00"/>
    <w:rsid w:val="00B270C2"/>
    <w:rsid w:val="00B27127"/>
    <w:rsid w:val="00B2728E"/>
    <w:rsid w:val="00B301E8"/>
    <w:rsid w:val="00B30278"/>
    <w:rsid w:val="00B314DB"/>
    <w:rsid w:val="00B316A7"/>
    <w:rsid w:val="00B31EBE"/>
    <w:rsid w:val="00B32601"/>
    <w:rsid w:val="00B3401D"/>
    <w:rsid w:val="00B34D82"/>
    <w:rsid w:val="00B34E2B"/>
    <w:rsid w:val="00B367B1"/>
    <w:rsid w:val="00B36E37"/>
    <w:rsid w:val="00B3718B"/>
    <w:rsid w:val="00B37584"/>
    <w:rsid w:val="00B37C3B"/>
    <w:rsid w:val="00B41A5F"/>
    <w:rsid w:val="00B41AAC"/>
    <w:rsid w:val="00B424CD"/>
    <w:rsid w:val="00B42ABC"/>
    <w:rsid w:val="00B432D6"/>
    <w:rsid w:val="00B441B9"/>
    <w:rsid w:val="00B44253"/>
    <w:rsid w:val="00B44448"/>
    <w:rsid w:val="00B44F4C"/>
    <w:rsid w:val="00B45BE7"/>
    <w:rsid w:val="00B45ECD"/>
    <w:rsid w:val="00B46033"/>
    <w:rsid w:val="00B46313"/>
    <w:rsid w:val="00B4632A"/>
    <w:rsid w:val="00B478B1"/>
    <w:rsid w:val="00B478C4"/>
    <w:rsid w:val="00B506F8"/>
    <w:rsid w:val="00B5149E"/>
    <w:rsid w:val="00B515A8"/>
    <w:rsid w:val="00B527CD"/>
    <w:rsid w:val="00B52BB8"/>
    <w:rsid w:val="00B540E8"/>
    <w:rsid w:val="00B54DF4"/>
    <w:rsid w:val="00B54FF0"/>
    <w:rsid w:val="00B552E7"/>
    <w:rsid w:val="00B55402"/>
    <w:rsid w:val="00B55E95"/>
    <w:rsid w:val="00B55F23"/>
    <w:rsid w:val="00B5746F"/>
    <w:rsid w:val="00B574A0"/>
    <w:rsid w:val="00B574EE"/>
    <w:rsid w:val="00B575D6"/>
    <w:rsid w:val="00B57C17"/>
    <w:rsid w:val="00B57C7D"/>
    <w:rsid w:val="00B60E25"/>
    <w:rsid w:val="00B61383"/>
    <w:rsid w:val="00B62894"/>
    <w:rsid w:val="00B62BC0"/>
    <w:rsid w:val="00B63572"/>
    <w:rsid w:val="00B63577"/>
    <w:rsid w:val="00B6392F"/>
    <w:rsid w:val="00B651DD"/>
    <w:rsid w:val="00B66AAC"/>
    <w:rsid w:val="00B66B51"/>
    <w:rsid w:val="00B67053"/>
    <w:rsid w:val="00B673F4"/>
    <w:rsid w:val="00B675B8"/>
    <w:rsid w:val="00B67B19"/>
    <w:rsid w:val="00B70462"/>
    <w:rsid w:val="00B714CC"/>
    <w:rsid w:val="00B729D4"/>
    <w:rsid w:val="00B72E00"/>
    <w:rsid w:val="00B72F71"/>
    <w:rsid w:val="00B74DAF"/>
    <w:rsid w:val="00B75D57"/>
    <w:rsid w:val="00B765F1"/>
    <w:rsid w:val="00B766A1"/>
    <w:rsid w:val="00B7681B"/>
    <w:rsid w:val="00B76BE8"/>
    <w:rsid w:val="00B777B0"/>
    <w:rsid w:val="00B77B09"/>
    <w:rsid w:val="00B801CB"/>
    <w:rsid w:val="00B807C7"/>
    <w:rsid w:val="00B813B1"/>
    <w:rsid w:val="00B81877"/>
    <w:rsid w:val="00B84D35"/>
    <w:rsid w:val="00B84FC7"/>
    <w:rsid w:val="00B8596A"/>
    <w:rsid w:val="00B85B6B"/>
    <w:rsid w:val="00B8646F"/>
    <w:rsid w:val="00B86577"/>
    <w:rsid w:val="00B8664E"/>
    <w:rsid w:val="00B86792"/>
    <w:rsid w:val="00B868A4"/>
    <w:rsid w:val="00B8786D"/>
    <w:rsid w:val="00B90178"/>
    <w:rsid w:val="00B90496"/>
    <w:rsid w:val="00B9115C"/>
    <w:rsid w:val="00B920B7"/>
    <w:rsid w:val="00B926B1"/>
    <w:rsid w:val="00B92DC9"/>
    <w:rsid w:val="00B933E4"/>
    <w:rsid w:val="00B959C3"/>
    <w:rsid w:val="00B96FE9"/>
    <w:rsid w:val="00B97838"/>
    <w:rsid w:val="00BA0E3E"/>
    <w:rsid w:val="00BA11D2"/>
    <w:rsid w:val="00BA198F"/>
    <w:rsid w:val="00BA1D41"/>
    <w:rsid w:val="00BA276C"/>
    <w:rsid w:val="00BA27E3"/>
    <w:rsid w:val="00BA2988"/>
    <w:rsid w:val="00BA2F50"/>
    <w:rsid w:val="00BA3099"/>
    <w:rsid w:val="00BA3133"/>
    <w:rsid w:val="00BA31DF"/>
    <w:rsid w:val="00BA3DCF"/>
    <w:rsid w:val="00BA5385"/>
    <w:rsid w:val="00BA542F"/>
    <w:rsid w:val="00BA6FFA"/>
    <w:rsid w:val="00BA7984"/>
    <w:rsid w:val="00BB1299"/>
    <w:rsid w:val="00BB151F"/>
    <w:rsid w:val="00BB17B3"/>
    <w:rsid w:val="00BB2622"/>
    <w:rsid w:val="00BB285D"/>
    <w:rsid w:val="00BB2AFE"/>
    <w:rsid w:val="00BB3066"/>
    <w:rsid w:val="00BB306F"/>
    <w:rsid w:val="00BB3205"/>
    <w:rsid w:val="00BB3466"/>
    <w:rsid w:val="00BB356D"/>
    <w:rsid w:val="00BB36D4"/>
    <w:rsid w:val="00BB521F"/>
    <w:rsid w:val="00BB53AD"/>
    <w:rsid w:val="00BB5A59"/>
    <w:rsid w:val="00BB645E"/>
    <w:rsid w:val="00BB6D82"/>
    <w:rsid w:val="00BB6D96"/>
    <w:rsid w:val="00BB7163"/>
    <w:rsid w:val="00BB76B9"/>
    <w:rsid w:val="00BB78FE"/>
    <w:rsid w:val="00BB7B0A"/>
    <w:rsid w:val="00BB7C52"/>
    <w:rsid w:val="00BC04F8"/>
    <w:rsid w:val="00BC2154"/>
    <w:rsid w:val="00BC243A"/>
    <w:rsid w:val="00BC27B6"/>
    <w:rsid w:val="00BC2DB5"/>
    <w:rsid w:val="00BC3348"/>
    <w:rsid w:val="00BC35EB"/>
    <w:rsid w:val="00BC389E"/>
    <w:rsid w:val="00BC397C"/>
    <w:rsid w:val="00BC5766"/>
    <w:rsid w:val="00BC655C"/>
    <w:rsid w:val="00BC68ED"/>
    <w:rsid w:val="00BC6DA1"/>
    <w:rsid w:val="00BC6FB1"/>
    <w:rsid w:val="00BC73B5"/>
    <w:rsid w:val="00BD10AC"/>
    <w:rsid w:val="00BD232B"/>
    <w:rsid w:val="00BD2C5B"/>
    <w:rsid w:val="00BD3469"/>
    <w:rsid w:val="00BD393F"/>
    <w:rsid w:val="00BD4B89"/>
    <w:rsid w:val="00BD5B66"/>
    <w:rsid w:val="00BD789D"/>
    <w:rsid w:val="00BD7F14"/>
    <w:rsid w:val="00BE0098"/>
    <w:rsid w:val="00BE014C"/>
    <w:rsid w:val="00BE053B"/>
    <w:rsid w:val="00BE0F8F"/>
    <w:rsid w:val="00BE118B"/>
    <w:rsid w:val="00BE1438"/>
    <w:rsid w:val="00BE1B74"/>
    <w:rsid w:val="00BE201A"/>
    <w:rsid w:val="00BE34C6"/>
    <w:rsid w:val="00BE3560"/>
    <w:rsid w:val="00BE35D9"/>
    <w:rsid w:val="00BE36D7"/>
    <w:rsid w:val="00BE3967"/>
    <w:rsid w:val="00BE4872"/>
    <w:rsid w:val="00BE4C89"/>
    <w:rsid w:val="00BE5AD0"/>
    <w:rsid w:val="00BE60A3"/>
    <w:rsid w:val="00BE6182"/>
    <w:rsid w:val="00BE66B0"/>
    <w:rsid w:val="00BE6B74"/>
    <w:rsid w:val="00BE7E23"/>
    <w:rsid w:val="00BF0063"/>
    <w:rsid w:val="00BF08CB"/>
    <w:rsid w:val="00BF1573"/>
    <w:rsid w:val="00BF1922"/>
    <w:rsid w:val="00BF1F10"/>
    <w:rsid w:val="00BF2523"/>
    <w:rsid w:val="00BF2939"/>
    <w:rsid w:val="00BF2EA8"/>
    <w:rsid w:val="00BF32EB"/>
    <w:rsid w:val="00BF40C6"/>
    <w:rsid w:val="00BF4600"/>
    <w:rsid w:val="00BF4865"/>
    <w:rsid w:val="00BF4871"/>
    <w:rsid w:val="00BF4AF7"/>
    <w:rsid w:val="00BF65BD"/>
    <w:rsid w:val="00BF7C42"/>
    <w:rsid w:val="00C0028D"/>
    <w:rsid w:val="00C0120A"/>
    <w:rsid w:val="00C01451"/>
    <w:rsid w:val="00C01882"/>
    <w:rsid w:val="00C02A78"/>
    <w:rsid w:val="00C03059"/>
    <w:rsid w:val="00C0391B"/>
    <w:rsid w:val="00C03A29"/>
    <w:rsid w:val="00C04473"/>
    <w:rsid w:val="00C0546D"/>
    <w:rsid w:val="00C05820"/>
    <w:rsid w:val="00C070BA"/>
    <w:rsid w:val="00C07884"/>
    <w:rsid w:val="00C101BC"/>
    <w:rsid w:val="00C10EA4"/>
    <w:rsid w:val="00C11139"/>
    <w:rsid w:val="00C144A6"/>
    <w:rsid w:val="00C144E7"/>
    <w:rsid w:val="00C1453E"/>
    <w:rsid w:val="00C14557"/>
    <w:rsid w:val="00C14701"/>
    <w:rsid w:val="00C14A51"/>
    <w:rsid w:val="00C14CE0"/>
    <w:rsid w:val="00C1525C"/>
    <w:rsid w:val="00C153DE"/>
    <w:rsid w:val="00C16D95"/>
    <w:rsid w:val="00C17669"/>
    <w:rsid w:val="00C17BAA"/>
    <w:rsid w:val="00C17F1B"/>
    <w:rsid w:val="00C2142B"/>
    <w:rsid w:val="00C2173A"/>
    <w:rsid w:val="00C21762"/>
    <w:rsid w:val="00C21EFD"/>
    <w:rsid w:val="00C224DF"/>
    <w:rsid w:val="00C22DD6"/>
    <w:rsid w:val="00C23BA8"/>
    <w:rsid w:val="00C24049"/>
    <w:rsid w:val="00C24543"/>
    <w:rsid w:val="00C24A4E"/>
    <w:rsid w:val="00C256A2"/>
    <w:rsid w:val="00C25808"/>
    <w:rsid w:val="00C26350"/>
    <w:rsid w:val="00C26A69"/>
    <w:rsid w:val="00C27360"/>
    <w:rsid w:val="00C31770"/>
    <w:rsid w:val="00C31BE0"/>
    <w:rsid w:val="00C320A3"/>
    <w:rsid w:val="00C3238A"/>
    <w:rsid w:val="00C32415"/>
    <w:rsid w:val="00C32A61"/>
    <w:rsid w:val="00C338B0"/>
    <w:rsid w:val="00C33EB0"/>
    <w:rsid w:val="00C340DC"/>
    <w:rsid w:val="00C344B0"/>
    <w:rsid w:val="00C3492D"/>
    <w:rsid w:val="00C34973"/>
    <w:rsid w:val="00C34F68"/>
    <w:rsid w:val="00C3629F"/>
    <w:rsid w:val="00C36E35"/>
    <w:rsid w:val="00C371DE"/>
    <w:rsid w:val="00C4068A"/>
    <w:rsid w:val="00C41AB9"/>
    <w:rsid w:val="00C4237D"/>
    <w:rsid w:val="00C423E4"/>
    <w:rsid w:val="00C432D8"/>
    <w:rsid w:val="00C43943"/>
    <w:rsid w:val="00C43FC7"/>
    <w:rsid w:val="00C443E8"/>
    <w:rsid w:val="00C44886"/>
    <w:rsid w:val="00C44ECB"/>
    <w:rsid w:val="00C45555"/>
    <w:rsid w:val="00C45976"/>
    <w:rsid w:val="00C45A93"/>
    <w:rsid w:val="00C462FA"/>
    <w:rsid w:val="00C4696E"/>
    <w:rsid w:val="00C46A80"/>
    <w:rsid w:val="00C46AC7"/>
    <w:rsid w:val="00C4716E"/>
    <w:rsid w:val="00C47791"/>
    <w:rsid w:val="00C4793D"/>
    <w:rsid w:val="00C47E39"/>
    <w:rsid w:val="00C502C3"/>
    <w:rsid w:val="00C506EB"/>
    <w:rsid w:val="00C50C1E"/>
    <w:rsid w:val="00C51C98"/>
    <w:rsid w:val="00C523F4"/>
    <w:rsid w:val="00C535F1"/>
    <w:rsid w:val="00C53F60"/>
    <w:rsid w:val="00C546AB"/>
    <w:rsid w:val="00C5474E"/>
    <w:rsid w:val="00C548FA"/>
    <w:rsid w:val="00C55378"/>
    <w:rsid w:val="00C55560"/>
    <w:rsid w:val="00C577B7"/>
    <w:rsid w:val="00C60644"/>
    <w:rsid w:val="00C60FDD"/>
    <w:rsid w:val="00C61956"/>
    <w:rsid w:val="00C61997"/>
    <w:rsid w:val="00C62393"/>
    <w:rsid w:val="00C62BF4"/>
    <w:rsid w:val="00C62EEF"/>
    <w:rsid w:val="00C63C59"/>
    <w:rsid w:val="00C649E1"/>
    <w:rsid w:val="00C65998"/>
    <w:rsid w:val="00C669C1"/>
    <w:rsid w:val="00C66B72"/>
    <w:rsid w:val="00C674CD"/>
    <w:rsid w:val="00C67F18"/>
    <w:rsid w:val="00C714BB"/>
    <w:rsid w:val="00C7275B"/>
    <w:rsid w:val="00C7281A"/>
    <w:rsid w:val="00C73738"/>
    <w:rsid w:val="00C7377E"/>
    <w:rsid w:val="00C73BAE"/>
    <w:rsid w:val="00C74AAA"/>
    <w:rsid w:val="00C74C37"/>
    <w:rsid w:val="00C7526E"/>
    <w:rsid w:val="00C75A4F"/>
    <w:rsid w:val="00C75E68"/>
    <w:rsid w:val="00C76135"/>
    <w:rsid w:val="00C768EA"/>
    <w:rsid w:val="00C77013"/>
    <w:rsid w:val="00C77F47"/>
    <w:rsid w:val="00C81339"/>
    <w:rsid w:val="00C81FBE"/>
    <w:rsid w:val="00C82491"/>
    <w:rsid w:val="00C82B0B"/>
    <w:rsid w:val="00C83A33"/>
    <w:rsid w:val="00C83A40"/>
    <w:rsid w:val="00C84B0E"/>
    <w:rsid w:val="00C84E16"/>
    <w:rsid w:val="00C850FD"/>
    <w:rsid w:val="00C857A1"/>
    <w:rsid w:val="00C85897"/>
    <w:rsid w:val="00C85CF6"/>
    <w:rsid w:val="00C85DDE"/>
    <w:rsid w:val="00C86C06"/>
    <w:rsid w:val="00C8737F"/>
    <w:rsid w:val="00C9055F"/>
    <w:rsid w:val="00C91645"/>
    <w:rsid w:val="00C920C9"/>
    <w:rsid w:val="00C92CF7"/>
    <w:rsid w:val="00C936C3"/>
    <w:rsid w:val="00C93B8A"/>
    <w:rsid w:val="00C949E2"/>
    <w:rsid w:val="00C94BF5"/>
    <w:rsid w:val="00C9567A"/>
    <w:rsid w:val="00C957E5"/>
    <w:rsid w:val="00C95BF6"/>
    <w:rsid w:val="00C95C35"/>
    <w:rsid w:val="00C9670F"/>
    <w:rsid w:val="00C96AF3"/>
    <w:rsid w:val="00C96BFF"/>
    <w:rsid w:val="00CA0730"/>
    <w:rsid w:val="00CA0E2F"/>
    <w:rsid w:val="00CA1D19"/>
    <w:rsid w:val="00CA249C"/>
    <w:rsid w:val="00CA28C5"/>
    <w:rsid w:val="00CA2E59"/>
    <w:rsid w:val="00CA3B1D"/>
    <w:rsid w:val="00CA40EF"/>
    <w:rsid w:val="00CA44E8"/>
    <w:rsid w:val="00CA53D1"/>
    <w:rsid w:val="00CA61E3"/>
    <w:rsid w:val="00CA65F1"/>
    <w:rsid w:val="00CA6E49"/>
    <w:rsid w:val="00CA6EE1"/>
    <w:rsid w:val="00CA7CA7"/>
    <w:rsid w:val="00CB08A1"/>
    <w:rsid w:val="00CB13BC"/>
    <w:rsid w:val="00CB17C1"/>
    <w:rsid w:val="00CB2422"/>
    <w:rsid w:val="00CB2660"/>
    <w:rsid w:val="00CB2891"/>
    <w:rsid w:val="00CB2A1A"/>
    <w:rsid w:val="00CB320F"/>
    <w:rsid w:val="00CB3418"/>
    <w:rsid w:val="00CB3738"/>
    <w:rsid w:val="00CB3827"/>
    <w:rsid w:val="00CB3A1A"/>
    <w:rsid w:val="00CB3FFC"/>
    <w:rsid w:val="00CB4965"/>
    <w:rsid w:val="00CB4C01"/>
    <w:rsid w:val="00CB5565"/>
    <w:rsid w:val="00CB712B"/>
    <w:rsid w:val="00CB7A42"/>
    <w:rsid w:val="00CB7D6F"/>
    <w:rsid w:val="00CC0E8C"/>
    <w:rsid w:val="00CC201A"/>
    <w:rsid w:val="00CC25A6"/>
    <w:rsid w:val="00CC30E5"/>
    <w:rsid w:val="00CC44ED"/>
    <w:rsid w:val="00CC5302"/>
    <w:rsid w:val="00CC5639"/>
    <w:rsid w:val="00CC5E13"/>
    <w:rsid w:val="00CC5E90"/>
    <w:rsid w:val="00CC72FB"/>
    <w:rsid w:val="00CC7647"/>
    <w:rsid w:val="00CD046C"/>
    <w:rsid w:val="00CD0979"/>
    <w:rsid w:val="00CD1132"/>
    <w:rsid w:val="00CD36BA"/>
    <w:rsid w:val="00CD38C8"/>
    <w:rsid w:val="00CD403E"/>
    <w:rsid w:val="00CD6BCF"/>
    <w:rsid w:val="00CD7BBE"/>
    <w:rsid w:val="00CE0052"/>
    <w:rsid w:val="00CE1390"/>
    <w:rsid w:val="00CE1E71"/>
    <w:rsid w:val="00CE2432"/>
    <w:rsid w:val="00CE2A6C"/>
    <w:rsid w:val="00CE4868"/>
    <w:rsid w:val="00CE4999"/>
    <w:rsid w:val="00CE5199"/>
    <w:rsid w:val="00CE5D5C"/>
    <w:rsid w:val="00CE66D5"/>
    <w:rsid w:val="00CF072D"/>
    <w:rsid w:val="00CF07C3"/>
    <w:rsid w:val="00CF0A29"/>
    <w:rsid w:val="00CF0AD5"/>
    <w:rsid w:val="00CF12C1"/>
    <w:rsid w:val="00CF1E94"/>
    <w:rsid w:val="00CF1FF5"/>
    <w:rsid w:val="00CF273B"/>
    <w:rsid w:val="00CF2824"/>
    <w:rsid w:val="00CF3B31"/>
    <w:rsid w:val="00CF3EBB"/>
    <w:rsid w:val="00CF4138"/>
    <w:rsid w:val="00CF439C"/>
    <w:rsid w:val="00CF5539"/>
    <w:rsid w:val="00CF62AA"/>
    <w:rsid w:val="00CF63BF"/>
    <w:rsid w:val="00CF6754"/>
    <w:rsid w:val="00CF768E"/>
    <w:rsid w:val="00D002FC"/>
    <w:rsid w:val="00D01482"/>
    <w:rsid w:val="00D01F78"/>
    <w:rsid w:val="00D01FAC"/>
    <w:rsid w:val="00D0228D"/>
    <w:rsid w:val="00D02E9F"/>
    <w:rsid w:val="00D031D8"/>
    <w:rsid w:val="00D03633"/>
    <w:rsid w:val="00D03C39"/>
    <w:rsid w:val="00D04137"/>
    <w:rsid w:val="00D04674"/>
    <w:rsid w:val="00D05066"/>
    <w:rsid w:val="00D065A9"/>
    <w:rsid w:val="00D06D0A"/>
    <w:rsid w:val="00D070D7"/>
    <w:rsid w:val="00D07439"/>
    <w:rsid w:val="00D0799B"/>
    <w:rsid w:val="00D07A1B"/>
    <w:rsid w:val="00D11349"/>
    <w:rsid w:val="00D1169D"/>
    <w:rsid w:val="00D11888"/>
    <w:rsid w:val="00D12509"/>
    <w:rsid w:val="00D12883"/>
    <w:rsid w:val="00D12D6C"/>
    <w:rsid w:val="00D12F97"/>
    <w:rsid w:val="00D14582"/>
    <w:rsid w:val="00D14B21"/>
    <w:rsid w:val="00D1539E"/>
    <w:rsid w:val="00D15ABB"/>
    <w:rsid w:val="00D15E54"/>
    <w:rsid w:val="00D16299"/>
    <w:rsid w:val="00D162B0"/>
    <w:rsid w:val="00D16C41"/>
    <w:rsid w:val="00D2095A"/>
    <w:rsid w:val="00D20D54"/>
    <w:rsid w:val="00D210F8"/>
    <w:rsid w:val="00D211D9"/>
    <w:rsid w:val="00D2131F"/>
    <w:rsid w:val="00D21D95"/>
    <w:rsid w:val="00D21DA2"/>
    <w:rsid w:val="00D2250C"/>
    <w:rsid w:val="00D22F94"/>
    <w:rsid w:val="00D233F6"/>
    <w:rsid w:val="00D2345D"/>
    <w:rsid w:val="00D23567"/>
    <w:rsid w:val="00D23785"/>
    <w:rsid w:val="00D23A91"/>
    <w:rsid w:val="00D2412E"/>
    <w:rsid w:val="00D24291"/>
    <w:rsid w:val="00D2456B"/>
    <w:rsid w:val="00D25889"/>
    <w:rsid w:val="00D25C75"/>
    <w:rsid w:val="00D25FCD"/>
    <w:rsid w:val="00D269F1"/>
    <w:rsid w:val="00D275B4"/>
    <w:rsid w:val="00D27FBF"/>
    <w:rsid w:val="00D31472"/>
    <w:rsid w:val="00D31A13"/>
    <w:rsid w:val="00D31F66"/>
    <w:rsid w:val="00D32BCF"/>
    <w:rsid w:val="00D32D94"/>
    <w:rsid w:val="00D3350E"/>
    <w:rsid w:val="00D340AA"/>
    <w:rsid w:val="00D34786"/>
    <w:rsid w:val="00D35609"/>
    <w:rsid w:val="00D360ED"/>
    <w:rsid w:val="00D36696"/>
    <w:rsid w:val="00D36A2C"/>
    <w:rsid w:val="00D37539"/>
    <w:rsid w:val="00D37557"/>
    <w:rsid w:val="00D4040F"/>
    <w:rsid w:val="00D40A1E"/>
    <w:rsid w:val="00D41308"/>
    <w:rsid w:val="00D42007"/>
    <w:rsid w:val="00D42A76"/>
    <w:rsid w:val="00D42ADF"/>
    <w:rsid w:val="00D42BAB"/>
    <w:rsid w:val="00D43C78"/>
    <w:rsid w:val="00D43D02"/>
    <w:rsid w:val="00D44A80"/>
    <w:rsid w:val="00D44B04"/>
    <w:rsid w:val="00D44BDF"/>
    <w:rsid w:val="00D45150"/>
    <w:rsid w:val="00D45500"/>
    <w:rsid w:val="00D4662C"/>
    <w:rsid w:val="00D46CDC"/>
    <w:rsid w:val="00D47631"/>
    <w:rsid w:val="00D47E97"/>
    <w:rsid w:val="00D47F4D"/>
    <w:rsid w:val="00D5025B"/>
    <w:rsid w:val="00D50AFF"/>
    <w:rsid w:val="00D50CBE"/>
    <w:rsid w:val="00D512DC"/>
    <w:rsid w:val="00D523C3"/>
    <w:rsid w:val="00D52B5B"/>
    <w:rsid w:val="00D52C14"/>
    <w:rsid w:val="00D537DA"/>
    <w:rsid w:val="00D53960"/>
    <w:rsid w:val="00D53F3D"/>
    <w:rsid w:val="00D5431C"/>
    <w:rsid w:val="00D544A3"/>
    <w:rsid w:val="00D54FD9"/>
    <w:rsid w:val="00D558C4"/>
    <w:rsid w:val="00D55D01"/>
    <w:rsid w:val="00D568A0"/>
    <w:rsid w:val="00D57019"/>
    <w:rsid w:val="00D57833"/>
    <w:rsid w:val="00D6092C"/>
    <w:rsid w:val="00D60BBD"/>
    <w:rsid w:val="00D60D42"/>
    <w:rsid w:val="00D61163"/>
    <w:rsid w:val="00D6144B"/>
    <w:rsid w:val="00D62BD0"/>
    <w:rsid w:val="00D62F66"/>
    <w:rsid w:val="00D62FB8"/>
    <w:rsid w:val="00D63033"/>
    <w:rsid w:val="00D63233"/>
    <w:rsid w:val="00D6324A"/>
    <w:rsid w:val="00D65E4F"/>
    <w:rsid w:val="00D6603B"/>
    <w:rsid w:val="00D66F60"/>
    <w:rsid w:val="00D671D3"/>
    <w:rsid w:val="00D677D5"/>
    <w:rsid w:val="00D70778"/>
    <w:rsid w:val="00D70D74"/>
    <w:rsid w:val="00D70EFB"/>
    <w:rsid w:val="00D712D3"/>
    <w:rsid w:val="00D71422"/>
    <w:rsid w:val="00D7145E"/>
    <w:rsid w:val="00D72789"/>
    <w:rsid w:val="00D72985"/>
    <w:rsid w:val="00D73376"/>
    <w:rsid w:val="00D73D78"/>
    <w:rsid w:val="00D73E27"/>
    <w:rsid w:val="00D74A1F"/>
    <w:rsid w:val="00D74B5B"/>
    <w:rsid w:val="00D74C93"/>
    <w:rsid w:val="00D74F68"/>
    <w:rsid w:val="00D7558D"/>
    <w:rsid w:val="00D76232"/>
    <w:rsid w:val="00D7649A"/>
    <w:rsid w:val="00D76B76"/>
    <w:rsid w:val="00D77A99"/>
    <w:rsid w:val="00D77B2C"/>
    <w:rsid w:val="00D77BCE"/>
    <w:rsid w:val="00D80440"/>
    <w:rsid w:val="00D80C85"/>
    <w:rsid w:val="00D80E08"/>
    <w:rsid w:val="00D811FF"/>
    <w:rsid w:val="00D81C90"/>
    <w:rsid w:val="00D81D92"/>
    <w:rsid w:val="00D81ED2"/>
    <w:rsid w:val="00D826A0"/>
    <w:rsid w:val="00D82876"/>
    <w:rsid w:val="00D82EA8"/>
    <w:rsid w:val="00D838BE"/>
    <w:rsid w:val="00D83DD3"/>
    <w:rsid w:val="00D83FFE"/>
    <w:rsid w:val="00D86402"/>
    <w:rsid w:val="00D86569"/>
    <w:rsid w:val="00D865A2"/>
    <w:rsid w:val="00D87416"/>
    <w:rsid w:val="00D8763F"/>
    <w:rsid w:val="00D878CA"/>
    <w:rsid w:val="00D9040B"/>
    <w:rsid w:val="00D9087A"/>
    <w:rsid w:val="00D91035"/>
    <w:rsid w:val="00D91047"/>
    <w:rsid w:val="00D91199"/>
    <w:rsid w:val="00D912A6"/>
    <w:rsid w:val="00D915AB"/>
    <w:rsid w:val="00D919AC"/>
    <w:rsid w:val="00D91B1E"/>
    <w:rsid w:val="00D91D59"/>
    <w:rsid w:val="00D92374"/>
    <w:rsid w:val="00D93446"/>
    <w:rsid w:val="00D9382D"/>
    <w:rsid w:val="00D942DB"/>
    <w:rsid w:val="00D946AA"/>
    <w:rsid w:val="00D94D1C"/>
    <w:rsid w:val="00D94F44"/>
    <w:rsid w:val="00D9539C"/>
    <w:rsid w:val="00D95402"/>
    <w:rsid w:val="00D9546A"/>
    <w:rsid w:val="00D95D43"/>
    <w:rsid w:val="00D96245"/>
    <w:rsid w:val="00D978E5"/>
    <w:rsid w:val="00DA1520"/>
    <w:rsid w:val="00DA2A64"/>
    <w:rsid w:val="00DA2A7C"/>
    <w:rsid w:val="00DA3005"/>
    <w:rsid w:val="00DA300A"/>
    <w:rsid w:val="00DA40CF"/>
    <w:rsid w:val="00DA4E4E"/>
    <w:rsid w:val="00DA5ECF"/>
    <w:rsid w:val="00DA6AB3"/>
    <w:rsid w:val="00DA7151"/>
    <w:rsid w:val="00DA74B0"/>
    <w:rsid w:val="00DA77AA"/>
    <w:rsid w:val="00DA7982"/>
    <w:rsid w:val="00DA79D0"/>
    <w:rsid w:val="00DA7B5F"/>
    <w:rsid w:val="00DB0FBE"/>
    <w:rsid w:val="00DB18A8"/>
    <w:rsid w:val="00DB1D14"/>
    <w:rsid w:val="00DB3050"/>
    <w:rsid w:val="00DB30EC"/>
    <w:rsid w:val="00DB3374"/>
    <w:rsid w:val="00DB4A1E"/>
    <w:rsid w:val="00DB4D80"/>
    <w:rsid w:val="00DB5C3C"/>
    <w:rsid w:val="00DC07A4"/>
    <w:rsid w:val="00DC15A4"/>
    <w:rsid w:val="00DC174D"/>
    <w:rsid w:val="00DC1C6D"/>
    <w:rsid w:val="00DC2858"/>
    <w:rsid w:val="00DC28C0"/>
    <w:rsid w:val="00DC2FF2"/>
    <w:rsid w:val="00DC3121"/>
    <w:rsid w:val="00DC4839"/>
    <w:rsid w:val="00DC5B2F"/>
    <w:rsid w:val="00DC63C7"/>
    <w:rsid w:val="00DC6453"/>
    <w:rsid w:val="00DC6D2C"/>
    <w:rsid w:val="00DC7597"/>
    <w:rsid w:val="00DC7693"/>
    <w:rsid w:val="00DD045E"/>
    <w:rsid w:val="00DD1E65"/>
    <w:rsid w:val="00DD2635"/>
    <w:rsid w:val="00DD2BE4"/>
    <w:rsid w:val="00DD2C54"/>
    <w:rsid w:val="00DD3438"/>
    <w:rsid w:val="00DD5501"/>
    <w:rsid w:val="00DD5AF1"/>
    <w:rsid w:val="00DD6D8F"/>
    <w:rsid w:val="00DD6DEF"/>
    <w:rsid w:val="00DD6F04"/>
    <w:rsid w:val="00DD759E"/>
    <w:rsid w:val="00DE0266"/>
    <w:rsid w:val="00DE16C3"/>
    <w:rsid w:val="00DE181C"/>
    <w:rsid w:val="00DE198D"/>
    <w:rsid w:val="00DE22C1"/>
    <w:rsid w:val="00DE26A2"/>
    <w:rsid w:val="00DE3E14"/>
    <w:rsid w:val="00DE4C96"/>
    <w:rsid w:val="00DE6249"/>
    <w:rsid w:val="00DE62F2"/>
    <w:rsid w:val="00DE735D"/>
    <w:rsid w:val="00DE7417"/>
    <w:rsid w:val="00DE783D"/>
    <w:rsid w:val="00DE7927"/>
    <w:rsid w:val="00DE7D2E"/>
    <w:rsid w:val="00DF1CDD"/>
    <w:rsid w:val="00DF1D34"/>
    <w:rsid w:val="00DF1DF9"/>
    <w:rsid w:val="00DF2FDC"/>
    <w:rsid w:val="00DF3130"/>
    <w:rsid w:val="00DF3778"/>
    <w:rsid w:val="00DF3A3C"/>
    <w:rsid w:val="00DF42A0"/>
    <w:rsid w:val="00DF472F"/>
    <w:rsid w:val="00DF4BDE"/>
    <w:rsid w:val="00DF5077"/>
    <w:rsid w:val="00DF5644"/>
    <w:rsid w:val="00DF56EC"/>
    <w:rsid w:val="00DF7793"/>
    <w:rsid w:val="00E0059C"/>
    <w:rsid w:val="00E01798"/>
    <w:rsid w:val="00E01B40"/>
    <w:rsid w:val="00E02360"/>
    <w:rsid w:val="00E023DF"/>
    <w:rsid w:val="00E03843"/>
    <w:rsid w:val="00E052B0"/>
    <w:rsid w:val="00E05A87"/>
    <w:rsid w:val="00E067A6"/>
    <w:rsid w:val="00E06DDE"/>
    <w:rsid w:val="00E0702F"/>
    <w:rsid w:val="00E07187"/>
    <w:rsid w:val="00E0734B"/>
    <w:rsid w:val="00E0740A"/>
    <w:rsid w:val="00E11392"/>
    <w:rsid w:val="00E114A7"/>
    <w:rsid w:val="00E123DF"/>
    <w:rsid w:val="00E13D70"/>
    <w:rsid w:val="00E1451D"/>
    <w:rsid w:val="00E15130"/>
    <w:rsid w:val="00E15217"/>
    <w:rsid w:val="00E1542D"/>
    <w:rsid w:val="00E1578C"/>
    <w:rsid w:val="00E15B49"/>
    <w:rsid w:val="00E15F82"/>
    <w:rsid w:val="00E15FBA"/>
    <w:rsid w:val="00E16F9D"/>
    <w:rsid w:val="00E17683"/>
    <w:rsid w:val="00E2121C"/>
    <w:rsid w:val="00E21D36"/>
    <w:rsid w:val="00E22278"/>
    <w:rsid w:val="00E2284A"/>
    <w:rsid w:val="00E230FD"/>
    <w:rsid w:val="00E2364D"/>
    <w:rsid w:val="00E236F1"/>
    <w:rsid w:val="00E2398E"/>
    <w:rsid w:val="00E23A98"/>
    <w:rsid w:val="00E25A41"/>
    <w:rsid w:val="00E25BE4"/>
    <w:rsid w:val="00E2673A"/>
    <w:rsid w:val="00E26F97"/>
    <w:rsid w:val="00E26FCD"/>
    <w:rsid w:val="00E27AA4"/>
    <w:rsid w:val="00E27C68"/>
    <w:rsid w:val="00E30281"/>
    <w:rsid w:val="00E30994"/>
    <w:rsid w:val="00E30E18"/>
    <w:rsid w:val="00E314FA"/>
    <w:rsid w:val="00E3317B"/>
    <w:rsid w:val="00E337D9"/>
    <w:rsid w:val="00E3386F"/>
    <w:rsid w:val="00E33E64"/>
    <w:rsid w:val="00E35189"/>
    <w:rsid w:val="00E3533B"/>
    <w:rsid w:val="00E358B1"/>
    <w:rsid w:val="00E3622A"/>
    <w:rsid w:val="00E364C4"/>
    <w:rsid w:val="00E37292"/>
    <w:rsid w:val="00E3757F"/>
    <w:rsid w:val="00E37980"/>
    <w:rsid w:val="00E37EAC"/>
    <w:rsid w:val="00E41133"/>
    <w:rsid w:val="00E41E9F"/>
    <w:rsid w:val="00E42994"/>
    <w:rsid w:val="00E42C74"/>
    <w:rsid w:val="00E43157"/>
    <w:rsid w:val="00E43212"/>
    <w:rsid w:val="00E4390D"/>
    <w:rsid w:val="00E43C54"/>
    <w:rsid w:val="00E43C96"/>
    <w:rsid w:val="00E44961"/>
    <w:rsid w:val="00E45D29"/>
    <w:rsid w:val="00E461F9"/>
    <w:rsid w:val="00E46307"/>
    <w:rsid w:val="00E46CD5"/>
    <w:rsid w:val="00E4781D"/>
    <w:rsid w:val="00E50136"/>
    <w:rsid w:val="00E51067"/>
    <w:rsid w:val="00E524B1"/>
    <w:rsid w:val="00E52A79"/>
    <w:rsid w:val="00E533FF"/>
    <w:rsid w:val="00E53BD8"/>
    <w:rsid w:val="00E53DC6"/>
    <w:rsid w:val="00E53E5E"/>
    <w:rsid w:val="00E54100"/>
    <w:rsid w:val="00E54EF8"/>
    <w:rsid w:val="00E55A94"/>
    <w:rsid w:val="00E56125"/>
    <w:rsid w:val="00E56477"/>
    <w:rsid w:val="00E5771B"/>
    <w:rsid w:val="00E57833"/>
    <w:rsid w:val="00E57AC6"/>
    <w:rsid w:val="00E57B6B"/>
    <w:rsid w:val="00E57ECF"/>
    <w:rsid w:val="00E608CA"/>
    <w:rsid w:val="00E61067"/>
    <w:rsid w:val="00E616EA"/>
    <w:rsid w:val="00E61DC3"/>
    <w:rsid w:val="00E61FC3"/>
    <w:rsid w:val="00E62965"/>
    <w:rsid w:val="00E62BF1"/>
    <w:rsid w:val="00E62CED"/>
    <w:rsid w:val="00E6356C"/>
    <w:rsid w:val="00E6364D"/>
    <w:rsid w:val="00E63B98"/>
    <w:rsid w:val="00E64645"/>
    <w:rsid w:val="00E64863"/>
    <w:rsid w:val="00E648F3"/>
    <w:rsid w:val="00E64AF6"/>
    <w:rsid w:val="00E64E6F"/>
    <w:rsid w:val="00E6513A"/>
    <w:rsid w:val="00E654A2"/>
    <w:rsid w:val="00E65AA7"/>
    <w:rsid w:val="00E65CB4"/>
    <w:rsid w:val="00E709B3"/>
    <w:rsid w:val="00E70B54"/>
    <w:rsid w:val="00E711AB"/>
    <w:rsid w:val="00E7126F"/>
    <w:rsid w:val="00E71273"/>
    <w:rsid w:val="00E71410"/>
    <w:rsid w:val="00E71E57"/>
    <w:rsid w:val="00E71FD7"/>
    <w:rsid w:val="00E72FFF"/>
    <w:rsid w:val="00E74123"/>
    <w:rsid w:val="00E74177"/>
    <w:rsid w:val="00E753FA"/>
    <w:rsid w:val="00E75440"/>
    <w:rsid w:val="00E75DD0"/>
    <w:rsid w:val="00E7676B"/>
    <w:rsid w:val="00E767BD"/>
    <w:rsid w:val="00E76C84"/>
    <w:rsid w:val="00E76CBC"/>
    <w:rsid w:val="00E7739E"/>
    <w:rsid w:val="00E774E4"/>
    <w:rsid w:val="00E807AA"/>
    <w:rsid w:val="00E80E83"/>
    <w:rsid w:val="00E81771"/>
    <w:rsid w:val="00E81A3E"/>
    <w:rsid w:val="00E82CCD"/>
    <w:rsid w:val="00E82F32"/>
    <w:rsid w:val="00E830CC"/>
    <w:rsid w:val="00E83848"/>
    <w:rsid w:val="00E855B5"/>
    <w:rsid w:val="00E85ABA"/>
    <w:rsid w:val="00E85B34"/>
    <w:rsid w:val="00E8617F"/>
    <w:rsid w:val="00E863BB"/>
    <w:rsid w:val="00E86ABD"/>
    <w:rsid w:val="00E86E84"/>
    <w:rsid w:val="00E86EAF"/>
    <w:rsid w:val="00E87515"/>
    <w:rsid w:val="00E8789F"/>
    <w:rsid w:val="00E908CF"/>
    <w:rsid w:val="00E90D08"/>
    <w:rsid w:val="00E91BE2"/>
    <w:rsid w:val="00E920D0"/>
    <w:rsid w:val="00E92215"/>
    <w:rsid w:val="00E92993"/>
    <w:rsid w:val="00E92E80"/>
    <w:rsid w:val="00E9316D"/>
    <w:rsid w:val="00E93BDB"/>
    <w:rsid w:val="00E93D8E"/>
    <w:rsid w:val="00E94203"/>
    <w:rsid w:val="00E94D19"/>
    <w:rsid w:val="00E94E3D"/>
    <w:rsid w:val="00E9548A"/>
    <w:rsid w:val="00E961D0"/>
    <w:rsid w:val="00E96942"/>
    <w:rsid w:val="00E978C5"/>
    <w:rsid w:val="00E97B71"/>
    <w:rsid w:val="00EA01E7"/>
    <w:rsid w:val="00EA077D"/>
    <w:rsid w:val="00EA1283"/>
    <w:rsid w:val="00EA26BA"/>
    <w:rsid w:val="00EA446B"/>
    <w:rsid w:val="00EA48EC"/>
    <w:rsid w:val="00EA4EB1"/>
    <w:rsid w:val="00EA4F82"/>
    <w:rsid w:val="00EA5A04"/>
    <w:rsid w:val="00EA5FE2"/>
    <w:rsid w:val="00EA603E"/>
    <w:rsid w:val="00EA6A6E"/>
    <w:rsid w:val="00EA70E0"/>
    <w:rsid w:val="00EA7F95"/>
    <w:rsid w:val="00EB01F4"/>
    <w:rsid w:val="00EB0252"/>
    <w:rsid w:val="00EB15FF"/>
    <w:rsid w:val="00EB18C6"/>
    <w:rsid w:val="00EB18F6"/>
    <w:rsid w:val="00EB1D83"/>
    <w:rsid w:val="00EB24D7"/>
    <w:rsid w:val="00EB2ED9"/>
    <w:rsid w:val="00EB394F"/>
    <w:rsid w:val="00EB4080"/>
    <w:rsid w:val="00EB4249"/>
    <w:rsid w:val="00EB454D"/>
    <w:rsid w:val="00EB454F"/>
    <w:rsid w:val="00EB4B7E"/>
    <w:rsid w:val="00EB51DC"/>
    <w:rsid w:val="00EB51EA"/>
    <w:rsid w:val="00EB55C1"/>
    <w:rsid w:val="00EB5B85"/>
    <w:rsid w:val="00EB606E"/>
    <w:rsid w:val="00EB6170"/>
    <w:rsid w:val="00EB62D9"/>
    <w:rsid w:val="00EB6B06"/>
    <w:rsid w:val="00EB7441"/>
    <w:rsid w:val="00EB7A72"/>
    <w:rsid w:val="00EB7F0A"/>
    <w:rsid w:val="00EC0BA4"/>
    <w:rsid w:val="00EC112E"/>
    <w:rsid w:val="00EC1F95"/>
    <w:rsid w:val="00EC20C2"/>
    <w:rsid w:val="00EC2AAD"/>
    <w:rsid w:val="00EC31F9"/>
    <w:rsid w:val="00EC36F6"/>
    <w:rsid w:val="00EC437D"/>
    <w:rsid w:val="00EC45C1"/>
    <w:rsid w:val="00EC5123"/>
    <w:rsid w:val="00EC5570"/>
    <w:rsid w:val="00EC59D9"/>
    <w:rsid w:val="00EC68B2"/>
    <w:rsid w:val="00EC6931"/>
    <w:rsid w:val="00EC714E"/>
    <w:rsid w:val="00EC74EB"/>
    <w:rsid w:val="00EC7C31"/>
    <w:rsid w:val="00ED0268"/>
    <w:rsid w:val="00ED0275"/>
    <w:rsid w:val="00ED04F8"/>
    <w:rsid w:val="00ED0E31"/>
    <w:rsid w:val="00ED0F40"/>
    <w:rsid w:val="00ED1405"/>
    <w:rsid w:val="00ED147C"/>
    <w:rsid w:val="00ED18FD"/>
    <w:rsid w:val="00ED19E9"/>
    <w:rsid w:val="00ED1D8B"/>
    <w:rsid w:val="00ED1F81"/>
    <w:rsid w:val="00ED2D1D"/>
    <w:rsid w:val="00ED3A8E"/>
    <w:rsid w:val="00ED3AB2"/>
    <w:rsid w:val="00ED52B0"/>
    <w:rsid w:val="00ED56AB"/>
    <w:rsid w:val="00ED5716"/>
    <w:rsid w:val="00ED5BE1"/>
    <w:rsid w:val="00ED5F33"/>
    <w:rsid w:val="00ED6186"/>
    <w:rsid w:val="00ED666B"/>
    <w:rsid w:val="00EE04C1"/>
    <w:rsid w:val="00EE07B5"/>
    <w:rsid w:val="00EE0BA9"/>
    <w:rsid w:val="00EE0D3E"/>
    <w:rsid w:val="00EE140F"/>
    <w:rsid w:val="00EE1C3F"/>
    <w:rsid w:val="00EE2931"/>
    <w:rsid w:val="00EE2BD2"/>
    <w:rsid w:val="00EE34B0"/>
    <w:rsid w:val="00EE3522"/>
    <w:rsid w:val="00EE36D7"/>
    <w:rsid w:val="00EE39AD"/>
    <w:rsid w:val="00EE4E4B"/>
    <w:rsid w:val="00EE5C5E"/>
    <w:rsid w:val="00EE5D7E"/>
    <w:rsid w:val="00EE5E57"/>
    <w:rsid w:val="00EE5E58"/>
    <w:rsid w:val="00EF04A0"/>
    <w:rsid w:val="00EF0CEF"/>
    <w:rsid w:val="00EF2493"/>
    <w:rsid w:val="00EF2BCD"/>
    <w:rsid w:val="00EF36AC"/>
    <w:rsid w:val="00EF4804"/>
    <w:rsid w:val="00EF49F0"/>
    <w:rsid w:val="00EF4AA2"/>
    <w:rsid w:val="00EF4C4E"/>
    <w:rsid w:val="00EF4EC3"/>
    <w:rsid w:val="00EF56CE"/>
    <w:rsid w:val="00EF5839"/>
    <w:rsid w:val="00EF5AA9"/>
    <w:rsid w:val="00EF619B"/>
    <w:rsid w:val="00EF620A"/>
    <w:rsid w:val="00EF6972"/>
    <w:rsid w:val="00EF7231"/>
    <w:rsid w:val="00EF78C3"/>
    <w:rsid w:val="00F001CA"/>
    <w:rsid w:val="00F005EE"/>
    <w:rsid w:val="00F00B55"/>
    <w:rsid w:val="00F0235E"/>
    <w:rsid w:val="00F02586"/>
    <w:rsid w:val="00F04AFE"/>
    <w:rsid w:val="00F05786"/>
    <w:rsid w:val="00F059CF"/>
    <w:rsid w:val="00F06961"/>
    <w:rsid w:val="00F1005F"/>
    <w:rsid w:val="00F10CE6"/>
    <w:rsid w:val="00F10DC1"/>
    <w:rsid w:val="00F11242"/>
    <w:rsid w:val="00F1188B"/>
    <w:rsid w:val="00F12F12"/>
    <w:rsid w:val="00F13684"/>
    <w:rsid w:val="00F1380F"/>
    <w:rsid w:val="00F14F0E"/>
    <w:rsid w:val="00F14F98"/>
    <w:rsid w:val="00F15125"/>
    <w:rsid w:val="00F15799"/>
    <w:rsid w:val="00F15B6A"/>
    <w:rsid w:val="00F16AD4"/>
    <w:rsid w:val="00F16F8E"/>
    <w:rsid w:val="00F173E7"/>
    <w:rsid w:val="00F175ED"/>
    <w:rsid w:val="00F1763D"/>
    <w:rsid w:val="00F17799"/>
    <w:rsid w:val="00F17D5E"/>
    <w:rsid w:val="00F20115"/>
    <w:rsid w:val="00F2022B"/>
    <w:rsid w:val="00F20236"/>
    <w:rsid w:val="00F2059E"/>
    <w:rsid w:val="00F20D2B"/>
    <w:rsid w:val="00F21553"/>
    <w:rsid w:val="00F21703"/>
    <w:rsid w:val="00F22103"/>
    <w:rsid w:val="00F2328B"/>
    <w:rsid w:val="00F23B00"/>
    <w:rsid w:val="00F23F07"/>
    <w:rsid w:val="00F24C29"/>
    <w:rsid w:val="00F253CC"/>
    <w:rsid w:val="00F25C31"/>
    <w:rsid w:val="00F267BE"/>
    <w:rsid w:val="00F267E4"/>
    <w:rsid w:val="00F26B0B"/>
    <w:rsid w:val="00F26D98"/>
    <w:rsid w:val="00F2719B"/>
    <w:rsid w:val="00F27458"/>
    <w:rsid w:val="00F277DB"/>
    <w:rsid w:val="00F27ACD"/>
    <w:rsid w:val="00F27CD8"/>
    <w:rsid w:val="00F27CFD"/>
    <w:rsid w:val="00F27F00"/>
    <w:rsid w:val="00F300E1"/>
    <w:rsid w:val="00F30608"/>
    <w:rsid w:val="00F311E2"/>
    <w:rsid w:val="00F31814"/>
    <w:rsid w:val="00F32262"/>
    <w:rsid w:val="00F3379A"/>
    <w:rsid w:val="00F33E5A"/>
    <w:rsid w:val="00F34265"/>
    <w:rsid w:val="00F345AF"/>
    <w:rsid w:val="00F35C2A"/>
    <w:rsid w:val="00F35E2A"/>
    <w:rsid w:val="00F36C33"/>
    <w:rsid w:val="00F36D40"/>
    <w:rsid w:val="00F36E1F"/>
    <w:rsid w:val="00F36F27"/>
    <w:rsid w:val="00F37481"/>
    <w:rsid w:val="00F377BE"/>
    <w:rsid w:val="00F37F99"/>
    <w:rsid w:val="00F40B92"/>
    <w:rsid w:val="00F4139C"/>
    <w:rsid w:val="00F41A44"/>
    <w:rsid w:val="00F427E6"/>
    <w:rsid w:val="00F434F9"/>
    <w:rsid w:val="00F438CD"/>
    <w:rsid w:val="00F441B9"/>
    <w:rsid w:val="00F453A7"/>
    <w:rsid w:val="00F45EBF"/>
    <w:rsid w:val="00F46498"/>
    <w:rsid w:val="00F50104"/>
    <w:rsid w:val="00F503B5"/>
    <w:rsid w:val="00F506DF"/>
    <w:rsid w:val="00F50844"/>
    <w:rsid w:val="00F50CCD"/>
    <w:rsid w:val="00F516D3"/>
    <w:rsid w:val="00F51F0D"/>
    <w:rsid w:val="00F527E0"/>
    <w:rsid w:val="00F532C9"/>
    <w:rsid w:val="00F545AC"/>
    <w:rsid w:val="00F54873"/>
    <w:rsid w:val="00F548A6"/>
    <w:rsid w:val="00F5497B"/>
    <w:rsid w:val="00F54F56"/>
    <w:rsid w:val="00F55507"/>
    <w:rsid w:val="00F55F3B"/>
    <w:rsid w:val="00F566C6"/>
    <w:rsid w:val="00F5694D"/>
    <w:rsid w:val="00F56A40"/>
    <w:rsid w:val="00F56BA5"/>
    <w:rsid w:val="00F56BE1"/>
    <w:rsid w:val="00F56D59"/>
    <w:rsid w:val="00F57538"/>
    <w:rsid w:val="00F57731"/>
    <w:rsid w:val="00F6022A"/>
    <w:rsid w:val="00F60E01"/>
    <w:rsid w:val="00F6108F"/>
    <w:rsid w:val="00F61379"/>
    <w:rsid w:val="00F6160F"/>
    <w:rsid w:val="00F61B4C"/>
    <w:rsid w:val="00F61BE4"/>
    <w:rsid w:val="00F6255A"/>
    <w:rsid w:val="00F629C7"/>
    <w:rsid w:val="00F62C42"/>
    <w:rsid w:val="00F637BF"/>
    <w:rsid w:val="00F644E6"/>
    <w:rsid w:val="00F652F0"/>
    <w:rsid w:val="00F6589A"/>
    <w:rsid w:val="00F666B5"/>
    <w:rsid w:val="00F66BDC"/>
    <w:rsid w:val="00F70342"/>
    <w:rsid w:val="00F71643"/>
    <w:rsid w:val="00F71982"/>
    <w:rsid w:val="00F71F53"/>
    <w:rsid w:val="00F725D1"/>
    <w:rsid w:val="00F72B58"/>
    <w:rsid w:val="00F737D9"/>
    <w:rsid w:val="00F7392C"/>
    <w:rsid w:val="00F74529"/>
    <w:rsid w:val="00F746CA"/>
    <w:rsid w:val="00F74B0B"/>
    <w:rsid w:val="00F75D9D"/>
    <w:rsid w:val="00F75F76"/>
    <w:rsid w:val="00F769C7"/>
    <w:rsid w:val="00F7730A"/>
    <w:rsid w:val="00F7784C"/>
    <w:rsid w:val="00F77995"/>
    <w:rsid w:val="00F77BFA"/>
    <w:rsid w:val="00F77C5F"/>
    <w:rsid w:val="00F77E6F"/>
    <w:rsid w:val="00F80287"/>
    <w:rsid w:val="00F820EF"/>
    <w:rsid w:val="00F8244B"/>
    <w:rsid w:val="00F82683"/>
    <w:rsid w:val="00F83D11"/>
    <w:rsid w:val="00F849BF"/>
    <w:rsid w:val="00F857F6"/>
    <w:rsid w:val="00F86E36"/>
    <w:rsid w:val="00F86EE8"/>
    <w:rsid w:val="00F87A9A"/>
    <w:rsid w:val="00F87EDC"/>
    <w:rsid w:val="00F902BF"/>
    <w:rsid w:val="00F91540"/>
    <w:rsid w:val="00F916AC"/>
    <w:rsid w:val="00F91A2C"/>
    <w:rsid w:val="00F91E3D"/>
    <w:rsid w:val="00F929C3"/>
    <w:rsid w:val="00F92CA1"/>
    <w:rsid w:val="00F93826"/>
    <w:rsid w:val="00F96149"/>
    <w:rsid w:val="00F9616C"/>
    <w:rsid w:val="00F9653B"/>
    <w:rsid w:val="00F97B89"/>
    <w:rsid w:val="00F97D53"/>
    <w:rsid w:val="00FA01C8"/>
    <w:rsid w:val="00FA081A"/>
    <w:rsid w:val="00FA1759"/>
    <w:rsid w:val="00FA1ADA"/>
    <w:rsid w:val="00FA21FC"/>
    <w:rsid w:val="00FA2245"/>
    <w:rsid w:val="00FA2C02"/>
    <w:rsid w:val="00FA2C1D"/>
    <w:rsid w:val="00FA310E"/>
    <w:rsid w:val="00FA33B5"/>
    <w:rsid w:val="00FA359A"/>
    <w:rsid w:val="00FA3BDF"/>
    <w:rsid w:val="00FA5E83"/>
    <w:rsid w:val="00FA6290"/>
    <w:rsid w:val="00FA63CD"/>
    <w:rsid w:val="00FA6AEA"/>
    <w:rsid w:val="00FA73B9"/>
    <w:rsid w:val="00FA73EB"/>
    <w:rsid w:val="00FA773D"/>
    <w:rsid w:val="00FA7982"/>
    <w:rsid w:val="00FA7CCD"/>
    <w:rsid w:val="00FB0135"/>
    <w:rsid w:val="00FB0E27"/>
    <w:rsid w:val="00FB0F94"/>
    <w:rsid w:val="00FB1A16"/>
    <w:rsid w:val="00FB1A3C"/>
    <w:rsid w:val="00FB2597"/>
    <w:rsid w:val="00FB31DD"/>
    <w:rsid w:val="00FB3C92"/>
    <w:rsid w:val="00FB49E0"/>
    <w:rsid w:val="00FB4EE9"/>
    <w:rsid w:val="00FB5063"/>
    <w:rsid w:val="00FB62CF"/>
    <w:rsid w:val="00FB74A8"/>
    <w:rsid w:val="00FC052E"/>
    <w:rsid w:val="00FC084F"/>
    <w:rsid w:val="00FC0B6E"/>
    <w:rsid w:val="00FC13F0"/>
    <w:rsid w:val="00FC1E3D"/>
    <w:rsid w:val="00FC3262"/>
    <w:rsid w:val="00FC3283"/>
    <w:rsid w:val="00FC3E0A"/>
    <w:rsid w:val="00FC3EB4"/>
    <w:rsid w:val="00FC4AB2"/>
    <w:rsid w:val="00FC53A4"/>
    <w:rsid w:val="00FC544A"/>
    <w:rsid w:val="00FC5458"/>
    <w:rsid w:val="00FC6C58"/>
    <w:rsid w:val="00FC70C6"/>
    <w:rsid w:val="00FC70D7"/>
    <w:rsid w:val="00FC78B0"/>
    <w:rsid w:val="00FD1863"/>
    <w:rsid w:val="00FD1C8A"/>
    <w:rsid w:val="00FD1DD0"/>
    <w:rsid w:val="00FD279F"/>
    <w:rsid w:val="00FD3BD1"/>
    <w:rsid w:val="00FD3E3D"/>
    <w:rsid w:val="00FD5518"/>
    <w:rsid w:val="00FD56CC"/>
    <w:rsid w:val="00FD635E"/>
    <w:rsid w:val="00FD71F0"/>
    <w:rsid w:val="00FD746F"/>
    <w:rsid w:val="00FE09CA"/>
    <w:rsid w:val="00FE0C94"/>
    <w:rsid w:val="00FE144F"/>
    <w:rsid w:val="00FE157F"/>
    <w:rsid w:val="00FE1EAD"/>
    <w:rsid w:val="00FE21AB"/>
    <w:rsid w:val="00FE25F4"/>
    <w:rsid w:val="00FE3CEC"/>
    <w:rsid w:val="00FE3EFB"/>
    <w:rsid w:val="00FE40DE"/>
    <w:rsid w:val="00FE4DAB"/>
    <w:rsid w:val="00FE6A5A"/>
    <w:rsid w:val="00FE6B45"/>
    <w:rsid w:val="00FE6B58"/>
    <w:rsid w:val="00FE6EBC"/>
    <w:rsid w:val="00FE6F98"/>
    <w:rsid w:val="00FE7129"/>
    <w:rsid w:val="00FE769E"/>
    <w:rsid w:val="00FF05BC"/>
    <w:rsid w:val="00FF0651"/>
    <w:rsid w:val="00FF19BA"/>
    <w:rsid w:val="00FF1B45"/>
    <w:rsid w:val="00FF1B5F"/>
    <w:rsid w:val="00FF1C0D"/>
    <w:rsid w:val="00FF1C1C"/>
    <w:rsid w:val="00FF379A"/>
    <w:rsid w:val="00FF3FB7"/>
    <w:rsid w:val="00FF4B22"/>
    <w:rsid w:val="00FF5724"/>
    <w:rsid w:val="00FF5851"/>
    <w:rsid w:val="00FF6C89"/>
    <w:rsid w:val="00FF7145"/>
    <w:rsid w:val="00FF7650"/>
    <w:rsid w:val="00FF7708"/>
    <w:rsid w:val="00FF7B79"/>
    <w:rsid w:val="00FF7EB1"/>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E68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F0CE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541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B541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Párrafo de lista1,List Paragraph1,Colorful List - Accent 11,List Paragraph11,List Paragraph2,Lista vistosa - Énfasis 11"/>
    <w:link w:val="ListParagraphChar"/>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D3350E"/>
    <w:pPr>
      <w:spacing w:before="120"/>
      <w:ind w:left="240"/>
    </w:pPr>
    <w:rPr>
      <w:rFonts w:asciiTheme="minorHAnsi" w:hAnsiTheme="minorHAnsi" w:cstheme="minorHAnsi"/>
      <w:i/>
      <w:iCs/>
      <w:sz w:val="20"/>
    </w:rPr>
  </w:style>
  <w:style w:type="paragraph" w:styleId="TOC1">
    <w:name w:val="toc 1"/>
    <w:basedOn w:val="Normal"/>
    <w:next w:val="Normal"/>
    <w:autoRedefine/>
    <w:uiPriority w:val="39"/>
    <w:unhideWhenUsed/>
    <w:rsid w:val="00232A3C"/>
    <w:pPr>
      <w:spacing w:before="240" w:after="120"/>
    </w:pPr>
    <w:rPr>
      <w:rFonts w:asciiTheme="minorHAnsi" w:hAnsiTheme="minorHAnsi" w:cstheme="minorHAnsi"/>
      <w:b/>
      <w:bCs/>
      <w:sz w:val="20"/>
    </w:rPr>
  </w:style>
  <w:style w:type="paragraph" w:styleId="TOC3">
    <w:name w:val="toc 3"/>
    <w:basedOn w:val="Normal"/>
    <w:next w:val="Normal"/>
    <w:autoRedefine/>
    <w:uiPriority w:val="39"/>
    <w:unhideWhenUsed/>
    <w:rsid w:val="00864785"/>
    <w:pPr>
      <w:ind w:left="480"/>
    </w:pPr>
    <w:rPr>
      <w:rFonts w:asciiTheme="minorHAnsi" w:hAnsiTheme="minorHAnsi" w:cstheme="minorHAnsi"/>
      <w:sz w:val="20"/>
    </w:rPr>
  </w:style>
  <w:style w:type="paragraph" w:styleId="TOC4">
    <w:name w:val="toc 4"/>
    <w:basedOn w:val="Normal"/>
    <w:next w:val="Normal"/>
    <w:autoRedefine/>
    <w:uiPriority w:val="39"/>
    <w:unhideWhenUsed/>
    <w:rsid w:val="005C4225"/>
    <w:pPr>
      <w:ind w:left="720"/>
    </w:pPr>
    <w:rPr>
      <w:rFonts w:asciiTheme="minorHAnsi" w:hAnsiTheme="minorHAnsi" w:cstheme="minorHAnsi"/>
      <w:sz w:val="20"/>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
    <w:link w:val="FootnotesrefssChar1Char"/>
    <w:uiPriority w:val="99"/>
    <w:qFormat/>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qFormat/>
    <w:locked/>
    <w:rsid w:val="00036A8A"/>
    <w:rPr>
      <w:rFonts w:ascii="Calibri" w:eastAsia="Calibri" w:hAnsi="Calibri" w:cs="Calibri"/>
      <w:color w:val="000000"/>
      <w:u w:color="000000"/>
      <w:lang w:val="en-US"/>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uiPriority w:val="99"/>
    <w:qFormat/>
    <w:rsid w:val="00F45EBF"/>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F45EBF"/>
    <w:rPr>
      <w:rFonts w:ascii="Cambria" w:eastAsia="Cambria" w:hAnsi="Cambria" w:cs="Cambria"/>
      <w:color w:val="000000"/>
      <w:sz w:val="24"/>
      <w:szCs w:val="24"/>
      <w:u w:color="000000"/>
      <w:lang w:val="en-US"/>
    </w:rPr>
  </w:style>
  <w:style w:type="paragraph" w:customStyle="1" w:styleId="indent">
    <w:name w:val="indent"/>
    <w:basedOn w:val="Normal"/>
    <w:rsid w:val="00D8741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um">
    <w:name w:val="num"/>
    <w:basedOn w:val="DefaultParagraphFont"/>
    <w:rsid w:val="00D87416"/>
  </w:style>
  <w:style w:type="paragraph" w:styleId="NormalWeb">
    <w:name w:val="Normal (Web)"/>
    <w:basedOn w:val="Normal"/>
    <w:uiPriority w:val="99"/>
    <w:unhideWhenUsed/>
    <w:rsid w:val="0050753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Style1Char">
    <w:name w:val="Style1 Char"/>
    <w:link w:val="Style1"/>
    <w:locked/>
    <w:rsid w:val="007D2FEE"/>
    <w:rPr>
      <w:rFonts w:ascii="Cambria" w:eastAsia="Times New Roman" w:hAnsi="Cambria"/>
      <w:b/>
      <w:bCs/>
      <w:bdr w:val="none" w:sz="0" w:space="0" w:color="auto" w:frame="1"/>
      <w:lang w:val="es-ES_tradnl" w:eastAsia="en-US"/>
    </w:rPr>
  </w:style>
  <w:style w:type="paragraph" w:customStyle="1" w:styleId="Style1">
    <w:name w:val="Style1"/>
    <w:basedOn w:val="Normal"/>
    <w:link w:val="Style1Char"/>
    <w:qFormat/>
    <w:rsid w:val="007D2FEE"/>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pPr>
    <w:rPr>
      <w:rFonts w:ascii="Cambria" w:eastAsia="Times New Roman" w:hAnsi="Cambria"/>
      <w:b/>
      <w:bCs/>
      <w:sz w:val="20"/>
      <w:szCs w:val="20"/>
      <w:bdr w:val="none" w:sz="0" w:space="0" w:color="auto" w:frame="1"/>
      <w:lang w:val="es-ES_tradnl"/>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9D15C7"/>
    <w:rPr>
      <w:rFonts w:ascii="Calibri" w:hAnsi="Calibri"/>
      <w:color w:val="000000"/>
      <w:u w:color="000000"/>
    </w:rPr>
  </w:style>
  <w:style w:type="paragraph" w:customStyle="1" w:styleId="Footnotes">
    <w:name w:val="Footnotes"/>
    <w:basedOn w:val="FootnoteText"/>
    <w:qFormat/>
    <w:rsid w:val="000332F4"/>
    <w:pPr>
      <w:pBdr>
        <w:top w:val="none" w:sz="0" w:space="0" w:color="auto"/>
        <w:left w:val="none" w:sz="0" w:space="0" w:color="auto"/>
        <w:bottom w:val="none" w:sz="0" w:space="0" w:color="auto"/>
        <w:right w:val="none" w:sz="0" w:space="0" w:color="auto"/>
        <w:between w:val="none" w:sz="0" w:space="0" w:color="auto"/>
        <w:bar w:val="none" w:sz="0" w:color="auto"/>
      </w:pBdr>
      <w:spacing w:after="120"/>
      <w:ind w:firstLine="720"/>
      <w:jc w:val="both"/>
    </w:pPr>
    <w:rPr>
      <w:rFonts w:ascii="Cambria" w:hAnsi="Cambria" w:cs="Times New Roman"/>
      <w:color w:val="auto"/>
      <w:sz w:val="18"/>
      <w:szCs w:val="18"/>
      <w:bdr w:val="none" w:sz="0" w:space="0" w:color="auto"/>
      <w:lang w:eastAsia="en-U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1937A5"/>
    <w:pPr>
      <w:pBdr>
        <w:top w:val="none" w:sz="0" w:space="0" w:color="auto"/>
        <w:left w:val="none" w:sz="0" w:space="0" w:color="auto"/>
        <w:bottom w:val="none" w:sz="0" w:space="0" w:color="auto"/>
        <w:right w:val="none" w:sz="0" w:space="0" w:color="auto"/>
        <w:between w:val="none" w:sz="0" w:space="0" w:color="auto"/>
        <w:bar w:val="none" w:sz="0" w:color="auto"/>
      </w:pBdr>
      <w:spacing w:before="200" w:after="160" w:line="240" w:lineRule="exact"/>
    </w:pPr>
    <w:rPr>
      <w:rFonts w:asciiTheme="minorHAnsi" w:eastAsiaTheme="minorEastAsia" w:hAnsiTheme="minorHAnsi" w:cstheme="minorBidi"/>
      <w:bdr w:val="none" w:sz="0" w:space="0" w:color="auto"/>
      <w:vertAlign w:val="superscript"/>
      <w:lang w:val="es-ES_tradnl" w:eastAsia="es-ES"/>
    </w:rPr>
  </w:style>
  <w:style w:type="character" w:customStyle="1" w:styleId="apple-converted-space">
    <w:name w:val="apple-converted-space"/>
    <w:rsid w:val="007607EC"/>
  </w:style>
  <w:style w:type="character" w:customStyle="1" w:styleId="apple-style-span">
    <w:name w:val="apple-style-span"/>
    <w:basedOn w:val="DefaultParagraphFont"/>
    <w:rsid w:val="00095575"/>
    <w:rPr>
      <w:rFonts w:cs="Times New Roman"/>
    </w:rPr>
  </w:style>
  <w:style w:type="character" w:customStyle="1" w:styleId="Heading2Char">
    <w:name w:val="Heading 2 Char"/>
    <w:basedOn w:val="DefaultParagraphFont"/>
    <w:link w:val="Heading2"/>
    <w:uiPriority w:val="9"/>
    <w:rsid w:val="009B541A"/>
    <w:rPr>
      <w:rFonts w:asciiTheme="majorHAnsi" w:eastAsiaTheme="majorEastAsia" w:hAnsiTheme="majorHAnsi" w:cstheme="majorBidi"/>
      <w:b/>
      <w:bCs/>
      <w:color w:val="4F81BD" w:themeColor="accent1"/>
      <w:sz w:val="26"/>
      <w:szCs w:val="26"/>
      <w:lang w:val="en-US" w:eastAsia="en-US"/>
    </w:rPr>
  </w:style>
  <w:style w:type="character" w:customStyle="1" w:styleId="Heading3Char">
    <w:name w:val="Heading 3 Char"/>
    <w:basedOn w:val="DefaultParagraphFont"/>
    <w:link w:val="Heading3"/>
    <w:uiPriority w:val="9"/>
    <w:rsid w:val="009B541A"/>
    <w:rPr>
      <w:rFonts w:asciiTheme="majorHAnsi" w:eastAsiaTheme="majorEastAsia" w:hAnsiTheme="majorHAnsi" w:cstheme="majorBidi"/>
      <w:b/>
      <w:bCs/>
      <w:color w:val="4F81BD" w:themeColor="accent1"/>
      <w:sz w:val="24"/>
      <w:szCs w:val="24"/>
      <w:lang w:val="en-US" w:eastAsia="en-US"/>
    </w:rPr>
  </w:style>
  <w:style w:type="paragraph" w:customStyle="1" w:styleId="Default">
    <w:name w:val="Default"/>
    <w:rsid w:val="009B541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en-GB" w:eastAsia="en-US"/>
    </w:rPr>
  </w:style>
  <w:style w:type="character" w:customStyle="1" w:styleId="sb8d990e2">
    <w:name w:val="sb8d990e2"/>
    <w:rsid w:val="00E43C54"/>
  </w:style>
  <w:style w:type="numbering" w:styleId="111111">
    <w:name w:val="Outline List 2"/>
    <w:basedOn w:val="NoList"/>
    <w:uiPriority w:val="99"/>
    <w:semiHidden/>
    <w:unhideWhenUsed/>
    <w:rsid w:val="00ED56AB"/>
    <w:pPr>
      <w:numPr>
        <w:numId w:val="56"/>
      </w:numPr>
    </w:pPr>
  </w:style>
  <w:style w:type="character" w:styleId="CommentReference">
    <w:name w:val="annotation reference"/>
    <w:basedOn w:val="DefaultParagraphFont"/>
    <w:uiPriority w:val="99"/>
    <w:semiHidden/>
    <w:unhideWhenUsed/>
    <w:rsid w:val="00EA6A6E"/>
    <w:rPr>
      <w:sz w:val="16"/>
      <w:szCs w:val="16"/>
    </w:rPr>
  </w:style>
  <w:style w:type="paragraph" w:styleId="CommentText">
    <w:name w:val="annotation text"/>
    <w:basedOn w:val="Normal"/>
    <w:link w:val="CommentTextChar"/>
    <w:uiPriority w:val="99"/>
    <w:semiHidden/>
    <w:unhideWhenUsed/>
    <w:rsid w:val="00EA6A6E"/>
    <w:rPr>
      <w:sz w:val="20"/>
      <w:szCs w:val="20"/>
    </w:rPr>
  </w:style>
  <w:style w:type="character" w:customStyle="1" w:styleId="CommentTextChar">
    <w:name w:val="Comment Text Char"/>
    <w:basedOn w:val="DefaultParagraphFont"/>
    <w:link w:val="CommentText"/>
    <w:uiPriority w:val="99"/>
    <w:semiHidden/>
    <w:rsid w:val="00EA6A6E"/>
    <w:rPr>
      <w:lang w:val="en-US" w:eastAsia="en-US"/>
    </w:rPr>
  </w:style>
  <w:style w:type="paragraph" w:styleId="CommentSubject">
    <w:name w:val="annotation subject"/>
    <w:basedOn w:val="CommentText"/>
    <w:next w:val="CommentText"/>
    <w:link w:val="CommentSubjectChar"/>
    <w:uiPriority w:val="99"/>
    <w:semiHidden/>
    <w:unhideWhenUsed/>
    <w:rsid w:val="00EA6A6E"/>
    <w:rPr>
      <w:b/>
      <w:bCs/>
    </w:rPr>
  </w:style>
  <w:style w:type="character" w:customStyle="1" w:styleId="CommentSubjectChar">
    <w:name w:val="Comment Subject Char"/>
    <w:basedOn w:val="CommentTextChar"/>
    <w:link w:val="CommentSubject"/>
    <w:uiPriority w:val="99"/>
    <w:semiHidden/>
    <w:rsid w:val="00EA6A6E"/>
    <w:rPr>
      <w:b/>
      <w:bCs/>
      <w:lang w:val="en-US" w:eastAsia="en-US"/>
    </w:rPr>
  </w:style>
  <w:style w:type="paragraph" w:styleId="Revision">
    <w:name w:val="Revision"/>
    <w:hidden/>
    <w:uiPriority w:val="99"/>
    <w:semiHidden/>
    <w:rsid w:val="006C1815"/>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Strong">
    <w:name w:val="Strong"/>
    <w:basedOn w:val="DefaultParagraphFont"/>
    <w:uiPriority w:val="22"/>
    <w:qFormat/>
    <w:rsid w:val="006A538E"/>
    <w:rPr>
      <w:b/>
      <w:bCs/>
    </w:rPr>
  </w:style>
  <w:style w:type="table" w:styleId="TableGrid">
    <w:name w:val="Table Grid"/>
    <w:basedOn w:val="TableNormal"/>
    <w:uiPriority w:val="59"/>
    <w:rsid w:val="0094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67053"/>
    <w:rPr>
      <w:color w:val="800080" w:themeColor="followedHyperlink"/>
      <w:u w:val="single"/>
    </w:rPr>
  </w:style>
  <w:style w:type="paragraph" w:customStyle="1" w:styleId="parrafos">
    <w:name w:val="parrafos"/>
    <w:basedOn w:val="Normal"/>
    <w:link w:val="parrafosChar"/>
    <w:qFormat/>
    <w:rsid w:val="00FB0135"/>
    <w:pPr>
      <w:pBdr>
        <w:top w:val="none" w:sz="0" w:space="0" w:color="auto"/>
        <w:left w:val="none" w:sz="0" w:space="0" w:color="auto"/>
        <w:bottom w:val="none" w:sz="0" w:space="0" w:color="auto"/>
        <w:right w:val="none" w:sz="0" w:space="0" w:color="auto"/>
        <w:between w:val="none" w:sz="0" w:space="0" w:color="auto"/>
        <w:bar w:val="none" w:sz="0" w:color="auto"/>
      </w:pBdr>
      <w:tabs>
        <w:tab w:val="left" w:pos="360"/>
        <w:tab w:val="left" w:pos="1440"/>
      </w:tabs>
      <w:ind w:left="720" w:hanging="360"/>
      <w:jc w:val="both"/>
    </w:pPr>
    <w:rPr>
      <w:rFonts w:asciiTheme="majorHAnsi" w:hAnsiTheme="majorHAnsi"/>
      <w:color w:val="000000" w:themeColor="text1"/>
      <w:sz w:val="20"/>
      <w:szCs w:val="20"/>
    </w:rPr>
  </w:style>
  <w:style w:type="character" w:customStyle="1" w:styleId="parrafosChar">
    <w:name w:val="parrafos Char"/>
    <w:basedOn w:val="DefaultParagraphFont"/>
    <w:link w:val="parrafos"/>
    <w:rsid w:val="00FB0135"/>
    <w:rPr>
      <w:rFonts w:asciiTheme="majorHAnsi" w:hAnsiTheme="majorHAnsi"/>
      <w:color w:val="000000" w:themeColor="text1"/>
      <w:lang w:val="en-US" w:eastAsia="en-US"/>
    </w:rPr>
  </w:style>
  <w:style w:type="character" w:styleId="Emphasis">
    <w:name w:val="Emphasis"/>
    <w:basedOn w:val="DefaultParagraphFont"/>
    <w:uiPriority w:val="20"/>
    <w:qFormat/>
    <w:rsid w:val="008227E1"/>
    <w:rPr>
      <w:b/>
      <w:bCs/>
      <w:i w:val="0"/>
      <w:iCs w:val="0"/>
    </w:rPr>
  </w:style>
  <w:style w:type="character" w:customStyle="1" w:styleId="st1">
    <w:name w:val="st1"/>
    <w:basedOn w:val="DefaultParagraphFont"/>
    <w:rsid w:val="008227E1"/>
  </w:style>
  <w:style w:type="paragraph" w:styleId="TOC5">
    <w:name w:val="toc 5"/>
    <w:basedOn w:val="Normal"/>
    <w:next w:val="Normal"/>
    <w:autoRedefine/>
    <w:uiPriority w:val="39"/>
    <w:unhideWhenUsed/>
    <w:rsid w:val="00EE07B5"/>
    <w:pPr>
      <w:ind w:left="960"/>
    </w:pPr>
    <w:rPr>
      <w:rFonts w:asciiTheme="minorHAnsi" w:hAnsiTheme="minorHAnsi" w:cstheme="minorHAnsi"/>
      <w:sz w:val="20"/>
    </w:rPr>
  </w:style>
  <w:style w:type="paragraph" w:styleId="TOC6">
    <w:name w:val="toc 6"/>
    <w:basedOn w:val="Normal"/>
    <w:next w:val="Normal"/>
    <w:autoRedefine/>
    <w:uiPriority w:val="39"/>
    <w:unhideWhenUsed/>
    <w:rsid w:val="00EE07B5"/>
    <w:pPr>
      <w:ind w:left="1200"/>
    </w:pPr>
    <w:rPr>
      <w:rFonts w:asciiTheme="minorHAnsi" w:hAnsiTheme="minorHAnsi" w:cstheme="minorHAnsi"/>
      <w:sz w:val="20"/>
    </w:rPr>
  </w:style>
  <w:style w:type="paragraph" w:styleId="TOC7">
    <w:name w:val="toc 7"/>
    <w:basedOn w:val="Normal"/>
    <w:next w:val="Normal"/>
    <w:autoRedefine/>
    <w:uiPriority w:val="39"/>
    <w:unhideWhenUsed/>
    <w:rsid w:val="00EE07B5"/>
    <w:pPr>
      <w:ind w:left="1440"/>
    </w:pPr>
    <w:rPr>
      <w:rFonts w:asciiTheme="minorHAnsi" w:hAnsiTheme="minorHAnsi" w:cstheme="minorHAnsi"/>
      <w:sz w:val="20"/>
    </w:rPr>
  </w:style>
  <w:style w:type="paragraph" w:styleId="TOC8">
    <w:name w:val="toc 8"/>
    <w:basedOn w:val="Normal"/>
    <w:next w:val="Normal"/>
    <w:autoRedefine/>
    <w:uiPriority w:val="39"/>
    <w:unhideWhenUsed/>
    <w:rsid w:val="00EE07B5"/>
    <w:pPr>
      <w:ind w:left="1680"/>
    </w:pPr>
    <w:rPr>
      <w:rFonts w:asciiTheme="minorHAnsi" w:hAnsiTheme="minorHAnsi" w:cstheme="minorHAnsi"/>
      <w:sz w:val="20"/>
    </w:rPr>
  </w:style>
  <w:style w:type="paragraph" w:styleId="TOC9">
    <w:name w:val="toc 9"/>
    <w:basedOn w:val="Normal"/>
    <w:next w:val="Normal"/>
    <w:autoRedefine/>
    <w:uiPriority w:val="39"/>
    <w:unhideWhenUsed/>
    <w:rsid w:val="00EE07B5"/>
    <w:pPr>
      <w:ind w:left="1920"/>
    </w:pPr>
    <w:rPr>
      <w:rFonts w:asciiTheme="minorHAnsi" w:hAnsiTheme="minorHAnsi" w:cstheme="minorHAnsi"/>
      <w:sz w:val="20"/>
    </w:rPr>
  </w:style>
  <w:style w:type="paragraph" w:styleId="TOCHeading">
    <w:name w:val="TOC Heading"/>
    <w:basedOn w:val="Heading1"/>
    <w:next w:val="Normal"/>
    <w:uiPriority w:val="39"/>
    <w:unhideWhenUsed/>
    <w:qFormat/>
    <w:rsid w:val="00407C66"/>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s-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7233">
      <w:bodyDiv w:val="1"/>
      <w:marLeft w:val="0"/>
      <w:marRight w:val="0"/>
      <w:marTop w:val="0"/>
      <w:marBottom w:val="0"/>
      <w:divBdr>
        <w:top w:val="none" w:sz="0" w:space="0" w:color="auto"/>
        <w:left w:val="none" w:sz="0" w:space="0" w:color="auto"/>
        <w:bottom w:val="none" w:sz="0" w:space="0" w:color="auto"/>
        <w:right w:val="none" w:sz="0" w:space="0" w:color="auto"/>
      </w:divBdr>
    </w:div>
    <w:div w:id="352271413">
      <w:bodyDiv w:val="1"/>
      <w:marLeft w:val="0"/>
      <w:marRight w:val="0"/>
      <w:marTop w:val="0"/>
      <w:marBottom w:val="0"/>
      <w:divBdr>
        <w:top w:val="none" w:sz="0" w:space="0" w:color="auto"/>
        <w:left w:val="none" w:sz="0" w:space="0" w:color="auto"/>
        <w:bottom w:val="none" w:sz="0" w:space="0" w:color="auto"/>
        <w:right w:val="none" w:sz="0" w:space="0" w:color="auto"/>
      </w:divBdr>
    </w:div>
    <w:div w:id="464859559">
      <w:bodyDiv w:val="1"/>
      <w:marLeft w:val="0"/>
      <w:marRight w:val="0"/>
      <w:marTop w:val="0"/>
      <w:marBottom w:val="0"/>
      <w:divBdr>
        <w:top w:val="none" w:sz="0" w:space="0" w:color="auto"/>
        <w:left w:val="none" w:sz="0" w:space="0" w:color="auto"/>
        <w:bottom w:val="none" w:sz="0" w:space="0" w:color="auto"/>
        <w:right w:val="none" w:sz="0" w:space="0" w:color="auto"/>
      </w:divBdr>
    </w:div>
    <w:div w:id="566841561">
      <w:bodyDiv w:val="1"/>
      <w:marLeft w:val="0"/>
      <w:marRight w:val="0"/>
      <w:marTop w:val="0"/>
      <w:marBottom w:val="0"/>
      <w:divBdr>
        <w:top w:val="none" w:sz="0" w:space="0" w:color="auto"/>
        <w:left w:val="none" w:sz="0" w:space="0" w:color="auto"/>
        <w:bottom w:val="none" w:sz="0" w:space="0" w:color="auto"/>
        <w:right w:val="none" w:sz="0" w:space="0" w:color="auto"/>
      </w:divBdr>
    </w:div>
    <w:div w:id="593631155">
      <w:bodyDiv w:val="1"/>
      <w:marLeft w:val="0"/>
      <w:marRight w:val="0"/>
      <w:marTop w:val="0"/>
      <w:marBottom w:val="0"/>
      <w:divBdr>
        <w:top w:val="none" w:sz="0" w:space="0" w:color="auto"/>
        <w:left w:val="none" w:sz="0" w:space="0" w:color="auto"/>
        <w:bottom w:val="none" w:sz="0" w:space="0" w:color="auto"/>
        <w:right w:val="none" w:sz="0" w:space="0" w:color="auto"/>
      </w:divBdr>
    </w:div>
    <w:div w:id="626014000">
      <w:bodyDiv w:val="1"/>
      <w:marLeft w:val="0"/>
      <w:marRight w:val="0"/>
      <w:marTop w:val="0"/>
      <w:marBottom w:val="0"/>
      <w:divBdr>
        <w:top w:val="none" w:sz="0" w:space="0" w:color="auto"/>
        <w:left w:val="none" w:sz="0" w:space="0" w:color="auto"/>
        <w:bottom w:val="none" w:sz="0" w:space="0" w:color="auto"/>
        <w:right w:val="none" w:sz="0" w:space="0" w:color="auto"/>
      </w:divBdr>
    </w:div>
    <w:div w:id="761800827">
      <w:bodyDiv w:val="1"/>
      <w:marLeft w:val="0"/>
      <w:marRight w:val="0"/>
      <w:marTop w:val="0"/>
      <w:marBottom w:val="0"/>
      <w:divBdr>
        <w:top w:val="none" w:sz="0" w:space="0" w:color="auto"/>
        <w:left w:val="none" w:sz="0" w:space="0" w:color="auto"/>
        <w:bottom w:val="none" w:sz="0" w:space="0" w:color="auto"/>
        <w:right w:val="none" w:sz="0" w:space="0" w:color="auto"/>
      </w:divBdr>
    </w:div>
    <w:div w:id="790439445">
      <w:bodyDiv w:val="1"/>
      <w:marLeft w:val="0"/>
      <w:marRight w:val="0"/>
      <w:marTop w:val="0"/>
      <w:marBottom w:val="0"/>
      <w:divBdr>
        <w:top w:val="none" w:sz="0" w:space="0" w:color="auto"/>
        <w:left w:val="none" w:sz="0" w:space="0" w:color="auto"/>
        <w:bottom w:val="none" w:sz="0" w:space="0" w:color="auto"/>
        <w:right w:val="none" w:sz="0" w:space="0" w:color="auto"/>
      </w:divBdr>
    </w:div>
    <w:div w:id="816412868">
      <w:bodyDiv w:val="1"/>
      <w:marLeft w:val="0"/>
      <w:marRight w:val="0"/>
      <w:marTop w:val="0"/>
      <w:marBottom w:val="0"/>
      <w:divBdr>
        <w:top w:val="none" w:sz="0" w:space="0" w:color="auto"/>
        <w:left w:val="none" w:sz="0" w:space="0" w:color="auto"/>
        <w:bottom w:val="none" w:sz="0" w:space="0" w:color="auto"/>
        <w:right w:val="none" w:sz="0" w:space="0" w:color="auto"/>
      </w:divBdr>
    </w:div>
    <w:div w:id="982924564">
      <w:bodyDiv w:val="1"/>
      <w:marLeft w:val="0"/>
      <w:marRight w:val="0"/>
      <w:marTop w:val="0"/>
      <w:marBottom w:val="0"/>
      <w:divBdr>
        <w:top w:val="none" w:sz="0" w:space="0" w:color="auto"/>
        <w:left w:val="none" w:sz="0" w:space="0" w:color="auto"/>
        <w:bottom w:val="none" w:sz="0" w:space="0" w:color="auto"/>
        <w:right w:val="none" w:sz="0" w:space="0" w:color="auto"/>
      </w:divBdr>
    </w:div>
    <w:div w:id="1002781278">
      <w:bodyDiv w:val="1"/>
      <w:marLeft w:val="0"/>
      <w:marRight w:val="0"/>
      <w:marTop w:val="0"/>
      <w:marBottom w:val="0"/>
      <w:divBdr>
        <w:top w:val="none" w:sz="0" w:space="0" w:color="auto"/>
        <w:left w:val="none" w:sz="0" w:space="0" w:color="auto"/>
        <w:bottom w:val="none" w:sz="0" w:space="0" w:color="auto"/>
        <w:right w:val="none" w:sz="0" w:space="0" w:color="auto"/>
      </w:divBdr>
    </w:div>
    <w:div w:id="1007027173">
      <w:bodyDiv w:val="1"/>
      <w:marLeft w:val="0"/>
      <w:marRight w:val="0"/>
      <w:marTop w:val="0"/>
      <w:marBottom w:val="0"/>
      <w:divBdr>
        <w:top w:val="none" w:sz="0" w:space="0" w:color="auto"/>
        <w:left w:val="none" w:sz="0" w:space="0" w:color="auto"/>
        <w:bottom w:val="none" w:sz="0" w:space="0" w:color="auto"/>
        <w:right w:val="none" w:sz="0" w:space="0" w:color="auto"/>
      </w:divBdr>
    </w:div>
    <w:div w:id="1017468732">
      <w:bodyDiv w:val="1"/>
      <w:marLeft w:val="0"/>
      <w:marRight w:val="0"/>
      <w:marTop w:val="0"/>
      <w:marBottom w:val="0"/>
      <w:divBdr>
        <w:top w:val="none" w:sz="0" w:space="0" w:color="auto"/>
        <w:left w:val="none" w:sz="0" w:space="0" w:color="auto"/>
        <w:bottom w:val="none" w:sz="0" w:space="0" w:color="auto"/>
        <w:right w:val="none" w:sz="0" w:space="0" w:color="auto"/>
      </w:divBdr>
    </w:div>
    <w:div w:id="1055667373">
      <w:bodyDiv w:val="1"/>
      <w:marLeft w:val="0"/>
      <w:marRight w:val="0"/>
      <w:marTop w:val="0"/>
      <w:marBottom w:val="0"/>
      <w:divBdr>
        <w:top w:val="none" w:sz="0" w:space="0" w:color="auto"/>
        <w:left w:val="none" w:sz="0" w:space="0" w:color="auto"/>
        <w:bottom w:val="none" w:sz="0" w:space="0" w:color="auto"/>
        <w:right w:val="none" w:sz="0" w:space="0" w:color="auto"/>
      </w:divBdr>
    </w:div>
    <w:div w:id="1119106062">
      <w:bodyDiv w:val="1"/>
      <w:marLeft w:val="0"/>
      <w:marRight w:val="0"/>
      <w:marTop w:val="0"/>
      <w:marBottom w:val="0"/>
      <w:divBdr>
        <w:top w:val="none" w:sz="0" w:space="0" w:color="auto"/>
        <w:left w:val="none" w:sz="0" w:space="0" w:color="auto"/>
        <w:bottom w:val="none" w:sz="0" w:space="0" w:color="auto"/>
        <w:right w:val="none" w:sz="0" w:space="0" w:color="auto"/>
      </w:divBdr>
      <w:divsChild>
        <w:div w:id="19743894">
          <w:marLeft w:val="0"/>
          <w:marRight w:val="0"/>
          <w:marTop w:val="0"/>
          <w:marBottom w:val="0"/>
          <w:divBdr>
            <w:top w:val="none" w:sz="0" w:space="0" w:color="auto"/>
            <w:left w:val="none" w:sz="0" w:space="0" w:color="auto"/>
            <w:bottom w:val="none" w:sz="0" w:space="0" w:color="auto"/>
            <w:right w:val="none" w:sz="0" w:space="0" w:color="auto"/>
          </w:divBdr>
          <w:divsChild>
            <w:div w:id="1537697681">
              <w:marLeft w:val="0"/>
              <w:marRight w:val="0"/>
              <w:marTop w:val="0"/>
              <w:marBottom w:val="0"/>
              <w:divBdr>
                <w:top w:val="none" w:sz="0" w:space="0" w:color="auto"/>
                <w:left w:val="none" w:sz="0" w:space="0" w:color="auto"/>
                <w:bottom w:val="none" w:sz="0" w:space="0" w:color="auto"/>
                <w:right w:val="none" w:sz="0" w:space="0" w:color="auto"/>
              </w:divBdr>
              <w:divsChild>
                <w:div w:id="1387415853">
                  <w:marLeft w:val="0"/>
                  <w:marRight w:val="0"/>
                  <w:marTop w:val="0"/>
                  <w:marBottom w:val="0"/>
                  <w:divBdr>
                    <w:top w:val="none" w:sz="0" w:space="0" w:color="auto"/>
                    <w:left w:val="none" w:sz="0" w:space="0" w:color="auto"/>
                    <w:bottom w:val="none" w:sz="0" w:space="0" w:color="auto"/>
                    <w:right w:val="none" w:sz="0" w:space="0" w:color="auto"/>
                  </w:divBdr>
                </w:div>
              </w:divsChild>
            </w:div>
            <w:div w:id="159934531">
              <w:marLeft w:val="0"/>
              <w:marRight w:val="0"/>
              <w:marTop w:val="0"/>
              <w:marBottom w:val="0"/>
              <w:divBdr>
                <w:top w:val="none" w:sz="0" w:space="0" w:color="auto"/>
                <w:left w:val="none" w:sz="0" w:space="0" w:color="auto"/>
                <w:bottom w:val="none" w:sz="0" w:space="0" w:color="auto"/>
                <w:right w:val="none" w:sz="0" w:space="0" w:color="auto"/>
              </w:divBdr>
              <w:divsChild>
                <w:div w:id="1098717683">
                  <w:marLeft w:val="0"/>
                  <w:marRight w:val="0"/>
                  <w:marTop w:val="0"/>
                  <w:marBottom w:val="0"/>
                  <w:divBdr>
                    <w:top w:val="none" w:sz="0" w:space="0" w:color="auto"/>
                    <w:left w:val="none" w:sz="0" w:space="0" w:color="auto"/>
                    <w:bottom w:val="none" w:sz="0" w:space="0" w:color="auto"/>
                    <w:right w:val="none" w:sz="0" w:space="0" w:color="auto"/>
                  </w:divBdr>
                </w:div>
              </w:divsChild>
            </w:div>
            <w:div w:id="1543320636">
              <w:marLeft w:val="0"/>
              <w:marRight w:val="0"/>
              <w:marTop w:val="0"/>
              <w:marBottom w:val="0"/>
              <w:divBdr>
                <w:top w:val="none" w:sz="0" w:space="0" w:color="auto"/>
                <w:left w:val="none" w:sz="0" w:space="0" w:color="auto"/>
                <w:bottom w:val="none" w:sz="0" w:space="0" w:color="auto"/>
                <w:right w:val="none" w:sz="0" w:space="0" w:color="auto"/>
              </w:divBdr>
              <w:divsChild>
                <w:div w:id="1040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290396">
      <w:bodyDiv w:val="1"/>
      <w:marLeft w:val="0"/>
      <w:marRight w:val="0"/>
      <w:marTop w:val="0"/>
      <w:marBottom w:val="0"/>
      <w:divBdr>
        <w:top w:val="none" w:sz="0" w:space="0" w:color="auto"/>
        <w:left w:val="none" w:sz="0" w:space="0" w:color="auto"/>
        <w:bottom w:val="none" w:sz="0" w:space="0" w:color="auto"/>
        <w:right w:val="none" w:sz="0" w:space="0" w:color="auto"/>
      </w:divBdr>
    </w:div>
    <w:div w:id="1172794881">
      <w:bodyDiv w:val="1"/>
      <w:marLeft w:val="0"/>
      <w:marRight w:val="0"/>
      <w:marTop w:val="0"/>
      <w:marBottom w:val="0"/>
      <w:divBdr>
        <w:top w:val="none" w:sz="0" w:space="0" w:color="auto"/>
        <w:left w:val="none" w:sz="0" w:space="0" w:color="auto"/>
        <w:bottom w:val="none" w:sz="0" w:space="0" w:color="auto"/>
        <w:right w:val="none" w:sz="0" w:space="0" w:color="auto"/>
      </w:divBdr>
      <w:divsChild>
        <w:div w:id="1611014222">
          <w:marLeft w:val="0"/>
          <w:marRight w:val="0"/>
          <w:marTop w:val="0"/>
          <w:marBottom w:val="0"/>
          <w:divBdr>
            <w:top w:val="none" w:sz="0" w:space="0" w:color="auto"/>
            <w:left w:val="none" w:sz="0" w:space="0" w:color="auto"/>
            <w:bottom w:val="none" w:sz="0" w:space="0" w:color="auto"/>
            <w:right w:val="none" w:sz="0" w:space="0" w:color="auto"/>
          </w:divBdr>
        </w:div>
        <w:div w:id="1793983833">
          <w:marLeft w:val="0"/>
          <w:marRight w:val="0"/>
          <w:marTop w:val="0"/>
          <w:marBottom w:val="0"/>
          <w:divBdr>
            <w:top w:val="none" w:sz="0" w:space="0" w:color="auto"/>
            <w:left w:val="none" w:sz="0" w:space="0" w:color="auto"/>
            <w:bottom w:val="none" w:sz="0" w:space="0" w:color="auto"/>
            <w:right w:val="none" w:sz="0" w:space="0" w:color="auto"/>
          </w:divBdr>
        </w:div>
        <w:div w:id="806245953">
          <w:marLeft w:val="0"/>
          <w:marRight w:val="0"/>
          <w:marTop w:val="0"/>
          <w:marBottom w:val="0"/>
          <w:divBdr>
            <w:top w:val="none" w:sz="0" w:space="0" w:color="auto"/>
            <w:left w:val="none" w:sz="0" w:space="0" w:color="auto"/>
            <w:bottom w:val="none" w:sz="0" w:space="0" w:color="auto"/>
            <w:right w:val="none" w:sz="0" w:space="0" w:color="auto"/>
          </w:divBdr>
        </w:div>
        <w:div w:id="526989778">
          <w:marLeft w:val="0"/>
          <w:marRight w:val="0"/>
          <w:marTop w:val="0"/>
          <w:marBottom w:val="0"/>
          <w:divBdr>
            <w:top w:val="none" w:sz="0" w:space="0" w:color="auto"/>
            <w:left w:val="none" w:sz="0" w:space="0" w:color="auto"/>
            <w:bottom w:val="none" w:sz="0" w:space="0" w:color="auto"/>
            <w:right w:val="none" w:sz="0" w:space="0" w:color="auto"/>
          </w:divBdr>
        </w:div>
      </w:divsChild>
    </w:div>
    <w:div w:id="1174807074">
      <w:bodyDiv w:val="1"/>
      <w:marLeft w:val="0"/>
      <w:marRight w:val="0"/>
      <w:marTop w:val="0"/>
      <w:marBottom w:val="0"/>
      <w:divBdr>
        <w:top w:val="none" w:sz="0" w:space="0" w:color="auto"/>
        <w:left w:val="none" w:sz="0" w:space="0" w:color="auto"/>
        <w:bottom w:val="none" w:sz="0" w:space="0" w:color="auto"/>
        <w:right w:val="none" w:sz="0" w:space="0" w:color="auto"/>
      </w:divBdr>
    </w:div>
    <w:div w:id="1240137861">
      <w:bodyDiv w:val="1"/>
      <w:marLeft w:val="0"/>
      <w:marRight w:val="0"/>
      <w:marTop w:val="0"/>
      <w:marBottom w:val="0"/>
      <w:divBdr>
        <w:top w:val="none" w:sz="0" w:space="0" w:color="auto"/>
        <w:left w:val="none" w:sz="0" w:space="0" w:color="auto"/>
        <w:bottom w:val="none" w:sz="0" w:space="0" w:color="auto"/>
        <w:right w:val="none" w:sz="0" w:space="0" w:color="auto"/>
      </w:divBdr>
      <w:divsChild>
        <w:div w:id="1585185547">
          <w:marLeft w:val="0"/>
          <w:marRight w:val="0"/>
          <w:marTop w:val="0"/>
          <w:marBottom w:val="0"/>
          <w:divBdr>
            <w:top w:val="none" w:sz="0" w:space="0" w:color="auto"/>
            <w:left w:val="none" w:sz="0" w:space="0" w:color="auto"/>
            <w:bottom w:val="none" w:sz="0" w:space="0" w:color="auto"/>
            <w:right w:val="none" w:sz="0" w:space="0" w:color="auto"/>
          </w:divBdr>
          <w:divsChild>
            <w:div w:id="2088572715">
              <w:marLeft w:val="0"/>
              <w:marRight w:val="0"/>
              <w:marTop w:val="0"/>
              <w:marBottom w:val="0"/>
              <w:divBdr>
                <w:top w:val="single" w:sz="6" w:space="0" w:color="CCCCCC"/>
                <w:left w:val="single" w:sz="6" w:space="0" w:color="CCCCCC"/>
                <w:bottom w:val="single" w:sz="6" w:space="0" w:color="CCCCCC"/>
                <w:right w:val="single" w:sz="6" w:space="0" w:color="CCCCCC"/>
              </w:divBdr>
              <w:divsChild>
                <w:div w:id="1099329160">
                  <w:marLeft w:val="0"/>
                  <w:marRight w:val="0"/>
                  <w:marTop w:val="0"/>
                  <w:marBottom w:val="0"/>
                  <w:divBdr>
                    <w:top w:val="none" w:sz="0" w:space="0" w:color="auto"/>
                    <w:left w:val="none" w:sz="0" w:space="0" w:color="auto"/>
                    <w:bottom w:val="none" w:sz="0" w:space="0" w:color="auto"/>
                    <w:right w:val="none" w:sz="0" w:space="0" w:color="auto"/>
                  </w:divBdr>
                  <w:divsChild>
                    <w:div w:id="1194071810">
                      <w:marLeft w:val="0"/>
                      <w:marRight w:val="0"/>
                      <w:marTop w:val="0"/>
                      <w:marBottom w:val="0"/>
                      <w:divBdr>
                        <w:top w:val="none" w:sz="0" w:space="0" w:color="auto"/>
                        <w:left w:val="none" w:sz="0" w:space="0" w:color="auto"/>
                        <w:bottom w:val="none" w:sz="0" w:space="0" w:color="auto"/>
                        <w:right w:val="none" w:sz="0" w:space="0" w:color="auto"/>
                      </w:divBdr>
                      <w:divsChild>
                        <w:div w:id="1103498750">
                          <w:marLeft w:val="120"/>
                          <w:marRight w:val="120"/>
                          <w:marTop w:val="60"/>
                          <w:marBottom w:val="60"/>
                          <w:divBdr>
                            <w:top w:val="none" w:sz="0" w:space="0" w:color="auto"/>
                            <w:left w:val="none" w:sz="0" w:space="0" w:color="auto"/>
                            <w:bottom w:val="none" w:sz="0" w:space="0" w:color="auto"/>
                            <w:right w:val="none" w:sz="0" w:space="0" w:color="auto"/>
                          </w:divBdr>
                          <w:divsChild>
                            <w:div w:id="367722524">
                              <w:marLeft w:val="0"/>
                              <w:marRight w:val="0"/>
                              <w:marTop w:val="0"/>
                              <w:marBottom w:val="0"/>
                              <w:divBdr>
                                <w:top w:val="none" w:sz="0" w:space="0" w:color="auto"/>
                                <w:left w:val="none" w:sz="0" w:space="0" w:color="auto"/>
                                <w:bottom w:val="none" w:sz="0" w:space="0" w:color="auto"/>
                                <w:right w:val="none" w:sz="0" w:space="0" w:color="auto"/>
                              </w:divBdr>
                              <w:divsChild>
                                <w:div w:id="622005663">
                                  <w:marLeft w:val="0"/>
                                  <w:marRight w:val="0"/>
                                  <w:marTop w:val="0"/>
                                  <w:marBottom w:val="0"/>
                                  <w:divBdr>
                                    <w:top w:val="none" w:sz="0" w:space="0" w:color="auto"/>
                                    <w:left w:val="none" w:sz="0" w:space="0" w:color="auto"/>
                                    <w:bottom w:val="none" w:sz="0" w:space="0" w:color="auto"/>
                                    <w:right w:val="none" w:sz="0" w:space="0" w:color="auto"/>
                                  </w:divBdr>
                                  <w:divsChild>
                                    <w:div w:id="859204787">
                                      <w:marLeft w:val="0"/>
                                      <w:marRight w:val="0"/>
                                      <w:marTop w:val="0"/>
                                      <w:marBottom w:val="0"/>
                                      <w:divBdr>
                                        <w:top w:val="none" w:sz="0" w:space="0" w:color="auto"/>
                                        <w:left w:val="none" w:sz="0" w:space="0" w:color="auto"/>
                                        <w:bottom w:val="none" w:sz="0" w:space="0" w:color="auto"/>
                                        <w:right w:val="none" w:sz="0" w:space="0" w:color="auto"/>
                                      </w:divBdr>
                                      <w:divsChild>
                                        <w:div w:id="11076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1574359">
      <w:bodyDiv w:val="1"/>
      <w:marLeft w:val="0"/>
      <w:marRight w:val="0"/>
      <w:marTop w:val="0"/>
      <w:marBottom w:val="0"/>
      <w:divBdr>
        <w:top w:val="none" w:sz="0" w:space="0" w:color="auto"/>
        <w:left w:val="none" w:sz="0" w:space="0" w:color="auto"/>
        <w:bottom w:val="none" w:sz="0" w:space="0" w:color="auto"/>
        <w:right w:val="none" w:sz="0" w:space="0" w:color="auto"/>
      </w:divBdr>
    </w:div>
    <w:div w:id="1357653825">
      <w:bodyDiv w:val="1"/>
      <w:marLeft w:val="0"/>
      <w:marRight w:val="0"/>
      <w:marTop w:val="0"/>
      <w:marBottom w:val="0"/>
      <w:divBdr>
        <w:top w:val="none" w:sz="0" w:space="0" w:color="auto"/>
        <w:left w:val="none" w:sz="0" w:space="0" w:color="auto"/>
        <w:bottom w:val="none" w:sz="0" w:space="0" w:color="auto"/>
        <w:right w:val="none" w:sz="0" w:space="0" w:color="auto"/>
      </w:divBdr>
    </w:div>
    <w:div w:id="1629898747">
      <w:bodyDiv w:val="1"/>
      <w:marLeft w:val="0"/>
      <w:marRight w:val="0"/>
      <w:marTop w:val="0"/>
      <w:marBottom w:val="0"/>
      <w:divBdr>
        <w:top w:val="none" w:sz="0" w:space="0" w:color="auto"/>
        <w:left w:val="none" w:sz="0" w:space="0" w:color="auto"/>
        <w:bottom w:val="none" w:sz="0" w:space="0" w:color="auto"/>
        <w:right w:val="none" w:sz="0" w:space="0" w:color="auto"/>
      </w:divBdr>
    </w:div>
    <w:div w:id="1646351925">
      <w:bodyDiv w:val="1"/>
      <w:marLeft w:val="0"/>
      <w:marRight w:val="0"/>
      <w:marTop w:val="0"/>
      <w:marBottom w:val="0"/>
      <w:divBdr>
        <w:top w:val="none" w:sz="0" w:space="0" w:color="auto"/>
        <w:left w:val="none" w:sz="0" w:space="0" w:color="auto"/>
        <w:bottom w:val="none" w:sz="0" w:space="0" w:color="auto"/>
        <w:right w:val="none" w:sz="0" w:space="0" w:color="auto"/>
      </w:divBdr>
    </w:div>
    <w:div w:id="172598388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03743">
      <w:bodyDiv w:val="1"/>
      <w:marLeft w:val="0"/>
      <w:marRight w:val="0"/>
      <w:marTop w:val="0"/>
      <w:marBottom w:val="0"/>
      <w:divBdr>
        <w:top w:val="none" w:sz="0" w:space="0" w:color="auto"/>
        <w:left w:val="none" w:sz="0" w:space="0" w:color="auto"/>
        <w:bottom w:val="none" w:sz="0" w:space="0" w:color="auto"/>
        <w:right w:val="none" w:sz="0" w:space="0" w:color="auto"/>
      </w:divBdr>
      <w:divsChild>
        <w:div w:id="767655073">
          <w:marLeft w:val="0"/>
          <w:marRight w:val="0"/>
          <w:marTop w:val="0"/>
          <w:marBottom w:val="0"/>
          <w:divBdr>
            <w:top w:val="none" w:sz="0" w:space="0" w:color="auto"/>
            <w:left w:val="none" w:sz="0" w:space="0" w:color="auto"/>
            <w:bottom w:val="none" w:sz="0" w:space="0" w:color="auto"/>
            <w:right w:val="none" w:sz="0" w:space="0" w:color="auto"/>
          </w:divBdr>
        </w:div>
        <w:div w:id="1626814703">
          <w:marLeft w:val="0"/>
          <w:marRight w:val="0"/>
          <w:marTop w:val="0"/>
          <w:marBottom w:val="0"/>
          <w:divBdr>
            <w:top w:val="none" w:sz="0" w:space="0" w:color="auto"/>
            <w:left w:val="none" w:sz="0" w:space="0" w:color="auto"/>
            <w:bottom w:val="none" w:sz="0" w:space="0" w:color="auto"/>
            <w:right w:val="none" w:sz="0" w:space="0" w:color="auto"/>
          </w:divBdr>
        </w:div>
        <w:div w:id="1134443401">
          <w:marLeft w:val="0"/>
          <w:marRight w:val="0"/>
          <w:marTop w:val="0"/>
          <w:marBottom w:val="0"/>
          <w:divBdr>
            <w:top w:val="none" w:sz="0" w:space="0" w:color="auto"/>
            <w:left w:val="none" w:sz="0" w:space="0" w:color="auto"/>
            <w:bottom w:val="none" w:sz="0" w:space="0" w:color="auto"/>
            <w:right w:val="none" w:sz="0" w:space="0" w:color="auto"/>
          </w:divBdr>
        </w:div>
        <w:div w:id="228153966">
          <w:marLeft w:val="0"/>
          <w:marRight w:val="0"/>
          <w:marTop w:val="0"/>
          <w:marBottom w:val="0"/>
          <w:divBdr>
            <w:top w:val="none" w:sz="0" w:space="0" w:color="auto"/>
            <w:left w:val="none" w:sz="0" w:space="0" w:color="auto"/>
            <w:bottom w:val="none" w:sz="0" w:space="0" w:color="auto"/>
            <w:right w:val="none" w:sz="0" w:space="0" w:color="auto"/>
          </w:divBdr>
        </w:div>
        <w:div w:id="1658072371">
          <w:marLeft w:val="0"/>
          <w:marRight w:val="0"/>
          <w:marTop w:val="0"/>
          <w:marBottom w:val="0"/>
          <w:divBdr>
            <w:top w:val="none" w:sz="0" w:space="0" w:color="auto"/>
            <w:left w:val="none" w:sz="0" w:space="0" w:color="auto"/>
            <w:bottom w:val="none" w:sz="0" w:space="0" w:color="auto"/>
            <w:right w:val="none" w:sz="0" w:space="0" w:color="auto"/>
          </w:divBdr>
        </w:div>
        <w:div w:id="627473343">
          <w:marLeft w:val="0"/>
          <w:marRight w:val="0"/>
          <w:marTop w:val="0"/>
          <w:marBottom w:val="0"/>
          <w:divBdr>
            <w:top w:val="none" w:sz="0" w:space="0" w:color="auto"/>
            <w:left w:val="none" w:sz="0" w:space="0" w:color="auto"/>
            <w:bottom w:val="none" w:sz="0" w:space="0" w:color="auto"/>
            <w:right w:val="none" w:sz="0" w:space="0" w:color="auto"/>
          </w:divBdr>
        </w:div>
      </w:divsChild>
    </w:div>
    <w:div w:id="1985960237">
      <w:bodyDiv w:val="1"/>
      <w:marLeft w:val="0"/>
      <w:marRight w:val="0"/>
      <w:marTop w:val="0"/>
      <w:marBottom w:val="0"/>
      <w:divBdr>
        <w:top w:val="none" w:sz="0" w:space="0" w:color="auto"/>
        <w:left w:val="none" w:sz="0" w:space="0" w:color="auto"/>
        <w:bottom w:val="none" w:sz="0" w:space="0" w:color="auto"/>
        <w:right w:val="none" w:sz="0" w:space="0" w:color="auto"/>
      </w:divBdr>
    </w:div>
    <w:div w:id="2027442859">
      <w:bodyDiv w:val="1"/>
      <w:marLeft w:val="0"/>
      <w:marRight w:val="0"/>
      <w:marTop w:val="0"/>
      <w:marBottom w:val="0"/>
      <w:divBdr>
        <w:top w:val="none" w:sz="0" w:space="0" w:color="auto"/>
        <w:left w:val="none" w:sz="0" w:space="0" w:color="auto"/>
        <w:bottom w:val="none" w:sz="0" w:space="0" w:color="auto"/>
        <w:right w:val="none" w:sz="0" w:space="0" w:color="auto"/>
      </w:divBdr>
      <w:divsChild>
        <w:div w:id="1109590122">
          <w:marLeft w:val="0"/>
          <w:marRight w:val="0"/>
          <w:marTop w:val="0"/>
          <w:marBottom w:val="0"/>
          <w:divBdr>
            <w:top w:val="none" w:sz="0" w:space="0" w:color="auto"/>
            <w:left w:val="none" w:sz="0" w:space="0" w:color="auto"/>
            <w:bottom w:val="none" w:sz="0" w:space="0" w:color="auto"/>
            <w:right w:val="none" w:sz="0" w:space="0" w:color="auto"/>
          </w:divBdr>
          <w:divsChild>
            <w:div w:id="1530071129">
              <w:marLeft w:val="0"/>
              <w:marRight w:val="0"/>
              <w:marTop w:val="0"/>
              <w:marBottom w:val="0"/>
              <w:divBdr>
                <w:top w:val="none" w:sz="0" w:space="0" w:color="auto"/>
                <w:left w:val="none" w:sz="0" w:space="0" w:color="auto"/>
                <w:bottom w:val="none" w:sz="0" w:space="0" w:color="auto"/>
                <w:right w:val="none" w:sz="0" w:space="0" w:color="auto"/>
              </w:divBdr>
              <w:divsChild>
                <w:div w:id="8364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282">
      <w:bodyDiv w:val="1"/>
      <w:marLeft w:val="0"/>
      <w:marRight w:val="0"/>
      <w:marTop w:val="0"/>
      <w:marBottom w:val="0"/>
      <w:divBdr>
        <w:top w:val="none" w:sz="0" w:space="0" w:color="auto"/>
        <w:left w:val="none" w:sz="0" w:space="0" w:color="auto"/>
        <w:bottom w:val="none" w:sz="0" w:space="0" w:color="auto"/>
        <w:right w:val="none" w:sz="0" w:space="0" w:color="auto"/>
      </w:divBdr>
    </w:div>
    <w:div w:id="2106148263">
      <w:bodyDiv w:val="1"/>
      <w:marLeft w:val="0"/>
      <w:marRight w:val="0"/>
      <w:marTop w:val="0"/>
      <w:marBottom w:val="0"/>
      <w:divBdr>
        <w:top w:val="none" w:sz="0" w:space="0" w:color="auto"/>
        <w:left w:val="none" w:sz="0" w:space="0" w:color="auto"/>
        <w:bottom w:val="none" w:sz="0" w:space="0" w:color="auto"/>
        <w:right w:val="none" w:sz="0" w:space="0" w:color="auto"/>
      </w:divBdr>
    </w:div>
    <w:div w:id="2110469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eji.org/sites/default/files/illegal-racial-discrimination-in-jury-selection.pdf" TargetMode="External"/><Relationship Id="rId2" Type="http://schemas.openxmlformats.org/officeDocument/2006/relationships/hyperlink" Target="https://www.npr.org/2019/07/26/745722219/lethal-injection-drugs-efficacy-and-availability-for-federal-executions" TargetMode="External"/><Relationship Id="rId1" Type="http://schemas.openxmlformats.org/officeDocument/2006/relationships/hyperlink" Target="https://dockets.justia.com/docket/district-of-columbia/dcdce/1:2019mc00145/210604" TargetMode="External"/><Relationship Id="rId5" Type="http://schemas.openxmlformats.org/officeDocument/2006/relationships/hyperlink" Target="http://www.abanet.org/legalservices/downloads/%20sclaid/deathpenaltyguidelines.pdf" TargetMode="External"/><Relationship Id="rId4" Type="http://schemas.openxmlformats.org/officeDocument/2006/relationships/hyperlink" Target="https://mail.oas.org/owa/redir.aspx?C=7eb7d410646740aa8430fb18e5657fd9&amp;URL=http://181.174.117.21/cc/wp-content/uploads/2016/11/1097-201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D1D6B-F111-4BA0-9B7D-7AD6CFC0E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15144</Words>
  <Characters>86323</Characters>
  <Application>Microsoft Office Word</Application>
  <DocSecurity>0</DocSecurity>
  <Lines>719</Lines>
  <Paragraphs>202</Paragraphs>
  <ScaleCrop>false</ScaleCrop>
  <Company/>
  <LinksUpToDate>false</LinksUpToDate>
  <CharactersWithSpaces>101265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2021-04-27T18:29:00Z</dcterms:created>
  <dcterms:modified xsi:type="dcterms:W3CDTF">2021-04-27T18:29:00Z</dcterms:modified>
</cp:coreProperties>
</file>