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880ED" w14:textId="77777777" w:rsidR="00040C3A" w:rsidRPr="00D2222C" w:rsidRDefault="006311DA" w:rsidP="001E4D7D">
      <w:pPr>
        <w:jc w:val="both"/>
        <w:rPr>
          <w:rFonts w:asciiTheme="majorHAnsi" w:hAnsiTheme="majorHAnsi" w:cs="Univers"/>
          <w:b/>
          <w:bCs/>
          <w:sz w:val="22"/>
          <w:szCs w:val="22"/>
          <w:lang w:val="es-ES_tradnl"/>
        </w:rPr>
      </w:pPr>
      <w:r w:rsidRPr="00D2222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0F0E2CA" wp14:editId="34391243">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2CF63"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D2222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C7E54A2" wp14:editId="658183F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D89D8" w14:textId="77777777" w:rsidR="007E4368" w:rsidRDefault="007E4368">
                            <w:r>
                              <w:rPr>
                                <w:noProof/>
                              </w:rPr>
                              <w:drawing>
                                <wp:inline distT="0" distB="0" distL="0" distR="0" wp14:anchorId="523B4081" wp14:editId="462684BB">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E54A2"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3DD89D8" w14:textId="77777777" w:rsidR="007E4368" w:rsidRDefault="007E4368">
                      <w:r>
                        <w:rPr>
                          <w:noProof/>
                        </w:rPr>
                        <w:drawing>
                          <wp:inline distT="0" distB="0" distL="0" distR="0" wp14:anchorId="523B4081" wp14:editId="462684BB">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1646D326" w14:textId="77777777" w:rsidR="00040C3A" w:rsidRPr="00D2222C" w:rsidRDefault="00040C3A" w:rsidP="00040C3A">
      <w:pPr>
        <w:tabs>
          <w:tab w:val="center" w:pos="5400"/>
        </w:tabs>
        <w:suppressAutoHyphens/>
        <w:jc w:val="both"/>
        <w:rPr>
          <w:rFonts w:asciiTheme="majorHAnsi" w:hAnsiTheme="majorHAnsi"/>
          <w:sz w:val="22"/>
          <w:szCs w:val="22"/>
          <w:lang w:val="es-ES"/>
        </w:rPr>
      </w:pPr>
    </w:p>
    <w:p w14:paraId="361F247C" w14:textId="77777777" w:rsidR="00040C3A" w:rsidRPr="00D2222C" w:rsidRDefault="00040C3A" w:rsidP="00040C3A">
      <w:pPr>
        <w:tabs>
          <w:tab w:val="center" w:pos="5400"/>
        </w:tabs>
        <w:suppressAutoHyphens/>
        <w:jc w:val="both"/>
        <w:rPr>
          <w:rFonts w:asciiTheme="majorHAnsi" w:hAnsiTheme="majorHAnsi"/>
          <w:sz w:val="22"/>
          <w:szCs w:val="22"/>
          <w:lang w:val="es-ES"/>
        </w:rPr>
      </w:pPr>
    </w:p>
    <w:p w14:paraId="63C76E0E" w14:textId="77777777" w:rsidR="005128E4" w:rsidRPr="00D2222C" w:rsidRDefault="005128E4" w:rsidP="00040C3A">
      <w:pPr>
        <w:tabs>
          <w:tab w:val="center" w:pos="5400"/>
        </w:tabs>
        <w:suppressAutoHyphens/>
        <w:rPr>
          <w:rFonts w:asciiTheme="majorHAnsi" w:hAnsiTheme="majorHAnsi"/>
          <w:sz w:val="22"/>
          <w:szCs w:val="22"/>
          <w:lang w:val="es-ES_tradnl"/>
        </w:rPr>
      </w:pPr>
    </w:p>
    <w:p w14:paraId="74D5F416" w14:textId="77777777" w:rsidR="005128E4" w:rsidRPr="00D2222C" w:rsidRDefault="005128E4" w:rsidP="00040C3A">
      <w:pPr>
        <w:tabs>
          <w:tab w:val="center" w:pos="5400"/>
        </w:tabs>
        <w:suppressAutoHyphens/>
        <w:rPr>
          <w:rFonts w:asciiTheme="majorHAnsi" w:hAnsiTheme="majorHAnsi"/>
          <w:sz w:val="22"/>
          <w:szCs w:val="22"/>
          <w:lang w:val="es-ES_tradnl"/>
        </w:rPr>
      </w:pPr>
    </w:p>
    <w:p w14:paraId="4F01EA80" w14:textId="77777777" w:rsidR="005128E4" w:rsidRPr="00D2222C" w:rsidRDefault="005128E4" w:rsidP="00040C3A">
      <w:pPr>
        <w:tabs>
          <w:tab w:val="center" w:pos="5400"/>
        </w:tabs>
        <w:suppressAutoHyphens/>
        <w:rPr>
          <w:rFonts w:asciiTheme="majorHAnsi" w:hAnsiTheme="majorHAnsi"/>
          <w:sz w:val="22"/>
          <w:szCs w:val="22"/>
          <w:lang w:val="es-ES_tradnl"/>
        </w:rPr>
      </w:pPr>
    </w:p>
    <w:p w14:paraId="178E09BE" w14:textId="77777777" w:rsidR="00040C3A" w:rsidRPr="00D2222C" w:rsidRDefault="00040C3A" w:rsidP="005128E4">
      <w:pPr>
        <w:tabs>
          <w:tab w:val="center" w:pos="5400"/>
        </w:tabs>
        <w:suppressAutoHyphens/>
        <w:jc w:val="center"/>
        <w:rPr>
          <w:rFonts w:asciiTheme="majorHAnsi" w:hAnsiTheme="majorHAnsi"/>
          <w:sz w:val="22"/>
          <w:szCs w:val="22"/>
          <w:lang w:val="es-ES_tradnl"/>
        </w:rPr>
      </w:pPr>
    </w:p>
    <w:p w14:paraId="3F187E50" w14:textId="77777777" w:rsidR="00040C3A" w:rsidRPr="00D2222C" w:rsidRDefault="00DA1520" w:rsidP="005128E4">
      <w:pPr>
        <w:tabs>
          <w:tab w:val="center" w:pos="5400"/>
        </w:tabs>
        <w:suppressAutoHyphens/>
        <w:jc w:val="center"/>
        <w:rPr>
          <w:rFonts w:asciiTheme="majorHAnsi" w:hAnsiTheme="majorHAnsi"/>
          <w:sz w:val="22"/>
          <w:szCs w:val="22"/>
          <w:lang w:val="es-ES_tradnl"/>
        </w:rPr>
      </w:pPr>
      <w:r w:rsidRPr="00D2222C">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34B1346D" wp14:editId="0D34FB8A">
                <wp:simplePos x="0" y="0"/>
                <wp:positionH relativeFrom="column">
                  <wp:posOffset>1078173</wp:posOffset>
                </wp:positionH>
                <wp:positionV relativeFrom="paragraph">
                  <wp:posOffset>88947</wp:posOffset>
                </wp:positionV>
                <wp:extent cx="4333875" cy="3678072"/>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3678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6F5E6" w14:textId="77777777" w:rsidR="007E4368" w:rsidRDefault="007E4368" w:rsidP="004B7EB6">
                            <w:pPr>
                              <w:spacing w:line="276" w:lineRule="auto"/>
                              <w:rPr>
                                <w:rFonts w:asciiTheme="majorHAnsi" w:hAnsiTheme="majorHAnsi" w:cs="Arial"/>
                                <w:b/>
                                <w:bCs/>
                                <w:color w:val="0D0D0D" w:themeColor="text1" w:themeTint="F2"/>
                                <w:sz w:val="36"/>
                                <w:szCs w:val="40"/>
                              </w:rPr>
                            </w:pPr>
                          </w:p>
                          <w:p w14:paraId="2A9448CE" w14:textId="77777777" w:rsidR="007E4368" w:rsidRDefault="007E4368" w:rsidP="004B7EB6">
                            <w:pPr>
                              <w:spacing w:line="276" w:lineRule="auto"/>
                              <w:rPr>
                                <w:rFonts w:asciiTheme="majorHAnsi" w:hAnsiTheme="majorHAnsi" w:cs="Arial"/>
                                <w:b/>
                                <w:bCs/>
                                <w:color w:val="0D0D0D" w:themeColor="text1" w:themeTint="F2"/>
                                <w:sz w:val="36"/>
                                <w:szCs w:val="40"/>
                              </w:rPr>
                            </w:pPr>
                          </w:p>
                          <w:p w14:paraId="15B9CEEB" w14:textId="77777777" w:rsidR="007E4368" w:rsidRDefault="007E4368" w:rsidP="004B7EB6">
                            <w:pPr>
                              <w:spacing w:line="276" w:lineRule="auto"/>
                              <w:rPr>
                                <w:rFonts w:asciiTheme="majorHAnsi" w:hAnsiTheme="majorHAnsi" w:cs="Arial"/>
                                <w:b/>
                                <w:bCs/>
                                <w:color w:val="0D0D0D" w:themeColor="text1" w:themeTint="F2"/>
                                <w:sz w:val="36"/>
                                <w:szCs w:val="40"/>
                              </w:rPr>
                            </w:pPr>
                          </w:p>
                          <w:p w14:paraId="1443DD2C" w14:textId="77777777" w:rsidR="007E4368" w:rsidRPr="004B7EB6" w:rsidRDefault="007E4368"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261687">
                              <w:rPr>
                                <w:rFonts w:asciiTheme="majorHAnsi" w:hAnsiTheme="majorHAnsi" w:cs="Arial"/>
                                <w:b/>
                                <w:bCs/>
                                <w:color w:val="0D0D0D" w:themeColor="text1" w:themeTint="F2"/>
                                <w:sz w:val="36"/>
                                <w:szCs w:val="40"/>
                              </w:rPr>
                              <w:t>28/20</w:t>
                            </w:r>
                          </w:p>
                          <w:p w14:paraId="0A88A59F" w14:textId="77777777" w:rsidR="007E4368" w:rsidRPr="004B7EB6" w:rsidRDefault="007E4368"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719</w:t>
                            </w:r>
                          </w:p>
                          <w:p w14:paraId="374686ED" w14:textId="77777777" w:rsidR="007E4368" w:rsidRPr="004B7EB6" w:rsidRDefault="007E4368" w:rsidP="00F45EB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MERITS </w:t>
                            </w:r>
                            <w:r>
                              <w:rPr>
                                <w:rFonts w:asciiTheme="majorHAnsi" w:hAnsiTheme="majorHAnsi" w:cs="Arial"/>
                                <w:color w:val="0D0D0D" w:themeColor="text1" w:themeTint="F2"/>
                                <w:szCs w:val="22"/>
                              </w:rPr>
                              <w:t>(PUBLICATION)</w:t>
                            </w:r>
                          </w:p>
                          <w:p w14:paraId="27B2F47C" w14:textId="77777777" w:rsidR="007E4368" w:rsidRPr="004B7EB6" w:rsidRDefault="007E4368" w:rsidP="004B7EB6">
                            <w:pPr>
                              <w:spacing w:line="276" w:lineRule="auto"/>
                              <w:rPr>
                                <w:rFonts w:asciiTheme="majorHAnsi" w:hAnsiTheme="majorHAnsi" w:cs="Arial"/>
                                <w:color w:val="0D0D0D" w:themeColor="text1" w:themeTint="F2"/>
                                <w:szCs w:val="22"/>
                              </w:rPr>
                            </w:pPr>
                          </w:p>
                          <w:p w14:paraId="175A1057" w14:textId="77777777" w:rsidR="007E4368" w:rsidRPr="00444596" w:rsidRDefault="007E4368" w:rsidP="004B7EB6">
                            <w:pPr>
                              <w:spacing w:line="276" w:lineRule="auto"/>
                              <w:rPr>
                                <w:rFonts w:asciiTheme="majorHAnsi" w:hAnsiTheme="majorHAnsi" w:cs="Arial"/>
                                <w:color w:val="0D0D0D" w:themeColor="text1" w:themeTint="F2"/>
                                <w:szCs w:val="22"/>
                              </w:rPr>
                            </w:pPr>
                            <w:r w:rsidRPr="00444596">
                              <w:rPr>
                                <w:rFonts w:asciiTheme="majorHAnsi" w:hAnsiTheme="majorHAnsi" w:cs="Arial"/>
                                <w:color w:val="0D0D0D" w:themeColor="text1" w:themeTint="F2"/>
                                <w:szCs w:val="22"/>
                              </w:rPr>
                              <w:t>ORLANDO CORDIA HALL</w:t>
                            </w:r>
                          </w:p>
                          <w:p w14:paraId="7531A488" w14:textId="77777777" w:rsidR="007E4368" w:rsidRPr="00E57833" w:rsidRDefault="007E4368"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1346D" id="Text Box 5" o:spid="_x0000_s1027" type="#_x0000_t202" style="position:absolute;left:0;text-align:left;margin-left:84.9pt;margin-top:7pt;width:341.25pt;height:28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" filled="f" stroked="f" strokeweight=".5pt">
                <v:textbox>
                  <w:txbxContent>
                    <w:p w14:paraId="4E86F5E6" w14:textId="77777777" w:rsidR="007E4368" w:rsidRDefault="007E4368" w:rsidP="004B7EB6">
                      <w:pPr>
                        <w:spacing w:line="276" w:lineRule="auto"/>
                        <w:rPr>
                          <w:rFonts w:asciiTheme="majorHAnsi" w:hAnsiTheme="majorHAnsi" w:cs="Arial"/>
                          <w:b/>
                          <w:bCs/>
                          <w:color w:val="0D0D0D" w:themeColor="text1" w:themeTint="F2"/>
                          <w:sz w:val="36"/>
                          <w:szCs w:val="40"/>
                        </w:rPr>
                      </w:pPr>
                    </w:p>
                    <w:p w14:paraId="2A9448CE" w14:textId="77777777" w:rsidR="007E4368" w:rsidRDefault="007E4368" w:rsidP="004B7EB6">
                      <w:pPr>
                        <w:spacing w:line="276" w:lineRule="auto"/>
                        <w:rPr>
                          <w:rFonts w:asciiTheme="majorHAnsi" w:hAnsiTheme="majorHAnsi" w:cs="Arial"/>
                          <w:b/>
                          <w:bCs/>
                          <w:color w:val="0D0D0D" w:themeColor="text1" w:themeTint="F2"/>
                          <w:sz w:val="36"/>
                          <w:szCs w:val="40"/>
                        </w:rPr>
                      </w:pPr>
                    </w:p>
                    <w:p w14:paraId="15B9CEEB" w14:textId="77777777" w:rsidR="007E4368" w:rsidRDefault="007E4368" w:rsidP="004B7EB6">
                      <w:pPr>
                        <w:spacing w:line="276" w:lineRule="auto"/>
                        <w:rPr>
                          <w:rFonts w:asciiTheme="majorHAnsi" w:hAnsiTheme="majorHAnsi" w:cs="Arial"/>
                          <w:b/>
                          <w:bCs/>
                          <w:color w:val="0D0D0D" w:themeColor="text1" w:themeTint="F2"/>
                          <w:sz w:val="36"/>
                          <w:szCs w:val="40"/>
                        </w:rPr>
                      </w:pPr>
                    </w:p>
                    <w:p w14:paraId="1443DD2C" w14:textId="77777777" w:rsidR="007E4368" w:rsidRPr="004B7EB6" w:rsidRDefault="007E4368"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261687">
                        <w:rPr>
                          <w:rFonts w:asciiTheme="majorHAnsi" w:hAnsiTheme="majorHAnsi" w:cs="Arial"/>
                          <w:b/>
                          <w:bCs/>
                          <w:color w:val="0D0D0D" w:themeColor="text1" w:themeTint="F2"/>
                          <w:sz w:val="36"/>
                          <w:szCs w:val="40"/>
                        </w:rPr>
                        <w:t>28/20</w:t>
                      </w:r>
                    </w:p>
                    <w:p w14:paraId="0A88A59F" w14:textId="77777777" w:rsidR="007E4368" w:rsidRPr="004B7EB6" w:rsidRDefault="007E4368"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719</w:t>
                      </w:r>
                    </w:p>
                    <w:p w14:paraId="374686ED" w14:textId="77777777" w:rsidR="007E4368" w:rsidRPr="004B7EB6" w:rsidRDefault="007E4368" w:rsidP="00F45EB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MERITS </w:t>
                      </w:r>
                      <w:r>
                        <w:rPr>
                          <w:rFonts w:asciiTheme="majorHAnsi" w:hAnsiTheme="majorHAnsi" w:cs="Arial"/>
                          <w:color w:val="0D0D0D" w:themeColor="text1" w:themeTint="F2"/>
                          <w:szCs w:val="22"/>
                        </w:rPr>
                        <w:t>(PUBLICATION)</w:t>
                      </w:r>
                    </w:p>
                    <w:p w14:paraId="27B2F47C" w14:textId="77777777" w:rsidR="007E4368" w:rsidRPr="004B7EB6" w:rsidRDefault="007E4368" w:rsidP="004B7EB6">
                      <w:pPr>
                        <w:spacing w:line="276" w:lineRule="auto"/>
                        <w:rPr>
                          <w:rFonts w:asciiTheme="majorHAnsi" w:hAnsiTheme="majorHAnsi" w:cs="Arial"/>
                          <w:color w:val="0D0D0D" w:themeColor="text1" w:themeTint="F2"/>
                          <w:szCs w:val="22"/>
                        </w:rPr>
                      </w:pPr>
                    </w:p>
                    <w:p w14:paraId="175A1057" w14:textId="77777777" w:rsidR="007E4368" w:rsidRPr="00444596" w:rsidRDefault="007E4368" w:rsidP="004B7EB6">
                      <w:pPr>
                        <w:spacing w:line="276" w:lineRule="auto"/>
                        <w:rPr>
                          <w:rFonts w:asciiTheme="majorHAnsi" w:hAnsiTheme="majorHAnsi" w:cs="Arial"/>
                          <w:color w:val="0D0D0D" w:themeColor="text1" w:themeTint="F2"/>
                          <w:szCs w:val="22"/>
                        </w:rPr>
                      </w:pPr>
                      <w:r w:rsidRPr="00444596">
                        <w:rPr>
                          <w:rFonts w:asciiTheme="majorHAnsi" w:hAnsiTheme="majorHAnsi" w:cs="Arial"/>
                          <w:color w:val="0D0D0D" w:themeColor="text1" w:themeTint="F2"/>
                          <w:szCs w:val="22"/>
                        </w:rPr>
                        <w:t>ORLANDO CORDIA HALL</w:t>
                      </w:r>
                    </w:p>
                    <w:p w14:paraId="7531A488" w14:textId="77777777" w:rsidR="007E4368" w:rsidRPr="00E57833" w:rsidRDefault="007E4368"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UNITED STATES OF AMERICA</w:t>
                      </w:r>
                    </w:p>
                  </w:txbxContent>
                </v:textbox>
              </v:shape>
            </w:pict>
          </mc:Fallback>
        </mc:AlternateContent>
      </w:r>
    </w:p>
    <w:p w14:paraId="29B2970F" w14:textId="77777777" w:rsidR="005B52B0" w:rsidRPr="00D2222C" w:rsidRDefault="005B52B0" w:rsidP="005128E4">
      <w:pPr>
        <w:tabs>
          <w:tab w:val="center" w:pos="5400"/>
        </w:tabs>
        <w:suppressAutoHyphens/>
        <w:jc w:val="center"/>
        <w:rPr>
          <w:rFonts w:asciiTheme="majorHAnsi" w:hAnsiTheme="majorHAnsi"/>
          <w:sz w:val="22"/>
          <w:szCs w:val="22"/>
          <w:lang w:val="es-ES_tradnl"/>
        </w:rPr>
      </w:pPr>
    </w:p>
    <w:p w14:paraId="4359E5AD" w14:textId="77777777" w:rsidR="005B52B0" w:rsidRPr="00D2222C" w:rsidRDefault="005B52B0" w:rsidP="005128E4">
      <w:pPr>
        <w:tabs>
          <w:tab w:val="center" w:pos="5400"/>
        </w:tabs>
        <w:suppressAutoHyphens/>
        <w:jc w:val="center"/>
        <w:rPr>
          <w:rFonts w:asciiTheme="majorHAnsi" w:hAnsiTheme="majorHAnsi"/>
          <w:sz w:val="22"/>
          <w:szCs w:val="22"/>
          <w:lang w:val="es-ES_tradnl"/>
        </w:rPr>
      </w:pPr>
    </w:p>
    <w:p w14:paraId="6ACD05C5" w14:textId="77777777" w:rsidR="005B52B0" w:rsidRPr="00D2222C" w:rsidRDefault="005B52B0" w:rsidP="005128E4">
      <w:pPr>
        <w:tabs>
          <w:tab w:val="center" w:pos="5400"/>
        </w:tabs>
        <w:suppressAutoHyphens/>
        <w:jc w:val="center"/>
        <w:rPr>
          <w:rFonts w:asciiTheme="majorHAnsi" w:hAnsiTheme="majorHAnsi"/>
          <w:sz w:val="22"/>
          <w:szCs w:val="22"/>
          <w:lang w:val="es-ES_tradnl"/>
        </w:rPr>
      </w:pPr>
    </w:p>
    <w:p w14:paraId="5663544C" w14:textId="77777777" w:rsidR="00040C3A" w:rsidRPr="00D2222C" w:rsidRDefault="00040C3A" w:rsidP="00040C3A">
      <w:pPr>
        <w:tabs>
          <w:tab w:val="center" w:pos="5400"/>
        </w:tabs>
        <w:suppressAutoHyphens/>
        <w:jc w:val="center"/>
        <w:rPr>
          <w:rFonts w:asciiTheme="majorHAnsi" w:hAnsiTheme="majorHAnsi"/>
          <w:sz w:val="22"/>
          <w:szCs w:val="22"/>
          <w:lang w:val="es-ES_tradnl"/>
        </w:rPr>
      </w:pPr>
    </w:p>
    <w:p w14:paraId="3BA5B9A8" w14:textId="77777777" w:rsidR="00040C3A" w:rsidRPr="00D2222C" w:rsidRDefault="00040C3A" w:rsidP="00040C3A">
      <w:pPr>
        <w:tabs>
          <w:tab w:val="center" w:pos="5400"/>
        </w:tabs>
        <w:suppressAutoHyphens/>
        <w:jc w:val="center"/>
        <w:rPr>
          <w:rFonts w:asciiTheme="majorHAnsi" w:hAnsiTheme="majorHAnsi"/>
          <w:sz w:val="22"/>
          <w:szCs w:val="22"/>
          <w:lang w:val="es-ES_tradnl"/>
        </w:rPr>
      </w:pPr>
    </w:p>
    <w:p w14:paraId="5FD037E6" w14:textId="77777777" w:rsidR="00040C3A" w:rsidRPr="00D2222C" w:rsidRDefault="00040C3A" w:rsidP="00040C3A">
      <w:pPr>
        <w:tabs>
          <w:tab w:val="center" w:pos="5400"/>
        </w:tabs>
        <w:suppressAutoHyphens/>
        <w:jc w:val="center"/>
        <w:rPr>
          <w:rFonts w:asciiTheme="majorHAnsi" w:hAnsiTheme="majorHAnsi"/>
          <w:sz w:val="22"/>
          <w:szCs w:val="22"/>
          <w:lang w:val="es-ES_tradnl"/>
        </w:rPr>
      </w:pPr>
    </w:p>
    <w:p w14:paraId="51FD5289" w14:textId="77777777" w:rsidR="00040C3A" w:rsidRPr="00D2222C" w:rsidRDefault="004B7EB6" w:rsidP="00040C3A">
      <w:pPr>
        <w:tabs>
          <w:tab w:val="center" w:pos="5400"/>
        </w:tabs>
        <w:suppressAutoHyphens/>
        <w:jc w:val="center"/>
        <w:rPr>
          <w:rFonts w:asciiTheme="majorHAnsi" w:hAnsiTheme="majorHAnsi"/>
          <w:sz w:val="22"/>
          <w:szCs w:val="22"/>
          <w:lang w:val="es-ES_tradnl"/>
        </w:rPr>
      </w:pPr>
      <w:r w:rsidRPr="00D2222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4A28A9D" wp14:editId="2AAC8CB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74B36" w14:textId="77777777" w:rsidR="007E4368" w:rsidRPr="00326763" w:rsidRDefault="00261687" w:rsidP="002C1641">
                            <w:pPr>
                              <w:jc w:val="right"/>
                              <w:rPr>
                                <w:rFonts w:asciiTheme="minorHAnsi" w:hAnsiTheme="minorHAnsi"/>
                                <w:color w:val="FFFFFF" w:themeColor="background1"/>
                                <w:sz w:val="22"/>
                              </w:rPr>
                            </w:pPr>
                            <w:r w:rsidRPr="00326763">
                              <w:rPr>
                                <w:rFonts w:asciiTheme="minorHAnsi" w:hAnsiTheme="minorHAnsi"/>
                                <w:color w:val="FFFFFF" w:themeColor="background1"/>
                                <w:sz w:val="22"/>
                              </w:rPr>
                              <w:t>OEA/Ser.L/V/II</w:t>
                            </w:r>
                          </w:p>
                          <w:p w14:paraId="22FD5459" w14:textId="77777777" w:rsidR="007E4368" w:rsidRPr="00326763" w:rsidRDefault="00261687" w:rsidP="002C1641">
                            <w:pPr>
                              <w:jc w:val="right"/>
                              <w:rPr>
                                <w:rFonts w:asciiTheme="minorHAnsi" w:hAnsiTheme="minorHAnsi"/>
                                <w:color w:val="FFFFFF" w:themeColor="background1"/>
                                <w:sz w:val="22"/>
                              </w:rPr>
                            </w:pPr>
                            <w:r w:rsidRPr="00326763">
                              <w:rPr>
                                <w:rFonts w:asciiTheme="minorHAnsi" w:hAnsiTheme="minorHAnsi"/>
                                <w:color w:val="FFFFFF" w:themeColor="background1"/>
                                <w:sz w:val="22"/>
                              </w:rPr>
                              <w:t>Doc. 38</w:t>
                            </w:r>
                          </w:p>
                          <w:p w14:paraId="6B99AC60" w14:textId="77777777" w:rsidR="007E4368" w:rsidRPr="004B7EB6" w:rsidRDefault="00261687" w:rsidP="002C1641">
                            <w:pPr>
                              <w:jc w:val="right"/>
                              <w:rPr>
                                <w:rFonts w:asciiTheme="minorHAnsi" w:hAnsiTheme="minorHAnsi"/>
                                <w:color w:val="FFFFFF" w:themeColor="background1"/>
                                <w:sz w:val="22"/>
                              </w:rPr>
                            </w:pPr>
                            <w:r>
                              <w:rPr>
                                <w:rFonts w:asciiTheme="minorHAnsi" w:hAnsiTheme="minorHAnsi"/>
                                <w:color w:val="FFFFFF" w:themeColor="background1"/>
                                <w:sz w:val="22"/>
                              </w:rPr>
                              <w:t>April 22, 2020</w:t>
                            </w:r>
                          </w:p>
                          <w:p w14:paraId="0176DB1C" w14:textId="77777777" w:rsidR="007E4368" w:rsidRPr="004B7EB6" w:rsidRDefault="007E4368"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28A9D"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EA74B36" w14:textId="77777777" w:rsidR="007E4368" w:rsidRPr="00326763" w:rsidRDefault="00261687" w:rsidP="002C1641">
                      <w:pPr>
                        <w:jc w:val="right"/>
                        <w:rPr>
                          <w:rFonts w:asciiTheme="minorHAnsi" w:hAnsiTheme="minorHAnsi"/>
                          <w:color w:val="FFFFFF" w:themeColor="background1"/>
                          <w:sz w:val="22"/>
                        </w:rPr>
                      </w:pPr>
                      <w:r w:rsidRPr="00326763">
                        <w:rPr>
                          <w:rFonts w:asciiTheme="minorHAnsi" w:hAnsiTheme="minorHAnsi"/>
                          <w:color w:val="FFFFFF" w:themeColor="background1"/>
                          <w:sz w:val="22"/>
                        </w:rPr>
                        <w:t>OEA/Ser.L/V/II</w:t>
                      </w:r>
                    </w:p>
                    <w:p w14:paraId="22FD5459" w14:textId="77777777" w:rsidR="007E4368" w:rsidRPr="00326763" w:rsidRDefault="00261687" w:rsidP="002C1641">
                      <w:pPr>
                        <w:jc w:val="right"/>
                        <w:rPr>
                          <w:rFonts w:asciiTheme="minorHAnsi" w:hAnsiTheme="minorHAnsi"/>
                          <w:color w:val="FFFFFF" w:themeColor="background1"/>
                          <w:sz w:val="22"/>
                        </w:rPr>
                      </w:pPr>
                      <w:r w:rsidRPr="00326763">
                        <w:rPr>
                          <w:rFonts w:asciiTheme="minorHAnsi" w:hAnsiTheme="minorHAnsi"/>
                          <w:color w:val="FFFFFF" w:themeColor="background1"/>
                          <w:sz w:val="22"/>
                        </w:rPr>
                        <w:t>Doc. 38</w:t>
                      </w:r>
                    </w:p>
                    <w:p w14:paraId="6B99AC60" w14:textId="77777777" w:rsidR="007E4368" w:rsidRPr="004B7EB6" w:rsidRDefault="00261687" w:rsidP="002C1641">
                      <w:pPr>
                        <w:jc w:val="right"/>
                        <w:rPr>
                          <w:rFonts w:asciiTheme="minorHAnsi" w:hAnsiTheme="minorHAnsi"/>
                          <w:color w:val="FFFFFF" w:themeColor="background1"/>
                          <w:sz w:val="22"/>
                        </w:rPr>
                      </w:pPr>
                      <w:r>
                        <w:rPr>
                          <w:rFonts w:asciiTheme="minorHAnsi" w:hAnsiTheme="minorHAnsi"/>
                          <w:color w:val="FFFFFF" w:themeColor="background1"/>
                          <w:sz w:val="22"/>
                        </w:rPr>
                        <w:t>April 22, 2020</w:t>
                      </w:r>
                    </w:p>
                    <w:p w14:paraId="0176DB1C" w14:textId="77777777" w:rsidR="007E4368" w:rsidRPr="004B7EB6" w:rsidRDefault="007E4368"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v:textbox>
              </v:shape>
            </w:pict>
          </mc:Fallback>
        </mc:AlternateContent>
      </w:r>
    </w:p>
    <w:p w14:paraId="7E5445C1" w14:textId="77777777" w:rsidR="00040C3A" w:rsidRPr="00D2222C" w:rsidRDefault="00040C3A" w:rsidP="00040C3A">
      <w:pPr>
        <w:tabs>
          <w:tab w:val="center" w:pos="5400"/>
        </w:tabs>
        <w:suppressAutoHyphens/>
        <w:jc w:val="center"/>
        <w:rPr>
          <w:rFonts w:asciiTheme="majorHAnsi" w:hAnsiTheme="majorHAnsi"/>
          <w:sz w:val="22"/>
          <w:szCs w:val="22"/>
          <w:lang w:val="es-ES_tradnl"/>
        </w:rPr>
      </w:pPr>
    </w:p>
    <w:p w14:paraId="02050437" w14:textId="77777777" w:rsidR="00040C3A" w:rsidRPr="00D2222C" w:rsidRDefault="00040C3A" w:rsidP="00040C3A">
      <w:pPr>
        <w:tabs>
          <w:tab w:val="center" w:pos="5400"/>
        </w:tabs>
        <w:suppressAutoHyphens/>
        <w:jc w:val="center"/>
        <w:rPr>
          <w:rFonts w:asciiTheme="majorHAnsi" w:hAnsiTheme="majorHAnsi" w:cs="Arial"/>
          <w:sz w:val="22"/>
          <w:szCs w:val="22"/>
          <w:lang w:val="es-ES_tradnl"/>
        </w:rPr>
      </w:pPr>
    </w:p>
    <w:p w14:paraId="157F5247" w14:textId="77777777" w:rsidR="00040C3A" w:rsidRPr="00D2222C" w:rsidRDefault="00040C3A" w:rsidP="00040C3A">
      <w:pPr>
        <w:tabs>
          <w:tab w:val="center" w:pos="5400"/>
        </w:tabs>
        <w:suppressAutoHyphens/>
        <w:jc w:val="center"/>
        <w:rPr>
          <w:rFonts w:asciiTheme="majorHAnsi" w:hAnsiTheme="majorHAnsi"/>
          <w:sz w:val="22"/>
          <w:szCs w:val="22"/>
          <w:lang w:val="es-ES_tradnl"/>
        </w:rPr>
      </w:pPr>
    </w:p>
    <w:p w14:paraId="50842C49" w14:textId="77777777" w:rsidR="00040C3A" w:rsidRPr="00D2222C" w:rsidRDefault="00040C3A" w:rsidP="00040C3A">
      <w:pPr>
        <w:tabs>
          <w:tab w:val="center" w:pos="5400"/>
        </w:tabs>
        <w:suppressAutoHyphens/>
        <w:jc w:val="center"/>
        <w:rPr>
          <w:rFonts w:asciiTheme="majorHAnsi" w:hAnsiTheme="majorHAnsi"/>
          <w:sz w:val="22"/>
          <w:szCs w:val="22"/>
          <w:lang w:val="es-ES_tradnl"/>
        </w:rPr>
      </w:pPr>
    </w:p>
    <w:p w14:paraId="79A3C9BA" w14:textId="77777777" w:rsidR="00040C3A" w:rsidRPr="00D2222C" w:rsidRDefault="00040C3A" w:rsidP="00040C3A">
      <w:pPr>
        <w:tabs>
          <w:tab w:val="center" w:pos="5400"/>
        </w:tabs>
        <w:suppressAutoHyphens/>
        <w:jc w:val="center"/>
        <w:rPr>
          <w:rFonts w:asciiTheme="majorHAnsi" w:hAnsiTheme="majorHAnsi"/>
          <w:sz w:val="22"/>
          <w:szCs w:val="22"/>
          <w:lang w:val="es-ES_tradnl"/>
        </w:rPr>
      </w:pPr>
    </w:p>
    <w:p w14:paraId="1B7EE347" w14:textId="77777777" w:rsidR="00040C3A" w:rsidRPr="00D2222C" w:rsidRDefault="00040C3A" w:rsidP="00040C3A">
      <w:pPr>
        <w:tabs>
          <w:tab w:val="center" w:pos="5400"/>
        </w:tabs>
        <w:suppressAutoHyphens/>
        <w:jc w:val="center"/>
        <w:rPr>
          <w:rFonts w:asciiTheme="majorHAnsi" w:hAnsiTheme="majorHAnsi"/>
          <w:sz w:val="22"/>
          <w:szCs w:val="22"/>
          <w:lang w:val="es-ES_tradnl"/>
        </w:rPr>
      </w:pPr>
    </w:p>
    <w:p w14:paraId="6DE1D443" w14:textId="77777777" w:rsidR="005128E4" w:rsidRPr="00D2222C" w:rsidRDefault="005128E4" w:rsidP="00040C3A">
      <w:pPr>
        <w:tabs>
          <w:tab w:val="center" w:pos="5400"/>
        </w:tabs>
        <w:suppressAutoHyphens/>
        <w:jc w:val="center"/>
        <w:rPr>
          <w:rFonts w:asciiTheme="majorHAnsi" w:hAnsiTheme="majorHAnsi"/>
          <w:sz w:val="22"/>
          <w:szCs w:val="22"/>
          <w:lang w:val="es-ES_tradnl"/>
        </w:rPr>
      </w:pPr>
    </w:p>
    <w:p w14:paraId="0B98F465" w14:textId="77777777" w:rsidR="00040C3A" w:rsidRPr="00D2222C" w:rsidRDefault="00040C3A" w:rsidP="00040C3A">
      <w:pPr>
        <w:tabs>
          <w:tab w:val="center" w:pos="5400"/>
        </w:tabs>
        <w:suppressAutoHyphens/>
        <w:jc w:val="center"/>
        <w:rPr>
          <w:rFonts w:asciiTheme="majorHAnsi" w:hAnsiTheme="majorHAnsi"/>
          <w:sz w:val="22"/>
          <w:szCs w:val="22"/>
          <w:lang w:val="es-ES_tradnl"/>
        </w:rPr>
      </w:pPr>
    </w:p>
    <w:p w14:paraId="05E48975" w14:textId="77777777" w:rsidR="005128E4" w:rsidRPr="00D2222C" w:rsidRDefault="005128E4" w:rsidP="00040C3A">
      <w:pPr>
        <w:tabs>
          <w:tab w:val="center" w:pos="5400"/>
        </w:tabs>
        <w:suppressAutoHyphens/>
        <w:jc w:val="center"/>
        <w:rPr>
          <w:rFonts w:asciiTheme="majorHAnsi" w:hAnsiTheme="majorHAnsi"/>
          <w:sz w:val="22"/>
          <w:szCs w:val="22"/>
          <w:lang w:val="es-ES_tradnl"/>
        </w:rPr>
      </w:pPr>
    </w:p>
    <w:p w14:paraId="2B79FAE9" w14:textId="77777777" w:rsidR="005128E4" w:rsidRPr="00D2222C" w:rsidRDefault="005128E4" w:rsidP="00040C3A">
      <w:pPr>
        <w:tabs>
          <w:tab w:val="center" w:pos="5400"/>
        </w:tabs>
        <w:suppressAutoHyphens/>
        <w:jc w:val="center"/>
        <w:rPr>
          <w:rFonts w:asciiTheme="majorHAnsi" w:hAnsiTheme="majorHAnsi"/>
          <w:sz w:val="22"/>
          <w:szCs w:val="22"/>
          <w:lang w:val="es-ES_tradnl"/>
        </w:rPr>
      </w:pPr>
    </w:p>
    <w:p w14:paraId="019B9956" w14:textId="77777777" w:rsidR="005128E4" w:rsidRPr="00D2222C" w:rsidRDefault="005128E4" w:rsidP="00040C3A">
      <w:pPr>
        <w:tabs>
          <w:tab w:val="center" w:pos="5400"/>
        </w:tabs>
        <w:suppressAutoHyphens/>
        <w:jc w:val="center"/>
        <w:rPr>
          <w:rFonts w:asciiTheme="majorHAnsi" w:hAnsiTheme="majorHAnsi"/>
          <w:sz w:val="22"/>
          <w:szCs w:val="22"/>
          <w:lang w:val="es-ES_tradnl"/>
        </w:rPr>
      </w:pPr>
    </w:p>
    <w:p w14:paraId="49561FCE" w14:textId="77777777" w:rsidR="00040C3A" w:rsidRPr="00D2222C" w:rsidRDefault="00040C3A" w:rsidP="00040C3A">
      <w:pPr>
        <w:tabs>
          <w:tab w:val="center" w:pos="5400"/>
        </w:tabs>
        <w:suppressAutoHyphens/>
        <w:jc w:val="center"/>
        <w:rPr>
          <w:rFonts w:asciiTheme="majorHAnsi" w:hAnsiTheme="majorHAnsi"/>
          <w:sz w:val="22"/>
          <w:szCs w:val="22"/>
          <w:lang w:val="es-ES_tradnl"/>
        </w:rPr>
      </w:pPr>
    </w:p>
    <w:p w14:paraId="080EF815" w14:textId="77777777" w:rsidR="00040C3A" w:rsidRPr="00D2222C" w:rsidRDefault="00040C3A" w:rsidP="00040C3A">
      <w:pPr>
        <w:tabs>
          <w:tab w:val="center" w:pos="5400"/>
        </w:tabs>
        <w:suppressAutoHyphens/>
        <w:jc w:val="center"/>
        <w:rPr>
          <w:rFonts w:asciiTheme="majorHAnsi" w:hAnsiTheme="majorHAnsi"/>
          <w:sz w:val="22"/>
          <w:szCs w:val="22"/>
          <w:lang w:val="es-ES_tradnl"/>
        </w:rPr>
      </w:pPr>
    </w:p>
    <w:p w14:paraId="414FFF31" w14:textId="77777777" w:rsidR="002C1641" w:rsidRPr="00D2222C" w:rsidRDefault="002C1641" w:rsidP="00040C3A">
      <w:pPr>
        <w:tabs>
          <w:tab w:val="center" w:pos="5400"/>
        </w:tabs>
        <w:suppressAutoHyphens/>
        <w:jc w:val="center"/>
        <w:rPr>
          <w:rFonts w:asciiTheme="majorHAnsi" w:hAnsiTheme="majorHAnsi"/>
          <w:sz w:val="18"/>
          <w:szCs w:val="22"/>
          <w:lang w:val="es-ES_tradnl"/>
        </w:rPr>
      </w:pPr>
    </w:p>
    <w:p w14:paraId="34FDD22B" w14:textId="77777777" w:rsidR="002C1641" w:rsidRPr="00D2222C" w:rsidRDefault="002C1641" w:rsidP="00040C3A">
      <w:pPr>
        <w:tabs>
          <w:tab w:val="center" w:pos="5400"/>
        </w:tabs>
        <w:suppressAutoHyphens/>
        <w:jc w:val="center"/>
        <w:rPr>
          <w:rFonts w:asciiTheme="majorHAnsi" w:hAnsiTheme="majorHAnsi"/>
          <w:sz w:val="18"/>
          <w:szCs w:val="22"/>
          <w:lang w:val="es-ES_tradnl"/>
        </w:rPr>
      </w:pPr>
    </w:p>
    <w:p w14:paraId="08748D85" w14:textId="77777777" w:rsidR="002C1641" w:rsidRPr="00D2222C" w:rsidRDefault="002C1641" w:rsidP="00040C3A">
      <w:pPr>
        <w:tabs>
          <w:tab w:val="center" w:pos="5400"/>
        </w:tabs>
        <w:suppressAutoHyphens/>
        <w:jc w:val="center"/>
        <w:rPr>
          <w:rFonts w:asciiTheme="majorHAnsi" w:hAnsiTheme="majorHAnsi"/>
          <w:sz w:val="18"/>
          <w:szCs w:val="22"/>
          <w:lang w:val="es-ES_tradnl"/>
        </w:rPr>
      </w:pPr>
    </w:p>
    <w:p w14:paraId="7A65EF3F" w14:textId="77777777" w:rsidR="002C1641" w:rsidRPr="00D2222C" w:rsidRDefault="002C1641" w:rsidP="00040C3A">
      <w:pPr>
        <w:tabs>
          <w:tab w:val="center" w:pos="5400"/>
        </w:tabs>
        <w:suppressAutoHyphens/>
        <w:jc w:val="center"/>
        <w:rPr>
          <w:rFonts w:asciiTheme="majorHAnsi" w:hAnsiTheme="majorHAnsi"/>
          <w:sz w:val="18"/>
          <w:szCs w:val="22"/>
          <w:lang w:val="es-ES_tradnl"/>
        </w:rPr>
      </w:pPr>
    </w:p>
    <w:p w14:paraId="33982C1D" w14:textId="77777777" w:rsidR="002C1641" w:rsidRPr="00D2222C" w:rsidRDefault="002C1641" w:rsidP="00040C3A">
      <w:pPr>
        <w:tabs>
          <w:tab w:val="center" w:pos="5400"/>
        </w:tabs>
        <w:suppressAutoHyphens/>
        <w:jc w:val="center"/>
        <w:rPr>
          <w:rFonts w:asciiTheme="majorHAnsi" w:hAnsiTheme="majorHAnsi"/>
          <w:sz w:val="18"/>
          <w:szCs w:val="22"/>
          <w:lang w:val="es-ES_tradnl"/>
        </w:rPr>
      </w:pPr>
    </w:p>
    <w:p w14:paraId="6FE1217C" w14:textId="77777777" w:rsidR="002C1641" w:rsidRPr="00D2222C" w:rsidRDefault="002C1641" w:rsidP="00040C3A">
      <w:pPr>
        <w:tabs>
          <w:tab w:val="center" w:pos="5400"/>
        </w:tabs>
        <w:suppressAutoHyphens/>
        <w:jc w:val="center"/>
        <w:rPr>
          <w:rFonts w:asciiTheme="majorHAnsi" w:hAnsiTheme="majorHAnsi"/>
          <w:sz w:val="18"/>
          <w:szCs w:val="22"/>
          <w:lang w:val="es-ES_tradnl"/>
        </w:rPr>
      </w:pPr>
    </w:p>
    <w:p w14:paraId="2ACE80CB" w14:textId="77777777" w:rsidR="002C1641" w:rsidRPr="00D2222C" w:rsidRDefault="002C1641" w:rsidP="00040C3A">
      <w:pPr>
        <w:tabs>
          <w:tab w:val="center" w:pos="5400"/>
        </w:tabs>
        <w:suppressAutoHyphens/>
        <w:jc w:val="center"/>
        <w:rPr>
          <w:rFonts w:asciiTheme="majorHAnsi" w:hAnsiTheme="majorHAnsi"/>
          <w:sz w:val="18"/>
          <w:szCs w:val="22"/>
          <w:lang w:val="es-ES_tradnl"/>
        </w:rPr>
      </w:pPr>
    </w:p>
    <w:p w14:paraId="4F2FB134" w14:textId="77777777" w:rsidR="002C1641" w:rsidRPr="00D2222C" w:rsidRDefault="002C1641" w:rsidP="00040C3A">
      <w:pPr>
        <w:tabs>
          <w:tab w:val="center" w:pos="5400"/>
        </w:tabs>
        <w:suppressAutoHyphens/>
        <w:jc w:val="center"/>
        <w:rPr>
          <w:rFonts w:asciiTheme="majorHAnsi" w:hAnsiTheme="majorHAnsi"/>
          <w:sz w:val="18"/>
          <w:szCs w:val="22"/>
          <w:lang w:val="es-ES_tradnl"/>
        </w:rPr>
      </w:pPr>
    </w:p>
    <w:p w14:paraId="73AE0056" w14:textId="77777777" w:rsidR="002C1641" w:rsidRPr="00D2222C" w:rsidRDefault="002C1641" w:rsidP="00040C3A">
      <w:pPr>
        <w:tabs>
          <w:tab w:val="center" w:pos="5400"/>
        </w:tabs>
        <w:suppressAutoHyphens/>
        <w:jc w:val="center"/>
        <w:rPr>
          <w:rFonts w:asciiTheme="majorHAnsi" w:hAnsiTheme="majorHAnsi"/>
          <w:sz w:val="18"/>
          <w:szCs w:val="22"/>
          <w:lang w:val="es-ES_tradnl"/>
        </w:rPr>
      </w:pPr>
    </w:p>
    <w:p w14:paraId="754FEB62" w14:textId="77777777" w:rsidR="002C1641" w:rsidRPr="00D2222C" w:rsidRDefault="002C1641" w:rsidP="00040C3A">
      <w:pPr>
        <w:tabs>
          <w:tab w:val="center" w:pos="5400"/>
        </w:tabs>
        <w:suppressAutoHyphens/>
        <w:jc w:val="center"/>
        <w:rPr>
          <w:rFonts w:asciiTheme="majorHAnsi" w:hAnsiTheme="majorHAnsi"/>
          <w:sz w:val="18"/>
          <w:szCs w:val="22"/>
          <w:lang w:val="es-ES_tradnl"/>
        </w:rPr>
      </w:pPr>
    </w:p>
    <w:p w14:paraId="16061075" w14:textId="77777777" w:rsidR="002C1641" w:rsidRPr="00D2222C" w:rsidRDefault="002C1641" w:rsidP="00040C3A">
      <w:pPr>
        <w:tabs>
          <w:tab w:val="center" w:pos="5400"/>
        </w:tabs>
        <w:suppressAutoHyphens/>
        <w:jc w:val="center"/>
        <w:rPr>
          <w:rFonts w:asciiTheme="majorHAnsi" w:hAnsiTheme="majorHAnsi"/>
          <w:sz w:val="18"/>
          <w:szCs w:val="22"/>
          <w:lang w:val="es-ES_tradnl"/>
        </w:rPr>
      </w:pPr>
    </w:p>
    <w:p w14:paraId="01B203BE" w14:textId="77777777" w:rsidR="002C1641" w:rsidRPr="00D2222C" w:rsidRDefault="002C1641" w:rsidP="00040C3A">
      <w:pPr>
        <w:tabs>
          <w:tab w:val="center" w:pos="5400"/>
        </w:tabs>
        <w:suppressAutoHyphens/>
        <w:jc w:val="center"/>
        <w:rPr>
          <w:rFonts w:asciiTheme="majorHAnsi" w:hAnsiTheme="majorHAnsi"/>
          <w:sz w:val="18"/>
          <w:szCs w:val="22"/>
          <w:lang w:val="es-ES_tradnl"/>
        </w:rPr>
      </w:pPr>
    </w:p>
    <w:p w14:paraId="25463C15" w14:textId="77777777" w:rsidR="002C1641" w:rsidRPr="00D2222C" w:rsidRDefault="003C32BC" w:rsidP="00040C3A">
      <w:pPr>
        <w:tabs>
          <w:tab w:val="center" w:pos="5400"/>
        </w:tabs>
        <w:suppressAutoHyphens/>
        <w:jc w:val="center"/>
        <w:rPr>
          <w:rFonts w:asciiTheme="majorHAnsi" w:hAnsiTheme="majorHAnsi"/>
          <w:sz w:val="18"/>
          <w:szCs w:val="22"/>
          <w:lang w:val="es-ES_tradnl"/>
        </w:rPr>
      </w:pPr>
      <w:r w:rsidRPr="00D2222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89E2C1B" wp14:editId="270EDE6D">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94B1D" w14:textId="77777777" w:rsidR="007E4368" w:rsidRPr="003C32BC" w:rsidRDefault="007E4368"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w:t>
                            </w:r>
                            <w:r>
                              <w:rPr>
                                <w:rFonts w:asciiTheme="majorHAnsi" w:hAnsiTheme="majorHAnsi"/>
                                <w:color w:val="0D0D0D" w:themeColor="text1" w:themeTint="F2"/>
                                <w:sz w:val="18"/>
                                <w:szCs w:val="20"/>
                              </w:rPr>
                              <w:t>the</w:t>
                            </w:r>
                            <w:r w:rsidR="00261687">
                              <w:rPr>
                                <w:rFonts w:asciiTheme="majorHAnsi" w:hAnsiTheme="majorHAnsi"/>
                                <w:color w:val="0D0D0D" w:themeColor="text1" w:themeTint="F2"/>
                                <w:sz w:val="18"/>
                                <w:szCs w:val="20"/>
                              </w:rPr>
                              <w:t xml:space="preserve"> Inter-American Commission on April 22, 2020</w:t>
                            </w:r>
                            <w:r>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E2C1B"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3E394B1D" w14:textId="77777777" w:rsidR="007E4368" w:rsidRPr="003C32BC" w:rsidRDefault="007E4368"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w:t>
                      </w:r>
                      <w:r>
                        <w:rPr>
                          <w:rFonts w:asciiTheme="majorHAnsi" w:hAnsiTheme="majorHAnsi"/>
                          <w:color w:val="0D0D0D" w:themeColor="text1" w:themeTint="F2"/>
                          <w:sz w:val="18"/>
                          <w:szCs w:val="20"/>
                        </w:rPr>
                        <w:t>the</w:t>
                      </w:r>
                      <w:r w:rsidR="00261687">
                        <w:rPr>
                          <w:rFonts w:asciiTheme="majorHAnsi" w:hAnsiTheme="majorHAnsi"/>
                          <w:color w:val="0D0D0D" w:themeColor="text1" w:themeTint="F2"/>
                          <w:sz w:val="18"/>
                          <w:szCs w:val="20"/>
                        </w:rPr>
                        <w:t xml:space="preserve"> Inter-American Commission on April 22, 2020</w:t>
                      </w:r>
                      <w:r>
                        <w:rPr>
                          <w:rFonts w:asciiTheme="majorHAnsi" w:hAnsiTheme="majorHAnsi"/>
                          <w:color w:val="0D0D0D" w:themeColor="text1" w:themeTint="F2"/>
                          <w:sz w:val="18"/>
                          <w:szCs w:val="20"/>
                        </w:rPr>
                        <w:t>.</w:t>
                      </w:r>
                    </w:p>
                  </w:txbxContent>
                </v:textbox>
              </v:shape>
            </w:pict>
          </mc:Fallback>
        </mc:AlternateContent>
      </w:r>
    </w:p>
    <w:p w14:paraId="127BC3FB" w14:textId="77777777" w:rsidR="002C1641" w:rsidRPr="00D2222C" w:rsidRDefault="002C1641" w:rsidP="00040C3A">
      <w:pPr>
        <w:tabs>
          <w:tab w:val="center" w:pos="5400"/>
        </w:tabs>
        <w:suppressAutoHyphens/>
        <w:jc w:val="center"/>
        <w:rPr>
          <w:rFonts w:asciiTheme="majorHAnsi" w:hAnsiTheme="majorHAnsi"/>
          <w:sz w:val="18"/>
          <w:szCs w:val="22"/>
          <w:lang w:val="es-ES_tradnl"/>
        </w:rPr>
      </w:pPr>
    </w:p>
    <w:p w14:paraId="311A3034" w14:textId="77777777" w:rsidR="002C1641" w:rsidRPr="00D2222C" w:rsidRDefault="002C1641" w:rsidP="00040C3A">
      <w:pPr>
        <w:tabs>
          <w:tab w:val="center" w:pos="5400"/>
        </w:tabs>
        <w:suppressAutoHyphens/>
        <w:jc w:val="center"/>
        <w:rPr>
          <w:rFonts w:asciiTheme="majorHAnsi" w:hAnsiTheme="majorHAnsi"/>
          <w:sz w:val="18"/>
          <w:szCs w:val="22"/>
          <w:lang w:val="es-ES_tradnl"/>
        </w:rPr>
      </w:pPr>
    </w:p>
    <w:p w14:paraId="54B80153" w14:textId="77777777" w:rsidR="002C1641" w:rsidRPr="00D2222C" w:rsidRDefault="002C1641" w:rsidP="00040C3A">
      <w:pPr>
        <w:tabs>
          <w:tab w:val="center" w:pos="5400"/>
        </w:tabs>
        <w:suppressAutoHyphens/>
        <w:jc w:val="center"/>
        <w:rPr>
          <w:rFonts w:asciiTheme="majorHAnsi" w:hAnsiTheme="majorHAnsi"/>
          <w:sz w:val="18"/>
          <w:szCs w:val="22"/>
          <w:lang w:val="es-ES_tradnl"/>
        </w:rPr>
      </w:pPr>
    </w:p>
    <w:p w14:paraId="32179D1A" w14:textId="77777777" w:rsidR="002C1641" w:rsidRPr="00D2222C" w:rsidRDefault="002C1641" w:rsidP="00040C3A">
      <w:pPr>
        <w:tabs>
          <w:tab w:val="center" w:pos="5400"/>
        </w:tabs>
        <w:suppressAutoHyphens/>
        <w:jc w:val="center"/>
        <w:rPr>
          <w:rFonts w:asciiTheme="majorHAnsi" w:hAnsiTheme="majorHAnsi"/>
          <w:sz w:val="18"/>
          <w:szCs w:val="22"/>
          <w:lang w:val="es-ES_tradnl"/>
        </w:rPr>
      </w:pPr>
    </w:p>
    <w:p w14:paraId="4EF2C104" w14:textId="77777777" w:rsidR="002C1641" w:rsidRPr="00D2222C" w:rsidRDefault="003C32BC" w:rsidP="00040C3A">
      <w:pPr>
        <w:tabs>
          <w:tab w:val="center" w:pos="5400"/>
        </w:tabs>
        <w:suppressAutoHyphens/>
        <w:jc w:val="center"/>
        <w:rPr>
          <w:rFonts w:asciiTheme="majorHAnsi" w:hAnsiTheme="majorHAnsi"/>
          <w:sz w:val="18"/>
          <w:szCs w:val="22"/>
          <w:lang w:val="es-ES_tradnl"/>
        </w:rPr>
      </w:pPr>
      <w:r w:rsidRPr="00D2222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0077D48B" wp14:editId="10217CEA">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55017" w14:textId="77777777" w:rsidR="007E4368" w:rsidRPr="003C32BC" w:rsidRDefault="007E4368"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61687">
                              <w:rPr>
                                <w:rFonts w:asciiTheme="majorHAnsi" w:hAnsiTheme="majorHAnsi"/>
                                <w:color w:val="595959" w:themeColor="text1" w:themeTint="A6"/>
                                <w:sz w:val="18"/>
                              </w:rPr>
                              <w:t>28/20</w:t>
                            </w:r>
                            <w:r w:rsidRPr="003C32BC">
                              <w:rPr>
                                <w:rFonts w:asciiTheme="majorHAnsi" w:hAnsiTheme="majorHAnsi"/>
                                <w:color w:val="595959" w:themeColor="text1" w:themeTint="A6"/>
                                <w:sz w:val="18"/>
                              </w:rPr>
                              <w:t xml:space="preserve">, Case </w:t>
                            </w:r>
                            <w:r>
                              <w:rPr>
                                <w:rFonts w:asciiTheme="majorHAnsi" w:hAnsiTheme="majorHAnsi"/>
                                <w:color w:val="595959" w:themeColor="text1" w:themeTint="A6"/>
                                <w:sz w:val="18"/>
                              </w:rPr>
                              <w:t>12.719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Merits</w:t>
                            </w:r>
                            <w:r>
                              <w:rPr>
                                <w:rFonts w:asciiTheme="majorHAnsi" w:hAnsiTheme="majorHAnsi"/>
                                <w:color w:val="595959" w:themeColor="text1" w:themeTint="A6"/>
                                <w:sz w:val="18"/>
                              </w:rPr>
                              <w:t xml:space="preserve"> (Publication). Orlando Cordia Hall. United States of America.</w:t>
                            </w:r>
                            <w:r w:rsidRPr="007607C4">
                              <w:rPr>
                                <w:rFonts w:asciiTheme="majorHAnsi" w:hAnsiTheme="majorHAnsi"/>
                                <w:color w:val="595959" w:themeColor="text1" w:themeTint="A6"/>
                                <w:sz w:val="18"/>
                              </w:rPr>
                              <w:t xml:space="preserve"> </w:t>
                            </w:r>
                            <w:r w:rsidR="00261687">
                              <w:rPr>
                                <w:rFonts w:asciiTheme="majorHAnsi" w:hAnsiTheme="majorHAnsi"/>
                                <w:color w:val="595959" w:themeColor="text1" w:themeTint="A6"/>
                                <w:sz w:val="18"/>
                              </w:rPr>
                              <w:t>April 22</w:t>
                            </w:r>
                            <w:r>
                              <w:rPr>
                                <w:rFonts w:asciiTheme="majorHAnsi" w:hAnsiTheme="majorHAnsi"/>
                                <w:color w:val="595959" w:themeColor="text1" w:themeTint="A6"/>
                                <w:sz w:val="18"/>
                              </w:rPr>
                              <w:t>, 2019</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7D48B"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1BA55017" w14:textId="77777777" w:rsidR="007E4368" w:rsidRPr="003C32BC" w:rsidRDefault="007E4368"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61687">
                        <w:rPr>
                          <w:rFonts w:asciiTheme="majorHAnsi" w:hAnsiTheme="majorHAnsi"/>
                          <w:color w:val="595959" w:themeColor="text1" w:themeTint="A6"/>
                          <w:sz w:val="18"/>
                        </w:rPr>
                        <w:t>28/20</w:t>
                      </w:r>
                      <w:r w:rsidRPr="003C32BC">
                        <w:rPr>
                          <w:rFonts w:asciiTheme="majorHAnsi" w:hAnsiTheme="majorHAnsi"/>
                          <w:color w:val="595959" w:themeColor="text1" w:themeTint="A6"/>
                          <w:sz w:val="18"/>
                        </w:rPr>
                        <w:t xml:space="preserve">, Case </w:t>
                      </w:r>
                      <w:r>
                        <w:rPr>
                          <w:rFonts w:asciiTheme="majorHAnsi" w:hAnsiTheme="majorHAnsi"/>
                          <w:color w:val="595959" w:themeColor="text1" w:themeTint="A6"/>
                          <w:sz w:val="18"/>
                        </w:rPr>
                        <w:t>12.719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Merits</w:t>
                      </w:r>
                      <w:r>
                        <w:rPr>
                          <w:rFonts w:asciiTheme="majorHAnsi" w:hAnsiTheme="majorHAnsi"/>
                          <w:color w:val="595959" w:themeColor="text1" w:themeTint="A6"/>
                          <w:sz w:val="18"/>
                        </w:rPr>
                        <w:t xml:space="preserve"> (Publication). Orlando Cordia Hall. United States of America.</w:t>
                      </w:r>
                      <w:r w:rsidRPr="007607C4">
                        <w:rPr>
                          <w:rFonts w:asciiTheme="majorHAnsi" w:hAnsiTheme="majorHAnsi"/>
                          <w:color w:val="595959" w:themeColor="text1" w:themeTint="A6"/>
                          <w:sz w:val="18"/>
                        </w:rPr>
                        <w:t xml:space="preserve"> </w:t>
                      </w:r>
                      <w:r w:rsidR="00261687">
                        <w:rPr>
                          <w:rFonts w:asciiTheme="majorHAnsi" w:hAnsiTheme="majorHAnsi"/>
                          <w:color w:val="595959" w:themeColor="text1" w:themeTint="A6"/>
                          <w:sz w:val="18"/>
                        </w:rPr>
                        <w:t>April 22</w:t>
                      </w:r>
                      <w:r>
                        <w:rPr>
                          <w:rFonts w:asciiTheme="majorHAnsi" w:hAnsiTheme="majorHAnsi"/>
                          <w:color w:val="595959" w:themeColor="text1" w:themeTint="A6"/>
                          <w:sz w:val="18"/>
                        </w:rPr>
                        <w:t>, 2019</w:t>
                      </w:r>
                      <w:r w:rsidRPr="007607C4">
                        <w:rPr>
                          <w:rFonts w:asciiTheme="majorHAnsi" w:hAnsiTheme="majorHAnsi"/>
                          <w:color w:val="595959" w:themeColor="text1" w:themeTint="A6"/>
                          <w:sz w:val="18"/>
                        </w:rPr>
                        <w:t>.</w:t>
                      </w:r>
                    </w:p>
                  </w:txbxContent>
                </v:textbox>
              </v:shape>
            </w:pict>
          </mc:Fallback>
        </mc:AlternateContent>
      </w:r>
    </w:p>
    <w:p w14:paraId="51E396BC" w14:textId="77777777" w:rsidR="002C1641" w:rsidRPr="00D2222C" w:rsidRDefault="002C1641" w:rsidP="00040C3A">
      <w:pPr>
        <w:tabs>
          <w:tab w:val="center" w:pos="5400"/>
        </w:tabs>
        <w:suppressAutoHyphens/>
        <w:jc w:val="center"/>
        <w:rPr>
          <w:rFonts w:asciiTheme="majorHAnsi" w:hAnsiTheme="majorHAnsi"/>
          <w:sz w:val="18"/>
          <w:szCs w:val="22"/>
          <w:lang w:val="es-ES_tradnl"/>
        </w:rPr>
      </w:pPr>
    </w:p>
    <w:p w14:paraId="231A93CC" w14:textId="77777777" w:rsidR="002C1641" w:rsidRPr="00D2222C" w:rsidRDefault="002C1641" w:rsidP="00040C3A">
      <w:pPr>
        <w:tabs>
          <w:tab w:val="center" w:pos="5400"/>
        </w:tabs>
        <w:suppressAutoHyphens/>
        <w:jc w:val="center"/>
        <w:rPr>
          <w:rFonts w:asciiTheme="majorHAnsi" w:hAnsiTheme="majorHAnsi"/>
          <w:sz w:val="18"/>
          <w:szCs w:val="22"/>
          <w:lang w:val="es-ES_tradnl"/>
        </w:rPr>
      </w:pPr>
    </w:p>
    <w:p w14:paraId="4DA4C95B" w14:textId="77777777" w:rsidR="003C32BC" w:rsidRPr="00D2222C" w:rsidRDefault="003C32BC" w:rsidP="003C32BC">
      <w:pPr>
        <w:tabs>
          <w:tab w:val="center" w:pos="5400"/>
        </w:tabs>
        <w:suppressAutoHyphens/>
        <w:jc w:val="center"/>
        <w:rPr>
          <w:rFonts w:asciiTheme="majorHAnsi" w:hAnsiTheme="majorHAnsi"/>
          <w:sz w:val="18"/>
          <w:szCs w:val="22"/>
        </w:rPr>
      </w:pPr>
    </w:p>
    <w:p w14:paraId="45CD9681" w14:textId="77777777" w:rsidR="003C32BC" w:rsidRPr="00D2222C" w:rsidRDefault="006311DA" w:rsidP="003C32BC">
      <w:pPr>
        <w:tabs>
          <w:tab w:val="center" w:pos="5400"/>
        </w:tabs>
        <w:suppressAutoHyphens/>
        <w:jc w:val="center"/>
        <w:rPr>
          <w:rFonts w:asciiTheme="majorHAnsi" w:hAnsiTheme="majorHAnsi"/>
          <w:sz w:val="18"/>
          <w:szCs w:val="22"/>
        </w:rPr>
      </w:pPr>
      <w:r w:rsidRPr="00D2222C">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FC1DB1F" wp14:editId="7B002FD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2FBDD9" w14:textId="77777777" w:rsidR="007E4368" w:rsidRPr="004B7EB6" w:rsidRDefault="007E4368"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1DB1F"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492FBDD9" w14:textId="77777777" w:rsidR="007E4368" w:rsidRPr="004B7EB6" w:rsidRDefault="007E4368"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D2222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138C2E5" wp14:editId="0999990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BB33F" w14:textId="77777777" w:rsidR="007E4368" w:rsidRDefault="007E4368">
                            <w:r>
                              <w:rPr>
                                <w:noProof/>
                              </w:rPr>
                              <w:drawing>
                                <wp:inline distT="0" distB="0" distL="0" distR="0" wp14:anchorId="4EBEDB0A" wp14:editId="0AE5F80F">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8C2E5"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6FFBB33F" w14:textId="77777777" w:rsidR="007E4368" w:rsidRDefault="007E4368">
                      <w:r>
                        <w:rPr>
                          <w:noProof/>
                        </w:rPr>
                        <w:drawing>
                          <wp:inline distT="0" distB="0" distL="0" distR="0" wp14:anchorId="4EBEDB0A" wp14:editId="0AE5F80F">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7B13A2A9" w14:textId="77777777" w:rsidR="007607C4" w:rsidRPr="00D2222C" w:rsidRDefault="007607C4" w:rsidP="003C32BC">
      <w:pPr>
        <w:tabs>
          <w:tab w:val="center" w:pos="5400"/>
        </w:tabs>
        <w:suppressAutoHyphens/>
        <w:jc w:val="center"/>
        <w:rPr>
          <w:rFonts w:asciiTheme="majorHAnsi" w:hAnsiTheme="majorHAnsi"/>
          <w:sz w:val="18"/>
          <w:szCs w:val="22"/>
        </w:rPr>
        <w:sectPr w:rsidR="007607C4" w:rsidRPr="00D2222C"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3B541865" w14:textId="77777777" w:rsidR="00FC3EB4" w:rsidRPr="00D2222C" w:rsidRDefault="00FC3EB4" w:rsidP="00FC3EB4">
      <w:pPr>
        <w:tabs>
          <w:tab w:val="center" w:pos="5400"/>
        </w:tabs>
        <w:suppressAutoHyphens/>
        <w:spacing w:line="276" w:lineRule="auto"/>
        <w:jc w:val="center"/>
        <w:rPr>
          <w:rFonts w:asciiTheme="majorHAnsi" w:hAnsiTheme="majorHAnsi"/>
          <w:b/>
          <w:szCs w:val="20"/>
        </w:rPr>
      </w:pPr>
      <w:r w:rsidRPr="00D2222C">
        <w:rPr>
          <w:rFonts w:asciiTheme="majorHAnsi" w:hAnsiTheme="majorHAnsi"/>
          <w:b/>
          <w:szCs w:val="20"/>
        </w:rPr>
        <w:lastRenderedPageBreak/>
        <w:t>INDEX</w:t>
      </w:r>
    </w:p>
    <w:p w14:paraId="24389CDB" w14:textId="77777777" w:rsidR="00150D3B" w:rsidRPr="00D2222C" w:rsidRDefault="00150D3B" w:rsidP="00FC3EB4">
      <w:pPr>
        <w:tabs>
          <w:tab w:val="center" w:pos="5400"/>
        </w:tabs>
        <w:suppressAutoHyphens/>
        <w:spacing w:line="276" w:lineRule="auto"/>
        <w:jc w:val="center"/>
        <w:rPr>
          <w:rFonts w:asciiTheme="majorHAnsi" w:hAnsiTheme="majorHAnsi"/>
          <w:b/>
          <w:szCs w:val="20"/>
        </w:rPr>
      </w:pPr>
    </w:p>
    <w:p w14:paraId="2AE63FF2" w14:textId="77777777" w:rsidR="007607C4" w:rsidRPr="00D2222C" w:rsidRDefault="007607C4" w:rsidP="00145EDC">
      <w:pPr>
        <w:tabs>
          <w:tab w:val="center" w:pos="5400"/>
        </w:tabs>
        <w:suppressAutoHyphens/>
        <w:spacing w:line="276" w:lineRule="auto"/>
        <w:rPr>
          <w:rFonts w:asciiTheme="majorHAnsi" w:hAnsiTheme="majorHAnsi"/>
          <w:sz w:val="18"/>
          <w:szCs w:val="18"/>
        </w:rPr>
      </w:pPr>
    </w:p>
    <w:p w14:paraId="5E2FFE34" w14:textId="7745D502" w:rsidR="001829D6" w:rsidRPr="00261687" w:rsidRDefault="00864785">
      <w:pPr>
        <w:pStyle w:val="TOC1"/>
        <w:rPr>
          <w:rFonts w:asciiTheme="majorHAnsi" w:eastAsiaTheme="minorEastAsia" w:hAnsiTheme="majorHAnsi" w:cstheme="minorBidi"/>
          <w:noProof/>
          <w:sz w:val="20"/>
          <w:szCs w:val="20"/>
          <w:bdr w:val="none" w:sz="0" w:space="0" w:color="auto"/>
        </w:rPr>
      </w:pPr>
      <w:r w:rsidRPr="001829D6">
        <w:rPr>
          <w:rFonts w:asciiTheme="majorHAnsi" w:hAnsiTheme="majorHAnsi"/>
          <w:sz w:val="20"/>
          <w:szCs w:val="20"/>
        </w:rPr>
        <w:fldChar w:fldCharType="begin"/>
      </w:r>
      <w:r w:rsidRPr="001829D6">
        <w:rPr>
          <w:rFonts w:asciiTheme="majorHAnsi" w:hAnsiTheme="majorHAnsi"/>
          <w:sz w:val="20"/>
          <w:szCs w:val="20"/>
        </w:rPr>
        <w:instrText xml:space="preserve"> TOC \o "1-3" \h \z \u </w:instrText>
      </w:r>
      <w:r w:rsidRPr="001829D6">
        <w:rPr>
          <w:rFonts w:asciiTheme="majorHAnsi" w:hAnsiTheme="majorHAnsi"/>
          <w:sz w:val="20"/>
          <w:szCs w:val="20"/>
        </w:rPr>
        <w:fldChar w:fldCharType="separate"/>
      </w:r>
      <w:hyperlink w:anchor="_Toc26550916" w:history="1">
        <w:r w:rsidR="001829D6" w:rsidRPr="00261687">
          <w:rPr>
            <w:rStyle w:val="Hyperlink"/>
            <w:rFonts w:asciiTheme="majorHAnsi" w:hAnsiTheme="majorHAnsi"/>
            <w:noProof/>
            <w:sz w:val="20"/>
            <w:szCs w:val="20"/>
            <w:lang w:val="es-ES_tradnl"/>
          </w:rPr>
          <w:t>I.</w:t>
        </w:r>
        <w:r w:rsidR="001829D6" w:rsidRPr="00261687">
          <w:rPr>
            <w:rFonts w:asciiTheme="majorHAnsi" w:eastAsiaTheme="minorEastAsia" w:hAnsiTheme="majorHAnsi" w:cstheme="minorBidi"/>
            <w:noProof/>
            <w:sz w:val="20"/>
            <w:szCs w:val="20"/>
            <w:bdr w:val="none" w:sz="0" w:space="0" w:color="auto"/>
          </w:rPr>
          <w:tab/>
        </w:r>
        <w:r w:rsidR="001829D6" w:rsidRPr="00261687">
          <w:rPr>
            <w:rStyle w:val="Hyperlink"/>
            <w:rFonts w:asciiTheme="majorHAnsi" w:hAnsiTheme="majorHAnsi"/>
            <w:noProof/>
            <w:sz w:val="20"/>
            <w:szCs w:val="20"/>
            <w:lang w:val="es-ES_tradnl"/>
          </w:rPr>
          <w:t>SUMMARY</w:t>
        </w:r>
        <w:r w:rsidR="001829D6" w:rsidRPr="00261687">
          <w:rPr>
            <w:rFonts w:asciiTheme="majorHAnsi" w:hAnsiTheme="majorHAnsi"/>
            <w:noProof/>
            <w:webHidden/>
            <w:sz w:val="20"/>
            <w:szCs w:val="20"/>
          </w:rPr>
          <w:tab/>
        </w:r>
        <w:r w:rsidR="001829D6" w:rsidRPr="00261687">
          <w:rPr>
            <w:rFonts w:asciiTheme="majorHAnsi" w:hAnsiTheme="majorHAnsi"/>
            <w:noProof/>
            <w:webHidden/>
            <w:sz w:val="20"/>
            <w:szCs w:val="20"/>
          </w:rPr>
          <w:fldChar w:fldCharType="begin"/>
        </w:r>
        <w:r w:rsidR="001829D6" w:rsidRPr="00261687">
          <w:rPr>
            <w:rFonts w:asciiTheme="majorHAnsi" w:hAnsiTheme="majorHAnsi"/>
            <w:noProof/>
            <w:webHidden/>
            <w:sz w:val="20"/>
            <w:szCs w:val="20"/>
          </w:rPr>
          <w:instrText xml:space="preserve"> PAGEREF _Toc26550916 \h </w:instrText>
        </w:r>
        <w:r w:rsidR="001829D6" w:rsidRPr="00261687">
          <w:rPr>
            <w:rFonts w:asciiTheme="majorHAnsi" w:hAnsiTheme="majorHAnsi"/>
            <w:noProof/>
            <w:webHidden/>
            <w:sz w:val="20"/>
            <w:szCs w:val="20"/>
          </w:rPr>
        </w:r>
        <w:r w:rsidR="001829D6" w:rsidRPr="00261687">
          <w:rPr>
            <w:rFonts w:asciiTheme="majorHAnsi" w:hAnsiTheme="majorHAnsi"/>
            <w:noProof/>
            <w:webHidden/>
            <w:sz w:val="20"/>
            <w:szCs w:val="20"/>
          </w:rPr>
          <w:fldChar w:fldCharType="separate"/>
        </w:r>
        <w:r w:rsidR="006E3F74">
          <w:rPr>
            <w:rFonts w:asciiTheme="majorHAnsi" w:hAnsiTheme="majorHAnsi"/>
            <w:noProof/>
            <w:webHidden/>
            <w:sz w:val="20"/>
            <w:szCs w:val="20"/>
          </w:rPr>
          <w:t>2</w:t>
        </w:r>
        <w:r w:rsidR="001829D6" w:rsidRPr="00261687">
          <w:rPr>
            <w:rFonts w:asciiTheme="majorHAnsi" w:hAnsiTheme="majorHAnsi"/>
            <w:noProof/>
            <w:webHidden/>
            <w:sz w:val="20"/>
            <w:szCs w:val="20"/>
          </w:rPr>
          <w:fldChar w:fldCharType="end"/>
        </w:r>
      </w:hyperlink>
    </w:p>
    <w:p w14:paraId="7238022E" w14:textId="736D70E6" w:rsidR="001829D6" w:rsidRPr="00261687" w:rsidRDefault="006E3F74">
      <w:pPr>
        <w:pStyle w:val="TOC1"/>
        <w:rPr>
          <w:rFonts w:asciiTheme="majorHAnsi" w:eastAsiaTheme="minorEastAsia" w:hAnsiTheme="majorHAnsi" w:cstheme="minorBidi"/>
          <w:noProof/>
          <w:sz w:val="20"/>
          <w:szCs w:val="20"/>
          <w:bdr w:val="none" w:sz="0" w:space="0" w:color="auto"/>
        </w:rPr>
      </w:pPr>
      <w:hyperlink w:anchor="_Toc26550917" w:history="1">
        <w:r w:rsidR="001829D6" w:rsidRPr="00261687">
          <w:rPr>
            <w:rStyle w:val="Hyperlink"/>
            <w:rFonts w:asciiTheme="majorHAnsi" w:hAnsiTheme="majorHAnsi"/>
            <w:noProof/>
            <w:sz w:val="20"/>
            <w:szCs w:val="20"/>
            <w:lang w:val="es-ES_tradnl"/>
          </w:rPr>
          <w:t>II.</w:t>
        </w:r>
        <w:r w:rsidR="001829D6" w:rsidRPr="00261687">
          <w:rPr>
            <w:rFonts w:asciiTheme="majorHAnsi" w:eastAsiaTheme="minorEastAsia" w:hAnsiTheme="majorHAnsi" w:cstheme="minorBidi"/>
            <w:noProof/>
            <w:sz w:val="20"/>
            <w:szCs w:val="20"/>
            <w:bdr w:val="none" w:sz="0" w:space="0" w:color="auto"/>
          </w:rPr>
          <w:tab/>
        </w:r>
        <w:r w:rsidR="001829D6" w:rsidRPr="00261687">
          <w:rPr>
            <w:rStyle w:val="Hyperlink"/>
            <w:rFonts w:asciiTheme="majorHAnsi" w:hAnsiTheme="majorHAnsi"/>
            <w:noProof/>
            <w:sz w:val="20"/>
            <w:szCs w:val="20"/>
            <w:lang w:val="es-ES_tradnl"/>
          </w:rPr>
          <w:t>POSITIONS OF THE PARTIES</w:t>
        </w:r>
        <w:r w:rsidR="001829D6" w:rsidRPr="00261687">
          <w:rPr>
            <w:rFonts w:asciiTheme="majorHAnsi" w:hAnsiTheme="majorHAnsi"/>
            <w:noProof/>
            <w:webHidden/>
            <w:sz w:val="20"/>
            <w:szCs w:val="20"/>
          </w:rPr>
          <w:tab/>
        </w:r>
        <w:r w:rsidR="001829D6" w:rsidRPr="00261687">
          <w:rPr>
            <w:rFonts w:asciiTheme="majorHAnsi" w:hAnsiTheme="majorHAnsi"/>
            <w:noProof/>
            <w:webHidden/>
            <w:sz w:val="20"/>
            <w:szCs w:val="20"/>
          </w:rPr>
          <w:fldChar w:fldCharType="begin"/>
        </w:r>
        <w:r w:rsidR="001829D6" w:rsidRPr="00261687">
          <w:rPr>
            <w:rFonts w:asciiTheme="majorHAnsi" w:hAnsiTheme="majorHAnsi"/>
            <w:noProof/>
            <w:webHidden/>
            <w:sz w:val="20"/>
            <w:szCs w:val="20"/>
          </w:rPr>
          <w:instrText xml:space="preserve"> PAGEREF _Toc26550917 \h </w:instrText>
        </w:r>
        <w:r w:rsidR="001829D6" w:rsidRPr="00261687">
          <w:rPr>
            <w:rFonts w:asciiTheme="majorHAnsi" w:hAnsiTheme="majorHAnsi"/>
            <w:noProof/>
            <w:webHidden/>
            <w:sz w:val="20"/>
            <w:szCs w:val="20"/>
          </w:rPr>
        </w:r>
        <w:r w:rsidR="001829D6" w:rsidRPr="00261687">
          <w:rPr>
            <w:rFonts w:asciiTheme="majorHAnsi" w:hAnsiTheme="majorHAnsi"/>
            <w:noProof/>
            <w:webHidden/>
            <w:sz w:val="20"/>
            <w:szCs w:val="20"/>
          </w:rPr>
          <w:fldChar w:fldCharType="separate"/>
        </w:r>
        <w:r>
          <w:rPr>
            <w:rFonts w:asciiTheme="majorHAnsi" w:hAnsiTheme="majorHAnsi"/>
            <w:noProof/>
            <w:webHidden/>
            <w:sz w:val="20"/>
            <w:szCs w:val="20"/>
          </w:rPr>
          <w:t>2</w:t>
        </w:r>
        <w:r w:rsidR="001829D6" w:rsidRPr="00261687">
          <w:rPr>
            <w:rFonts w:asciiTheme="majorHAnsi" w:hAnsiTheme="majorHAnsi"/>
            <w:noProof/>
            <w:webHidden/>
            <w:sz w:val="20"/>
            <w:szCs w:val="20"/>
          </w:rPr>
          <w:fldChar w:fldCharType="end"/>
        </w:r>
      </w:hyperlink>
    </w:p>
    <w:p w14:paraId="69B89120" w14:textId="0452E7C8" w:rsidR="001829D6" w:rsidRPr="00261687" w:rsidRDefault="006E3F74">
      <w:pPr>
        <w:pStyle w:val="TOC2"/>
        <w:rPr>
          <w:rFonts w:asciiTheme="majorHAnsi" w:eastAsiaTheme="minorEastAsia" w:hAnsiTheme="majorHAnsi" w:cstheme="minorBidi"/>
          <w:noProof/>
          <w:sz w:val="20"/>
          <w:szCs w:val="20"/>
          <w:bdr w:val="none" w:sz="0" w:space="0" w:color="auto"/>
        </w:rPr>
      </w:pPr>
      <w:hyperlink w:anchor="_Toc26550918" w:history="1">
        <w:r w:rsidR="001829D6" w:rsidRPr="00261687">
          <w:rPr>
            <w:rStyle w:val="Hyperlink"/>
            <w:rFonts w:asciiTheme="majorHAnsi" w:hAnsiTheme="majorHAnsi"/>
            <w:noProof/>
            <w:sz w:val="20"/>
            <w:szCs w:val="20"/>
            <w:lang w:val="es-ES_tradnl"/>
          </w:rPr>
          <w:t>A.</w:t>
        </w:r>
        <w:r w:rsidR="001829D6" w:rsidRPr="00261687">
          <w:rPr>
            <w:rFonts w:asciiTheme="majorHAnsi" w:eastAsiaTheme="minorEastAsia" w:hAnsiTheme="majorHAnsi" w:cstheme="minorBidi"/>
            <w:noProof/>
            <w:sz w:val="20"/>
            <w:szCs w:val="20"/>
            <w:bdr w:val="none" w:sz="0" w:space="0" w:color="auto"/>
          </w:rPr>
          <w:tab/>
        </w:r>
        <w:r w:rsidR="001829D6" w:rsidRPr="00261687">
          <w:rPr>
            <w:rStyle w:val="Hyperlink"/>
            <w:rFonts w:asciiTheme="majorHAnsi" w:hAnsiTheme="majorHAnsi"/>
            <w:noProof/>
            <w:sz w:val="20"/>
            <w:szCs w:val="20"/>
            <w:lang w:val="es-ES_tradnl"/>
          </w:rPr>
          <w:t>Petitioners</w:t>
        </w:r>
        <w:r w:rsidR="001829D6" w:rsidRPr="00261687">
          <w:rPr>
            <w:rFonts w:asciiTheme="majorHAnsi" w:hAnsiTheme="majorHAnsi"/>
            <w:noProof/>
            <w:webHidden/>
            <w:sz w:val="20"/>
            <w:szCs w:val="20"/>
          </w:rPr>
          <w:tab/>
        </w:r>
        <w:r w:rsidR="001829D6" w:rsidRPr="00261687">
          <w:rPr>
            <w:rFonts w:asciiTheme="majorHAnsi" w:hAnsiTheme="majorHAnsi"/>
            <w:noProof/>
            <w:webHidden/>
            <w:sz w:val="20"/>
            <w:szCs w:val="20"/>
          </w:rPr>
          <w:fldChar w:fldCharType="begin"/>
        </w:r>
        <w:r w:rsidR="001829D6" w:rsidRPr="00261687">
          <w:rPr>
            <w:rFonts w:asciiTheme="majorHAnsi" w:hAnsiTheme="majorHAnsi"/>
            <w:noProof/>
            <w:webHidden/>
            <w:sz w:val="20"/>
            <w:szCs w:val="20"/>
          </w:rPr>
          <w:instrText xml:space="preserve"> PAGEREF _Toc26550918 \h </w:instrText>
        </w:r>
        <w:r w:rsidR="001829D6" w:rsidRPr="00261687">
          <w:rPr>
            <w:rFonts w:asciiTheme="majorHAnsi" w:hAnsiTheme="majorHAnsi"/>
            <w:noProof/>
            <w:webHidden/>
            <w:sz w:val="20"/>
            <w:szCs w:val="20"/>
          </w:rPr>
        </w:r>
        <w:r w:rsidR="001829D6" w:rsidRPr="00261687">
          <w:rPr>
            <w:rFonts w:asciiTheme="majorHAnsi" w:hAnsiTheme="majorHAnsi"/>
            <w:noProof/>
            <w:webHidden/>
            <w:sz w:val="20"/>
            <w:szCs w:val="20"/>
          </w:rPr>
          <w:fldChar w:fldCharType="separate"/>
        </w:r>
        <w:r>
          <w:rPr>
            <w:rFonts w:asciiTheme="majorHAnsi" w:hAnsiTheme="majorHAnsi"/>
            <w:noProof/>
            <w:webHidden/>
            <w:sz w:val="20"/>
            <w:szCs w:val="20"/>
          </w:rPr>
          <w:t>2</w:t>
        </w:r>
        <w:r w:rsidR="001829D6" w:rsidRPr="00261687">
          <w:rPr>
            <w:rFonts w:asciiTheme="majorHAnsi" w:hAnsiTheme="majorHAnsi"/>
            <w:noProof/>
            <w:webHidden/>
            <w:sz w:val="20"/>
            <w:szCs w:val="20"/>
          </w:rPr>
          <w:fldChar w:fldCharType="end"/>
        </w:r>
      </w:hyperlink>
    </w:p>
    <w:p w14:paraId="68A4608C" w14:textId="40F66DF2" w:rsidR="001829D6" w:rsidRPr="00261687" w:rsidRDefault="006E3F74">
      <w:pPr>
        <w:pStyle w:val="TOC2"/>
        <w:rPr>
          <w:rFonts w:asciiTheme="majorHAnsi" w:eastAsiaTheme="minorEastAsia" w:hAnsiTheme="majorHAnsi" w:cstheme="minorBidi"/>
          <w:noProof/>
          <w:sz w:val="20"/>
          <w:szCs w:val="20"/>
          <w:bdr w:val="none" w:sz="0" w:space="0" w:color="auto"/>
        </w:rPr>
      </w:pPr>
      <w:hyperlink w:anchor="_Toc26550919" w:history="1">
        <w:r w:rsidR="001829D6" w:rsidRPr="00261687">
          <w:rPr>
            <w:rStyle w:val="Hyperlink"/>
            <w:rFonts w:asciiTheme="majorHAnsi" w:hAnsiTheme="majorHAnsi"/>
            <w:noProof/>
            <w:sz w:val="20"/>
            <w:szCs w:val="20"/>
            <w:lang w:val="es-ES_tradnl"/>
          </w:rPr>
          <w:t>B.</w:t>
        </w:r>
        <w:r w:rsidR="001829D6" w:rsidRPr="00261687">
          <w:rPr>
            <w:rFonts w:asciiTheme="majorHAnsi" w:eastAsiaTheme="minorEastAsia" w:hAnsiTheme="majorHAnsi" w:cstheme="minorBidi"/>
            <w:noProof/>
            <w:sz w:val="20"/>
            <w:szCs w:val="20"/>
            <w:bdr w:val="none" w:sz="0" w:space="0" w:color="auto"/>
          </w:rPr>
          <w:tab/>
        </w:r>
        <w:r w:rsidR="001829D6" w:rsidRPr="00261687">
          <w:rPr>
            <w:rStyle w:val="Hyperlink"/>
            <w:rFonts w:asciiTheme="majorHAnsi" w:hAnsiTheme="majorHAnsi"/>
            <w:noProof/>
            <w:sz w:val="20"/>
            <w:szCs w:val="20"/>
            <w:lang w:val="es-ES_tradnl"/>
          </w:rPr>
          <w:t>State</w:t>
        </w:r>
        <w:r w:rsidR="001829D6" w:rsidRPr="00261687">
          <w:rPr>
            <w:rFonts w:asciiTheme="majorHAnsi" w:hAnsiTheme="majorHAnsi"/>
            <w:noProof/>
            <w:webHidden/>
            <w:sz w:val="20"/>
            <w:szCs w:val="20"/>
          </w:rPr>
          <w:tab/>
        </w:r>
        <w:r w:rsidR="001829D6" w:rsidRPr="00261687">
          <w:rPr>
            <w:rFonts w:asciiTheme="majorHAnsi" w:hAnsiTheme="majorHAnsi"/>
            <w:noProof/>
            <w:webHidden/>
            <w:sz w:val="20"/>
            <w:szCs w:val="20"/>
          </w:rPr>
          <w:fldChar w:fldCharType="begin"/>
        </w:r>
        <w:r w:rsidR="001829D6" w:rsidRPr="00261687">
          <w:rPr>
            <w:rFonts w:asciiTheme="majorHAnsi" w:hAnsiTheme="majorHAnsi"/>
            <w:noProof/>
            <w:webHidden/>
            <w:sz w:val="20"/>
            <w:szCs w:val="20"/>
          </w:rPr>
          <w:instrText xml:space="preserve"> PAGEREF _Toc26550919 \h </w:instrText>
        </w:r>
        <w:r w:rsidR="001829D6" w:rsidRPr="00261687">
          <w:rPr>
            <w:rFonts w:asciiTheme="majorHAnsi" w:hAnsiTheme="majorHAnsi"/>
            <w:noProof/>
            <w:webHidden/>
            <w:sz w:val="20"/>
            <w:szCs w:val="20"/>
          </w:rPr>
        </w:r>
        <w:r w:rsidR="001829D6" w:rsidRPr="00261687">
          <w:rPr>
            <w:rFonts w:asciiTheme="majorHAnsi" w:hAnsiTheme="majorHAnsi"/>
            <w:noProof/>
            <w:webHidden/>
            <w:sz w:val="20"/>
            <w:szCs w:val="20"/>
          </w:rPr>
          <w:fldChar w:fldCharType="separate"/>
        </w:r>
        <w:r>
          <w:rPr>
            <w:rFonts w:asciiTheme="majorHAnsi" w:hAnsiTheme="majorHAnsi"/>
            <w:noProof/>
            <w:webHidden/>
            <w:sz w:val="20"/>
            <w:szCs w:val="20"/>
          </w:rPr>
          <w:t>4</w:t>
        </w:r>
        <w:r w:rsidR="001829D6" w:rsidRPr="00261687">
          <w:rPr>
            <w:rFonts w:asciiTheme="majorHAnsi" w:hAnsiTheme="majorHAnsi"/>
            <w:noProof/>
            <w:webHidden/>
            <w:sz w:val="20"/>
            <w:szCs w:val="20"/>
          </w:rPr>
          <w:fldChar w:fldCharType="end"/>
        </w:r>
      </w:hyperlink>
    </w:p>
    <w:p w14:paraId="0518D898" w14:textId="0B940126" w:rsidR="001829D6" w:rsidRPr="00261687" w:rsidRDefault="006E3F74">
      <w:pPr>
        <w:pStyle w:val="TOC1"/>
        <w:rPr>
          <w:rFonts w:asciiTheme="majorHAnsi" w:eastAsiaTheme="minorEastAsia" w:hAnsiTheme="majorHAnsi" w:cstheme="minorBidi"/>
          <w:noProof/>
          <w:sz w:val="20"/>
          <w:szCs w:val="20"/>
          <w:bdr w:val="none" w:sz="0" w:space="0" w:color="auto"/>
        </w:rPr>
      </w:pPr>
      <w:hyperlink w:anchor="_Toc26550920" w:history="1">
        <w:r w:rsidR="001829D6" w:rsidRPr="00261687">
          <w:rPr>
            <w:rStyle w:val="Hyperlink"/>
            <w:rFonts w:asciiTheme="majorHAnsi" w:hAnsiTheme="majorHAnsi"/>
            <w:noProof/>
            <w:sz w:val="20"/>
            <w:szCs w:val="20"/>
          </w:rPr>
          <w:t>III.</w:t>
        </w:r>
        <w:r w:rsidR="001829D6" w:rsidRPr="00261687">
          <w:rPr>
            <w:rFonts w:asciiTheme="majorHAnsi" w:eastAsiaTheme="minorEastAsia" w:hAnsiTheme="majorHAnsi" w:cstheme="minorBidi"/>
            <w:noProof/>
            <w:sz w:val="20"/>
            <w:szCs w:val="20"/>
            <w:bdr w:val="none" w:sz="0" w:space="0" w:color="auto"/>
          </w:rPr>
          <w:tab/>
        </w:r>
        <w:r w:rsidR="001829D6" w:rsidRPr="00261687">
          <w:rPr>
            <w:rStyle w:val="Hyperlink"/>
            <w:rFonts w:asciiTheme="majorHAnsi" w:hAnsiTheme="majorHAnsi"/>
            <w:noProof/>
            <w:sz w:val="20"/>
            <w:szCs w:val="20"/>
          </w:rPr>
          <w:t>FINDINGS OF FACT</w:t>
        </w:r>
        <w:r w:rsidR="001829D6" w:rsidRPr="00261687">
          <w:rPr>
            <w:rFonts w:asciiTheme="majorHAnsi" w:hAnsiTheme="majorHAnsi"/>
            <w:noProof/>
            <w:webHidden/>
            <w:sz w:val="20"/>
            <w:szCs w:val="20"/>
          </w:rPr>
          <w:tab/>
        </w:r>
        <w:r w:rsidR="001829D6" w:rsidRPr="00261687">
          <w:rPr>
            <w:rFonts w:asciiTheme="majorHAnsi" w:hAnsiTheme="majorHAnsi"/>
            <w:noProof/>
            <w:webHidden/>
            <w:sz w:val="20"/>
            <w:szCs w:val="20"/>
          </w:rPr>
          <w:fldChar w:fldCharType="begin"/>
        </w:r>
        <w:r w:rsidR="001829D6" w:rsidRPr="00261687">
          <w:rPr>
            <w:rFonts w:asciiTheme="majorHAnsi" w:hAnsiTheme="majorHAnsi"/>
            <w:noProof/>
            <w:webHidden/>
            <w:sz w:val="20"/>
            <w:szCs w:val="20"/>
          </w:rPr>
          <w:instrText xml:space="preserve"> PAGEREF _Toc26550920 \h </w:instrText>
        </w:r>
        <w:r w:rsidR="001829D6" w:rsidRPr="00261687">
          <w:rPr>
            <w:rFonts w:asciiTheme="majorHAnsi" w:hAnsiTheme="majorHAnsi"/>
            <w:noProof/>
            <w:webHidden/>
            <w:sz w:val="20"/>
            <w:szCs w:val="20"/>
          </w:rPr>
        </w:r>
        <w:r w:rsidR="001829D6" w:rsidRPr="00261687">
          <w:rPr>
            <w:rFonts w:asciiTheme="majorHAnsi" w:hAnsiTheme="majorHAnsi"/>
            <w:noProof/>
            <w:webHidden/>
            <w:sz w:val="20"/>
            <w:szCs w:val="20"/>
          </w:rPr>
          <w:fldChar w:fldCharType="separate"/>
        </w:r>
        <w:r>
          <w:rPr>
            <w:rFonts w:asciiTheme="majorHAnsi" w:hAnsiTheme="majorHAnsi"/>
            <w:noProof/>
            <w:webHidden/>
            <w:sz w:val="20"/>
            <w:szCs w:val="20"/>
          </w:rPr>
          <w:t>5</w:t>
        </w:r>
        <w:r w:rsidR="001829D6" w:rsidRPr="00261687">
          <w:rPr>
            <w:rFonts w:asciiTheme="majorHAnsi" w:hAnsiTheme="majorHAnsi"/>
            <w:noProof/>
            <w:webHidden/>
            <w:sz w:val="20"/>
            <w:szCs w:val="20"/>
          </w:rPr>
          <w:fldChar w:fldCharType="end"/>
        </w:r>
      </w:hyperlink>
    </w:p>
    <w:p w14:paraId="2539EAC1" w14:textId="45E71F24" w:rsidR="001829D6" w:rsidRPr="00261687" w:rsidRDefault="006E3F74">
      <w:pPr>
        <w:pStyle w:val="TOC2"/>
        <w:rPr>
          <w:rFonts w:asciiTheme="majorHAnsi" w:eastAsiaTheme="minorEastAsia" w:hAnsiTheme="majorHAnsi" w:cstheme="minorBidi"/>
          <w:noProof/>
          <w:sz w:val="20"/>
          <w:szCs w:val="20"/>
          <w:bdr w:val="none" w:sz="0" w:space="0" w:color="auto"/>
        </w:rPr>
      </w:pPr>
      <w:hyperlink w:anchor="_Toc26550921" w:history="1">
        <w:r w:rsidR="001829D6" w:rsidRPr="00261687">
          <w:rPr>
            <w:rStyle w:val="Hyperlink"/>
            <w:rFonts w:asciiTheme="majorHAnsi" w:hAnsiTheme="majorHAnsi"/>
            <w:noProof/>
            <w:sz w:val="20"/>
            <w:szCs w:val="20"/>
          </w:rPr>
          <w:t>A.</w:t>
        </w:r>
        <w:r w:rsidR="001829D6" w:rsidRPr="00261687">
          <w:rPr>
            <w:rFonts w:asciiTheme="majorHAnsi" w:eastAsiaTheme="minorEastAsia" w:hAnsiTheme="majorHAnsi" w:cstheme="minorBidi"/>
            <w:noProof/>
            <w:sz w:val="20"/>
            <w:szCs w:val="20"/>
            <w:bdr w:val="none" w:sz="0" w:space="0" w:color="auto"/>
          </w:rPr>
          <w:tab/>
        </w:r>
        <w:r w:rsidR="001829D6" w:rsidRPr="00261687">
          <w:rPr>
            <w:rStyle w:val="Hyperlink"/>
            <w:rFonts w:asciiTheme="majorHAnsi" w:hAnsiTheme="majorHAnsi"/>
            <w:noProof/>
            <w:sz w:val="20"/>
            <w:szCs w:val="20"/>
          </w:rPr>
          <w:t>The federal death penalty system</w:t>
        </w:r>
        <w:r w:rsidR="001829D6" w:rsidRPr="00261687">
          <w:rPr>
            <w:rFonts w:asciiTheme="majorHAnsi" w:hAnsiTheme="majorHAnsi"/>
            <w:noProof/>
            <w:webHidden/>
            <w:sz w:val="20"/>
            <w:szCs w:val="20"/>
          </w:rPr>
          <w:tab/>
        </w:r>
        <w:r w:rsidR="001829D6" w:rsidRPr="00261687">
          <w:rPr>
            <w:rFonts w:asciiTheme="majorHAnsi" w:hAnsiTheme="majorHAnsi"/>
            <w:noProof/>
            <w:webHidden/>
            <w:sz w:val="20"/>
            <w:szCs w:val="20"/>
          </w:rPr>
          <w:fldChar w:fldCharType="begin"/>
        </w:r>
        <w:r w:rsidR="001829D6" w:rsidRPr="00261687">
          <w:rPr>
            <w:rFonts w:asciiTheme="majorHAnsi" w:hAnsiTheme="majorHAnsi"/>
            <w:noProof/>
            <w:webHidden/>
            <w:sz w:val="20"/>
            <w:szCs w:val="20"/>
          </w:rPr>
          <w:instrText xml:space="preserve"> PAGEREF _Toc26550921 \h </w:instrText>
        </w:r>
        <w:r w:rsidR="001829D6" w:rsidRPr="00261687">
          <w:rPr>
            <w:rFonts w:asciiTheme="majorHAnsi" w:hAnsiTheme="majorHAnsi"/>
            <w:noProof/>
            <w:webHidden/>
            <w:sz w:val="20"/>
            <w:szCs w:val="20"/>
          </w:rPr>
        </w:r>
        <w:r w:rsidR="001829D6" w:rsidRPr="00261687">
          <w:rPr>
            <w:rFonts w:asciiTheme="majorHAnsi" w:hAnsiTheme="majorHAnsi"/>
            <w:noProof/>
            <w:webHidden/>
            <w:sz w:val="20"/>
            <w:szCs w:val="20"/>
          </w:rPr>
          <w:fldChar w:fldCharType="separate"/>
        </w:r>
        <w:r>
          <w:rPr>
            <w:rFonts w:asciiTheme="majorHAnsi" w:hAnsiTheme="majorHAnsi"/>
            <w:noProof/>
            <w:webHidden/>
            <w:sz w:val="20"/>
            <w:szCs w:val="20"/>
          </w:rPr>
          <w:t>5</w:t>
        </w:r>
        <w:r w:rsidR="001829D6" w:rsidRPr="00261687">
          <w:rPr>
            <w:rFonts w:asciiTheme="majorHAnsi" w:hAnsiTheme="majorHAnsi"/>
            <w:noProof/>
            <w:webHidden/>
            <w:sz w:val="20"/>
            <w:szCs w:val="20"/>
          </w:rPr>
          <w:fldChar w:fldCharType="end"/>
        </w:r>
      </w:hyperlink>
    </w:p>
    <w:p w14:paraId="39EFB60C" w14:textId="49C6B868" w:rsidR="001829D6" w:rsidRPr="00261687" w:rsidRDefault="006E3F74">
      <w:pPr>
        <w:pStyle w:val="TOC2"/>
        <w:rPr>
          <w:rFonts w:asciiTheme="majorHAnsi" w:eastAsiaTheme="minorEastAsia" w:hAnsiTheme="majorHAnsi" w:cstheme="minorBidi"/>
          <w:noProof/>
          <w:sz w:val="20"/>
          <w:szCs w:val="20"/>
          <w:bdr w:val="none" w:sz="0" w:space="0" w:color="auto"/>
        </w:rPr>
      </w:pPr>
      <w:hyperlink w:anchor="_Toc26550922" w:history="1">
        <w:r w:rsidR="001829D6" w:rsidRPr="00261687">
          <w:rPr>
            <w:rStyle w:val="Hyperlink"/>
            <w:rFonts w:asciiTheme="majorHAnsi" w:hAnsiTheme="majorHAnsi"/>
            <w:noProof/>
            <w:sz w:val="20"/>
            <w:szCs w:val="20"/>
          </w:rPr>
          <w:t>B.</w:t>
        </w:r>
        <w:r w:rsidR="001829D6" w:rsidRPr="00261687">
          <w:rPr>
            <w:rFonts w:asciiTheme="majorHAnsi" w:eastAsiaTheme="minorEastAsia" w:hAnsiTheme="majorHAnsi" w:cstheme="minorBidi"/>
            <w:noProof/>
            <w:sz w:val="20"/>
            <w:szCs w:val="20"/>
            <w:bdr w:val="none" w:sz="0" w:space="0" w:color="auto"/>
          </w:rPr>
          <w:tab/>
        </w:r>
        <w:r w:rsidR="001829D6" w:rsidRPr="00261687">
          <w:rPr>
            <w:rStyle w:val="Hyperlink"/>
            <w:rFonts w:asciiTheme="majorHAnsi" w:hAnsiTheme="majorHAnsi"/>
            <w:noProof/>
            <w:sz w:val="20"/>
            <w:szCs w:val="20"/>
          </w:rPr>
          <w:t>Factual background, trial and death sentence</w:t>
        </w:r>
        <w:r w:rsidR="001829D6" w:rsidRPr="00261687">
          <w:rPr>
            <w:rFonts w:asciiTheme="majorHAnsi" w:hAnsiTheme="majorHAnsi"/>
            <w:noProof/>
            <w:webHidden/>
            <w:sz w:val="20"/>
            <w:szCs w:val="20"/>
          </w:rPr>
          <w:tab/>
        </w:r>
        <w:r w:rsidR="001829D6" w:rsidRPr="00261687">
          <w:rPr>
            <w:rFonts w:asciiTheme="majorHAnsi" w:hAnsiTheme="majorHAnsi"/>
            <w:noProof/>
            <w:webHidden/>
            <w:sz w:val="20"/>
            <w:szCs w:val="20"/>
          </w:rPr>
          <w:fldChar w:fldCharType="begin"/>
        </w:r>
        <w:r w:rsidR="001829D6" w:rsidRPr="00261687">
          <w:rPr>
            <w:rFonts w:asciiTheme="majorHAnsi" w:hAnsiTheme="majorHAnsi"/>
            <w:noProof/>
            <w:webHidden/>
            <w:sz w:val="20"/>
            <w:szCs w:val="20"/>
          </w:rPr>
          <w:instrText xml:space="preserve"> PAGEREF _Toc26550922 \h </w:instrText>
        </w:r>
        <w:r w:rsidR="001829D6" w:rsidRPr="00261687">
          <w:rPr>
            <w:rFonts w:asciiTheme="majorHAnsi" w:hAnsiTheme="majorHAnsi"/>
            <w:noProof/>
            <w:webHidden/>
            <w:sz w:val="20"/>
            <w:szCs w:val="20"/>
          </w:rPr>
        </w:r>
        <w:r w:rsidR="001829D6" w:rsidRPr="00261687">
          <w:rPr>
            <w:rFonts w:asciiTheme="majorHAnsi" w:hAnsiTheme="majorHAnsi"/>
            <w:noProof/>
            <w:webHidden/>
            <w:sz w:val="20"/>
            <w:szCs w:val="20"/>
          </w:rPr>
          <w:fldChar w:fldCharType="separate"/>
        </w:r>
        <w:r>
          <w:rPr>
            <w:rFonts w:asciiTheme="majorHAnsi" w:hAnsiTheme="majorHAnsi"/>
            <w:noProof/>
            <w:webHidden/>
            <w:sz w:val="20"/>
            <w:szCs w:val="20"/>
          </w:rPr>
          <w:t>7</w:t>
        </w:r>
        <w:r w:rsidR="001829D6" w:rsidRPr="00261687">
          <w:rPr>
            <w:rFonts w:asciiTheme="majorHAnsi" w:hAnsiTheme="majorHAnsi"/>
            <w:noProof/>
            <w:webHidden/>
            <w:sz w:val="20"/>
            <w:szCs w:val="20"/>
          </w:rPr>
          <w:fldChar w:fldCharType="end"/>
        </w:r>
      </w:hyperlink>
    </w:p>
    <w:p w14:paraId="3C27AC39" w14:textId="1935E066" w:rsidR="001829D6" w:rsidRPr="00261687" w:rsidRDefault="006E3F74">
      <w:pPr>
        <w:pStyle w:val="TOC2"/>
        <w:rPr>
          <w:rFonts w:asciiTheme="majorHAnsi" w:eastAsiaTheme="minorEastAsia" w:hAnsiTheme="majorHAnsi" w:cstheme="minorBidi"/>
          <w:noProof/>
          <w:sz w:val="20"/>
          <w:szCs w:val="20"/>
          <w:bdr w:val="none" w:sz="0" w:space="0" w:color="auto"/>
        </w:rPr>
      </w:pPr>
      <w:hyperlink w:anchor="_Toc26550923" w:history="1">
        <w:r w:rsidR="001829D6" w:rsidRPr="00261687">
          <w:rPr>
            <w:rStyle w:val="Hyperlink"/>
            <w:rFonts w:asciiTheme="majorHAnsi" w:hAnsiTheme="majorHAnsi"/>
            <w:noProof/>
            <w:sz w:val="20"/>
            <w:szCs w:val="20"/>
          </w:rPr>
          <w:t>C.</w:t>
        </w:r>
        <w:r w:rsidR="001829D6" w:rsidRPr="00261687">
          <w:rPr>
            <w:rFonts w:asciiTheme="majorHAnsi" w:eastAsiaTheme="minorEastAsia" w:hAnsiTheme="majorHAnsi" w:cstheme="minorBidi"/>
            <w:noProof/>
            <w:sz w:val="20"/>
            <w:szCs w:val="20"/>
            <w:bdr w:val="none" w:sz="0" w:space="0" w:color="auto"/>
          </w:rPr>
          <w:tab/>
        </w:r>
        <w:r w:rsidR="001829D6" w:rsidRPr="00261687">
          <w:rPr>
            <w:rStyle w:val="Hyperlink"/>
            <w:rFonts w:asciiTheme="majorHAnsi" w:hAnsiTheme="majorHAnsi"/>
            <w:noProof/>
            <w:sz w:val="20"/>
            <w:szCs w:val="20"/>
          </w:rPr>
          <w:t>Post-conviction proceedings</w:t>
        </w:r>
        <w:r w:rsidR="001829D6" w:rsidRPr="00261687">
          <w:rPr>
            <w:rFonts w:asciiTheme="majorHAnsi" w:hAnsiTheme="majorHAnsi"/>
            <w:noProof/>
            <w:webHidden/>
            <w:sz w:val="20"/>
            <w:szCs w:val="20"/>
          </w:rPr>
          <w:tab/>
        </w:r>
        <w:r w:rsidR="001829D6" w:rsidRPr="00261687">
          <w:rPr>
            <w:rFonts w:asciiTheme="majorHAnsi" w:hAnsiTheme="majorHAnsi"/>
            <w:noProof/>
            <w:webHidden/>
            <w:sz w:val="20"/>
            <w:szCs w:val="20"/>
          </w:rPr>
          <w:fldChar w:fldCharType="begin"/>
        </w:r>
        <w:r w:rsidR="001829D6" w:rsidRPr="00261687">
          <w:rPr>
            <w:rFonts w:asciiTheme="majorHAnsi" w:hAnsiTheme="majorHAnsi"/>
            <w:noProof/>
            <w:webHidden/>
            <w:sz w:val="20"/>
            <w:szCs w:val="20"/>
          </w:rPr>
          <w:instrText xml:space="preserve"> PAGEREF _Toc26550923 \h </w:instrText>
        </w:r>
        <w:r w:rsidR="001829D6" w:rsidRPr="00261687">
          <w:rPr>
            <w:rFonts w:asciiTheme="majorHAnsi" w:hAnsiTheme="majorHAnsi"/>
            <w:noProof/>
            <w:webHidden/>
            <w:sz w:val="20"/>
            <w:szCs w:val="20"/>
          </w:rPr>
        </w:r>
        <w:r w:rsidR="001829D6" w:rsidRPr="00261687">
          <w:rPr>
            <w:rFonts w:asciiTheme="majorHAnsi" w:hAnsiTheme="majorHAnsi"/>
            <w:noProof/>
            <w:webHidden/>
            <w:sz w:val="20"/>
            <w:szCs w:val="20"/>
          </w:rPr>
          <w:fldChar w:fldCharType="separate"/>
        </w:r>
        <w:r>
          <w:rPr>
            <w:rFonts w:asciiTheme="majorHAnsi" w:hAnsiTheme="majorHAnsi"/>
            <w:noProof/>
            <w:webHidden/>
            <w:sz w:val="20"/>
            <w:szCs w:val="20"/>
          </w:rPr>
          <w:t>9</w:t>
        </w:r>
        <w:r w:rsidR="001829D6" w:rsidRPr="00261687">
          <w:rPr>
            <w:rFonts w:asciiTheme="majorHAnsi" w:hAnsiTheme="majorHAnsi"/>
            <w:noProof/>
            <w:webHidden/>
            <w:sz w:val="20"/>
            <w:szCs w:val="20"/>
          </w:rPr>
          <w:fldChar w:fldCharType="end"/>
        </w:r>
      </w:hyperlink>
    </w:p>
    <w:p w14:paraId="5906D395" w14:textId="5137B2D9" w:rsidR="001829D6" w:rsidRPr="00261687" w:rsidRDefault="006E3F74">
      <w:pPr>
        <w:pStyle w:val="TOC2"/>
        <w:rPr>
          <w:rFonts w:asciiTheme="majorHAnsi" w:eastAsiaTheme="minorEastAsia" w:hAnsiTheme="majorHAnsi" w:cstheme="minorBidi"/>
          <w:noProof/>
          <w:sz w:val="20"/>
          <w:szCs w:val="20"/>
          <w:bdr w:val="none" w:sz="0" w:space="0" w:color="auto"/>
        </w:rPr>
      </w:pPr>
      <w:hyperlink w:anchor="_Toc26550924" w:history="1">
        <w:r w:rsidR="001829D6" w:rsidRPr="00261687">
          <w:rPr>
            <w:rStyle w:val="Hyperlink"/>
            <w:rFonts w:asciiTheme="majorHAnsi" w:hAnsiTheme="majorHAnsi"/>
            <w:noProof/>
            <w:sz w:val="20"/>
            <w:szCs w:val="20"/>
          </w:rPr>
          <w:t>D.</w:t>
        </w:r>
        <w:r w:rsidR="001829D6" w:rsidRPr="00261687">
          <w:rPr>
            <w:rFonts w:asciiTheme="majorHAnsi" w:eastAsiaTheme="minorEastAsia" w:hAnsiTheme="majorHAnsi" w:cstheme="minorBidi"/>
            <w:noProof/>
            <w:sz w:val="20"/>
            <w:szCs w:val="20"/>
            <w:bdr w:val="none" w:sz="0" w:space="0" w:color="auto"/>
          </w:rPr>
          <w:tab/>
        </w:r>
        <w:r w:rsidR="001829D6" w:rsidRPr="00261687">
          <w:rPr>
            <w:rStyle w:val="Hyperlink"/>
            <w:rFonts w:asciiTheme="majorHAnsi" w:hAnsiTheme="majorHAnsi"/>
            <w:noProof/>
            <w:sz w:val="20"/>
            <w:szCs w:val="20"/>
          </w:rPr>
          <w:t>Cases of Miller-El and Reed</w:t>
        </w:r>
        <w:r w:rsidR="001829D6" w:rsidRPr="00261687">
          <w:rPr>
            <w:rFonts w:asciiTheme="majorHAnsi" w:hAnsiTheme="majorHAnsi"/>
            <w:noProof/>
            <w:webHidden/>
            <w:sz w:val="20"/>
            <w:szCs w:val="20"/>
          </w:rPr>
          <w:tab/>
        </w:r>
        <w:r w:rsidR="001829D6" w:rsidRPr="00261687">
          <w:rPr>
            <w:rFonts w:asciiTheme="majorHAnsi" w:hAnsiTheme="majorHAnsi"/>
            <w:noProof/>
            <w:webHidden/>
            <w:sz w:val="20"/>
            <w:szCs w:val="20"/>
          </w:rPr>
          <w:fldChar w:fldCharType="begin"/>
        </w:r>
        <w:r w:rsidR="001829D6" w:rsidRPr="00261687">
          <w:rPr>
            <w:rFonts w:asciiTheme="majorHAnsi" w:hAnsiTheme="majorHAnsi"/>
            <w:noProof/>
            <w:webHidden/>
            <w:sz w:val="20"/>
            <w:szCs w:val="20"/>
          </w:rPr>
          <w:instrText xml:space="preserve"> PAGEREF _Toc26550924 \h </w:instrText>
        </w:r>
        <w:r w:rsidR="001829D6" w:rsidRPr="00261687">
          <w:rPr>
            <w:rFonts w:asciiTheme="majorHAnsi" w:hAnsiTheme="majorHAnsi"/>
            <w:noProof/>
            <w:webHidden/>
            <w:sz w:val="20"/>
            <w:szCs w:val="20"/>
          </w:rPr>
        </w:r>
        <w:r w:rsidR="001829D6" w:rsidRPr="00261687">
          <w:rPr>
            <w:rFonts w:asciiTheme="majorHAnsi" w:hAnsiTheme="majorHAnsi"/>
            <w:noProof/>
            <w:webHidden/>
            <w:sz w:val="20"/>
            <w:szCs w:val="20"/>
          </w:rPr>
          <w:fldChar w:fldCharType="separate"/>
        </w:r>
        <w:r>
          <w:rPr>
            <w:rFonts w:asciiTheme="majorHAnsi" w:hAnsiTheme="majorHAnsi"/>
            <w:noProof/>
            <w:webHidden/>
            <w:sz w:val="20"/>
            <w:szCs w:val="20"/>
          </w:rPr>
          <w:t>11</w:t>
        </w:r>
        <w:r w:rsidR="001829D6" w:rsidRPr="00261687">
          <w:rPr>
            <w:rFonts w:asciiTheme="majorHAnsi" w:hAnsiTheme="majorHAnsi"/>
            <w:noProof/>
            <w:webHidden/>
            <w:sz w:val="20"/>
            <w:szCs w:val="20"/>
          </w:rPr>
          <w:fldChar w:fldCharType="end"/>
        </w:r>
      </w:hyperlink>
    </w:p>
    <w:p w14:paraId="75EFE2E7" w14:textId="692A6F9A" w:rsidR="001829D6" w:rsidRPr="00261687" w:rsidRDefault="006E3F74">
      <w:pPr>
        <w:pStyle w:val="TOC2"/>
        <w:rPr>
          <w:rFonts w:asciiTheme="majorHAnsi" w:eastAsiaTheme="minorEastAsia" w:hAnsiTheme="majorHAnsi" w:cstheme="minorBidi"/>
          <w:noProof/>
          <w:sz w:val="20"/>
          <w:szCs w:val="20"/>
          <w:bdr w:val="none" w:sz="0" w:space="0" w:color="auto"/>
        </w:rPr>
      </w:pPr>
      <w:hyperlink w:anchor="_Toc26550925" w:history="1">
        <w:r w:rsidR="001829D6" w:rsidRPr="00261687">
          <w:rPr>
            <w:rStyle w:val="Hyperlink"/>
            <w:rFonts w:asciiTheme="majorHAnsi" w:hAnsiTheme="majorHAnsi"/>
            <w:noProof/>
            <w:sz w:val="20"/>
            <w:szCs w:val="20"/>
          </w:rPr>
          <w:t>E.</w:t>
        </w:r>
        <w:r w:rsidR="001829D6" w:rsidRPr="00261687">
          <w:rPr>
            <w:rFonts w:asciiTheme="majorHAnsi" w:eastAsiaTheme="minorEastAsia" w:hAnsiTheme="majorHAnsi" w:cstheme="minorBidi"/>
            <w:noProof/>
            <w:sz w:val="20"/>
            <w:szCs w:val="20"/>
            <w:bdr w:val="none" w:sz="0" w:space="0" w:color="auto"/>
          </w:rPr>
          <w:tab/>
        </w:r>
        <w:r w:rsidR="001829D6" w:rsidRPr="00261687">
          <w:rPr>
            <w:rStyle w:val="Hyperlink"/>
            <w:rFonts w:asciiTheme="majorHAnsi" w:hAnsiTheme="majorHAnsi"/>
            <w:noProof/>
            <w:sz w:val="20"/>
            <w:szCs w:val="20"/>
          </w:rPr>
          <w:t>Legal proceedings regarding the lethal injection protocol</w:t>
        </w:r>
        <w:r w:rsidR="001829D6" w:rsidRPr="00261687">
          <w:rPr>
            <w:rFonts w:asciiTheme="majorHAnsi" w:hAnsiTheme="majorHAnsi"/>
            <w:noProof/>
            <w:webHidden/>
            <w:sz w:val="20"/>
            <w:szCs w:val="20"/>
          </w:rPr>
          <w:tab/>
        </w:r>
        <w:r w:rsidR="001829D6" w:rsidRPr="00261687">
          <w:rPr>
            <w:rFonts w:asciiTheme="majorHAnsi" w:hAnsiTheme="majorHAnsi"/>
            <w:noProof/>
            <w:webHidden/>
            <w:sz w:val="20"/>
            <w:szCs w:val="20"/>
          </w:rPr>
          <w:fldChar w:fldCharType="begin"/>
        </w:r>
        <w:r w:rsidR="001829D6" w:rsidRPr="00261687">
          <w:rPr>
            <w:rFonts w:asciiTheme="majorHAnsi" w:hAnsiTheme="majorHAnsi"/>
            <w:noProof/>
            <w:webHidden/>
            <w:sz w:val="20"/>
            <w:szCs w:val="20"/>
          </w:rPr>
          <w:instrText xml:space="preserve"> PAGEREF _Toc26550925 \h </w:instrText>
        </w:r>
        <w:r w:rsidR="001829D6" w:rsidRPr="00261687">
          <w:rPr>
            <w:rFonts w:asciiTheme="majorHAnsi" w:hAnsiTheme="majorHAnsi"/>
            <w:noProof/>
            <w:webHidden/>
            <w:sz w:val="20"/>
            <w:szCs w:val="20"/>
          </w:rPr>
        </w:r>
        <w:r w:rsidR="001829D6" w:rsidRPr="00261687">
          <w:rPr>
            <w:rFonts w:asciiTheme="majorHAnsi" w:hAnsiTheme="majorHAnsi"/>
            <w:noProof/>
            <w:webHidden/>
            <w:sz w:val="20"/>
            <w:szCs w:val="20"/>
          </w:rPr>
          <w:fldChar w:fldCharType="separate"/>
        </w:r>
        <w:r>
          <w:rPr>
            <w:rFonts w:asciiTheme="majorHAnsi" w:hAnsiTheme="majorHAnsi"/>
            <w:noProof/>
            <w:webHidden/>
            <w:sz w:val="20"/>
            <w:szCs w:val="20"/>
          </w:rPr>
          <w:t>11</w:t>
        </w:r>
        <w:r w:rsidR="001829D6" w:rsidRPr="00261687">
          <w:rPr>
            <w:rFonts w:asciiTheme="majorHAnsi" w:hAnsiTheme="majorHAnsi"/>
            <w:noProof/>
            <w:webHidden/>
            <w:sz w:val="20"/>
            <w:szCs w:val="20"/>
          </w:rPr>
          <w:fldChar w:fldCharType="end"/>
        </w:r>
      </w:hyperlink>
    </w:p>
    <w:p w14:paraId="0EE0A7B7" w14:textId="0508E0EB" w:rsidR="001829D6" w:rsidRPr="00261687" w:rsidRDefault="006E3F74">
      <w:pPr>
        <w:pStyle w:val="TOC1"/>
        <w:rPr>
          <w:rFonts w:asciiTheme="majorHAnsi" w:eastAsiaTheme="minorEastAsia" w:hAnsiTheme="majorHAnsi" w:cstheme="minorBidi"/>
          <w:noProof/>
          <w:sz w:val="20"/>
          <w:szCs w:val="20"/>
          <w:bdr w:val="none" w:sz="0" w:space="0" w:color="auto"/>
        </w:rPr>
      </w:pPr>
      <w:hyperlink w:anchor="_Toc26550926" w:history="1">
        <w:r w:rsidR="001829D6" w:rsidRPr="00261687">
          <w:rPr>
            <w:rStyle w:val="Hyperlink"/>
            <w:rFonts w:asciiTheme="majorHAnsi" w:hAnsiTheme="majorHAnsi"/>
            <w:noProof/>
            <w:sz w:val="20"/>
            <w:szCs w:val="20"/>
            <w:lang w:val="es-ES_tradnl"/>
          </w:rPr>
          <w:t>IV.</w:t>
        </w:r>
        <w:r w:rsidR="001829D6" w:rsidRPr="00261687">
          <w:rPr>
            <w:rFonts w:asciiTheme="majorHAnsi" w:eastAsiaTheme="minorEastAsia" w:hAnsiTheme="majorHAnsi" w:cstheme="minorBidi"/>
            <w:noProof/>
            <w:sz w:val="20"/>
            <w:szCs w:val="20"/>
            <w:bdr w:val="none" w:sz="0" w:space="0" w:color="auto"/>
          </w:rPr>
          <w:tab/>
        </w:r>
        <w:r w:rsidR="001829D6" w:rsidRPr="00261687">
          <w:rPr>
            <w:rStyle w:val="Hyperlink"/>
            <w:rFonts w:asciiTheme="majorHAnsi" w:hAnsiTheme="majorHAnsi"/>
            <w:noProof/>
            <w:sz w:val="20"/>
            <w:szCs w:val="20"/>
            <w:lang w:val="es-ES_tradnl"/>
          </w:rPr>
          <w:t>ANALYSIS OF LAW</w:t>
        </w:r>
        <w:r w:rsidR="001829D6" w:rsidRPr="00261687">
          <w:rPr>
            <w:rFonts w:asciiTheme="majorHAnsi" w:hAnsiTheme="majorHAnsi"/>
            <w:noProof/>
            <w:webHidden/>
            <w:sz w:val="20"/>
            <w:szCs w:val="20"/>
          </w:rPr>
          <w:tab/>
        </w:r>
        <w:r w:rsidR="001829D6" w:rsidRPr="00261687">
          <w:rPr>
            <w:rFonts w:asciiTheme="majorHAnsi" w:hAnsiTheme="majorHAnsi"/>
            <w:noProof/>
            <w:webHidden/>
            <w:sz w:val="20"/>
            <w:szCs w:val="20"/>
          </w:rPr>
          <w:fldChar w:fldCharType="begin"/>
        </w:r>
        <w:r w:rsidR="001829D6" w:rsidRPr="00261687">
          <w:rPr>
            <w:rFonts w:asciiTheme="majorHAnsi" w:hAnsiTheme="majorHAnsi"/>
            <w:noProof/>
            <w:webHidden/>
            <w:sz w:val="20"/>
            <w:szCs w:val="20"/>
          </w:rPr>
          <w:instrText xml:space="preserve"> PAGEREF _Toc26550926 \h </w:instrText>
        </w:r>
        <w:r w:rsidR="001829D6" w:rsidRPr="00261687">
          <w:rPr>
            <w:rFonts w:asciiTheme="majorHAnsi" w:hAnsiTheme="majorHAnsi"/>
            <w:noProof/>
            <w:webHidden/>
            <w:sz w:val="20"/>
            <w:szCs w:val="20"/>
          </w:rPr>
        </w:r>
        <w:r w:rsidR="001829D6" w:rsidRPr="00261687">
          <w:rPr>
            <w:rFonts w:asciiTheme="majorHAnsi" w:hAnsiTheme="majorHAnsi"/>
            <w:noProof/>
            <w:webHidden/>
            <w:sz w:val="20"/>
            <w:szCs w:val="20"/>
          </w:rPr>
          <w:fldChar w:fldCharType="separate"/>
        </w:r>
        <w:r>
          <w:rPr>
            <w:rFonts w:asciiTheme="majorHAnsi" w:hAnsiTheme="majorHAnsi"/>
            <w:noProof/>
            <w:webHidden/>
            <w:sz w:val="20"/>
            <w:szCs w:val="20"/>
          </w:rPr>
          <w:t>11</w:t>
        </w:r>
        <w:r w:rsidR="001829D6" w:rsidRPr="00261687">
          <w:rPr>
            <w:rFonts w:asciiTheme="majorHAnsi" w:hAnsiTheme="majorHAnsi"/>
            <w:noProof/>
            <w:webHidden/>
            <w:sz w:val="20"/>
            <w:szCs w:val="20"/>
          </w:rPr>
          <w:fldChar w:fldCharType="end"/>
        </w:r>
      </w:hyperlink>
    </w:p>
    <w:p w14:paraId="5B8ECB41" w14:textId="38FCC044" w:rsidR="001829D6" w:rsidRPr="00261687" w:rsidRDefault="006E3F74">
      <w:pPr>
        <w:pStyle w:val="TOC2"/>
        <w:rPr>
          <w:rFonts w:asciiTheme="majorHAnsi" w:eastAsiaTheme="minorEastAsia" w:hAnsiTheme="majorHAnsi" w:cstheme="minorBidi"/>
          <w:noProof/>
          <w:sz w:val="20"/>
          <w:szCs w:val="20"/>
          <w:bdr w:val="none" w:sz="0" w:space="0" w:color="auto"/>
        </w:rPr>
      </w:pPr>
      <w:hyperlink w:anchor="_Toc26550927" w:history="1">
        <w:r w:rsidR="001829D6" w:rsidRPr="00261687">
          <w:rPr>
            <w:rStyle w:val="Hyperlink"/>
            <w:rFonts w:asciiTheme="majorHAnsi" w:hAnsiTheme="majorHAnsi"/>
            <w:noProof/>
            <w:sz w:val="20"/>
            <w:szCs w:val="20"/>
          </w:rPr>
          <w:t>A.</w:t>
        </w:r>
        <w:r w:rsidR="001829D6" w:rsidRPr="00261687">
          <w:rPr>
            <w:rFonts w:asciiTheme="majorHAnsi" w:eastAsiaTheme="minorEastAsia" w:hAnsiTheme="majorHAnsi" w:cstheme="minorBidi"/>
            <w:noProof/>
            <w:sz w:val="20"/>
            <w:szCs w:val="20"/>
            <w:bdr w:val="none" w:sz="0" w:space="0" w:color="auto"/>
          </w:rPr>
          <w:tab/>
        </w:r>
        <w:r w:rsidR="001829D6" w:rsidRPr="00261687">
          <w:rPr>
            <w:rStyle w:val="Hyperlink"/>
            <w:rFonts w:asciiTheme="majorHAnsi" w:hAnsiTheme="majorHAnsi"/>
            <w:noProof/>
            <w:sz w:val="20"/>
            <w:szCs w:val="20"/>
          </w:rPr>
          <w:t>Preliminary considerations</w:t>
        </w:r>
        <w:r w:rsidR="001829D6" w:rsidRPr="00261687">
          <w:rPr>
            <w:rFonts w:asciiTheme="majorHAnsi" w:hAnsiTheme="majorHAnsi"/>
            <w:noProof/>
            <w:webHidden/>
            <w:sz w:val="20"/>
            <w:szCs w:val="20"/>
          </w:rPr>
          <w:tab/>
        </w:r>
        <w:r w:rsidR="001829D6" w:rsidRPr="00261687">
          <w:rPr>
            <w:rFonts w:asciiTheme="majorHAnsi" w:hAnsiTheme="majorHAnsi"/>
            <w:noProof/>
            <w:webHidden/>
            <w:sz w:val="20"/>
            <w:szCs w:val="20"/>
          </w:rPr>
          <w:fldChar w:fldCharType="begin"/>
        </w:r>
        <w:r w:rsidR="001829D6" w:rsidRPr="00261687">
          <w:rPr>
            <w:rFonts w:asciiTheme="majorHAnsi" w:hAnsiTheme="majorHAnsi"/>
            <w:noProof/>
            <w:webHidden/>
            <w:sz w:val="20"/>
            <w:szCs w:val="20"/>
          </w:rPr>
          <w:instrText xml:space="preserve"> PAGEREF _Toc26550927 \h </w:instrText>
        </w:r>
        <w:r w:rsidR="001829D6" w:rsidRPr="00261687">
          <w:rPr>
            <w:rFonts w:asciiTheme="majorHAnsi" w:hAnsiTheme="majorHAnsi"/>
            <w:noProof/>
            <w:webHidden/>
            <w:sz w:val="20"/>
            <w:szCs w:val="20"/>
          </w:rPr>
        </w:r>
        <w:r w:rsidR="001829D6" w:rsidRPr="00261687">
          <w:rPr>
            <w:rFonts w:asciiTheme="majorHAnsi" w:hAnsiTheme="majorHAnsi"/>
            <w:noProof/>
            <w:webHidden/>
            <w:sz w:val="20"/>
            <w:szCs w:val="20"/>
          </w:rPr>
          <w:fldChar w:fldCharType="separate"/>
        </w:r>
        <w:r>
          <w:rPr>
            <w:rFonts w:asciiTheme="majorHAnsi" w:hAnsiTheme="majorHAnsi"/>
            <w:noProof/>
            <w:webHidden/>
            <w:sz w:val="20"/>
            <w:szCs w:val="20"/>
          </w:rPr>
          <w:t>11</w:t>
        </w:r>
        <w:r w:rsidR="001829D6" w:rsidRPr="00261687">
          <w:rPr>
            <w:rFonts w:asciiTheme="majorHAnsi" w:hAnsiTheme="majorHAnsi"/>
            <w:noProof/>
            <w:webHidden/>
            <w:sz w:val="20"/>
            <w:szCs w:val="20"/>
          </w:rPr>
          <w:fldChar w:fldCharType="end"/>
        </w:r>
      </w:hyperlink>
    </w:p>
    <w:p w14:paraId="10186A29" w14:textId="72ED6DAB" w:rsidR="001829D6" w:rsidRPr="00261687" w:rsidRDefault="006E3F74">
      <w:pPr>
        <w:pStyle w:val="TOC2"/>
        <w:rPr>
          <w:rFonts w:asciiTheme="majorHAnsi" w:eastAsiaTheme="minorEastAsia" w:hAnsiTheme="majorHAnsi" w:cstheme="minorBidi"/>
          <w:noProof/>
          <w:sz w:val="20"/>
          <w:szCs w:val="20"/>
          <w:bdr w:val="none" w:sz="0" w:space="0" w:color="auto"/>
        </w:rPr>
      </w:pPr>
      <w:hyperlink w:anchor="_Toc26550928" w:history="1">
        <w:r w:rsidR="001829D6" w:rsidRPr="00261687">
          <w:rPr>
            <w:rStyle w:val="Hyperlink"/>
            <w:rFonts w:asciiTheme="majorHAnsi" w:hAnsiTheme="majorHAnsi"/>
            <w:noProof/>
            <w:sz w:val="20"/>
            <w:szCs w:val="20"/>
          </w:rPr>
          <w:t>A.</w:t>
        </w:r>
        <w:r w:rsidR="001829D6" w:rsidRPr="00261687">
          <w:rPr>
            <w:rFonts w:asciiTheme="majorHAnsi" w:eastAsiaTheme="minorEastAsia" w:hAnsiTheme="majorHAnsi" w:cstheme="minorBidi"/>
            <w:noProof/>
            <w:sz w:val="20"/>
            <w:szCs w:val="20"/>
            <w:bdr w:val="none" w:sz="0" w:space="0" w:color="auto"/>
          </w:rPr>
          <w:tab/>
        </w:r>
        <w:r w:rsidR="001829D6" w:rsidRPr="00261687">
          <w:rPr>
            <w:rStyle w:val="Hyperlink"/>
            <w:rFonts w:asciiTheme="majorHAnsi" w:eastAsia="Times New Roman" w:hAnsiTheme="majorHAnsi"/>
            <w:noProof/>
            <w:sz w:val="20"/>
            <w:szCs w:val="20"/>
          </w:rPr>
          <w:t>Right to equality before the law</w:t>
        </w:r>
        <w:r w:rsidR="001829D6" w:rsidRPr="00261687">
          <w:rPr>
            <w:rStyle w:val="Hyperlink"/>
            <w:rFonts w:asciiTheme="majorHAnsi" w:hAnsiTheme="majorHAnsi"/>
            <w:noProof/>
            <w:sz w:val="20"/>
            <w:szCs w:val="20"/>
          </w:rPr>
          <w:t xml:space="preserve"> and access to effective remedy</w:t>
        </w:r>
        <w:r w:rsidR="001829D6" w:rsidRPr="00261687">
          <w:rPr>
            <w:rFonts w:asciiTheme="majorHAnsi" w:hAnsiTheme="majorHAnsi"/>
            <w:noProof/>
            <w:webHidden/>
            <w:sz w:val="20"/>
            <w:szCs w:val="20"/>
          </w:rPr>
          <w:tab/>
        </w:r>
        <w:r w:rsidR="001829D6" w:rsidRPr="00261687">
          <w:rPr>
            <w:rFonts w:asciiTheme="majorHAnsi" w:hAnsiTheme="majorHAnsi"/>
            <w:noProof/>
            <w:webHidden/>
            <w:sz w:val="20"/>
            <w:szCs w:val="20"/>
          </w:rPr>
          <w:fldChar w:fldCharType="begin"/>
        </w:r>
        <w:r w:rsidR="001829D6" w:rsidRPr="00261687">
          <w:rPr>
            <w:rFonts w:asciiTheme="majorHAnsi" w:hAnsiTheme="majorHAnsi"/>
            <w:noProof/>
            <w:webHidden/>
            <w:sz w:val="20"/>
            <w:szCs w:val="20"/>
          </w:rPr>
          <w:instrText xml:space="preserve"> PAGEREF _Toc26550928 \h </w:instrText>
        </w:r>
        <w:r w:rsidR="001829D6" w:rsidRPr="00261687">
          <w:rPr>
            <w:rFonts w:asciiTheme="majorHAnsi" w:hAnsiTheme="majorHAnsi"/>
            <w:noProof/>
            <w:webHidden/>
            <w:sz w:val="20"/>
            <w:szCs w:val="20"/>
          </w:rPr>
        </w:r>
        <w:r w:rsidR="001829D6" w:rsidRPr="00261687">
          <w:rPr>
            <w:rFonts w:asciiTheme="majorHAnsi" w:hAnsiTheme="majorHAnsi"/>
            <w:noProof/>
            <w:webHidden/>
            <w:sz w:val="20"/>
            <w:szCs w:val="20"/>
          </w:rPr>
          <w:fldChar w:fldCharType="separate"/>
        </w:r>
        <w:r>
          <w:rPr>
            <w:rFonts w:asciiTheme="majorHAnsi" w:hAnsiTheme="majorHAnsi"/>
            <w:noProof/>
            <w:webHidden/>
            <w:sz w:val="20"/>
            <w:szCs w:val="20"/>
          </w:rPr>
          <w:t>12</w:t>
        </w:r>
        <w:r w:rsidR="001829D6" w:rsidRPr="00261687">
          <w:rPr>
            <w:rFonts w:asciiTheme="majorHAnsi" w:hAnsiTheme="majorHAnsi"/>
            <w:noProof/>
            <w:webHidden/>
            <w:sz w:val="20"/>
            <w:szCs w:val="20"/>
          </w:rPr>
          <w:fldChar w:fldCharType="end"/>
        </w:r>
      </w:hyperlink>
    </w:p>
    <w:p w14:paraId="13AD6FCE" w14:textId="0D93ED97" w:rsidR="001829D6" w:rsidRPr="00261687" w:rsidRDefault="006E3F74">
      <w:pPr>
        <w:pStyle w:val="TOC3"/>
        <w:rPr>
          <w:rFonts w:asciiTheme="majorHAnsi" w:eastAsiaTheme="minorEastAsia" w:hAnsiTheme="majorHAnsi" w:cstheme="minorBidi"/>
          <w:noProof/>
          <w:sz w:val="20"/>
          <w:szCs w:val="20"/>
          <w:bdr w:val="none" w:sz="0" w:space="0" w:color="auto"/>
        </w:rPr>
      </w:pPr>
      <w:hyperlink w:anchor="_Toc26550929" w:history="1">
        <w:r w:rsidR="001829D6" w:rsidRPr="00261687">
          <w:rPr>
            <w:rStyle w:val="Hyperlink"/>
            <w:rFonts w:asciiTheme="majorHAnsi" w:hAnsiTheme="majorHAnsi"/>
            <w:noProof/>
            <w:sz w:val="20"/>
            <w:szCs w:val="20"/>
          </w:rPr>
          <w:t>1.</w:t>
        </w:r>
        <w:r w:rsidR="001829D6" w:rsidRPr="00261687">
          <w:rPr>
            <w:rFonts w:asciiTheme="majorHAnsi" w:eastAsiaTheme="minorEastAsia" w:hAnsiTheme="majorHAnsi" w:cstheme="minorBidi"/>
            <w:noProof/>
            <w:sz w:val="20"/>
            <w:szCs w:val="20"/>
            <w:bdr w:val="none" w:sz="0" w:space="0" w:color="auto"/>
          </w:rPr>
          <w:tab/>
        </w:r>
        <w:r w:rsidR="001829D6" w:rsidRPr="00261687">
          <w:rPr>
            <w:rStyle w:val="Hyperlink"/>
            <w:rFonts w:asciiTheme="majorHAnsi" w:hAnsiTheme="majorHAnsi"/>
            <w:noProof/>
            <w:sz w:val="20"/>
            <w:szCs w:val="20"/>
          </w:rPr>
          <w:t>General considerations regarding equality before the law</w:t>
        </w:r>
        <w:r w:rsidR="001829D6" w:rsidRPr="00261687">
          <w:rPr>
            <w:rFonts w:asciiTheme="majorHAnsi" w:hAnsiTheme="majorHAnsi"/>
            <w:noProof/>
            <w:webHidden/>
            <w:sz w:val="20"/>
            <w:szCs w:val="20"/>
          </w:rPr>
          <w:tab/>
        </w:r>
        <w:r w:rsidR="001829D6" w:rsidRPr="00261687">
          <w:rPr>
            <w:rFonts w:asciiTheme="majorHAnsi" w:hAnsiTheme="majorHAnsi"/>
            <w:noProof/>
            <w:webHidden/>
            <w:sz w:val="20"/>
            <w:szCs w:val="20"/>
          </w:rPr>
          <w:fldChar w:fldCharType="begin"/>
        </w:r>
        <w:r w:rsidR="001829D6" w:rsidRPr="00261687">
          <w:rPr>
            <w:rFonts w:asciiTheme="majorHAnsi" w:hAnsiTheme="majorHAnsi"/>
            <w:noProof/>
            <w:webHidden/>
            <w:sz w:val="20"/>
            <w:szCs w:val="20"/>
          </w:rPr>
          <w:instrText xml:space="preserve"> PAGEREF _Toc26550929 \h </w:instrText>
        </w:r>
        <w:r w:rsidR="001829D6" w:rsidRPr="00261687">
          <w:rPr>
            <w:rFonts w:asciiTheme="majorHAnsi" w:hAnsiTheme="majorHAnsi"/>
            <w:noProof/>
            <w:webHidden/>
            <w:sz w:val="20"/>
            <w:szCs w:val="20"/>
          </w:rPr>
        </w:r>
        <w:r w:rsidR="001829D6" w:rsidRPr="00261687">
          <w:rPr>
            <w:rFonts w:asciiTheme="majorHAnsi" w:hAnsiTheme="majorHAnsi"/>
            <w:noProof/>
            <w:webHidden/>
            <w:sz w:val="20"/>
            <w:szCs w:val="20"/>
          </w:rPr>
          <w:fldChar w:fldCharType="separate"/>
        </w:r>
        <w:r>
          <w:rPr>
            <w:rFonts w:asciiTheme="majorHAnsi" w:hAnsiTheme="majorHAnsi"/>
            <w:noProof/>
            <w:webHidden/>
            <w:sz w:val="20"/>
            <w:szCs w:val="20"/>
          </w:rPr>
          <w:t>12</w:t>
        </w:r>
        <w:r w:rsidR="001829D6" w:rsidRPr="00261687">
          <w:rPr>
            <w:rFonts w:asciiTheme="majorHAnsi" w:hAnsiTheme="majorHAnsi"/>
            <w:noProof/>
            <w:webHidden/>
            <w:sz w:val="20"/>
            <w:szCs w:val="20"/>
          </w:rPr>
          <w:fldChar w:fldCharType="end"/>
        </w:r>
      </w:hyperlink>
    </w:p>
    <w:p w14:paraId="7FA6DB31" w14:textId="6A062AB5" w:rsidR="001829D6" w:rsidRPr="00261687" w:rsidRDefault="006E3F74">
      <w:pPr>
        <w:pStyle w:val="TOC3"/>
        <w:rPr>
          <w:rFonts w:asciiTheme="majorHAnsi" w:eastAsiaTheme="minorEastAsia" w:hAnsiTheme="majorHAnsi" w:cstheme="minorBidi"/>
          <w:noProof/>
          <w:sz w:val="20"/>
          <w:szCs w:val="20"/>
          <w:bdr w:val="none" w:sz="0" w:space="0" w:color="auto"/>
        </w:rPr>
      </w:pPr>
      <w:hyperlink w:anchor="_Toc26550930" w:history="1">
        <w:r w:rsidR="001829D6" w:rsidRPr="00261687">
          <w:rPr>
            <w:rStyle w:val="Hyperlink"/>
            <w:rFonts w:asciiTheme="majorHAnsi" w:hAnsiTheme="majorHAnsi"/>
            <w:noProof/>
            <w:sz w:val="20"/>
            <w:szCs w:val="20"/>
          </w:rPr>
          <w:t>2.</w:t>
        </w:r>
        <w:r w:rsidR="001829D6" w:rsidRPr="00261687">
          <w:rPr>
            <w:rFonts w:asciiTheme="majorHAnsi" w:eastAsiaTheme="minorEastAsia" w:hAnsiTheme="majorHAnsi" w:cstheme="minorBidi"/>
            <w:noProof/>
            <w:sz w:val="20"/>
            <w:szCs w:val="20"/>
            <w:bdr w:val="none" w:sz="0" w:space="0" w:color="auto"/>
          </w:rPr>
          <w:tab/>
        </w:r>
        <w:r w:rsidR="001829D6" w:rsidRPr="00261687">
          <w:rPr>
            <w:rStyle w:val="Hyperlink"/>
            <w:rFonts w:asciiTheme="majorHAnsi" w:hAnsiTheme="majorHAnsi"/>
            <w:noProof/>
            <w:sz w:val="20"/>
            <w:szCs w:val="20"/>
          </w:rPr>
          <w:t>Race and equality before the law in the United States’ criminal justice system</w:t>
        </w:r>
        <w:r w:rsidR="001829D6" w:rsidRPr="00261687">
          <w:rPr>
            <w:rFonts w:asciiTheme="majorHAnsi" w:hAnsiTheme="majorHAnsi"/>
            <w:noProof/>
            <w:webHidden/>
            <w:sz w:val="20"/>
            <w:szCs w:val="20"/>
          </w:rPr>
          <w:tab/>
        </w:r>
        <w:r w:rsidR="001829D6" w:rsidRPr="00261687">
          <w:rPr>
            <w:rFonts w:asciiTheme="majorHAnsi" w:hAnsiTheme="majorHAnsi"/>
            <w:noProof/>
            <w:webHidden/>
            <w:sz w:val="20"/>
            <w:szCs w:val="20"/>
          </w:rPr>
          <w:fldChar w:fldCharType="begin"/>
        </w:r>
        <w:r w:rsidR="001829D6" w:rsidRPr="00261687">
          <w:rPr>
            <w:rFonts w:asciiTheme="majorHAnsi" w:hAnsiTheme="majorHAnsi"/>
            <w:noProof/>
            <w:webHidden/>
            <w:sz w:val="20"/>
            <w:szCs w:val="20"/>
          </w:rPr>
          <w:instrText xml:space="preserve"> PAGEREF _Toc26550930 \h </w:instrText>
        </w:r>
        <w:r w:rsidR="001829D6" w:rsidRPr="00261687">
          <w:rPr>
            <w:rFonts w:asciiTheme="majorHAnsi" w:hAnsiTheme="majorHAnsi"/>
            <w:noProof/>
            <w:webHidden/>
            <w:sz w:val="20"/>
            <w:szCs w:val="20"/>
          </w:rPr>
        </w:r>
        <w:r w:rsidR="001829D6" w:rsidRPr="00261687">
          <w:rPr>
            <w:rFonts w:asciiTheme="majorHAnsi" w:hAnsiTheme="majorHAnsi"/>
            <w:noProof/>
            <w:webHidden/>
            <w:sz w:val="20"/>
            <w:szCs w:val="20"/>
          </w:rPr>
          <w:fldChar w:fldCharType="separate"/>
        </w:r>
        <w:r>
          <w:rPr>
            <w:rFonts w:asciiTheme="majorHAnsi" w:hAnsiTheme="majorHAnsi"/>
            <w:noProof/>
            <w:webHidden/>
            <w:sz w:val="20"/>
            <w:szCs w:val="20"/>
          </w:rPr>
          <w:t>13</w:t>
        </w:r>
        <w:r w:rsidR="001829D6" w:rsidRPr="00261687">
          <w:rPr>
            <w:rFonts w:asciiTheme="majorHAnsi" w:hAnsiTheme="majorHAnsi"/>
            <w:noProof/>
            <w:webHidden/>
            <w:sz w:val="20"/>
            <w:szCs w:val="20"/>
          </w:rPr>
          <w:fldChar w:fldCharType="end"/>
        </w:r>
      </w:hyperlink>
    </w:p>
    <w:p w14:paraId="3F33F132" w14:textId="0F6B835A" w:rsidR="001829D6" w:rsidRPr="00261687" w:rsidRDefault="006E3F74">
      <w:pPr>
        <w:pStyle w:val="TOC3"/>
        <w:rPr>
          <w:rFonts w:asciiTheme="majorHAnsi" w:eastAsiaTheme="minorEastAsia" w:hAnsiTheme="majorHAnsi" w:cstheme="minorBidi"/>
          <w:noProof/>
          <w:sz w:val="20"/>
          <w:szCs w:val="20"/>
          <w:bdr w:val="none" w:sz="0" w:space="0" w:color="auto"/>
        </w:rPr>
      </w:pPr>
      <w:hyperlink w:anchor="_Toc26550931" w:history="1">
        <w:r w:rsidR="001829D6" w:rsidRPr="00261687">
          <w:rPr>
            <w:rStyle w:val="Hyperlink"/>
            <w:rFonts w:asciiTheme="majorHAnsi" w:hAnsiTheme="majorHAnsi"/>
            <w:noProof/>
            <w:sz w:val="20"/>
            <w:szCs w:val="20"/>
            <w:lang w:val="es-ES"/>
          </w:rPr>
          <w:t>3.</w:t>
        </w:r>
        <w:r w:rsidR="001829D6" w:rsidRPr="00261687">
          <w:rPr>
            <w:rFonts w:asciiTheme="majorHAnsi" w:eastAsiaTheme="minorEastAsia" w:hAnsiTheme="majorHAnsi" w:cstheme="minorBidi"/>
            <w:noProof/>
            <w:sz w:val="20"/>
            <w:szCs w:val="20"/>
            <w:bdr w:val="none" w:sz="0" w:space="0" w:color="auto"/>
          </w:rPr>
          <w:tab/>
        </w:r>
        <w:r w:rsidR="001829D6" w:rsidRPr="00261687">
          <w:rPr>
            <w:rStyle w:val="Hyperlink"/>
            <w:rFonts w:asciiTheme="majorHAnsi" w:hAnsiTheme="majorHAnsi"/>
            <w:noProof/>
            <w:sz w:val="20"/>
            <w:szCs w:val="20"/>
            <w:lang w:val="es-ES"/>
          </w:rPr>
          <w:t>Analysis of the case</w:t>
        </w:r>
        <w:r w:rsidR="001829D6" w:rsidRPr="00261687">
          <w:rPr>
            <w:rFonts w:asciiTheme="majorHAnsi" w:hAnsiTheme="majorHAnsi"/>
            <w:noProof/>
            <w:webHidden/>
            <w:sz w:val="20"/>
            <w:szCs w:val="20"/>
          </w:rPr>
          <w:tab/>
        </w:r>
        <w:r w:rsidR="001829D6" w:rsidRPr="00261687">
          <w:rPr>
            <w:rFonts w:asciiTheme="majorHAnsi" w:hAnsiTheme="majorHAnsi"/>
            <w:noProof/>
            <w:webHidden/>
            <w:sz w:val="20"/>
            <w:szCs w:val="20"/>
          </w:rPr>
          <w:fldChar w:fldCharType="begin"/>
        </w:r>
        <w:r w:rsidR="001829D6" w:rsidRPr="00261687">
          <w:rPr>
            <w:rFonts w:asciiTheme="majorHAnsi" w:hAnsiTheme="majorHAnsi"/>
            <w:noProof/>
            <w:webHidden/>
            <w:sz w:val="20"/>
            <w:szCs w:val="20"/>
          </w:rPr>
          <w:instrText xml:space="preserve"> PAGEREF _Toc26550931 \h </w:instrText>
        </w:r>
        <w:r w:rsidR="001829D6" w:rsidRPr="00261687">
          <w:rPr>
            <w:rFonts w:asciiTheme="majorHAnsi" w:hAnsiTheme="majorHAnsi"/>
            <w:noProof/>
            <w:webHidden/>
            <w:sz w:val="20"/>
            <w:szCs w:val="20"/>
          </w:rPr>
        </w:r>
        <w:r w:rsidR="001829D6" w:rsidRPr="00261687">
          <w:rPr>
            <w:rFonts w:asciiTheme="majorHAnsi" w:hAnsiTheme="majorHAnsi"/>
            <w:noProof/>
            <w:webHidden/>
            <w:sz w:val="20"/>
            <w:szCs w:val="20"/>
          </w:rPr>
          <w:fldChar w:fldCharType="separate"/>
        </w:r>
        <w:r>
          <w:rPr>
            <w:rFonts w:asciiTheme="majorHAnsi" w:hAnsiTheme="majorHAnsi"/>
            <w:noProof/>
            <w:webHidden/>
            <w:sz w:val="20"/>
            <w:szCs w:val="20"/>
          </w:rPr>
          <w:t>14</w:t>
        </w:r>
        <w:r w:rsidR="001829D6" w:rsidRPr="00261687">
          <w:rPr>
            <w:rFonts w:asciiTheme="majorHAnsi" w:hAnsiTheme="majorHAnsi"/>
            <w:noProof/>
            <w:webHidden/>
            <w:sz w:val="20"/>
            <w:szCs w:val="20"/>
          </w:rPr>
          <w:fldChar w:fldCharType="end"/>
        </w:r>
      </w:hyperlink>
    </w:p>
    <w:p w14:paraId="46B8D186" w14:textId="0F28310A" w:rsidR="001829D6" w:rsidRPr="00261687" w:rsidRDefault="006E3F74">
      <w:pPr>
        <w:pStyle w:val="TOC2"/>
        <w:rPr>
          <w:rFonts w:asciiTheme="majorHAnsi" w:eastAsiaTheme="minorEastAsia" w:hAnsiTheme="majorHAnsi" w:cstheme="minorBidi"/>
          <w:noProof/>
          <w:sz w:val="20"/>
          <w:szCs w:val="20"/>
          <w:bdr w:val="none" w:sz="0" w:space="0" w:color="auto"/>
        </w:rPr>
      </w:pPr>
      <w:hyperlink w:anchor="_Toc26550932" w:history="1">
        <w:r w:rsidR="001829D6" w:rsidRPr="00261687">
          <w:rPr>
            <w:rStyle w:val="Hyperlink"/>
            <w:rFonts w:asciiTheme="majorHAnsi" w:hAnsiTheme="majorHAnsi"/>
            <w:noProof/>
            <w:sz w:val="20"/>
            <w:szCs w:val="20"/>
          </w:rPr>
          <w:t>B.</w:t>
        </w:r>
        <w:r w:rsidR="001829D6" w:rsidRPr="00261687">
          <w:rPr>
            <w:rFonts w:asciiTheme="majorHAnsi" w:eastAsiaTheme="minorEastAsia" w:hAnsiTheme="majorHAnsi" w:cstheme="minorBidi"/>
            <w:noProof/>
            <w:sz w:val="20"/>
            <w:szCs w:val="20"/>
            <w:bdr w:val="none" w:sz="0" w:space="0" w:color="auto"/>
          </w:rPr>
          <w:tab/>
        </w:r>
        <w:r w:rsidR="001829D6" w:rsidRPr="00261687">
          <w:rPr>
            <w:rStyle w:val="Hyperlink"/>
            <w:rFonts w:asciiTheme="majorHAnsi" w:hAnsiTheme="majorHAnsi"/>
            <w:noProof/>
            <w:sz w:val="20"/>
            <w:szCs w:val="20"/>
          </w:rPr>
          <w:t>Right to a fair trial and right to due process of law</w:t>
        </w:r>
        <w:r w:rsidR="001829D6" w:rsidRPr="00261687">
          <w:rPr>
            <w:rFonts w:asciiTheme="majorHAnsi" w:hAnsiTheme="majorHAnsi"/>
            <w:noProof/>
            <w:webHidden/>
            <w:sz w:val="20"/>
            <w:szCs w:val="20"/>
          </w:rPr>
          <w:tab/>
        </w:r>
        <w:r w:rsidR="001829D6" w:rsidRPr="00261687">
          <w:rPr>
            <w:rFonts w:asciiTheme="majorHAnsi" w:hAnsiTheme="majorHAnsi"/>
            <w:noProof/>
            <w:webHidden/>
            <w:sz w:val="20"/>
            <w:szCs w:val="20"/>
          </w:rPr>
          <w:fldChar w:fldCharType="begin"/>
        </w:r>
        <w:r w:rsidR="001829D6" w:rsidRPr="00261687">
          <w:rPr>
            <w:rFonts w:asciiTheme="majorHAnsi" w:hAnsiTheme="majorHAnsi"/>
            <w:noProof/>
            <w:webHidden/>
            <w:sz w:val="20"/>
            <w:szCs w:val="20"/>
          </w:rPr>
          <w:instrText xml:space="preserve"> PAGEREF _Toc26550932 \h </w:instrText>
        </w:r>
        <w:r w:rsidR="001829D6" w:rsidRPr="00261687">
          <w:rPr>
            <w:rFonts w:asciiTheme="majorHAnsi" w:hAnsiTheme="majorHAnsi"/>
            <w:noProof/>
            <w:webHidden/>
            <w:sz w:val="20"/>
            <w:szCs w:val="20"/>
          </w:rPr>
        </w:r>
        <w:r w:rsidR="001829D6" w:rsidRPr="00261687">
          <w:rPr>
            <w:rFonts w:asciiTheme="majorHAnsi" w:hAnsiTheme="majorHAnsi"/>
            <w:noProof/>
            <w:webHidden/>
            <w:sz w:val="20"/>
            <w:szCs w:val="20"/>
          </w:rPr>
          <w:fldChar w:fldCharType="separate"/>
        </w:r>
        <w:r>
          <w:rPr>
            <w:rFonts w:asciiTheme="majorHAnsi" w:hAnsiTheme="majorHAnsi"/>
            <w:noProof/>
            <w:webHidden/>
            <w:sz w:val="20"/>
            <w:szCs w:val="20"/>
          </w:rPr>
          <w:t>15</w:t>
        </w:r>
        <w:r w:rsidR="001829D6" w:rsidRPr="00261687">
          <w:rPr>
            <w:rFonts w:asciiTheme="majorHAnsi" w:hAnsiTheme="majorHAnsi"/>
            <w:noProof/>
            <w:webHidden/>
            <w:sz w:val="20"/>
            <w:szCs w:val="20"/>
          </w:rPr>
          <w:fldChar w:fldCharType="end"/>
        </w:r>
      </w:hyperlink>
    </w:p>
    <w:p w14:paraId="3B4ACAA9" w14:textId="2C6A4523" w:rsidR="001829D6" w:rsidRPr="00261687" w:rsidRDefault="006E3F74">
      <w:pPr>
        <w:pStyle w:val="TOC3"/>
        <w:rPr>
          <w:rFonts w:asciiTheme="majorHAnsi" w:eastAsiaTheme="minorEastAsia" w:hAnsiTheme="majorHAnsi" w:cstheme="minorBidi"/>
          <w:noProof/>
          <w:sz w:val="20"/>
          <w:szCs w:val="20"/>
          <w:bdr w:val="none" w:sz="0" w:space="0" w:color="auto"/>
        </w:rPr>
      </w:pPr>
      <w:hyperlink w:anchor="_Toc26550933" w:history="1">
        <w:r w:rsidR="001829D6" w:rsidRPr="00261687">
          <w:rPr>
            <w:rStyle w:val="Hyperlink"/>
            <w:rFonts w:asciiTheme="majorHAnsi" w:hAnsiTheme="majorHAnsi"/>
            <w:noProof/>
            <w:sz w:val="20"/>
            <w:szCs w:val="20"/>
          </w:rPr>
          <w:t>1.</w:t>
        </w:r>
        <w:r w:rsidR="001829D6" w:rsidRPr="00261687">
          <w:rPr>
            <w:rFonts w:asciiTheme="majorHAnsi" w:eastAsiaTheme="minorEastAsia" w:hAnsiTheme="majorHAnsi" w:cstheme="minorBidi"/>
            <w:noProof/>
            <w:sz w:val="20"/>
            <w:szCs w:val="20"/>
            <w:bdr w:val="none" w:sz="0" w:space="0" w:color="auto"/>
          </w:rPr>
          <w:tab/>
        </w:r>
        <w:r w:rsidR="001829D6" w:rsidRPr="00261687">
          <w:rPr>
            <w:rStyle w:val="Hyperlink"/>
            <w:rFonts w:asciiTheme="majorHAnsi" w:hAnsiTheme="majorHAnsi"/>
            <w:noProof/>
            <w:sz w:val="20"/>
            <w:szCs w:val="20"/>
          </w:rPr>
          <w:t>General considerations regarding ineffective assistance of court-appointed counsel</w:t>
        </w:r>
        <w:r w:rsidR="001829D6" w:rsidRPr="00261687">
          <w:rPr>
            <w:rFonts w:asciiTheme="majorHAnsi" w:hAnsiTheme="majorHAnsi"/>
            <w:noProof/>
            <w:webHidden/>
            <w:sz w:val="20"/>
            <w:szCs w:val="20"/>
          </w:rPr>
          <w:tab/>
        </w:r>
        <w:r w:rsidR="001829D6" w:rsidRPr="00261687">
          <w:rPr>
            <w:rFonts w:asciiTheme="majorHAnsi" w:hAnsiTheme="majorHAnsi"/>
            <w:noProof/>
            <w:webHidden/>
            <w:sz w:val="20"/>
            <w:szCs w:val="20"/>
          </w:rPr>
          <w:fldChar w:fldCharType="begin"/>
        </w:r>
        <w:r w:rsidR="001829D6" w:rsidRPr="00261687">
          <w:rPr>
            <w:rFonts w:asciiTheme="majorHAnsi" w:hAnsiTheme="majorHAnsi"/>
            <w:noProof/>
            <w:webHidden/>
            <w:sz w:val="20"/>
            <w:szCs w:val="20"/>
          </w:rPr>
          <w:instrText xml:space="preserve"> PAGEREF _Toc26550933 \h </w:instrText>
        </w:r>
        <w:r w:rsidR="001829D6" w:rsidRPr="00261687">
          <w:rPr>
            <w:rFonts w:asciiTheme="majorHAnsi" w:hAnsiTheme="majorHAnsi"/>
            <w:noProof/>
            <w:webHidden/>
            <w:sz w:val="20"/>
            <w:szCs w:val="20"/>
          </w:rPr>
        </w:r>
        <w:r w:rsidR="001829D6" w:rsidRPr="00261687">
          <w:rPr>
            <w:rFonts w:asciiTheme="majorHAnsi" w:hAnsiTheme="majorHAnsi"/>
            <w:noProof/>
            <w:webHidden/>
            <w:sz w:val="20"/>
            <w:szCs w:val="20"/>
          </w:rPr>
          <w:fldChar w:fldCharType="separate"/>
        </w:r>
        <w:r>
          <w:rPr>
            <w:rFonts w:asciiTheme="majorHAnsi" w:hAnsiTheme="majorHAnsi"/>
            <w:noProof/>
            <w:webHidden/>
            <w:sz w:val="20"/>
            <w:szCs w:val="20"/>
          </w:rPr>
          <w:t>15</w:t>
        </w:r>
        <w:r w:rsidR="001829D6" w:rsidRPr="00261687">
          <w:rPr>
            <w:rFonts w:asciiTheme="majorHAnsi" w:hAnsiTheme="majorHAnsi"/>
            <w:noProof/>
            <w:webHidden/>
            <w:sz w:val="20"/>
            <w:szCs w:val="20"/>
          </w:rPr>
          <w:fldChar w:fldCharType="end"/>
        </w:r>
      </w:hyperlink>
    </w:p>
    <w:p w14:paraId="3F4D8C16" w14:textId="7001FA1E" w:rsidR="001829D6" w:rsidRPr="00261687" w:rsidRDefault="006E3F74">
      <w:pPr>
        <w:pStyle w:val="TOC3"/>
        <w:rPr>
          <w:rFonts w:asciiTheme="majorHAnsi" w:eastAsiaTheme="minorEastAsia" w:hAnsiTheme="majorHAnsi" w:cstheme="minorBidi"/>
          <w:noProof/>
          <w:sz w:val="20"/>
          <w:szCs w:val="20"/>
          <w:bdr w:val="none" w:sz="0" w:space="0" w:color="auto"/>
        </w:rPr>
      </w:pPr>
      <w:hyperlink w:anchor="_Toc26550934" w:history="1">
        <w:r w:rsidR="001829D6" w:rsidRPr="00261687">
          <w:rPr>
            <w:rStyle w:val="Hyperlink"/>
            <w:rFonts w:asciiTheme="majorHAnsi" w:hAnsiTheme="majorHAnsi"/>
            <w:noProof/>
            <w:sz w:val="20"/>
            <w:szCs w:val="20"/>
            <w:lang w:val="es-ES"/>
          </w:rPr>
          <w:t>2.</w:t>
        </w:r>
        <w:r w:rsidR="001829D6" w:rsidRPr="00261687">
          <w:rPr>
            <w:rFonts w:asciiTheme="majorHAnsi" w:eastAsiaTheme="minorEastAsia" w:hAnsiTheme="majorHAnsi" w:cstheme="minorBidi"/>
            <w:noProof/>
            <w:sz w:val="20"/>
            <w:szCs w:val="20"/>
            <w:bdr w:val="none" w:sz="0" w:space="0" w:color="auto"/>
          </w:rPr>
          <w:tab/>
        </w:r>
        <w:r w:rsidR="001829D6" w:rsidRPr="00261687">
          <w:rPr>
            <w:rStyle w:val="Hyperlink"/>
            <w:rFonts w:asciiTheme="majorHAnsi" w:hAnsiTheme="majorHAnsi"/>
            <w:noProof/>
            <w:sz w:val="20"/>
            <w:szCs w:val="20"/>
            <w:lang w:val="es-ES"/>
          </w:rPr>
          <w:t>Analysis of the case</w:t>
        </w:r>
        <w:r w:rsidR="001829D6" w:rsidRPr="00261687">
          <w:rPr>
            <w:rFonts w:asciiTheme="majorHAnsi" w:hAnsiTheme="majorHAnsi"/>
            <w:noProof/>
            <w:webHidden/>
            <w:sz w:val="20"/>
            <w:szCs w:val="20"/>
          </w:rPr>
          <w:tab/>
        </w:r>
        <w:r w:rsidR="001829D6" w:rsidRPr="00261687">
          <w:rPr>
            <w:rFonts w:asciiTheme="majorHAnsi" w:hAnsiTheme="majorHAnsi"/>
            <w:noProof/>
            <w:webHidden/>
            <w:sz w:val="20"/>
            <w:szCs w:val="20"/>
          </w:rPr>
          <w:fldChar w:fldCharType="begin"/>
        </w:r>
        <w:r w:rsidR="001829D6" w:rsidRPr="00261687">
          <w:rPr>
            <w:rFonts w:asciiTheme="majorHAnsi" w:hAnsiTheme="majorHAnsi"/>
            <w:noProof/>
            <w:webHidden/>
            <w:sz w:val="20"/>
            <w:szCs w:val="20"/>
          </w:rPr>
          <w:instrText xml:space="preserve"> PAGEREF _Toc26550934 \h </w:instrText>
        </w:r>
        <w:r w:rsidR="001829D6" w:rsidRPr="00261687">
          <w:rPr>
            <w:rFonts w:asciiTheme="majorHAnsi" w:hAnsiTheme="majorHAnsi"/>
            <w:noProof/>
            <w:webHidden/>
            <w:sz w:val="20"/>
            <w:szCs w:val="20"/>
          </w:rPr>
        </w:r>
        <w:r w:rsidR="001829D6" w:rsidRPr="00261687">
          <w:rPr>
            <w:rFonts w:asciiTheme="majorHAnsi" w:hAnsiTheme="majorHAnsi"/>
            <w:noProof/>
            <w:webHidden/>
            <w:sz w:val="20"/>
            <w:szCs w:val="20"/>
          </w:rPr>
          <w:fldChar w:fldCharType="separate"/>
        </w:r>
        <w:r>
          <w:rPr>
            <w:rFonts w:asciiTheme="majorHAnsi" w:hAnsiTheme="majorHAnsi"/>
            <w:noProof/>
            <w:webHidden/>
            <w:sz w:val="20"/>
            <w:szCs w:val="20"/>
          </w:rPr>
          <w:t>16</w:t>
        </w:r>
        <w:r w:rsidR="001829D6" w:rsidRPr="00261687">
          <w:rPr>
            <w:rFonts w:asciiTheme="majorHAnsi" w:hAnsiTheme="majorHAnsi"/>
            <w:noProof/>
            <w:webHidden/>
            <w:sz w:val="20"/>
            <w:szCs w:val="20"/>
          </w:rPr>
          <w:fldChar w:fldCharType="end"/>
        </w:r>
      </w:hyperlink>
    </w:p>
    <w:p w14:paraId="1D0407E7" w14:textId="73D001EF" w:rsidR="001829D6" w:rsidRPr="00261687" w:rsidRDefault="006E3F74">
      <w:pPr>
        <w:pStyle w:val="TOC3"/>
        <w:rPr>
          <w:rFonts w:asciiTheme="majorHAnsi" w:eastAsiaTheme="minorEastAsia" w:hAnsiTheme="majorHAnsi" w:cstheme="minorBidi"/>
          <w:noProof/>
          <w:sz w:val="20"/>
          <w:szCs w:val="20"/>
          <w:bdr w:val="none" w:sz="0" w:space="0" w:color="auto"/>
        </w:rPr>
      </w:pPr>
      <w:hyperlink w:anchor="_Toc26550935" w:history="1">
        <w:r w:rsidR="001829D6" w:rsidRPr="00261687">
          <w:rPr>
            <w:rStyle w:val="Hyperlink"/>
            <w:rFonts w:asciiTheme="majorHAnsi" w:hAnsiTheme="majorHAnsi" w:cs="Arial"/>
            <w:noProof/>
            <w:sz w:val="20"/>
            <w:szCs w:val="20"/>
          </w:rPr>
          <w:t>3.</w:t>
        </w:r>
        <w:r w:rsidR="001829D6" w:rsidRPr="00261687">
          <w:rPr>
            <w:rFonts w:asciiTheme="majorHAnsi" w:eastAsiaTheme="minorEastAsia" w:hAnsiTheme="majorHAnsi" w:cstheme="minorBidi"/>
            <w:noProof/>
            <w:sz w:val="20"/>
            <w:szCs w:val="20"/>
            <w:bdr w:val="none" w:sz="0" w:space="0" w:color="auto"/>
          </w:rPr>
          <w:tab/>
        </w:r>
        <w:r w:rsidR="001829D6" w:rsidRPr="00261687">
          <w:rPr>
            <w:rStyle w:val="Hyperlink"/>
            <w:rFonts w:asciiTheme="majorHAnsi" w:hAnsiTheme="majorHAnsi"/>
            <w:noProof/>
            <w:sz w:val="20"/>
            <w:szCs w:val="20"/>
          </w:rPr>
          <w:t>Access to effective remedies</w:t>
        </w:r>
        <w:r w:rsidR="001829D6" w:rsidRPr="00261687">
          <w:rPr>
            <w:rFonts w:asciiTheme="majorHAnsi" w:hAnsiTheme="majorHAnsi"/>
            <w:noProof/>
            <w:webHidden/>
            <w:sz w:val="20"/>
            <w:szCs w:val="20"/>
          </w:rPr>
          <w:tab/>
        </w:r>
        <w:r w:rsidR="001829D6" w:rsidRPr="00261687">
          <w:rPr>
            <w:rFonts w:asciiTheme="majorHAnsi" w:hAnsiTheme="majorHAnsi"/>
            <w:noProof/>
            <w:webHidden/>
            <w:sz w:val="20"/>
            <w:szCs w:val="20"/>
          </w:rPr>
          <w:fldChar w:fldCharType="begin"/>
        </w:r>
        <w:r w:rsidR="001829D6" w:rsidRPr="00261687">
          <w:rPr>
            <w:rFonts w:asciiTheme="majorHAnsi" w:hAnsiTheme="majorHAnsi"/>
            <w:noProof/>
            <w:webHidden/>
            <w:sz w:val="20"/>
            <w:szCs w:val="20"/>
          </w:rPr>
          <w:instrText xml:space="preserve"> PAGEREF _Toc26550935 \h </w:instrText>
        </w:r>
        <w:r w:rsidR="001829D6" w:rsidRPr="00261687">
          <w:rPr>
            <w:rFonts w:asciiTheme="majorHAnsi" w:hAnsiTheme="majorHAnsi"/>
            <w:noProof/>
            <w:webHidden/>
            <w:sz w:val="20"/>
            <w:szCs w:val="20"/>
          </w:rPr>
        </w:r>
        <w:r w:rsidR="001829D6" w:rsidRPr="00261687">
          <w:rPr>
            <w:rFonts w:asciiTheme="majorHAnsi" w:hAnsiTheme="majorHAnsi"/>
            <w:noProof/>
            <w:webHidden/>
            <w:sz w:val="20"/>
            <w:szCs w:val="20"/>
          </w:rPr>
          <w:fldChar w:fldCharType="separate"/>
        </w:r>
        <w:r>
          <w:rPr>
            <w:rFonts w:asciiTheme="majorHAnsi" w:hAnsiTheme="majorHAnsi"/>
            <w:noProof/>
            <w:webHidden/>
            <w:sz w:val="20"/>
            <w:szCs w:val="20"/>
          </w:rPr>
          <w:t>17</w:t>
        </w:r>
        <w:r w:rsidR="001829D6" w:rsidRPr="00261687">
          <w:rPr>
            <w:rFonts w:asciiTheme="majorHAnsi" w:hAnsiTheme="majorHAnsi"/>
            <w:noProof/>
            <w:webHidden/>
            <w:sz w:val="20"/>
            <w:szCs w:val="20"/>
          </w:rPr>
          <w:fldChar w:fldCharType="end"/>
        </w:r>
      </w:hyperlink>
    </w:p>
    <w:p w14:paraId="3EAFEF93" w14:textId="78287C5C" w:rsidR="001829D6" w:rsidRPr="00261687" w:rsidRDefault="006E3F74">
      <w:pPr>
        <w:pStyle w:val="TOC3"/>
        <w:rPr>
          <w:rFonts w:asciiTheme="majorHAnsi" w:eastAsiaTheme="minorEastAsia" w:hAnsiTheme="majorHAnsi" w:cstheme="minorBidi"/>
          <w:noProof/>
          <w:sz w:val="20"/>
          <w:szCs w:val="20"/>
          <w:bdr w:val="none" w:sz="0" w:space="0" w:color="auto"/>
        </w:rPr>
      </w:pPr>
      <w:hyperlink w:anchor="_Toc26550936" w:history="1">
        <w:r w:rsidR="001829D6" w:rsidRPr="00261687">
          <w:rPr>
            <w:rStyle w:val="Hyperlink"/>
            <w:rFonts w:asciiTheme="majorHAnsi" w:hAnsiTheme="majorHAnsi"/>
            <w:noProof/>
            <w:sz w:val="20"/>
            <w:szCs w:val="20"/>
          </w:rPr>
          <w:t>4.</w:t>
        </w:r>
        <w:r w:rsidR="001829D6" w:rsidRPr="00261687">
          <w:rPr>
            <w:rFonts w:asciiTheme="majorHAnsi" w:eastAsiaTheme="minorEastAsia" w:hAnsiTheme="majorHAnsi" w:cstheme="minorBidi"/>
            <w:noProof/>
            <w:sz w:val="20"/>
            <w:szCs w:val="20"/>
            <w:bdr w:val="none" w:sz="0" w:space="0" w:color="auto"/>
          </w:rPr>
          <w:tab/>
        </w:r>
        <w:r w:rsidR="001829D6" w:rsidRPr="00261687">
          <w:rPr>
            <w:rStyle w:val="Hyperlink"/>
            <w:rFonts w:asciiTheme="majorHAnsi" w:hAnsiTheme="majorHAnsi"/>
            <w:noProof/>
            <w:sz w:val="20"/>
            <w:szCs w:val="20"/>
          </w:rPr>
          <w:t>The executive clemency process</w:t>
        </w:r>
        <w:r w:rsidR="001829D6" w:rsidRPr="00261687">
          <w:rPr>
            <w:rFonts w:asciiTheme="majorHAnsi" w:hAnsiTheme="majorHAnsi"/>
            <w:noProof/>
            <w:webHidden/>
            <w:sz w:val="20"/>
            <w:szCs w:val="20"/>
          </w:rPr>
          <w:tab/>
        </w:r>
        <w:r w:rsidR="001829D6" w:rsidRPr="00261687">
          <w:rPr>
            <w:rFonts w:asciiTheme="majorHAnsi" w:hAnsiTheme="majorHAnsi"/>
            <w:noProof/>
            <w:webHidden/>
            <w:sz w:val="20"/>
            <w:szCs w:val="20"/>
          </w:rPr>
          <w:fldChar w:fldCharType="begin"/>
        </w:r>
        <w:r w:rsidR="001829D6" w:rsidRPr="00261687">
          <w:rPr>
            <w:rFonts w:asciiTheme="majorHAnsi" w:hAnsiTheme="majorHAnsi"/>
            <w:noProof/>
            <w:webHidden/>
            <w:sz w:val="20"/>
            <w:szCs w:val="20"/>
          </w:rPr>
          <w:instrText xml:space="preserve"> PAGEREF _Toc26550936 \h </w:instrText>
        </w:r>
        <w:r w:rsidR="001829D6" w:rsidRPr="00261687">
          <w:rPr>
            <w:rFonts w:asciiTheme="majorHAnsi" w:hAnsiTheme="majorHAnsi"/>
            <w:noProof/>
            <w:webHidden/>
            <w:sz w:val="20"/>
            <w:szCs w:val="20"/>
          </w:rPr>
        </w:r>
        <w:r w:rsidR="001829D6" w:rsidRPr="00261687">
          <w:rPr>
            <w:rFonts w:asciiTheme="majorHAnsi" w:hAnsiTheme="majorHAnsi"/>
            <w:noProof/>
            <w:webHidden/>
            <w:sz w:val="20"/>
            <w:szCs w:val="20"/>
          </w:rPr>
          <w:fldChar w:fldCharType="separate"/>
        </w:r>
        <w:r>
          <w:rPr>
            <w:rFonts w:asciiTheme="majorHAnsi" w:hAnsiTheme="majorHAnsi"/>
            <w:noProof/>
            <w:webHidden/>
            <w:sz w:val="20"/>
            <w:szCs w:val="20"/>
          </w:rPr>
          <w:t>18</w:t>
        </w:r>
        <w:r w:rsidR="001829D6" w:rsidRPr="00261687">
          <w:rPr>
            <w:rFonts w:asciiTheme="majorHAnsi" w:hAnsiTheme="majorHAnsi"/>
            <w:noProof/>
            <w:webHidden/>
            <w:sz w:val="20"/>
            <w:szCs w:val="20"/>
          </w:rPr>
          <w:fldChar w:fldCharType="end"/>
        </w:r>
      </w:hyperlink>
    </w:p>
    <w:p w14:paraId="7E86BF41" w14:textId="2BA3DD1D" w:rsidR="001829D6" w:rsidRPr="00261687" w:rsidRDefault="006E3F74">
      <w:pPr>
        <w:pStyle w:val="TOC2"/>
        <w:rPr>
          <w:rFonts w:asciiTheme="majorHAnsi" w:eastAsiaTheme="minorEastAsia" w:hAnsiTheme="majorHAnsi" w:cstheme="minorBidi"/>
          <w:noProof/>
          <w:sz w:val="20"/>
          <w:szCs w:val="20"/>
          <w:bdr w:val="none" w:sz="0" w:space="0" w:color="auto"/>
        </w:rPr>
      </w:pPr>
      <w:hyperlink w:anchor="_Toc26550937" w:history="1">
        <w:r w:rsidR="001829D6" w:rsidRPr="00261687">
          <w:rPr>
            <w:rStyle w:val="Hyperlink"/>
            <w:rFonts w:asciiTheme="majorHAnsi" w:hAnsiTheme="majorHAnsi" w:cs="Arial"/>
            <w:noProof/>
            <w:sz w:val="20"/>
            <w:szCs w:val="20"/>
          </w:rPr>
          <w:t>C.</w:t>
        </w:r>
        <w:r w:rsidR="001829D6" w:rsidRPr="00261687">
          <w:rPr>
            <w:rFonts w:asciiTheme="majorHAnsi" w:eastAsiaTheme="minorEastAsia" w:hAnsiTheme="majorHAnsi" w:cstheme="minorBidi"/>
            <w:noProof/>
            <w:sz w:val="20"/>
            <w:szCs w:val="20"/>
            <w:bdr w:val="none" w:sz="0" w:space="0" w:color="auto"/>
          </w:rPr>
          <w:tab/>
        </w:r>
        <w:r w:rsidR="001829D6" w:rsidRPr="00261687">
          <w:rPr>
            <w:rStyle w:val="Hyperlink"/>
            <w:rFonts w:asciiTheme="majorHAnsi" w:hAnsiTheme="majorHAnsi" w:cs="Arial"/>
            <w:noProof/>
            <w:sz w:val="20"/>
            <w:szCs w:val="20"/>
          </w:rPr>
          <w:t>Right of protection against cruel, infamous or unusual punishment</w:t>
        </w:r>
        <w:r w:rsidR="001829D6" w:rsidRPr="00261687">
          <w:rPr>
            <w:rFonts w:asciiTheme="majorHAnsi" w:hAnsiTheme="majorHAnsi"/>
            <w:noProof/>
            <w:webHidden/>
            <w:sz w:val="20"/>
            <w:szCs w:val="20"/>
          </w:rPr>
          <w:tab/>
        </w:r>
        <w:r w:rsidR="001829D6" w:rsidRPr="00261687">
          <w:rPr>
            <w:rFonts w:asciiTheme="majorHAnsi" w:hAnsiTheme="majorHAnsi"/>
            <w:noProof/>
            <w:webHidden/>
            <w:sz w:val="20"/>
            <w:szCs w:val="20"/>
          </w:rPr>
          <w:fldChar w:fldCharType="begin"/>
        </w:r>
        <w:r w:rsidR="001829D6" w:rsidRPr="00261687">
          <w:rPr>
            <w:rFonts w:asciiTheme="majorHAnsi" w:hAnsiTheme="majorHAnsi"/>
            <w:noProof/>
            <w:webHidden/>
            <w:sz w:val="20"/>
            <w:szCs w:val="20"/>
          </w:rPr>
          <w:instrText xml:space="preserve"> PAGEREF _Toc26550937 \h </w:instrText>
        </w:r>
        <w:r w:rsidR="001829D6" w:rsidRPr="00261687">
          <w:rPr>
            <w:rFonts w:asciiTheme="majorHAnsi" w:hAnsiTheme="majorHAnsi"/>
            <w:noProof/>
            <w:webHidden/>
            <w:sz w:val="20"/>
            <w:szCs w:val="20"/>
          </w:rPr>
        </w:r>
        <w:r w:rsidR="001829D6" w:rsidRPr="00261687">
          <w:rPr>
            <w:rFonts w:asciiTheme="majorHAnsi" w:hAnsiTheme="majorHAnsi"/>
            <w:noProof/>
            <w:webHidden/>
            <w:sz w:val="20"/>
            <w:szCs w:val="20"/>
          </w:rPr>
          <w:fldChar w:fldCharType="separate"/>
        </w:r>
        <w:r>
          <w:rPr>
            <w:rFonts w:asciiTheme="majorHAnsi" w:hAnsiTheme="majorHAnsi"/>
            <w:noProof/>
            <w:webHidden/>
            <w:sz w:val="20"/>
            <w:szCs w:val="20"/>
          </w:rPr>
          <w:t>19</w:t>
        </w:r>
        <w:r w:rsidR="001829D6" w:rsidRPr="00261687">
          <w:rPr>
            <w:rFonts w:asciiTheme="majorHAnsi" w:hAnsiTheme="majorHAnsi"/>
            <w:noProof/>
            <w:webHidden/>
            <w:sz w:val="20"/>
            <w:szCs w:val="20"/>
          </w:rPr>
          <w:fldChar w:fldCharType="end"/>
        </w:r>
      </w:hyperlink>
    </w:p>
    <w:p w14:paraId="12640D30" w14:textId="1D53122A" w:rsidR="001829D6" w:rsidRPr="00261687" w:rsidRDefault="006E3F74">
      <w:pPr>
        <w:pStyle w:val="TOC3"/>
        <w:rPr>
          <w:rFonts w:asciiTheme="majorHAnsi" w:eastAsiaTheme="minorEastAsia" w:hAnsiTheme="majorHAnsi" w:cstheme="minorBidi"/>
          <w:noProof/>
          <w:sz w:val="20"/>
          <w:szCs w:val="20"/>
          <w:bdr w:val="none" w:sz="0" w:space="0" w:color="auto"/>
        </w:rPr>
      </w:pPr>
      <w:hyperlink w:anchor="_Toc26550938" w:history="1">
        <w:r w:rsidR="001829D6" w:rsidRPr="00261687">
          <w:rPr>
            <w:rStyle w:val="Hyperlink"/>
            <w:rFonts w:asciiTheme="majorHAnsi" w:eastAsia="Cambria" w:hAnsiTheme="majorHAnsi" w:cs="Arial"/>
            <w:noProof/>
            <w:sz w:val="20"/>
            <w:szCs w:val="20"/>
            <w:u w:color="000000"/>
            <w:lang w:eastAsia="es-ES"/>
          </w:rPr>
          <w:t>1.</w:t>
        </w:r>
        <w:r w:rsidR="001829D6" w:rsidRPr="00261687">
          <w:rPr>
            <w:rFonts w:asciiTheme="majorHAnsi" w:eastAsiaTheme="minorEastAsia" w:hAnsiTheme="majorHAnsi" w:cstheme="minorBidi"/>
            <w:noProof/>
            <w:sz w:val="20"/>
            <w:szCs w:val="20"/>
            <w:bdr w:val="none" w:sz="0" w:space="0" w:color="auto"/>
          </w:rPr>
          <w:tab/>
        </w:r>
        <w:r w:rsidR="001829D6" w:rsidRPr="00261687">
          <w:rPr>
            <w:rStyle w:val="Hyperlink"/>
            <w:rFonts w:asciiTheme="majorHAnsi" w:eastAsia="Cambria" w:hAnsiTheme="majorHAnsi" w:cs="Arial"/>
            <w:noProof/>
            <w:sz w:val="20"/>
            <w:szCs w:val="20"/>
            <w:u w:color="000000"/>
            <w:lang w:eastAsia="es-ES"/>
          </w:rPr>
          <w:t>The lethal injection protocol</w:t>
        </w:r>
        <w:r w:rsidR="001829D6" w:rsidRPr="00261687">
          <w:rPr>
            <w:rFonts w:asciiTheme="majorHAnsi" w:hAnsiTheme="majorHAnsi"/>
            <w:noProof/>
            <w:webHidden/>
            <w:sz w:val="20"/>
            <w:szCs w:val="20"/>
          </w:rPr>
          <w:tab/>
        </w:r>
        <w:r w:rsidR="001829D6" w:rsidRPr="00261687">
          <w:rPr>
            <w:rFonts w:asciiTheme="majorHAnsi" w:hAnsiTheme="majorHAnsi"/>
            <w:noProof/>
            <w:webHidden/>
            <w:sz w:val="20"/>
            <w:szCs w:val="20"/>
          </w:rPr>
          <w:fldChar w:fldCharType="begin"/>
        </w:r>
        <w:r w:rsidR="001829D6" w:rsidRPr="00261687">
          <w:rPr>
            <w:rFonts w:asciiTheme="majorHAnsi" w:hAnsiTheme="majorHAnsi"/>
            <w:noProof/>
            <w:webHidden/>
            <w:sz w:val="20"/>
            <w:szCs w:val="20"/>
          </w:rPr>
          <w:instrText xml:space="preserve"> PAGEREF _Toc26550938 \h </w:instrText>
        </w:r>
        <w:r w:rsidR="001829D6" w:rsidRPr="00261687">
          <w:rPr>
            <w:rFonts w:asciiTheme="majorHAnsi" w:hAnsiTheme="majorHAnsi"/>
            <w:noProof/>
            <w:webHidden/>
            <w:sz w:val="20"/>
            <w:szCs w:val="20"/>
          </w:rPr>
        </w:r>
        <w:r w:rsidR="001829D6" w:rsidRPr="00261687">
          <w:rPr>
            <w:rFonts w:asciiTheme="majorHAnsi" w:hAnsiTheme="majorHAnsi"/>
            <w:noProof/>
            <w:webHidden/>
            <w:sz w:val="20"/>
            <w:szCs w:val="20"/>
          </w:rPr>
          <w:fldChar w:fldCharType="separate"/>
        </w:r>
        <w:r>
          <w:rPr>
            <w:rFonts w:asciiTheme="majorHAnsi" w:hAnsiTheme="majorHAnsi"/>
            <w:noProof/>
            <w:webHidden/>
            <w:sz w:val="20"/>
            <w:szCs w:val="20"/>
          </w:rPr>
          <w:t>19</w:t>
        </w:r>
        <w:r w:rsidR="001829D6" w:rsidRPr="00261687">
          <w:rPr>
            <w:rFonts w:asciiTheme="majorHAnsi" w:hAnsiTheme="majorHAnsi"/>
            <w:noProof/>
            <w:webHidden/>
            <w:sz w:val="20"/>
            <w:szCs w:val="20"/>
          </w:rPr>
          <w:fldChar w:fldCharType="end"/>
        </w:r>
      </w:hyperlink>
    </w:p>
    <w:p w14:paraId="235AA58F" w14:textId="0C013D91" w:rsidR="001829D6" w:rsidRPr="00261687" w:rsidRDefault="006E3F74">
      <w:pPr>
        <w:pStyle w:val="TOC2"/>
        <w:rPr>
          <w:rFonts w:asciiTheme="majorHAnsi" w:eastAsiaTheme="minorEastAsia" w:hAnsiTheme="majorHAnsi" w:cstheme="minorBidi"/>
          <w:noProof/>
          <w:sz w:val="20"/>
          <w:szCs w:val="20"/>
          <w:bdr w:val="none" w:sz="0" w:space="0" w:color="auto"/>
        </w:rPr>
      </w:pPr>
      <w:hyperlink w:anchor="_Toc26550939" w:history="1">
        <w:r w:rsidR="001829D6" w:rsidRPr="00261687">
          <w:rPr>
            <w:rStyle w:val="Hyperlink"/>
            <w:rFonts w:asciiTheme="majorHAnsi" w:eastAsia="Cambria" w:hAnsiTheme="majorHAnsi" w:cs="Arial"/>
            <w:noProof/>
            <w:sz w:val="20"/>
            <w:szCs w:val="20"/>
            <w:u w:color="000000"/>
            <w:lang w:eastAsia="es-ES"/>
          </w:rPr>
          <w:t>2.</w:t>
        </w:r>
        <w:r w:rsidR="001829D6" w:rsidRPr="00261687">
          <w:rPr>
            <w:rFonts w:asciiTheme="majorHAnsi" w:eastAsiaTheme="minorEastAsia" w:hAnsiTheme="majorHAnsi" w:cstheme="minorBidi"/>
            <w:noProof/>
            <w:sz w:val="20"/>
            <w:szCs w:val="20"/>
            <w:bdr w:val="none" w:sz="0" w:space="0" w:color="auto"/>
          </w:rPr>
          <w:tab/>
        </w:r>
        <w:r w:rsidR="001829D6" w:rsidRPr="00261687">
          <w:rPr>
            <w:rStyle w:val="Hyperlink"/>
            <w:rFonts w:asciiTheme="majorHAnsi" w:eastAsia="Cambria" w:hAnsiTheme="majorHAnsi" w:cs="Arial"/>
            <w:noProof/>
            <w:sz w:val="20"/>
            <w:szCs w:val="20"/>
            <w:u w:color="000000"/>
            <w:lang w:eastAsia="es-ES"/>
          </w:rPr>
          <w:t>The deprivation of liberty on death row</w:t>
        </w:r>
        <w:r w:rsidR="001829D6" w:rsidRPr="00261687">
          <w:rPr>
            <w:rFonts w:asciiTheme="majorHAnsi" w:hAnsiTheme="majorHAnsi"/>
            <w:noProof/>
            <w:webHidden/>
            <w:sz w:val="20"/>
            <w:szCs w:val="20"/>
          </w:rPr>
          <w:tab/>
        </w:r>
        <w:r w:rsidR="001829D6" w:rsidRPr="00261687">
          <w:rPr>
            <w:rFonts w:asciiTheme="majorHAnsi" w:hAnsiTheme="majorHAnsi"/>
            <w:noProof/>
            <w:webHidden/>
            <w:sz w:val="20"/>
            <w:szCs w:val="20"/>
          </w:rPr>
          <w:fldChar w:fldCharType="begin"/>
        </w:r>
        <w:r w:rsidR="001829D6" w:rsidRPr="00261687">
          <w:rPr>
            <w:rFonts w:asciiTheme="majorHAnsi" w:hAnsiTheme="majorHAnsi"/>
            <w:noProof/>
            <w:webHidden/>
            <w:sz w:val="20"/>
            <w:szCs w:val="20"/>
          </w:rPr>
          <w:instrText xml:space="preserve"> PAGEREF _Toc26550939 \h </w:instrText>
        </w:r>
        <w:r w:rsidR="001829D6" w:rsidRPr="00261687">
          <w:rPr>
            <w:rFonts w:asciiTheme="majorHAnsi" w:hAnsiTheme="majorHAnsi"/>
            <w:noProof/>
            <w:webHidden/>
            <w:sz w:val="20"/>
            <w:szCs w:val="20"/>
          </w:rPr>
        </w:r>
        <w:r w:rsidR="001829D6" w:rsidRPr="00261687">
          <w:rPr>
            <w:rFonts w:asciiTheme="majorHAnsi" w:hAnsiTheme="majorHAnsi"/>
            <w:noProof/>
            <w:webHidden/>
            <w:sz w:val="20"/>
            <w:szCs w:val="20"/>
          </w:rPr>
          <w:fldChar w:fldCharType="separate"/>
        </w:r>
        <w:r>
          <w:rPr>
            <w:rFonts w:asciiTheme="majorHAnsi" w:hAnsiTheme="majorHAnsi"/>
            <w:noProof/>
            <w:webHidden/>
            <w:sz w:val="20"/>
            <w:szCs w:val="20"/>
          </w:rPr>
          <w:t>20</w:t>
        </w:r>
        <w:r w:rsidR="001829D6" w:rsidRPr="00261687">
          <w:rPr>
            <w:rFonts w:asciiTheme="majorHAnsi" w:hAnsiTheme="majorHAnsi"/>
            <w:noProof/>
            <w:webHidden/>
            <w:sz w:val="20"/>
            <w:szCs w:val="20"/>
          </w:rPr>
          <w:fldChar w:fldCharType="end"/>
        </w:r>
      </w:hyperlink>
    </w:p>
    <w:p w14:paraId="678E1E7C" w14:textId="6CF32473" w:rsidR="001829D6" w:rsidRPr="00261687" w:rsidRDefault="006E3F74">
      <w:pPr>
        <w:pStyle w:val="TOC2"/>
        <w:rPr>
          <w:rFonts w:asciiTheme="majorHAnsi" w:eastAsiaTheme="minorEastAsia" w:hAnsiTheme="majorHAnsi" w:cstheme="minorBidi"/>
          <w:noProof/>
          <w:sz w:val="20"/>
          <w:szCs w:val="20"/>
          <w:bdr w:val="none" w:sz="0" w:space="0" w:color="auto"/>
        </w:rPr>
      </w:pPr>
      <w:hyperlink w:anchor="_Toc26550940" w:history="1">
        <w:r w:rsidR="001829D6" w:rsidRPr="00261687">
          <w:rPr>
            <w:rStyle w:val="Hyperlink"/>
            <w:rFonts w:asciiTheme="majorHAnsi" w:hAnsiTheme="majorHAnsi"/>
            <w:noProof/>
            <w:sz w:val="20"/>
            <w:szCs w:val="20"/>
          </w:rPr>
          <w:t>D.</w:t>
        </w:r>
        <w:r w:rsidR="001829D6" w:rsidRPr="00261687">
          <w:rPr>
            <w:rFonts w:asciiTheme="majorHAnsi" w:eastAsiaTheme="minorEastAsia" w:hAnsiTheme="majorHAnsi" w:cstheme="minorBidi"/>
            <w:noProof/>
            <w:sz w:val="20"/>
            <w:szCs w:val="20"/>
            <w:bdr w:val="none" w:sz="0" w:space="0" w:color="auto"/>
          </w:rPr>
          <w:tab/>
        </w:r>
        <w:r w:rsidR="001829D6" w:rsidRPr="00261687">
          <w:rPr>
            <w:rStyle w:val="Hyperlink"/>
            <w:rFonts w:asciiTheme="majorHAnsi" w:hAnsiTheme="majorHAnsi"/>
            <w:noProof/>
            <w:sz w:val="20"/>
            <w:szCs w:val="20"/>
          </w:rPr>
          <w:t>The right to access to information with respect to the death penalty decision-making process and the lethal injection protocol</w:t>
        </w:r>
        <w:r w:rsidR="001829D6" w:rsidRPr="00261687">
          <w:rPr>
            <w:rFonts w:asciiTheme="majorHAnsi" w:hAnsiTheme="majorHAnsi"/>
            <w:noProof/>
            <w:webHidden/>
            <w:sz w:val="20"/>
            <w:szCs w:val="20"/>
          </w:rPr>
          <w:tab/>
        </w:r>
        <w:r w:rsidR="001829D6" w:rsidRPr="00261687">
          <w:rPr>
            <w:rFonts w:asciiTheme="majorHAnsi" w:hAnsiTheme="majorHAnsi"/>
            <w:noProof/>
            <w:webHidden/>
            <w:sz w:val="20"/>
            <w:szCs w:val="20"/>
          </w:rPr>
          <w:fldChar w:fldCharType="begin"/>
        </w:r>
        <w:r w:rsidR="001829D6" w:rsidRPr="00261687">
          <w:rPr>
            <w:rFonts w:asciiTheme="majorHAnsi" w:hAnsiTheme="majorHAnsi"/>
            <w:noProof/>
            <w:webHidden/>
            <w:sz w:val="20"/>
            <w:szCs w:val="20"/>
          </w:rPr>
          <w:instrText xml:space="preserve"> PAGEREF _Toc26550940 \h </w:instrText>
        </w:r>
        <w:r w:rsidR="001829D6" w:rsidRPr="00261687">
          <w:rPr>
            <w:rFonts w:asciiTheme="majorHAnsi" w:hAnsiTheme="majorHAnsi"/>
            <w:noProof/>
            <w:webHidden/>
            <w:sz w:val="20"/>
            <w:szCs w:val="20"/>
          </w:rPr>
        </w:r>
        <w:r w:rsidR="001829D6" w:rsidRPr="00261687">
          <w:rPr>
            <w:rFonts w:asciiTheme="majorHAnsi" w:hAnsiTheme="majorHAnsi"/>
            <w:noProof/>
            <w:webHidden/>
            <w:sz w:val="20"/>
            <w:szCs w:val="20"/>
          </w:rPr>
          <w:fldChar w:fldCharType="separate"/>
        </w:r>
        <w:r>
          <w:rPr>
            <w:rFonts w:asciiTheme="majorHAnsi" w:hAnsiTheme="majorHAnsi"/>
            <w:noProof/>
            <w:webHidden/>
            <w:sz w:val="20"/>
            <w:szCs w:val="20"/>
          </w:rPr>
          <w:t>20</w:t>
        </w:r>
        <w:r w:rsidR="001829D6" w:rsidRPr="00261687">
          <w:rPr>
            <w:rFonts w:asciiTheme="majorHAnsi" w:hAnsiTheme="majorHAnsi"/>
            <w:noProof/>
            <w:webHidden/>
            <w:sz w:val="20"/>
            <w:szCs w:val="20"/>
          </w:rPr>
          <w:fldChar w:fldCharType="end"/>
        </w:r>
      </w:hyperlink>
    </w:p>
    <w:p w14:paraId="52347C72" w14:textId="587F97F8" w:rsidR="001829D6" w:rsidRPr="00261687" w:rsidRDefault="006E3F74">
      <w:pPr>
        <w:pStyle w:val="TOC2"/>
        <w:rPr>
          <w:rFonts w:asciiTheme="majorHAnsi" w:eastAsiaTheme="minorEastAsia" w:hAnsiTheme="majorHAnsi" w:cstheme="minorBidi"/>
          <w:noProof/>
          <w:sz w:val="20"/>
          <w:szCs w:val="20"/>
          <w:bdr w:val="none" w:sz="0" w:space="0" w:color="auto"/>
        </w:rPr>
      </w:pPr>
      <w:hyperlink w:anchor="_Toc26550941" w:history="1">
        <w:r w:rsidR="001829D6" w:rsidRPr="00261687">
          <w:rPr>
            <w:rStyle w:val="Hyperlink"/>
            <w:rFonts w:asciiTheme="majorHAnsi" w:hAnsiTheme="majorHAnsi"/>
            <w:noProof/>
            <w:sz w:val="20"/>
            <w:szCs w:val="20"/>
          </w:rPr>
          <w:t>E.</w:t>
        </w:r>
        <w:r w:rsidR="001829D6" w:rsidRPr="00261687">
          <w:rPr>
            <w:rFonts w:asciiTheme="majorHAnsi" w:eastAsiaTheme="minorEastAsia" w:hAnsiTheme="majorHAnsi" w:cstheme="minorBidi"/>
            <w:noProof/>
            <w:sz w:val="20"/>
            <w:szCs w:val="20"/>
            <w:bdr w:val="none" w:sz="0" w:space="0" w:color="auto"/>
          </w:rPr>
          <w:tab/>
        </w:r>
        <w:r w:rsidR="001829D6" w:rsidRPr="00261687">
          <w:rPr>
            <w:rStyle w:val="Hyperlink"/>
            <w:rFonts w:asciiTheme="majorHAnsi" w:hAnsiTheme="majorHAnsi"/>
            <w:noProof/>
            <w:sz w:val="20"/>
            <w:szCs w:val="20"/>
          </w:rPr>
          <w:t>The right to life and the right to protection against cruel, infamous or unusual punishment with respect to the eventual execution of Orlando Cordia Hall</w:t>
        </w:r>
        <w:r w:rsidR="001829D6" w:rsidRPr="00261687">
          <w:rPr>
            <w:rFonts w:asciiTheme="majorHAnsi" w:hAnsiTheme="majorHAnsi"/>
            <w:noProof/>
            <w:webHidden/>
            <w:sz w:val="20"/>
            <w:szCs w:val="20"/>
          </w:rPr>
          <w:tab/>
        </w:r>
        <w:r w:rsidR="001829D6" w:rsidRPr="00261687">
          <w:rPr>
            <w:rFonts w:asciiTheme="majorHAnsi" w:hAnsiTheme="majorHAnsi"/>
            <w:noProof/>
            <w:webHidden/>
            <w:sz w:val="20"/>
            <w:szCs w:val="20"/>
          </w:rPr>
          <w:fldChar w:fldCharType="begin"/>
        </w:r>
        <w:r w:rsidR="001829D6" w:rsidRPr="00261687">
          <w:rPr>
            <w:rFonts w:asciiTheme="majorHAnsi" w:hAnsiTheme="majorHAnsi"/>
            <w:noProof/>
            <w:webHidden/>
            <w:sz w:val="20"/>
            <w:szCs w:val="20"/>
          </w:rPr>
          <w:instrText xml:space="preserve"> PAGEREF _Toc26550941 \h </w:instrText>
        </w:r>
        <w:r w:rsidR="001829D6" w:rsidRPr="00261687">
          <w:rPr>
            <w:rFonts w:asciiTheme="majorHAnsi" w:hAnsiTheme="majorHAnsi"/>
            <w:noProof/>
            <w:webHidden/>
            <w:sz w:val="20"/>
            <w:szCs w:val="20"/>
          </w:rPr>
        </w:r>
        <w:r w:rsidR="001829D6" w:rsidRPr="00261687">
          <w:rPr>
            <w:rFonts w:asciiTheme="majorHAnsi" w:hAnsiTheme="majorHAnsi"/>
            <w:noProof/>
            <w:webHidden/>
            <w:sz w:val="20"/>
            <w:szCs w:val="20"/>
          </w:rPr>
          <w:fldChar w:fldCharType="separate"/>
        </w:r>
        <w:r>
          <w:rPr>
            <w:rFonts w:asciiTheme="majorHAnsi" w:hAnsiTheme="majorHAnsi"/>
            <w:noProof/>
            <w:webHidden/>
            <w:sz w:val="20"/>
            <w:szCs w:val="20"/>
          </w:rPr>
          <w:t>21</w:t>
        </w:r>
        <w:r w:rsidR="001829D6" w:rsidRPr="00261687">
          <w:rPr>
            <w:rFonts w:asciiTheme="majorHAnsi" w:hAnsiTheme="majorHAnsi"/>
            <w:noProof/>
            <w:webHidden/>
            <w:sz w:val="20"/>
            <w:szCs w:val="20"/>
          </w:rPr>
          <w:fldChar w:fldCharType="end"/>
        </w:r>
      </w:hyperlink>
    </w:p>
    <w:p w14:paraId="429715DA" w14:textId="428450D4" w:rsidR="001829D6" w:rsidRPr="00261687" w:rsidRDefault="006E3F74">
      <w:pPr>
        <w:pStyle w:val="TOC1"/>
        <w:rPr>
          <w:rFonts w:asciiTheme="majorHAnsi" w:eastAsiaTheme="minorEastAsia" w:hAnsiTheme="majorHAnsi" w:cstheme="minorBidi"/>
          <w:noProof/>
          <w:sz w:val="20"/>
          <w:szCs w:val="20"/>
          <w:bdr w:val="none" w:sz="0" w:space="0" w:color="auto"/>
        </w:rPr>
      </w:pPr>
      <w:hyperlink w:anchor="_Toc26550942" w:history="1">
        <w:r w:rsidR="001829D6" w:rsidRPr="00261687">
          <w:rPr>
            <w:rStyle w:val="Hyperlink"/>
            <w:rFonts w:asciiTheme="majorHAnsi" w:hAnsiTheme="majorHAnsi"/>
            <w:noProof/>
            <w:sz w:val="20"/>
            <w:szCs w:val="20"/>
          </w:rPr>
          <w:t>V.</w:t>
        </w:r>
        <w:r w:rsidR="001829D6" w:rsidRPr="00261687">
          <w:rPr>
            <w:rFonts w:asciiTheme="majorHAnsi" w:eastAsiaTheme="minorEastAsia" w:hAnsiTheme="majorHAnsi" w:cstheme="minorBidi"/>
            <w:noProof/>
            <w:sz w:val="20"/>
            <w:szCs w:val="20"/>
            <w:bdr w:val="none" w:sz="0" w:space="0" w:color="auto"/>
          </w:rPr>
          <w:tab/>
        </w:r>
        <w:r w:rsidR="001829D6" w:rsidRPr="00261687">
          <w:rPr>
            <w:rStyle w:val="Hyperlink"/>
            <w:rFonts w:asciiTheme="majorHAnsi" w:hAnsiTheme="majorHAnsi"/>
            <w:noProof/>
            <w:sz w:val="20"/>
            <w:szCs w:val="20"/>
          </w:rPr>
          <w:t>ACTIONS SUBSEQUENT TO REPORT No. 155/18</w:t>
        </w:r>
        <w:r w:rsidR="001829D6" w:rsidRPr="00261687">
          <w:rPr>
            <w:rFonts w:asciiTheme="majorHAnsi" w:hAnsiTheme="majorHAnsi"/>
            <w:noProof/>
            <w:webHidden/>
            <w:sz w:val="20"/>
            <w:szCs w:val="20"/>
          </w:rPr>
          <w:tab/>
        </w:r>
        <w:r w:rsidR="001829D6" w:rsidRPr="00261687">
          <w:rPr>
            <w:rFonts w:asciiTheme="majorHAnsi" w:hAnsiTheme="majorHAnsi"/>
            <w:noProof/>
            <w:webHidden/>
            <w:sz w:val="20"/>
            <w:szCs w:val="20"/>
          </w:rPr>
          <w:fldChar w:fldCharType="begin"/>
        </w:r>
        <w:r w:rsidR="001829D6" w:rsidRPr="00261687">
          <w:rPr>
            <w:rFonts w:asciiTheme="majorHAnsi" w:hAnsiTheme="majorHAnsi"/>
            <w:noProof/>
            <w:webHidden/>
            <w:sz w:val="20"/>
            <w:szCs w:val="20"/>
          </w:rPr>
          <w:instrText xml:space="preserve"> PAGEREF _Toc26550942 \h </w:instrText>
        </w:r>
        <w:r w:rsidR="001829D6" w:rsidRPr="00261687">
          <w:rPr>
            <w:rFonts w:asciiTheme="majorHAnsi" w:hAnsiTheme="majorHAnsi"/>
            <w:noProof/>
            <w:webHidden/>
            <w:sz w:val="20"/>
            <w:szCs w:val="20"/>
          </w:rPr>
        </w:r>
        <w:r w:rsidR="001829D6" w:rsidRPr="00261687">
          <w:rPr>
            <w:rFonts w:asciiTheme="majorHAnsi" w:hAnsiTheme="majorHAnsi"/>
            <w:noProof/>
            <w:webHidden/>
            <w:sz w:val="20"/>
            <w:szCs w:val="20"/>
          </w:rPr>
          <w:fldChar w:fldCharType="separate"/>
        </w:r>
        <w:r>
          <w:rPr>
            <w:rFonts w:asciiTheme="majorHAnsi" w:hAnsiTheme="majorHAnsi"/>
            <w:noProof/>
            <w:webHidden/>
            <w:sz w:val="20"/>
            <w:szCs w:val="20"/>
          </w:rPr>
          <w:t>22</w:t>
        </w:r>
        <w:r w:rsidR="001829D6" w:rsidRPr="00261687">
          <w:rPr>
            <w:rFonts w:asciiTheme="majorHAnsi" w:hAnsiTheme="majorHAnsi"/>
            <w:noProof/>
            <w:webHidden/>
            <w:sz w:val="20"/>
            <w:szCs w:val="20"/>
          </w:rPr>
          <w:fldChar w:fldCharType="end"/>
        </w:r>
      </w:hyperlink>
    </w:p>
    <w:p w14:paraId="392E3060" w14:textId="34AFA360" w:rsidR="001829D6" w:rsidRPr="00261687" w:rsidRDefault="006E3F74">
      <w:pPr>
        <w:pStyle w:val="TOC1"/>
        <w:rPr>
          <w:rFonts w:asciiTheme="majorHAnsi" w:eastAsiaTheme="minorEastAsia" w:hAnsiTheme="majorHAnsi" w:cstheme="minorBidi"/>
          <w:noProof/>
          <w:sz w:val="20"/>
          <w:szCs w:val="20"/>
          <w:bdr w:val="none" w:sz="0" w:space="0" w:color="auto"/>
        </w:rPr>
      </w:pPr>
      <w:hyperlink w:anchor="_Toc26550943" w:history="1">
        <w:r w:rsidR="001829D6" w:rsidRPr="00261687">
          <w:rPr>
            <w:rStyle w:val="Hyperlink"/>
            <w:rFonts w:asciiTheme="majorHAnsi" w:hAnsiTheme="majorHAnsi"/>
            <w:noProof/>
            <w:sz w:val="20"/>
            <w:szCs w:val="20"/>
          </w:rPr>
          <w:t>VI.</w:t>
        </w:r>
        <w:r w:rsidR="001829D6" w:rsidRPr="00261687">
          <w:rPr>
            <w:rFonts w:asciiTheme="majorHAnsi" w:eastAsiaTheme="minorEastAsia" w:hAnsiTheme="majorHAnsi" w:cstheme="minorBidi"/>
            <w:noProof/>
            <w:sz w:val="20"/>
            <w:szCs w:val="20"/>
            <w:bdr w:val="none" w:sz="0" w:space="0" w:color="auto"/>
          </w:rPr>
          <w:tab/>
        </w:r>
        <w:r w:rsidR="001829D6" w:rsidRPr="00261687">
          <w:rPr>
            <w:rStyle w:val="Hyperlink"/>
            <w:rFonts w:asciiTheme="majorHAnsi" w:hAnsiTheme="majorHAnsi"/>
            <w:noProof/>
            <w:sz w:val="20"/>
            <w:szCs w:val="20"/>
          </w:rPr>
          <w:t>ACTIONS SUBSEQUENT TO REPORT No. 90/19</w:t>
        </w:r>
        <w:r w:rsidR="001829D6" w:rsidRPr="00261687">
          <w:rPr>
            <w:rFonts w:asciiTheme="majorHAnsi" w:hAnsiTheme="majorHAnsi"/>
            <w:noProof/>
            <w:webHidden/>
            <w:sz w:val="20"/>
            <w:szCs w:val="20"/>
          </w:rPr>
          <w:tab/>
        </w:r>
        <w:r w:rsidR="001829D6" w:rsidRPr="00261687">
          <w:rPr>
            <w:rFonts w:asciiTheme="majorHAnsi" w:hAnsiTheme="majorHAnsi"/>
            <w:noProof/>
            <w:webHidden/>
            <w:sz w:val="20"/>
            <w:szCs w:val="20"/>
          </w:rPr>
          <w:fldChar w:fldCharType="begin"/>
        </w:r>
        <w:r w:rsidR="001829D6" w:rsidRPr="00261687">
          <w:rPr>
            <w:rFonts w:asciiTheme="majorHAnsi" w:hAnsiTheme="majorHAnsi"/>
            <w:noProof/>
            <w:webHidden/>
            <w:sz w:val="20"/>
            <w:szCs w:val="20"/>
          </w:rPr>
          <w:instrText xml:space="preserve"> PAGEREF _Toc26550943 \h </w:instrText>
        </w:r>
        <w:r w:rsidR="001829D6" w:rsidRPr="00261687">
          <w:rPr>
            <w:rFonts w:asciiTheme="majorHAnsi" w:hAnsiTheme="majorHAnsi"/>
            <w:noProof/>
            <w:webHidden/>
            <w:sz w:val="20"/>
            <w:szCs w:val="20"/>
          </w:rPr>
        </w:r>
        <w:r w:rsidR="001829D6" w:rsidRPr="00261687">
          <w:rPr>
            <w:rFonts w:asciiTheme="majorHAnsi" w:hAnsiTheme="majorHAnsi"/>
            <w:noProof/>
            <w:webHidden/>
            <w:sz w:val="20"/>
            <w:szCs w:val="20"/>
          </w:rPr>
          <w:fldChar w:fldCharType="separate"/>
        </w:r>
        <w:r>
          <w:rPr>
            <w:rFonts w:asciiTheme="majorHAnsi" w:hAnsiTheme="majorHAnsi"/>
            <w:noProof/>
            <w:webHidden/>
            <w:sz w:val="20"/>
            <w:szCs w:val="20"/>
          </w:rPr>
          <w:t>23</w:t>
        </w:r>
        <w:r w:rsidR="001829D6" w:rsidRPr="00261687">
          <w:rPr>
            <w:rFonts w:asciiTheme="majorHAnsi" w:hAnsiTheme="majorHAnsi"/>
            <w:noProof/>
            <w:webHidden/>
            <w:sz w:val="20"/>
            <w:szCs w:val="20"/>
          </w:rPr>
          <w:fldChar w:fldCharType="end"/>
        </w:r>
      </w:hyperlink>
    </w:p>
    <w:p w14:paraId="3C02A718" w14:textId="243EB026" w:rsidR="001829D6" w:rsidRPr="00261687" w:rsidRDefault="006E3F74">
      <w:pPr>
        <w:pStyle w:val="TOC1"/>
        <w:rPr>
          <w:rFonts w:asciiTheme="majorHAnsi" w:eastAsiaTheme="minorEastAsia" w:hAnsiTheme="majorHAnsi" w:cstheme="minorBidi"/>
          <w:noProof/>
          <w:sz w:val="20"/>
          <w:szCs w:val="20"/>
          <w:bdr w:val="none" w:sz="0" w:space="0" w:color="auto"/>
        </w:rPr>
      </w:pPr>
      <w:hyperlink w:anchor="_Toc26550944" w:history="1">
        <w:r w:rsidR="001829D6" w:rsidRPr="00261687">
          <w:rPr>
            <w:rStyle w:val="Hyperlink"/>
            <w:rFonts w:asciiTheme="majorHAnsi" w:hAnsiTheme="majorHAnsi"/>
            <w:noProof/>
            <w:sz w:val="20"/>
            <w:szCs w:val="20"/>
            <w:lang w:val="es-ES_tradnl"/>
          </w:rPr>
          <w:t>VII.</w:t>
        </w:r>
        <w:r w:rsidR="001829D6" w:rsidRPr="00261687">
          <w:rPr>
            <w:rFonts w:asciiTheme="majorHAnsi" w:eastAsiaTheme="minorEastAsia" w:hAnsiTheme="majorHAnsi" w:cstheme="minorBidi"/>
            <w:noProof/>
            <w:sz w:val="20"/>
            <w:szCs w:val="20"/>
            <w:bdr w:val="none" w:sz="0" w:space="0" w:color="auto"/>
          </w:rPr>
          <w:tab/>
        </w:r>
        <w:r w:rsidR="001829D6" w:rsidRPr="00261687">
          <w:rPr>
            <w:rStyle w:val="Hyperlink"/>
            <w:rFonts w:asciiTheme="majorHAnsi" w:hAnsiTheme="majorHAnsi"/>
            <w:noProof/>
            <w:sz w:val="20"/>
            <w:szCs w:val="20"/>
            <w:lang w:val="es-ES_tradnl"/>
          </w:rPr>
          <w:t>FINAL CONCLUSIONS AND RECOMMENDATIONS</w:t>
        </w:r>
        <w:r w:rsidR="001829D6" w:rsidRPr="00261687">
          <w:rPr>
            <w:rFonts w:asciiTheme="majorHAnsi" w:hAnsiTheme="majorHAnsi"/>
            <w:noProof/>
            <w:webHidden/>
            <w:sz w:val="20"/>
            <w:szCs w:val="20"/>
          </w:rPr>
          <w:tab/>
        </w:r>
        <w:r w:rsidR="001829D6" w:rsidRPr="00261687">
          <w:rPr>
            <w:rFonts w:asciiTheme="majorHAnsi" w:hAnsiTheme="majorHAnsi"/>
            <w:noProof/>
            <w:webHidden/>
            <w:sz w:val="20"/>
            <w:szCs w:val="20"/>
          </w:rPr>
          <w:fldChar w:fldCharType="begin"/>
        </w:r>
        <w:r w:rsidR="001829D6" w:rsidRPr="00261687">
          <w:rPr>
            <w:rFonts w:asciiTheme="majorHAnsi" w:hAnsiTheme="majorHAnsi"/>
            <w:noProof/>
            <w:webHidden/>
            <w:sz w:val="20"/>
            <w:szCs w:val="20"/>
          </w:rPr>
          <w:instrText xml:space="preserve"> PAGEREF _Toc26550944 \h </w:instrText>
        </w:r>
        <w:r w:rsidR="001829D6" w:rsidRPr="00261687">
          <w:rPr>
            <w:rFonts w:asciiTheme="majorHAnsi" w:hAnsiTheme="majorHAnsi"/>
            <w:noProof/>
            <w:webHidden/>
            <w:sz w:val="20"/>
            <w:szCs w:val="20"/>
          </w:rPr>
        </w:r>
        <w:r w:rsidR="001829D6" w:rsidRPr="00261687">
          <w:rPr>
            <w:rFonts w:asciiTheme="majorHAnsi" w:hAnsiTheme="majorHAnsi"/>
            <w:noProof/>
            <w:webHidden/>
            <w:sz w:val="20"/>
            <w:szCs w:val="20"/>
          </w:rPr>
          <w:fldChar w:fldCharType="separate"/>
        </w:r>
        <w:r>
          <w:rPr>
            <w:rFonts w:asciiTheme="majorHAnsi" w:hAnsiTheme="majorHAnsi"/>
            <w:noProof/>
            <w:webHidden/>
            <w:sz w:val="20"/>
            <w:szCs w:val="20"/>
          </w:rPr>
          <w:t>25</w:t>
        </w:r>
        <w:r w:rsidR="001829D6" w:rsidRPr="00261687">
          <w:rPr>
            <w:rFonts w:asciiTheme="majorHAnsi" w:hAnsiTheme="majorHAnsi"/>
            <w:noProof/>
            <w:webHidden/>
            <w:sz w:val="20"/>
            <w:szCs w:val="20"/>
          </w:rPr>
          <w:fldChar w:fldCharType="end"/>
        </w:r>
      </w:hyperlink>
    </w:p>
    <w:p w14:paraId="4CD123DA" w14:textId="399BD4F1" w:rsidR="001829D6" w:rsidRPr="001829D6" w:rsidRDefault="006E3F74">
      <w:pPr>
        <w:pStyle w:val="TOC1"/>
        <w:rPr>
          <w:rFonts w:asciiTheme="majorHAnsi" w:eastAsiaTheme="minorEastAsia" w:hAnsiTheme="majorHAnsi" w:cstheme="minorBidi"/>
          <w:noProof/>
          <w:sz w:val="20"/>
          <w:szCs w:val="20"/>
          <w:bdr w:val="none" w:sz="0" w:space="0" w:color="auto"/>
        </w:rPr>
      </w:pPr>
      <w:hyperlink w:anchor="_Toc26550945" w:history="1">
        <w:r w:rsidR="001829D6" w:rsidRPr="00261687">
          <w:rPr>
            <w:rStyle w:val="Hyperlink"/>
            <w:rFonts w:asciiTheme="majorHAnsi" w:hAnsiTheme="majorHAnsi"/>
            <w:noProof/>
            <w:sz w:val="20"/>
            <w:szCs w:val="20"/>
            <w:lang w:val="es-ES_tradnl"/>
          </w:rPr>
          <w:t>VIII.</w:t>
        </w:r>
        <w:r w:rsidR="001829D6" w:rsidRPr="00261687">
          <w:rPr>
            <w:rFonts w:asciiTheme="majorHAnsi" w:eastAsiaTheme="minorEastAsia" w:hAnsiTheme="majorHAnsi" w:cstheme="minorBidi"/>
            <w:noProof/>
            <w:sz w:val="20"/>
            <w:szCs w:val="20"/>
            <w:bdr w:val="none" w:sz="0" w:space="0" w:color="auto"/>
          </w:rPr>
          <w:tab/>
        </w:r>
        <w:r w:rsidR="001829D6" w:rsidRPr="00261687">
          <w:rPr>
            <w:rStyle w:val="Hyperlink"/>
            <w:rFonts w:asciiTheme="majorHAnsi" w:hAnsiTheme="majorHAnsi"/>
            <w:noProof/>
            <w:sz w:val="20"/>
            <w:szCs w:val="20"/>
            <w:lang w:val="es-ES_tradnl"/>
          </w:rPr>
          <w:t>PUBLICATION</w:t>
        </w:r>
        <w:r w:rsidR="001829D6" w:rsidRPr="00261687">
          <w:rPr>
            <w:rFonts w:asciiTheme="majorHAnsi" w:hAnsiTheme="majorHAnsi"/>
            <w:noProof/>
            <w:webHidden/>
            <w:sz w:val="20"/>
            <w:szCs w:val="20"/>
          </w:rPr>
          <w:tab/>
        </w:r>
        <w:r w:rsidR="001829D6" w:rsidRPr="00261687">
          <w:rPr>
            <w:rFonts w:asciiTheme="majorHAnsi" w:hAnsiTheme="majorHAnsi"/>
            <w:noProof/>
            <w:webHidden/>
            <w:sz w:val="20"/>
            <w:szCs w:val="20"/>
          </w:rPr>
          <w:fldChar w:fldCharType="begin"/>
        </w:r>
        <w:r w:rsidR="001829D6" w:rsidRPr="00261687">
          <w:rPr>
            <w:rFonts w:asciiTheme="majorHAnsi" w:hAnsiTheme="majorHAnsi"/>
            <w:noProof/>
            <w:webHidden/>
            <w:sz w:val="20"/>
            <w:szCs w:val="20"/>
          </w:rPr>
          <w:instrText xml:space="preserve"> PAGEREF _Toc26550945 \h </w:instrText>
        </w:r>
        <w:r w:rsidR="001829D6" w:rsidRPr="00261687">
          <w:rPr>
            <w:rFonts w:asciiTheme="majorHAnsi" w:hAnsiTheme="majorHAnsi"/>
            <w:noProof/>
            <w:webHidden/>
            <w:sz w:val="20"/>
            <w:szCs w:val="20"/>
          </w:rPr>
        </w:r>
        <w:r w:rsidR="001829D6" w:rsidRPr="00261687">
          <w:rPr>
            <w:rFonts w:asciiTheme="majorHAnsi" w:hAnsiTheme="majorHAnsi"/>
            <w:noProof/>
            <w:webHidden/>
            <w:sz w:val="20"/>
            <w:szCs w:val="20"/>
          </w:rPr>
          <w:fldChar w:fldCharType="separate"/>
        </w:r>
        <w:r>
          <w:rPr>
            <w:rFonts w:asciiTheme="majorHAnsi" w:hAnsiTheme="majorHAnsi"/>
            <w:noProof/>
            <w:webHidden/>
            <w:sz w:val="20"/>
            <w:szCs w:val="20"/>
          </w:rPr>
          <w:t>26</w:t>
        </w:r>
        <w:r w:rsidR="001829D6" w:rsidRPr="00261687">
          <w:rPr>
            <w:rFonts w:asciiTheme="majorHAnsi" w:hAnsiTheme="majorHAnsi"/>
            <w:noProof/>
            <w:webHidden/>
            <w:sz w:val="20"/>
            <w:szCs w:val="20"/>
          </w:rPr>
          <w:fldChar w:fldCharType="end"/>
        </w:r>
      </w:hyperlink>
    </w:p>
    <w:p w14:paraId="0E593DC3" w14:textId="77777777" w:rsidR="007607C4" w:rsidRPr="00D2222C" w:rsidRDefault="00864785" w:rsidP="00145EDC">
      <w:pPr>
        <w:tabs>
          <w:tab w:val="center" w:pos="5400"/>
        </w:tabs>
        <w:suppressAutoHyphens/>
        <w:spacing w:line="276" w:lineRule="auto"/>
        <w:rPr>
          <w:rFonts w:asciiTheme="majorHAnsi" w:hAnsiTheme="majorHAnsi"/>
          <w:sz w:val="20"/>
          <w:szCs w:val="20"/>
        </w:rPr>
      </w:pPr>
      <w:r w:rsidRPr="001829D6">
        <w:rPr>
          <w:rFonts w:asciiTheme="majorHAnsi" w:hAnsiTheme="majorHAnsi"/>
          <w:sz w:val="20"/>
          <w:szCs w:val="20"/>
        </w:rPr>
        <w:fldChar w:fldCharType="end"/>
      </w:r>
    </w:p>
    <w:p w14:paraId="10A313F8" w14:textId="77777777" w:rsidR="00150D3B" w:rsidRPr="00D2222C" w:rsidRDefault="00150D3B">
      <w:pPr>
        <w:rPr>
          <w:rFonts w:asciiTheme="majorHAnsi" w:hAnsiTheme="majorHAnsi"/>
          <w:b/>
          <w:sz w:val="18"/>
          <w:szCs w:val="20"/>
        </w:rPr>
      </w:pPr>
      <w:r w:rsidRPr="00D2222C">
        <w:rPr>
          <w:rFonts w:asciiTheme="majorHAnsi" w:hAnsiTheme="majorHAnsi"/>
          <w:b/>
          <w:sz w:val="18"/>
          <w:szCs w:val="20"/>
        </w:rPr>
        <w:br w:type="page"/>
      </w:r>
    </w:p>
    <w:p w14:paraId="5B41D86D" w14:textId="77777777" w:rsidR="00444596" w:rsidRPr="00D2222C" w:rsidRDefault="00444596" w:rsidP="00444596">
      <w:pPr>
        <w:tabs>
          <w:tab w:val="center" w:pos="5400"/>
        </w:tabs>
        <w:suppressAutoHyphens/>
        <w:spacing w:line="276" w:lineRule="auto"/>
        <w:jc w:val="center"/>
        <w:rPr>
          <w:rFonts w:asciiTheme="majorHAnsi" w:hAnsiTheme="majorHAnsi"/>
          <w:b/>
          <w:sz w:val="18"/>
          <w:szCs w:val="20"/>
        </w:rPr>
      </w:pPr>
      <w:r w:rsidRPr="00D2222C">
        <w:rPr>
          <w:rFonts w:asciiTheme="majorHAnsi" w:hAnsiTheme="majorHAnsi"/>
          <w:b/>
          <w:sz w:val="18"/>
          <w:szCs w:val="20"/>
        </w:rPr>
        <w:lastRenderedPageBreak/>
        <w:t xml:space="preserve">REPORT No. </w:t>
      </w:r>
      <w:r w:rsidR="00261687">
        <w:rPr>
          <w:rFonts w:asciiTheme="majorHAnsi" w:hAnsiTheme="majorHAnsi"/>
          <w:b/>
          <w:sz w:val="18"/>
          <w:szCs w:val="20"/>
        </w:rPr>
        <w:t>28/20</w:t>
      </w:r>
    </w:p>
    <w:p w14:paraId="0818A471" w14:textId="77777777" w:rsidR="00444596" w:rsidRPr="00D2222C" w:rsidRDefault="00444596" w:rsidP="00444596">
      <w:pPr>
        <w:tabs>
          <w:tab w:val="center" w:pos="5400"/>
        </w:tabs>
        <w:suppressAutoHyphens/>
        <w:spacing w:line="276" w:lineRule="auto"/>
        <w:jc w:val="center"/>
        <w:rPr>
          <w:rFonts w:asciiTheme="majorHAnsi" w:hAnsiTheme="majorHAnsi"/>
          <w:b/>
          <w:sz w:val="18"/>
          <w:szCs w:val="20"/>
        </w:rPr>
      </w:pPr>
      <w:r w:rsidRPr="00D2222C">
        <w:rPr>
          <w:rFonts w:asciiTheme="majorHAnsi" w:hAnsiTheme="majorHAnsi"/>
          <w:b/>
          <w:sz w:val="18"/>
          <w:szCs w:val="20"/>
        </w:rPr>
        <w:t>CASE 12.719</w:t>
      </w:r>
    </w:p>
    <w:p w14:paraId="34694A89" w14:textId="77777777" w:rsidR="009660BF" w:rsidRPr="00D2222C" w:rsidRDefault="009660BF" w:rsidP="00444596">
      <w:pPr>
        <w:tabs>
          <w:tab w:val="center" w:pos="5400"/>
        </w:tabs>
        <w:suppressAutoHyphens/>
        <w:spacing w:line="276" w:lineRule="auto"/>
        <w:jc w:val="center"/>
        <w:rPr>
          <w:rFonts w:asciiTheme="majorHAnsi" w:hAnsiTheme="majorHAnsi"/>
          <w:sz w:val="18"/>
          <w:szCs w:val="20"/>
        </w:rPr>
      </w:pPr>
      <w:r w:rsidRPr="00D2222C">
        <w:rPr>
          <w:rFonts w:asciiTheme="majorHAnsi" w:hAnsiTheme="majorHAnsi"/>
          <w:sz w:val="18"/>
          <w:szCs w:val="20"/>
        </w:rPr>
        <w:t xml:space="preserve">REPORT ON </w:t>
      </w:r>
      <w:r w:rsidR="00444596" w:rsidRPr="00D2222C">
        <w:rPr>
          <w:rFonts w:asciiTheme="majorHAnsi" w:hAnsiTheme="majorHAnsi"/>
          <w:sz w:val="18"/>
          <w:szCs w:val="20"/>
        </w:rPr>
        <w:t>MERITS</w:t>
      </w:r>
    </w:p>
    <w:p w14:paraId="465D282F" w14:textId="77777777" w:rsidR="00444596" w:rsidRPr="00D2222C" w:rsidRDefault="009660BF" w:rsidP="00444596">
      <w:pPr>
        <w:tabs>
          <w:tab w:val="center" w:pos="5400"/>
        </w:tabs>
        <w:suppressAutoHyphens/>
        <w:spacing w:line="276" w:lineRule="auto"/>
        <w:jc w:val="center"/>
        <w:rPr>
          <w:rFonts w:asciiTheme="majorHAnsi" w:hAnsiTheme="majorHAnsi"/>
          <w:sz w:val="18"/>
          <w:szCs w:val="20"/>
        </w:rPr>
      </w:pPr>
      <w:r w:rsidRPr="00D2222C">
        <w:rPr>
          <w:rFonts w:asciiTheme="majorHAnsi" w:hAnsiTheme="majorHAnsi"/>
          <w:sz w:val="18"/>
          <w:szCs w:val="20"/>
        </w:rPr>
        <w:t>(</w:t>
      </w:r>
      <w:r w:rsidR="000B405D">
        <w:rPr>
          <w:rFonts w:asciiTheme="majorHAnsi" w:hAnsiTheme="majorHAnsi"/>
          <w:sz w:val="18"/>
          <w:szCs w:val="20"/>
        </w:rPr>
        <w:t>PUBLICATION</w:t>
      </w:r>
      <w:r w:rsidRPr="00D2222C">
        <w:rPr>
          <w:rFonts w:asciiTheme="majorHAnsi" w:hAnsiTheme="majorHAnsi"/>
          <w:sz w:val="18"/>
          <w:szCs w:val="20"/>
        </w:rPr>
        <w:t>)</w:t>
      </w:r>
      <w:r w:rsidR="00444596" w:rsidRPr="00D2222C">
        <w:rPr>
          <w:rFonts w:asciiTheme="majorHAnsi" w:hAnsiTheme="majorHAnsi"/>
          <w:sz w:val="18"/>
          <w:szCs w:val="20"/>
        </w:rPr>
        <w:t xml:space="preserve"> </w:t>
      </w:r>
    </w:p>
    <w:p w14:paraId="7EDB78AC" w14:textId="77777777" w:rsidR="00444596" w:rsidRPr="00D2222C" w:rsidRDefault="00444596" w:rsidP="00444596">
      <w:pPr>
        <w:tabs>
          <w:tab w:val="center" w:pos="5400"/>
        </w:tabs>
        <w:suppressAutoHyphens/>
        <w:spacing w:line="276" w:lineRule="auto"/>
        <w:jc w:val="center"/>
        <w:rPr>
          <w:rFonts w:asciiTheme="majorHAnsi" w:hAnsiTheme="majorHAnsi"/>
          <w:sz w:val="18"/>
          <w:szCs w:val="20"/>
        </w:rPr>
      </w:pPr>
      <w:r w:rsidRPr="00D2222C">
        <w:rPr>
          <w:rFonts w:asciiTheme="majorHAnsi" w:hAnsiTheme="majorHAnsi"/>
          <w:sz w:val="18"/>
          <w:szCs w:val="20"/>
        </w:rPr>
        <w:t>ORLANDO CORDIA HALL</w:t>
      </w:r>
    </w:p>
    <w:p w14:paraId="44B16A60" w14:textId="77777777" w:rsidR="00444596" w:rsidRPr="00D2222C" w:rsidRDefault="00444596" w:rsidP="00444596">
      <w:pPr>
        <w:tabs>
          <w:tab w:val="center" w:pos="5400"/>
        </w:tabs>
        <w:suppressAutoHyphens/>
        <w:spacing w:line="276" w:lineRule="auto"/>
        <w:jc w:val="center"/>
        <w:rPr>
          <w:rFonts w:asciiTheme="majorHAnsi" w:hAnsiTheme="majorHAnsi"/>
          <w:sz w:val="18"/>
          <w:szCs w:val="20"/>
        </w:rPr>
      </w:pPr>
      <w:r w:rsidRPr="00D2222C">
        <w:rPr>
          <w:rFonts w:asciiTheme="majorHAnsi" w:hAnsiTheme="majorHAnsi"/>
          <w:sz w:val="18"/>
          <w:szCs w:val="20"/>
        </w:rPr>
        <w:t>UNITED STATES</w:t>
      </w:r>
      <w:r w:rsidR="00E57833" w:rsidRPr="00D2222C">
        <w:rPr>
          <w:rFonts w:asciiTheme="majorHAnsi" w:hAnsiTheme="majorHAnsi"/>
          <w:sz w:val="18"/>
          <w:szCs w:val="20"/>
        </w:rPr>
        <w:t xml:space="preserve"> OF AMERICA</w:t>
      </w:r>
      <w:r w:rsidRPr="00D2222C">
        <w:rPr>
          <w:rFonts w:asciiTheme="majorHAnsi" w:hAnsiTheme="majorHAnsi"/>
          <w:sz w:val="18"/>
          <w:szCs w:val="20"/>
        </w:rPr>
        <w:br/>
      </w:r>
      <w:r w:rsidR="00261687">
        <w:rPr>
          <w:rFonts w:asciiTheme="majorHAnsi" w:hAnsiTheme="majorHAnsi"/>
          <w:sz w:val="18"/>
          <w:szCs w:val="20"/>
        </w:rPr>
        <w:t>APRIL 22</w:t>
      </w:r>
      <w:r w:rsidR="00D2222C">
        <w:rPr>
          <w:rFonts w:asciiTheme="majorHAnsi" w:hAnsiTheme="majorHAnsi"/>
          <w:sz w:val="18"/>
          <w:szCs w:val="20"/>
        </w:rPr>
        <w:t>, 20</w:t>
      </w:r>
      <w:r w:rsidR="00326763">
        <w:rPr>
          <w:rFonts w:asciiTheme="majorHAnsi" w:hAnsiTheme="majorHAnsi"/>
          <w:sz w:val="18"/>
          <w:szCs w:val="20"/>
        </w:rPr>
        <w:t>20</w:t>
      </w:r>
    </w:p>
    <w:p w14:paraId="654AC382" w14:textId="77777777" w:rsidR="007607C4" w:rsidRPr="00D2222C" w:rsidRDefault="007607C4" w:rsidP="00BB5A59">
      <w:pPr>
        <w:tabs>
          <w:tab w:val="center" w:pos="5400"/>
        </w:tabs>
        <w:suppressAutoHyphens/>
        <w:spacing w:line="276" w:lineRule="auto"/>
        <w:ind w:left="1440" w:hanging="720"/>
        <w:rPr>
          <w:rFonts w:asciiTheme="majorHAnsi" w:hAnsiTheme="majorHAnsi"/>
          <w:sz w:val="20"/>
          <w:szCs w:val="20"/>
        </w:rPr>
      </w:pPr>
    </w:p>
    <w:p w14:paraId="003B3BE1" w14:textId="77777777" w:rsidR="001C4006" w:rsidRPr="00D2222C" w:rsidRDefault="001C4006" w:rsidP="00BB5A59">
      <w:pPr>
        <w:pStyle w:val="Heading1"/>
        <w:spacing w:before="0"/>
        <w:ind w:left="1440" w:hanging="720"/>
        <w:rPr>
          <w:color w:val="auto"/>
          <w:sz w:val="20"/>
          <w:szCs w:val="20"/>
          <w:lang w:val="es-ES_tradnl"/>
        </w:rPr>
      </w:pPr>
      <w:bookmarkStart w:id="0" w:name="_Toc26550916"/>
      <w:r w:rsidRPr="00D2222C">
        <w:rPr>
          <w:color w:val="auto"/>
          <w:sz w:val="20"/>
          <w:szCs w:val="20"/>
          <w:lang w:val="es-ES_tradnl"/>
        </w:rPr>
        <w:t>SUMMARY</w:t>
      </w:r>
      <w:bookmarkEnd w:id="0"/>
      <w:r w:rsidRPr="00D2222C">
        <w:rPr>
          <w:color w:val="auto"/>
          <w:sz w:val="20"/>
          <w:szCs w:val="20"/>
          <w:lang w:val="es-ES_tradnl"/>
        </w:rPr>
        <w:t xml:space="preserve"> </w:t>
      </w:r>
    </w:p>
    <w:p w14:paraId="7B74DE8E" w14:textId="77777777" w:rsidR="001C4006" w:rsidRPr="00D2222C" w:rsidRDefault="001C4006" w:rsidP="00BB5A59">
      <w:pPr>
        <w:suppressAutoHyphens/>
        <w:ind w:left="1440" w:hanging="720"/>
        <w:rPr>
          <w:rFonts w:asciiTheme="majorHAnsi" w:hAnsiTheme="majorHAnsi"/>
          <w:b/>
          <w:sz w:val="20"/>
          <w:szCs w:val="20"/>
          <w:lang w:val="es-ES_tradnl"/>
        </w:rPr>
      </w:pPr>
    </w:p>
    <w:p w14:paraId="4D8AFA27" w14:textId="77777777" w:rsidR="001C4006" w:rsidRPr="00D2222C" w:rsidRDefault="001C4006"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rPr>
      </w:pPr>
      <w:r w:rsidRPr="00D2222C">
        <w:rPr>
          <w:rFonts w:asciiTheme="majorHAnsi" w:hAnsiTheme="majorHAnsi"/>
          <w:color w:val="000000" w:themeColor="text1"/>
          <w:sz w:val="20"/>
          <w:szCs w:val="20"/>
        </w:rPr>
        <w:t xml:space="preserve">On </w:t>
      </w:r>
      <w:r w:rsidR="00444596" w:rsidRPr="00D2222C">
        <w:rPr>
          <w:rFonts w:asciiTheme="majorHAnsi" w:hAnsiTheme="majorHAnsi"/>
          <w:color w:val="000000" w:themeColor="text1"/>
          <w:sz w:val="20"/>
          <w:szCs w:val="20"/>
        </w:rPr>
        <w:t>October 16, 200</w:t>
      </w:r>
      <w:r w:rsidR="0046072C" w:rsidRPr="00D2222C">
        <w:rPr>
          <w:rFonts w:asciiTheme="majorHAnsi" w:hAnsiTheme="majorHAnsi"/>
          <w:color w:val="000000" w:themeColor="text1"/>
          <w:sz w:val="20"/>
          <w:szCs w:val="20"/>
        </w:rPr>
        <w:t>7</w:t>
      </w:r>
      <w:r w:rsidRPr="00D2222C">
        <w:rPr>
          <w:rFonts w:asciiTheme="majorHAnsi" w:hAnsiTheme="majorHAnsi"/>
          <w:color w:val="000000" w:themeColor="text1"/>
          <w:sz w:val="20"/>
          <w:szCs w:val="20"/>
        </w:rPr>
        <w:t>, the Inter-American Commission on Human Rights (the “Inter-American Commission” or “IACHR”) received a petition</w:t>
      </w:r>
      <w:r w:rsidR="00444596" w:rsidRPr="00D2222C">
        <w:rPr>
          <w:rFonts w:asciiTheme="majorHAnsi" w:hAnsiTheme="majorHAnsi"/>
          <w:color w:val="000000" w:themeColor="text1"/>
          <w:sz w:val="20"/>
          <w:szCs w:val="20"/>
        </w:rPr>
        <w:t xml:space="preserve"> submitted by Marica A. Widder and Robert C. Owen, from the University of Texas at Austin, and Owen Bonheimer from Steptoe &amp; Johnson LLP (the “petitioners”)</w:t>
      </w:r>
      <w:r w:rsidR="000B25FC" w:rsidRPr="00D2222C">
        <w:rPr>
          <w:rFonts w:asciiTheme="majorHAnsi" w:hAnsiTheme="majorHAnsi"/>
          <w:color w:val="000000" w:themeColor="text1"/>
          <w:sz w:val="20"/>
          <w:szCs w:val="20"/>
        </w:rPr>
        <w:t>,</w:t>
      </w:r>
      <w:r w:rsidR="00B42ABC" w:rsidRPr="00D2222C">
        <w:rPr>
          <w:rStyle w:val="FootnoteReference"/>
          <w:rFonts w:asciiTheme="majorHAnsi" w:hAnsiTheme="majorHAnsi"/>
          <w:color w:val="000000" w:themeColor="text1"/>
          <w:sz w:val="20"/>
          <w:szCs w:val="20"/>
        </w:rPr>
        <w:footnoteReference w:id="2"/>
      </w:r>
      <w:r w:rsidRPr="00D2222C">
        <w:rPr>
          <w:rFonts w:asciiTheme="majorHAnsi" w:hAnsiTheme="majorHAnsi"/>
          <w:color w:val="000000" w:themeColor="text1"/>
          <w:sz w:val="20"/>
          <w:szCs w:val="20"/>
        </w:rPr>
        <w:t xml:space="preserve"> alleg</w:t>
      </w:r>
      <w:r w:rsidR="00E86EAF" w:rsidRPr="00D2222C">
        <w:rPr>
          <w:rFonts w:asciiTheme="majorHAnsi" w:hAnsiTheme="majorHAnsi"/>
          <w:color w:val="000000" w:themeColor="text1"/>
          <w:sz w:val="20"/>
          <w:szCs w:val="20"/>
        </w:rPr>
        <w:t xml:space="preserve">ing </w:t>
      </w:r>
      <w:r w:rsidRPr="00D2222C">
        <w:rPr>
          <w:rFonts w:asciiTheme="majorHAnsi" w:hAnsiTheme="majorHAnsi"/>
          <w:color w:val="000000" w:themeColor="text1"/>
          <w:sz w:val="20"/>
          <w:szCs w:val="20"/>
        </w:rPr>
        <w:t xml:space="preserve">the international responsibility of </w:t>
      </w:r>
      <w:r w:rsidR="0046072C" w:rsidRPr="00D2222C">
        <w:rPr>
          <w:rFonts w:asciiTheme="majorHAnsi" w:hAnsiTheme="majorHAnsi"/>
          <w:color w:val="000000" w:themeColor="text1"/>
          <w:sz w:val="20"/>
          <w:szCs w:val="20"/>
        </w:rPr>
        <w:t>the United States of America</w:t>
      </w:r>
      <w:r w:rsidRPr="00D2222C">
        <w:rPr>
          <w:rFonts w:asciiTheme="majorHAnsi" w:hAnsiTheme="majorHAnsi"/>
          <w:color w:val="000000" w:themeColor="text1"/>
          <w:sz w:val="20"/>
          <w:szCs w:val="20"/>
        </w:rPr>
        <w:t xml:space="preserve"> (the “State” or “</w:t>
      </w:r>
      <w:r w:rsidR="0046072C" w:rsidRPr="00D2222C">
        <w:rPr>
          <w:rFonts w:asciiTheme="majorHAnsi" w:hAnsiTheme="majorHAnsi"/>
          <w:color w:val="000000" w:themeColor="text1"/>
          <w:sz w:val="20"/>
          <w:szCs w:val="20"/>
        </w:rPr>
        <w:t>the United States</w:t>
      </w:r>
      <w:r w:rsidRPr="00D2222C">
        <w:rPr>
          <w:rFonts w:asciiTheme="majorHAnsi" w:hAnsiTheme="majorHAnsi"/>
          <w:color w:val="000000" w:themeColor="text1"/>
          <w:sz w:val="20"/>
          <w:szCs w:val="20"/>
        </w:rPr>
        <w:t xml:space="preserve">”) for violations of the rights of </w:t>
      </w:r>
      <w:r w:rsidR="00E57833" w:rsidRPr="00D2222C">
        <w:rPr>
          <w:rFonts w:asciiTheme="majorHAnsi" w:hAnsiTheme="majorHAnsi"/>
          <w:color w:val="000000" w:themeColor="text1"/>
          <w:sz w:val="20"/>
          <w:szCs w:val="20"/>
        </w:rPr>
        <w:t>Orlando Cordia Hall</w:t>
      </w:r>
      <w:r w:rsidRPr="00D2222C">
        <w:rPr>
          <w:rFonts w:asciiTheme="majorHAnsi" w:hAnsiTheme="majorHAnsi"/>
          <w:color w:val="000000" w:themeColor="text1"/>
          <w:sz w:val="20"/>
          <w:szCs w:val="20"/>
        </w:rPr>
        <w:t xml:space="preserve">. </w:t>
      </w:r>
    </w:p>
    <w:p w14:paraId="67AB891A" w14:textId="77777777" w:rsidR="001C4006" w:rsidRPr="00D2222C" w:rsidRDefault="001C4006" w:rsidP="009E384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Pr>
          <w:rFonts w:asciiTheme="majorHAnsi" w:hAnsiTheme="majorHAnsi"/>
          <w:color w:val="000000" w:themeColor="text1"/>
          <w:sz w:val="20"/>
          <w:szCs w:val="20"/>
        </w:rPr>
      </w:pPr>
    </w:p>
    <w:p w14:paraId="3AB7899B" w14:textId="77777777" w:rsidR="001C4006" w:rsidRPr="00D2222C" w:rsidRDefault="001C4006"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rPr>
      </w:pPr>
      <w:r w:rsidRPr="00D2222C">
        <w:rPr>
          <w:rFonts w:asciiTheme="majorHAnsi" w:hAnsiTheme="majorHAnsi"/>
          <w:color w:val="000000" w:themeColor="text1"/>
          <w:sz w:val="20"/>
          <w:szCs w:val="20"/>
        </w:rPr>
        <w:t xml:space="preserve">The Commission approved its admissibility report No. </w:t>
      </w:r>
      <w:r w:rsidR="000B25FC" w:rsidRPr="00D2222C">
        <w:rPr>
          <w:rFonts w:asciiTheme="majorHAnsi" w:hAnsiTheme="majorHAnsi"/>
          <w:color w:val="000000" w:themeColor="text1"/>
          <w:sz w:val="20"/>
          <w:szCs w:val="20"/>
        </w:rPr>
        <w:t>77</w:t>
      </w:r>
      <w:r w:rsidRPr="00D2222C">
        <w:rPr>
          <w:rFonts w:asciiTheme="majorHAnsi" w:hAnsiTheme="majorHAnsi"/>
          <w:color w:val="000000" w:themeColor="text1"/>
          <w:sz w:val="20"/>
          <w:szCs w:val="20"/>
        </w:rPr>
        <w:t>/</w:t>
      </w:r>
      <w:r w:rsidR="000B25FC" w:rsidRPr="00D2222C">
        <w:rPr>
          <w:rFonts w:asciiTheme="majorHAnsi" w:hAnsiTheme="majorHAnsi"/>
          <w:color w:val="000000" w:themeColor="text1"/>
          <w:sz w:val="20"/>
          <w:szCs w:val="20"/>
        </w:rPr>
        <w:t>09</w:t>
      </w:r>
      <w:r w:rsidRPr="00D2222C">
        <w:rPr>
          <w:rFonts w:asciiTheme="majorHAnsi" w:hAnsiTheme="majorHAnsi"/>
          <w:color w:val="000000" w:themeColor="text1"/>
          <w:sz w:val="20"/>
          <w:szCs w:val="20"/>
        </w:rPr>
        <w:t xml:space="preserve"> on </w:t>
      </w:r>
      <w:r w:rsidR="000B25FC" w:rsidRPr="00D2222C">
        <w:rPr>
          <w:rFonts w:asciiTheme="majorHAnsi" w:hAnsiTheme="majorHAnsi"/>
          <w:color w:val="000000" w:themeColor="text1"/>
          <w:sz w:val="20"/>
          <w:szCs w:val="20"/>
        </w:rPr>
        <w:t>August 5</w:t>
      </w:r>
      <w:r w:rsidR="0046072C" w:rsidRPr="00D2222C">
        <w:rPr>
          <w:rFonts w:asciiTheme="majorHAnsi" w:hAnsiTheme="majorHAnsi"/>
          <w:color w:val="000000" w:themeColor="text1"/>
          <w:sz w:val="20"/>
          <w:szCs w:val="20"/>
        </w:rPr>
        <w:t>, 20</w:t>
      </w:r>
      <w:r w:rsidR="000B25FC" w:rsidRPr="00D2222C">
        <w:rPr>
          <w:rFonts w:asciiTheme="majorHAnsi" w:hAnsiTheme="majorHAnsi"/>
          <w:color w:val="000000" w:themeColor="text1"/>
          <w:sz w:val="20"/>
          <w:szCs w:val="20"/>
        </w:rPr>
        <w:t>09</w:t>
      </w:r>
      <w:r w:rsidRPr="00D2222C">
        <w:rPr>
          <w:rFonts w:asciiTheme="majorHAnsi" w:hAnsiTheme="majorHAnsi"/>
          <w:color w:val="000000" w:themeColor="text1"/>
          <w:sz w:val="20"/>
          <w:szCs w:val="20"/>
        </w:rPr>
        <w:t>.</w:t>
      </w:r>
      <w:r w:rsidRPr="00D2222C">
        <w:rPr>
          <w:rStyle w:val="FootnoteReference"/>
          <w:rFonts w:asciiTheme="majorHAnsi" w:hAnsiTheme="majorHAnsi"/>
          <w:sz w:val="20"/>
          <w:szCs w:val="20"/>
          <w:lang w:val="es-ES_tradnl"/>
        </w:rPr>
        <w:footnoteReference w:id="3"/>
      </w:r>
      <w:r w:rsidRPr="00D2222C">
        <w:rPr>
          <w:rFonts w:asciiTheme="majorHAnsi" w:hAnsiTheme="majorHAnsi"/>
          <w:color w:val="000000" w:themeColor="text1"/>
          <w:sz w:val="20"/>
          <w:szCs w:val="20"/>
        </w:rPr>
        <w:t xml:space="preserve"> On </w:t>
      </w:r>
      <w:r w:rsidR="002B110C" w:rsidRPr="00D2222C">
        <w:rPr>
          <w:rFonts w:asciiTheme="majorHAnsi" w:hAnsiTheme="majorHAnsi"/>
          <w:color w:val="000000" w:themeColor="text1"/>
          <w:sz w:val="20"/>
          <w:szCs w:val="20"/>
        </w:rPr>
        <w:t>August 31</w:t>
      </w:r>
      <w:r w:rsidRPr="00D2222C">
        <w:rPr>
          <w:rFonts w:asciiTheme="majorHAnsi" w:hAnsiTheme="majorHAnsi"/>
          <w:color w:val="000000" w:themeColor="text1"/>
          <w:sz w:val="20"/>
          <w:szCs w:val="20"/>
        </w:rPr>
        <w:t>,</w:t>
      </w:r>
      <w:r w:rsidR="002B110C" w:rsidRPr="00D2222C">
        <w:rPr>
          <w:rFonts w:asciiTheme="majorHAnsi" w:hAnsiTheme="majorHAnsi"/>
          <w:color w:val="000000" w:themeColor="text1"/>
          <w:sz w:val="20"/>
          <w:szCs w:val="20"/>
        </w:rPr>
        <w:t xml:space="preserve"> 2009,</w:t>
      </w:r>
      <w:r w:rsidRPr="00D2222C">
        <w:rPr>
          <w:rFonts w:asciiTheme="majorHAnsi" w:hAnsiTheme="majorHAnsi"/>
          <w:color w:val="000000" w:themeColor="text1"/>
          <w:sz w:val="20"/>
          <w:szCs w:val="20"/>
        </w:rPr>
        <w:t xml:space="preserve"> the </w:t>
      </w:r>
      <w:r w:rsidR="00DA7151" w:rsidRPr="00D2222C">
        <w:rPr>
          <w:rFonts w:asciiTheme="majorHAnsi" w:hAnsiTheme="majorHAnsi"/>
          <w:color w:val="000000" w:themeColor="text1"/>
          <w:sz w:val="20"/>
          <w:szCs w:val="20"/>
        </w:rPr>
        <w:t>IACHR</w:t>
      </w:r>
      <w:r w:rsidRPr="00D2222C">
        <w:rPr>
          <w:rFonts w:asciiTheme="majorHAnsi" w:hAnsiTheme="majorHAnsi"/>
          <w:color w:val="000000" w:themeColor="text1"/>
          <w:sz w:val="20"/>
          <w:szCs w:val="20"/>
        </w:rPr>
        <w:t xml:space="preserve"> notified th</w:t>
      </w:r>
      <w:r w:rsidR="00DA7151" w:rsidRPr="00D2222C">
        <w:rPr>
          <w:rFonts w:asciiTheme="majorHAnsi" w:hAnsiTheme="majorHAnsi"/>
          <w:color w:val="000000" w:themeColor="text1"/>
          <w:sz w:val="20"/>
          <w:szCs w:val="20"/>
        </w:rPr>
        <w:t>e</w:t>
      </w:r>
      <w:r w:rsidRPr="00D2222C">
        <w:rPr>
          <w:rFonts w:asciiTheme="majorHAnsi" w:hAnsiTheme="majorHAnsi"/>
          <w:color w:val="000000" w:themeColor="text1"/>
          <w:sz w:val="20"/>
          <w:szCs w:val="20"/>
        </w:rPr>
        <w:t xml:space="preserve"> report to the parties and placed itself at the disposition of the parties to reach a friendly settlement. The parties enjoyed the time periods provided for in the IACHR’s Rules of Procedure to present additional observations on the merits. On </w:t>
      </w:r>
      <w:r w:rsidR="000B25FC" w:rsidRPr="00D2222C">
        <w:rPr>
          <w:rFonts w:asciiTheme="majorHAnsi" w:hAnsiTheme="majorHAnsi"/>
          <w:color w:val="000000" w:themeColor="text1"/>
          <w:sz w:val="20"/>
          <w:szCs w:val="20"/>
        </w:rPr>
        <w:t>October 29, 2010</w:t>
      </w:r>
      <w:r w:rsidRPr="00D2222C">
        <w:rPr>
          <w:rFonts w:asciiTheme="majorHAnsi" w:hAnsiTheme="majorHAnsi"/>
          <w:color w:val="000000" w:themeColor="text1"/>
          <w:sz w:val="20"/>
          <w:szCs w:val="20"/>
        </w:rPr>
        <w:t xml:space="preserve">, the </w:t>
      </w:r>
      <w:r w:rsidR="00DA7151" w:rsidRPr="00D2222C">
        <w:rPr>
          <w:rFonts w:asciiTheme="majorHAnsi" w:hAnsiTheme="majorHAnsi"/>
          <w:color w:val="000000" w:themeColor="text1"/>
          <w:sz w:val="20"/>
          <w:szCs w:val="20"/>
        </w:rPr>
        <w:t>IACHR</w:t>
      </w:r>
      <w:r w:rsidRPr="00D2222C">
        <w:rPr>
          <w:rFonts w:asciiTheme="majorHAnsi" w:hAnsiTheme="majorHAnsi"/>
          <w:color w:val="000000" w:themeColor="text1"/>
          <w:sz w:val="20"/>
          <w:szCs w:val="20"/>
        </w:rPr>
        <w:t xml:space="preserve"> held a hearing on the merits of the case. All the information received by the </w:t>
      </w:r>
      <w:r w:rsidR="00DA7151" w:rsidRPr="00D2222C">
        <w:rPr>
          <w:rFonts w:asciiTheme="majorHAnsi" w:hAnsiTheme="majorHAnsi"/>
          <w:color w:val="000000" w:themeColor="text1"/>
          <w:sz w:val="20"/>
          <w:szCs w:val="20"/>
        </w:rPr>
        <w:t>IACHR</w:t>
      </w:r>
      <w:r w:rsidRPr="00D2222C">
        <w:rPr>
          <w:rFonts w:asciiTheme="majorHAnsi" w:hAnsiTheme="majorHAnsi"/>
          <w:color w:val="000000" w:themeColor="text1"/>
          <w:sz w:val="20"/>
          <w:szCs w:val="20"/>
        </w:rPr>
        <w:t xml:space="preserve"> was duly transmitted to the parties.</w:t>
      </w:r>
      <w:r w:rsidR="00BA3133" w:rsidRPr="00D2222C">
        <w:rPr>
          <w:rStyle w:val="FootnoteReference"/>
          <w:rFonts w:asciiTheme="majorHAnsi" w:hAnsiTheme="majorHAnsi"/>
          <w:color w:val="000000" w:themeColor="text1"/>
          <w:sz w:val="20"/>
          <w:szCs w:val="20"/>
        </w:rPr>
        <w:footnoteReference w:id="4"/>
      </w:r>
      <w:r w:rsidRPr="00D2222C">
        <w:rPr>
          <w:rFonts w:asciiTheme="majorHAnsi" w:hAnsiTheme="majorHAnsi"/>
          <w:color w:val="000000" w:themeColor="text1"/>
          <w:sz w:val="20"/>
          <w:szCs w:val="20"/>
        </w:rPr>
        <w:t xml:space="preserve"> </w:t>
      </w:r>
    </w:p>
    <w:p w14:paraId="2E26CD03" w14:textId="77777777" w:rsidR="001C4006" w:rsidRPr="00D2222C" w:rsidRDefault="001C4006" w:rsidP="009E384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rPr>
          <w:rFonts w:asciiTheme="majorHAnsi" w:hAnsiTheme="majorHAnsi"/>
          <w:color w:val="000000" w:themeColor="text1"/>
          <w:sz w:val="20"/>
          <w:szCs w:val="20"/>
        </w:rPr>
      </w:pPr>
    </w:p>
    <w:p w14:paraId="2193AD6E" w14:textId="77777777" w:rsidR="001C4006" w:rsidRPr="00D2222C" w:rsidRDefault="001C4006"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rPr>
      </w:pPr>
      <w:r w:rsidRPr="00D2222C">
        <w:rPr>
          <w:rFonts w:asciiTheme="majorHAnsi" w:hAnsiTheme="majorHAnsi"/>
          <w:color w:val="000000" w:themeColor="text1"/>
          <w:sz w:val="20"/>
          <w:szCs w:val="20"/>
        </w:rPr>
        <w:t xml:space="preserve">The petitioners alleged that </w:t>
      </w:r>
      <w:r w:rsidR="00330E0E" w:rsidRPr="00D2222C">
        <w:rPr>
          <w:rFonts w:asciiTheme="majorHAnsi" w:hAnsiTheme="majorHAnsi"/>
          <w:color w:val="000000" w:themeColor="text1"/>
          <w:sz w:val="20"/>
          <w:szCs w:val="20"/>
        </w:rPr>
        <w:t>Mr</w:t>
      </w:r>
      <w:r w:rsidRPr="00D2222C">
        <w:rPr>
          <w:rFonts w:asciiTheme="majorHAnsi" w:hAnsiTheme="majorHAnsi"/>
          <w:color w:val="000000" w:themeColor="text1"/>
          <w:sz w:val="20"/>
          <w:szCs w:val="20"/>
        </w:rPr>
        <w:t>.</w:t>
      </w:r>
      <w:r w:rsidR="00330E0E" w:rsidRPr="00D2222C">
        <w:rPr>
          <w:rFonts w:asciiTheme="majorHAnsi" w:hAnsiTheme="majorHAnsi"/>
          <w:color w:val="000000" w:themeColor="text1"/>
          <w:sz w:val="20"/>
          <w:szCs w:val="20"/>
        </w:rPr>
        <w:t xml:space="preserve"> Hall </w:t>
      </w:r>
      <w:r w:rsidR="00E15FBA" w:rsidRPr="00D2222C">
        <w:rPr>
          <w:rFonts w:asciiTheme="majorHAnsi" w:hAnsiTheme="majorHAnsi"/>
          <w:color w:val="000000" w:themeColor="text1"/>
          <w:sz w:val="20"/>
          <w:szCs w:val="20"/>
        </w:rPr>
        <w:t>was tried, convicted and sentenced to death in circumstances amounting to racial discrimination; that he was deprived of effective legal representation during the penalty phase of his trial; that there was a lack of impartiality on the part of the trial jury; and that Mr. Hall was denied access to effective post-conviction remedies.</w:t>
      </w:r>
      <w:r w:rsidR="00784600" w:rsidRPr="00D2222C">
        <w:rPr>
          <w:rFonts w:asciiTheme="majorHAnsi" w:hAnsiTheme="majorHAnsi"/>
          <w:color w:val="000000" w:themeColor="text1"/>
          <w:sz w:val="20"/>
          <w:szCs w:val="20"/>
        </w:rPr>
        <w:t xml:space="preserve"> The petitioners also stated that </w:t>
      </w:r>
      <w:r w:rsidR="00D16C41" w:rsidRPr="00D2222C">
        <w:rPr>
          <w:rFonts w:asciiTheme="majorHAnsi" w:hAnsiTheme="majorHAnsi"/>
          <w:color w:val="000000" w:themeColor="text1"/>
          <w:sz w:val="20"/>
          <w:szCs w:val="20"/>
        </w:rPr>
        <w:t xml:space="preserve">the lethal injection protocol would not adequately protect Mr. Hall against inhuman pain and suffering and </w:t>
      </w:r>
      <w:r w:rsidR="005C1853" w:rsidRPr="00D2222C">
        <w:rPr>
          <w:rFonts w:asciiTheme="majorHAnsi" w:hAnsiTheme="majorHAnsi"/>
          <w:color w:val="000000" w:themeColor="text1"/>
          <w:sz w:val="20"/>
          <w:szCs w:val="20"/>
        </w:rPr>
        <w:t>that clemency proce</w:t>
      </w:r>
      <w:r w:rsidR="00382598" w:rsidRPr="00D2222C">
        <w:rPr>
          <w:rFonts w:asciiTheme="majorHAnsi" w:hAnsiTheme="majorHAnsi"/>
          <w:color w:val="000000" w:themeColor="text1"/>
          <w:sz w:val="20"/>
          <w:szCs w:val="20"/>
        </w:rPr>
        <w:t>eding</w:t>
      </w:r>
      <w:r w:rsidR="00B06BF4" w:rsidRPr="00D2222C">
        <w:rPr>
          <w:rFonts w:asciiTheme="majorHAnsi" w:hAnsiTheme="majorHAnsi"/>
          <w:color w:val="000000" w:themeColor="text1"/>
          <w:sz w:val="20"/>
          <w:szCs w:val="20"/>
        </w:rPr>
        <w:t>s</w:t>
      </w:r>
      <w:r w:rsidR="00382598" w:rsidRPr="00D2222C">
        <w:rPr>
          <w:rFonts w:asciiTheme="majorHAnsi" w:hAnsiTheme="majorHAnsi"/>
          <w:color w:val="000000" w:themeColor="text1"/>
          <w:sz w:val="20"/>
          <w:szCs w:val="20"/>
        </w:rPr>
        <w:t xml:space="preserve"> lack due process protections.</w:t>
      </w:r>
      <w:r w:rsidR="005C1853" w:rsidRPr="00D2222C">
        <w:rPr>
          <w:rFonts w:asciiTheme="majorHAnsi" w:hAnsiTheme="majorHAnsi"/>
          <w:color w:val="000000" w:themeColor="text1"/>
          <w:sz w:val="20"/>
          <w:szCs w:val="20"/>
        </w:rPr>
        <w:t xml:space="preserve"> </w:t>
      </w:r>
    </w:p>
    <w:p w14:paraId="3971176C" w14:textId="77777777" w:rsidR="001C4006" w:rsidRPr="00D2222C" w:rsidRDefault="001C4006" w:rsidP="009E384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Pr>
          <w:rFonts w:asciiTheme="majorHAnsi" w:hAnsiTheme="majorHAnsi"/>
          <w:color w:val="000000" w:themeColor="text1"/>
          <w:sz w:val="20"/>
          <w:szCs w:val="20"/>
        </w:rPr>
      </w:pPr>
    </w:p>
    <w:p w14:paraId="429C687F" w14:textId="77777777" w:rsidR="0046208F" w:rsidRPr="00D2222C" w:rsidRDefault="001C4006"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rPr>
      </w:pPr>
      <w:r w:rsidRPr="00D2222C">
        <w:rPr>
          <w:rFonts w:asciiTheme="majorHAnsi" w:hAnsiTheme="majorHAnsi"/>
          <w:color w:val="000000" w:themeColor="text1"/>
          <w:sz w:val="20"/>
          <w:szCs w:val="20"/>
        </w:rPr>
        <w:t xml:space="preserve">The State </w:t>
      </w:r>
      <w:r w:rsidR="000C6FFD" w:rsidRPr="00D2222C">
        <w:rPr>
          <w:rFonts w:ascii="Cambria" w:hAnsi="Cambria"/>
          <w:sz w:val="20"/>
          <w:szCs w:val="20"/>
        </w:rPr>
        <w:t>alleged that the petitioners failed to establish any violation of the American Declaration</w:t>
      </w:r>
      <w:r w:rsidR="00F77BFA" w:rsidRPr="00D2222C">
        <w:rPr>
          <w:rFonts w:asciiTheme="majorHAnsi" w:hAnsiTheme="majorHAnsi"/>
          <w:color w:val="000000" w:themeColor="text1"/>
          <w:sz w:val="20"/>
          <w:szCs w:val="20"/>
        </w:rPr>
        <w:t xml:space="preserve"> on the Rights and Duties of Man (the “American Declaration”)</w:t>
      </w:r>
      <w:r w:rsidR="00C506EB" w:rsidRPr="00D2222C">
        <w:rPr>
          <w:rFonts w:ascii="Cambria" w:hAnsi="Cambria"/>
          <w:sz w:val="20"/>
          <w:szCs w:val="20"/>
        </w:rPr>
        <w:t>. It asserted</w:t>
      </w:r>
      <w:r w:rsidR="000C6FFD" w:rsidRPr="00D2222C">
        <w:rPr>
          <w:rFonts w:ascii="Cambria" w:hAnsi="Cambria"/>
          <w:sz w:val="20"/>
          <w:szCs w:val="20"/>
        </w:rPr>
        <w:t xml:space="preserve"> that Mr. Hall committed a heinous crime against a young girl</w:t>
      </w:r>
      <w:r w:rsidR="00E15FBA" w:rsidRPr="00D2222C">
        <w:rPr>
          <w:rFonts w:ascii="Cambria" w:hAnsi="Cambria"/>
          <w:sz w:val="20"/>
          <w:szCs w:val="20"/>
        </w:rPr>
        <w:t>;</w:t>
      </w:r>
      <w:r w:rsidR="000C6FFD" w:rsidRPr="00D2222C">
        <w:rPr>
          <w:rFonts w:ascii="Cambria" w:hAnsi="Cambria"/>
          <w:sz w:val="20"/>
          <w:szCs w:val="20"/>
        </w:rPr>
        <w:t xml:space="preserve"> that he </w:t>
      </w:r>
      <w:r w:rsidR="00C506EB" w:rsidRPr="00D2222C">
        <w:rPr>
          <w:rFonts w:ascii="Cambria" w:hAnsi="Cambria"/>
          <w:sz w:val="20"/>
          <w:szCs w:val="20"/>
        </w:rPr>
        <w:t>received effective assistance of</w:t>
      </w:r>
      <w:r w:rsidR="000C6FFD" w:rsidRPr="00D2222C">
        <w:rPr>
          <w:rFonts w:ascii="Cambria" w:hAnsi="Cambria"/>
          <w:sz w:val="20"/>
          <w:szCs w:val="20"/>
        </w:rPr>
        <w:t xml:space="preserve"> two competent attorneys</w:t>
      </w:r>
      <w:r w:rsidR="00B06BF4" w:rsidRPr="00D2222C">
        <w:rPr>
          <w:rFonts w:ascii="Cambria" w:hAnsi="Cambria"/>
          <w:sz w:val="20"/>
          <w:szCs w:val="20"/>
        </w:rPr>
        <w:t>;</w:t>
      </w:r>
      <w:r w:rsidR="000C6FFD" w:rsidRPr="00D2222C">
        <w:rPr>
          <w:rFonts w:ascii="Cambria" w:hAnsi="Cambria"/>
          <w:sz w:val="20"/>
          <w:szCs w:val="20"/>
        </w:rPr>
        <w:t xml:space="preserve"> and </w:t>
      </w:r>
      <w:r w:rsidR="00C506EB" w:rsidRPr="00D2222C">
        <w:rPr>
          <w:rFonts w:ascii="Cambria" w:hAnsi="Cambria"/>
          <w:sz w:val="20"/>
          <w:szCs w:val="20"/>
        </w:rPr>
        <w:t>that the United States criminal justice system provided him with a comprehensive and expansive system of review and protection of his rights</w:t>
      </w:r>
      <w:r w:rsidR="000C6FFD" w:rsidRPr="00D2222C">
        <w:rPr>
          <w:rFonts w:ascii="Cambria" w:hAnsi="Cambria"/>
          <w:sz w:val="20"/>
          <w:szCs w:val="20"/>
        </w:rPr>
        <w:t xml:space="preserve">. </w:t>
      </w:r>
      <w:r w:rsidR="007C798F" w:rsidRPr="00D2222C">
        <w:rPr>
          <w:rFonts w:ascii="Cambria" w:hAnsi="Cambria"/>
          <w:sz w:val="20"/>
          <w:szCs w:val="20"/>
        </w:rPr>
        <w:t xml:space="preserve">The State likewise alleged that </w:t>
      </w:r>
      <w:r w:rsidR="00EA01E7" w:rsidRPr="00D2222C">
        <w:rPr>
          <w:rFonts w:ascii="Cambria" w:hAnsi="Cambria"/>
          <w:sz w:val="20"/>
          <w:szCs w:val="20"/>
        </w:rPr>
        <w:t xml:space="preserve">the petitioners’ claims of racism are entirely speculative and unsubstantiated. </w:t>
      </w:r>
    </w:p>
    <w:p w14:paraId="056196F3" w14:textId="77777777" w:rsidR="0046208F" w:rsidRPr="00D2222C" w:rsidRDefault="0046208F" w:rsidP="009E3847">
      <w:pPr>
        <w:pStyle w:val="ListParagraph"/>
        <w:rPr>
          <w:rFonts w:asciiTheme="majorHAnsi" w:hAnsiTheme="majorHAnsi"/>
          <w:color w:val="000000" w:themeColor="text1"/>
          <w:sz w:val="20"/>
          <w:szCs w:val="20"/>
        </w:rPr>
      </w:pPr>
    </w:p>
    <w:p w14:paraId="0BE88E58" w14:textId="77777777" w:rsidR="001C4006" w:rsidRPr="00D2222C" w:rsidRDefault="001C4006"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rPr>
      </w:pPr>
      <w:r w:rsidRPr="00D2222C">
        <w:rPr>
          <w:rFonts w:asciiTheme="majorHAnsi" w:hAnsiTheme="majorHAnsi"/>
          <w:color w:val="000000" w:themeColor="text1"/>
          <w:sz w:val="20"/>
          <w:szCs w:val="20"/>
        </w:rPr>
        <w:t>On the basis of determinations of fact and law, the Inter-American Commission concluded that the State is re</w:t>
      </w:r>
      <w:r w:rsidR="005633E7" w:rsidRPr="00D2222C">
        <w:rPr>
          <w:rFonts w:asciiTheme="majorHAnsi" w:hAnsiTheme="majorHAnsi"/>
          <w:color w:val="000000" w:themeColor="text1"/>
          <w:sz w:val="20"/>
          <w:szCs w:val="20"/>
        </w:rPr>
        <w:t>sponsible for the violation of A</w:t>
      </w:r>
      <w:r w:rsidRPr="00D2222C">
        <w:rPr>
          <w:rFonts w:asciiTheme="majorHAnsi" w:hAnsiTheme="majorHAnsi"/>
          <w:color w:val="000000" w:themeColor="text1"/>
          <w:sz w:val="20"/>
          <w:szCs w:val="20"/>
        </w:rPr>
        <w:t xml:space="preserve">rticles </w:t>
      </w:r>
      <w:r w:rsidR="0046208F" w:rsidRPr="00D2222C">
        <w:rPr>
          <w:rFonts w:asciiTheme="majorHAnsi" w:hAnsiTheme="majorHAnsi"/>
          <w:color w:val="000000" w:themeColor="text1"/>
          <w:sz w:val="20"/>
          <w:szCs w:val="20"/>
        </w:rPr>
        <w:t xml:space="preserve">I (life, liberty, and security), II (equality before the law), IV (freedom of expression), XVIII (fair trial), XXV (protection from arbitrary detention), and XXVI (due process) </w:t>
      </w:r>
      <w:r w:rsidRPr="00D2222C">
        <w:rPr>
          <w:rFonts w:asciiTheme="majorHAnsi" w:hAnsiTheme="majorHAnsi"/>
          <w:color w:val="000000" w:themeColor="text1"/>
          <w:sz w:val="20"/>
          <w:szCs w:val="20"/>
        </w:rPr>
        <w:t>of the American Declaration. The Commission formulated the corresponding recommendations to the State.</w:t>
      </w:r>
    </w:p>
    <w:p w14:paraId="73A983EE" w14:textId="77777777" w:rsidR="001C4006" w:rsidRPr="00D2222C" w:rsidRDefault="001C4006" w:rsidP="00BB5A59">
      <w:pPr>
        <w:pStyle w:val="ListParagraph"/>
        <w:rPr>
          <w:rFonts w:asciiTheme="majorHAnsi" w:hAnsiTheme="majorHAnsi"/>
          <w:color w:val="auto"/>
          <w:sz w:val="20"/>
          <w:szCs w:val="20"/>
        </w:rPr>
      </w:pPr>
    </w:p>
    <w:p w14:paraId="493749FB" w14:textId="77777777" w:rsidR="001C4006" w:rsidRPr="00D2222C" w:rsidRDefault="001C4006" w:rsidP="00BB5A59">
      <w:pPr>
        <w:pStyle w:val="Heading1"/>
        <w:spacing w:before="0"/>
        <w:ind w:left="1440" w:hanging="720"/>
        <w:rPr>
          <w:color w:val="auto"/>
          <w:sz w:val="20"/>
          <w:szCs w:val="20"/>
          <w:lang w:val="es-ES_tradnl"/>
        </w:rPr>
      </w:pPr>
      <w:bookmarkStart w:id="1" w:name="_Toc26550917"/>
      <w:r w:rsidRPr="00D2222C">
        <w:rPr>
          <w:color w:val="auto"/>
          <w:sz w:val="20"/>
          <w:szCs w:val="20"/>
          <w:lang w:val="es-ES_tradnl"/>
        </w:rPr>
        <w:t>POSITIONS OF THE PARTIES</w:t>
      </w:r>
      <w:bookmarkEnd w:id="1"/>
    </w:p>
    <w:p w14:paraId="691DFA39" w14:textId="77777777" w:rsidR="001C4006" w:rsidRPr="00D2222C" w:rsidRDefault="001C4006" w:rsidP="00BB5A59">
      <w:pPr>
        <w:suppressAutoHyphens/>
        <w:ind w:left="1440" w:hanging="720"/>
        <w:rPr>
          <w:rFonts w:asciiTheme="majorHAnsi" w:hAnsiTheme="majorHAnsi"/>
          <w:sz w:val="20"/>
          <w:szCs w:val="20"/>
          <w:lang w:val="es-ES_tradnl"/>
        </w:rPr>
      </w:pPr>
    </w:p>
    <w:p w14:paraId="3E1546F5" w14:textId="77777777" w:rsidR="005C164F" w:rsidRPr="00D2222C" w:rsidRDefault="005C164F" w:rsidP="00BB5A59">
      <w:pPr>
        <w:pStyle w:val="Heading2"/>
        <w:numPr>
          <w:ilvl w:val="0"/>
          <w:numId w:val="61"/>
        </w:numPr>
        <w:spacing w:before="0"/>
        <w:ind w:left="1440" w:hanging="720"/>
        <w:rPr>
          <w:color w:val="auto"/>
          <w:sz w:val="20"/>
          <w:szCs w:val="20"/>
          <w:lang w:val="es-ES_tradnl"/>
        </w:rPr>
      </w:pPr>
      <w:bookmarkStart w:id="2" w:name="_Toc26550918"/>
      <w:r w:rsidRPr="00D2222C">
        <w:rPr>
          <w:color w:val="auto"/>
          <w:sz w:val="20"/>
          <w:szCs w:val="20"/>
          <w:lang w:val="es-ES_tradnl"/>
        </w:rPr>
        <w:t>P</w:t>
      </w:r>
      <w:r w:rsidR="00262ECA" w:rsidRPr="00D2222C">
        <w:rPr>
          <w:color w:val="auto"/>
          <w:sz w:val="20"/>
          <w:szCs w:val="20"/>
          <w:lang w:val="es-ES_tradnl"/>
        </w:rPr>
        <w:t>etitioners</w:t>
      </w:r>
      <w:bookmarkEnd w:id="2"/>
    </w:p>
    <w:p w14:paraId="514FEE35" w14:textId="77777777" w:rsidR="005C164F" w:rsidRPr="00D2222C" w:rsidRDefault="005C164F" w:rsidP="00BB5A59">
      <w:pPr>
        <w:suppressAutoHyphens/>
        <w:ind w:left="1440" w:hanging="720"/>
        <w:rPr>
          <w:rFonts w:asciiTheme="majorHAnsi" w:hAnsiTheme="majorHAnsi"/>
          <w:sz w:val="20"/>
          <w:szCs w:val="20"/>
          <w:lang w:val="es-ES_tradnl"/>
        </w:rPr>
      </w:pPr>
    </w:p>
    <w:p w14:paraId="027252DB" w14:textId="77777777" w:rsidR="0042749C" w:rsidRPr="00D2222C" w:rsidRDefault="00267EF0"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D2222C">
        <w:rPr>
          <w:rFonts w:ascii="Cambria" w:hAnsi="Cambria"/>
          <w:sz w:val="20"/>
          <w:szCs w:val="20"/>
        </w:rPr>
        <w:t>The petitioners state</w:t>
      </w:r>
      <w:r w:rsidR="005E6C0C" w:rsidRPr="00D2222C">
        <w:rPr>
          <w:rFonts w:ascii="Cambria" w:hAnsi="Cambria"/>
          <w:sz w:val="20"/>
          <w:szCs w:val="20"/>
        </w:rPr>
        <w:t>d</w:t>
      </w:r>
      <w:r w:rsidRPr="00D2222C">
        <w:rPr>
          <w:rFonts w:ascii="Cambria" w:hAnsi="Cambria"/>
          <w:sz w:val="20"/>
          <w:szCs w:val="20"/>
        </w:rPr>
        <w:t xml:space="preserve"> that Orlando Cordia Hall</w:t>
      </w:r>
      <w:r w:rsidR="0042749C" w:rsidRPr="00D2222C">
        <w:rPr>
          <w:rFonts w:ascii="Cambria" w:hAnsi="Cambria"/>
          <w:sz w:val="20"/>
          <w:szCs w:val="20"/>
        </w:rPr>
        <w:t>, an indigent African-American man,</w:t>
      </w:r>
      <w:r w:rsidRPr="00D2222C">
        <w:rPr>
          <w:rFonts w:ascii="Cambria" w:hAnsi="Cambria"/>
          <w:sz w:val="20"/>
          <w:szCs w:val="20"/>
        </w:rPr>
        <w:t xml:space="preserve"> was sentenced to death </w:t>
      </w:r>
      <w:r w:rsidR="00D4040F" w:rsidRPr="00D2222C">
        <w:rPr>
          <w:rFonts w:ascii="Cambria" w:hAnsi="Cambria"/>
          <w:sz w:val="20"/>
          <w:szCs w:val="20"/>
        </w:rPr>
        <w:t xml:space="preserve">in </w:t>
      </w:r>
      <w:r w:rsidR="000E44C7" w:rsidRPr="00D2222C">
        <w:rPr>
          <w:rFonts w:ascii="Cambria" w:hAnsi="Cambria"/>
          <w:sz w:val="20"/>
          <w:szCs w:val="20"/>
        </w:rPr>
        <w:t xml:space="preserve">federal proceedings held in </w:t>
      </w:r>
      <w:r w:rsidR="00D4040F" w:rsidRPr="00D2222C">
        <w:rPr>
          <w:rFonts w:ascii="Cambria" w:hAnsi="Cambria"/>
          <w:sz w:val="20"/>
          <w:szCs w:val="20"/>
        </w:rPr>
        <w:t>the state of Texas for his role in a 1994 kidnap</w:t>
      </w:r>
      <w:r w:rsidRPr="00D2222C">
        <w:rPr>
          <w:rFonts w:ascii="Cambria" w:hAnsi="Cambria"/>
          <w:sz w:val="20"/>
          <w:szCs w:val="20"/>
        </w:rPr>
        <w:t>ping</w:t>
      </w:r>
      <w:r w:rsidR="00D4040F" w:rsidRPr="00D2222C">
        <w:rPr>
          <w:rFonts w:ascii="Cambria" w:hAnsi="Cambria"/>
          <w:sz w:val="20"/>
          <w:szCs w:val="20"/>
        </w:rPr>
        <w:t xml:space="preserve"> that res</w:t>
      </w:r>
      <w:r w:rsidR="009F114F" w:rsidRPr="00D2222C">
        <w:rPr>
          <w:rFonts w:ascii="Cambria" w:hAnsi="Cambria"/>
          <w:sz w:val="20"/>
          <w:szCs w:val="20"/>
        </w:rPr>
        <w:t>ulted in the death of a 16 year-</w:t>
      </w:r>
      <w:r w:rsidR="00D4040F" w:rsidRPr="00D2222C">
        <w:rPr>
          <w:rFonts w:ascii="Cambria" w:hAnsi="Cambria"/>
          <w:sz w:val="20"/>
          <w:szCs w:val="20"/>
        </w:rPr>
        <w:t>old girl</w:t>
      </w:r>
      <w:r w:rsidRPr="00D2222C">
        <w:rPr>
          <w:rFonts w:ascii="Cambria" w:hAnsi="Cambria"/>
          <w:sz w:val="20"/>
          <w:szCs w:val="20"/>
        </w:rPr>
        <w:t>.</w:t>
      </w:r>
      <w:r w:rsidR="00D4040F" w:rsidRPr="00D2222C">
        <w:rPr>
          <w:rFonts w:ascii="Cambria" w:hAnsi="Cambria"/>
          <w:sz w:val="20"/>
          <w:szCs w:val="20"/>
        </w:rPr>
        <w:t xml:space="preserve"> </w:t>
      </w:r>
      <w:r w:rsidRPr="00D2222C">
        <w:rPr>
          <w:rFonts w:ascii="Cambria" w:hAnsi="Cambria"/>
          <w:sz w:val="20"/>
          <w:szCs w:val="20"/>
        </w:rPr>
        <w:t xml:space="preserve"> </w:t>
      </w:r>
    </w:p>
    <w:p w14:paraId="76E148BD" w14:textId="77777777" w:rsidR="009435DC" w:rsidRPr="00D2222C" w:rsidRDefault="009435DC" w:rsidP="009E384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p>
    <w:p w14:paraId="3BB068CF" w14:textId="77777777" w:rsidR="00057D4F" w:rsidRPr="00D2222C" w:rsidRDefault="009435DC"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D2222C">
        <w:rPr>
          <w:rFonts w:asciiTheme="majorHAnsi" w:hAnsiTheme="majorHAnsi"/>
          <w:sz w:val="20"/>
          <w:szCs w:val="20"/>
        </w:rPr>
        <w:lastRenderedPageBreak/>
        <w:t>They allege</w:t>
      </w:r>
      <w:r w:rsidR="005E6C0C" w:rsidRPr="00D2222C">
        <w:rPr>
          <w:rFonts w:asciiTheme="majorHAnsi" w:hAnsiTheme="majorHAnsi"/>
          <w:sz w:val="20"/>
          <w:szCs w:val="20"/>
        </w:rPr>
        <w:t>d</w:t>
      </w:r>
      <w:r w:rsidRPr="00D2222C">
        <w:rPr>
          <w:rFonts w:asciiTheme="majorHAnsi" w:hAnsiTheme="majorHAnsi"/>
          <w:sz w:val="20"/>
          <w:szCs w:val="20"/>
        </w:rPr>
        <w:t xml:space="preserve"> that the federal death penalty is administered in a racially discriminatory fashion </w:t>
      </w:r>
      <w:r w:rsidR="00495396" w:rsidRPr="00D2222C">
        <w:rPr>
          <w:rFonts w:asciiTheme="majorHAnsi" w:hAnsiTheme="majorHAnsi"/>
          <w:sz w:val="20"/>
          <w:szCs w:val="20"/>
        </w:rPr>
        <w:t xml:space="preserve">in violation of the right to </w:t>
      </w:r>
      <w:r w:rsidR="00495396" w:rsidRPr="00D2222C">
        <w:rPr>
          <w:rFonts w:asciiTheme="majorHAnsi" w:hAnsiTheme="majorHAnsi"/>
          <w:b/>
          <w:sz w:val="20"/>
          <w:szCs w:val="20"/>
        </w:rPr>
        <w:t>equality before the law</w:t>
      </w:r>
      <w:r w:rsidR="00495396" w:rsidRPr="00D2222C">
        <w:rPr>
          <w:rFonts w:asciiTheme="majorHAnsi" w:hAnsiTheme="majorHAnsi"/>
          <w:sz w:val="20"/>
          <w:szCs w:val="20"/>
        </w:rPr>
        <w:t xml:space="preserve"> </w:t>
      </w:r>
      <w:r w:rsidRPr="00D2222C">
        <w:rPr>
          <w:rFonts w:asciiTheme="majorHAnsi" w:hAnsiTheme="majorHAnsi"/>
          <w:sz w:val="20"/>
          <w:szCs w:val="20"/>
        </w:rPr>
        <w:t xml:space="preserve">and that the authorization </w:t>
      </w:r>
      <w:r w:rsidR="005E6C0C" w:rsidRPr="00D2222C">
        <w:rPr>
          <w:rFonts w:asciiTheme="majorHAnsi" w:hAnsiTheme="majorHAnsi"/>
          <w:sz w:val="20"/>
          <w:szCs w:val="20"/>
        </w:rPr>
        <w:t>processes</w:t>
      </w:r>
      <w:r w:rsidRPr="00D2222C">
        <w:rPr>
          <w:rFonts w:asciiTheme="majorHAnsi" w:hAnsiTheme="majorHAnsi"/>
          <w:sz w:val="20"/>
          <w:szCs w:val="20"/>
        </w:rPr>
        <w:t xml:space="preserve"> by which the Department of Justice selects those defendants who will face the death penalty</w:t>
      </w:r>
      <w:r w:rsidR="005E6C0C" w:rsidRPr="00D2222C">
        <w:rPr>
          <w:rFonts w:asciiTheme="majorHAnsi" w:hAnsiTheme="majorHAnsi"/>
          <w:sz w:val="20"/>
          <w:szCs w:val="20"/>
        </w:rPr>
        <w:t xml:space="preserve"> are impermissibly influenced by the defendant’s race. </w:t>
      </w:r>
      <w:r w:rsidR="00535FF9" w:rsidRPr="00D2222C">
        <w:rPr>
          <w:rFonts w:asciiTheme="majorHAnsi" w:hAnsiTheme="majorHAnsi"/>
          <w:sz w:val="20"/>
          <w:szCs w:val="20"/>
        </w:rPr>
        <w:t>They submitted that</w:t>
      </w:r>
      <w:r w:rsidR="00272F7D" w:rsidRPr="00D2222C">
        <w:rPr>
          <w:rFonts w:asciiTheme="majorHAnsi" w:hAnsiTheme="majorHAnsi"/>
          <w:sz w:val="20"/>
          <w:szCs w:val="20"/>
        </w:rPr>
        <w:t xml:space="preserve"> the disparate impact of these decisions is clear – despite the fact that whites are arrested for homicide in roughly the same numbers as blacks, they occupy only twenty percent of those condemned to die under federal law, while blacks account for sixty percent of federal death row.</w:t>
      </w:r>
      <w:r w:rsidR="005E6C0C" w:rsidRPr="00D2222C">
        <w:rPr>
          <w:rFonts w:asciiTheme="majorHAnsi" w:hAnsiTheme="majorHAnsi"/>
          <w:sz w:val="20"/>
          <w:szCs w:val="20"/>
        </w:rPr>
        <w:t xml:space="preserve"> </w:t>
      </w:r>
      <w:r w:rsidR="00272F7D" w:rsidRPr="00D2222C">
        <w:rPr>
          <w:rFonts w:asciiTheme="majorHAnsi" w:hAnsiTheme="majorHAnsi"/>
          <w:sz w:val="20"/>
          <w:szCs w:val="20"/>
        </w:rPr>
        <w:t>Regarding federal death penalty cases arising in Texas, they claim</w:t>
      </w:r>
      <w:r w:rsidR="00B20B83" w:rsidRPr="00D2222C">
        <w:rPr>
          <w:rFonts w:asciiTheme="majorHAnsi" w:hAnsiTheme="majorHAnsi"/>
          <w:sz w:val="20"/>
          <w:szCs w:val="20"/>
        </w:rPr>
        <w:t>ed</w:t>
      </w:r>
      <w:r w:rsidR="00272F7D" w:rsidRPr="00D2222C">
        <w:rPr>
          <w:rFonts w:asciiTheme="majorHAnsi" w:hAnsiTheme="majorHAnsi"/>
          <w:sz w:val="20"/>
          <w:szCs w:val="20"/>
        </w:rPr>
        <w:t xml:space="preserve"> that black defendants are 5.3 times more likely than white defendants to face the death penalty, although they comprise</w:t>
      </w:r>
      <w:r w:rsidR="00B20B83" w:rsidRPr="00D2222C">
        <w:rPr>
          <w:rFonts w:asciiTheme="majorHAnsi" w:hAnsiTheme="majorHAnsi"/>
          <w:sz w:val="20"/>
          <w:szCs w:val="20"/>
        </w:rPr>
        <w:t xml:space="preserve"> less than twelve percent of the overall population. </w:t>
      </w:r>
    </w:p>
    <w:p w14:paraId="79B19833" w14:textId="77777777" w:rsidR="00057D4F" w:rsidRPr="00D2222C" w:rsidRDefault="00057D4F" w:rsidP="009E3847">
      <w:pPr>
        <w:pStyle w:val="ListParagraph"/>
        <w:rPr>
          <w:rFonts w:asciiTheme="majorHAnsi" w:hAnsiTheme="majorHAnsi"/>
          <w:sz w:val="20"/>
          <w:szCs w:val="20"/>
        </w:rPr>
      </w:pPr>
    </w:p>
    <w:p w14:paraId="2D28D5EA" w14:textId="77777777" w:rsidR="000E7ED0" w:rsidRPr="00D2222C" w:rsidRDefault="005E6C0C"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D2222C">
        <w:rPr>
          <w:rFonts w:asciiTheme="majorHAnsi" w:hAnsiTheme="majorHAnsi"/>
          <w:sz w:val="20"/>
          <w:szCs w:val="20"/>
        </w:rPr>
        <w:t xml:space="preserve">The petitioners </w:t>
      </w:r>
      <w:r w:rsidR="009554F0" w:rsidRPr="00D2222C">
        <w:rPr>
          <w:rFonts w:asciiTheme="majorHAnsi" w:hAnsiTheme="majorHAnsi"/>
          <w:sz w:val="20"/>
          <w:szCs w:val="20"/>
        </w:rPr>
        <w:t xml:space="preserve">argued that </w:t>
      </w:r>
      <w:r w:rsidR="00A14D37" w:rsidRPr="00D2222C">
        <w:rPr>
          <w:rFonts w:asciiTheme="majorHAnsi" w:hAnsiTheme="majorHAnsi"/>
          <w:sz w:val="20"/>
          <w:szCs w:val="20"/>
        </w:rPr>
        <w:t>when federal prosecutors requested authorization to seek the death penalty against Mr. Hall in 1994, the Department of Justice process was arbitrarily subjected to local influence, and reflected a grossly disproportionate number of requests involving African</w:t>
      </w:r>
      <w:r w:rsidR="00DC28C0" w:rsidRPr="00D2222C">
        <w:rPr>
          <w:rFonts w:asciiTheme="majorHAnsi" w:hAnsiTheme="majorHAnsi"/>
          <w:sz w:val="20"/>
          <w:szCs w:val="20"/>
        </w:rPr>
        <w:t>-</w:t>
      </w:r>
      <w:r w:rsidR="00A14D37" w:rsidRPr="00D2222C">
        <w:rPr>
          <w:rFonts w:asciiTheme="majorHAnsi" w:hAnsiTheme="majorHAnsi"/>
          <w:sz w:val="20"/>
          <w:szCs w:val="20"/>
        </w:rPr>
        <w:t xml:space="preserve">American defendants. They stated that </w:t>
      </w:r>
      <w:r w:rsidR="009554F0" w:rsidRPr="00D2222C">
        <w:rPr>
          <w:rFonts w:asciiTheme="majorHAnsi" w:hAnsiTheme="majorHAnsi"/>
          <w:sz w:val="20"/>
          <w:szCs w:val="20"/>
        </w:rPr>
        <w:t xml:space="preserve">Mr. Hall was tried by an all-white jury and that the federal government chose to prosecute his case in Texas, rather than Arkansas, </w:t>
      </w:r>
      <w:r w:rsidR="006D48BB" w:rsidRPr="00D2222C">
        <w:rPr>
          <w:rFonts w:asciiTheme="majorHAnsi" w:hAnsiTheme="majorHAnsi"/>
          <w:sz w:val="20"/>
          <w:szCs w:val="20"/>
        </w:rPr>
        <w:t>where the number of African-Americans in the jury pool was diluted</w:t>
      </w:r>
      <w:r w:rsidR="009554F0" w:rsidRPr="00D2222C">
        <w:rPr>
          <w:rFonts w:asciiTheme="majorHAnsi" w:hAnsiTheme="majorHAnsi"/>
          <w:sz w:val="20"/>
          <w:szCs w:val="20"/>
        </w:rPr>
        <w:t xml:space="preserve">. They </w:t>
      </w:r>
      <w:r w:rsidRPr="00D2222C">
        <w:rPr>
          <w:rFonts w:asciiTheme="majorHAnsi" w:hAnsiTheme="majorHAnsi"/>
          <w:sz w:val="20"/>
          <w:szCs w:val="20"/>
        </w:rPr>
        <w:t>stated that</w:t>
      </w:r>
      <w:r w:rsidR="005D0FBF" w:rsidRPr="00D2222C">
        <w:rPr>
          <w:rFonts w:asciiTheme="majorHAnsi" w:hAnsiTheme="majorHAnsi"/>
          <w:sz w:val="20"/>
          <w:szCs w:val="20"/>
        </w:rPr>
        <w:t>,</w:t>
      </w:r>
      <w:r w:rsidR="00936C4F" w:rsidRPr="00D2222C">
        <w:rPr>
          <w:rFonts w:asciiTheme="majorHAnsi" w:hAnsiTheme="majorHAnsi"/>
          <w:sz w:val="20"/>
          <w:szCs w:val="20"/>
        </w:rPr>
        <w:t xml:space="preserve"> </w:t>
      </w:r>
      <w:r w:rsidR="005D0FBF" w:rsidRPr="00D2222C">
        <w:rPr>
          <w:rFonts w:asciiTheme="majorHAnsi" w:hAnsiTheme="majorHAnsi"/>
          <w:sz w:val="20"/>
          <w:szCs w:val="20"/>
        </w:rPr>
        <w:t xml:space="preserve">in separate capital cases, </w:t>
      </w:r>
      <w:r w:rsidR="00936C4F" w:rsidRPr="00D2222C">
        <w:rPr>
          <w:rFonts w:asciiTheme="majorHAnsi" w:hAnsiTheme="majorHAnsi"/>
          <w:sz w:val="20"/>
          <w:szCs w:val="20"/>
        </w:rPr>
        <w:t xml:space="preserve">the prosecutor responsible for assembling the all-white jury in </w:t>
      </w:r>
      <w:r w:rsidR="00091707" w:rsidRPr="00D2222C">
        <w:rPr>
          <w:rFonts w:asciiTheme="majorHAnsi" w:hAnsiTheme="majorHAnsi"/>
          <w:sz w:val="20"/>
          <w:szCs w:val="20"/>
        </w:rPr>
        <w:t xml:space="preserve">Mr. </w:t>
      </w:r>
      <w:r w:rsidR="00936C4F" w:rsidRPr="00D2222C">
        <w:rPr>
          <w:rFonts w:asciiTheme="majorHAnsi" w:hAnsiTheme="majorHAnsi"/>
          <w:sz w:val="20"/>
          <w:szCs w:val="20"/>
        </w:rPr>
        <w:t>Hall’s prosecution was found by the U.S. Supreme Court to have engaged in racial discrimination in jury selection. They alleged that the prosecutor had denied under oath that he had struck minority jurors on account of their race, and in each case the reviewing court found his sworn denials of discrimination to be false, reversing the capital murder conviction.</w:t>
      </w:r>
      <w:r w:rsidR="0013403C" w:rsidRPr="00D2222C">
        <w:rPr>
          <w:rFonts w:asciiTheme="majorHAnsi" w:hAnsiTheme="majorHAnsi"/>
          <w:sz w:val="20"/>
          <w:szCs w:val="20"/>
        </w:rPr>
        <w:t xml:space="preserve"> </w:t>
      </w:r>
      <w:r w:rsidR="00D03C39" w:rsidRPr="00D2222C">
        <w:rPr>
          <w:rFonts w:asciiTheme="majorHAnsi" w:hAnsiTheme="majorHAnsi"/>
          <w:sz w:val="20"/>
          <w:szCs w:val="20"/>
        </w:rPr>
        <w:t xml:space="preserve">Given that Mr. Hall’s final round of appeals had already been decided, he could not use this new finding in his habeas petitions. </w:t>
      </w:r>
      <w:r w:rsidR="00C714BB" w:rsidRPr="00D2222C">
        <w:rPr>
          <w:rFonts w:asciiTheme="majorHAnsi" w:hAnsiTheme="majorHAnsi"/>
          <w:sz w:val="20"/>
          <w:szCs w:val="20"/>
        </w:rPr>
        <w:t>The</w:t>
      </w:r>
      <w:r w:rsidR="000E44C7" w:rsidRPr="00D2222C">
        <w:rPr>
          <w:rFonts w:asciiTheme="majorHAnsi" w:hAnsiTheme="majorHAnsi"/>
          <w:sz w:val="20"/>
          <w:szCs w:val="20"/>
        </w:rPr>
        <w:t>y</w:t>
      </w:r>
      <w:r w:rsidR="00C714BB" w:rsidRPr="00D2222C">
        <w:rPr>
          <w:rFonts w:asciiTheme="majorHAnsi" w:hAnsiTheme="majorHAnsi"/>
          <w:sz w:val="20"/>
          <w:szCs w:val="20"/>
        </w:rPr>
        <w:t xml:space="preserve"> also submitted that the State did not offer Mr. Hall the chance to plead guilty to the crime to which he had already voluntarily confessed, and thereby obtain a life sentence. They indicated that in federal death penalty cases almost twice as many white defendants as African</w:t>
      </w:r>
      <w:r w:rsidR="00DC28C0" w:rsidRPr="00D2222C">
        <w:rPr>
          <w:rFonts w:asciiTheme="majorHAnsi" w:hAnsiTheme="majorHAnsi"/>
          <w:sz w:val="20"/>
          <w:szCs w:val="20"/>
        </w:rPr>
        <w:t>-</w:t>
      </w:r>
      <w:r w:rsidR="00C714BB" w:rsidRPr="00D2222C">
        <w:rPr>
          <w:rFonts w:asciiTheme="majorHAnsi" w:hAnsiTheme="majorHAnsi"/>
          <w:sz w:val="20"/>
          <w:szCs w:val="20"/>
        </w:rPr>
        <w:t xml:space="preserve">American defendants obtained a plea deal. </w:t>
      </w:r>
      <w:r w:rsidR="00A14D37" w:rsidRPr="00D2222C">
        <w:rPr>
          <w:rFonts w:asciiTheme="majorHAnsi" w:hAnsiTheme="majorHAnsi"/>
          <w:sz w:val="20"/>
          <w:szCs w:val="20"/>
        </w:rPr>
        <w:t>According to t</w:t>
      </w:r>
      <w:r w:rsidR="0013403C" w:rsidRPr="00D2222C">
        <w:rPr>
          <w:rFonts w:asciiTheme="majorHAnsi" w:hAnsiTheme="majorHAnsi"/>
          <w:sz w:val="20"/>
          <w:szCs w:val="20"/>
        </w:rPr>
        <w:t>he petitioners</w:t>
      </w:r>
      <w:r w:rsidR="00A14D37" w:rsidRPr="00D2222C">
        <w:rPr>
          <w:rFonts w:asciiTheme="majorHAnsi" w:hAnsiTheme="majorHAnsi"/>
          <w:sz w:val="20"/>
          <w:szCs w:val="20"/>
        </w:rPr>
        <w:t>,</w:t>
      </w:r>
      <w:r w:rsidR="0013403C" w:rsidRPr="00D2222C">
        <w:rPr>
          <w:rFonts w:asciiTheme="majorHAnsi" w:hAnsiTheme="majorHAnsi"/>
          <w:sz w:val="20"/>
          <w:szCs w:val="20"/>
        </w:rPr>
        <w:t xml:space="preserve"> indirect discrimination by the State resulted in Mr. Hall being sentenced before an all-white jury.</w:t>
      </w:r>
      <w:r w:rsidR="004D78B4" w:rsidRPr="00D2222C">
        <w:rPr>
          <w:rFonts w:asciiTheme="majorHAnsi" w:hAnsiTheme="majorHAnsi"/>
          <w:sz w:val="20"/>
          <w:szCs w:val="20"/>
        </w:rPr>
        <w:t xml:space="preserve"> </w:t>
      </w:r>
    </w:p>
    <w:p w14:paraId="12A32F61" w14:textId="77777777" w:rsidR="000E7ED0" w:rsidRPr="00D2222C" w:rsidRDefault="000E7ED0" w:rsidP="009E3847">
      <w:pPr>
        <w:pStyle w:val="ListParagraph"/>
        <w:rPr>
          <w:rFonts w:asciiTheme="majorHAnsi" w:hAnsiTheme="majorHAnsi"/>
          <w:sz w:val="20"/>
          <w:szCs w:val="20"/>
        </w:rPr>
      </w:pPr>
    </w:p>
    <w:p w14:paraId="195D46A6" w14:textId="77777777" w:rsidR="009435DC" w:rsidRPr="00D2222C" w:rsidRDefault="000E7ED0"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D2222C">
        <w:rPr>
          <w:rFonts w:asciiTheme="majorHAnsi" w:hAnsiTheme="majorHAnsi"/>
          <w:sz w:val="20"/>
          <w:szCs w:val="20"/>
        </w:rPr>
        <w:t xml:space="preserve">The petitioners </w:t>
      </w:r>
      <w:r w:rsidR="00E57833" w:rsidRPr="00D2222C">
        <w:rPr>
          <w:rFonts w:asciiTheme="majorHAnsi" w:hAnsiTheme="majorHAnsi"/>
          <w:sz w:val="20"/>
          <w:szCs w:val="20"/>
        </w:rPr>
        <w:t>likewise</w:t>
      </w:r>
      <w:r w:rsidRPr="00D2222C">
        <w:rPr>
          <w:rFonts w:asciiTheme="majorHAnsi" w:hAnsiTheme="majorHAnsi"/>
          <w:sz w:val="20"/>
          <w:szCs w:val="20"/>
        </w:rPr>
        <w:t xml:space="preserve"> submitted that Mr. Hall was deprived of effective legal representation</w:t>
      </w:r>
      <w:r w:rsidR="00AB55B8" w:rsidRPr="00D2222C">
        <w:rPr>
          <w:rFonts w:asciiTheme="majorHAnsi" w:hAnsiTheme="majorHAnsi"/>
          <w:sz w:val="20"/>
          <w:szCs w:val="20"/>
        </w:rPr>
        <w:t xml:space="preserve"> </w:t>
      </w:r>
      <w:r w:rsidR="00AB55B8" w:rsidRPr="00D2222C">
        <w:rPr>
          <w:rFonts w:asciiTheme="majorHAnsi" w:hAnsiTheme="majorHAnsi"/>
          <w:color w:val="000000" w:themeColor="text1"/>
          <w:sz w:val="20"/>
          <w:szCs w:val="20"/>
        </w:rPr>
        <w:t>during the penalty phase of his trial</w:t>
      </w:r>
      <w:r w:rsidR="00495396" w:rsidRPr="00D2222C">
        <w:rPr>
          <w:rFonts w:asciiTheme="majorHAnsi" w:hAnsiTheme="majorHAnsi"/>
          <w:color w:val="000000" w:themeColor="text1"/>
          <w:sz w:val="20"/>
          <w:szCs w:val="20"/>
        </w:rPr>
        <w:t xml:space="preserve"> in violation of his rights to a </w:t>
      </w:r>
      <w:r w:rsidR="00495396" w:rsidRPr="00D2222C">
        <w:rPr>
          <w:rFonts w:asciiTheme="majorHAnsi" w:hAnsiTheme="majorHAnsi"/>
          <w:b/>
          <w:color w:val="000000" w:themeColor="text1"/>
          <w:sz w:val="20"/>
          <w:szCs w:val="20"/>
        </w:rPr>
        <w:t>fair trial</w:t>
      </w:r>
      <w:r w:rsidR="00495396" w:rsidRPr="00D2222C">
        <w:rPr>
          <w:rFonts w:asciiTheme="majorHAnsi" w:hAnsiTheme="majorHAnsi"/>
          <w:color w:val="000000" w:themeColor="text1"/>
          <w:sz w:val="20"/>
          <w:szCs w:val="20"/>
        </w:rPr>
        <w:t xml:space="preserve"> and to </w:t>
      </w:r>
      <w:r w:rsidR="00495396" w:rsidRPr="00D2222C">
        <w:rPr>
          <w:rFonts w:asciiTheme="majorHAnsi" w:hAnsiTheme="majorHAnsi"/>
          <w:b/>
          <w:color w:val="000000" w:themeColor="text1"/>
          <w:sz w:val="20"/>
          <w:szCs w:val="20"/>
        </w:rPr>
        <w:t>due process of law</w:t>
      </w:r>
      <w:r w:rsidRPr="00D2222C">
        <w:rPr>
          <w:rFonts w:asciiTheme="majorHAnsi" w:hAnsiTheme="majorHAnsi"/>
          <w:sz w:val="20"/>
          <w:szCs w:val="20"/>
        </w:rPr>
        <w:t xml:space="preserve">. They alleged that the two attorneys appointed to represent him were granted leave to withdraw a few months after appointment. </w:t>
      </w:r>
      <w:r w:rsidR="006A0F77" w:rsidRPr="00D2222C">
        <w:rPr>
          <w:rFonts w:asciiTheme="majorHAnsi" w:hAnsiTheme="majorHAnsi"/>
          <w:sz w:val="20"/>
          <w:szCs w:val="20"/>
        </w:rPr>
        <w:t>A</w:t>
      </w:r>
      <w:r w:rsidRPr="00D2222C">
        <w:rPr>
          <w:rFonts w:asciiTheme="majorHAnsi" w:hAnsiTheme="majorHAnsi"/>
          <w:sz w:val="20"/>
          <w:szCs w:val="20"/>
        </w:rPr>
        <w:t>lthough the two new attorneys were appointed more than six months before trial was scheduled to begin, they did not begin a penalty phase investigation until two and a half week</w:t>
      </w:r>
      <w:r w:rsidR="006A0F77" w:rsidRPr="00D2222C">
        <w:rPr>
          <w:rFonts w:asciiTheme="majorHAnsi" w:hAnsiTheme="majorHAnsi"/>
          <w:sz w:val="20"/>
          <w:szCs w:val="20"/>
        </w:rPr>
        <w:t xml:space="preserve">s </w:t>
      </w:r>
      <w:r w:rsidRPr="00D2222C">
        <w:rPr>
          <w:rFonts w:asciiTheme="majorHAnsi" w:hAnsiTheme="majorHAnsi"/>
          <w:sz w:val="20"/>
          <w:szCs w:val="20"/>
        </w:rPr>
        <w:t>before trial commenced.</w:t>
      </w:r>
      <w:r w:rsidR="00B20B83" w:rsidRPr="00D2222C">
        <w:rPr>
          <w:rFonts w:asciiTheme="majorHAnsi" w:hAnsiTheme="majorHAnsi"/>
          <w:sz w:val="20"/>
          <w:szCs w:val="20"/>
        </w:rPr>
        <w:t xml:space="preserve"> </w:t>
      </w:r>
      <w:r w:rsidR="007247E2" w:rsidRPr="00D2222C">
        <w:rPr>
          <w:rFonts w:asciiTheme="majorHAnsi" w:hAnsiTheme="majorHAnsi"/>
          <w:sz w:val="20"/>
          <w:szCs w:val="20"/>
        </w:rPr>
        <w:t xml:space="preserve">They </w:t>
      </w:r>
      <w:r w:rsidR="00091707" w:rsidRPr="00D2222C">
        <w:rPr>
          <w:rFonts w:asciiTheme="majorHAnsi" w:hAnsiTheme="majorHAnsi"/>
          <w:sz w:val="20"/>
          <w:szCs w:val="20"/>
        </w:rPr>
        <w:t>noted</w:t>
      </w:r>
      <w:r w:rsidR="007247E2" w:rsidRPr="00D2222C">
        <w:rPr>
          <w:rFonts w:asciiTheme="majorHAnsi" w:hAnsiTheme="majorHAnsi"/>
          <w:sz w:val="20"/>
          <w:szCs w:val="20"/>
        </w:rPr>
        <w:t xml:space="preserve"> that trial counsel called only two witnesses, Mr. Hall’s mother and sister, to testify briefly concerning his background and character, and unreasonably failed to develop or present extensive and powerful mitigating evidence.</w:t>
      </w:r>
      <w:r w:rsidR="00BA198F" w:rsidRPr="00D2222C">
        <w:rPr>
          <w:rFonts w:asciiTheme="majorHAnsi" w:hAnsiTheme="majorHAnsi"/>
          <w:sz w:val="20"/>
          <w:szCs w:val="20"/>
        </w:rPr>
        <w:t xml:space="preserve"> They alleged that, had trial counsel undertaken a timely, comprehensive investigation into available mitigating evidence, jurors would have heard that Mr. Hall was the target of severe and longstanding physical abuse from his father, suffered neuropsychological deficits that undermined his judgment, had many positive personality traits, was a “model prisoner” during his sole prior incarceration, and originally became involved in selling illegal drugs, in part, to support his younger brothers. </w:t>
      </w:r>
    </w:p>
    <w:p w14:paraId="2A6C20CD" w14:textId="77777777" w:rsidR="00012683" w:rsidRPr="00D2222C" w:rsidRDefault="00012683" w:rsidP="009E384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p>
    <w:p w14:paraId="113331CA" w14:textId="77777777" w:rsidR="001503E0" w:rsidRPr="00D2222C" w:rsidRDefault="00860233"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D2222C">
        <w:rPr>
          <w:rFonts w:asciiTheme="majorHAnsi" w:hAnsiTheme="majorHAnsi"/>
          <w:sz w:val="20"/>
          <w:szCs w:val="20"/>
        </w:rPr>
        <w:t>According to the petitioners, trial counsel relied on the superficial and incomplete work of prior counsel who had withdrawn due to a conflict of interest. They alleged that trial counsel failed to present the testimony of several individuals – present in the courthouse at the time of the penalty hearing – who were familiar with the Hall family, the privations that Mr. Hall suffered throughout his childhood and youth, an</w:t>
      </w:r>
      <w:r w:rsidR="00D568A0" w:rsidRPr="00D2222C">
        <w:rPr>
          <w:rFonts w:asciiTheme="majorHAnsi" w:hAnsiTheme="majorHAnsi"/>
          <w:sz w:val="20"/>
          <w:szCs w:val="20"/>
        </w:rPr>
        <w:t>d</w:t>
      </w:r>
      <w:r w:rsidRPr="00D2222C">
        <w:rPr>
          <w:rFonts w:asciiTheme="majorHAnsi" w:hAnsiTheme="majorHAnsi"/>
          <w:sz w:val="20"/>
          <w:szCs w:val="20"/>
        </w:rPr>
        <w:t xml:space="preserve"> many of his positive attributes. </w:t>
      </w:r>
      <w:r w:rsidR="006D7976" w:rsidRPr="00D2222C">
        <w:rPr>
          <w:rFonts w:asciiTheme="majorHAnsi" w:hAnsiTheme="majorHAnsi"/>
          <w:sz w:val="20"/>
          <w:szCs w:val="20"/>
        </w:rPr>
        <w:t xml:space="preserve">They </w:t>
      </w:r>
      <w:r w:rsidR="00091707" w:rsidRPr="00D2222C">
        <w:rPr>
          <w:rFonts w:asciiTheme="majorHAnsi" w:hAnsiTheme="majorHAnsi"/>
          <w:sz w:val="20"/>
          <w:szCs w:val="20"/>
        </w:rPr>
        <w:t>likewise</w:t>
      </w:r>
      <w:r w:rsidR="006D7976" w:rsidRPr="00D2222C">
        <w:rPr>
          <w:rFonts w:asciiTheme="majorHAnsi" w:hAnsiTheme="majorHAnsi"/>
          <w:sz w:val="20"/>
          <w:szCs w:val="20"/>
        </w:rPr>
        <w:t xml:space="preserve"> stated that trial counsel arranged for the assistance of a neuropsychologist but unreasonably failed to ensure that their expert actually evaluated Mr. Hall. The petitioners claimed that, had appropriate neuropsychological testing been performed sufficiently in advance of trial, favorable results could have been incorporated into a meaningful case in mitigation. </w:t>
      </w:r>
      <w:r w:rsidR="00924F0A" w:rsidRPr="00D2222C">
        <w:rPr>
          <w:rFonts w:asciiTheme="majorHAnsi" w:hAnsiTheme="majorHAnsi"/>
          <w:sz w:val="20"/>
          <w:szCs w:val="20"/>
        </w:rPr>
        <w:t xml:space="preserve">They concluded in this regard that, had trial counsel performed according to the prevailing standards of practice, they would have developed and presented a richly detailed portrait that could have persuaded jurors to spare Mr. Hall’s life notwithstanding the seriousness of his crime. </w:t>
      </w:r>
      <w:r w:rsidR="00336085" w:rsidRPr="00D2222C">
        <w:rPr>
          <w:rFonts w:asciiTheme="majorHAnsi" w:hAnsiTheme="majorHAnsi"/>
          <w:sz w:val="20"/>
          <w:szCs w:val="20"/>
        </w:rPr>
        <w:t>The</w:t>
      </w:r>
      <w:r w:rsidR="00501DFB" w:rsidRPr="00D2222C">
        <w:rPr>
          <w:rFonts w:asciiTheme="majorHAnsi" w:hAnsiTheme="majorHAnsi"/>
          <w:sz w:val="20"/>
          <w:szCs w:val="20"/>
        </w:rPr>
        <w:t>y further</w:t>
      </w:r>
      <w:r w:rsidR="00336085" w:rsidRPr="00D2222C">
        <w:rPr>
          <w:rFonts w:asciiTheme="majorHAnsi" w:hAnsiTheme="majorHAnsi"/>
          <w:sz w:val="20"/>
          <w:szCs w:val="20"/>
        </w:rPr>
        <w:t xml:space="preserve"> submitted that at the penalty phase the prosecution</w:t>
      </w:r>
      <w:r w:rsidR="001503E0" w:rsidRPr="00D2222C">
        <w:rPr>
          <w:rFonts w:asciiTheme="majorHAnsi" w:hAnsiTheme="majorHAnsi"/>
          <w:sz w:val="20"/>
          <w:szCs w:val="20"/>
        </w:rPr>
        <w:t>, in support of its allegation that Mr. Hall “constitute[d] a future danger to the lives and safety of other persons,” introduced testimony concerning other offenses allegedly committed and/or planned by Mr. Hall, but for which he had never been prosecuted or convicted.</w:t>
      </w:r>
      <w:r w:rsidR="0070603C" w:rsidRPr="00D2222C">
        <w:rPr>
          <w:rFonts w:asciiTheme="majorHAnsi" w:hAnsiTheme="majorHAnsi"/>
          <w:sz w:val="20"/>
          <w:szCs w:val="20"/>
        </w:rPr>
        <w:t xml:space="preserve"> </w:t>
      </w:r>
    </w:p>
    <w:p w14:paraId="7409D9A3" w14:textId="77777777" w:rsidR="00336085" w:rsidRPr="00D2222C" w:rsidRDefault="00336085" w:rsidP="009E3847">
      <w:pPr>
        <w:pStyle w:val="ListParagraph"/>
        <w:rPr>
          <w:rFonts w:asciiTheme="majorHAnsi" w:hAnsiTheme="majorHAnsi"/>
          <w:sz w:val="20"/>
          <w:szCs w:val="20"/>
        </w:rPr>
      </w:pPr>
    </w:p>
    <w:p w14:paraId="38EF3874" w14:textId="77777777" w:rsidR="00336085" w:rsidRPr="00D2222C" w:rsidRDefault="00336085"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D2222C">
        <w:rPr>
          <w:rFonts w:asciiTheme="majorHAnsi" w:hAnsiTheme="majorHAnsi"/>
          <w:sz w:val="20"/>
          <w:szCs w:val="20"/>
        </w:rPr>
        <w:lastRenderedPageBreak/>
        <w:t>The</w:t>
      </w:r>
      <w:r w:rsidR="00501DFB" w:rsidRPr="00D2222C">
        <w:rPr>
          <w:rFonts w:asciiTheme="majorHAnsi" w:hAnsiTheme="majorHAnsi"/>
          <w:sz w:val="20"/>
          <w:szCs w:val="20"/>
        </w:rPr>
        <w:t xml:space="preserve"> petitioners</w:t>
      </w:r>
      <w:r w:rsidRPr="00D2222C">
        <w:rPr>
          <w:rFonts w:asciiTheme="majorHAnsi" w:hAnsiTheme="majorHAnsi"/>
          <w:sz w:val="20"/>
          <w:szCs w:val="20"/>
        </w:rPr>
        <w:t xml:space="preserve"> argued that </w:t>
      </w:r>
      <w:r w:rsidR="00C36E35" w:rsidRPr="00D2222C">
        <w:rPr>
          <w:rFonts w:asciiTheme="majorHAnsi" w:hAnsiTheme="majorHAnsi"/>
          <w:sz w:val="20"/>
          <w:szCs w:val="20"/>
        </w:rPr>
        <w:t xml:space="preserve">Mr. Hall’s case received virtually no scrutiny at all in post-conviction proceedings. According to the petitioners, </w:t>
      </w:r>
      <w:r w:rsidRPr="00D2222C">
        <w:rPr>
          <w:rFonts w:asciiTheme="majorHAnsi" w:hAnsiTheme="majorHAnsi"/>
          <w:sz w:val="20"/>
          <w:szCs w:val="20"/>
        </w:rPr>
        <w:t>the domestic courts refused to conduct an evidentiary hearing during post-conviction proceedings to permit Mr. Hall to prove th</w:t>
      </w:r>
      <w:r w:rsidR="009937A7" w:rsidRPr="00D2222C">
        <w:rPr>
          <w:rFonts w:asciiTheme="majorHAnsi" w:hAnsiTheme="majorHAnsi"/>
          <w:sz w:val="20"/>
          <w:szCs w:val="20"/>
        </w:rPr>
        <w:t>e</w:t>
      </w:r>
      <w:r w:rsidRPr="00D2222C">
        <w:rPr>
          <w:rFonts w:asciiTheme="majorHAnsi" w:hAnsiTheme="majorHAnsi"/>
          <w:sz w:val="20"/>
          <w:szCs w:val="20"/>
        </w:rPr>
        <w:t xml:space="preserve"> facts he had alleged regarding his trial attorney’s deficient performance at the penalty phase and how their errors and omissions likely influenced the jury’s decision to impose a death sentence. </w:t>
      </w:r>
      <w:r w:rsidR="0072130B" w:rsidRPr="00D2222C">
        <w:rPr>
          <w:rFonts w:asciiTheme="majorHAnsi" w:hAnsiTheme="majorHAnsi"/>
          <w:sz w:val="20"/>
          <w:szCs w:val="20"/>
        </w:rPr>
        <w:t xml:space="preserve">They submitted that the domestic courts refused to conduct an evidentiary hearing into Mr. Hall’s charges that key parts of the penalty-phase testimony of </w:t>
      </w:r>
      <w:r w:rsidR="00875ABB" w:rsidRPr="00D2222C">
        <w:rPr>
          <w:rFonts w:asciiTheme="majorHAnsi" w:hAnsiTheme="majorHAnsi"/>
          <w:sz w:val="20"/>
          <w:szCs w:val="20"/>
        </w:rPr>
        <w:t xml:space="preserve">a </w:t>
      </w:r>
      <w:r w:rsidR="0072130B" w:rsidRPr="00D2222C">
        <w:rPr>
          <w:rFonts w:asciiTheme="majorHAnsi" w:hAnsiTheme="majorHAnsi"/>
          <w:sz w:val="20"/>
          <w:szCs w:val="20"/>
        </w:rPr>
        <w:t xml:space="preserve">prosecution witness were fabricated and/or intolerably unreliable, despite the fact that Mr. Hall submitted sworn affidavits </w:t>
      </w:r>
      <w:r w:rsidR="00875ABB" w:rsidRPr="00D2222C">
        <w:rPr>
          <w:rFonts w:asciiTheme="majorHAnsi" w:hAnsiTheme="majorHAnsi"/>
          <w:sz w:val="20"/>
          <w:szCs w:val="20"/>
        </w:rPr>
        <w:t xml:space="preserve">that contradicted </w:t>
      </w:r>
      <w:r w:rsidR="00D03633" w:rsidRPr="00D2222C">
        <w:rPr>
          <w:rFonts w:asciiTheme="majorHAnsi" w:hAnsiTheme="majorHAnsi"/>
          <w:sz w:val="20"/>
          <w:szCs w:val="20"/>
        </w:rPr>
        <w:t>the</w:t>
      </w:r>
      <w:r w:rsidR="00875ABB" w:rsidRPr="00D2222C">
        <w:rPr>
          <w:rFonts w:asciiTheme="majorHAnsi" w:hAnsiTheme="majorHAnsi"/>
          <w:sz w:val="20"/>
          <w:szCs w:val="20"/>
        </w:rPr>
        <w:t xml:space="preserve"> testimony. Nor did the domestic courts, according to the petitioners, permit a meaningful resolution of whether one or more jurors had committed misconduct. </w:t>
      </w:r>
    </w:p>
    <w:p w14:paraId="4C5585E5" w14:textId="77777777" w:rsidR="00B41AAC" w:rsidRPr="00D2222C" w:rsidRDefault="00B41AAC" w:rsidP="009E3847">
      <w:pPr>
        <w:pStyle w:val="ListParagraph"/>
        <w:rPr>
          <w:rFonts w:asciiTheme="majorHAnsi" w:hAnsiTheme="majorHAnsi"/>
          <w:sz w:val="20"/>
          <w:szCs w:val="20"/>
        </w:rPr>
      </w:pPr>
    </w:p>
    <w:p w14:paraId="07FE6E2C" w14:textId="77777777" w:rsidR="00BE014C" w:rsidRPr="00D2222C" w:rsidRDefault="00B41AAC"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D2222C">
        <w:rPr>
          <w:rFonts w:asciiTheme="majorHAnsi" w:hAnsiTheme="majorHAnsi"/>
          <w:sz w:val="20"/>
          <w:szCs w:val="20"/>
        </w:rPr>
        <w:t xml:space="preserve">The petitioners </w:t>
      </w:r>
      <w:r w:rsidR="006E35A0" w:rsidRPr="00D2222C">
        <w:rPr>
          <w:rFonts w:asciiTheme="majorHAnsi" w:hAnsiTheme="majorHAnsi"/>
          <w:sz w:val="20"/>
          <w:szCs w:val="20"/>
        </w:rPr>
        <w:t xml:space="preserve">also </w:t>
      </w:r>
      <w:r w:rsidRPr="00D2222C">
        <w:rPr>
          <w:rFonts w:asciiTheme="majorHAnsi" w:hAnsiTheme="majorHAnsi"/>
          <w:sz w:val="20"/>
          <w:szCs w:val="20"/>
        </w:rPr>
        <w:t xml:space="preserve">argued that the United States failed to develop a lethal injection protocol that would adequately protect Mr. Hall against </w:t>
      </w:r>
      <w:r w:rsidRPr="00D2222C">
        <w:rPr>
          <w:rFonts w:asciiTheme="majorHAnsi" w:hAnsiTheme="majorHAnsi"/>
          <w:b/>
          <w:sz w:val="20"/>
          <w:szCs w:val="20"/>
        </w:rPr>
        <w:t>inhumane pain and suffering</w:t>
      </w:r>
      <w:r w:rsidRPr="00D2222C">
        <w:rPr>
          <w:rFonts w:asciiTheme="majorHAnsi" w:hAnsiTheme="majorHAnsi"/>
          <w:sz w:val="20"/>
          <w:szCs w:val="20"/>
        </w:rPr>
        <w:t>. They stated in this regard that the United States Governmen</w:t>
      </w:r>
      <w:r w:rsidR="00E64E6F" w:rsidRPr="00D2222C">
        <w:rPr>
          <w:rFonts w:asciiTheme="majorHAnsi" w:hAnsiTheme="majorHAnsi"/>
          <w:sz w:val="20"/>
          <w:szCs w:val="20"/>
        </w:rPr>
        <w:t>t has designated</w:t>
      </w:r>
      <w:r w:rsidRPr="00D2222C">
        <w:rPr>
          <w:rFonts w:asciiTheme="majorHAnsi" w:hAnsiTheme="majorHAnsi"/>
          <w:sz w:val="20"/>
          <w:szCs w:val="20"/>
        </w:rPr>
        <w:t xml:space="preserve"> as “confidential” critical portions of deposition testimony revealing the qualifications, training, and procedures used by personnel involved in its lethal injection process. </w:t>
      </w:r>
      <w:r w:rsidR="00E64E6F" w:rsidRPr="00D2222C">
        <w:rPr>
          <w:rFonts w:asciiTheme="majorHAnsi" w:hAnsiTheme="majorHAnsi"/>
          <w:sz w:val="20"/>
          <w:szCs w:val="20"/>
        </w:rPr>
        <w:t xml:space="preserve">They claimed that this refusal to disclose vital information regarding the lethal injection protocol significantly impedes Mr. Hall’s ability to </w:t>
      </w:r>
      <w:r w:rsidR="00C75A4F" w:rsidRPr="00D2222C">
        <w:rPr>
          <w:rFonts w:asciiTheme="majorHAnsi" w:hAnsiTheme="majorHAnsi"/>
          <w:sz w:val="20"/>
          <w:szCs w:val="20"/>
        </w:rPr>
        <w:t xml:space="preserve">receive </w:t>
      </w:r>
      <w:r w:rsidR="00E64E6F" w:rsidRPr="00D2222C">
        <w:rPr>
          <w:rFonts w:asciiTheme="majorHAnsi" w:hAnsiTheme="majorHAnsi"/>
          <w:sz w:val="20"/>
          <w:szCs w:val="20"/>
        </w:rPr>
        <w:t xml:space="preserve">review and, at the appropriate time, to present evidence. </w:t>
      </w:r>
      <w:r w:rsidR="00BE014C" w:rsidRPr="00D2222C">
        <w:rPr>
          <w:rFonts w:asciiTheme="majorHAnsi" w:hAnsiTheme="majorHAnsi"/>
          <w:sz w:val="20"/>
          <w:szCs w:val="20"/>
        </w:rPr>
        <w:t>Finally, the</w:t>
      </w:r>
      <w:r w:rsidR="006E35A0" w:rsidRPr="00D2222C">
        <w:rPr>
          <w:rFonts w:asciiTheme="majorHAnsi" w:hAnsiTheme="majorHAnsi"/>
          <w:sz w:val="20"/>
          <w:szCs w:val="20"/>
        </w:rPr>
        <w:t>y</w:t>
      </w:r>
      <w:r w:rsidR="00BE014C" w:rsidRPr="00D2222C">
        <w:rPr>
          <w:rFonts w:asciiTheme="majorHAnsi" w:hAnsiTheme="majorHAnsi"/>
          <w:sz w:val="20"/>
          <w:szCs w:val="20"/>
        </w:rPr>
        <w:t xml:space="preserve"> alleged that the absence of a hearing in the clemency process means that there is no guarantee to view any evidence submitted in opposition to the clemency request</w:t>
      </w:r>
      <w:r w:rsidR="006E35A0" w:rsidRPr="00D2222C">
        <w:rPr>
          <w:rFonts w:asciiTheme="majorHAnsi" w:hAnsiTheme="majorHAnsi"/>
          <w:sz w:val="20"/>
          <w:szCs w:val="20"/>
        </w:rPr>
        <w:t xml:space="preserve">, </w:t>
      </w:r>
      <w:r w:rsidR="00A64F5F" w:rsidRPr="00D2222C">
        <w:rPr>
          <w:rFonts w:asciiTheme="majorHAnsi" w:hAnsiTheme="majorHAnsi"/>
          <w:sz w:val="20"/>
          <w:szCs w:val="20"/>
        </w:rPr>
        <w:t xml:space="preserve">that </w:t>
      </w:r>
      <w:r w:rsidR="00884270" w:rsidRPr="00D2222C">
        <w:rPr>
          <w:rFonts w:asciiTheme="majorHAnsi" w:hAnsiTheme="majorHAnsi"/>
          <w:sz w:val="20"/>
          <w:szCs w:val="20"/>
        </w:rPr>
        <w:t>the structure of the federal clemency process lacks independence</w:t>
      </w:r>
      <w:r w:rsidR="006E35A0" w:rsidRPr="00D2222C">
        <w:rPr>
          <w:rFonts w:asciiTheme="majorHAnsi" w:hAnsiTheme="majorHAnsi"/>
          <w:sz w:val="20"/>
          <w:szCs w:val="20"/>
        </w:rPr>
        <w:t>,</w:t>
      </w:r>
      <w:r w:rsidR="00884270" w:rsidRPr="00D2222C">
        <w:rPr>
          <w:rFonts w:asciiTheme="majorHAnsi" w:hAnsiTheme="majorHAnsi"/>
          <w:sz w:val="20"/>
          <w:szCs w:val="20"/>
        </w:rPr>
        <w:t xml:space="preserve"> and that </w:t>
      </w:r>
      <w:r w:rsidR="00A64F5F" w:rsidRPr="00D2222C">
        <w:rPr>
          <w:rFonts w:asciiTheme="majorHAnsi" w:hAnsiTheme="majorHAnsi"/>
          <w:sz w:val="20"/>
          <w:szCs w:val="20"/>
        </w:rPr>
        <w:t>no opportunity is afforded for appeal or reconsideration.</w:t>
      </w:r>
      <w:r w:rsidR="00BE014C" w:rsidRPr="00D2222C">
        <w:rPr>
          <w:rFonts w:asciiTheme="majorHAnsi" w:hAnsiTheme="majorHAnsi"/>
          <w:sz w:val="20"/>
          <w:szCs w:val="20"/>
        </w:rPr>
        <w:t xml:space="preserve"> </w:t>
      </w:r>
    </w:p>
    <w:p w14:paraId="46D54881" w14:textId="77777777" w:rsidR="001C4006" w:rsidRPr="00D2222C" w:rsidRDefault="001C4006" w:rsidP="00BB5A59">
      <w:pPr>
        <w:suppressAutoHyphens/>
        <w:ind w:left="1440" w:hanging="720"/>
        <w:rPr>
          <w:rFonts w:asciiTheme="majorHAnsi" w:hAnsiTheme="majorHAnsi"/>
          <w:sz w:val="20"/>
          <w:szCs w:val="20"/>
        </w:rPr>
      </w:pPr>
    </w:p>
    <w:p w14:paraId="7F4B5161" w14:textId="77777777" w:rsidR="001C4006" w:rsidRPr="00D2222C" w:rsidRDefault="001C4006" w:rsidP="00BB5A59">
      <w:pPr>
        <w:pStyle w:val="Heading2"/>
        <w:numPr>
          <w:ilvl w:val="0"/>
          <w:numId w:val="61"/>
        </w:numPr>
        <w:spacing w:before="0"/>
        <w:ind w:left="1440" w:hanging="720"/>
        <w:rPr>
          <w:color w:val="auto"/>
          <w:sz w:val="20"/>
          <w:szCs w:val="20"/>
          <w:lang w:val="es-ES_tradnl"/>
        </w:rPr>
      </w:pPr>
      <w:bookmarkStart w:id="3" w:name="_Toc26550919"/>
      <w:r w:rsidRPr="00D2222C">
        <w:rPr>
          <w:color w:val="auto"/>
          <w:sz w:val="20"/>
          <w:szCs w:val="20"/>
          <w:lang w:val="es-ES_tradnl"/>
        </w:rPr>
        <w:t>S</w:t>
      </w:r>
      <w:r w:rsidR="00262ECA" w:rsidRPr="00D2222C">
        <w:rPr>
          <w:color w:val="auto"/>
          <w:sz w:val="20"/>
          <w:szCs w:val="20"/>
          <w:lang w:val="es-ES_tradnl"/>
        </w:rPr>
        <w:t>tate</w:t>
      </w:r>
      <w:bookmarkEnd w:id="3"/>
    </w:p>
    <w:p w14:paraId="077DF240" w14:textId="77777777" w:rsidR="001C4006" w:rsidRPr="00D2222C" w:rsidRDefault="001C4006" w:rsidP="001C4006">
      <w:pPr>
        <w:suppressAutoHyphens/>
        <w:rPr>
          <w:rFonts w:asciiTheme="majorHAnsi" w:hAnsiTheme="majorHAnsi"/>
          <w:sz w:val="20"/>
          <w:szCs w:val="20"/>
          <w:lang w:val="es-ES_tradnl"/>
        </w:rPr>
      </w:pPr>
    </w:p>
    <w:p w14:paraId="05C3260B" w14:textId="77777777" w:rsidR="001C4006" w:rsidRPr="00D2222C" w:rsidRDefault="009B1206"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rPr>
      </w:pPr>
      <w:r w:rsidRPr="00D2222C">
        <w:rPr>
          <w:rFonts w:ascii="Cambria" w:hAnsi="Cambria"/>
          <w:sz w:val="20"/>
          <w:szCs w:val="20"/>
        </w:rPr>
        <w:t xml:space="preserve">The United States submitted that </w:t>
      </w:r>
      <w:r w:rsidR="00D07A1B" w:rsidRPr="00D2222C">
        <w:rPr>
          <w:rFonts w:ascii="Cambria" w:hAnsi="Cambria"/>
          <w:sz w:val="20"/>
          <w:szCs w:val="20"/>
        </w:rPr>
        <w:t>the petitioners failed to demonstrate any facts that would constitute a violation of Mr. Hall’s rights under the American Declaration</w:t>
      </w:r>
      <w:r w:rsidRPr="00D2222C">
        <w:rPr>
          <w:rFonts w:ascii="Cambria" w:hAnsi="Cambria"/>
          <w:sz w:val="20"/>
          <w:szCs w:val="20"/>
        </w:rPr>
        <w:t>. I</w:t>
      </w:r>
      <w:r w:rsidR="000520FB" w:rsidRPr="00D2222C">
        <w:rPr>
          <w:rFonts w:ascii="Cambria" w:hAnsi="Cambria"/>
          <w:sz w:val="20"/>
          <w:szCs w:val="20"/>
        </w:rPr>
        <w:t>t</w:t>
      </w:r>
      <w:r w:rsidRPr="00D2222C">
        <w:rPr>
          <w:rFonts w:ascii="Cambria" w:hAnsi="Cambria"/>
          <w:sz w:val="20"/>
          <w:szCs w:val="20"/>
        </w:rPr>
        <w:t xml:space="preserve"> assert</w:t>
      </w:r>
      <w:r w:rsidR="0024070A" w:rsidRPr="00D2222C">
        <w:rPr>
          <w:rFonts w:ascii="Cambria" w:hAnsi="Cambria"/>
          <w:sz w:val="20"/>
          <w:szCs w:val="20"/>
        </w:rPr>
        <w:t>ed</w:t>
      </w:r>
      <w:r w:rsidRPr="00D2222C">
        <w:rPr>
          <w:rFonts w:ascii="Cambria" w:hAnsi="Cambria"/>
          <w:sz w:val="20"/>
          <w:szCs w:val="20"/>
        </w:rPr>
        <w:t xml:space="preserve"> that Article I of the Declaration</w:t>
      </w:r>
      <w:r w:rsidR="0024070A" w:rsidRPr="00D2222C">
        <w:rPr>
          <w:rFonts w:ascii="Cambria" w:hAnsi="Cambria"/>
          <w:sz w:val="20"/>
          <w:szCs w:val="20"/>
        </w:rPr>
        <w:t xml:space="preserve"> does not proscribe capital punishment when carried out in accordance with due process and when imposed for the most serious crimes such as the o</w:t>
      </w:r>
      <w:r w:rsidR="00D07A1B" w:rsidRPr="00D2222C">
        <w:rPr>
          <w:rFonts w:ascii="Cambria" w:hAnsi="Cambria"/>
          <w:sz w:val="20"/>
          <w:szCs w:val="20"/>
        </w:rPr>
        <w:t>ffense committed by Mr. Hall. The State</w:t>
      </w:r>
      <w:r w:rsidR="0024070A" w:rsidRPr="00D2222C">
        <w:rPr>
          <w:rFonts w:ascii="Cambria" w:hAnsi="Cambria"/>
          <w:sz w:val="20"/>
          <w:szCs w:val="20"/>
        </w:rPr>
        <w:t xml:space="preserve"> argue</w:t>
      </w:r>
      <w:r w:rsidR="000520FB" w:rsidRPr="00D2222C">
        <w:rPr>
          <w:rFonts w:ascii="Cambria" w:hAnsi="Cambria"/>
          <w:sz w:val="20"/>
          <w:szCs w:val="20"/>
        </w:rPr>
        <w:t>d</w:t>
      </w:r>
      <w:r w:rsidR="0024070A" w:rsidRPr="00D2222C">
        <w:rPr>
          <w:rFonts w:ascii="Cambria" w:hAnsi="Cambria"/>
          <w:sz w:val="20"/>
          <w:szCs w:val="20"/>
        </w:rPr>
        <w:t xml:space="preserve"> that the petitioner</w:t>
      </w:r>
      <w:r w:rsidR="000520FB" w:rsidRPr="00D2222C">
        <w:rPr>
          <w:rFonts w:ascii="Cambria" w:hAnsi="Cambria"/>
          <w:sz w:val="20"/>
          <w:szCs w:val="20"/>
        </w:rPr>
        <w:t>s</w:t>
      </w:r>
      <w:r w:rsidR="0024070A" w:rsidRPr="00D2222C">
        <w:rPr>
          <w:rFonts w:ascii="Cambria" w:hAnsi="Cambria"/>
          <w:sz w:val="20"/>
          <w:szCs w:val="20"/>
        </w:rPr>
        <w:t xml:space="preserve"> </w:t>
      </w:r>
      <w:r w:rsidR="000520FB" w:rsidRPr="00D2222C">
        <w:rPr>
          <w:rFonts w:ascii="Cambria" w:hAnsi="Cambria"/>
          <w:sz w:val="20"/>
          <w:szCs w:val="20"/>
        </w:rPr>
        <w:t>did</w:t>
      </w:r>
      <w:r w:rsidR="0024070A" w:rsidRPr="00D2222C">
        <w:rPr>
          <w:rFonts w:ascii="Cambria" w:hAnsi="Cambria"/>
          <w:sz w:val="20"/>
          <w:szCs w:val="20"/>
        </w:rPr>
        <w:t xml:space="preserve"> not demonstrat</w:t>
      </w:r>
      <w:r w:rsidR="000520FB" w:rsidRPr="00D2222C">
        <w:rPr>
          <w:rFonts w:ascii="Cambria" w:hAnsi="Cambria"/>
          <w:sz w:val="20"/>
          <w:szCs w:val="20"/>
        </w:rPr>
        <w:t>e</w:t>
      </w:r>
      <w:r w:rsidR="0024070A" w:rsidRPr="00D2222C">
        <w:rPr>
          <w:rFonts w:ascii="Cambria" w:hAnsi="Cambria"/>
          <w:sz w:val="20"/>
          <w:szCs w:val="20"/>
        </w:rPr>
        <w:t xml:space="preserve"> evidence of discriminatory intent regarding the death penalty against African-American individuals and that statistical evidence is not sufficient.</w:t>
      </w:r>
      <w:r w:rsidR="000520FB" w:rsidRPr="00D2222C">
        <w:rPr>
          <w:rFonts w:ascii="Cambria" w:hAnsi="Cambria"/>
          <w:sz w:val="20"/>
          <w:szCs w:val="20"/>
        </w:rPr>
        <w:t xml:space="preserve"> It also claimed that attorneys conducted reasonable investigations and that Mr. Hall received constitutionally effective assistance of counsel.</w:t>
      </w:r>
      <w:r w:rsidR="00FA359A" w:rsidRPr="00D2222C">
        <w:rPr>
          <w:rFonts w:ascii="Cambria" w:hAnsi="Cambria"/>
          <w:sz w:val="20"/>
          <w:szCs w:val="20"/>
        </w:rPr>
        <w:t xml:space="preserve"> </w:t>
      </w:r>
      <w:r w:rsidR="00D07A1B" w:rsidRPr="00D2222C">
        <w:rPr>
          <w:rFonts w:ascii="Cambria" w:hAnsi="Cambria"/>
          <w:sz w:val="20"/>
          <w:szCs w:val="20"/>
        </w:rPr>
        <w:t xml:space="preserve">It further </w:t>
      </w:r>
      <w:r w:rsidR="000520FB" w:rsidRPr="00D2222C">
        <w:rPr>
          <w:rFonts w:ascii="Cambria" w:hAnsi="Cambria"/>
          <w:sz w:val="20"/>
          <w:szCs w:val="20"/>
        </w:rPr>
        <w:t xml:space="preserve">indicated that U.S. law provides special protections for those accused of capital offenses. </w:t>
      </w:r>
    </w:p>
    <w:p w14:paraId="2A972E97" w14:textId="77777777" w:rsidR="00FA359A" w:rsidRPr="00D2222C" w:rsidRDefault="00FA359A" w:rsidP="009E384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04E33259" w14:textId="77777777" w:rsidR="00EC74EB" w:rsidRPr="00D2222C" w:rsidRDefault="004F3905"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rPr>
      </w:pPr>
      <w:r w:rsidRPr="00D2222C">
        <w:rPr>
          <w:rFonts w:ascii="Cambria" w:hAnsi="Cambria"/>
          <w:sz w:val="20"/>
          <w:szCs w:val="20"/>
        </w:rPr>
        <w:t xml:space="preserve">Regarding the right to </w:t>
      </w:r>
      <w:r w:rsidRPr="00D2222C">
        <w:rPr>
          <w:rFonts w:ascii="Cambria" w:hAnsi="Cambria"/>
          <w:b/>
          <w:sz w:val="20"/>
          <w:szCs w:val="20"/>
        </w:rPr>
        <w:t>equality before the law</w:t>
      </w:r>
      <w:r w:rsidRPr="00D2222C">
        <w:rPr>
          <w:rFonts w:ascii="Cambria" w:hAnsi="Cambria"/>
          <w:sz w:val="20"/>
          <w:szCs w:val="20"/>
        </w:rPr>
        <w:t>, t</w:t>
      </w:r>
      <w:r w:rsidR="00FA359A" w:rsidRPr="00D2222C">
        <w:rPr>
          <w:rFonts w:ascii="Cambria" w:hAnsi="Cambria"/>
          <w:sz w:val="20"/>
          <w:szCs w:val="20"/>
        </w:rPr>
        <w:t xml:space="preserve">he State </w:t>
      </w:r>
      <w:r w:rsidR="00664DDE" w:rsidRPr="00D2222C">
        <w:rPr>
          <w:rFonts w:ascii="Cambria" w:hAnsi="Cambria"/>
          <w:sz w:val="20"/>
          <w:szCs w:val="20"/>
        </w:rPr>
        <w:t xml:space="preserve">noted that the Department of Justice’s procedures on prosecuting capital offenses include significant protections to guard against any sort of racial bias. It further </w:t>
      </w:r>
      <w:r w:rsidR="00FA359A" w:rsidRPr="00D2222C">
        <w:rPr>
          <w:rFonts w:ascii="Cambria" w:hAnsi="Cambria"/>
          <w:sz w:val="20"/>
          <w:szCs w:val="20"/>
        </w:rPr>
        <w:t xml:space="preserve">argued that the petitioners did not effectively demonstrate </w:t>
      </w:r>
      <w:r w:rsidR="00DB30EC" w:rsidRPr="00D2222C">
        <w:rPr>
          <w:rFonts w:ascii="Cambria" w:hAnsi="Cambria"/>
          <w:sz w:val="20"/>
          <w:szCs w:val="20"/>
        </w:rPr>
        <w:t xml:space="preserve">the existence of </w:t>
      </w:r>
      <w:r w:rsidR="00FA359A" w:rsidRPr="00D2222C">
        <w:rPr>
          <w:rFonts w:ascii="Cambria" w:hAnsi="Cambria"/>
          <w:sz w:val="20"/>
          <w:szCs w:val="20"/>
        </w:rPr>
        <w:t>racially-discriminatory conduct</w:t>
      </w:r>
      <w:r w:rsidR="00EC74EB" w:rsidRPr="00D2222C">
        <w:rPr>
          <w:rFonts w:ascii="Cambria" w:hAnsi="Cambria"/>
          <w:sz w:val="20"/>
          <w:szCs w:val="20"/>
        </w:rPr>
        <w:t xml:space="preserve"> and, based on two studies, claimed that there is no evidence of systemic racial bias in the federal death penalty system. According to a Department of Justice report released in 2001, “given that organized trafficking is largely carried out by gangs whose membership is drawn from minority groups, [there is a higher proportion of minority defendants] in potential capital cases arising from the lethal violence associated with the drug trade.”  </w:t>
      </w:r>
      <w:r w:rsidR="001B3279" w:rsidRPr="00D2222C">
        <w:rPr>
          <w:rFonts w:ascii="Cambria" w:hAnsi="Cambria"/>
          <w:sz w:val="20"/>
          <w:szCs w:val="20"/>
        </w:rPr>
        <w:t>A</w:t>
      </w:r>
      <w:r w:rsidR="00EC74EB" w:rsidRPr="00D2222C">
        <w:rPr>
          <w:rFonts w:ascii="Cambria" w:hAnsi="Cambria"/>
          <w:sz w:val="20"/>
          <w:szCs w:val="20"/>
        </w:rPr>
        <w:t xml:space="preserve"> 2006 report by the RAND Corporation also cited by the State concluded that the US Attorney’s Office’s recommendations and the Attorney General’s final charging decisions “were driven by heinousness of crime rather than race.”</w:t>
      </w:r>
    </w:p>
    <w:p w14:paraId="1B0F2B7E" w14:textId="77777777" w:rsidR="00EC74EB" w:rsidRPr="00D2222C" w:rsidRDefault="00EC74EB" w:rsidP="009E384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30044C3A" w14:textId="77777777" w:rsidR="001C4006" w:rsidRPr="00D2222C" w:rsidRDefault="00664DDE"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rPr>
      </w:pPr>
      <w:r w:rsidRPr="00D2222C">
        <w:rPr>
          <w:rFonts w:ascii="Cambria" w:hAnsi="Cambria"/>
          <w:sz w:val="20"/>
          <w:szCs w:val="20"/>
        </w:rPr>
        <w:t>With regard to Mr. Hall’s case, the State</w:t>
      </w:r>
      <w:r w:rsidR="000D5691" w:rsidRPr="00D2222C">
        <w:rPr>
          <w:rFonts w:ascii="Cambria" w:hAnsi="Cambria"/>
          <w:sz w:val="20"/>
          <w:szCs w:val="20"/>
        </w:rPr>
        <w:t xml:space="preserve"> </w:t>
      </w:r>
      <w:r w:rsidRPr="00D2222C">
        <w:rPr>
          <w:rFonts w:ascii="Cambria" w:hAnsi="Cambria"/>
          <w:sz w:val="20"/>
          <w:szCs w:val="20"/>
        </w:rPr>
        <w:t>submitted that</w:t>
      </w:r>
      <w:r w:rsidR="00706698" w:rsidRPr="00D2222C">
        <w:rPr>
          <w:rFonts w:ascii="Cambria" w:hAnsi="Cambria"/>
          <w:sz w:val="20"/>
          <w:szCs w:val="20"/>
        </w:rPr>
        <w:t xml:space="preserve">, on January 24, 1995, </w:t>
      </w:r>
      <w:r w:rsidRPr="00D2222C">
        <w:rPr>
          <w:rFonts w:ascii="Cambria" w:hAnsi="Cambria"/>
          <w:sz w:val="20"/>
          <w:szCs w:val="20"/>
        </w:rPr>
        <w:t>defense</w:t>
      </w:r>
      <w:r w:rsidR="00706698" w:rsidRPr="00D2222C">
        <w:rPr>
          <w:rFonts w:ascii="Cambria" w:hAnsi="Cambria"/>
          <w:sz w:val="20"/>
          <w:szCs w:val="20"/>
        </w:rPr>
        <w:t xml:space="preserve"> attorneys were invited to meet with the capital case review committee to present arguments as to why the government should not seek the death penalty</w:t>
      </w:r>
      <w:r w:rsidR="00091707" w:rsidRPr="00D2222C">
        <w:rPr>
          <w:rFonts w:ascii="Cambria" w:hAnsi="Cambria"/>
          <w:sz w:val="20"/>
          <w:szCs w:val="20"/>
        </w:rPr>
        <w:t xml:space="preserve"> and, a</w:t>
      </w:r>
      <w:r w:rsidR="00706698" w:rsidRPr="00D2222C">
        <w:rPr>
          <w:rFonts w:ascii="Cambria" w:hAnsi="Cambria"/>
          <w:sz w:val="20"/>
          <w:szCs w:val="20"/>
        </w:rPr>
        <w:t>fter reviewing all the evidence, the Attorney General decided to seek the death penalty. Th</w:t>
      </w:r>
      <w:r w:rsidR="00DB30EC" w:rsidRPr="00D2222C">
        <w:rPr>
          <w:rFonts w:ascii="Cambria" w:hAnsi="Cambria"/>
          <w:sz w:val="20"/>
          <w:szCs w:val="20"/>
        </w:rPr>
        <w:t>erefore</w:t>
      </w:r>
      <w:r w:rsidR="00706698" w:rsidRPr="00D2222C">
        <w:rPr>
          <w:rFonts w:ascii="Cambria" w:hAnsi="Cambria"/>
          <w:sz w:val="20"/>
          <w:szCs w:val="20"/>
        </w:rPr>
        <w:t>, the State</w:t>
      </w:r>
      <w:r w:rsidR="00F21553" w:rsidRPr="00D2222C">
        <w:rPr>
          <w:rFonts w:ascii="Cambria" w:hAnsi="Cambria"/>
          <w:sz w:val="20"/>
          <w:szCs w:val="20"/>
        </w:rPr>
        <w:t xml:space="preserve"> asserted</w:t>
      </w:r>
      <w:r w:rsidR="00706698" w:rsidRPr="00D2222C">
        <w:rPr>
          <w:rFonts w:ascii="Cambria" w:hAnsi="Cambria"/>
          <w:sz w:val="20"/>
          <w:szCs w:val="20"/>
        </w:rPr>
        <w:t xml:space="preserve"> </w:t>
      </w:r>
      <w:r w:rsidRPr="00D2222C">
        <w:rPr>
          <w:rFonts w:ascii="Cambria" w:hAnsi="Cambria"/>
          <w:sz w:val="20"/>
          <w:szCs w:val="20"/>
        </w:rPr>
        <w:t xml:space="preserve">that </w:t>
      </w:r>
      <w:r w:rsidR="00706698" w:rsidRPr="00D2222C">
        <w:rPr>
          <w:rFonts w:ascii="Cambria" w:hAnsi="Cambria"/>
          <w:sz w:val="20"/>
          <w:szCs w:val="20"/>
        </w:rPr>
        <w:t xml:space="preserve">the decision to seek the death penalty </w:t>
      </w:r>
      <w:r w:rsidR="001B3279" w:rsidRPr="00D2222C">
        <w:rPr>
          <w:rFonts w:ascii="Cambria" w:hAnsi="Cambria"/>
          <w:sz w:val="20"/>
          <w:szCs w:val="20"/>
        </w:rPr>
        <w:t>wa</w:t>
      </w:r>
      <w:r w:rsidR="00706698" w:rsidRPr="00D2222C">
        <w:rPr>
          <w:rFonts w:ascii="Cambria" w:hAnsi="Cambria"/>
          <w:sz w:val="20"/>
          <w:szCs w:val="20"/>
        </w:rPr>
        <w:t xml:space="preserve">s not made by the prosecuting attorney. </w:t>
      </w:r>
      <w:r w:rsidR="00F21553" w:rsidRPr="00D2222C">
        <w:rPr>
          <w:rFonts w:ascii="Cambria" w:hAnsi="Cambria"/>
          <w:sz w:val="20"/>
          <w:szCs w:val="20"/>
        </w:rPr>
        <w:t xml:space="preserve">The State also alleged that the Northern District of Texas was the most logical venue for the trial given that the kidnapping and much of the investigation took place in Texas. </w:t>
      </w:r>
      <w:r w:rsidR="00496DBC" w:rsidRPr="00D2222C">
        <w:rPr>
          <w:rFonts w:ascii="Cambria" w:hAnsi="Cambria"/>
          <w:sz w:val="20"/>
          <w:szCs w:val="20"/>
        </w:rPr>
        <w:t>Likewise</w:t>
      </w:r>
      <w:r w:rsidR="00F21553" w:rsidRPr="00D2222C">
        <w:rPr>
          <w:rFonts w:ascii="Cambria" w:hAnsi="Cambria"/>
          <w:sz w:val="20"/>
          <w:szCs w:val="20"/>
        </w:rPr>
        <w:t xml:space="preserve">, many of the witnesses and the victim were from Texas. Therefore, the State concludes that the decision to prosecute the case in Texas was not based on the race of potential jury members. </w:t>
      </w:r>
      <w:r w:rsidR="00662F5D" w:rsidRPr="00D2222C">
        <w:rPr>
          <w:rFonts w:ascii="Cambria" w:hAnsi="Cambria"/>
          <w:sz w:val="20"/>
          <w:szCs w:val="20"/>
        </w:rPr>
        <w:t xml:space="preserve">Regarding the </w:t>
      </w:r>
      <w:r w:rsidR="00535FF9" w:rsidRPr="00D2222C">
        <w:rPr>
          <w:rFonts w:ascii="Cambria" w:hAnsi="Cambria"/>
          <w:sz w:val="20"/>
          <w:szCs w:val="20"/>
        </w:rPr>
        <w:t>alleged</w:t>
      </w:r>
      <w:r w:rsidR="00C75A4F" w:rsidRPr="00D2222C">
        <w:rPr>
          <w:rFonts w:ascii="Cambria" w:hAnsi="Cambria"/>
          <w:sz w:val="20"/>
          <w:szCs w:val="20"/>
        </w:rPr>
        <w:t xml:space="preserve"> failure of the</w:t>
      </w:r>
      <w:r w:rsidR="00535FF9" w:rsidRPr="00D2222C">
        <w:rPr>
          <w:rFonts w:ascii="Cambria" w:hAnsi="Cambria"/>
          <w:sz w:val="20"/>
          <w:szCs w:val="20"/>
        </w:rPr>
        <w:t xml:space="preserve"> </w:t>
      </w:r>
      <w:r w:rsidR="00662F5D" w:rsidRPr="00D2222C">
        <w:rPr>
          <w:rFonts w:ascii="Cambria" w:hAnsi="Cambria"/>
          <w:sz w:val="20"/>
          <w:szCs w:val="20"/>
        </w:rPr>
        <w:t xml:space="preserve">judicial system to permit adequate discovery or </w:t>
      </w:r>
      <w:r w:rsidR="00535FF9" w:rsidRPr="00D2222C">
        <w:rPr>
          <w:rFonts w:ascii="Cambria" w:hAnsi="Cambria"/>
          <w:sz w:val="20"/>
          <w:szCs w:val="20"/>
        </w:rPr>
        <w:t xml:space="preserve">to </w:t>
      </w:r>
      <w:r w:rsidR="00662F5D" w:rsidRPr="00D2222C">
        <w:rPr>
          <w:rFonts w:ascii="Cambria" w:hAnsi="Cambria"/>
          <w:sz w:val="20"/>
          <w:szCs w:val="20"/>
        </w:rPr>
        <w:t xml:space="preserve">fairly resolve factual disputes, the State argued that the District Court of the Northern District of Texas found the statistical evidence </w:t>
      </w:r>
      <w:r w:rsidR="00C75A4F" w:rsidRPr="00D2222C">
        <w:rPr>
          <w:rFonts w:ascii="Cambria" w:hAnsi="Cambria"/>
          <w:sz w:val="20"/>
          <w:szCs w:val="20"/>
        </w:rPr>
        <w:t>in</w:t>
      </w:r>
      <w:r w:rsidR="00C23BA8" w:rsidRPr="00D2222C">
        <w:rPr>
          <w:rFonts w:ascii="Cambria" w:hAnsi="Cambria"/>
          <w:sz w:val="20"/>
          <w:szCs w:val="20"/>
        </w:rPr>
        <w:t>sufficient</w:t>
      </w:r>
      <w:r w:rsidR="00662F5D" w:rsidRPr="00D2222C">
        <w:rPr>
          <w:rFonts w:ascii="Cambria" w:hAnsi="Cambria"/>
          <w:sz w:val="20"/>
          <w:szCs w:val="20"/>
        </w:rPr>
        <w:t xml:space="preserve"> to establish the elements of </w:t>
      </w:r>
      <w:r w:rsidR="00D07A1B" w:rsidRPr="00D2222C">
        <w:rPr>
          <w:rFonts w:ascii="Cambria" w:hAnsi="Cambria"/>
          <w:sz w:val="20"/>
          <w:szCs w:val="20"/>
        </w:rPr>
        <w:t>Mr. Hall’s</w:t>
      </w:r>
      <w:r w:rsidR="00662F5D" w:rsidRPr="00D2222C">
        <w:rPr>
          <w:rFonts w:ascii="Cambria" w:hAnsi="Cambria"/>
          <w:sz w:val="20"/>
          <w:szCs w:val="20"/>
        </w:rPr>
        <w:t xml:space="preserve"> claim. </w:t>
      </w:r>
      <w:r w:rsidR="00FE6B58" w:rsidRPr="00D2222C">
        <w:rPr>
          <w:rFonts w:ascii="Cambria" w:hAnsi="Cambria"/>
          <w:sz w:val="20"/>
          <w:szCs w:val="20"/>
        </w:rPr>
        <w:t xml:space="preserve">Therefore, according to the State, neither petitioner’s statistical evidence, nor </w:t>
      </w:r>
      <w:r w:rsidR="00DA2A7C" w:rsidRPr="00D2222C">
        <w:rPr>
          <w:rFonts w:ascii="Cambria" w:hAnsi="Cambria"/>
          <w:sz w:val="20"/>
          <w:szCs w:val="20"/>
        </w:rPr>
        <w:t>t</w:t>
      </w:r>
      <w:r w:rsidR="00D07A1B" w:rsidRPr="00D2222C">
        <w:rPr>
          <w:rFonts w:ascii="Cambria" w:hAnsi="Cambria"/>
          <w:sz w:val="20"/>
          <w:szCs w:val="20"/>
        </w:rPr>
        <w:t>he alleged</w:t>
      </w:r>
      <w:r w:rsidR="00FE6B58" w:rsidRPr="00D2222C">
        <w:rPr>
          <w:rFonts w:ascii="Cambria" w:hAnsi="Cambria"/>
          <w:sz w:val="20"/>
          <w:szCs w:val="20"/>
        </w:rPr>
        <w:t xml:space="preserve"> lack of access to discovery, is sufficient to establish either the element of </w:t>
      </w:r>
      <w:r w:rsidR="00F637BF" w:rsidRPr="00D2222C">
        <w:rPr>
          <w:rFonts w:ascii="Cambria" w:hAnsi="Cambria"/>
          <w:sz w:val="20"/>
          <w:szCs w:val="20"/>
        </w:rPr>
        <w:t>Mr. Hall’s</w:t>
      </w:r>
      <w:r w:rsidR="00FE6B58" w:rsidRPr="00D2222C">
        <w:rPr>
          <w:rFonts w:ascii="Cambria" w:hAnsi="Cambria"/>
          <w:sz w:val="20"/>
          <w:szCs w:val="20"/>
        </w:rPr>
        <w:t xml:space="preserve"> claim of selective prosecution or racial discriminatory practice.</w:t>
      </w:r>
      <w:r w:rsidR="00293B75" w:rsidRPr="00D2222C">
        <w:rPr>
          <w:rFonts w:ascii="Cambria" w:hAnsi="Cambria"/>
          <w:sz w:val="20"/>
          <w:szCs w:val="20"/>
        </w:rPr>
        <w:t xml:space="preserve"> </w:t>
      </w:r>
    </w:p>
    <w:p w14:paraId="2FED238A" w14:textId="77777777" w:rsidR="007D0207" w:rsidRPr="00D2222C" w:rsidRDefault="007D0207" w:rsidP="009E3847">
      <w:pPr>
        <w:pStyle w:val="ListParagraph"/>
        <w:rPr>
          <w:sz w:val="20"/>
          <w:szCs w:val="20"/>
        </w:rPr>
      </w:pPr>
    </w:p>
    <w:p w14:paraId="37793023" w14:textId="77777777" w:rsidR="007D0207" w:rsidRPr="00D2222C" w:rsidRDefault="007D0207"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rPr>
      </w:pPr>
      <w:r w:rsidRPr="00D2222C">
        <w:rPr>
          <w:rFonts w:ascii="Cambria" w:hAnsi="Cambria"/>
          <w:sz w:val="20"/>
          <w:szCs w:val="20"/>
        </w:rPr>
        <w:t>According to the State, the petitioners did not demonstrate a violation of Mr. Hall’s right to</w:t>
      </w:r>
      <w:r w:rsidRPr="00D2222C">
        <w:rPr>
          <w:rFonts w:ascii="Cambria" w:hAnsi="Cambria"/>
          <w:b/>
          <w:sz w:val="20"/>
          <w:szCs w:val="20"/>
        </w:rPr>
        <w:t xml:space="preserve"> due process</w:t>
      </w:r>
      <w:r w:rsidRPr="00D2222C">
        <w:rPr>
          <w:rFonts w:ascii="Cambria" w:hAnsi="Cambria"/>
          <w:sz w:val="20"/>
          <w:szCs w:val="20"/>
        </w:rPr>
        <w:t xml:space="preserve"> nor demonstrated </w:t>
      </w:r>
      <w:r w:rsidRPr="00D2222C">
        <w:rPr>
          <w:rFonts w:ascii="Cambria" w:hAnsi="Cambria"/>
          <w:b/>
          <w:sz w:val="20"/>
          <w:szCs w:val="20"/>
        </w:rPr>
        <w:t>cruel, infamous, or unusual punishment</w:t>
      </w:r>
      <w:r w:rsidRPr="00D2222C">
        <w:rPr>
          <w:rFonts w:ascii="Cambria" w:hAnsi="Cambria"/>
          <w:sz w:val="20"/>
          <w:szCs w:val="20"/>
        </w:rPr>
        <w:t xml:space="preserve">. </w:t>
      </w:r>
      <w:r w:rsidR="00091707" w:rsidRPr="00D2222C">
        <w:rPr>
          <w:rFonts w:ascii="Cambria" w:hAnsi="Cambria"/>
          <w:sz w:val="20"/>
          <w:szCs w:val="20"/>
        </w:rPr>
        <w:t>It</w:t>
      </w:r>
      <w:r w:rsidR="00F637BF" w:rsidRPr="00D2222C">
        <w:rPr>
          <w:rFonts w:ascii="Cambria" w:hAnsi="Cambria"/>
          <w:sz w:val="20"/>
          <w:szCs w:val="20"/>
        </w:rPr>
        <w:t xml:space="preserve"> indicated that the United States </w:t>
      </w:r>
      <w:r w:rsidR="002552DF" w:rsidRPr="00D2222C">
        <w:rPr>
          <w:rFonts w:ascii="Cambria" w:hAnsi="Cambria"/>
          <w:sz w:val="20"/>
          <w:szCs w:val="20"/>
        </w:rPr>
        <w:t xml:space="preserve">provided Mr. Hall with a comprehensive and expansive system of review and protection of his rights and that his claims received review by the Federal District Court for the Northern District of Texas, the Fifth Circuit Court of Appeals and the United States Supreme Court. </w:t>
      </w:r>
      <w:r w:rsidR="00C85DDE" w:rsidRPr="00D2222C">
        <w:rPr>
          <w:rFonts w:ascii="Cambria" w:hAnsi="Cambria"/>
          <w:sz w:val="20"/>
          <w:szCs w:val="20"/>
        </w:rPr>
        <w:t xml:space="preserve">The State further stated that the protections afforded to individuals in the U.S. criminal justice system are among the strongest and most expansive in the world. </w:t>
      </w:r>
      <w:r w:rsidR="008A065A" w:rsidRPr="00D2222C">
        <w:rPr>
          <w:rFonts w:ascii="Cambria" w:hAnsi="Cambria"/>
          <w:sz w:val="20"/>
          <w:szCs w:val="20"/>
        </w:rPr>
        <w:t xml:space="preserve">It </w:t>
      </w:r>
      <w:r w:rsidR="00AE15A9" w:rsidRPr="00D2222C">
        <w:rPr>
          <w:rFonts w:ascii="Cambria" w:hAnsi="Cambria"/>
          <w:sz w:val="20"/>
          <w:szCs w:val="20"/>
        </w:rPr>
        <w:t>added</w:t>
      </w:r>
      <w:r w:rsidR="008A065A" w:rsidRPr="00D2222C">
        <w:rPr>
          <w:rFonts w:ascii="Cambria" w:hAnsi="Cambria"/>
          <w:sz w:val="20"/>
          <w:szCs w:val="20"/>
        </w:rPr>
        <w:t xml:space="preserve"> that, beyond the procedural protections afforded by the Constitution and federal law, Mr. Hall received specific protections at trial under the Federal Death Penalty Act of 1994. </w:t>
      </w:r>
    </w:p>
    <w:p w14:paraId="3F3881BC" w14:textId="77777777" w:rsidR="002552DF" w:rsidRPr="00D2222C" w:rsidRDefault="002552DF" w:rsidP="009E3847">
      <w:pPr>
        <w:pStyle w:val="ListParagraph"/>
        <w:rPr>
          <w:sz w:val="20"/>
          <w:szCs w:val="20"/>
        </w:rPr>
      </w:pPr>
    </w:p>
    <w:p w14:paraId="75D5ED06" w14:textId="77777777" w:rsidR="00001132" w:rsidRPr="00D2222C" w:rsidRDefault="00AE15A9"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rPr>
      </w:pPr>
      <w:r w:rsidRPr="00D2222C">
        <w:rPr>
          <w:rFonts w:ascii="Cambria" w:hAnsi="Cambria"/>
          <w:sz w:val="20"/>
          <w:szCs w:val="20"/>
        </w:rPr>
        <w:t>The State submitted that Mr. Hall’s ineffective assistance of counsel claim raised during the habeas proceedings was carefully and exhaustively addressed by the district court before being rejected. It stated</w:t>
      </w:r>
      <w:r w:rsidR="00A527E1" w:rsidRPr="00D2222C">
        <w:rPr>
          <w:rFonts w:ascii="Cambria" w:hAnsi="Cambria"/>
          <w:sz w:val="20"/>
          <w:szCs w:val="20"/>
        </w:rPr>
        <w:t xml:space="preserve"> that, under U.S. law, the defendant must demonstrate both that counsel’s performance was deficient and that such deficit in performance actually prejudiced the final judgment. </w:t>
      </w:r>
      <w:r w:rsidR="003D5A38" w:rsidRPr="00D2222C">
        <w:rPr>
          <w:rFonts w:ascii="Cambria" w:hAnsi="Cambria"/>
          <w:sz w:val="20"/>
          <w:szCs w:val="20"/>
        </w:rPr>
        <w:t xml:space="preserve">The State </w:t>
      </w:r>
      <w:r w:rsidR="00091707" w:rsidRPr="00D2222C">
        <w:rPr>
          <w:rFonts w:ascii="Cambria" w:hAnsi="Cambria"/>
          <w:sz w:val="20"/>
          <w:szCs w:val="20"/>
        </w:rPr>
        <w:t>noted</w:t>
      </w:r>
      <w:r w:rsidR="003D5A38" w:rsidRPr="00D2222C">
        <w:rPr>
          <w:rFonts w:ascii="Cambria" w:hAnsi="Cambria"/>
          <w:sz w:val="20"/>
          <w:szCs w:val="20"/>
        </w:rPr>
        <w:t xml:space="preserve"> that the District Court </w:t>
      </w:r>
      <w:r w:rsidR="00FE21AB" w:rsidRPr="00D2222C">
        <w:rPr>
          <w:rFonts w:ascii="Cambria" w:hAnsi="Cambria"/>
          <w:sz w:val="20"/>
          <w:szCs w:val="20"/>
        </w:rPr>
        <w:t xml:space="preserve">unanimously </w:t>
      </w:r>
      <w:r w:rsidR="003D5A38" w:rsidRPr="00D2222C">
        <w:rPr>
          <w:rFonts w:ascii="Cambria" w:hAnsi="Cambria"/>
          <w:sz w:val="20"/>
          <w:szCs w:val="20"/>
        </w:rPr>
        <w:t>concluded that Mr. Hall’s legal counsel had not been incompetent.</w:t>
      </w:r>
      <w:r w:rsidR="00761A58" w:rsidRPr="00D2222C">
        <w:rPr>
          <w:rFonts w:ascii="Cambria" w:hAnsi="Cambria"/>
          <w:sz w:val="20"/>
          <w:szCs w:val="20"/>
        </w:rPr>
        <w:t xml:space="preserve"> According to the State, trial counsel reviewed Mr. Hall’s responses to a questionnaire which provided extensive information about his background. It also hired a mitigation specialist who had over six weeks to conduct an investigation and develop mitigating evidence. </w:t>
      </w:r>
      <w:r w:rsidR="00091707" w:rsidRPr="00D2222C">
        <w:rPr>
          <w:rFonts w:ascii="Cambria" w:hAnsi="Cambria"/>
          <w:sz w:val="20"/>
          <w:szCs w:val="20"/>
        </w:rPr>
        <w:t>It likewise argued</w:t>
      </w:r>
      <w:r w:rsidR="00761A58" w:rsidRPr="00D2222C">
        <w:rPr>
          <w:rFonts w:ascii="Cambria" w:hAnsi="Cambria"/>
          <w:sz w:val="20"/>
          <w:szCs w:val="20"/>
        </w:rPr>
        <w:t xml:space="preserve"> that the specialist traveled to Mr. Hall’s home town and interviewed numerous people, including Mr. Hall’s family, neighbors and minister.</w:t>
      </w:r>
      <w:r w:rsidR="00C03A29" w:rsidRPr="00D2222C">
        <w:rPr>
          <w:rFonts w:ascii="Cambria" w:hAnsi="Cambria"/>
          <w:sz w:val="20"/>
          <w:szCs w:val="20"/>
        </w:rPr>
        <w:t xml:space="preserve"> It also stated that, besides Mr. Hall’s mother and sister, a prison official testified to his good behavior during his previous incarceration. </w:t>
      </w:r>
    </w:p>
    <w:p w14:paraId="2AF2F651" w14:textId="77777777" w:rsidR="00001132" w:rsidRPr="00D2222C" w:rsidRDefault="00001132" w:rsidP="009E3847">
      <w:pPr>
        <w:pStyle w:val="ListParagraph"/>
        <w:rPr>
          <w:sz w:val="20"/>
          <w:szCs w:val="20"/>
        </w:rPr>
      </w:pPr>
    </w:p>
    <w:p w14:paraId="45E05412" w14:textId="77777777" w:rsidR="002552DF" w:rsidRPr="00D2222C" w:rsidRDefault="00091707"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rPr>
      </w:pPr>
      <w:r w:rsidRPr="00D2222C">
        <w:rPr>
          <w:rFonts w:ascii="Cambria" w:hAnsi="Cambria"/>
          <w:sz w:val="20"/>
          <w:szCs w:val="20"/>
        </w:rPr>
        <w:t>The State</w:t>
      </w:r>
      <w:r w:rsidR="009843A2" w:rsidRPr="00D2222C">
        <w:rPr>
          <w:rFonts w:ascii="Cambria" w:hAnsi="Cambria"/>
          <w:sz w:val="20"/>
          <w:szCs w:val="20"/>
        </w:rPr>
        <w:t xml:space="preserve"> further submitted that defense counsel made the strategic decision not to call several potential witnesses to testify at the sentencing hearing for fear that they would have to disclose damaging information about Mr. Hall on cross-examination. According to the State, while defense counsel presented evidence as to his troubled childhood, they placed even greater emphasis on the equal culpability of the co-defendants who were not given the death </w:t>
      </w:r>
      <w:r w:rsidR="009D0946" w:rsidRPr="00D2222C">
        <w:rPr>
          <w:rFonts w:ascii="Cambria" w:hAnsi="Cambria"/>
          <w:sz w:val="20"/>
          <w:szCs w:val="20"/>
        </w:rPr>
        <w:t>penalty;</w:t>
      </w:r>
      <w:r w:rsidR="009843A2" w:rsidRPr="00D2222C">
        <w:rPr>
          <w:rFonts w:ascii="Cambria" w:hAnsi="Cambria"/>
          <w:sz w:val="20"/>
          <w:szCs w:val="20"/>
        </w:rPr>
        <w:t xml:space="preserve"> </w:t>
      </w:r>
      <w:r w:rsidR="00C75A4F" w:rsidRPr="00D2222C">
        <w:rPr>
          <w:rFonts w:ascii="Cambria" w:hAnsi="Cambria"/>
          <w:sz w:val="20"/>
          <w:szCs w:val="20"/>
        </w:rPr>
        <w:t xml:space="preserve">a </w:t>
      </w:r>
      <w:r w:rsidR="009843A2" w:rsidRPr="00D2222C">
        <w:rPr>
          <w:rFonts w:ascii="Cambria" w:hAnsi="Cambria"/>
          <w:sz w:val="20"/>
          <w:szCs w:val="20"/>
        </w:rPr>
        <w:t xml:space="preserve">mitigating factor that they believed had the best chance of success. </w:t>
      </w:r>
    </w:p>
    <w:p w14:paraId="4A061DCA" w14:textId="77777777" w:rsidR="000A3E84" w:rsidRPr="00D2222C" w:rsidRDefault="000A3E84" w:rsidP="009E384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14:paraId="67B1B3C2" w14:textId="77777777" w:rsidR="0004390C" w:rsidRPr="00D2222C" w:rsidRDefault="0078587E"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rPr>
      </w:pPr>
      <w:r w:rsidRPr="00D2222C">
        <w:rPr>
          <w:rFonts w:ascii="Cambria" w:hAnsi="Cambria"/>
          <w:sz w:val="20"/>
          <w:szCs w:val="20"/>
        </w:rPr>
        <w:t>With regard to</w:t>
      </w:r>
      <w:r w:rsidR="000A3E84" w:rsidRPr="00D2222C">
        <w:rPr>
          <w:rFonts w:ascii="Cambria" w:hAnsi="Cambria"/>
          <w:sz w:val="20"/>
          <w:szCs w:val="20"/>
        </w:rPr>
        <w:t xml:space="preserve"> </w:t>
      </w:r>
      <w:r w:rsidR="003D2C7F" w:rsidRPr="00D2222C">
        <w:rPr>
          <w:rFonts w:ascii="Cambria" w:hAnsi="Cambria"/>
          <w:sz w:val="20"/>
          <w:szCs w:val="20"/>
        </w:rPr>
        <w:t>the alleged introduction of the unreliable testimony of one of Mr. Hall’s cell-mates</w:t>
      </w:r>
      <w:r w:rsidR="00C75A4F" w:rsidRPr="00D2222C">
        <w:rPr>
          <w:rFonts w:ascii="Cambria" w:hAnsi="Cambria"/>
          <w:sz w:val="20"/>
          <w:szCs w:val="20"/>
        </w:rPr>
        <w:t xml:space="preserve"> at the penalty phase</w:t>
      </w:r>
      <w:r w:rsidRPr="00D2222C">
        <w:rPr>
          <w:rFonts w:ascii="Cambria" w:hAnsi="Cambria"/>
          <w:sz w:val="20"/>
          <w:szCs w:val="20"/>
        </w:rPr>
        <w:t>, the State indicate</w:t>
      </w:r>
      <w:r w:rsidR="00FC084F" w:rsidRPr="00D2222C">
        <w:rPr>
          <w:rFonts w:ascii="Cambria" w:hAnsi="Cambria"/>
          <w:sz w:val="20"/>
          <w:szCs w:val="20"/>
        </w:rPr>
        <w:t>d</w:t>
      </w:r>
      <w:r w:rsidRPr="00D2222C">
        <w:rPr>
          <w:rFonts w:ascii="Cambria" w:hAnsi="Cambria"/>
          <w:sz w:val="20"/>
          <w:szCs w:val="20"/>
        </w:rPr>
        <w:t xml:space="preserve"> that during the thorough cross-examination performed by Mr. Hall’s attorneys, the witness disclosed a number of facts that had the potential to impeach his credibility. According to the State, after listening to this cross-examination, the jury had discretion to reject the testimony in its entirety. </w:t>
      </w:r>
      <w:r w:rsidR="00DA77AA" w:rsidRPr="00D2222C">
        <w:rPr>
          <w:rFonts w:ascii="Cambria" w:hAnsi="Cambria"/>
          <w:sz w:val="20"/>
          <w:szCs w:val="20"/>
        </w:rPr>
        <w:t xml:space="preserve">In relation to the trial judge’s refusal to hold a full evidentiary hearing on </w:t>
      </w:r>
      <w:r w:rsidR="003A485E" w:rsidRPr="00D2222C">
        <w:rPr>
          <w:rFonts w:ascii="Cambria" w:hAnsi="Cambria"/>
          <w:sz w:val="20"/>
          <w:szCs w:val="20"/>
        </w:rPr>
        <w:t>Mr. Hall’s</w:t>
      </w:r>
      <w:r w:rsidR="00DA77AA" w:rsidRPr="00D2222C">
        <w:rPr>
          <w:rFonts w:ascii="Cambria" w:hAnsi="Cambria"/>
          <w:sz w:val="20"/>
          <w:szCs w:val="20"/>
        </w:rPr>
        <w:t xml:space="preserve"> claim of juror misconduct, the State </w:t>
      </w:r>
      <w:r w:rsidR="003A485E" w:rsidRPr="00D2222C">
        <w:rPr>
          <w:rFonts w:ascii="Cambria" w:hAnsi="Cambria"/>
          <w:sz w:val="20"/>
          <w:szCs w:val="20"/>
        </w:rPr>
        <w:t>claim</w:t>
      </w:r>
      <w:r w:rsidR="00131B01" w:rsidRPr="00D2222C">
        <w:rPr>
          <w:rFonts w:ascii="Cambria" w:hAnsi="Cambria"/>
          <w:sz w:val="20"/>
          <w:szCs w:val="20"/>
        </w:rPr>
        <w:t>ed</w:t>
      </w:r>
      <w:r w:rsidR="003A485E" w:rsidRPr="00D2222C">
        <w:rPr>
          <w:rFonts w:ascii="Cambria" w:hAnsi="Cambria"/>
          <w:sz w:val="20"/>
          <w:szCs w:val="20"/>
        </w:rPr>
        <w:t xml:space="preserve"> that the judge took reasonable and appropriate measures to determine if there was any truth to the allegation and determined that there was no evidence that the jury deliberations had been tainted by extraneous outside influence.</w:t>
      </w:r>
    </w:p>
    <w:p w14:paraId="274A1077" w14:textId="77777777" w:rsidR="0004390C" w:rsidRPr="00D2222C" w:rsidRDefault="0004390C" w:rsidP="00BB5A59">
      <w:pPr>
        <w:pStyle w:val="ListParagraph"/>
        <w:rPr>
          <w:rFonts w:asciiTheme="majorHAnsi" w:hAnsiTheme="majorHAnsi"/>
          <w:color w:val="auto"/>
          <w:sz w:val="20"/>
          <w:szCs w:val="20"/>
        </w:rPr>
      </w:pPr>
    </w:p>
    <w:p w14:paraId="5F6669CA" w14:textId="77777777" w:rsidR="001C4006" w:rsidRPr="00D2222C" w:rsidRDefault="001C4006" w:rsidP="00BB5A59">
      <w:pPr>
        <w:pStyle w:val="Heading1"/>
        <w:spacing w:before="0"/>
        <w:ind w:left="1440" w:hanging="720"/>
        <w:rPr>
          <w:color w:val="auto"/>
          <w:sz w:val="20"/>
          <w:szCs w:val="20"/>
        </w:rPr>
      </w:pPr>
      <w:bookmarkStart w:id="4" w:name="_Toc26550920"/>
      <w:r w:rsidRPr="00D2222C">
        <w:rPr>
          <w:color w:val="auto"/>
          <w:sz w:val="20"/>
          <w:szCs w:val="20"/>
        </w:rPr>
        <w:t>FINDINGS OF FACT</w:t>
      </w:r>
      <w:bookmarkEnd w:id="4"/>
    </w:p>
    <w:p w14:paraId="76F54BF0" w14:textId="77777777" w:rsidR="001C4006" w:rsidRPr="00D2222C" w:rsidRDefault="001C4006" w:rsidP="00BB5A59">
      <w:pPr>
        <w:rPr>
          <w:rFonts w:asciiTheme="majorHAnsi" w:hAnsiTheme="majorHAnsi"/>
          <w:b/>
          <w:sz w:val="20"/>
          <w:szCs w:val="20"/>
        </w:rPr>
      </w:pPr>
    </w:p>
    <w:p w14:paraId="3B6F230F" w14:textId="77777777" w:rsidR="0004390C" w:rsidRPr="00D2222C" w:rsidRDefault="0004390C"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rPr>
      </w:pPr>
      <w:r w:rsidRPr="00D2222C">
        <w:rPr>
          <w:rFonts w:ascii="Cambria" w:hAnsi="Cambria"/>
          <w:sz w:val="20"/>
          <w:szCs w:val="20"/>
        </w:rPr>
        <w:t>In application of Article 43(1) of its Rules of Procedure, the IACHR will examine the arguments and evidence provided by the petitioners and the State. Likewise, the Commission will take into account publicly available information that may be relevant for the analysis and decision of the instant case.</w:t>
      </w:r>
    </w:p>
    <w:p w14:paraId="31A0CD71" w14:textId="77777777" w:rsidR="00D811FF" w:rsidRPr="00D2222C" w:rsidRDefault="00D811FF" w:rsidP="00BB5A5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p>
    <w:p w14:paraId="00F63D79" w14:textId="77777777" w:rsidR="002F414B" w:rsidRPr="00D2222C" w:rsidRDefault="002F414B" w:rsidP="00BB5A59">
      <w:pPr>
        <w:pStyle w:val="Heading2"/>
        <w:numPr>
          <w:ilvl w:val="0"/>
          <w:numId w:val="62"/>
        </w:numPr>
        <w:spacing w:before="0"/>
        <w:ind w:left="1440" w:hanging="720"/>
        <w:rPr>
          <w:color w:val="auto"/>
          <w:sz w:val="20"/>
          <w:szCs w:val="20"/>
        </w:rPr>
      </w:pPr>
      <w:bookmarkStart w:id="5" w:name="_Toc26550921"/>
      <w:r w:rsidRPr="00D2222C">
        <w:rPr>
          <w:color w:val="auto"/>
          <w:sz w:val="20"/>
          <w:szCs w:val="20"/>
        </w:rPr>
        <w:t>The federal death penalty system</w:t>
      </w:r>
      <w:bookmarkEnd w:id="5"/>
    </w:p>
    <w:p w14:paraId="01A10122" w14:textId="77777777" w:rsidR="002F414B" w:rsidRPr="00D2222C" w:rsidRDefault="002F414B" w:rsidP="00BB5A59">
      <w:pPr>
        <w:jc w:val="both"/>
        <w:rPr>
          <w:rFonts w:asciiTheme="majorHAnsi" w:hAnsiTheme="majorHAnsi"/>
          <w:b/>
          <w:sz w:val="20"/>
          <w:szCs w:val="20"/>
        </w:rPr>
      </w:pPr>
    </w:p>
    <w:p w14:paraId="18B53558" w14:textId="77777777" w:rsidR="00AD4435" w:rsidRPr="00D2222C" w:rsidRDefault="00012ADD"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rPr>
      </w:pPr>
      <w:r w:rsidRPr="00D2222C">
        <w:rPr>
          <w:rFonts w:ascii="Cambria" w:hAnsi="Cambria"/>
          <w:sz w:val="20"/>
          <w:szCs w:val="20"/>
        </w:rPr>
        <w:t>In 2000</w:t>
      </w:r>
      <w:r w:rsidR="00CF3EBB" w:rsidRPr="00D2222C">
        <w:rPr>
          <w:rFonts w:ascii="Cambria" w:hAnsi="Cambria"/>
          <w:sz w:val="20"/>
          <w:szCs w:val="20"/>
        </w:rPr>
        <w:t>,</w:t>
      </w:r>
      <w:r w:rsidRPr="00D2222C">
        <w:rPr>
          <w:rFonts w:ascii="Cambria" w:hAnsi="Cambria"/>
          <w:sz w:val="20"/>
          <w:szCs w:val="20"/>
        </w:rPr>
        <w:t xml:space="preserve"> the United States Departm</w:t>
      </w:r>
      <w:r w:rsidR="00D45150" w:rsidRPr="00D2222C">
        <w:rPr>
          <w:rFonts w:ascii="Cambria" w:hAnsi="Cambria"/>
          <w:sz w:val="20"/>
          <w:szCs w:val="20"/>
        </w:rPr>
        <w:t xml:space="preserve">ent of Justice </w:t>
      </w:r>
      <w:r w:rsidR="008628FD" w:rsidRPr="00D2222C">
        <w:rPr>
          <w:rFonts w:ascii="Cambria" w:hAnsi="Cambria"/>
          <w:sz w:val="20"/>
          <w:szCs w:val="20"/>
        </w:rPr>
        <w:t xml:space="preserve">(“DoJ”) </w:t>
      </w:r>
      <w:r w:rsidR="00D45150" w:rsidRPr="00D2222C">
        <w:rPr>
          <w:rFonts w:ascii="Cambria" w:hAnsi="Cambria"/>
          <w:sz w:val="20"/>
          <w:szCs w:val="20"/>
        </w:rPr>
        <w:t>issue</w:t>
      </w:r>
      <w:r w:rsidR="008628FD" w:rsidRPr="00D2222C">
        <w:rPr>
          <w:rFonts w:ascii="Cambria" w:hAnsi="Cambria"/>
          <w:sz w:val="20"/>
          <w:szCs w:val="20"/>
        </w:rPr>
        <w:t>d</w:t>
      </w:r>
      <w:r w:rsidR="00D45150" w:rsidRPr="00D2222C">
        <w:rPr>
          <w:rFonts w:ascii="Cambria" w:hAnsi="Cambria"/>
          <w:sz w:val="20"/>
          <w:szCs w:val="20"/>
        </w:rPr>
        <w:t xml:space="preserve"> the report</w:t>
      </w:r>
      <w:r w:rsidRPr="00D2222C">
        <w:rPr>
          <w:rFonts w:ascii="Cambria" w:hAnsi="Cambria"/>
          <w:sz w:val="20"/>
          <w:szCs w:val="20"/>
        </w:rPr>
        <w:t xml:space="preserve"> “The federal death penalty system: a statistical</w:t>
      </w:r>
      <w:r w:rsidR="00D45150" w:rsidRPr="00D2222C">
        <w:rPr>
          <w:rFonts w:ascii="Cambria" w:hAnsi="Cambria"/>
          <w:sz w:val="20"/>
          <w:szCs w:val="20"/>
        </w:rPr>
        <w:t xml:space="preserve"> survey (1988-2000)</w:t>
      </w:r>
      <w:r w:rsidRPr="00D2222C">
        <w:rPr>
          <w:rFonts w:ascii="Cambria" w:hAnsi="Cambria"/>
          <w:sz w:val="20"/>
          <w:szCs w:val="20"/>
        </w:rPr>
        <w:t>”</w:t>
      </w:r>
      <w:r w:rsidR="00D45150" w:rsidRPr="00D2222C">
        <w:rPr>
          <w:rFonts w:ascii="Cambria" w:hAnsi="Cambria"/>
          <w:sz w:val="20"/>
          <w:szCs w:val="20"/>
        </w:rPr>
        <w:t>.</w:t>
      </w:r>
      <w:r w:rsidRPr="00D2222C">
        <w:rPr>
          <w:rStyle w:val="FootnoteReference"/>
          <w:rFonts w:ascii="Cambria" w:hAnsi="Cambria"/>
          <w:sz w:val="20"/>
          <w:szCs w:val="20"/>
        </w:rPr>
        <w:footnoteReference w:id="5"/>
      </w:r>
      <w:r w:rsidRPr="00D2222C">
        <w:rPr>
          <w:rFonts w:ascii="Cambria" w:hAnsi="Cambria"/>
          <w:sz w:val="20"/>
          <w:szCs w:val="20"/>
        </w:rPr>
        <w:t xml:space="preserve"> </w:t>
      </w:r>
      <w:r w:rsidR="002869C6" w:rsidRPr="00D2222C">
        <w:rPr>
          <w:rFonts w:ascii="Cambria" w:hAnsi="Cambria"/>
          <w:sz w:val="20"/>
          <w:szCs w:val="20"/>
        </w:rPr>
        <w:t>The Commission will reproduce bellow parts of</w:t>
      </w:r>
      <w:r w:rsidR="002B008D" w:rsidRPr="00D2222C">
        <w:rPr>
          <w:rFonts w:ascii="Cambria" w:hAnsi="Cambria"/>
          <w:sz w:val="20"/>
          <w:szCs w:val="20"/>
        </w:rPr>
        <w:t xml:space="preserve"> the report pertaining to the structure of the federal death penalty system and some statistics on race and the federal death penalty</w:t>
      </w:r>
      <w:r w:rsidR="00AD4435" w:rsidRPr="00D2222C">
        <w:rPr>
          <w:rFonts w:ascii="Cambria" w:hAnsi="Cambria"/>
          <w:sz w:val="20"/>
          <w:szCs w:val="20"/>
        </w:rPr>
        <w:t>:</w:t>
      </w:r>
    </w:p>
    <w:p w14:paraId="7ACC3496" w14:textId="77777777" w:rsidR="00AD4435" w:rsidRPr="00D2222C" w:rsidRDefault="00AD4435" w:rsidP="00AD443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14:paraId="070A5838" w14:textId="77777777" w:rsidR="00D811FF" w:rsidRPr="00D2222C" w:rsidRDefault="00231CD1" w:rsidP="00BB5A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szCs w:val="20"/>
        </w:rPr>
      </w:pPr>
      <w:r w:rsidRPr="00D2222C">
        <w:rPr>
          <w:sz w:val="20"/>
          <w:szCs w:val="20"/>
        </w:rPr>
        <w:t xml:space="preserve">In </w:t>
      </w:r>
      <w:r w:rsidR="00DC28C0" w:rsidRPr="00D2222C">
        <w:rPr>
          <w:sz w:val="20"/>
          <w:szCs w:val="20"/>
        </w:rPr>
        <w:t>1972</w:t>
      </w:r>
      <w:r w:rsidR="00CF3EBB" w:rsidRPr="00D2222C">
        <w:rPr>
          <w:sz w:val="20"/>
          <w:szCs w:val="20"/>
        </w:rPr>
        <w:t>,</w:t>
      </w:r>
      <w:r w:rsidR="00DC28C0" w:rsidRPr="00D2222C">
        <w:rPr>
          <w:sz w:val="20"/>
          <w:szCs w:val="20"/>
        </w:rPr>
        <w:t xml:space="preserve"> </w:t>
      </w:r>
      <w:r w:rsidRPr="00D2222C">
        <w:rPr>
          <w:sz w:val="20"/>
          <w:szCs w:val="20"/>
        </w:rPr>
        <w:t>t</w:t>
      </w:r>
      <w:r w:rsidR="00D811FF" w:rsidRPr="00D2222C">
        <w:rPr>
          <w:sz w:val="20"/>
          <w:szCs w:val="20"/>
        </w:rPr>
        <w:t>he</w:t>
      </w:r>
      <w:r w:rsidR="00C338B0" w:rsidRPr="00D2222C">
        <w:rPr>
          <w:sz w:val="20"/>
          <w:szCs w:val="20"/>
        </w:rPr>
        <w:t xml:space="preserve"> </w:t>
      </w:r>
      <w:r w:rsidR="00D811FF" w:rsidRPr="00D2222C">
        <w:rPr>
          <w:sz w:val="20"/>
          <w:szCs w:val="20"/>
        </w:rPr>
        <w:t>Supreme Court invalidat</w:t>
      </w:r>
      <w:r w:rsidRPr="00D2222C">
        <w:rPr>
          <w:sz w:val="20"/>
          <w:szCs w:val="20"/>
        </w:rPr>
        <w:t>ed</w:t>
      </w:r>
      <w:r w:rsidR="00D811FF" w:rsidRPr="00D2222C">
        <w:rPr>
          <w:sz w:val="20"/>
          <w:szCs w:val="20"/>
        </w:rPr>
        <w:t xml:space="preserve"> capital punishment throughout the United States</w:t>
      </w:r>
      <w:r w:rsidR="00986662" w:rsidRPr="00D2222C">
        <w:rPr>
          <w:sz w:val="20"/>
          <w:szCs w:val="20"/>
        </w:rPr>
        <w:t xml:space="preserve"> – both in the federal criminal justice system and in all of the states that then provided for the death penalty. The </w:t>
      </w:r>
      <w:r w:rsidR="00986662" w:rsidRPr="00D2222C">
        <w:rPr>
          <w:sz w:val="20"/>
          <w:szCs w:val="20"/>
        </w:rPr>
        <w:lastRenderedPageBreak/>
        <w:t xml:space="preserve">federal government revised </w:t>
      </w:r>
      <w:r w:rsidR="0081181A" w:rsidRPr="00D2222C">
        <w:rPr>
          <w:sz w:val="20"/>
          <w:szCs w:val="20"/>
        </w:rPr>
        <w:t xml:space="preserve">its procedures to withstand constitutional scrutiny on November 18, 1988, when the President signed the Anti-Drug Abuse Act of 1988. A part of this law made the death penalty available as a possible punishment for certain drug-related offenses. The availability of </w:t>
      </w:r>
      <w:r w:rsidR="009E3488" w:rsidRPr="00D2222C">
        <w:rPr>
          <w:sz w:val="20"/>
          <w:szCs w:val="20"/>
        </w:rPr>
        <w:t xml:space="preserve">capital punishment in federal criminal cases expanded significantly further on September 13, 1994, </w:t>
      </w:r>
      <w:r w:rsidRPr="00D2222C">
        <w:rPr>
          <w:sz w:val="20"/>
          <w:szCs w:val="20"/>
        </w:rPr>
        <w:t>with the passage of</w:t>
      </w:r>
      <w:r w:rsidR="009E3488" w:rsidRPr="00D2222C">
        <w:rPr>
          <w:sz w:val="20"/>
          <w:szCs w:val="20"/>
        </w:rPr>
        <w:t xml:space="preserve"> the Violent Crime Control and Law Enforcement Act. A part of this law, known as the Federal Death Penalty Act (FDPA), provided that over 40 federal offenses could be punished as capital crimes. The Antiterrorism and Effective Death Penalty Act of 1996 (AEDPA) added another four federal offenses to the list of capital crimes.</w:t>
      </w:r>
    </w:p>
    <w:p w14:paraId="32E6FFA3" w14:textId="77777777" w:rsidR="00D45150" w:rsidRPr="00D2222C" w:rsidRDefault="00D45150" w:rsidP="00D4515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14:paraId="62E9D8E5" w14:textId="77777777" w:rsidR="00D45150" w:rsidRPr="00D2222C" w:rsidRDefault="00231CD1" w:rsidP="00BB5A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szCs w:val="20"/>
        </w:rPr>
      </w:pPr>
      <w:r w:rsidRPr="00D2222C">
        <w:rPr>
          <w:sz w:val="20"/>
          <w:szCs w:val="20"/>
        </w:rPr>
        <w:t>I</w:t>
      </w:r>
      <w:r w:rsidR="00D45150" w:rsidRPr="00D2222C">
        <w:rPr>
          <w:sz w:val="20"/>
          <w:szCs w:val="20"/>
        </w:rPr>
        <w:t>n 1988</w:t>
      </w:r>
      <w:r w:rsidR="00CF3EBB" w:rsidRPr="00D2222C">
        <w:rPr>
          <w:sz w:val="20"/>
          <w:szCs w:val="20"/>
        </w:rPr>
        <w:t>,</w:t>
      </w:r>
      <w:r w:rsidR="00D45150" w:rsidRPr="00D2222C">
        <w:rPr>
          <w:sz w:val="20"/>
          <w:szCs w:val="20"/>
        </w:rPr>
        <w:t xml:space="preserve"> the D</w:t>
      </w:r>
      <w:r w:rsidR="00702EA5" w:rsidRPr="00D2222C">
        <w:rPr>
          <w:sz w:val="20"/>
          <w:szCs w:val="20"/>
        </w:rPr>
        <w:t>o</w:t>
      </w:r>
      <w:r w:rsidR="00D45150" w:rsidRPr="00D2222C">
        <w:rPr>
          <w:sz w:val="20"/>
          <w:szCs w:val="20"/>
        </w:rPr>
        <w:t>J instituted a policy that required</w:t>
      </w:r>
      <w:r w:rsidR="008628FD" w:rsidRPr="00D2222C">
        <w:rPr>
          <w:sz w:val="20"/>
          <w:szCs w:val="20"/>
        </w:rPr>
        <w:t xml:space="preserve"> United States Attorneys in all the federal districts to submit to the Attorney General for review and approval any case in which the U</w:t>
      </w:r>
      <w:r w:rsidR="00702EA5" w:rsidRPr="00D2222C">
        <w:rPr>
          <w:sz w:val="20"/>
          <w:szCs w:val="20"/>
        </w:rPr>
        <w:t>.</w:t>
      </w:r>
      <w:r w:rsidR="008628FD" w:rsidRPr="00D2222C">
        <w:rPr>
          <w:sz w:val="20"/>
          <w:szCs w:val="20"/>
        </w:rPr>
        <w:t>S</w:t>
      </w:r>
      <w:r w:rsidR="00702EA5" w:rsidRPr="00D2222C">
        <w:rPr>
          <w:sz w:val="20"/>
          <w:szCs w:val="20"/>
        </w:rPr>
        <w:t>. Attorney affirmatively wis</w:t>
      </w:r>
      <w:r w:rsidR="008628FD" w:rsidRPr="00D2222C">
        <w:rPr>
          <w:sz w:val="20"/>
          <w:szCs w:val="20"/>
        </w:rPr>
        <w:t xml:space="preserve">hed to </w:t>
      </w:r>
      <w:r w:rsidR="00702EA5" w:rsidRPr="00D2222C">
        <w:rPr>
          <w:sz w:val="20"/>
          <w:szCs w:val="20"/>
        </w:rPr>
        <w:t>seek</w:t>
      </w:r>
      <w:r w:rsidR="008628FD" w:rsidRPr="00D2222C">
        <w:rPr>
          <w:sz w:val="20"/>
          <w:szCs w:val="20"/>
        </w:rPr>
        <w:t xml:space="preserve"> the death penalty. From 198</w:t>
      </w:r>
      <w:r w:rsidR="00702EA5" w:rsidRPr="00D2222C">
        <w:rPr>
          <w:sz w:val="20"/>
          <w:szCs w:val="20"/>
        </w:rPr>
        <w:t>8 until the end of 1994, U.</w:t>
      </w:r>
      <w:r w:rsidR="008628FD" w:rsidRPr="00D2222C">
        <w:rPr>
          <w:sz w:val="20"/>
          <w:szCs w:val="20"/>
        </w:rPr>
        <w:t>S</w:t>
      </w:r>
      <w:r w:rsidR="00702EA5" w:rsidRPr="00D2222C">
        <w:rPr>
          <w:sz w:val="20"/>
          <w:szCs w:val="20"/>
        </w:rPr>
        <w:t>.</w:t>
      </w:r>
      <w:r w:rsidR="008628FD" w:rsidRPr="00D2222C">
        <w:rPr>
          <w:sz w:val="20"/>
          <w:szCs w:val="20"/>
        </w:rPr>
        <w:t xml:space="preserve"> Attorneys sought approval from Attorneys General to seek the death penalty 52 times and received it 47 times.</w:t>
      </w:r>
    </w:p>
    <w:p w14:paraId="4032AA60" w14:textId="77777777" w:rsidR="008628FD" w:rsidRPr="00D2222C" w:rsidRDefault="008628FD" w:rsidP="008628FD">
      <w:pPr>
        <w:pStyle w:val="ListParagraph"/>
        <w:rPr>
          <w:sz w:val="20"/>
          <w:szCs w:val="20"/>
        </w:rPr>
      </w:pPr>
    </w:p>
    <w:p w14:paraId="72BEEEE7" w14:textId="77777777" w:rsidR="008628FD" w:rsidRPr="00D2222C" w:rsidRDefault="008628FD" w:rsidP="00BB5A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szCs w:val="20"/>
        </w:rPr>
      </w:pPr>
      <w:r w:rsidRPr="00D2222C">
        <w:rPr>
          <w:sz w:val="20"/>
          <w:szCs w:val="20"/>
        </w:rPr>
        <w:t>On January 27, 1995, the D</w:t>
      </w:r>
      <w:r w:rsidR="00702EA5" w:rsidRPr="00D2222C">
        <w:rPr>
          <w:sz w:val="20"/>
          <w:szCs w:val="20"/>
        </w:rPr>
        <w:t>oJ</w:t>
      </w:r>
      <w:r w:rsidRPr="00D2222C">
        <w:rPr>
          <w:sz w:val="20"/>
          <w:szCs w:val="20"/>
        </w:rPr>
        <w:t xml:space="preserve"> adopted the policy still in effect today </w:t>
      </w:r>
      <w:r w:rsidR="00702EA5" w:rsidRPr="00D2222C">
        <w:rPr>
          <w:sz w:val="20"/>
          <w:szCs w:val="20"/>
        </w:rPr>
        <w:t>– known as the death penalty “protocol” – under which U.S. Attorneys are required to submit for review all cases in which a defendant is charged with a capital-eligible offense, regardless whether the U.S. Attorney actually desires to seek the death penalty in that case. The U.S. Attorney’s submissions are initially considered by the Attorney General’s Review Committee on Capital Cases, a committee of senior DoJ attorneys</w:t>
      </w:r>
      <w:r w:rsidR="00231CD1" w:rsidRPr="00D2222C">
        <w:rPr>
          <w:sz w:val="20"/>
          <w:szCs w:val="20"/>
        </w:rPr>
        <w:t>,</w:t>
      </w:r>
      <w:r w:rsidR="00702EA5" w:rsidRPr="00D2222C">
        <w:rPr>
          <w:sz w:val="20"/>
          <w:szCs w:val="20"/>
        </w:rPr>
        <w:t xml:space="preserve"> which makes an independent recommendation to the Attorney General. From January 27, 1995 to July 20, 2000, U.S. Attorneys submitted a total of 682 cases for review and the Attorney General ultimately authorized</w:t>
      </w:r>
      <w:r w:rsidR="002C58D2" w:rsidRPr="00D2222C">
        <w:rPr>
          <w:sz w:val="20"/>
          <w:szCs w:val="20"/>
        </w:rPr>
        <w:t xml:space="preserve"> s</w:t>
      </w:r>
      <w:r w:rsidR="00702EA5" w:rsidRPr="00D2222C">
        <w:rPr>
          <w:sz w:val="20"/>
          <w:szCs w:val="20"/>
        </w:rPr>
        <w:t xml:space="preserve">eeking the death penalty for 159 of those defendants. </w:t>
      </w:r>
    </w:p>
    <w:p w14:paraId="21DFFF71" w14:textId="77777777" w:rsidR="0099714E" w:rsidRPr="00D2222C" w:rsidRDefault="0099714E" w:rsidP="0099714E">
      <w:pPr>
        <w:pStyle w:val="ListParagraph"/>
        <w:rPr>
          <w:sz w:val="20"/>
          <w:szCs w:val="20"/>
        </w:rPr>
      </w:pPr>
    </w:p>
    <w:p w14:paraId="29575EB4" w14:textId="77777777" w:rsidR="0099714E" w:rsidRPr="00D2222C" w:rsidRDefault="0099714E" w:rsidP="00BB5A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szCs w:val="20"/>
        </w:rPr>
      </w:pPr>
      <w:r w:rsidRPr="00D2222C">
        <w:rPr>
          <w:sz w:val="20"/>
          <w:szCs w:val="20"/>
        </w:rPr>
        <w:t xml:space="preserve">Current DoJ policy provides that bias based on characteristics such as an individual’s race/ethnicity must play no role in a U.S. Attorney’s decision to recommend the death penalty. Moreover, the U.S. Attorney’s Office may not provide information about the race/ethnicity of the defendant to Review Committee members, to attorneys from the Criminal Division’s Capital Case Unit who assist the Review Committee, or to the Attorney General. </w:t>
      </w:r>
    </w:p>
    <w:p w14:paraId="17D8F244" w14:textId="77777777" w:rsidR="00AD4435" w:rsidRPr="00D2222C" w:rsidRDefault="00AD4435" w:rsidP="00AD443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mbria" w:hAnsi="Cambria" w:cs="Cambria"/>
          <w:color w:val="000000"/>
          <w:sz w:val="20"/>
          <w:szCs w:val="20"/>
          <w:u w:color="000000"/>
          <w:lang w:eastAsia="es-ES"/>
        </w:rPr>
      </w:pPr>
    </w:p>
    <w:p w14:paraId="78D2CA21" w14:textId="77777777" w:rsidR="0090668D" w:rsidRPr="00D2222C" w:rsidRDefault="00AD4435" w:rsidP="00BB5A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szCs w:val="20"/>
        </w:rPr>
      </w:pPr>
      <w:r w:rsidRPr="00D2222C">
        <w:rPr>
          <w:sz w:val="20"/>
          <w:szCs w:val="20"/>
        </w:rPr>
        <w:t>F</w:t>
      </w:r>
      <w:r w:rsidR="00E46307" w:rsidRPr="00D2222C">
        <w:rPr>
          <w:sz w:val="20"/>
          <w:szCs w:val="20"/>
        </w:rPr>
        <w:t>rom 1995 to 2000</w:t>
      </w:r>
      <w:r w:rsidR="00CF3EBB" w:rsidRPr="00D2222C">
        <w:rPr>
          <w:sz w:val="20"/>
          <w:szCs w:val="20"/>
        </w:rPr>
        <w:t>,</w:t>
      </w:r>
      <w:r w:rsidR="00E46307" w:rsidRPr="00D2222C">
        <w:rPr>
          <w:sz w:val="20"/>
          <w:szCs w:val="20"/>
        </w:rPr>
        <w:t xml:space="preserve"> the DoJ sought the death penalty against 23% of the defendants charged with crimes punishable by death. Of these, 44.65% were black and 27.67% were white</w:t>
      </w:r>
      <w:r w:rsidR="00361EB7" w:rsidRPr="00D2222C">
        <w:rPr>
          <w:sz w:val="20"/>
          <w:szCs w:val="20"/>
        </w:rPr>
        <w:t>.</w:t>
      </w:r>
      <w:r w:rsidR="00361EB7" w:rsidRPr="00D2222C">
        <w:rPr>
          <w:rStyle w:val="FootnoteReference"/>
          <w:sz w:val="20"/>
          <w:szCs w:val="20"/>
        </w:rPr>
        <w:footnoteReference w:id="6"/>
      </w:r>
    </w:p>
    <w:p w14:paraId="49A1535E" w14:textId="77777777" w:rsidR="00F97D53" w:rsidRPr="00D2222C" w:rsidRDefault="00F97D53" w:rsidP="00F97D53">
      <w:pPr>
        <w:pStyle w:val="ListParagraph"/>
        <w:rPr>
          <w:sz w:val="20"/>
          <w:szCs w:val="20"/>
        </w:rPr>
      </w:pPr>
    </w:p>
    <w:p w14:paraId="4D080EE5" w14:textId="77777777" w:rsidR="007A3478" w:rsidRPr="00D2222C" w:rsidRDefault="00F97D53" w:rsidP="00BB5A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szCs w:val="20"/>
        </w:rPr>
      </w:pPr>
      <w:r w:rsidRPr="00D2222C">
        <w:rPr>
          <w:sz w:val="20"/>
          <w:szCs w:val="20"/>
        </w:rPr>
        <w:t xml:space="preserve">The Review Committee meets with defense counsel along with attorneys from the United States Attorney’s Office and the Criminal Division’s Capital Case Unit, and </w:t>
      </w:r>
      <w:r w:rsidR="007A3478" w:rsidRPr="00D2222C">
        <w:rPr>
          <w:sz w:val="20"/>
          <w:szCs w:val="20"/>
        </w:rPr>
        <w:t>is</w:t>
      </w:r>
      <w:r w:rsidRPr="00D2222C">
        <w:rPr>
          <w:sz w:val="20"/>
          <w:szCs w:val="20"/>
        </w:rPr>
        <w:t xml:space="preserve"> invited to make an oral presentation as to why the Attorney General should not authorize the U.S. Attorney to seek the death penalty. </w:t>
      </w:r>
      <w:r w:rsidR="007A3478" w:rsidRPr="00D2222C">
        <w:rPr>
          <w:sz w:val="20"/>
          <w:szCs w:val="20"/>
        </w:rPr>
        <w:t>Before considering the case, the Attorney General receives the recommendation of the U.S. Attorney, the recommendation of the Review Committee, and all of the underlying materials that have been submitted.</w:t>
      </w:r>
      <w:r w:rsidR="00E17683" w:rsidRPr="00D2222C">
        <w:rPr>
          <w:sz w:val="20"/>
          <w:szCs w:val="20"/>
        </w:rPr>
        <w:t xml:space="preserve"> The Attorney General’s decision to authorize the seeking of the death penalty can be changed, among others, by means of a plea agreement. </w:t>
      </w:r>
      <w:r w:rsidR="00B90178" w:rsidRPr="00D2222C">
        <w:rPr>
          <w:sz w:val="20"/>
          <w:szCs w:val="20"/>
        </w:rPr>
        <w:t xml:space="preserve">From 1995 to 2000, 32% of the defendants in which the Attorney General authorized the death penalty entered into plea agreements as a result of which the government withdrew the notice of intent to seek the death penalty; 41% of these defendants were white and 35% black. </w:t>
      </w:r>
    </w:p>
    <w:p w14:paraId="4930478D" w14:textId="77777777" w:rsidR="007A3478" w:rsidRPr="00D2222C" w:rsidRDefault="007A3478" w:rsidP="007A3478">
      <w:pPr>
        <w:pStyle w:val="ListParagraph"/>
        <w:rPr>
          <w:sz w:val="20"/>
          <w:szCs w:val="20"/>
        </w:rPr>
      </w:pPr>
    </w:p>
    <w:p w14:paraId="5C35B653" w14:textId="77777777" w:rsidR="007A3478" w:rsidRPr="00D2222C" w:rsidRDefault="007A3478" w:rsidP="00BB5A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szCs w:val="20"/>
        </w:rPr>
      </w:pPr>
      <w:r w:rsidRPr="00D2222C">
        <w:rPr>
          <w:sz w:val="20"/>
          <w:szCs w:val="20"/>
        </w:rPr>
        <w:t xml:space="preserve">At the sentencing phase, the prosecution must prove beyond a reasonable doubt that the defendant committed the capital offense with a certain level of intent. In addition, the prosecution must prove any aggravating factors beyond a reasonable doubt, and must prove at least one from a list of specific factors set out in the applicable statute. In recommending a sentence, the jury may only consider aggravating factors that it unanimously finds to have been proven beyond a reasonable doubt. </w:t>
      </w:r>
      <w:r w:rsidR="000A5B0F" w:rsidRPr="00D2222C">
        <w:rPr>
          <w:sz w:val="20"/>
          <w:szCs w:val="20"/>
        </w:rPr>
        <w:t xml:space="preserve">Mitigating factors need only be proven by a preponderance of the evidence, and each juror can make an individual decision as to which factors have been proven to his or her satisfaction. </w:t>
      </w:r>
      <w:r w:rsidR="00AA5C88" w:rsidRPr="00D2222C">
        <w:rPr>
          <w:sz w:val="20"/>
          <w:szCs w:val="20"/>
        </w:rPr>
        <w:t xml:space="preserve">In reaching a verdict, which must be unanimous, each juror must certify that he or she did not consider the race, </w:t>
      </w:r>
      <w:r w:rsidR="00AA5C88" w:rsidRPr="00D2222C">
        <w:rPr>
          <w:sz w:val="20"/>
          <w:szCs w:val="20"/>
        </w:rPr>
        <w:lastRenderedPageBreak/>
        <w:t xml:space="preserve">national origin, sex, or religious beliefs of the defendant or the victim in reaching his or her determination. </w:t>
      </w:r>
    </w:p>
    <w:p w14:paraId="13A080A5" w14:textId="77777777" w:rsidR="009B74A4" w:rsidRPr="00D2222C" w:rsidRDefault="009B74A4" w:rsidP="009B74A4">
      <w:pPr>
        <w:pStyle w:val="ListParagraph"/>
        <w:rPr>
          <w:sz w:val="20"/>
          <w:szCs w:val="20"/>
        </w:rPr>
      </w:pPr>
    </w:p>
    <w:p w14:paraId="0F740266" w14:textId="77777777" w:rsidR="009B74A4" w:rsidRPr="00D2222C" w:rsidRDefault="009B74A4" w:rsidP="00BB5A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szCs w:val="20"/>
        </w:rPr>
      </w:pPr>
      <w:r w:rsidRPr="00D2222C">
        <w:rPr>
          <w:sz w:val="20"/>
          <w:szCs w:val="20"/>
        </w:rPr>
        <w:t>In capital cases, federal law explicitly requires the appellate court, in reviewing the case, to review the entire record. If the Court of Appeals affirms the conviction and sentence, the defendant may seek review in the United States Suprem</w:t>
      </w:r>
      <w:r w:rsidR="00FC3262" w:rsidRPr="00D2222C">
        <w:rPr>
          <w:sz w:val="20"/>
          <w:szCs w:val="20"/>
        </w:rPr>
        <w:t>e</w:t>
      </w:r>
      <w:r w:rsidRPr="00D2222C">
        <w:rPr>
          <w:sz w:val="20"/>
          <w:szCs w:val="20"/>
        </w:rPr>
        <w:t xml:space="preserve"> Court by filing a petition for a writ of certiorari.</w:t>
      </w:r>
    </w:p>
    <w:p w14:paraId="708CCF54" w14:textId="77777777" w:rsidR="009B74A4" w:rsidRPr="00D2222C" w:rsidRDefault="009B74A4" w:rsidP="009B74A4">
      <w:pPr>
        <w:pStyle w:val="ListParagraph"/>
        <w:rPr>
          <w:sz w:val="20"/>
          <w:szCs w:val="20"/>
        </w:rPr>
      </w:pPr>
    </w:p>
    <w:p w14:paraId="64FAC645" w14:textId="77777777" w:rsidR="009B74A4" w:rsidRPr="00D2222C" w:rsidRDefault="009B74A4" w:rsidP="00BB5A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szCs w:val="20"/>
        </w:rPr>
      </w:pPr>
      <w:r w:rsidRPr="00D2222C">
        <w:rPr>
          <w:sz w:val="20"/>
          <w:szCs w:val="20"/>
        </w:rPr>
        <w:t xml:space="preserve">If the defendant fails to obtain relief on direct appeal, he or she may also seek collateral review by filing a motion to vacate, set aside or correct the sentence pursuant to 28 U.S.C. § 2255. Such collateral review goes through three levels of the federal judiciary: the motion is made in the district court in which the defendant was convicted; the district court’s resolution of the § 2255 motion is subject to direct appeal by the losing party; the judgment by the Court of Appeals concerning the § 2255 motion is subject to discretionary review by the Supreme Court. </w:t>
      </w:r>
    </w:p>
    <w:p w14:paraId="03952F8B" w14:textId="77777777" w:rsidR="009B74A4" w:rsidRPr="00D2222C" w:rsidRDefault="009B74A4" w:rsidP="009B74A4">
      <w:pPr>
        <w:pStyle w:val="ListParagraph"/>
        <w:rPr>
          <w:sz w:val="20"/>
          <w:szCs w:val="20"/>
        </w:rPr>
      </w:pPr>
    </w:p>
    <w:p w14:paraId="0D4D9F3F" w14:textId="77777777" w:rsidR="009B74A4" w:rsidRPr="00D2222C" w:rsidRDefault="009B74A4" w:rsidP="00BB5A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szCs w:val="20"/>
        </w:rPr>
      </w:pPr>
      <w:r w:rsidRPr="00D2222C">
        <w:rPr>
          <w:sz w:val="20"/>
          <w:szCs w:val="20"/>
        </w:rPr>
        <w:t>If the defendant’</w:t>
      </w:r>
      <w:r w:rsidR="002C5A89" w:rsidRPr="00D2222C">
        <w:rPr>
          <w:sz w:val="20"/>
          <w:szCs w:val="20"/>
        </w:rPr>
        <w:t>s sentence</w:t>
      </w:r>
      <w:r w:rsidRPr="00D2222C">
        <w:rPr>
          <w:sz w:val="20"/>
          <w:szCs w:val="20"/>
        </w:rPr>
        <w:t xml:space="preserve"> of death is upheld on both direct and collateral review, an execution date is set. Once the defendant has received notification of the scheduled execution date, he or she may petition the President for a grant of exe</w:t>
      </w:r>
      <w:r w:rsidR="002C5A89" w:rsidRPr="00D2222C">
        <w:rPr>
          <w:sz w:val="20"/>
          <w:szCs w:val="20"/>
        </w:rPr>
        <w:t>cutive clemency.</w:t>
      </w:r>
    </w:p>
    <w:p w14:paraId="75E2ECC1" w14:textId="77777777" w:rsidR="00D811FF" w:rsidRPr="00D2222C" w:rsidRDefault="00D811FF" w:rsidP="00D811FF">
      <w:pPr>
        <w:rPr>
          <w:rFonts w:ascii="Cambria" w:hAnsi="Cambria"/>
          <w:sz w:val="20"/>
          <w:szCs w:val="20"/>
        </w:rPr>
      </w:pPr>
    </w:p>
    <w:p w14:paraId="1DA1A326" w14:textId="77777777" w:rsidR="00DC28C0" w:rsidRPr="00D2222C" w:rsidRDefault="00DC28C0" w:rsidP="009E3847">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rPr>
      </w:pPr>
      <w:r w:rsidRPr="00D2222C">
        <w:rPr>
          <w:rFonts w:ascii="Cambria" w:eastAsia="Arial Unicode MS" w:hAnsi="Cambria"/>
          <w:sz w:val="20"/>
          <w:szCs w:val="20"/>
          <w:bdr w:val="nil"/>
        </w:rPr>
        <w:t xml:space="preserve">Official information published by the </w:t>
      </w:r>
      <w:r w:rsidR="00CF3EBB" w:rsidRPr="00D2222C">
        <w:rPr>
          <w:rFonts w:ascii="Cambria" w:eastAsia="Arial Unicode MS" w:hAnsi="Cambria"/>
          <w:sz w:val="20"/>
          <w:szCs w:val="20"/>
          <w:bdr w:val="nil"/>
        </w:rPr>
        <w:t>DoJ</w:t>
      </w:r>
      <w:r w:rsidRPr="00D2222C">
        <w:rPr>
          <w:rFonts w:ascii="Cambria" w:eastAsia="Arial Unicode MS" w:hAnsi="Cambria"/>
          <w:sz w:val="20"/>
          <w:szCs w:val="20"/>
          <w:bdr w:val="nil"/>
        </w:rPr>
        <w:t xml:space="preserve"> indicates that the President of the United States relies on the DoJ, and particularly the Office of the Pardon Attorney, for assistance in the exercise of the executive clemency power granted to the President by Article II, Section 2 of the United States Constitution.</w:t>
      </w:r>
      <w:r w:rsidRPr="00D2222C">
        <w:rPr>
          <w:rStyle w:val="FootnoteReference"/>
          <w:rFonts w:ascii="Cambria" w:eastAsia="Arial Unicode MS" w:hAnsi="Cambria"/>
          <w:sz w:val="20"/>
          <w:szCs w:val="20"/>
          <w:bdr w:val="nil"/>
        </w:rPr>
        <w:footnoteReference w:id="7"/>
      </w:r>
      <w:r w:rsidRPr="00D2222C">
        <w:rPr>
          <w:rFonts w:ascii="Cambria" w:eastAsia="Arial Unicode MS" w:hAnsi="Cambria"/>
          <w:sz w:val="20"/>
          <w:szCs w:val="20"/>
          <w:bdr w:val="nil"/>
        </w:rPr>
        <w:t xml:space="preserve"> Under the Constitution, the President’s clemency power extends only to federal criminal offenses. </w:t>
      </w:r>
    </w:p>
    <w:p w14:paraId="5CFCA62B" w14:textId="77777777" w:rsidR="00DC28C0" w:rsidRPr="00D2222C" w:rsidRDefault="00DC28C0" w:rsidP="009E3847">
      <w:pPr>
        <w:pStyle w:val="NormalWeb"/>
        <w:shd w:val="clear" w:color="auto" w:fill="FFFFFF"/>
        <w:spacing w:before="0" w:beforeAutospacing="0" w:after="0" w:afterAutospacing="0"/>
        <w:ind w:left="720"/>
        <w:jc w:val="both"/>
        <w:rPr>
          <w:rFonts w:ascii="Cambria" w:eastAsia="Arial Unicode MS" w:hAnsi="Cambria"/>
          <w:sz w:val="20"/>
          <w:szCs w:val="20"/>
          <w:bdr w:val="nil"/>
        </w:rPr>
      </w:pPr>
    </w:p>
    <w:p w14:paraId="637FB6C1" w14:textId="77777777" w:rsidR="00DC28C0" w:rsidRPr="00D2222C" w:rsidRDefault="00DC28C0" w:rsidP="009E3847">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rPr>
      </w:pPr>
      <w:r w:rsidRPr="00D2222C">
        <w:rPr>
          <w:rFonts w:ascii="Cambria" w:eastAsia="Arial Unicode MS" w:hAnsi="Cambria"/>
          <w:sz w:val="20"/>
          <w:szCs w:val="20"/>
          <w:bdr w:val="nil"/>
        </w:rPr>
        <w:t>According to the procedures currently in place, all requests for executive clemency are directed to the Pardon Attorney for review, investigation, and preparation of the Department’s recommendation to the President, which is signed by the Deputy Attorney General. Any person under a sentence of death for whom an execution date is set on or after August 1, 2000, may request to make an oral presentation of reasonable duration to the Office of the Pardon Attorney in support of the clemency petition.</w:t>
      </w:r>
      <w:r w:rsidRPr="00D2222C">
        <w:rPr>
          <w:rStyle w:val="FootnoteReference"/>
          <w:rFonts w:ascii="Cambria" w:eastAsia="Arial Unicode MS" w:hAnsi="Cambria"/>
          <w:sz w:val="20"/>
          <w:szCs w:val="20"/>
          <w:bdr w:val="nil"/>
        </w:rPr>
        <w:footnoteReference w:id="8"/>
      </w:r>
      <w:r w:rsidRPr="00D2222C">
        <w:rPr>
          <w:rFonts w:ascii="Cambria" w:eastAsia="Arial Unicode MS" w:hAnsi="Cambria"/>
          <w:sz w:val="20"/>
          <w:szCs w:val="20"/>
          <w:bdr w:val="nil"/>
        </w:rPr>
        <w:t xml:space="preserve"> </w:t>
      </w:r>
    </w:p>
    <w:p w14:paraId="359302F9" w14:textId="77777777" w:rsidR="001C4006" w:rsidRPr="00D2222C" w:rsidRDefault="00D04674" w:rsidP="00090720">
      <w:pPr>
        <w:pStyle w:val="Heading2"/>
        <w:numPr>
          <w:ilvl w:val="0"/>
          <w:numId w:val="62"/>
        </w:numPr>
        <w:ind w:left="1440" w:hanging="720"/>
        <w:rPr>
          <w:color w:val="auto"/>
          <w:sz w:val="20"/>
          <w:szCs w:val="20"/>
        </w:rPr>
      </w:pPr>
      <w:bookmarkStart w:id="6" w:name="_Toc26550922"/>
      <w:r w:rsidRPr="00D2222C">
        <w:rPr>
          <w:color w:val="auto"/>
          <w:sz w:val="20"/>
          <w:szCs w:val="20"/>
        </w:rPr>
        <w:t>Factual background, t</w:t>
      </w:r>
      <w:r w:rsidR="00E91BE2" w:rsidRPr="00D2222C">
        <w:rPr>
          <w:color w:val="auto"/>
          <w:sz w:val="20"/>
          <w:szCs w:val="20"/>
        </w:rPr>
        <w:t>rial and death sentence</w:t>
      </w:r>
      <w:bookmarkEnd w:id="6"/>
    </w:p>
    <w:p w14:paraId="63E5E3C5" w14:textId="77777777" w:rsidR="001C4006" w:rsidRPr="00D2222C" w:rsidRDefault="001C4006" w:rsidP="001C4006">
      <w:pPr>
        <w:pStyle w:val="ListParagraph"/>
        <w:rPr>
          <w:rFonts w:asciiTheme="majorHAnsi" w:hAnsiTheme="majorHAnsi"/>
          <w:b/>
          <w:color w:val="auto"/>
          <w:sz w:val="20"/>
          <w:szCs w:val="20"/>
        </w:rPr>
      </w:pPr>
    </w:p>
    <w:p w14:paraId="055FEA31" w14:textId="77777777" w:rsidR="006A70B4" w:rsidRPr="00D2222C" w:rsidRDefault="006A70B4"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rPr>
      </w:pPr>
      <w:r w:rsidRPr="00D2222C">
        <w:rPr>
          <w:rFonts w:ascii="Cambria" w:hAnsi="Cambria"/>
          <w:sz w:val="20"/>
          <w:szCs w:val="20"/>
        </w:rPr>
        <w:t>The facts described below were established by domestic courts and have not been disputed by the petitioners.</w:t>
      </w:r>
    </w:p>
    <w:p w14:paraId="4BA80350" w14:textId="77777777" w:rsidR="006A70B4" w:rsidRPr="00D2222C" w:rsidRDefault="006A70B4" w:rsidP="009E384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630"/>
        <w:jc w:val="both"/>
        <w:textAlignment w:val="baseline"/>
        <w:rPr>
          <w:rFonts w:ascii="Cambria" w:hAnsi="Cambria"/>
          <w:sz w:val="20"/>
          <w:szCs w:val="20"/>
        </w:rPr>
      </w:pPr>
    </w:p>
    <w:p w14:paraId="0793DFAB" w14:textId="77777777" w:rsidR="002E35D7" w:rsidRPr="00D2222C" w:rsidRDefault="00D87416"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rPr>
      </w:pPr>
      <w:r w:rsidRPr="00D2222C">
        <w:rPr>
          <w:rFonts w:ascii="Cambria" w:hAnsi="Cambria"/>
          <w:sz w:val="20"/>
          <w:szCs w:val="20"/>
        </w:rPr>
        <w:t>Orlando Cordia Hall, along with Bruce Webster and Marvin Holloway, ran a marijuana trafficking enterprise in Pine Bluff, Arkansas. They purchased marijuana in varying amounts in the Dallas/Fort Worth area with the assistance of Steven Beckley, who lived in Irving, Texas. On September 21, 1994, Vitalis and N. Rene, allegedly robbed</w:t>
      </w:r>
      <w:r w:rsidR="00704098" w:rsidRPr="00D2222C">
        <w:rPr>
          <w:rFonts w:ascii="Cambria" w:hAnsi="Cambria"/>
          <w:sz w:val="20"/>
          <w:szCs w:val="20"/>
        </w:rPr>
        <w:t xml:space="preserve"> them</w:t>
      </w:r>
      <w:r w:rsidRPr="00D2222C">
        <w:rPr>
          <w:rFonts w:ascii="Cambria" w:hAnsi="Cambria"/>
          <w:sz w:val="20"/>
          <w:szCs w:val="20"/>
        </w:rPr>
        <w:t xml:space="preserve"> $4700</w:t>
      </w:r>
      <w:r w:rsidR="00704098" w:rsidRPr="00D2222C">
        <w:rPr>
          <w:rFonts w:ascii="Cambria" w:hAnsi="Cambria"/>
          <w:sz w:val="20"/>
          <w:szCs w:val="20"/>
        </w:rPr>
        <w:t xml:space="preserve"> in a mari</w:t>
      </w:r>
      <w:r w:rsidR="008414A3" w:rsidRPr="00D2222C">
        <w:rPr>
          <w:rFonts w:ascii="Cambria" w:hAnsi="Cambria"/>
          <w:sz w:val="20"/>
          <w:szCs w:val="20"/>
        </w:rPr>
        <w:t>j</w:t>
      </w:r>
      <w:r w:rsidR="00704098" w:rsidRPr="00D2222C">
        <w:rPr>
          <w:rFonts w:ascii="Cambria" w:hAnsi="Cambria"/>
          <w:sz w:val="20"/>
          <w:szCs w:val="20"/>
        </w:rPr>
        <w:t>uana deal</w:t>
      </w:r>
      <w:r w:rsidRPr="00D2222C">
        <w:rPr>
          <w:rFonts w:ascii="Cambria" w:hAnsi="Cambria"/>
          <w:sz w:val="20"/>
          <w:szCs w:val="20"/>
        </w:rPr>
        <w:t xml:space="preserve">. On </w:t>
      </w:r>
      <w:r w:rsidR="000A3276" w:rsidRPr="00D2222C">
        <w:rPr>
          <w:rFonts w:ascii="Cambria" w:hAnsi="Cambria"/>
          <w:sz w:val="20"/>
          <w:szCs w:val="20"/>
        </w:rPr>
        <w:t xml:space="preserve">the evening of </w:t>
      </w:r>
      <w:r w:rsidRPr="00D2222C">
        <w:rPr>
          <w:rFonts w:ascii="Cambria" w:hAnsi="Cambria"/>
          <w:sz w:val="20"/>
          <w:szCs w:val="20"/>
        </w:rPr>
        <w:t>September 24, 1994, Hall, Beckley, Webster</w:t>
      </w:r>
      <w:r w:rsidR="000A3276" w:rsidRPr="00D2222C">
        <w:rPr>
          <w:rFonts w:ascii="Cambria" w:hAnsi="Cambria"/>
          <w:sz w:val="20"/>
          <w:szCs w:val="20"/>
        </w:rPr>
        <w:t xml:space="preserve"> and D. Hall</w:t>
      </w:r>
      <w:r w:rsidR="00A36E16" w:rsidRPr="00D2222C">
        <w:rPr>
          <w:rFonts w:ascii="Cambria" w:hAnsi="Cambria"/>
          <w:sz w:val="20"/>
          <w:szCs w:val="20"/>
        </w:rPr>
        <w:t xml:space="preserve"> (Orland</w:t>
      </w:r>
      <w:r w:rsidR="000A3276" w:rsidRPr="00D2222C">
        <w:rPr>
          <w:rFonts w:ascii="Cambria" w:hAnsi="Cambria"/>
          <w:sz w:val="20"/>
          <w:szCs w:val="20"/>
        </w:rPr>
        <w:t>o Cordia Hall’s brother)</w:t>
      </w:r>
      <w:r w:rsidRPr="00D2222C">
        <w:rPr>
          <w:rFonts w:ascii="Cambria" w:hAnsi="Cambria"/>
          <w:sz w:val="20"/>
          <w:szCs w:val="20"/>
        </w:rPr>
        <w:t xml:space="preserve"> approached </w:t>
      </w:r>
      <w:r w:rsidR="00E753FA" w:rsidRPr="00D2222C">
        <w:rPr>
          <w:rFonts w:ascii="Cambria" w:hAnsi="Cambria"/>
          <w:sz w:val="20"/>
          <w:szCs w:val="20"/>
        </w:rPr>
        <w:t>Vitalis and N. Rene’s</w:t>
      </w:r>
      <w:r w:rsidRPr="00D2222C">
        <w:rPr>
          <w:rFonts w:ascii="Cambria" w:hAnsi="Cambria"/>
          <w:sz w:val="20"/>
          <w:szCs w:val="20"/>
        </w:rPr>
        <w:t xml:space="preserve"> apartment </w:t>
      </w:r>
      <w:r w:rsidR="00A36E16" w:rsidRPr="00D2222C">
        <w:rPr>
          <w:rFonts w:ascii="Cambria" w:hAnsi="Cambria"/>
          <w:sz w:val="20"/>
          <w:szCs w:val="20"/>
        </w:rPr>
        <w:t>in Arlington, Texas</w:t>
      </w:r>
      <w:r w:rsidRPr="00D2222C">
        <w:rPr>
          <w:rFonts w:ascii="Cambria" w:hAnsi="Cambria"/>
          <w:sz w:val="20"/>
          <w:szCs w:val="20"/>
        </w:rPr>
        <w:t xml:space="preserve">. The occupant of the apartment, Lisa Rene, N. Rene's sixteen-year-old sister, refused to let them in and called her sister and 911. Webster and D. Hall </w:t>
      </w:r>
      <w:r w:rsidR="000A3276" w:rsidRPr="00D2222C">
        <w:rPr>
          <w:rFonts w:ascii="Cambria" w:hAnsi="Cambria"/>
          <w:sz w:val="20"/>
          <w:szCs w:val="20"/>
        </w:rPr>
        <w:t xml:space="preserve">shattered </w:t>
      </w:r>
      <w:r w:rsidRPr="00D2222C">
        <w:rPr>
          <w:rFonts w:ascii="Cambria" w:hAnsi="Cambria"/>
          <w:sz w:val="20"/>
          <w:szCs w:val="20"/>
        </w:rPr>
        <w:t xml:space="preserve">a sliding glass door on the patio with his baseball bat, tackled Lisa Rene, and dragged her to the car. </w:t>
      </w:r>
      <w:r w:rsidR="00A36E16" w:rsidRPr="00D2222C">
        <w:rPr>
          <w:rFonts w:ascii="Cambria" w:hAnsi="Cambria"/>
          <w:sz w:val="20"/>
          <w:szCs w:val="20"/>
        </w:rPr>
        <w:t xml:space="preserve">She was taken to a motel in Arkansas </w:t>
      </w:r>
      <w:r w:rsidR="00C14557" w:rsidRPr="00D2222C">
        <w:rPr>
          <w:rFonts w:ascii="Cambria" w:hAnsi="Cambria"/>
          <w:sz w:val="20"/>
          <w:szCs w:val="20"/>
        </w:rPr>
        <w:t xml:space="preserve">were she was repeatedly gang raped. </w:t>
      </w:r>
      <w:r w:rsidR="000517B2" w:rsidRPr="00D2222C">
        <w:rPr>
          <w:rFonts w:ascii="Cambria" w:hAnsi="Cambria"/>
          <w:sz w:val="20"/>
          <w:szCs w:val="20"/>
        </w:rPr>
        <w:t>On September 26, 1994, they drove Lisa Rene to Byrd Lake Park, took turns hitting her with a shovel in the head</w:t>
      </w:r>
      <w:r w:rsidR="00E753FA" w:rsidRPr="00D2222C">
        <w:rPr>
          <w:rFonts w:ascii="Cambria" w:hAnsi="Cambria"/>
          <w:sz w:val="20"/>
          <w:szCs w:val="20"/>
        </w:rPr>
        <w:t xml:space="preserve"> and</w:t>
      </w:r>
      <w:r w:rsidR="000517B2" w:rsidRPr="00D2222C">
        <w:rPr>
          <w:rFonts w:ascii="Cambria" w:hAnsi="Cambria"/>
          <w:sz w:val="20"/>
          <w:szCs w:val="20"/>
        </w:rPr>
        <w:t xml:space="preserve"> dragged her into a grave</w:t>
      </w:r>
      <w:r w:rsidR="002E35D7" w:rsidRPr="00D2222C">
        <w:rPr>
          <w:rFonts w:ascii="Cambria" w:hAnsi="Cambria"/>
          <w:sz w:val="20"/>
          <w:szCs w:val="20"/>
        </w:rPr>
        <w:t xml:space="preserve"> they had previously dug</w:t>
      </w:r>
      <w:r w:rsidR="00E753FA" w:rsidRPr="00D2222C">
        <w:rPr>
          <w:rFonts w:ascii="Cambria" w:hAnsi="Cambria"/>
          <w:sz w:val="20"/>
          <w:szCs w:val="20"/>
        </w:rPr>
        <w:t>. Then they</w:t>
      </w:r>
      <w:r w:rsidR="002E35D7" w:rsidRPr="00D2222C">
        <w:rPr>
          <w:rFonts w:ascii="Cambria" w:hAnsi="Cambria"/>
          <w:sz w:val="20"/>
          <w:szCs w:val="20"/>
        </w:rPr>
        <w:t xml:space="preserve"> </w:t>
      </w:r>
      <w:r w:rsidR="000517B2" w:rsidRPr="00D2222C">
        <w:rPr>
          <w:rFonts w:ascii="Cambria" w:hAnsi="Cambria"/>
          <w:sz w:val="20"/>
          <w:szCs w:val="20"/>
        </w:rPr>
        <w:t>covered her with gasoline and shoveled dirt back into the grave.</w:t>
      </w:r>
      <w:r w:rsidR="002E35D7" w:rsidRPr="00D2222C">
        <w:rPr>
          <w:rStyle w:val="FootnoteReference"/>
          <w:rFonts w:ascii="Cambria" w:hAnsi="Cambria"/>
          <w:sz w:val="20"/>
          <w:szCs w:val="20"/>
        </w:rPr>
        <w:footnoteReference w:id="9"/>
      </w:r>
      <w:r w:rsidR="000517B2" w:rsidRPr="00D2222C">
        <w:rPr>
          <w:rFonts w:ascii="Cambria" w:hAnsi="Cambria"/>
          <w:sz w:val="20"/>
          <w:szCs w:val="20"/>
        </w:rPr>
        <w:t xml:space="preserve"> </w:t>
      </w:r>
    </w:p>
    <w:p w14:paraId="4EF86129" w14:textId="77777777" w:rsidR="002E35D7" w:rsidRPr="00D2222C" w:rsidRDefault="002E35D7" w:rsidP="009E384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630"/>
        <w:jc w:val="both"/>
        <w:textAlignment w:val="baseline"/>
        <w:rPr>
          <w:rFonts w:ascii="Cambria" w:hAnsi="Cambria"/>
          <w:sz w:val="20"/>
          <w:szCs w:val="20"/>
        </w:rPr>
      </w:pPr>
    </w:p>
    <w:p w14:paraId="29B44B05" w14:textId="77777777" w:rsidR="00E753FA" w:rsidRPr="00D2222C" w:rsidRDefault="000517B2"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rPr>
      </w:pPr>
      <w:r w:rsidRPr="00D2222C">
        <w:rPr>
          <w:rFonts w:ascii="Cambria" w:hAnsi="Cambria"/>
          <w:sz w:val="20"/>
          <w:szCs w:val="20"/>
        </w:rPr>
        <w:t xml:space="preserve">On September 29, 1994, D. Hall, Beckley, and Webster were arrested. On September 30, 1994, </w:t>
      </w:r>
      <w:r w:rsidR="000764E3" w:rsidRPr="00D2222C">
        <w:rPr>
          <w:rFonts w:ascii="Cambria" w:hAnsi="Cambria"/>
          <w:sz w:val="20"/>
          <w:szCs w:val="20"/>
        </w:rPr>
        <w:t xml:space="preserve">Mr. </w:t>
      </w:r>
      <w:r w:rsidRPr="00D2222C">
        <w:rPr>
          <w:rFonts w:ascii="Cambria" w:hAnsi="Cambria"/>
          <w:sz w:val="20"/>
          <w:szCs w:val="20"/>
        </w:rPr>
        <w:t xml:space="preserve">Hall surrendered to Pine Bluff authorities. On the advice of counsel, he did not give a statement at the time of his arrest, but indicated that he would talk with law enforcement agents after he was transported to Texas. On </w:t>
      </w:r>
      <w:r w:rsidRPr="00D2222C">
        <w:rPr>
          <w:rFonts w:ascii="Cambria" w:hAnsi="Cambria"/>
          <w:sz w:val="20"/>
          <w:szCs w:val="20"/>
        </w:rPr>
        <w:lastRenderedPageBreak/>
        <w:t xml:space="preserve">October 5, 1994, following his transfer to the Arlington County jail, </w:t>
      </w:r>
      <w:r w:rsidR="000764E3" w:rsidRPr="00D2222C">
        <w:rPr>
          <w:rFonts w:ascii="Cambria" w:hAnsi="Cambria"/>
          <w:sz w:val="20"/>
          <w:szCs w:val="20"/>
        </w:rPr>
        <w:t xml:space="preserve">Mr. </w:t>
      </w:r>
      <w:r w:rsidRPr="00D2222C">
        <w:rPr>
          <w:rFonts w:ascii="Cambria" w:hAnsi="Cambria"/>
          <w:sz w:val="20"/>
          <w:szCs w:val="20"/>
        </w:rPr>
        <w:t>Hall gave a written statement in which he substantially implicated himself in the kidnapping and murder.</w:t>
      </w:r>
      <w:r w:rsidR="00BE0098" w:rsidRPr="00D2222C">
        <w:rPr>
          <w:rStyle w:val="FootnoteReference"/>
          <w:rFonts w:ascii="Cambria" w:hAnsi="Cambria"/>
          <w:sz w:val="20"/>
          <w:szCs w:val="20"/>
        </w:rPr>
        <w:footnoteReference w:id="10"/>
      </w:r>
      <w:r w:rsidR="000764E3" w:rsidRPr="00D2222C">
        <w:rPr>
          <w:rFonts w:ascii="Cambria" w:hAnsi="Cambria"/>
          <w:sz w:val="20"/>
          <w:szCs w:val="20"/>
        </w:rPr>
        <w:t xml:space="preserve"> </w:t>
      </w:r>
    </w:p>
    <w:p w14:paraId="04AED297" w14:textId="77777777" w:rsidR="00E753FA" w:rsidRPr="00D2222C" w:rsidRDefault="00E753FA" w:rsidP="009E3847">
      <w:pPr>
        <w:pStyle w:val="ListParagraph"/>
        <w:rPr>
          <w:sz w:val="20"/>
          <w:szCs w:val="20"/>
        </w:rPr>
      </w:pPr>
    </w:p>
    <w:p w14:paraId="41D1A12E" w14:textId="77777777" w:rsidR="00315905" w:rsidRPr="00D2222C" w:rsidRDefault="000517B2"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rPr>
      </w:pPr>
      <w:r w:rsidRPr="00D2222C">
        <w:rPr>
          <w:rFonts w:ascii="Cambria" w:hAnsi="Cambria"/>
          <w:sz w:val="20"/>
          <w:szCs w:val="20"/>
        </w:rPr>
        <w:t xml:space="preserve">On October 26, 1994, the United States District Court for the Northern District of Texas </w:t>
      </w:r>
      <w:r w:rsidR="00D63233" w:rsidRPr="00D2222C">
        <w:rPr>
          <w:rFonts w:ascii="Cambria" w:hAnsi="Cambria"/>
          <w:sz w:val="20"/>
          <w:szCs w:val="20"/>
        </w:rPr>
        <w:t xml:space="preserve">(“the district court”) </w:t>
      </w:r>
      <w:r w:rsidR="000764E3" w:rsidRPr="00D2222C">
        <w:rPr>
          <w:rFonts w:ascii="Cambria" w:hAnsi="Cambria"/>
          <w:sz w:val="20"/>
          <w:szCs w:val="20"/>
        </w:rPr>
        <w:t xml:space="preserve">charged </w:t>
      </w:r>
      <w:r w:rsidR="00E753FA" w:rsidRPr="00D2222C">
        <w:rPr>
          <w:rFonts w:ascii="Cambria" w:hAnsi="Cambria"/>
          <w:sz w:val="20"/>
          <w:szCs w:val="20"/>
        </w:rPr>
        <w:t>Mr. Hall and the four other persons involved</w:t>
      </w:r>
      <w:r w:rsidR="000764E3" w:rsidRPr="00D2222C">
        <w:rPr>
          <w:rFonts w:ascii="Cambria" w:hAnsi="Cambria"/>
          <w:sz w:val="20"/>
          <w:szCs w:val="20"/>
        </w:rPr>
        <w:t xml:space="preserve"> with</w:t>
      </w:r>
      <w:r w:rsidRPr="00D2222C">
        <w:rPr>
          <w:rFonts w:ascii="Cambria" w:hAnsi="Cambria"/>
          <w:sz w:val="20"/>
          <w:szCs w:val="20"/>
        </w:rPr>
        <w:t xml:space="preserve"> kidnapping.</w:t>
      </w:r>
      <w:r w:rsidR="000764E3" w:rsidRPr="00D2222C">
        <w:rPr>
          <w:rStyle w:val="FootnoteReference"/>
          <w:rFonts w:ascii="Cambria" w:hAnsi="Cambria"/>
          <w:sz w:val="20"/>
          <w:szCs w:val="20"/>
        </w:rPr>
        <w:footnoteReference w:id="11"/>
      </w:r>
      <w:r w:rsidRPr="00D2222C">
        <w:rPr>
          <w:rFonts w:ascii="Cambria" w:hAnsi="Cambria"/>
          <w:sz w:val="20"/>
          <w:szCs w:val="20"/>
        </w:rPr>
        <w:t xml:space="preserve"> </w:t>
      </w:r>
      <w:r w:rsidR="00315905" w:rsidRPr="00D2222C">
        <w:rPr>
          <w:rFonts w:ascii="Cambria" w:hAnsi="Cambria"/>
          <w:sz w:val="20"/>
          <w:szCs w:val="20"/>
        </w:rPr>
        <w:t xml:space="preserve">On November 4, 1994, a six-count superseding indictment was returned, charging Mr. Hall and the other four co-defendants with kidnapping in which a death occurred, conspiracy to commit kidnapping, traveling in interstate commerce with intent to promote the possession of marijuana with intent to distribute, using a telephone to promote the unlawful activity of extortion, traveling in interstate commerce with intent to promote extortion, and using and carrying a firearm during a crime of violence. </w:t>
      </w:r>
    </w:p>
    <w:p w14:paraId="22212FA3" w14:textId="77777777" w:rsidR="00315905" w:rsidRPr="00D2222C" w:rsidRDefault="00315905" w:rsidP="009E3847">
      <w:pPr>
        <w:pStyle w:val="ListParagraph"/>
        <w:rPr>
          <w:sz w:val="20"/>
          <w:szCs w:val="20"/>
        </w:rPr>
      </w:pPr>
    </w:p>
    <w:p w14:paraId="6E2D5674" w14:textId="77777777" w:rsidR="00E53E5E" w:rsidRPr="00D2222C" w:rsidRDefault="00E53E5E"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rPr>
      </w:pPr>
      <w:r w:rsidRPr="00D2222C">
        <w:rPr>
          <w:rFonts w:ascii="Cambria" w:hAnsi="Cambria"/>
          <w:sz w:val="20"/>
          <w:szCs w:val="20"/>
        </w:rPr>
        <w:t xml:space="preserve">On October 28, 1994, Mark Daniel was appointed to represent Mr. Hall and on January 6, 1995, Michael Heiskell was appointed as co-counsel. </w:t>
      </w:r>
      <w:r w:rsidR="001577B2" w:rsidRPr="00D2222C">
        <w:rPr>
          <w:rFonts w:ascii="Cambria" w:hAnsi="Cambria"/>
          <w:sz w:val="20"/>
          <w:szCs w:val="20"/>
        </w:rPr>
        <w:t xml:space="preserve">On February 23, 1995, the government filed its notice of intent to seek the death penalty against Mr. Hall pursuant to the Federal Death Penalty Act of 1994 (FDPA). </w:t>
      </w:r>
      <w:r w:rsidRPr="00D2222C">
        <w:rPr>
          <w:rFonts w:ascii="Cambria" w:hAnsi="Cambria"/>
          <w:sz w:val="20"/>
          <w:szCs w:val="20"/>
        </w:rPr>
        <w:t>On March 8, 1995, the</w:t>
      </w:r>
      <w:r w:rsidR="001577B2" w:rsidRPr="00D2222C">
        <w:rPr>
          <w:rFonts w:ascii="Cambria" w:hAnsi="Cambria"/>
          <w:sz w:val="20"/>
          <w:szCs w:val="20"/>
        </w:rPr>
        <w:t xml:space="preserve"> defense</w:t>
      </w:r>
      <w:r w:rsidRPr="00D2222C">
        <w:rPr>
          <w:rFonts w:ascii="Cambria" w:hAnsi="Cambria"/>
          <w:sz w:val="20"/>
          <w:szCs w:val="20"/>
        </w:rPr>
        <w:t xml:space="preserve"> attorneys filed a motion to withdraw from their representation, </w:t>
      </w:r>
      <w:r w:rsidR="008414A3" w:rsidRPr="00D2222C">
        <w:rPr>
          <w:rFonts w:ascii="Cambria" w:hAnsi="Cambria"/>
          <w:sz w:val="20"/>
          <w:szCs w:val="20"/>
        </w:rPr>
        <w:t>which</w:t>
      </w:r>
      <w:r w:rsidRPr="00D2222C">
        <w:rPr>
          <w:rFonts w:ascii="Cambria" w:hAnsi="Cambria"/>
          <w:sz w:val="20"/>
          <w:szCs w:val="20"/>
        </w:rPr>
        <w:t xml:space="preserve"> was granted by the </w:t>
      </w:r>
      <w:r w:rsidR="00F267BE" w:rsidRPr="00D2222C">
        <w:rPr>
          <w:rFonts w:ascii="Cambria" w:hAnsi="Cambria"/>
          <w:sz w:val="20"/>
          <w:szCs w:val="20"/>
        </w:rPr>
        <w:t>Court. Jeff</w:t>
      </w:r>
      <w:r w:rsidR="00315905" w:rsidRPr="00D2222C">
        <w:rPr>
          <w:rFonts w:ascii="Cambria" w:hAnsi="Cambria"/>
          <w:sz w:val="20"/>
          <w:szCs w:val="20"/>
        </w:rPr>
        <w:t xml:space="preserve"> Kearney and Michael Ware were </w:t>
      </w:r>
      <w:r w:rsidR="00F267BE" w:rsidRPr="00D2222C">
        <w:rPr>
          <w:rFonts w:ascii="Cambria" w:hAnsi="Cambria"/>
          <w:sz w:val="20"/>
          <w:szCs w:val="20"/>
        </w:rPr>
        <w:t>appointed as new counsel</w:t>
      </w:r>
      <w:r w:rsidR="00315905" w:rsidRPr="00D2222C">
        <w:rPr>
          <w:rFonts w:ascii="Cambria" w:hAnsi="Cambria"/>
          <w:sz w:val="20"/>
          <w:szCs w:val="20"/>
        </w:rPr>
        <w:t xml:space="preserve"> on March 21, 1995</w:t>
      </w:r>
      <w:r w:rsidR="00F267BE" w:rsidRPr="00D2222C">
        <w:rPr>
          <w:rFonts w:ascii="Cambria" w:hAnsi="Cambria"/>
          <w:sz w:val="20"/>
          <w:szCs w:val="20"/>
        </w:rPr>
        <w:t>.</w:t>
      </w:r>
      <w:r w:rsidR="00F267BE" w:rsidRPr="00D2222C">
        <w:rPr>
          <w:rStyle w:val="FootnoteReference"/>
          <w:rFonts w:ascii="Cambria" w:hAnsi="Cambria"/>
          <w:sz w:val="20"/>
          <w:szCs w:val="20"/>
        </w:rPr>
        <w:footnoteReference w:id="12"/>
      </w:r>
      <w:r w:rsidR="004F16E8" w:rsidRPr="00D2222C">
        <w:rPr>
          <w:rFonts w:ascii="Cambria" w:hAnsi="Cambria"/>
          <w:sz w:val="20"/>
          <w:szCs w:val="20"/>
        </w:rPr>
        <w:t xml:space="preserve"> </w:t>
      </w:r>
      <w:r w:rsidR="00E753FA" w:rsidRPr="00D2222C">
        <w:rPr>
          <w:rFonts w:ascii="Cambria" w:hAnsi="Cambria"/>
          <w:sz w:val="20"/>
          <w:szCs w:val="20"/>
        </w:rPr>
        <w:t>T</w:t>
      </w:r>
      <w:r w:rsidR="004F16E8" w:rsidRPr="00D2222C">
        <w:rPr>
          <w:rFonts w:ascii="Cambria" w:hAnsi="Cambria"/>
          <w:sz w:val="20"/>
          <w:szCs w:val="20"/>
        </w:rPr>
        <w:t xml:space="preserve">he defense attorneys made a pre-trial motion to dismiss the government’s notice to seek the death penalty because of racial discrimination, along with a </w:t>
      </w:r>
      <w:r w:rsidR="008414A3" w:rsidRPr="00D2222C">
        <w:rPr>
          <w:rFonts w:ascii="Cambria" w:hAnsi="Cambria"/>
          <w:sz w:val="20"/>
          <w:szCs w:val="20"/>
        </w:rPr>
        <w:t xml:space="preserve">discovery </w:t>
      </w:r>
      <w:r w:rsidR="004F16E8" w:rsidRPr="00D2222C">
        <w:rPr>
          <w:rFonts w:ascii="Cambria" w:hAnsi="Cambria"/>
          <w:sz w:val="20"/>
          <w:szCs w:val="20"/>
        </w:rPr>
        <w:t xml:space="preserve">request for information regarding the government’s decision-making in death-penalty cases. The </w:t>
      </w:r>
      <w:r w:rsidR="00D63233" w:rsidRPr="00D2222C">
        <w:rPr>
          <w:rFonts w:ascii="Cambria" w:hAnsi="Cambria"/>
          <w:sz w:val="20"/>
          <w:szCs w:val="20"/>
        </w:rPr>
        <w:t>district court</w:t>
      </w:r>
      <w:r w:rsidR="004F16E8" w:rsidRPr="00D2222C">
        <w:rPr>
          <w:rFonts w:ascii="Cambria" w:hAnsi="Cambria"/>
          <w:sz w:val="20"/>
          <w:szCs w:val="20"/>
        </w:rPr>
        <w:t xml:space="preserve"> denied the motion and the discovery request.</w:t>
      </w:r>
      <w:r w:rsidR="004F16E8" w:rsidRPr="00D2222C">
        <w:rPr>
          <w:rStyle w:val="FootnoteReference"/>
          <w:rFonts w:ascii="Cambria" w:hAnsi="Cambria"/>
          <w:sz w:val="20"/>
          <w:szCs w:val="20"/>
        </w:rPr>
        <w:footnoteReference w:id="13"/>
      </w:r>
    </w:p>
    <w:p w14:paraId="5C5AA2F7" w14:textId="77777777" w:rsidR="000764E3" w:rsidRPr="00D2222C" w:rsidRDefault="000764E3" w:rsidP="009E3847">
      <w:pPr>
        <w:pStyle w:val="ListParagraph"/>
        <w:rPr>
          <w:sz w:val="20"/>
          <w:szCs w:val="20"/>
        </w:rPr>
      </w:pPr>
    </w:p>
    <w:p w14:paraId="1C2ABD44" w14:textId="77777777" w:rsidR="0023061B" w:rsidRPr="00D2222C" w:rsidRDefault="000764E3"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rPr>
      </w:pPr>
      <w:r w:rsidRPr="00D2222C">
        <w:rPr>
          <w:rFonts w:ascii="Cambria" w:hAnsi="Cambria"/>
          <w:sz w:val="20"/>
          <w:szCs w:val="20"/>
        </w:rPr>
        <w:t xml:space="preserve">On April 6, 1995, the district court granted </w:t>
      </w:r>
      <w:r w:rsidR="00D31A13" w:rsidRPr="00D2222C">
        <w:rPr>
          <w:rFonts w:ascii="Cambria" w:hAnsi="Cambria"/>
          <w:sz w:val="20"/>
          <w:szCs w:val="20"/>
        </w:rPr>
        <w:t xml:space="preserve">Mr. </w:t>
      </w:r>
      <w:r w:rsidRPr="00D2222C">
        <w:rPr>
          <w:rFonts w:ascii="Cambria" w:hAnsi="Cambria"/>
          <w:sz w:val="20"/>
          <w:szCs w:val="20"/>
        </w:rPr>
        <w:t>Hall's motion to sever his trial from that of his co</w:t>
      </w:r>
      <w:r w:rsidR="00E753FA" w:rsidRPr="00D2222C">
        <w:rPr>
          <w:rFonts w:ascii="Cambria" w:hAnsi="Cambria"/>
          <w:sz w:val="20"/>
          <w:szCs w:val="20"/>
        </w:rPr>
        <w:t>-</w:t>
      </w:r>
      <w:r w:rsidRPr="00D2222C">
        <w:rPr>
          <w:rFonts w:ascii="Cambria" w:hAnsi="Cambria"/>
          <w:sz w:val="20"/>
          <w:szCs w:val="20"/>
        </w:rPr>
        <w:t>defendants, and trial commenced on October 2, 1995.</w:t>
      </w:r>
      <w:r w:rsidRPr="00D2222C">
        <w:rPr>
          <w:rStyle w:val="FootnoteReference"/>
          <w:rFonts w:ascii="Cambria" w:hAnsi="Cambria"/>
          <w:sz w:val="20"/>
          <w:szCs w:val="20"/>
        </w:rPr>
        <w:footnoteReference w:id="14"/>
      </w:r>
      <w:r w:rsidR="00315905" w:rsidRPr="00D2222C">
        <w:rPr>
          <w:rFonts w:ascii="Cambria" w:hAnsi="Cambria"/>
          <w:sz w:val="20"/>
          <w:szCs w:val="20"/>
        </w:rPr>
        <w:t xml:space="preserve"> </w:t>
      </w:r>
      <w:r w:rsidR="00EB55C1" w:rsidRPr="00D2222C">
        <w:rPr>
          <w:rFonts w:ascii="Cambria" w:hAnsi="Cambria"/>
          <w:sz w:val="20"/>
          <w:szCs w:val="20"/>
        </w:rPr>
        <w:t xml:space="preserve">In a memorandum sent </w:t>
      </w:r>
      <w:r w:rsidR="00EB55C1" w:rsidRPr="00D2222C">
        <w:rPr>
          <w:rFonts w:asciiTheme="majorHAnsi" w:hAnsiTheme="majorHAnsi" w:cs="Arial"/>
          <w:sz w:val="20"/>
          <w:szCs w:val="20"/>
        </w:rPr>
        <w:t>to trial counsel o</w:t>
      </w:r>
      <w:r w:rsidR="00EB55C1" w:rsidRPr="00D2222C">
        <w:rPr>
          <w:rFonts w:ascii="Cambria" w:hAnsi="Cambria"/>
          <w:sz w:val="20"/>
          <w:szCs w:val="20"/>
        </w:rPr>
        <w:t xml:space="preserve">n October 6, 1995, Tena Francis, </w:t>
      </w:r>
      <w:r w:rsidR="00EB55C1" w:rsidRPr="00D2222C">
        <w:rPr>
          <w:rFonts w:asciiTheme="majorHAnsi" w:hAnsiTheme="majorHAnsi" w:cs="Arial"/>
          <w:sz w:val="20"/>
          <w:szCs w:val="20"/>
        </w:rPr>
        <w:t>mitigati</w:t>
      </w:r>
      <w:r w:rsidR="00C674CD" w:rsidRPr="00D2222C">
        <w:rPr>
          <w:rFonts w:asciiTheme="majorHAnsi" w:hAnsiTheme="majorHAnsi" w:cs="Arial"/>
          <w:sz w:val="20"/>
          <w:szCs w:val="20"/>
        </w:rPr>
        <w:t>on specialist appointed by the c</w:t>
      </w:r>
      <w:r w:rsidR="00EB55C1" w:rsidRPr="00D2222C">
        <w:rPr>
          <w:rFonts w:asciiTheme="majorHAnsi" w:hAnsiTheme="majorHAnsi" w:cs="Arial"/>
          <w:sz w:val="20"/>
          <w:szCs w:val="20"/>
        </w:rPr>
        <w:t>ourt, stated th</w:t>
      </w:r>
      <w:r w:rsidR="0023061B" w:rsidRPr="00D2222C">
        <w:rPr>
          <w:rFonts w:asciiTheme="majorHAnsi" w:hAnsiTheme="majorHAnsi" w:cs="Arial"/>
          <w:sz w:val="20"/>
          <w:szCs w:val="20"/>
        </w:rPr>
        <w:t>e following:</w:t>
      </w:r>
    </w:p>
    <w:p w14:paraId="2EABA3E2" w14:textId="77777777" w:rsidR="0023061B" w:rsidRPr="00D2222C" w:rsidRDefault="0023061B" w:rsidP="00090720">
      <w:pPr>
        <w:pStyle w:val="ListParagraph"/>
        <w:ind w:firstLine="720"/>
        <w:rPr>
          <w:sz w:val="20"/>
          <w:szCs w:val="20"/>
        </w:rPr>
      </w:pPr>
    </w:p>
    <w:p w14:paraId="09BAE833" w14:textId="77777777" w:rsidR="0023061B" w:rsidRPr="00D2222C" w:rsidRDefault="0023061B" w:rsidP="000907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630" w:firstLine="720"/>
        <w:jc w:val="both"/>
        <w:textAlignment w:val="baseline"/>
        <w:rPr>
          <w:rFonts w:ascii="Cambria" w:hAnsi="Cambria"/>
          <w:sz w:val="20"/>
          <w:szCs w:val="20"/>
        </w:rPr>
      </w:pPr>
      <w:r w:rsidRPr="00D2222C">
        <w:rPr>
          <w:rFonts w:ascii="Cambria" w:hAnsi="Cambria"/>
          <w:sz w:val="20"/>
          <w:szCs w:val="20"/>
        </w:rPr>
        <w:t>“Little or no investigation has been conducted concerning the four co-defendants […] The two jailhouse informants […] must be investigated […] this[…] will be a critical aspect of the government’s punishment phase […] The government has listed 15 “reputation” witnesses to date. Each witnesses must be interviewed [</w:t>
      </w:r>
      <w:r w:rsidR="005456B2" w:rsidRPr="00D2222C">
        <w:rPr>
          <w:rFonts w:ascii="Cambria" w:hAnsi="Cambria"/>
          <w:sz w:val="20"/>
          <w:szCs w:val="20"/>
        </w:rPr>
        <w:t>…]</w:t>
      </w:r>
    </w:p>
    <w:p w14:paraId="626AB0DC" w14:textId="77777777" w:rsidR="005456B2" w:rsidRPr="00D2222C" w:rsidRDefault="005456B2" w:rsidP="000907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630" w:firstLine="720"/>
        <w:jc w:val="both"/>
        <w:textAlignment w:val="baseline"/>
        <w:rPr>
          <w:rFonts w:ascii="Cambria" w:hAnsi="Cambria"/>
          <w:sz w:val="20"/>
          <w:szCs w:val="20"/>
        </w:rPr>
      </w:pPr>
    </w:p>
    <w:p w14:paraId="320FDAF0" w14:textId="77777777" w:rsidR="005456B2" w:rsidRPr="00D2222C" w:rsidRDefault="005456B2" w:rsidP="000907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630" w:firstLine="720"/>
        <w:jc w:val="both"/>
        <w:textAlignment w:val="baseline"/>
        <w:rPr>
          <w:rFonts w:ascii="Cambria" w:hAnsi="Cambria"/>
          <w:sz w:val="20"/>
          <w:szCs w:val="20"/>
        </w:rPr>
      </w:pPr>
      <w:r w:rsidRPr="00D2222C">
        <w:rPr>
          <w:rFonts w:ascii="Cambria" w:hAnsi="Cambria"/>
          <w:sz w:val="20"/>
          <w:szCs w:val="20"/>
        </w:rPr>
        <w:t>The mitigation/social history investigation into the life of Orlando Hall is not complete […] This type of investigation takes time, though, as we […] are dealing with very private and sensitive issues. Gathering the information is only half the job, as the complete social history will then be used by your expert witnesses to complete their evaluation process.</w:t>
      </w:r>
    </w:p>
    <w:p w14:paraId="254EFC0F" w14:textId="77777777" w:rsidR="0023061B" w:rsidRPr="00D2222C" w:rsidRDefault="0023061B" w:rsidP="000907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630" w:firstLine="720"/>
        <w:jc w:val="both"/>
        <w:textAlignment w:val="baseline"/>
        <w:rPr>
          <w:rFonts w:asciiTheme="majorHAnsi" w:hAnsiTheme="majorHAnsi" w:cs="Arial"/>
          <w:sz w:val="20"/>
          <w:szCs w:val="20"/>
        </w:rPr>
      </w:pPr>
    </w:p>
    <w:p w14:paraId="6228A13E" w14:textId="77777777" w:rsidR="00547EB7" w:rsidRPr="00D2222C" w:rsidRDefault="00372F8E" w:rsidP="000907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630" w:firstLine="720"/>
        <w:jc w:val="both"/>
        <w:textAlignment w:val="baseline"/>
        <w:rPr>
          <w:rFonts w:ascii="Cambria" w:hAnsi="Cambria"/>
          <w:sz w:val="20"/>
          <w:szCs w:val="20"/>
        </w:rPr>
      </w:pPr>
      <w:r w:rsidRPr="00D2222C">
        <w:rPr>
          <w:rFonts w:asciiTheme="majorHAnsi" w:hAnsiTheme="majorHAnsi" w:cs="Arial"/>
          <w:sz w:val="20"/>
          <w:szCs w:val="20"/>
        </w:rPr>
        <w:t>T</w:t>
      </w:r>
      <w:r w:rsidR="00EB55C1" w:rsidRPr="00D2222C">
        <w:rPr>
          <w:rFonts w:asciiTheme="majorHAnsi" w:hAnsiTheme="majorHAnsi" w:cs="Arial"/>
          <w:sz w:val="20"/>
          <w:szCs w:val="20"/>
        </w:rPr>
        <w:t>he initial investigation has led to information that serious domestic violence existed in the family.</w:t>
      </w:r>
      <w:r w:rsidR="004850C2" w:rsidRPr="00D2222C">
        <w:rPr>
          <w:rFonts w:asciiTheme="majorHAnsi" w:hAnsiTheme="majorHAnsi" w:cs="Arial"/>
          <w:sz w:val="20"/>
          <w:szCs w:val="20"/>
        </w:rPr>
        <w:t xml:space="preserve"> The violence between Mr. Hall’s parents often extended to the children</w:t>
      </w:r>
      <w:r w:rsidRPr="00D2222C">
        <w:rPr>
          <w:rFonts w:asciiTheme="majorHAnsi" w:hAnsiTheme="majorHAnsi" w:cs="Arial"/>
          <w:sz w:val="20"/>
          <w:szCs w:val="20"/>
        </w:rPr>
        <w:t xml:space="preserve"> […] </w:t>
      </w:r>
      <w:r w:rsidR="00547EB7" w:rsidRPr="00D2222C">
        <w:rPr>
          <w:rFonts w:ascii="Cambria" w:hAnsi="Cambria"/>
          <w:sz w:val="20"/>
          <w:szCs w:val="20"/>
        </w:rPr>
        <w:t>The extent and effects of this trauma is not yet realized and more information needs to be developed. For the most part, the victims of, and witnesses to, and perpetrators of this abuse have never discussed it outside their family and there has been no counseling for any persons involved. For these reasons, the process of gathering information about Mr. Hall’s childhood is a slow one, as the investigator must first deal with a variety of emotions from the witnesses</w:t>
      </w:r>
      <w:r w:rsidR="00FF05BC" w:rsidRPr="00D2222C">
        <w:rPr>
          <w:rFonts w:ascii="Cambria" w:hAnsi="Cambria"/>
          <w:sz w:val="20"/>
          <w:szCs w:val="20"/>
        </w:rPr>
        <w:t xml:space="preserve"> [</w:t>
      </w:r>
      <w:r w:rsidR="00547EB7" w:rsidRPr="00D2222C">
        <w:rPr>
          <w:rFonts w:ascii="Cambria" w:hAnsi="Cambria"/>
          <w:sz w:val="20"/>
          <w:szCs w:val="20"/>
        </w:rPr>
        <w:t>…</w:t>
      </w:r>
      <w:r w:rsidR="00FF05BC" w:rsidRPr="00D2222C">
        <w:rPr>
          <w:rFonts w:ascii="Cambria" w:hAnsi="Cambria"/>
          <w:sz w:val="20"/>
          <w:szCs w:val="20"/>
        </w:rPr>
        <w:t>]</w:t>
      </w:r>
      <w:r w:rsidR="00547EB7" w:rsidRPr="00D2222C">
        <w:rPr>
          <w:rFonts w:ascii="Cambria" w:hAnsi="Cambria"/>
          <w:sz w:val="20"/>
          <w:szCs w:val="20"/>
        </w:rPr>
        <w:t xml:space="preserve"> in order to elicit the needed information.</w:t>
      </w:r>
      <w:r w:rsidR="00332152" w:rsidRPr="00D2222C">
        <w:rPr>
          <w:rFonts w:ascii="Cambria" w:hAnsi="Cambria"/>
          <w:sz w:val="20"/>
          <w:szCs w:val="20"/>
        </w:rPr>
        <w:t>”</w:t>
      </w:r>
      <w:r w:rsidR="00332152" w:rsidRPr="00D2222C">
        <w:rPr>
          <w:rStyle w:val="FootnoteReference"/>
          <w:rFonts w:ascii="Cambria" w:hAnsi="Cambria"/>
          <w:sz w:val="20"/>
          <w:szCs w:val="20"/>
        </w:rPr>
        <w:footnoteReference w:id="15"/>
      </w:r>
      <w:r w:rsidR="00547EB7" w:rsidRPr="00D2222C">
        <w:rPr>
          <w:rFonts w:ascii="Cambria" w:hAnsi="Cambria"/>
          <w:sz w:val="20"/>
          <w:szCs w:val="20"/>
        </w:rPr>
        <w:t xml:space="preserve"> </w:t>
      </w:r>
    </w:p>
    <w:p w14:paraId="4BBEA08A" w14:textId="77777777" w:rsidR="00EB55C1" w:rsidRPr="00D2222C" w:rsidRDefault="00EB55C1" w:rsidP="00090720">
      <w:pPr>
        <w:pStyle w:val="ListParagraph"/>
        <w:ind w:firstLine="720"/>
        <w:rPr>
          <w:sz w:val="20"/>
          <w:szCs w:val="20"/>
        </w:rPr>
      </w:pPr>
    </w:p>
    <w:p w14:paraId="6B219FE1" w14:textId="77777777" w:rsidR="00AC388E" w:rsidRPr="00D2222C" w:rsidRDefault="00184C6F"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rPr>
      </w:pPr>
      <w:r w:rsidRPr="00D2222C">
        <w:rPr>
          <w:rFonts w:ascii="Cambria" w:hAnsi="Cambria"/>
          <w:sz w:val="20"/>
          <w:szCs w:val="20"/>
        </w:rPr>
        <w:t>On October 31, 19</w:t>
      </w:r>
      <w:r w:rsidR="009F24AF" w:rsidRPr="00D2222C">
        <w:rPr>
          <w:rFonts w:ascii="Cambria" w:hAnsi="Cambria"/>
          <w:sz w:val="20"/>
          <w:szCs w:val="20"/>
        </w:rPr>
        <w:t xml:space="preserve">95, a jury convicted Mr. Hall of kidnapping in which a death occurred, conspiracy to commit kidnapping, traveling in interstate commerce to promote possession of marijuana with intent to distribute, and carrying a firearm during a crime of violence. After a subsequent punishment hearing, the jury recommended that Mr. Hall receive the death penalty. On February 12, 1996, the </w:t>
      </w:r>
      <w:r w:rsidR="00D63233" w:rsidRPr="00D2222C">
        <w:rPr>
          <w:rFonts w:ascii="Cambria" w:hAnsi="Cambria"/>
          <w:sz w:val="20"/>
          <w:szCs w:val="20"/>
        </w:rPr>
        <w:t>district court</w:t>
      </w:r>
      <w:r w:rsidR="009F24AF" w:rsidRPr="00D2222C">
        <w:rPr>
          <w:rFonts w:ascii="Cambria" w:hAnsi="Cambria"/>
          <w:sz w:val="20"/>
          <w:szCs w:val="20"/>
        </w:rPr>
        <w:t xml:space="preserve"> imposed the death penalty.</w:t>
      </w:r>
      <w:r w:rsidRPr="00D2222C">
        <w:rPr>
          <w:rFonts w:ascii="Cambria" w:hAnsi="Cambria"/>
          <w:sz w:val="20"/>
          <w:szCs w:val="20"/>
        </w:rPr>
        <w:t xml:space="preserve"> The case was appealed to the Fifth Circuit Court of Appeals</w:t>
      </w:r>
      <w:r w:rsidR="003C6480" w:rsidRPr="00D2222C">
        <w:rPr>
          <w:rFonts w:ascii="Cambria" w:hAnsi="Cambria"/>
          <w:sz w:val="20"/>
          <w:szCs w:val="20"/>
        </w:rPr>
        <w:t xml:space="preserve"> (“Fifth Circuit”)</w:t>
      </w:r>
      <w:r w:rsidRPr="00D2222C">
        <w:rPr>
          <w:rFonts w:ascii="Cambria" w:hAnsi="Cambria"/>
          <w:sz w:val="20"/>
          <w:szCs w:val="20"/>
        </w:rPr>
        <w:t>, which</w:t>
      </w:r>
      <w:r w:rsidR="00D5025B" w:rsidRPr="00D2222C">
        <w:rPr>
          <w:rFonts w:ascii="Cambria" w:hAnsi="Cambria"/>
          <w:sz w:val="20"/>
          <w:szCs w:val="20"/>
        </w:rPr>
        <w:t xml:space="preserve"> on August 21, 1998,</w:t>
      </w:r>
      <w:r w:rsidRPr="00D2222C">
        <w:rPr>
          <w:rFonts w:ascii="Cambria" w:hAnsi="Cambria"/>
          <w:sz w:val="20"/>
          <w:szCs w:val="20"/>
        </w:rPr>
        <w:t xml:space="preserve"> affirmed Mr. Hall’s conviction and sentence.</w:t>
      </w:r>
      <w:r w:rsidR="00AC388E" w:rsidRPr="00D2222C">
        <w:rPr>
          <w:rStyle w:val="FootnoteReference"/>
          <w:rFonts w:ascii="Cambria" w:hAnsi="Cambria"/>
          <w:sz w:val="20"/>
          <w:szCs w:val="20"/>
        </w:rPr>
        <w:footnoteReference w:id="16"/>
      </w:r>
      <w:r w:rsidRPr="00D2222C">
        <w:rPr>
          <w:rFonts w:ascii="Cambria" w:hAnsi="Cambria"/>
          <w:sz w:val="20"/>
          <w:szCs w:val="20"/>
        </w:rPr>
        <w:t xml:space="preserve"> </w:t>
      </w:r>
      <w:r w:rsidR="0036346A" w:rsidRPr="00D2222C">
        <w:rPr>
          <w:rFonts w:ascii="Cambria" w:hAnsi="Cambria"/>
          <w:sz w:val="20"/>
          <w:szCs w:val="20"/>
        </w:rPr>
        <w:t xml:space="preserve">Mr. Hall filed a petition for rehearing, which was denied on </w:t>
      </w:r>
      <w:r w:rsidR="0036346A" w:rsidRPr="00D2222C">
        <w:rPr>
          <w:rFonts w:ascii="Cambria" w:hAnsi="Cambria"/>
          <w:sz w:val="20"/>
          <w:szCs w:val="20"/>
        </w:rPr>
        <w:lastRenderedPageBreak/>
        <w:t>October 1, 1998. H</w:t>
      </w:r>
      <w:r w:rsidR="009C1691" w:rsidRPr="00D2222C">
        <w:rPr>
          <w:rFonts w:ascii="Cambria" w:hAnsi="Cambria"/>
          <w:sz w:val="20"/>
          <w:szCs w:val="20"/>
        </w:rPr>
        <w:t>e</w:t>
      </w:r>
      <w:r w:rsidR="0036346A" w:rsidRPr="00D2222C">
        <w:rPr>
          <w:rFonts w:ascii="Cambria" w:hAnsi="Cambria"/>
          <w:sz w:val="20"/>
          <w:szCs w:val="20"/>
        </w:rPr>
        <w:t xml:space="preserve"> then petitioned the </w:t>
      </w:r>
      <w:r w:rsidR="00D63233" w:rsidRPr="00D2222C">
        <w:rPr>
          <w:rFonts w:ascii="Cambria" w:hAnsi="Cambria"/>
          <w:sz w:val="20"/>
          <w:szCs w:val="20"/>
        </w:rPr>
        <w:t xml:space="preserve">United States </w:t>
      </w:r>
      <w:r w:rsidR="0036346A" w:rsidRPr="00D2222C">
        <w:rPr>
          <w:rFonts w:ascii="Cambria" w:hAnsi="Cambria"/>
          <w:sz w:val="20"/>
          <w:szCs w:val="20"/>
        </w:rPr>
        <w:t xml:space="preserve">Supreme Court for a writ of </w:t>
      </w:r>
      <w:r w:rsidR="0036346A" w:rsidRPr="00D2222C">
        <w:rPr>
          <w:rFonts w:ascii="Cambria" w:hAnsi="Cambria"/>
          <w:i/>
          <w:sz w:val="20"/>
          <w:szCs w:val="20"/>
        </w:rPr>
        <w:t>certiorari</w:t>
      </w:r>
      <w:r w:rsidR="0036346A" w:rsidRPr="00D2222C">
        <w:rPr>
          <w:rFonts w:ascii="Cambria" w:hAnsi="Cambria"/>
          <w:sz w:val="20"/>
          <w:szCs w:val="20"/>
        </w:rPr>
        <w:t>, which was denied on May 17, 1999.</w:t>
      </w:r>
      <w:r w:rsidR="009C1691" w:rsidRPr="00D2222C">
        <w:rPr>
          <w:rStyle w:val="FootnoteReference"/>
          <w:rFonts w:ascii="Cambria" w:hAnsi="Cambria"/>
          <w:sz w:val="20"/>
          <w:szCs w:val="20"/>
        </w:rPr>
        <w:footnoteReference w:id="17"/>
      </w:r>
      <w:r w:rsidR="0036346A" w:rsidRPr="00D2222C">
        <w:rPr>
          <w:rFonts w:ascii="Cambria" w:hAnsi="Cambria"/>
          <w:sz w:val="20"/>
          <w:szCs w:val="20"/>
        </w:rPr>
        <w:t xml:space="preserve"> </w:t>
      </w:r>
    </w:p>
    <w:p w14:paraId="03FF5B1A" w14:textId="77777777" w:rsidR="009F24AF" w:rsidRPr="00D2222C" w:rsidRDefault="009F24AF" w:rsidP="00090720">
      <w:pPr>
        <w:pStyle w:val="ListParagraph"/>
        <w:ind w:left="1440" w:hanging="720"/>
        <w:rPr>
          <w:rFonts w:asciiTheme="majorHAnsi" w:hAnsiTheme="majorHAnsi"/>
          <w:b/>
          <w:color w:val="auto"/>
          <w:sz w:val="20"/>
          <w:szCs w:val="20"/>
        </w:rPr>
      </w:pPr>
    </w:p>
    <w:p w14:paraId="76569855" w14:textId="77777777" w:rsidR="00912642" w:rsidRPr="00D2222C" w:rsidRDefault="00912642" w:rsidP="00090720">
      <w:pPr>
        <w:pStyle w:val="Heading2"/>
        <w:numPr>
          <w:ilvl w:val="0"/>
          <w:numId w:val="62"/>
        </w:numPr>
        <w:spacing w:before="0"/>
        <w:ind w:left="1440" w:hanging="720"/>
        <w:rPr>
          <w:color w:val="auto"/>
          <w:sz w:val="20"/>
          <w:szCs w:val="20"/>
        </w:rPr>
      </w:pPr>
      <w:bookmarkStart w:id="7" w:name="_Toc26550923"/>
      <w:r w:rsidRPr="00D2222C">
        <w:rPr>
          <w:color w:val="auto"/>
          <w:sz w:val="20"/>
          <w:szCs w:val="20"/>
        </w:rPr>
        <w:t>Post-conviction proceedings</w:t>
      </w:r>
      <w:bookmarkEnd w:id="7"/>
    </w:p>
    <w:p w14:paraId="731EF54E" w14:textId="77777777" w:rsidR="00E4390D" w:rsidRPr="00D2222C" w:rsidRDefault="00E4390D" w:rsidP="000907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1440" w:hanging="720"/>
        <w:jc w:val="both"/>
        <w:rPr>
          <w:rFonts w:asciiTheme="majorHAnsi" w:hAnsiTheme="majorHAnsi"/>
          <w:sz w:val="20"/>
          <w:szCs w:val="20"/>
        </w:rPr>
      </w:pPr>
    </w:p>
    <w:p w14:paraId="05B59811" w14:textId="77777777" w:rsidR="008A3434" w:rsidRPr="00D2222C" w:rsidRDefault="00507534"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rPr>
          <w:rFonts w:asciiTheme="majorHAnsi" w:hAnsiTheme="majorHAnsi"/>
          <w:sz w:val="20"/>
          <w:szCs w:val="20"/>
        </w:rPr>
      </w:pPr>
      <w:r w:rsidRPr="00D2222C">
        <w:rPr>
          <w:rFonts w:ascii="Cambria" w:hAnsi="Cambria"/>
          <w:sz w:val="20"/>
          <w:szCs w:val="20"/>
        </w:rPr>
        <w:t>Mr. Hall filed an initial motion to vacate his conviction and sentence, pursuant to 28 U.S.C. §</w:t>
      </w:r>
      <w:r w:rsidRPr="00D2222C">
        <w:rPr>
          <w:rFonts w:ascii="Cambria" w:hAnsi="Cambria"/>
          <w:sz w:val="20"/>
          <w:szCs w:val="20"/>
        </w:rPr>
        <w:t> </w:t>
      </w:r>
      <w:r w:rsidRPr="00D2222C">
        <w:rPr>
          <w:rFonts w:ascii="Cambria" w:hAnsi="Cambria"/>
          <w:sz w:val="20"/>
          <w:szCs w:val="20"/>
        </w:rPr>
        <w:t xml:space="preserve">2255, in May 2000. In June 2000, the district court granted </w:t>
      </w:r>
      <w:r w:rsidR="008A3434" w:rsidRPr="00D2222C">
        <w:rPr>
          <w:rFonts w:ascii="Cambria" w:hAnsi="Cambria"/>
          <w:sz w:val="20"/>
          <w:szCs w:val="20"/>
        </w:rPr>
        <w:t>the request</w:t>
      </w:r>
      <w:r w:rsidRPr="00D2222C">
        <w:rPr>
          <w:rFonts w:ascii="Cambria" w:hAnsi="Cambria"/>
          <w:sz w:val="20"/>
          <w:szCs w:val="20"/>
        </w:rPr>
        <w:t xml:space="preserve"> to file a discovery motion. </w:t>
      </w:r>
      <w:r w:rsidR="008A3434" w:rsidRPr="00D2222C">
        <w:rPr>
          <w:rFonts w:ascii="Cambria" w:hAnsi="Cambria"/>
          <w:sz w:val="20"/>
          <w:szCs w:val="20"/>
        </w:rPr>
        <w:t xml:space="preserve">Mr. </w:t>
      </w:r>
      <w:r w:rsidRPr="00D2222C">
        <w:rPr>
          <w:rFonts w:ascii="Cambria" w:hAnsi="Cambria"/>
          <w:sz w:val="20"/>
          <w:szCs w:val="20"/>
        </w:rPr>
        <w:t xml:space="preserve">Hall filed an initial discovery motion in August 2000 and a supplemental discovery motion in May 2001. The district court denied both motions in April 2002. </w:t>
      </w:r>
      <w:r w:rsidR="008A3434" w:rsidRPr="00D2222C">
        <w:rPr>
          <w:rFonts w:ascii="Cambria" w:hAnsi="Cambria"/>
          <w:sz w:val="20"/>
          <w:szCs w:val="20"/>
        </w:rPr>
        <w:t xml:space="preserve">Mr. </w:t>
      </w:r>
      <w:r w:rsidRPr="00D2222C">
        <w:rPr>
          <w:rFonts w:ascii="Cambria" w:hAnsi="Cambria"/>
          <w:sz w:val="20"/>
          <w:szCs w:val="20"/>
        </w:rPr>
        <w:t>Hall then filed a</w:t>
      </w:r>
      <w:r w:rsidR="006112EF" w:rsidRPr="00D2222C">
        <w:rPr>
          <w:rFonts w:ascii="Cambria" w:hAnsi="Cambria"/>
          <w:sz w:val="20"/>
          <w:szCs w:val="20"/>
        </w:rPr>
        <w:t>n amended</w:t>
      </w:r>
      <w:r w:rsidRPr="00D2222C">
        <w:rPr>
          <w:rFonts w:ascii="Cambria" w:hAnsi="Cambria"/>
          <w:sz w:val="20"/>
          <w:szCs w:val="20"/>
        </w:rPr>
        <w:t xml:space="preserve"> motion to vacate in June 2002, and an amended version of this motion to vacate in September 2002. In this second amended motion</w:t>
      </w:r>
      <w:r w:rsidR="008A3434" w:rsidRPr="00D2222C">
        <w:rPr>
          <w:rFonts w:ascii="Cambria" w:hAnsi="Cambria"/>
          <w:sz w:val="20"/>
          <w:szCs w:val="20"/>
        </w:rPr>
        <w:t xml:space="preserve"> he</w:t>
      </w:r>
      <w:r w:rsidRPr="00D2222C">
        <w:rPr>
          <w:rFonts w:ascii="Cambria" w:hAnsi="Cambria"/>
          <w:sz w:val="20"/>
          <w:szCs w:val="20"/>
        </w:rPr>
        <w:t xml:space="preserve"> raised twelve claims for relief from his conviction and sentence. </w:t>
      </w:r>
      <w:r w:rsidR="00180D3C" w:rsidRPr="00D2222C">
        <w:rPr>
          <w:rFonts w:ascii="Cambria" w:hAnsi="Cambria"/>
          <w:sz w:val="20"/>
          <w:szCs w:val="20"/>
        </w:rPr>
        <w:t xml:space="preserve">Mr. Hall </w:t>
      </w:r>
      <w:r w:rsidR="004A3DC4" w:rsidRPr="00D2222C">
        <w:rPr>
          <w:rFonts w:ascii="Cambria" w:hAnsi="Cambria"/>
          <w:sz w:val="20"/>
          <w:szCs w:val="20"/>
        </w:rPr>
        <w:t>claimed</w:t>
      </w:r>
      <w:r w:rsidR="00180D3C" w:rsidRPr="00D2222C">
        <w:rPr>
          <w:rFonts w:ascii="Cambria" w:hAnsi="Cambria"/>
          <w:sz w:val="20"/>
          <w:szCs w:val="20"/>
        </w:rPr>
        <w:t>, among other</w:t>
      </w:r>
      <w:r w:rsidR="008414A3" w:rsidRPr="00D2222C">
        <w:rPr>
          <w:rFonts w:ascii="Cambria" w:hAnsi="Cambria"/>
          <w:sz w:val="20"/>
          <w:szCs w:val="20"/>
        </w:rPr>
        <w:t>s</w:t>
      </w:r>
      <w:r w:rsidR="00180D3C" w:rsidRPr="00D2222C">
        <w:rPr>
          <w:rFonts w:ascii="Cambria" w:hAnsi="Cambria"/>
          <w:sz w:val="20"/>
          <w:szCs w:val="20"/>
        </w:rPr>
        <w:t>, ineffective</w:t>
      </w:r>
      <w:r w:rsidR="008A3434" w:rsidRPr="00D2222C">
        <w:rPr>
          <w:rFonts w:asciiTheme="majorHAnsi" w:hAnsiTheme="majorHAnsi"/>
          <w:sz w:val="20"/>
          <w:szCs w:val="20"/>
        </w:rPr>
        <w:t xml:space="preserve"> assistance of counsel</w:t>
      </w:r>
      <w:r w:rsidR="00180D3C" w:rsidRPr="00D2222C">
        <w:rPr>
          <w:rFonts w:asciiTheme="majorHAnsi" w:hAnsiTheme="majorHAnsi"/>
          <w:sz w:val="20"/>
          <w:szCs w:val="20"/>
        </w:rPr>
        <w:t>; failure</w:t>
      </w:r>
      <w:r w:rsidR="008A3434" w:rsidRPr="00D2222C">
        <w:rPr>
          <w:rFonts w:asciiTheme="majorHAnsi" w:hAnsiTheme="majorHAnsi"/>
          <w:sz w:val="20"/>
          <w:szCs w:val="20"/>
        </w:rPr>
        <w:t xml:space="preserve"> to disclose exculpatory and mitigating information concerning g</w:t>
      </w:r>
      <w:r w:rsidR="00180D3C" w:rsidRPr="00D2222C">
        <w:rPr>
          <w:rFonts w:asciiTheme="majorHAnsi" w:hAnsiTheme="majorHAnsi"/>
          <w:sz w:val="20"/>
          <w:szCs w:val="20"/>
        </w:rPr>
        <w:t>overnment witness Larry Nichols;</w:t>
      </w:r>
      <w:r w:rsidR="008A3434" w:rsidRPr="00D2222C">
        <w:rPr>
          <w:rFonts w:asciiTheme="majorHAnsi" w:hAnsiTheme="majorHAnsi"/>
          <w:sz w:val="20"/>
          <w:szCs w:val="20"/>
        </w:rPr>
        <w:t xml:space="preserve"> </w:t>
      </w:r>
      <w:r w:rsidR="004F2694" w:rsidRPr="00D2222C">
        <w:rPr>
          <w:rFonts w:asciiTheme="majorHAnsi" w:hAnsiTheme="majorHAnsi"/>
          <w:sz w:val="20"/>
          <w:szCs w:val="20"/>
        </w:rPr>
        <w:t xml:space="preserve">and </w:t>
      </w:r>
      <w:r w:rsidR="008A3434" w:rsidRPr="00D2222C">
        <w:rPr>
          <w:rFonts w:asciiTheme="majorHAnsi" w:hAnsiTheme="majorHAnsi"/>
          <w:sz w:val="20"/>
          <w:szCs w:val="20"/>
        </w:rPr>
        <w:t>racially discriminatory effects of the federal capital sentence scheme.</w:t>
      </w:r>
      <w:r w:rsidR="00AC4106" w:rsidRPr="00D2222C">
        <w:rPr>
          <w:rStyle w:val="FootnoteReference"/>
          <w:rFonts w:asciiTheme="majorHAnsi" w:hAnsiTheme="majorHAnsi"/>
          <w:sz w:val="20"/>
          <w:szCs w:val="20"/>
        </w:rPr>
        <w:footnoteReference w:id="18"/>
      </w:r>
    </w:p>
    <w:p w14:paraId="229778DA" w14:textId="77777777" w:rsidR="00C101BC" w:rsidRPr="00D2222C" w:rsidRDefault="00C101BC" w:rsidP="009E384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720"/>
        <w:jc w:val="both"/>
        <w:rPr>
          <w:rFonts w:ascii="Cambria" w:hAnsi="Cambria"/>
          <w:sz w:val="20"/>
          <w:szCs w:val="20"/>
        </w:rPr>
      </w:pPr>
    </w:p>
    <w:p w14:paraId="28041146" w14:textId="77777777" w:rsidR="005008C7" w:rsidRPr="00D2222C" w:rsidRDefault="008414A3" w:rsidP="009E3847">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rPr>
      </w:pPr>
      <w:r w:rsidRPr="00D2222C">
        <w:rPr>
          <w:rFonts w:ascii="Cambria" w:hAnsi="Cambria"/>
          <w:sz w:val="20"/>
          <w:szCs w:val="20"/>
        </w:rPr>
        <w:t>The government argued</w:t>
      </w:r>
      <w:r w:rsidR="002A05B1" w:rsidRPr="00D2222C">
        <w:rPr>
          <w:rFonts w:ascii="Cambria" w:hAnsi="Cambria"/>
          <w:sz w:val="20"/>
          <w:szCs w:val="20"/>
        </w:rPr>
        <w:t xml:space="preserve"> that most of the claims were procedural</w:t>
      </w:r>
      <w:r w:rsidRPr="00D2222C">
        <w:rPr>
          <w:rFonts w:ascii="Cambria" w:hAnsi="Cambria"/>
          <w:sz w:val="20"/>
          <w:szCs w:val="20"/>
        </w:rPr>
        <w:t>ly</w:t>
      </w:r>
      <w:r w:rsidR="002A05B1" w:rsidRPr="00D2222C">
        <w:rPr>
          <w:rFonts w:ascii="Cambria" w:hAnsi="Cambria"/>
          <w:sz w:val="20"/>
          <w:szCs w:val="20"/>
        </w:rPr>
        <w:t xml:space="preserve"> barred because they were not raised in direct appeal,</w:t>
      </w:r>
      <w:r w:rsidRPr="00D2222C">
        <w:rPr>
          <w:rFonts w:ascii="Cambria" w:hAnsi="Cambria"/>
          <w:sz w:val="20"/>
          <w:szCs w:val="20"/>
        </w:rPr>
        <w:t xml:space="preserve"> and</w:t>
      </w:r>
      <w:r w:rsidR="002A05B1" w:rsidRPr="00D2222C">
        <w:rPr>
          <w:rFonts w:ascii="Cambria" w:hAnsi="Cambria"/>
          <w:sz w:val="20"/>
          <w:szCs w:val="20"/>
        </w:rPr>
        <w:t xml:space="preserve"> the district court found that six claims were based on new facts</w:t>
      </w:r>
      <w:r w:rsidR="007771C5" w:rsidRPr="00D2222C">
        <w:rPr>
          <w:rFonts w:ascii="Cambria" w:hAnsi="Cambria"/>
          <w:sz w:val="20"/>
          <w:szCs w:val="20"/>
        </w:rPr>
        <w:t>. A</w:t>
      </w:r>
      <w:r w:rsidR="004A3DC4" w:rsidRPr="00D2222C">
        <w:rPr>
          <w:rFonts w:ascii="Cambria" w:hAnsi="Cambria"/>
          <w:sz w:val="20"/>
          <w:szCs w:val="20"/>
        </w:rPr>
        <w:t xml:space="preserve">lthough the </w:t>
      </w:r>
      <w:r w:rsidRPr="00D2222C">
        <w:rPr>
          <w:rFonts w:ascii="Cambria" w:hAnsi="Cambria"/>
          <w:sz w:val="20"/>
          <w:szCs w:val="20"/>
        </w:rPr>
        <w:t>remaining</w:t>
      </w:r>
      <w:r w:rsidR="007771C5" w:rsidRPr="00D2222C">
        <w:rPr>
          <w:rFonts w:ascii="Cambria" w:hAnsi="Cambria"/>
          <w:sz w:val="20"/>
          <w:szCs w:val="20"/>
        </w:rPr>
        <w:t xml:space="preserve"> claims </w:t>
      </w:r>
      <w:r w:rsidR="004A3DC4" w:rsidRPr="00D2222C">
        <w:rPr>
          <w:rFonts w:ascii="Cambria" w:hAnsi="Cambria"/>
          <w:sz w:val="20"/>
          <w:szCs w:val="20"/>
        </w:rPr>
        <w:t xml:space="preserve">were not raised on direct appeal and were not based on new law or facts, </w:t>
      </w:r>
      <w:r w:rsidR="007771C5" w:rsidRPr="00D2222C">
        <w:rPr>
          <w:rFonts w:ascii="Cambria" w:hAnsi="Cambria"/>
          <w:sz w:val="20"/>
          <w:szCs w:val="20"/>
        </w:rPr>
        <w:t>the court</w:t>
      </w:r>
      <w:r w:rsidR="002A05B1" w:rsidRPr="00D2222C">
        <w:rPr>
          <w:rFonts w:ascii="Cambria" w:hAnsi="Cambria"/>
          <w:sz w:val="20"/>
          <w:szCs w:val="20"/>
        </w:rPr>
        <w:t xml:space="preserve"> decided </w:t>
      </w:r>
      <w:r w:rsidR="00E71FD7" w:rsidRPr="00D2222C">
        <w:rPr>
          <w:rFonts w:ascii="Cambria" w:hAnsi="Cambria"/>
          <w:sz w:val="20"/>
          <w:szCs w:val="20"/>
        </w:rPr>
        <w:t xml:space="preserve">to address </w:t>
      </w:r>
      <w:r w:rsidR="004A3DC4" w:rsidRPr="00D2222C">
        <w:rPr>
          <w:rFonts w:ascii="Cambria" w:hAnsi="Cambria"/>
          <w:sz w:val="20"/>
          <w:szCs w:val="20"/>
        </w:rPr>
        <w:t>them</w:t>
      </w:r>
      <w:r w:rsidR="00E71FD7" w:rsidRPr="00D2222C">
        <w:rPr>
          <w:rFonts w:ascii="Cambria" w:hAnsi="Cambria"/>
          <w:sz w:val="20"/>
          <w:szCs w:val="20"/>
        </w:rPr>
        <w:t xml:space="preserve"> as Mr. Hall had alleged </w:t>
      </w:r>
      <w:r w:rsidR="00A5251F" w:rsidRPr="00D2222C">
        <w:rPr>
          <w:rFonts w:ascii="Cambria" w:hAnsi="Cambria"/>
          <w:sz w:val="20"/>
          <w:szCs w:val="20"/>
        </w:rPr>
        <w:t>ineffective assistance of</w:t>
      </w:r>
      <w:r w:rsidR="00E71FD7" w:rsidRPr="00D2222C">
        <w:rPr>
          <w:rFonts w:ascii="Cambria" w:hAnsi="Cambria"/>
          <w:sz w:val="20"/>
          <w:szCs w:val="20"/>
        </w:rPr>
        <w:t xml:space="preserve"> his appellate counsel. </w:t>
      </w:r>
      <w:r w:rsidR="005008C7" w:rsidRPr="00D2222C">
        <w:rPr>
          <w:rFonts w:ascii="Cambria" w:eastAsia="Arial Unicode MS" w:hAnsi="Cambria"/>
          <w:sz w:val="20"/>
          <w:szCs w:val="20"/>
          <w:bdr w:val="nil"/>
        </w:rPr>
        <w:t>On June 7, 2004, the district court conducted an evidentiary hearing limited to the issue of the extraneous influence on the jury raised by Mr. Hall and o</w:t>
      </w:r>
      <w:r w:rsidR="00E71FD7" w:rsidRPr="00D2222C">
        <w:rPr>
          <w:rFonts w:ascii="Cambria" w:eastAsia="Arial Unicode MS" w:hAnsi="Cambria"/>
          <w:sz w:val="20"/>
          <w:szCs w:val="20"/>
          <w:bdr w:val="nil"/>
        </w:rPr>
        <w:t xml:space="preserve">n August 24, 2004, </w:t>
      </w:r>
      <w:r w:rsidR="005008C7" w:rsidRPr="00D2222C">
        <w:rPr>
          <w:rFonts w:ascii="Cambria" w:eastAsia="Arial Unicode MS" w:hAnsi="Cambria"/>
          <w:sz w:val="20"/>
          <w:szCs w:val="20"/>
          <w:bdr w:val="nil"/>
        </w:rPr>
        <w:t>it</w:t>
      </w:r>
      <w:r w:rsidR="00E71FD7" w:rsidRPr="00D2222C">
        <w:rPr>
          <w:rFonts w:ascii="Cambria" w:eastAsia="Arial Unicode MS" w:hAnsi="Cambria"/>
          <w:sz w:val="20"/>
          <w:szCs w:val="20"/>
          <w:bdr w:val="nil"/>
        </w:rPr>
        <w:t xml:space="preserve"> issued a</w:t>
      </w:r>
      <w:r w:rsidR="004D4A6A" w:rsidRPr="00D2222C">
        <w:rPr>
          <w:rFonts w:ascii="Cambria" w:eastAsia="Arial Unicode MS" w:hAnsi="Cambria"/>
          <w:sz w:val="20"/>
          <w:szCs w:val="20"/>
          <w:bdr w:val="nil"/>
        </w:rPr>
        <w:t xml:space="preserve"> memorandum</w:t>
      </w:r>
      <w:r w:rsidR="00E71FD7" w:rsidRPr="00D2222C">
        <w:rPr>
          <w:rFonts w:ascii="Cambria" w:eastAsia="Arial Unicode MS" w:hAnsi="Cambria"/>
          <w:sz w:val="20"/>
          <w:szCs w:val="20"/>
          <w:bdr w:val="nil"/>
        </w:rPr>
        <w:t xml:space="preserve"> opinion and order, denying all of the claims presented in Mr. Hall's §</w:t>
      </w:r>
      <w:r w:rsidR="00E71FD7" w:rsidRPr="00D2222C">
        <w:rPr>
          <w:rFonts w:ascii="Cambria" w:eastAsia="Arial Unicode MS" w:hAnsi="Cambria"/>
          <w:sz w:val="20"/>
          <w:szCs w:val="20"/>
          <w:bdr w:val="nil"/>
        </w:rPr>
        <w:t> </w:t>
      </w:r>
      <w:r w:rsidR="00E71FD7" w:rsidRPr="00D2222C">
        <w:rPr>
          <w:rFonts w:ascii="Cambria" w:eastAsia="Arial Unicode MS" w:hAnsi="Cambria"/>
          <w:sz w:val="20"/>
          <w:szCs w:val="20"/>
          <w:bdr w:val="nil"/>
        </w:rPr>
        <w:t>2255 motion for relief.</w:t>
      </w:r>
      <w:r w:rsidR="00717B70" w:rsidRPr="00D2222C">
        <w:rPr>
          <w:rFonts w:ascii="Cambria" w:eastAsia="Arial Unicode MS" w:hAnsi="Cambria"/>
          <w:sz w:val="20"/>
          <w:szCs w:val="20"/>
          <w:bdr w:val="nil"/>
        </w:rPr>
        <w:t xml:space="preserve"> </w:t>
      </w:r>
    </w:p>
    <w:p w14:paraId="3F17683F" w14:textId="77777777" w:rsidR="005008C7" w:rsidRPr="00D2222C" w:rsidRDefault="005008C7" w:rsidP="009E3847">
      <w:pPr>
        <w:pStyle w:val="ListParagraph"/>
        <w:rPr>
          <w:rFonts w:eastAsia="Arial Unicode MS"/>
          <w:sz w:val="20"/>
          <w:szCs w:val="20"/>
        </w:rPr>
      </w:pPr>
    </w:p>
    <w:p w14:paraId="00070D1C" w14:textId="77777777" w:rsidR="004A3DC4" w:rsidRPr="00D2222C" w:rsidRDefault="008414A3" w:rsidP="009E3847">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rPr>
      </w:pPr>
      <w:r w:rsidRPr="00D2222C">
        <w:rPr>
          <w:rFonts w:ascii="Cambria" w:eastAsia="Arial Unicode MS" w:hAnsi="Cambria"/>
          <w:sz w:val="20"/>
          <w:szCs w:val="20"/>
          <w:bdr w:val="nil"/>
        </w:rPr>
        <w:t>Regarding the claim of</w:t>
      </w:r>
      <w:r w:rsidR="00717B70" w:rsidRPr="00D2222C">
        <w:rPr>
          <w:rFonts w:ascii="Cambria" w:eastAsia="Arial Unicode MS" w:hAnsi="Cambria"/>
          <w:sz w:val="20"/>
          <w:szCs w:val="20"/>
          <w:bdr w:val="nil"/>
        </w:rPr>
        <w:t xml:space="preserve"> ineffective assistance of counsel, the court rule</w:t>
      </w:r>
      <w:r w:rsidR="005008C7" w:rsidRPr="00D2222C">
        <w:rPr>
          <w:rFonts w:ascii="Cambria" w:eastAsia="Arial Unicode MS" w:hAnsi="Cambria"/>
          <w:sz w:val="20"/>
          <w:szCs w:val="20"/>
          <w:bdr w:val="nil"/>
        </w:rPr>
        <w:t>d</w:t>
      </w:r>
      <w:r w:rsidR="00717B70" w:rsidRPr="00D2222C">
        <w:rPr>
          <w:rFonts w:ascii="Cambria" w:eastAsia="Arial Unicode MS" w:hAnsi="Cambria"/>
          <w:sz w:val="20"/>
          <w:szCs w:val="20"/>
          <w:bdr w:val="nil"/>
        </w:rPr>
        <w:t>, among others:</w:t>
      </w:r>
      <w:r w:rsidR="00717B70" w:rsidRPr="00D2222C">
        <w:rPr>
          <w:rStyle w:val="FootnoteReference"/>
          <w:rFonts w:ascii="Cambria" w:eastAsia="Arial Unicode MS" w:hAnsi="Cambria"/>
          <w:sz w:val="20"/>
          <w:szCs w:val="20"/>
          <w:bdr w:val="nil"/>
        </w:rPr>
        <w:t xml:space="preserve"> </w:t>
      </w:r>
      <w:r w:rsidR="00717B70" w:rsidRPr="00D2222C">
        <w:rPr>
          <w:rStyle w:val="FootnoteReference"/>
          <w:rFonts w:ascii="Cambria" w:eastAsia="Arial Unicode MS" w:hAnsi="Cambria"/>
          <w:sz w:val="20"/>
          <w:szCs w:val="20"/>
          <w:bdr w:val="nil"/>
        </w:rPr>
        <w:footnoteReference w:id="19"/>
      </w:r>
    </w:p>
    <w:p w14:paraId="298EA4F1" w14:textId="77777777" w:rsidR="004A3DC4" w:rsidRPr="00D2222C" w:rsidRDefault="004A3DC4" w:rsidP="004A3DC4">
      <w:pPr>
        <w:pStyle w:val="ListParagraph"/>
        <w:rPr>
          <w:rFonts w:eastAsia="Arial Unicode MS"/>
          <w:sz w:val="20"/>
          <w:szCs w:val="20"/>
        </w:rPr>
      </w:pPr>
    </w:p>
    <w:p w14:paraId="605A8D1D" w14:textId="77777777" w:rsidR="00054E1B" w:rsidRPr="00D2222C" w:rsidRDefault="005E6EE3" w:rsidP="00BB5A59">
      <w:pPr>
        <w:pStyle w:val="NormalWeb"/>
        <w:numPr>
          <w:ilvl w:val="0"/>
          <w:numId w:val="58"/>
        </w:numPr>
        <w:shd w:val="clear" w:color="auto" w:fill="FFFFFF"/>
        <w:spacing w:before="0" w:beforeAutospacing="0" w:after="0" w:afterAutospacing="0"/>
        <w:jc w:val="both"/>
        <w:rPr>
          <w:rFonts w:ascii="Cambria" w:eastAsia="Arial Unicode MS" w:hAnsi="Cambria"/>
          <w:sz w:val="20"/>
          <w:szCs w:val="20"/>
          <w:bdr w:val="nil"/>
        </w:rPr>
      </w:pPr>
      <w:r w:rsidRPr="00D2222C">
        <w:rPr>
          <w:rFonts w:ascii="Cambria" w:eastAsia="Arial Unicode MS" w:hAnsi="Cambria"/>
          <w:sz w:val="20"/>
          <w:szCs w:val="20"/>
          <w:bdr w:val="nil"/>
        </w:rPr>
        <w:t>Mr. Hall contended that his trial counsel</w:t>
      </w:r>
      <w:r w:rsidR="00525278" w:rsidRPr="00D2222C">
        <w:rPr>
          <w:rFonts w:ascii="Cambria" w:eastAsia="Arial Unicode MS" w:hAnsi="Cambria"/>
          <w:sz w:val="20"/>
          <w:szCs w:val="20"/>
          <w:bdr w:val="nil"/>
        </w:rPr>
        <w:t>s</w:t>
      </w:r>
      <w:r w:rsidRPr="00D2222C">
        <w:rPr>
          <w:rFonts w:ascii="Cambria" w:eastAsia="Arial Unicode MS" w:hAnsi="Cambria"/>
          <w:sz w:val="20"/>
          <w:szCs w:val="20"/>
          <w:bdr w:val="nil"/>
        </w:rPr>
        <w:t xml:space="preserve"> were ineffective for failing to conduct a timely investigation </w:t>
      </w:r>
      <w:r w:rsidR="008414A3" w:rsidRPr="00D2222C">
        <w:rPr>
          <w:rFonts w:ascii="Cambria" w:eastAsia="Arial Unicode MS" w:hAnsi="Cambria"/>
          <w:sz w:val="20"/>
          <w:szCs w:val="20"/>
          <w:bdr w:val="nil"/>
        </w:rPr>
        <w:t xml:space="preserve">of </w:t>
      </w:r>
      <w:r w:rsidRPr="00D2222C">
        <w:rPr>
          <w:rFonts w:ascii="Cambria" w:eastAsia="Arial Unicode MS" w:hAnsi="Cambria"/>
          <w:sz w:val="20"/>
          <w:szCs w:val="20"/>
          <w:bdr w:val="nil"/>
        </w:rPr>
        <w:t>potential mitigating evidence. Specifically, he faulted counsel for not conducting adequate investigation on their own between the time they were appointed on March 21, 1995, and the beginning of the trial</w:t>
      </w:r>
      <w:r w:rsidR="008414A3" w:rsidRPr="00D2222C">
        <w:rPr>
          <w:rFonts w:ascii="Cambria" w:eastAsia="Arial Unicode MS" w:hAnsi="Cambria"/>
          <w:sz w:val="20"/>
          <w:szCs w:val="20"/>
          <w:bdr w:val="nil"/>
        </w:rPr>
        <w:t>;</w:t>
      </w:r>
      <w:r w:rsidRPr="00D2222C">
        <w:rPr>
          <w:rFonts w:ascii="Cambria" w:eastAsia="Arial Unicode MS" w:hAnsi="Cambria"/>
          <w:sz w:val="20"/>
          <w:szCs w:val="20"/>
          <w:bdr w:val="nil"/>
        </w:rPr>
        <w:t xml:space="preserve"> failing to seek the assistance of a mitigation expert until September 7, 1995</w:t>
      </w:r>
      <w:r w:rsidR="008414A3" w:rsidRPr="00D2222C">
        <w:rPr>
          <w:rFonts w:ascii="Cambria" w:eastAsia="Arial Unicode MS" w:hAnsi="Cambria"/>
          <w:sz w:val="20"/>
          <w:szCs w:val="20"/>
          <w:bdr w:val="nil"/>
        </w:rPr>
        <w:t>;</w:t>
      </w:r>
      <w:r w:rsidRPr="00D2222C">
        <w:rPr>
          <w:rFonts w:ascii="Cambria" w:eastAsia="Arial Unicode MS" w:hAnsi="Cambria"/>
          <w:sz w:val="20"/>
          <w:szCs w:val="20"/>
          <w:bdr w:val="nil"/>
        </w:rPr>
        <w:t xml:space="preserve"> and not meeting with the appointed mitigation expert until September 15, 1995, when the voir-dire portion of the trial began on October 1, 1995.</w:t>
      </w:r>
      <w:r w:rsidR="007977A5" w:rsidRPr="00D2222C">
        <w:rPr>
          <w:rFonts w:ascii="Cambria" w:eastAsia="Arial Unicode MS" w:hAnsi="Cambria"/>
          <w:sz w:val="20"/>
          <w:szCs w:val="20"/>
          <w:bdr w:val="nil"/>
        </w:rPr>
        <w:t xml:space="preserve"> The district court </w:t>
      </w:r>
      <w:r w:rsidR="008414A3" w:rsidRPr="00D2222C">
        <w:rPr>
          <w:rFonts w:ascii="Cambria" w:eastAsia="Arial Unicode MS" w:hAnsi="Cambria"/>
          <w:sz w:val="20"/>
          <w:szCs w:val="20"/>
          <w:bdr w:val="nil"/>
        </w:rPr>
        <w:t xml:space="preserve">found </w:t>
      </w:r>
      <w:r w:rsidR="007977A5" w:rsidRPr="00D2222C">
        <w:rPr>
          <w:rFonts w:ascii="Cambria" w:eastAsia="Arial Unicode MS" w:hAnsi="Cambria"/>
          <w:sz w:val="20"/>
          <w:szCs w:val="20"/>
          <w:bdr w:val="nil"/>
        </w:rPr>
        <w:t xml:space="preserve">that prior counsel in Mr. Hall’s case had </w:t>
      </w:r>
      <w:r w:rsidR="00DD1E65" w:rsidRPr="00D2222C">
        <w:rPr>
          <w:rFonts w:ascii="Cambria" w:eastAsia="Arial Unicode MS" w:hAnsi="Cambria"/>
          <w:sz w:val="20"/>
          <w:szCs w:val="20"/>
          <w:bdr w:val="nil"/>
        </w:rPr>
        <w:t>required</w:t>
      </w:r>
      <w:r w:rsidR="007977A5" w:rsidRPr="00D2222C">
        <w:rPr>
          <w:rFonts w:ascii="Cambria" w:eastAsia="Arial Unicode MS" w:hAnsi="Cambria"/>
          <w:sz w:val="20"/>
          <w:szCs w:val="20"/>
          <w:bdr w:val="nil"/>
        </w:rPr>
        <w:t xml:space="preserve"> him </w:t>
      </w:r>
      <w:r w:rsidR="00DD1E65" w:rsidRPr="00D2222C">
        <w:rPr>
          <w:rFonts w:ascii="Cambria" w:eastAsia="Arial Unicode MS" w:hAnsi="Cambria"/>
          <w:sz w:val="20"/>
          <w:szCs w:val="20"/>
          <w:bdr w:val="nil"/>
        </w:rPr>
        <w:t xml:space="preserve">to complete a nineteen-page questionnaire entitled “Client Background Information” and traveled to Mr. Hall’s hometown of El Dorado, in Arkansas, where he interviewed family members and other persons familiar with Mr. Hall. </w:t>
      </w:r>
      <w:r w:rsidR="00835F5A" w:rsidRPr="00D2222C">
        <w:rPr>
          <w:rFonts w:ascii="Cambria" w:eastAsia="Arial Unicode MS" w:hAnsi="Cambria"/>
          <w:sz w:val="20"/>
          <w:szCs w:val="20"/>
          <w:bdr w:val="nil"/>
        </w:rPr>
        <w:t xml:space="preserve">It </w:t>
      </w:r>
      <w:r w:rsidR="003D79BC" w:rsidRPr="00D2222C">
        <w:rPr>
          <w:rFonts w:ascii="Cambria" w:eastAsia="Arial Unicode MS" w:hAnsi="Cambria"/>
          <w:sz w:val="20"/>
          <w:szCs w:val="20"/>
          <w:bdr w:val="nil"/>
        </w:rPr>
        <w:t xml:space="preserve">also indicated that prior counsel turned over to trial counsel both his notes of the interviews and the questionnaire. </w:t>
      </w:r>
      <w:r w:rsidR="00835F5A" w:rsidRPr="00D2222C">
        <w:rPr>
          <w:rFonts w:ascii="Cambria" w:eastAsia="Arial Unicode MS" w:hAnsi="Cambria"/>
          <w:sz w:val="20"/>
          <w:szCs w:val="20"/>
          <w:bdr w:val="nil"/>
        </w:rPr>
        <w:t xml:space="preserve">The court </w:t>
      </w:r>
      <w:r w:rsidR="003D79BC" w:rsidRPr="00D2222C">
        <w:rPr>
          <w:rFonts w:ascii="Cambria" w:eastAsia="Arial Unicode MS" w:hAnsi="Cambria"/>
          <w:sz w:val="20"/>
          <w:szCs w:val="20"/>
          <w:bdr w:val="nil"/>
        </w:rPr>
        <w:t xml:space="preserve">further noted that a mitigation specialist was officially appointed by the court on September 14, 1995, and first met with defense counsel and Mr. Hall the following day. </w:t>
      </w:r>
      <w:r w:rsidR="0095641C" w:rsidRPr="00D2222C">
        <w:rPr>
          <w:rFonts w:ascii="Cambria" w:eastAsia="Arial Unicode MS" w:hAnsi="Cambria"/>
          <w:sz w:val="20"/>
          <w:szCs w:val="20"/>
          <w:bdr w:val="nil"/>
        </w:rPr>
        <w:t>The court stated that, prior to the punishment phase of trial which began on November 1, 1995, the mitigation specialist submitted two investigative memoranda to trial counsel dated October 23 and 25, 1995.</w:t>
      </w:r>
      <w:r w:rsidR="00374940" w:rsidRPr="00D2222C">
        <w:rPr>
          <w:rFonts w:ascii="Cambria" w:eastAsia="Arial Unicode MS" w:hAnsi="Cambria"/>
          <w:sz w:val="20"/>
          <w:szCs w:val="20"/>
          <w:bdr w:val="nil"/>
        </w:rPr>
        <w:t xml:space="preserve"> It also noted that, at the punishment phase, defense counsel presented testimony, among others, from an operations manager from the federal detention center where Mr. Hall was </w:t>
      </w:r>
      <w:r w:rsidR="007B2769" w:rsidRPr="00D2222C">
        <w:rPr>
          <w:rFonts w:ascii="Cambria" w:eastAsia="Arial Unicode MS" w:hAnsi="Cambria"/>
          <w:sz w:val="20"/>
          <w:szCs w:val="20"/>
          <w:bdr w:val="nil"/>
        </w:rPr>
        <w:t>housed,</w:t>
      </w:r>
      <w:r w:rsidR="00374940" w:rsidRPr="00D2222C">
        <w:rPr>
          <w:rFonts w:ascii="Cambria" w:eastAsia="Arial Unicode MS" w:hAnsi="Cambria"/>
          <w:sz w:val="20"/>
          <w:szCs w:val="20"/>
          <w:bdr w:val="nil"/>
        </w:rPr>
        <w:t xml:space="preserve"> who testified</w:t>
      </w:r>
      <w:r w:rsidR="007B2769" w:rsidRPr="00D2222C">
        <w:rPr>
          <w:rFonts w:ascii="Cambria" w:eastAsia="Arial Unicode MS" w:hAnsi="Cambria"/>
          <w:sz w:val="20"/>
          <w:szCs w:val="20"/>
          <w:bdr w:val="nil"/>
        </w:rPr>
        <w:t xml:space="preserve"> that he had no record of any disciplinary problems with Mr. Hall, and Mr. Hall’s mother and sister.</w:t>
      </w:r>
      <w:r w:rsidR="0030600F" w:rsidRPr="00D2222C">
        <w:rPr>
          <w:rFonts w:ascii="Cambria" w:eastAsia="Arial Unicode MS" w:hAnsi="Cambria"/>
          <w:sz w:val="20"/>
          <w:szCs w:val="20"/>
          <w:bdr w:val="nil"/>
        </w:rPr>
        <w:t xml:space="preserve"> The court concluded that counsel performed a reasonably substantial and independent investigation into potential mitigating circumstances and therefore did not provide ineffective assistance.</w:t>
      </w:r>
    </w:p>
    <w:p w14:paraId="0CE477AA" w14:textId="77777777" w:rsidR="00BE6182" w:rsidRPr="00D2222C" w:rsidRDefault="00BE6182" w:rsidP="00BE6182">
      <w:pPr>
        <w:pStyle w:val="ListParagraph"/>
        <w:rPr>
          <w:rFonts w:eastAsia="Arial Unicode MS"/>
          <w:sz w:val="20"/>
          <w:szCs w:val="20"/>
        </w:rPr>
      </w:pPr>
    </w:p>
    <w:p w14:paraId="33CF7E57" w14:textId="77777777" w:rsidR="0094702E" w:rsidRPr="00D2222C" w:rsidRDefault="00BE6182" w:rsidP="00BB5A59">
      <w:pPr>
        <w:pStyle w:val="NormalWeb"/>
        <w:numPr>
          <w:ilvl w:val="0"/>
          <w:numId w:val="58"/>
        </w:numPr>
        <w:shd w:val="clear" w:color="auto" w:fill="FFFFFF"/>
        <w:spacing w:before="0" w:beforeAutospacing="0" w:after="0" w:afterAutospacing="0"/>
        <w:jc w:val="both"/>
        <w:rPr>
          <w:rFonts w:ascii="Cambria" w:eastAsia="Arial Unicode MS" w:hAnsi="Cambria"/>
          <w:sz w:val="20"/>
          <w:szCs w:val="20"/>
          <w:bdr w:val="nil"/>
        </w:rPr>
      </w:pPr>
      <w:r w:rsidRPr="00D2222C">
        <w:rPr>
          <w:rFonts w:ascii="Cambria" w:eastAsia="Arial Unicode MS" w:hAnsi="Cambria"/>
          <w:sz w:val="20"/>
          <w:szCs w:val="20"/>
          <w:bdr w:val="nil"/>
        </w:rPr>
        <w:t xml:space="preserve">Mr. Hall also contended that trial counsel were ineffective in first requesting a psychiatrist and psychologist rather than a mitigation specialist, in requesting a mitigation specialist too late in the process, </w:t>
      </w:r>
      <w:r w:rsidR="008414A3" w:rsidRPr="00D2222C">
        <w:rPr>
          <w:rFonts w:ascii="Cambria" w:eastAsia="Arial Unicode MS" w:hAnsi="Cambria"/>
          <w:sz w:val="20"/>
          <w:szCs w:val="20"/>
          <w:bdr w:val="nil"/>
        </w:rPr>
        <w:t xml:space="preserve">in </w:t>
      </w:r>
      <w:r w:rsidRPr="00D2222C">
        <w:rPr>
          <w:rFonts w:ascii="Cambria" w:eastAsia="Arial Unicode MS" w:hAnsi="Cambria"/>
          <w:sz w:val="20"/>
          <w:szCs w:val="20"/>
          <w:bdr w:val="nil"/>
        </w:rPr>
        <w:t xml:space="preserve">not having him examined by a neuropsychologist, and </w:t>
      </w:r>
      <w:r w:rsidR="008414A3" w:rsidRPr="00D2222C">
        <w:rPr>
          <w:rFonts w:ascii="Cambria" w:eastAsia="Arial Unicode MS" w:hAnsi="Cambria"/>
          <w:sz w:val="20"/>
          <w:szCs w:val="20"/>
          <w:bdr w:val="nil"/>
        </w:rPr>
        <w:t xml:space="preserve">in </w:t>
      </w:r>
      <w:r w:rsidRPr="00D2222C">
        <w:rPr>
          <w:rFonts w:ascii="Cambria" w:eastAsia="Arial Unicode MS" w:hAnsi="Cambria"/>
          <w:sz w:val="20"/>
          <w:szCs w:val="20"/>
          <w:bdr w:val="nil"/>
        </w:rPr>
        <w:t xml:space="preserve">failing to have someone testify about the impact that Mr. Hall’s upbringing had on this behavior. The court noted that on July 14, 1995, defense counsel sought and obtained funds to hire a psychiatrist and a neuropsychologist, and </w:t>
      </w:r>
      <w:r w:rsidR="008414A3" w:rsidRPr="00D2222C">
        <w:rPr>
          <w:rFonts w:ascii="Cambria" w:eastAsia="Arial Unicode MS" w:hAnsi="Cambria"/>
          <w:sz w:val="20"/>
          <w:szCs w:val="20"/>
          <w:bdr w:val="nil"/>
        </w:rPr>
        <w:t xml:space="preserve">in </w:t>
      </w:r>
      <w:r w:rsidRPr="00D2222C">
        <w:rPr>
          <w:rFonts w:ascii="Cambria" w:eastAsia="Arial Unicode MS" w:hAnsi="Cambria"/>
          <w:sz w:val="20"/>
          <w:szCs w:val="20"/>
          <w:bdr w:val="nil"/>
        </w:rPr>
        <w:t xml:space="preserve">September 1995 </w:t>
      </w:r>
      <w:r w:rsidR="005F5456" w:rsidRPr="00D2222C">
        <w:rPr>
          <w:rFonts w:ascii="Cambria" w:eastAsia="Arial Unicode MS" w:hAnsi="Cambria"/>
          <w:sz w:val="20"/>
          <w:szCs w:val="20"/>
          <w:bdr w:val="nil"/>
        </w:rPr>
        <w:t>ob</w:t>
      </w:r>
      <w:r w:rsidRPr="00D2222C">
        <w:rPr>
          <w:rFonts w:ascii="Cambria" w:eastAsia="Arial Unicode MS" w:hAnsi="Cambria"/>
          <w:sz w:val="20"/>
          <w:szCs w:val="20"/>
          <w:bdr w:val="nil"/>
        </w:rPr>
        <w:t xml:space="preserve">tained funds to hire a mitigation specialist. According to the court, the psychiatrist examined Mr. Hall and was prepared to testify but the defense opted not to have her testify </w:t>
      </w:r>
      <w:r w:rsidR="005F5456" w:rsidRPr="00D2222C">
        <w:rPr>
          <w:rFonts w:ascii="Cambria" w:eastAsia="Arial Unicode MS" w:hAnsi="Cambria"/>
          <w:sz w:val="20"/>
          <w:szCs w:val="20"/>
          <w:bdr w:val="nil"/>
        </w:rPr>
        <w:t>because</w:t>
      </w:r>
      <w:r w:rsidRPr="00D2222C">
        <w:rPr>
          <w:rFonts w:ascii="Cambria" w:eastAsia="Arial Unicode MS" w:hAnsi="Cambria"/>
          <w:sz w:val="20"/>
          <w:szCs w:val="20"/>
          <w:bdr w:val="nil"/>
        </w:rPr>
        <w:t xml:space="preserve"> the court had ordered that, were she to do so, the government had the right to have Mr. Hall examined </w:t>
      </w:r>
      <w:r w:rsidRPr="00D2222C">
        <w:rPr>
          <w:rFonts w:ascii="Cambria" w:eastAsia="Arial Unicode MS" w:hAnsi="Cambria"/>
          <w:sz w:val="20"/>
          <w:szCs w:val="20"/>
          <w:bdr w:val="nil"/>
        </w:rPr>
        <w:lastRenderedPageBreak/>
        <w:t xml:space="preserve">by its own expert. </w:t>
      </w:r>
      <w:r w:rsidR="005F5456" w:rsidRPr="00D2222C">
        <w:rPr>
          <w:rFonts w:ascii="Cambria" w:eastAsia="Arial Unicode MS" w:hAnsi="Cambria"/>
          <w:sz w:val="20"/>
          <w:szCs w:val="20"/>
          <w:bdr w:val="nil"/>
        </w:rPr>
        <w:t xml:space="preserve">The court also </w:t>
      </w:r>
      <w:r w:rsidR="008414A3" w:rsidRPr="00D2222C">
        <w:rPr>
          <w:rFonts w:ascii="Cambria" w:eastAsia="Arial Unicode MS" w:hAnsi="Cambria"/>
          <w:sz w:val="20"/>
          <w:szCs w:val="20"/>
          <w:bdr w:val="nil"/>
        </w:rPr>
        <w:t xml:space="preserve">found </w:t>
      </w:r>
      <w:r w:rsidR="005F5456" w:rsidRPr="00D2222C">
        <w:rPr>
          <w:rFonts w:ascii="Cambria" w:eastAsia="Arial Unicode MS" w:hAnsi="Cambria"/>
          <w:sz w:val="20"/>
          <w:szCs w:val="20"/>
          <w:bdr w:val="nil"/>
        </w:rPr>
        <w:t xml:space="preserve">that defense counsel did hire a neuropsychologist. </w:t>
      </w:r>
      <w:r w:rsidR="00BD5B66" w:rsidRPr="00D2222C">
        <w:rPr>
          <w:rFonts w:ascii="Cambria" w:eastAsia="Arial Unicode MS" w:hAnsi="Cambria"/>
          <w:sz w:val="20"/>
          <w:szCs w:val="20"/>
          <w:bdr w:val="nil"/>
        </w:rPr>
        <w:t xml:space="preserve">The court concluded that Mr. Hall failed to establish that his trial counsel were ineffective in their use of experts. </w:t>
      </w:r>
      <w:r w:rsidR="00510311" w:rsidRPr="00D2222C">
        <w:rPr>
          <w:rFonts w:ascii="Cambria" w:eastAsia="Arial Unicode MS" w:hAnsi="Cambria"/>
          <w:sz w:val="20"/>
          <w:szCs w:val="20"/>
          <w:bdr w:val="nil"/>
        </w:rPr>
        <w:t>Further, the court pointed out that the psychologist did not state that Mr. Hall suffered from any mental disorder or was mentally retarded. The court conclude</w:t>
      </w:r>
      <w:r w:rsidR="003C6480" w:rsidRPr="00D2222C">
        <w:rPr>
          <w:rFonts w:ascii="Cambria" w:eastAsia="Arial Unicode MS" w:hAnsi="Cambria"/>
          <w:sz w:val="20"/>
          <w:szCs w:val="20"/>
          <w:bdr w:val="nil"/>
        </w:rPr>
        <w:t>d</w:t>
      </w:r>
      <w:r w:rsidR="00510311" w:rsidRPr="00D2222C">
        <w:rPr>
          <w:rFonts w:ascii="Cambria" w:eastAsia="Arial Unicode MS" w:hAnsi="Cambria"/>
          <w:sz w:val="20"/>
          <w:szCs w:val="20"/>
          <w:bdr w:val="nil"/>
        </w:rPr>
        <w:t xml:space="preserve"> that, even had the psychologist and social worker testified about the information contained in their declarations, there was no reasonable probability that the result would have been different. </w:t>
      </w:r>
    </w:p>
    <w:p w14:paraId="3A2E9151" w14:textId="77777777" w:rsidR="0094702E" w:rsidRPr="00D2222C" w:rsidRDefault="0094702E" w:rsidP="0094702E">
      <w:pPr>
        <w:pStyle w:val="ListParagraph"/>
        <w:rPr>
          <w:rFonts w:asciiTheme="majorHAnsi" w:hAnsiTheme="majorHAnsi"/>
          <w:sz w:val="20"/>
          <w:szCs w:val="20"/>
        </w:rPr>
      </w:pPr>
    </w:p>
    <w:p w14:paraId="2789B5BB" w14:textId="77777777" w:rsidR="0029754B" w:rsidRPr="00D2222C" w:rsidRDefault="0094702E" w:rsidP="00BB5A59">
      <w:pPr>
        <w:pStyle w:val="NormalWeb"/>
        <w:numPr>
          <w:ilvl w:val="0"/>
          <w:numId w:val="58"/>
        </w:numPr>
        <w:shd w:val="clear" w:color="auto" w:fill="FFFFFF"/>
        <w:spacing w:before="0" w:beforeAutospacing="0" w:after="0" w:afterAutospacing="0"/>
        <w:jc w:val="both"/>
        <w:rPr>
          <w:rFonts w:ascii="Cambria" w:eastAsia="Arial Unicode MS" w:hAnsi="Cambria"/>
          <w:sz w:val="20"/>
          <w:szCs w:val="20"/>
          <w:bdr w:val="nil"/>
        </w:rPr>
      </w:pPr>
      <w:r w:rsidRPr="00D2222C">
        <w:rPr>
          <w:rFonts w:asciiTheme="majorHAnsi" w:hAnsiTheme="majorHAnsi"/>
          <w:sz w:val="20"/>
          <w:szCs w:val="20"/>
        </w:rPr>
        <w:t xml:space="preserve">With regard to </w:t>
      </w:r>
      <w:r w:rsidR="00054E1B" w:rsidRPr="00D2222C">
        <w:rPr>
          <w:rFonts w:asciiTheme="majorHAnsi" w:hAnsiTheme="majorHAnsi"/>
          <w:sz w:val="20"/>
          <w:szCs w:val="20"/>
        </w:rPr>
        <w:t>Mr. Hall</w:t>
      </w:r>
      <w:r w:rsidR="003C6480" w:rsidRPr="00D2222C">
        <w:rPr>
          <w:rFonts w:asciiTheme="majorHAnsi" w:hAnsiTheme="majorHAnsi"/>
          <w:sz w:val="20"/>
          <w:szCs w:val="20"/>
        </w:rPr>
        <w:t>’s</w:t>
      </w:r>
      <w:r w:rsidR="00054E1B" w:rsidRPr="00D2222C">
        <w:rPr>
          <w:rFonts w:asciiTheme="majorHAnsi" w:hAnsiTheme="majorHAnsi"/>
          <w:sz w:val="20"/>
          <w:szCs w:val="20"/>
        </w:rPr>
        <w:t xml:space="preserve"> </w:t>
      </w:r>
      <w:r w:rsidRPr="00D2222C">
        <w:rPr>
          <w:rFonts w:asciiTheme="majorHAnsi" w:hAnsiTheme="majorHAnsi"/>
          <w:sz w:val="20"/>
          <w:szCs w:val="20"/>
        </w:rPr>
        <w:t xml:space="preserve">allegation that </w:t>
      </w:r>
      <w:r w:rsidR="00054E1B" w:rsidRPr="00D2222C">
        <w:rPr>
          <w:rFonts w:asciiTheme="majorHAnsi" w:hAnsiTheme="majorHAnsi"/>
          <w:sz w:val="20"/>
          <w:szCs w:val="20"/>
        </w:rPr>
        <w:t xml:space="preserve">trial counsel was ineffective in his cross-examination of </w:t>
      </w:r>
      <w:r w:rsidRPr="00D2222C">
        <w:rPr>
          <w:rFonts w:asciiTheme="majorHAnsi" w:hAnsiTheme="majorHAnsi"/>
          <w:sz w:val="20"/>
          <w:szCs w:val="20"/>
        </w:rPr>
        <w:t xml:space="preserve">government witness Larry </w:t>
      </w:r>
      <w:r w:rsidR="00054E1B" w:rsidRPr="00D2222C">
        <w:rPr>
          <w:rFonts w:asciiTheme="majorHAnsi" w:hAnsiTheme="majorHAnsi"/>
          <w:sz w:val="20"/>
          <w:szCs w:val="20"/>
        </w:rPr>
        <w:t xml:space="preserve">Nichols about </w:t>
      </w:r>
      <w:r w:rsidR="00357D78" w:rsidRPr="00D2222C">
        <w:rPr>
          <w:rFonts w:asciiTheme="majorHAnsi" w:hAnsiTheme="majorHAnsi"/>
          <w:sz w:val="20"/>
          <w:szCs w:val="20"/>
        </w:rPr>
        <w:t xml:space="preserve">differences between the original statements he gave the FBI </w:t>
      </w:r>
      <w:r w:rsidR="00923920" w:rsidRPr="00D2222C">
        <w:rPr>
          <w:rFonts w:asciiTheme="majorHAnsi" w:hAnsiTheme="majorHAnsi"/>
          <w:sz w:val="20"/>
          <w:szCs w:val="20"/>
        </w:rPr>
        <w:t>and his trial testimony</w:t>
      </w:r>
      <w:r w:rsidRPr="00D2222C">
        <w:rPr>
          <w:rFonts w:asciiTheme="majorHAnsi" w:hAnsiTheme="majorHAnsi"/>
          <w:sz w:val="20"/>
          <w:szCs w:val="20"/>
        </w:rPr>
        <w:t>, t</w:t>
      </w:r>
      <w:r w:rsidR="00923920" w:rsidRPr="00D2222C">
        <w:rPr>
          <w:rFonts w:asciiTheme="majorHAnsi" w:hAnsiTheme="majorHAnsi"/>
          <w:sz w:val="20"/>
          <w:szCs w:val="20"/>
        </w:rPr>
        <w:t>he court found that</w:t>
      </w:r>
      <w:r w:rsidR="00DE7D2E" w:rsidRPr="00D2222C">
        <w:rPr>
          <w:rFonts w:asciiTheme="majorHAnsi" w:hAnsiTheme="majorHAnsi"/>
          <w:sz w:val="20"/>
          <w:szCs w:val="20"/>
        </w:rPr>
        <w:t xml:space="preserve"> </w:t>
      </w:r>
      <w:r w:rsidR="00923920" w:rsidRPr="00D2222C">
        <w:rPr>
          <w:rFonts w:asciiTheme="majorHAnsi" w:hAnsiTheme="majorHAnsi"/>
          <w:sz w:val="20"/>
          <w:szCs w:val="20"/>
        </w:rPr>
        <w:t>defense attorney made a reasonable strategic decision not to impeach Nichols on every difference between his prior testimony and his testimony at Mr. Hall’s trial.</w:t>
      </w:r>
      <w:r w:rsidR="00DE7D2E" w:rsidRPr="00D2222C">
        <w:rPr>
          <w:rFonts w:asciiTheme="majorHAnsi" w:hAnsiTheme="majorHAnsi"/>
          <w:sz w:val="20"/>
          <w:szCs w:val="20"/>
        </w:rPr>
        <w:t xml:space="preserve"> It further noted that counsel did elicit from Nichols his substantial criminal history, his previous attempt to have a co-defendant perjure himself in an affidavit, and his admitted desire to improve his own situation in life by testifying against Mr. Hall. </w:t>
      </w:r>
    </w:p>
    <w:p w14:paraId="690D9096" w14:textId="77777777" w:rsidR="003A71F1" w:rsidRPr="00D2222C" w:rsidRDefault="003A71F1" w:rsidP="003A71F1">
      <w:pPr>
        <w:pStyle w:val="NormalWeb"/>
        <w:shd w:val="clear" w:color="auto" w:fill="FFFFFF"/>
        <w:spacing w:before="0" w:beforeAutospacing="0" w:after="0" w:afterAutospacing="0"/>
        <w:jc w:val="both"/>
        <w:rPr>
          <w:rFonts w:ascii="Cambria" w:eastAsia="Arial Unicode MS" w:hAnsi="Cambria"/>
          <w:sz w:val="20"/>
          <w:szCs w:val="20"/>
          <w:bdr w:val="nil"/>
        </w:rPr>
      </w:pPr>
    </w:p>
    <w:p w14:paraId="4870B989" w14:textId="77777777" w:rsidR="005008C7" w:rsidRPr="00D2222C" w:rsidRDefault="005008C7" w:rsidP="009E3847">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rPr>
      </w:pPr>
      <w:r w:rsidRPr="00D2222C">
        <w:rPr>
          <w:rFonts w:ascii="Cambria" w:eastAsia="Arial Unicode MS" w:hAnsi="Cambria"/>
          <w:sz w:val="20"/>
          <w:szCs w:val="20"/>
          <w:bdr w:val="nil"/>
        </w:rPr>
        <w:t xml:space="preserve">In relation to </w:t>
      </w:r>
      <w:r w:rsidR="000D6EEF" w:rsidRPr="00D2222C">
        <w:rPr>
          <w:rFonts w:ascii="Cambria" w:eastAsia="Arial Unicode MS" w:hAnsi="Cambria"/>
          <w:sz w:val="20"/>
          <w:szCs w:val="20"/>
          <w:bdr w:val="nil"/>
        </w:rPr>
        <w:t xml:space="preserve">the allegation of juror misconduct, the district court concluded that Mr. Hall did not establish that any inappropriate </w:t>
      </w:r>
      <w:r w:rsidR="000D6EEF" w:rsidRPr="00D2222C">
        <w:rPr>
          <w:rFonts w:ascii="Cambria" w:eastAsia="Arial Unicode MS" w:hAnsi="Cambria"/>
          <w:i/>
          <w:sz w:val="20"/>
          <w:szCs w:val="20"/>
          <w:bdr w:val="nil"/>
        </w:rPr>
        <w:t>ex parte</w:t>
      </w:r>
      <w:r w:rsidR="000D6EEF" w:rsidRPr="00D2222C">
        <w:rPr>
          <w:rFonts w:ascii="Cambria" w:eastAsia="Arial Unicode MS" w:hAnsi="Cambria"/>
          <w:sz w:val="20"/>
          <w:szCs w:val="20"/>
          <w:bdr w:val="nil"/>
        </w:rPr>
        <w:t xml:space="preserve"> contact occurred. </w:t>
      </w:r>
      <w:r w:rsidR="00C0028D" w:rsidRPr="00D2222C">
        <w:rPr>
          <w:rFonts w:ascii="Cambria" w:eastAsia="Arial Unicode MS" w:hAnsi="Cambria"/>
          <w:sz w:val="20"/>
          <w:szCs w:val="20"/>
          <w:bdr w:val="nil"/>
        </w:rPr>
        <w:t xml:space="preserve">Mr. Hall based his claim on two incidents that allegedly occurred during the trial. First, his sister stated that she saw a television newscast during which one of the female jurors was interviewed </w:t>
      </w:r>
      <w:r w:rsidR="003C6480" w:rsidRPr="00D2222C">
        <w:rPr>
          <w:rFonts w:ascii="Cambria" w:eastAsia="Arial Unicode MS" w:hAnsi="Cambria"/>
          <w:sz w:val="20"/>
          <w:szCs w:val="20"/>
          <w:bdr w:val="nil"/>
        </w:rPr>
        <w:t xml:space="preserve">and stated </w:t>
      </w:r>
      <w:r w:rsidR="00C0028D" w:rsidRPr="00D2222C">
        <w:rPr>
          <w:rFonts w:ascii="Cambria" w:eastAsia="Arial Unicode MS" w:hAnsi="Cambria"/>
          <w:sz w:val="20"/>
          <w:szCs w:val="20"/>
          <w:bdr w:val="nil"/>
        </w:rPr>
        <w:t xml:space="preserve">that, during the weekend break in punishment deliberations, she had a birthday party for her daughter and that she placed a candle on the cake in Lisa Rene’s memory and she and the guests said a prayer for Lisa Rene. Second, one of the jurors sent a letter to Mr. Hall after the trial saying that she had met the victim’s mother in the hallway during the trial. </w:t>
      </w:r>
      <w:r w:rsidR="002A2720" w:rsidRPr="00D2222C">
        <w:rPr>
          <w:rFonts w:ascii="Cambria" w:eastAsia="Arial Unicode MS" w:hAnsi="Cambria"/>
          <w:sz w:val="20"/>
          <w:szCs w:val="20"/>
          <w:bdr w:val="nil"/>
        </w:rPr>
        <w:t xml:space="preserve">The </w:t>
      </w:r>
      <w:r w:rsidR="0046041C" w:rsidRPr="00D2222C">
        <w:rPr>
          <w:rFonts w:ascii="Cambria" w:eastAsia="Arial Unicode MS" w:hAnsi="Cambria"/>
          <w:sz w:val="20"/>
          <w:szCs w:val="20"/>
          <w:bdr w:val="nil"/>
        </w:rPr>
        <w:t xml:space="preserve">district court </w:t>
      </w:r>
      <w:r w:rsidR="003C6480" w:rsidRPr="00D2222C">
        <w:rPr>
          <w:rFonts w:ascii="Cambria" w:eastAsia="Arial Unicode MS" w:hAnsi="Cambria"/>
          <w:sz w:val="20"/>
          <w:szCs w:val="20"/>
          <w:bdr w:val="nil"/>
        </w:rPr>
        <w:t xml:space="preserve">stated </w:t>
      </w:r>
      <w:r w:rsidR="0046041C" w:rsidRPr="00D2222C">
        <w:rPr>
          <w:rFonts w:ascii="Cambria" w:eastAsia="Arial Unicode MS" w:hAnsi="Cambria"/>
          <w:sz w:val="20"/>
          <w:szCs w:val="20"/>
          <w:bdr w:val="nil"/>
        </w:rPr>
        <w:t>that</w:t>
      </w:r>
      <w:r w:rsidR="002A2720" w:rsidRPr="00D2222C">
        <w:rPr>
          <w:rFonts w:ascii="Cambria" w:eastAsia="Arial Unicode MS" w:hAnsi="Cambria"/>
          <w:sz w:val="20"/>
          <w:szCs w:val="20"/>
          <w:bdr w:val="nil"/>
        </w:rPr>
        <w:t xml:space="preserve"> </w:t>
      </w:r>
      <w:r w:rsidR="0046041C" w:rsidRPr="00D2222C">
        <w:rPr>
          <w:rFonts w:ascii="Cambria" w:eastAsia="Arial Unicode MS" w:hAnsi="Cambria"/>
          <w:sz w:val="20"/>
          <w:szCs w:val="20"/>
          <w:bdr w:val="nil"/>
        </w:rPr>
        <w:t xml:space="preserve">in the </w:t>
      </w:r>
      <w:r w:rsidR="002A2720" w:rsidRPr="00D2222C">
        <w:rPr>
          <w:rFonts w:ascii="Cambria" w:eastAsia="Arial Unicode MS" w:hAnsi="Cambria"/>
          <w:sz w:val="20"/>
          <w:szCs w:val="20"/>
          <w:bdr w:val="nil"/>
        </w:rPr>
        <w:t xml:space="preserve">hearing on these issues </w:t>
      </w:r>
      <w:r w:rsidR="0046041C" w:rsidRPr="00D2222C">
        <w:rPr>
          <w:rFonts w:ascii="Cambria" w:eastAsia="Arial Unicode MS" w:hAnsi="Cambria"/>
          <w:sz w:val="20"/>
          <w:szCs w:val="20"/>
          <w:bdr w:val="nil"/>
        </w:rPr>
        <w:t xml:space="preserve">conducted </w:t>
      </w:r>
      <w:r w:rsidR="002A2720" w:rsidRPr="00D2222C">
        <w:rPr>
          <w:rFonts w:ascii="Cambria" w:eastAsia="Arial Unicode MS" w:hAnsi="Cambria"/>
          <w:sz w:val="20"/>
          <w:szCs w:val="20"/>
          <w:bdr w:val="nil"/>
        </w:rPr>
        <w:t xml:space="preserve">on June 7, 2004, </w:t>
      </w:r>
      <w:r w:rsidR="00BF0063" w:rsidRPr="00D2222C">
        <w:rPr>
          <w:rFonts w:ascii="Cambria" w:eastAsia="Arial Unicode MS" w:hAnsi="Cambria"/>
          <w:sz w:val="20"/>
          <w:szCs w:val="20"/>
          <w:bdr w:val="nil"/>
        </w:rPr>
        <w:t>the juror testified</w:t>
      </w:r>
      <w:r w:rsidR="00BB78FE" w:rsidRPr="00D2222C">
        <w:rPr>
          <w:rFonts w:ascii="Cambria" w:eastAsia="Arial Unicode MS" w:hAnsi="Cambria"/>
          <w:sz w:val="20"/>
          <w:szCs w:val="20"/>
          <w:bdr w:val="nil"/>
        </w:rPr>
        <w:t xml:space="preserve"> that the statement she made in the letter was not true. </w:t>
      </w:r>
      <w:r w:rsidR="0046041C" w:rsidRPr="00D2222C">
        <w:rPr>
          <w:rFonts w:ascii="Cambria" w:eastAsia="Arial Unicode MS" w:hAnsi="Cambria"/>
          <w:sz w:val="20"/>
          <w:szCs w:val="20"/>
          <w:bdr w:val="nil"/>
        </w:rPr>
        <w:t>Regarding the first issue, the court concluded that “mere speculation that some discussion between a juror and an unknown person occurred does not establish that extrinsic evidence entered the jury deliberations, especially where [the juror’s] sworn testimony is that she does not recall any juror discussing a birthday party, much less any prayer offered on behalf of the victim.”</w:t>
      </w:r>
    </w:p>
    <w:p w14:paraId="278A9DF4" w14:textId="77777777" w:rsidR="005008C7" w:rsidRPr="00D2222C" w:rsidRDefault="005008C7" w:rsidP="009E3847">
      <w:pPr>
        <w:pStyle w:val="NormalWeb"/>
        <w:shd w:val="clear" w:color="auto" w:fill="FFFFFF"/>
        <w:spacing w:before="0" w:beforeAutospacing="0" w:after="0" w:afterAutospacing="0"/>
        <w:ind w:left="720"/>
        <w:jc w:val="both"/>
        <w:rPr>
          <w:rFonts w:ascii="Cambria" w:eastAsia="Arial Unicode MS" w:hAnsi="Cambria"/>
          <w:sz w:val="20"/>
          <w:szCs w:val="20"/>
          <w:bdr w:val="nil"/>
        </w:rPr>
      </w:pPr>
    </w:p>
    <w:p w14:paraId="0BDA63AC" w14:textId="77777777" w:rsidR="00507534" w:rsidRPr="00D2222C" w:rsidRDefault="00604B83" w:rsidP="009E3847">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rPr>
      </w:pPr>
      <w:r w:rsidRPr="00D2222C">
        <w:rPr>
          <w:rFonts w:ascii="Cambria" w:eastAsia="Arial Unicode MS" w:hAnsi="Cambria"/>
          <w:sz w:val="20"/>
          <w:szCs w:val="20"/>
          <w:bdr w:val="nil"/>
        </w:rPr>
        <w:t xml:space="preserve">On November 9, 2004, </w:t>
      </w:r>
      <w:r w:rsidR="00C32A61" w:rsidRPr="00D2222C">
        <w:rPr>
          <w:rFonts w:ascii="Cambria" w:eastAsia="Arial Unicode MS" w:hAnsi="Cambria"/>
          <w:sz w:val="20"/>
          <w:szCs w:val="20"/>
          <w:bdr w:val="nil"/>
        </w:rPr>
        <w:t xml:space="preserve">Mr. </w:t>
      </w:r>
      <w:r w:rsidR="00507534" w:rsidRPr="00D2222C">
        <w:rPr>
          <w:rFonts w:ascii="Cambria" w:eastAsia="Arial Unicode MS" w:hAnsi="Cambria"/>
          <w:sz w:val="20"/>
          <w:szCs w:val="20"/>
          <w:bdr w:val="nil"/>
        </w:rPr>
        <w:t>Hall filed a notice of appeal from the district court's order and applied for a certificate of appealability (“COA”)</w:t>
      </w:r>
      <w:r w:rsidR="00D83FFE" w:rsidRPr="00D2222C">
        <w:rPr>
          <w:rFonts w:ascii="Cambria" w:eastAsia="Arial Unicode MS" w:hAnsi="Cambria"/>
          <w:sz w:val="20"/>
          <w:szCs w:val="20"/>
          <w:bdr w:val="nil"/>
        </w:rPr>
        <w:t xml:space="preserve"> </w:t>
      </w:r>
      <w:r w:rsidR="00007B4D" w:rsidRPr="00D2222C">
        <w:rPr>
          <w:rFonts w:ascii="Cambria" w:eastAsia="Arial Unicode MS" w:hAnsi="Cambria"/>
          <w:sz w:val="20"/>
          <w:szCs w:val="20"/>
          <w:bdr w:val="nil"/>
        </w:rPr>
        <w:t>raising</w:t>
      </w:r>
      <w:r w:rsidR="00D83FFE" w:rsidRPr="00D2222C">
        <w:rPr>
          <w:rFonts w:ascii="Cambria" w:eastAsia="Arial Unicode MS" w:hAnsi="Cambria"/>
          <w:sz w:val="20"/>
          <w:szCs w:val="20"/>
          <w:bdr w:val="nil"/>
        </w:rPr>
        <w:t xml:space="preserve">, as one of the main issues, the alleged </w:t>
      </w:r>
      <w:r w:rsidR="00BF4865" w:rsidRPr="00D2222C">
        <w:rPr>
          <w:rFonts w:ascii="Cambria" w:eastAsia="Arial Unicode MS" w:hAnsi="Cambria"/>
          <w:sz w:val="20"/>
          <w:szCs w:val="20"/>
          <w:bdr w:val="nil"/>
        </w:rPr>
        <w:t xml:space="preserve">penalty-phase </w:t>
      </w:r>
      <w:r w:rsidR="00D83FFE" w:rsidRPr="00D2222C">
        <w:rPr>
          <w:rFonts w:ascii="Cambria" w:eastAsia="Arial Unicode MS" w:hAnsi="Cambria"/>
          <w:sz w:val="20"/>
          <w:szCs w:val="20"/>
          <w:bdr w:val="nil"/>
        </w:rPr>
        <w:t>ineffective assistance of counsel</w:t>
      </w:r>
      <w:r w:rsidR="00507534" w:rsidRPr="00D2222C">
        <w:rPr>
          <w:rFonts w:ascii="Cambria" w:eastAsia="Arial Unicode MS" w:hAnsi="Cambria"/>
          <w:sz w:val="20"/>
          <w:szCs w:val="20"/>
          <w:bdr w:val="nil"/>
        </w:rPr>
        <w:t xml:space="preserve">. The district court denied </w:t>
      </w:r>
      <w:r w:rsidR="008E53E4" w:rsidRPr="00D2222C">
        <w:rPr>
          <w:rFonts w:ascii="Cambria" w:eastAsia="Arial Unicode MS" w:hAnsi="Cambria"/>
          <w:sz w:val="20"/>
          <w:szCs w:val="20"/>
          <w:bdr w:val="nil"/>
        </w:rPr>
        <w:t xml:space="preserve">Mr. </w:t>
      </w:r>
      <w:r w:rsidR="00507534" w:rsidRPr="00D2222C">
        <w:rPr>
          <w:rFonts w:ascii="Cambria" w:eastAsia="Arial Unicode MS" w:hAnsi="Cambria"/>
          <w:sz w:val="20"/>
          <w:szCs w:val="20"/>
          <w:bdr w:val="nil"/>
        </w:rPr>
        <w:t xml:space="preserve">Hall's COA application on December 6, 2004, finding that </w:t>
      </w:r>
      <w:r w:rsidR="00C32A61" w:rsidRPr="00D2222C">
        <w:rPr>
          <w:rFonts w:ascii="Cambria" w:eastAsia="Arial Unicode MS" w:hAnsi="Cambria"/>
          <w:sz w:val="20"/>
          <w:szCs w:val="20"/>
          <w:bdr w:val="nil"/>
        </w:rPr>
        <w:t xml:space="preserve">Mr. </w:t>
      </w:r>
      <w:r w:rsidR="00507534" w:rsidRPr="00D2222C">
        <w:rPr>
          <w:rFonts w:ascii="Cambria" w:eastAsia="Arial Unicode MS" w:hAnsi="Cambria"/>
          <w:sz w:val="20"/>
          <w:szCs w:val="20"/>
          <w:bdr w:val="nil"/>
        </w:rPr>
        <w:t xml:space="preserve">Hall had failed to make a substantial showing of the denial of a federal constitutional right. On July 18, 2005, </w:t>
      </w:r>
      <w:r w:rsidRPr="00D2222C">
        <w:rPr>
          <w:rFonts w:ascii="Cambria" w:eastAsia="Arial Unicode MS" w:hAnsi="Cambria"/>
          <w:sz w:val="20"/>
          <w:szCs w:val="20"/>
          <w:bdr w:val="nil"/>
        </w:rPr>
        <w:t>he</w:t>
      </w:r>
      <w:r w:rsidR="00507534" w:rsidRPr="00D2222C">
        <w:rPr>
          <w:rFonts w:ascii="Cambria" w:eastAsia="Arial Unicode MS" w:hAnsi="Cambria"/>
          <w:sz w:val="20"/>
          <w:szCs w:val="20"/>
          <w:bdr w:val="nil"/>
        </w:rPr>
        <w:t xml:space="preserve"> filed </w:t>
      </w:r>
      <w:r w:rsidR="00C32A61" w:rsidRPr="00D2222C">
        <w:rPr>
          <w:rFonts w:ascii="Cambria" w:eastAsia="Arial Unicode MS" w:hAnsi="Cambria"/>
          <w:sz w:val="20"/>
          <w:szCs w:val="20"/>
          <w:bdr w:val="nil"/>
        </w:rPr>
        <w:t>an</w:t>
      </w:r>
      <w:r w:rsidR="00507534" w:rsidRPr="00D2222C">
        <w:rPr>
          <w:rFonts w:ascii="Cambria" w:eastAsia="Arial Unicode MS" w:hAnsi="Cambria"/>
          <w:sz w:val="20"/>
          <w:szCs w:val="20"/>
          <w:bdr w:val="nil"/>
        </w:rPr>
        <w:t xml:space="preserve"> application for a COA with </w:t>
      </w:r>
      <w:r w:rsidR="00C32A61" w:rsidRPr="00D2222C">
        <w:rPr>
          <w:rFonts w:ascii="Cambria" w:eastAsia="Arial Unicode MS" w:hAnsi="Cambria"/>
          <w:sz w:val="20"/>
          <w:szCs w:val="20"/>
          <w:bdr w:val="nil"/>
        </w:rPr>
        <w:t xml:space="preserve">the </w:t>
      </w:r>
      <w:r w:rsidR="00C32A61" w:rsidRPr="00D2222C">
        <w:rPr>
          <w:rFonts w:ascii="Cambria" w:hAnsi="Cambria"/>
          <w:sz w:val="20"/>
          <w:szCs w:val="20"/>
        </w:rPr>
        <w:t>Fifth Circuit Court of Appeals</w:t>
      </w:r>
      <w:r w:rsidRPr="00D2222C">
        <w:rPr>
          <w:rFonts w:ascii="Cambria" w:eastAsia="Arial Unicode MS" w:hAnsi="Cambria"/>
          <w:sz w:val="20"/>
          <w:szCs w:val="20"/>
          <w:bdr w:val="nil"/>
        </w:rPr>
        <w:t xml:space="preserve">, which was denied on July </w:t>
      </w:r>
      <w:r w:rsidR="00623324" w:rsidRPr="00D2222C">
        <w:rPr>
          <w:rFonts w:ascii="Cambria" w:eastAsia="Arial Unicode MS" w:hAnsi="Cambria"/>
          <w:sz w:val="20"/>
          <w:szCs w:val="20"/>
          <w:bdr w:val="nil"/>
        </w:rPr>
        <w:t>5</w:t>
      </w:r>
      <w:r w:rsidRPr="00D2222C">
        <w:rPr>
          <w:rFonts w:ascii="Cambria" w:eastAsia="Arial Unicode MS" w:hAnsi="Cambria"/>
          <w:sz w:val="20"/>
          <w:szCs w:val="20"/>
          <w:bdr w:val="nil"/>
        </w:rPr>
        <w:t>, 2006.</w:t>
      </w:r>
      <w:r w:rsidR="00D83FFE" w:rsidRPr="00D2222C">
        <w:rPr>
          <w:rFonts w:ascii="Cambria" w:eastAsia="Arial Unicode MS" w:hAnsi="Cambria"/>
          <w:sz w:val="20"/>
          <w:szCs w:val="20"/>
          <w:bdr w:val="nil"/>
        </w:rPr>
        <w:t xml:space="preserve"> </w:t>
      </w:r>
      <w:r w:rsidR="004A37A5" w:rsidRPr="00D2222C">
        <w:rPr>
          <w:rFonts w:ascii="Cambria" w:eastAsia="Arial Unicode MS" w:hAnsi="Cambria"/>
          <w:sz w:val="20"/>
          <w:szCs w:val="20"/>
          <w:bdr w:val="nil"/>
        </w:rPr>
        <w:t>Regarding the denial of an evidentiary hearing to address the ineffective assistance of counsel claim, the Fifth Circuit established that, because Mr. Hall's “expert declarations failed to create a contested fact issue about the objective reasonableness of his trial counsel's mitigation investigation, no reasonable jurist could debate the district court's decision not to provide an evidentiary hearing to address this issue.”</w:t>
      </w:r>
      <w:r w:rsidR="004A37A5" w:rsidRPr="00D2222C">
        <w:rPr>
          <w:rStyle w:val="FootnoteReference"/>
          <w:rFonts w:ascii="Cambria" w:eastAsia="Arial Unicode MS" w:hAnsi="Cambria"/>
          <w:sz w:val="20"/>
          <w:szCs w:val="20"/>
          <w:bdr w:val="nil"/>
        </w:rPr>
        <w:footnoteReference w:id="20"/>
      </w:r>
      <w:r w:rsidR="004A37A5" w:rsidRPr="00D2222C">
        <w:rPr>
          <w:rFonts w:ascii="Cambria" w:eastAsia="Arial Unicode MS" w:hAnsi="Cambria"/>
          <w:sz w:val="20"/>
          <w:szCs w:val="20"/>
          <w:bdr w:val="nil"/>
        </w:rPr>
        <w:t xml:space="preserve">  </w:t>
      </w:r>
      <w:r w:rsidR="00623324" w:rsidRPr="00D2222C">
        <w:rPr>
          <w:rFonts w:ascii="Cambria" w:eastAsia="Arial Unicode MS" w:hAnsi="Cambria"/>
          <w:sz w:val="20"/>
          <w:szCs w:val="20"/>
          <w:bdr w:val="nil"/>
        </w:rPr>
        <w:t>On September 1, 2006, the Fifth C</w:t>
      </w:r>
      <w:r w:rsidR="004A37A5" w:rsidRPr="00D2222C">
        <w:rPr>
          <w:rFonts w:ascii="Cambria" w:eastAsia="Arial Unicode MS" w:hAnsi="Cambria"/>
          <w:sz w:val="20"/>
          <w:szCs w:val="20"/>
          <w:bdr w:val="nil"/>
        </w:rPr>
        <w:t>ircuit</w:t>
      </w:r>
      <w:r w:rsidR="00623324" w:rsidRPr="00D2222C">
        <w:rPr>
          <w:rFonts w:ascii="Cambria" w:eastAsia="Arial Unicode MS" w:hAnsi="Cambria"/>
          <w:sz w:val="20"/>
          <w:szCs w:val="20"/>
          <w:bdr w:val="nil"/>
        </w:rPr>
        <w:t xml:space="preserve"> denied a</w:t>
      </w:r>
      <w:r w:rsidR="00D83FFE" w:rsidRPr="00D2222C">
        <w:rPr>
          <w:rFonts w:ascii="Cambria" w:eastAsia="Arial Unicode MS" w:hAnsi="Cambria"/>
          <w:sz w:val="20"/>
          <w:szCs w:val="20"/>
          <w:bdr w:val="nil"/>
        </w:rPr>
        <w:t xml:space="preserve"> petition for rehearing </w:t>
      </w:r>
      <w:r w:rsidR="00D83FFE" w:rsidRPr="00D2222C">
        <w:rPr>
          <w:rFonts w:ascii="Cambria" w:eastAsia="Arial Unicode MS" w:hAnsi="Cambria"/>
          <w:i/>
          <w:sz w:val="20"/>
          <w:szCs w:val="20"/>
          <w:bdr w:val="nil"/>
        </w:rPr>
        <w:t>en banc</w:t>
      </w:r>
      <w:r w:rsidR="00D83FFE" w:rsidRPr="00D2222C">
        <w:rPr>
          <w:rFonts w:ascii="Cambria" w:eastAsia="Arial Unicode MS" w:hAnsi="Cambria"/>
          <w:sz w:val="20"/>
          <w:szCs w:val="20"/>
          <w:bdr w:val="nil"/>
        </w:rPr>
        <w:t>.</w:t>
      </w:r>
      <w:r w:rsidR="00623324" w:rsidRPr="00D2222C">
        <w:rPr>
          <w:rStyle w:val="FootnoteReference"/>
          <w:rFonts w:ascii="Cambria" w:eastAsia="Arial Unicode MS" w:hAnsi="Cambria"/>
          <w:sz w:val="20"/>
          <w:szCs w:val="20"/>
          <w:bdr w:val="nil"/>
        </w:rPr>
        <w:footnoteReference w:id="21"/>
      </w:r>
      <w:r w:rsidR="00D83FFE" w:rsidRPr="00D2222C">
        <w:rPr>
          <w:rFonts w:ascii="Cambria" w:eastAsia="Arial Unicode MS" w:hAnsi="Cambria"/>
          <w:sz w:val="20"/>
          <w:szCs w:val="20"/>
          <w:bdr w:val="nil"/>
        </w:rPr>
        <w:t xml:space="preserve"> </w:t>
      </w:r>
    </w:p>
    <w:p w14:paraId="542E82A4" w14:textId="77777777" w:rsidR="00623324" w:rsidRPr="00D2222C" w:rsidRDefault="00623324" w:rsidP="009E3847">
      <w:pPr>
        <w:pStyle w:val="ListParagraph"/>
        <w:rPr>
          <w:rFonts w:eastAsia="Arial Unicode MS"/>
          <w:sz w:val="20"/>
          <w:szCs w:val="20"/>
        </w:rPr>
      </w:pPr>
    </w:p>
    <w:p w14:paraId="1756C085" w14:textId="77777777" w:rsidR="00623324" w:rsidRPr="00D2222C" w:rsidRDefault="002F3598" w:rsidP="009E3847">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rPr>
      </w:pPr>
      <w:r w:rsidRPr="00D2222C">
        <w:rPr>
          <w:rFonts w:ascii="Cambria" w:eastAsia="Arial Unicode MS" w:hAnsi="Cambria"/>
          <w:sz w:val="20"/>
          <w:szCs w:val="20"/>
          <w:bdr w:val="nil"/>
        </w:rPr>
        <w:t xml:space="preserve">Mr. Hall filed a petition for writ of </w:t>
      </w:r>
      <w:r w:rsidRPr="00D2222C">
        <w:rPr>
          <w:rFonts w:ascii="Cambria" w:eastAsia="Arial Unicode MS" w:hAnsi="Cambria"/>
          <w:i/>
          <w:sz w:val="20"/>
          <w:szCs w:val="20"/>
          <w:bdr w:val="nil"/>
        </w:rPr>
        <w:t>certiorari</w:t>
      </w:r>
      <w:r w:rsidRPr="00D2222C">
        <w:rPr>
          <w:rFonts w:ascii="Cambria" w:eastAsia="Arial Unicode MS" w:hAnsi="Cambria"/>
          <w:sz w:val="20"/>
          <w:szCs w:val="20"/>
          <w:bdr w:val="nil"/>
        </w:rPr>
        <w:t xml:space="preserve"> to the United States Supreme Court</w:t>
      </w:r>
      <w:r w:rsidR="00DC7597" w:rsidRPr="00D2222C">
        <w:rPr>
          <w:rFonts w:ascii="Cambria" w:eastAsia="Arial Unicode MS" w:hAnsi="Cambria"/>
          <w:sz w:val="20"/>
          <w:szCs w:val="20"/>
          <w:bdr w:val="nil"/>
        </w:rPr>
        <w:t xml:space="preserve"> on November 30, 2006</w:t>
      </w:r>
      <w:r w:rsidR="00BC2154" w:rsidRPr="00D2222C">
        <w:rPr>
          <w:rFonts w:ascii="Cambria" w:eastAsia="Arial Unicode MS" w:hAnsi="Cambria"/>
          <w:sz w:val="20"/>
          <w:szCs w:val="20"/>
          <w:bdr w:val="nil"/>
        </w:rPr>
        <w:t>. H</w:t>
      </w:r>
      <w:r w:rsidR="00215CE2" w:rsidRPr="00D2222C">
        <w:rPr>
          <w:rFonts w:ascii="Cambria" w:eastAsia="Arial Unicode MS" w:hAnsi="Cambria"/>
          <w:sz w:val="20"/>
          <w:szCs w:val="20"/>
          <w:bdr w:val="nil"/>
        </w:rPr>
        <w:t>e</w:t>
      </w:r>
      <w:r w:rsidR="00BC2154" w:rsidRPr="00D2222C">
        <w:rPr>
          <w:rFonts w:ascii="Cambria" w:eastAsia="Arial Unicode MS" w:hAnsi="Cambria"/>
          <w:sz w:val="20"/>
          <w:szCs w:val="20"/>
          <w:bdr w:val="nil"/>
        </w:rPr>
        <w:t xml:space="preserve"> alleged, among other claims, that the district </w:t>
      </w:r>
      <w:r w:rsidR="00215CE2" w:rsidRPr="00D2222C">
        <w:rPr>
          <w:rFonts w:ascii="Cambria" w:eastAsia="Arial Unicode MS" w:hAnsi="Cambria"/>
          <w:sz w:val="20"/>
          <w:szCs w:val="20"/>
          <w:bdr w:val="nil"/>
        </w:rPr>
        <w:t>c</w:t>
      </w:r>
      <w:r w:rsidR="00BC2154" w:rsidRPr="00D2222C">
        <w:rPr>
          <w:rFonts w:ascii="Cambria" w:eastAsia="Arial Unicode MS" w:hAnsi="Cambria"/>
          <w:sz w:val="20"/>
          <w:szCs w:val="20"/>
          <w:bdr w:val="nil"/>
        </w:rPr>
        <w:t>ourt rejected his claim of penalty-phase ineffective assistance of counsel without conducting an evidentiary hearing</w:t>
      </w:r>
      <w:r w:rsidR="00DB3374" w:rsidRPr="00D2222C">
        <w:rPr>
          <w:rFonts w:ascii="Cambria" w:eastAsia="Arial Unicode MS" w:hAnsi="Cambria"/>
          <w:sz w:val="20"/>
          <w:szCs w:val="20"/>
          <w:bdr w:val="nil"/>
        </w:rPr>
        <w:t>,</w:t>
      </w:r>
      <w:r w:rsidR="00BC2154" w:rsidRPr="00D2222C">
        <w:rPr>
          <w:rFonts w:ascii="Cambria" w:eastAsia="Arial Unicode MS" w:hAnsi="Cambria"/>
          <w:sz w:val="20"/>
          <w:szCs w:val="20"/>
          <w:bdr w:val="nil"/>
        </w:rPr>
        <w:t xml:space="preserve"> crediting instead trial counsels’ own affidavits, which broadly disputed his factual allegations, and despite his submission of additional evidence refuting many of trial counsels’ claims.</w:t>
      </w:r>
      <w:r w:rsidR="003B6423" w:rsidRPr="00D2222C">
        <w:rPr>
          <w:rStyle w:val="FootnoteReference"/>
          <w:rFonts w:ascii="Cambria" w:eastAsia="Arial Unicode MS" w:hAnsi="Cambria"/>
          <w:sz w:val="20"/>
          <w:szCs w:val="20"/>
          <w:bdr w:val="nil"/>
        </w:rPr>
        <w:footnoteReference w:id="22"/>
      </w:r>
      <w:r w:rsidR="00BC2154" w:rsidRPr="00D2222C">
        <w:rPr>
          <w:rFonts w:ascii="Cambria" w:eastAsia="Arial Unicode MS" w:hAnsi="Cambria"/>
          <w:sz w:val="20"/>
          <w:szCs w:val="20"/>
          <w:bdr w:val="nil"/>
        </w:rPr>
        <w:t xml:space="preserve">  </w:t>
      </w:r>
      <w:r w:rsidR="00DC7597" w:rsidRPr="00D2222C">
        <w:rPr>
          <w:rFonts w:ascii="Cambria" w:eastAsia="Arial Unicode MS" w:hAnsi="Cambria"/>
          <w:sz w:val="20"/>
          <w:szCs w:val="20"/>
          <w:bdr w:val="nil"/>
        </w:rPr>
        <w:t>The petition was denied on April 16, 2007.</w:t>
      </w:r>
      <w:r w:rsidR="00377AD8" w:rsidRPr="00D2222C">
        <w:rPr>
          <w:rStyle w:val="FootnoteReference"/>
          <w:rFonts w:ascii="Cambria" w:eastAsia="Arial Unicode MS" w:hAnsi="Cambria"/>
          <w:sz w:val="20"/>
          <w:szCs w:val="20"/>
          <w:bdr w:val="nil"/>
        </w:rPr>
        <w:footnoteReference w:id="23"/>
      </w:r>
      <w:r w:rsidRPr="00D2222C">
        <w:rPr>
          <w:rFonts w:ascii="Cambria" w:eastAsia="Arial Unicode MS" w:hAnsi="Cambria"/>
          <w:sz w:val="20"/>
          <w:szCs w:val="20"/>
          <w:bdr w:val="nil"/>
        </w:rPr>
        <w:t xml:space="preserve"> </w:t>
      </w:r>
    </w:p>
    <w:p w14:paraId="76247A37" w14:textId="77777777" w:rsidR="00562E4A" w:rsidRPr="00D2222C" w:rsidRDefault="00562E4A" w:rsidP="009E3847">
      <w:pPr>
        <w:pStyle w:val="ListParagraph"/>
        <w:rPr>
          <w:rFonts w:eastAsia="Arial Unicode MS"/>
          <w:sz w:val="20"/>
          <w:szCs w:val="20"/>
        </w:rPr>
      </w:pPr>
    </w:p>
    <w:p w14:paraId="70719041" w14:textId="77777777" w:rsidR="00562E4A" w:rsidRPr="00D2222C" w:rsidRDefault="006A70B4" w:rsidP="009E3847">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rPr>
      </w:pPr>
      <w:r w:rsidRPr="00D2222C">
        <w:rPr>
          <w:rFonts w:ascii="Cambria" w:eastAsia="Arial Unicode MS" w:hAnsi="Cambria"/>
          <w:sz w:val="20"/>
          <w:szCs w:val="20"/>
          <w:bdr w:val="nil"/>
        </w:rPr>
        <w:t xml:space="preserve">Mr. Hall has been </w:t>
      </w:r>
      <w:r w:rsidR="003C6480" w:rsidRPr="00D2222C">
        <w:rPr>
          <w:rFonts w:ascii="Cambria" w:eastAsia="Arial Unicode MS" w:hAnsi="Cambria"/>
          <w:sz w:val="20"/>
          <w:szCs w:val="20"/>
          <w:bdr w:val="nil"/>
        </w:rPr>
        <w:t xml:space="preserve">incarcerated </w:t>
      </w:r>
      <w:r w:rsidRPr="00D2222C">
        <w:rPr>
          <w:rFonts w:ascii="Cambria" w:eastAsia="Arial Unicode MS" w:hAnsi="Cambria"/>
          <w:sz w:val="20"/>
          <w:szCs w:val="20"/>
          <w:bdr w:val="nil"/>
        </w:rPr>
        <w:t xml:space="preserve">on federal death row in </w:t>
      </w:r>
      <w:r w:rsidRPr="00D2222C">
        <w:rPr>
          <w:rFonts w:asciiTheme="majorHAnsi" w:eastAsia="Arial Unicode MS" w:hAnsiTheme="majorHAnsi"/>
          <w:sz w:val="20"/>
          <w:szCs w:val="20"/>
        </w:rPr>
        <w:t>the U.S. Penitentiary Terre Haute,</w:t>
      </w:r>
      <w:r w:rsidR="00562E4A" w:rsidRPr="00D2222C">
        <w:rPr>
          <w:rFonts w:ascii="Cambria" w:eastAsia="Arial Unicode MS" w:hAnsi="Cambria"/>
          <w:sz w:val="20"/>
          <w:szCs w:val="20"/>
          <w:bdr w:val="nil"/>
        </w:rPr>
        <w:t xml:space="preserve"> Indiana</w:t>
      </w:r>
      <w:r w:rsidRPr="00D2222C">
        <w:rPr>
          <w:rFonts w:ascii="Cambria" w:eastAsia="Arial Unicode MS" w:hAnsi="Cambria"/>
          <w:sz w:val="20"/>
          <w:szCs w:val="20"/>
          <w:bdr w:val="nil"/>
        </w:rPr>
        <w:t>, for</w:t>
      </w:r>
      <w:r w:rsidR="00562E4A" w:rsidRPr="00D2222C">
        <w:rPr>
          <w:rFonts w:ascii="Cambria" w:eastAsia="Arial Unicode MS" w:hAnsi="Cambria"/>
          <w:sz w:val="20"/>
          <w:szCs w:val="20"/>
          <w:bdr w:val="nil"/>
        </w:rPr>
        <w:t xml:space="preserve"> </w:t>
      </w:r>
      <w:r w:rsidRPr="00D2222C">
        <w:rPr>
          <w:rFonts w:ascii="Cambria" w:eastAsia="Arial Unicode MS" w:hAnsi="Cambria"/>
          <w:sz w:val="20"/>
          <w:szCs w:val="20"/>
          <w:bdr w:val="nil"/>
        </w:rPr>
        <w:t xml:space="preserve">approximately </w:t>
      </w:r>
      <w:r w:rsidR="00562E4A" w:rsidRPr="00D2222C">
        <w:rPr>
          <w:rFonts w:ascii="Cambria" w:eastAsia="Arial Unicode MS" w:hAnsi="Cambria"/>
          <w:sz w:val="20"/>
          <w:szCs w:val="20"/>
          <w:bdr w:val="nil"/>
        </w:rPr>
        <w:t xml:space="preserve">23 </w:t>
      </w:r>
      <w:r w:rsidRPr="00D2222C">
        <w:rPr>
          <w:rFonts w:ascii="Cambria" w:eastAsia="Arial Unicode MS" w:hAnsi="Cambria"/>
          <w:sz w:val="20"/>
          <w:szCs w:val="20"/>
          <w:bdr w:val="nil"/>
        </w:rPr>
        <w:t>years.</w:t>
      </w:r>
    </w:p>
    <w:p w14:paraId="4FB80C9E" w14:textId="77777777" w:rsidR="00880F95" w:rsidRPr="00D2222C" w:rsidRDefault="00880F95" w:rsidP="00880F95">
      <w:pPr>
        <w:pStyle w:val="ListParagraph"/>
        <w:rPr>
          <w:rFonts w:eastAsia="Arial Unicode MS"/>
          <w:sz w:val="20"/>
          <w:szCs w:val="20"/>
        </w:rPr>
      </w:pPr>
    </w:p>
    <w:p w14:paraId="62C8DEBD" w14:textId="77777777" w:rsidR="00F87A9A" w:rsidRPr="00D2222C" w:rsidRDefault="003741EF" w:rsidP="00090720">
      <w:pPr>
        <w:pStyle w:val="Heading2"/>
        <w:numPr>
          <w:ilvl w:val="0"/>
          <w:numId w:val="62"/>
        </w:numPr>
        <w:ind w:left="1440" w:hanging="720"/>
        <w:rPr>
          <w:color w:val="auto"/>
          <w:sz w:val="20"/>
          <w:szCs w:val="20"/>
        </w:rPr>
      </w:pPr>
      <w:bookmarkStart w:id="8" w:name="_Toc26550924"/>
      <w:r w:rsidRPr="00D2222C">
        <w:rPr>
          <w:color w:val="auto"/>
          <w:sz w:val="20"/>
          <w:szCs w:val="20"/>
        </w:rPr>
        <w:lastRenderedPageBreak/>
        <w:t xml:space="preserve">Cases of </w:t>
      </w:r>
      <w:r w:rsidR="00F87A9A" w:rsidRPr="00D2222C">
        <w:rPr>
          <w:color w:val="auto"/>
          <w:sz w:val="20"/>
          <w:szCs w:val="20"/>
        </w:rPr>
        <w:t>Miller</w:t>
      </w:r>
      <w:r w:rsidR="009356F2" w:rsidRPr="00D2222C">
        <w:rPr>
          <w:color w:val="auto"/>
          <w:sz w:val="20"/>
          <w:szCs w:val="20"/>
        </w:rPr>
        <w:t>-El</w:t>
      </w:r>
      <w:r w:rsidR="00F87A9A" w:rsidRPr="00D2222C">
        <w:rPr>
          <w:color w:val="auto"/>
          <w:sz w:val="20"/>
          <w:szCs w:val="20"/>
        </w:rPr>
        <w:t xml:space="preserve"> and Reed</w:t>
      </w:r>
      <w:bookmarkEnd w:id="8"/>
    </w:p>
    <w:p w14:paraId="4F15F497" w14:textId="77777777" w:rsidR="00F87A9A" w:rsidRPr="00D2222C" w:rsidRDefault="00F87A9A" w:rsidP="00F87A9A">
      <w:pPr>
        <w:pStyle w:val="ListParagraph"/>
        <w:ind w:left="1440"/>
        <w:jc w:val="both"/>
        <w:rPr>
          <w:rFonts w:asciiTheme="majorHAnsi" w:hAnsiTheme="majorHAnsi"/>
          <w:b/>
          <w:color w:val="auto"/>
          <w:sz w:val="20"/>
          <w:szCs w:val="20"/>
        </w:rPr>
      </w:pPr>
    </w:p>
    <w:p w14:paraId="18552F55" w14:textId="77777777" w:rsidR="00880F95" w:rsidRPr="00D2222C" w:rsidRDefault="00880F95" w:rsidP="009E3847">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rPr>
      </w:pPr>
      <w:r w:rsidRPr="00D2222C">
        <w:rPr>
          <w:rFonts w:ascii="Cambria" w:eastAsia="Arial Unicode MS" w:hAnsi="Cambria"/>
          <w:sz w:val="20"/>
          <w:szCs w:val="20"/>
          <w:bdr w:val="nil"/>
        </w:rPr>
        <w:t xml:space="preserve">In </w:t>
      </w:r>
      <w:r w:rsidR="003C6480" w:rsidRPr="00D2222C">
        <w:rPr>
          <w:rFonts w:ascii="Cambria" w:eastAsia="Arial Unicode MS" w:hAnsi="Cambria"/>
          <w:sz w:val="20"/>
          <w:szCs w:val="20"/>
          <w:bdr w:val="nil"/>
        </w:rPr>
        <w:t xml:space="preserve">the </w:t>
      </w:r>
      <w:r w:rsidRPr="00D2222C">
        <w:rPr>
          <w:rFonts w:ascii="Cambria" w:eastAsia="Arial Unicode MS" w:hAnsi="Cambria"/>
          <w:sz w:val="20"/>
          <w:szCs w:val="20"/>
          <w:bdr w:val="nil"/>
        </w:rPr>
        <w:t>2005</w:t>
      </w:r>
      <w:r w:rsidR="0053592E" w:rsidRPr="00D2222C">
        <w:rPr>
          <w:rFonts w:ascii="Cambria" w:eastAsia="Arial Unicode MS" w:hAnsi="Cambria"/>
          <w:sz w:val="20"/>
          <w:szCs w:val="20"/>
          <w:bdr w:val="nil"/>
        </w:rPr>
        <w:t xml:space="preserve"> </w:t>
      </w:r>
      <w:r w:rsidR="003C6480" w:rsidRPr="00D2222C">
        <w:rPr>
          <w:rFonts w:ascii="Cambria" w:eastAsia="Arial Unicode MS" w:hAnsi="Cambria"/>
          <w:sz w:val="20"/>
          <w:szCs w:val="20"/>
          <w:bdr w:val="nil"/>
        </w:rPr>
        <w:t>case</w:t>
      </w:r>
      <w:r w:rsidR="00AD1E27" w:rsidRPr="00D2222C">
        <w:rPr>
          <w:rFonts w:ascii="Cambria" w:eastAsia="Arial Unicode MS" w:hAnsi="Cambria"/>
          <w:sz w:val="20"/>
          <w:szCs w:val="20"/>
          <w:bdr w:val="nil"/>
        </w:rPr>
        <w:t xml:space="preserve"> </w:t>
      </w:r>
      <w:r w:rsidR="00FC052E" w:rsidRPr="00D2222C">
        <w:rPr>
          <w:rFonts w:ascii="Cambria" w:eastAsia="Arial Unicode MS" w:hAnsi="Cambria"/>
          <w:i/>
          <w:sz w:val="20"/>
          <w:szCs w:val="20"/>
          <w:bdr w:val="nil"/>
        </w:rPr>
        <w:t>Miller-El v. Dretke</w:t>
      </w:r>
      <w:r w:rsidR="00FC052E" w:rsidRPr="00D2222C">
        <w:rPr>
          <w:rFonts w:ascii="Cambria" w:eastAsia="Arial Unicode MS" w:hAnsi="Cambria"/>
          <w:sz w:val="20"/>
          <w:szCs w:val="20"/>
          <w:bdr w:val="nil"/>
        </w:rPr>
        <w:t>, a separate capital case,</w:t>
      </w:r>
      <w:r w:rsidR="003C6480" w:rsidRPr="00D2222C">
        <w:rPr>
          <w:rFonts w:ascii="Cambria" w:eastAsia="Arial Unicode MS" w:hAnsi="Cambria"/>
          <w:sz w:val="20"/>
          <w:szCs w:val="20"/>
          <w:bdr w:val="nil"/>
        </w:rPr>
        <w:t xml:space="preserve"> the Supreme Court</w:t>
      </w:r>
      <w:r w:rsidR="00FC052E" w:rsidRPr="00D2222C">
        <w:rPr>
          <w:rFonts w:ascii="Cambria" w:eastAsia="Arial Unicode MS" w:hAnsi="Cambria"/>
          <w:sz w:val="20"/>
          <w:szCs w:val="20"/>
          <w:bdr w:val="nil"/>
        </w:rPr>
        <w:t xml:space="preserve"> </w:t>
      </w:r>
      <w:r w:rsidR="00B016BF" w:rsidRPr="00D2222C">
        <w:rPr>
          <w:rFonts w:ascii="Cambria" w:eastAsia="Arial Unicode MS" w:hAnsi="Cambria"/>
          <w:sz w:val="20"/>
          <w:szCs w:val="20"/>
          <w:bdr w:val="nil"/>
        </w:rPr>
        <w:t xml:space="preserve">overturned the </w:t>
      </w:r>
      <w:r w:rsidR="003C6480" w:rsidRPr="00D2222C">
        <w:rPr>
          <w:rFonts w:ascii="Cambria" w:eastAsia="Arial Unicode MS" w:hAnsi="Cambria"/>
          <w:sz w:val="20"/>
          <w:szCs w:val="20"/>
          <w:bdr w:val="nil"/>
        </w:rPr>
        <w:t xml:space="preserve">defendant’s </w:t>
      </w:r>
      <w:r w:rsidR="00B016BF" w:rsidRPr="00D2222C">
        <w:rPr>
          <w:rFonts w:ascii="Cambria" w:eastAsia="Arial Unicode MS" w:hAnsi="Cambria"/>
          <w:sz w:val="20"/>
          <w:szCs w:val="20"/>
          <w:bdr w:val="nil"/>
        </w:rPr>
        <w:t>death sentence</w:t>
      </w:r>
      <w:r w:rsidR="003C6480" w:rsidRPr="00D2222C">
        <w:rPr>
          <w:rFonts w:ascii="Cambria" w:eastAsia="Arial Unicode MS" w:hAnsi="Cambria"/>
          <w:sz w:val="20"/>
          <w:szCs w:val="20"/>
          <w:bdr w:val="nil"/>
        </w:rPr>
        <w:t>,</w:t>
      </w:r>
      <w:r w:rsidR="00B016BF" w:rsidRPr="00D2222C">
        <w:rPr>
          <w:rFonts w:ascii="Cambria" w:eastAsia="Arial Unicode MS" w:hAnsi="Cambria"/>
          <w:sz w:val="20"/>
          <w:szCs w:val="20"/>
          <w:bdr w:val="nil"/>
        </w:rPr>
        <w:t xml:space="preserve"> finding </w:t>
      </w:r>
      <w:r w:rsidR="00FC052E" w:rsidRPr="00D2222C">
        <w:rPr>
          <w:rFonts w:ascii="Cambria" w:eastAsia="Arial Unicode MS" w:hAnsi="Cambria"/>
          <w:sz w:val="20"/>
          <w:szCs w:val="20"/>
          <w:bdr w:val="nil"/>
        </w:rPr>
        <w:t xml:space="preserve">that prosecutors </w:t>
      </w:r>
      <w:r w:rsidR="00B016BF" w:rsidRPr="00D2222C">
        <w:rPr>
          <w:rFonts w:ascii="Cambria" w:eastAsia="Arial Unicode MS" w:hAnsi="Cambria"/>
          <w:sz w:val="20"/>
          <w:szCs w:val="20"/>
          <w:bdr w:val="nil"/>
        </w:rPr>
        <w:t>had made</w:t>
      </w:r>
      <w:r w:rsidR="00FC052E" w:rsidRPr="00D2222C">
        <w:rPr>
          <w:rFonts w:ascii="Cambria" w:eastAsia="Arial Unicode MS" w:hAnsi="Cambria"/>
          <w:sz w:val="20"/>
          <w:szCs w:val="20"/>
          <w:bdr w:val="nil"/>
        </w:rPr>
        <w:t xml:space="preserve"> peremptory strikes of potential jurors based on race</w:t>
      </w:r>
      <w:r w:rsidR="00E16F9D" w:rsidRPr="00D2222C">
        <w:rPr>
          <w:rFonts w:ascii="Cambria" w:eastAsia="Arial Unicode MS" w:hAnsi="Cambria"/>
          <w:sz w:val="20"/>
          <w:szCs w:val="20"/>
          <w:bdr w:val="nil"/>
        </w:rPr>
        <w:t xml:space="preserve"> and therefore the jury selection process had been tainted by racial bias</w:t>
      </w:r>
      <w:r w:rsidR="00FC052E" w:rsidRPr="00D2222C">
        <w:rPr>
          <w:rFonts w:ascii="Cambria" w:eastAsia="Arial Unicode MS" w:hAnsi="Cambria"/>
          <w:sz w:val="20"/>
          <w:szCs w:val="20"/>
          <w:bdr w:val="nil"/>
        </w:rPr>
        <w:t>.</w:t>
      </w:r>
      <w:r w:rsidR="004C17B4" w:rsidRPr="00D2222C">
        <w:rPr>
          <w:rStyle w:val="FootnoteReference"/>
          <w:rFonts w:ascii="Cambria" w:eastAsia="Arial Unicode MS" w:hAnsi="Cambria"/>
          <w:sz w:val="20"/>
          <w:szCs w:val="20"/>
          <w:bdr w:val="nil"/>
        </w:rPr>
        <w:footnoteReference w:id="24"/>
      </w:r>
      <w:r w:rsidR="00FC052E" w:rsidRPr="00D2222C">
        <w:rPr>
          <w:rFonts w:ascii="Cambria" w:eastAsia="Arial Unicode MS" w:hAnsi="Cambria"/>
          <w:sz w:val="20"/>
          <w:szCs w:val="20"/>
          <w:bdr w:val="nil"/>
        </w:rPr>
        <w:t xml:space="preserve"> </w:t>
      </w:r>
      <w:r w:rsidR="00080249" w:rsidRPr="00D2222C">
        <w:rPr>
          <w:rFonts w:ascii="Cambria" w:eastAsia="Arial Unicode MS" w:hAnsi="Cambria"/>
          <w:sz w:val="20"/>
          <w:szCs w:val="20"/>
          <w:bdr w:val="nil"/>
        </w:rPr>
        <w:t>Paul Ma</w:t>
      </w:r>
      <w:r w:rsidR="00B21BC5" w:rsidRPr="00D2222C">
        <w:rPr>
          <w:rFonts w:ascii="Cambria" w:eastAsia="Arial Unicode MS" w:hAnsi="Cambria"/>
          <w:sz w:val="20"/>
          <w:szCs w:val="20"/>
          <w:bdr w:val="nil"/>
        </w:rPr>
        <w:t xml:space="preserve">caluso, </w:t>
      </w:r>
      <w:r w:rsidR="00E16F9D" w:rsidRPr="00D2222C">
        <w:rPr>
          <w:rFonts w:ascii="Cambria" w:eastAsia="Arial Unicode MS" w:hAnsi="Cambria"/>
          <w:sz w:val="20"/>
          <w:szCs w:val="20"/>
          <w:bdr w:val="nil"/>
        </w:rPr>
        <w:t xml:space="preserve">the assistant district attorney who selected the jury in Mr. Miller-El’s case, was </w:t>
      </w:r>
      <w:r w:rsidR="00080249" w:rsidRPr="00D2222C">
        <w:rPr>
          <w:rFonts w:ascii="Cambria" w:eastAsia="Arial Unicode MS" w:hAnsi="Cambria"/>
          <w:sz w:val="20"/>
          <w:szCs w:val="20"/>
          <w:bdr w:val="nil"/>
        </w:rPr>
        <w:t>A</w:t>
      </w:r>
      <w:r w:rsidR="00B21BC5" w:rsidRPr="00D2222C">
        <w:rPr>
          <w:rFonts w:ascii="Cambria" w:eastAsia="Arial Unicode MS" w:hAnsi="Cambria"/>
          <w:sz w:val="20"/>
          <w:szCs w:val="20"/>
          <w:bdr w:val="nil"/>
        </w:rPr>
        <w:t>ssistant U</w:t>
      </w:r>
      <w:r w:rsidR="00080249" w:rsidRPr="00D2222C">
        <w:rPr>
          <w:rFonts w:ascii="Cambria" w:eastAsia="Arial Unicode MS" w:hAnsi="Cambria"/>
          <w:sz w:val="20"/>
          <w:szCs w:val="20"/>
          <w:bdr w:val="nil"/>
        </w:rPr>
        <w:t xml:space="preserve">nited </w:t>
      </w:r>
      <w:r w:rsidR="00B21BC5" w:rsidRPr="00D2222C">
        <w:rPr>
          <w:rFonts w:ascii="Cambria" w:eastAsia="Arial Unicode MS" w:hAnsi="Cambria"/>
          <w:sz w:val="20"/>
          <w:szCs w:val="20"/>
          <w:bdr w:val="nil"/>
        </w:rPr>
        <w:t>S</w:t>
      </w:r>
      <w:r w:rsidR="00080249" w:rsidRPr="00D2222C">
        <w:rPr>
          <w:rFonts w:ascii="Cambria" w:eastAsia="Arial Unicode MS" w:hAnsi="Cambria"/>
          <w:sz w:val="20"/>
          <w:szCs w:val="20"/>
          <w:bdr w:val="nil"/>
        </w:rPr>
        <w:t>tates</w:t>
      </w:r>
      <w:r w:rsidR="00B21BC5" w:rsidRPr="00D2222C">
        <w:rPr>
          <w:rFonts w:ascii="Cambria" w:eastAsia="Arial Unicode MS" w:hAnsi="Cambria"/>
          <w:sz w:val="20"/>
          <w:szCs w:val="20"/>
          <w:bdr w:val="nil"/>
        </w:rPr>
        <w:t xml:space="preserve"> attorney in Mr. Hall’s trial. </w:t>
      </w:r>
    </w:p>
    <w:p w14:paraId="170587A1" w14:textId="77777777" w:rsidR="00316559" w:rsidRPr="00D2222C" w:rsidRDefault="00316559" w:rsidP="009E3847">
      <w:pPr>
        <w:pStyle w:val="NormalWeb"/>
        <w:shd w:val="clear" w:color="auto" w:fill="FFFFFF"/>
        <w:spacing w:before="0" w:beforeAutospacing="0" w:after="0" w:afterAutospacing="0"/>
        <w:ind w:left="720"/>
        <w:jc w:val="both"/>
        <w:rPr>
          <w:rFonts w:ascii="Cambria" w:eastAsia="Arial Unicode MS" w:hAnsi="Cambria"/>
          <w:sz w:val="20"/>
          <w:szCs w:val="20"/>
          <w:bdr w:val="nil"/>
        </w:rPr>
      </w:pPr>
    </w:p>
    <w:p w14:paraId="4A30E45C" w14:textId="77777777" w:rsidR="00316559" w:rsidRPr="00D2222C" w:rsidRDefault="00D96245" w:rsidP="009E3847">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rPr>
      </w:pPr>
      <w:r w:rsidRPr="00D2222C">
        <w:rPr>
          <w:rFonts w:ascii="Cambria" w:eastAsia="Arial Unicode MS" w:hAnsi="Cambria"/>
          <w:sz w:val="20"/>
          <w:szCs w:val="20"/>
          <w:bdr w:val="nil"/>
        </w:rPr>
        <w:t>In 2009</w:t>
      </w:r>
      <w:r w:rsidR="003C6480" w:rsidRPr="00D2222C">
        <w:rPr>
          <w:rFonts w:ascii="Cambria" w:eastAsia="Arial Unicode MS" w:hAnsi="Cambria"/>
          <w:sz w:val="20"/>
          <w:szCs w:val="20"/>
          <w:bdr w:val="nil"/>
        </w:rPr>
        <w:t>,</w:t>
      </w:r>
      <w:r w:rsidRPr="00D2222C">
        <w:rPr>
          <w:rFonts w:ascii="Cambria" w:eastAsia="Arial Unicode MS" w:hAnsi="Cambria"/>
          <w:sz w:val="20"/>
          <w:szCs w:val="20"/>
          <w:bdr w:val="nil"/>
        </w:rPr>
        <w:t xml:space="preserve"> in another</w:t>
      </w:r>
      <w:r w:rsidR="00316559" w:rsidRPr="00D2222C">
        <w:rPr>
          <w:rFonts w:ascii="Cambria" w:eastAsia="Arial Unicode MS" w:hAnsi="Cambria"/>
          <w:sz w:val="20"/>
          <w:szCs w:val="20"/>
          <w:bdr w:val="nil"/>
        </w:rPr>
        <w:t xml:space="preserve"> capital case, the Fifth Circuit</w:t>
      </w:r>
      <w:r w:rsidRPr="00D2222C">
        <w:rPr>
          <w:rFonts w:ascii="Cambria" w:eastAsia="Arial Unicode MS" w:hAnsi="Cambria"/>
          <w:sz w:val="20"/>
          <w:szCs w:val="20"/>
          <w:bdr w:val="nil"/>
        </w:rPr>
        <w:t xml:space="preserve"> </w:t>
      </w:r>
      <w:r w:rsidR="0035485A" w:rsidRPr="00D2222C">
        <w:rPr>
          <w:rFonts w:ascii="Cambria" w:eastAsia="Arial Unicode MS" w:hAnsi="Cambria"/>
          <w:sz w:val="20"/>
          <w:szCs w:val="20"/>
          <w:bdr w:val="nil"/>
        </w:rPr>
        <w:t>established that</w:t>
      </w:r>
      <w:r w:rsidR="003C6480" w:rsidRPr="00D2222C">
        <w:rPr>
          <w:rFonts w:ascii="Cambria" w:eastAsia="Arial Unicode MS" w:hAnsi="Cambria"/>
          <w:sz w:val="20"/>
          <w:szCs w:val="20"/>
          <w:bdr w:val="nil"/>
        </w:rPr>
        <w:t xml:space="preserve"> defendant</w:t>
      </w:r>
      <w:r w:rsidR="0035485A" w:rsidRPr="00D2222C">
        <w:rPr>
          <w:rFonts w:ascii="Cambria" w:eastAsia="Arial Unicode MS" w:hAnsi="Cambria"/>
          <w:sz w:val="20"/>
          <w:szCs w:val="20"/>
          <w:bdr w:val="nil"/>
        </w:rPr>
        <w:t xml:space="preserve"> Mr. Reed was entitled to habeas corpus relief </w:t>
      </w:r>
      <w:r w:rsidR="00AD1E27" w:rsidRPr="00D2222C">
        <w:rPr>
          <w:rFonts w:ascii="Cambria" w:eastAsia="Arial Unicode MS" w:hAnsi="Cambria"/>
          <w:sz w:val="20"/>
          <w:szCs w:val="20"/>
          <w:bdr w:val="nil"/>
        </w:rPr>
        <w:t>given the</w:t>
      </w:r>
      <w:r w:rsidR="0065765B" w:rsidRPr="00D2222C">
        <w:rPr>
          <w:rFonts w:ascii="Cambria" w:eastAsia="Arial Unicode MS" w:hAnsi="Cambria"/>
          <w:sz w:val="20"/>
          <w:szCs w:val="20"/>
          <w:bdr w:val="nil"/>
        </w:rPr>
        <w:t xml:space="preserve"> peremptory strikes o</w:t>
      </w:r>
      <w:r w:rsidR="0035485A" w:rsidRPr="00D2222C">
        <w:rPr>
          <w:rFonts w:ascii="Cambria" w:eastAsia="Arial Unicode MS" w:hAnsi="Cambria"/>
          <w:sz w:val="20"/>
          <w:szCs w:val="20"/>
          <w:bdr w:val="nil"/>
        </w:rPr>
        <w:t>f potential jurors based on race made by the same prosecutor.</w:t>
      </w:r>
      <w:r w:rsidR="0035485A" w:rsidRPr="00D2222C">
        <w:rPr>
          <w:rStyle w:val="FootnoteReference"/>
          <w:rFonts w:ascii="Cambria" w:eastAsia="Arial Unicode MS" w:hAnsi="Cambria"/>
          <w:sz w:val="20"/>
          <w:szCs w:val="20"/>
          <w:bdr w:val="nil"/>
        </w:rPr>
        <w:footnoteReference w:id="25"/>
      </w:r>
      <w:r w:rsidR="0035485A" w:rsidRPr="00D2222C">
        <w:rPr>
          <w:rFonts w:ascii="Cambria" w:eastAsia="Arial Unicode MS" w:hAnsi="Cambria"/>
          <w:sz w:val="20"/>
          <w:szCs w:val="20"/>
          <w:bdr w:val="nil"/>
        </w:rPr>
        <w:t xml:space="preserve"> </w:t>
      </w:r>
    </w:p>
    <w:p w14:paraId="50B57217" w14:textId="77777777" w:rsidR="001C4006" w:rsidRPr="00D2222C" w:rsidRDefault="001C4006" w:rsidP="00090720">
      <w:pPr>
        <w:pStyle w:val="Heading2"/>
        <w:numPr>
          <w:ilvl w:val="0"/>
          <w:numId w:val="62"/>
        </w:numPr>
        <w:ind w:left="1440" w:hanging="720"/>
        <w:rPr>
          <w:color w:val="auto"/>
          <w:sz w:val="20"/>
          <w:szCs w:val="20"/>
        </w:rPr>
      </w:pPr>
      <w:bookmarkStart w:id="9" w:name="_Toc26550925"/>
      <w:r w:rsidRPr="00D2222C">
        <w:rPr>
          <w:color w:val="auto"/>
          <w:sz w:val="20"/>
          <w:szCs w:val="20"/>
        </w:rPr>
        <w:t xml:space="preserve">Legal proceedings </w:t>
      </w:r>
      <w:r w:rsidR="00DD6F04" w:rsidRPr="00D2222C">
        <w:rPr>
          <w:color w:val="auto"/>
          <w:sz w:val="20"/>
          <w:szCs w:val="20"/>
        </w:rPr>
        <w:t xml:space="preserve">regarding </w:t>
      </w:r>
      <w:r w:rsidR="00D65E4F" w:rsidRPr="00D2222C">
        <w:rPr>
          <w:color w:val="auto"/>
          <w:sz w:val="20"/>
          <w:szCs w:val="20"/>
        </w:rPr>
        <w:t xml:space="preserve">the </w:t>
      </w:r>
      <w:r w:rsidR="00DD6F04" w:rsidRPr="00D2222C">
        <w:rPr>
          <w:color w:val="auto"/>
          <w:sz w:val="20"/>
          <w:szCs w:val="20"/>
        </w:rPr>
        <w:t>lethal injection protocol</w:t>
      </w:r>
      <w:bookmarkEnd w:id="9"/>
    </w:p>
    <w:p w14:paraId="5BE6BFEF" w14:textId="77777777" w:rsidR="00DD6F04" w:rsidRPr="00D2222C" w:rsidRDefault="00DD6F04" w:rsidP="00090720">
      <w:pPr>
        <w:pStyle w:val="ListParagraph"/>
        <w:ind w:left="1440" w:hanging="720"/>
        <w:jc w:val="both"/>
        <w:rPr>
          <w:rFonts w:asciiTheme="majorHAnsi" w:hAnsiTheme="majorHAnsi"/>
          <w:b/>
          <w:color w:val="auto"/>
          <w:sz w:val="20"/>
          <w:szCs w:val="20"/>
        </w:rPr>
      </w:pPr>
    </w:p>
    <w:p w14:paraId="3E5E1D06" w14:textId="77777777" w:rsidR="002D4CA0" w:rsidRPr="00D2222C" w:rsidRDefault="002D4CA0" w:rsidP="009E3847">
      <w:pPr>
        <w:pStyle w:val="NormalWeb"/>
        <w:numPr>
          <w:ilvl w:val="0"/>
          <w:numId w:val="55"/>
        </w:numPr>
        <w:shd w:val="clear" w:color="auto" w:fill="FFFFFF"/>
        <w:spacing w:before="0" w:beforeAutospacing="0" w:after="0" w:afterAutospacing="0"/>
        <w:ind w:left="0" w:firstLine="0"/>
        <w:jc w:val="both"/>
        <w:rPr>
          <w:rFonts w:asciiTheme="majorHAnsi" w:eastAsia="Arial Unicode MS" w:hAnsiTheme="majorHAnsi"/>
          <w:sz w:val="20"/>
          <w:szCs w:val="20"/>
        </w:rPr>
      </w:pPr>
      <w:r w:rsidRPr="00D2222C">
        <w:rPr>
          <w:rFonts w:asciiTheme="majorHAnsi" w:eastAsia="Arial Unicode MS" w:hAnsiTheme="majorHAnsi"/>
          <w:sz w:val="20"/>
          <w:szCs w:val="20"/>
        </w:rPr>
        <w:t xml:space="preserve">Mr. Hall filed a complaint with the U.S. Penitentiary Terre Haute challenging the lethal injection protocol as a violation of his rights to be free from cruel and unusual punishment and requesting information about the process that would be used for his execution. </w:t>
      </w:r>
      <w:r w:rsidR="0049749D" w:rsidRPr="00D2222C">
        <w:rPr>
          <w:rFonts w:asciiTheme="majorHAnsi" w:eastAsia="Arial Unicode MS" w:hAnsiTheme="majorHAnsi"/>
          <w:sz w:val="20"/>
          <w:szCs w:val="20"/>
        </w:rPr>
        <w:t>The Warden and the Bureau of Prisons Regional Administrator summarily denied his challenge and his request. In November 2006, the Bureau of Prisons Central (National) Administration similarly denied his challenge and request.</w:t>
      </w:r>
      <w:r w:rsidR="0049749D" w:rsidRPr="00D2222C">
        <w:rPr>
          <w:rStyle w:val="FootnoteReference"/>
          <w:rFonts w:asciiTheme="majorHAnsi" w:eastAsia="Arial Unicode MS" w:hAnsiTheme="majorHAnsi"/>
          <w:sz w:val="20"/>
          <w:szCs w:val="20"/>
        </w:rPr>
        <w:footnoteReference w:id="26"/>
      </w:r>
    </w:p>
    <w:p w14:paraId="3B8C49EB" w14:textId="77777777" w:rsidR="000E56C3" w:rsidRPr="00D2222C" w:rsidRDefault="000E56C3" w:rsidP="009E3847">
      <w:pPr>
        <w:pStyle w:val="NormalWeb"/>
        <w:shd w:val="clear" w:color="auto" w:fill="FFFFFF"/>
        <w:spacing w:before="0" w:beforeAutospacing="0" w:after="0" w:afterAutospacing="0"/>
        <w:ind w:left="720"/>
        <w:jc w:val="both"/>
        <w:rPr>
          <w:rFonts w:asciiTheme="majorHAnsi" w:eastAsia="Arial Unicode MS" w:hAnsiTheme="majorHAnsi"/>
          <w:sz w:val="20"/>
          <w:szCs w:val="20"/>
        </w:rPr>
      </w:pPr>
    </w:p>
    <w:p w14:paraId="0FFC94F1" w14:textId="77777777" w:rsidR="000E56C3" w:rsidRPr="00D2222C" w:rsidRDefault="000E56C3" w:rsidP="009E3847">
      <w:pPr>
        <w:pStyle w:val="NormalWeb"/>
        <w:numPr>
          <w:ilvl w:val="0"/>
          <w:numId w:val="55"/>
        </w:numPr>
        <w:shd w:val="clear" w:color="auto" w:fill="FFFFFF"/>
        <w:spacing w:before="0" w:beforeAutospacing="0" w:after="0" w:afterAutospacing="0"/>
        <w:ind w:left="0" w:firstLine="0"/>
        <w:jc w:val="both"/>
        <w:rPr>
          <w:rFonts w:asciiTheme="majorHAnsi" w:eastAsia="Arial Unicode MS" w:hAnsiTheme="majorHAnsi"/>
          <w:sz w:val="20"/>
          <w:szCs w:val="20"/>
        </w:rPr>
      </w:pPr>
      <w:r w:rsidRPr="00D2222C">
        <w:rPr>
          <w:rFonts w:asciiTheme="majorHAnsi" w:eastAsia="Arial Unicode MS" w:hAnsiTheme="majorHAnsi"/>
          <w:sz w:val="20"/>
          <w:szCs w:val="20"/>
        </w:rPr>
        <w:t>After exhaust</w:t>
      </w:r>
      <w:r w:rsidR="006247DB" w:rsidRPr="00D2222C">
        <w:rPr>
          <w:rFonts w:asciiTheme="majorHAnsi" w:eastAsia="Arial Unicode MS" w:hAnsiTheme="majorHAnsi"/>
          <w:sz w:val="20"/>
          <w:szCs w:val="20"/>
        </w:rPr>
        <w:t>ing</w:t>
      </w:r>
      <w:r w:rsidRPr="00D2222C">
        <w:rPr>
          <w:rFonts w:asciiTheme="majorHAnsi" w:eastAsia="Arial Unicode MS" w:hAnsiTheme="majorHAnsi"/>
          <w:sz w:val="20"/>
          <w:szCs w:val="20"/>
        </w:rPr>
        <w:t xml:space="preserve"> his administrative appeals, Mr. Hall </w:t>
      </w:r>
      <w:r w:rsidR="00BC6FB1" w:rsidRPr="00D2222C">
        <w:rPr>
          <w:rFonts w:asciiTheme="majorHAnsi" w:eastAsia="Arial Unicode MS" w:hAnsiTheme="majorHAnsi"/>
          <w:sz w:val="20"/>
          <w:szCs w:val="20"/>
        </w:rPr>
        <w:t xml:space="preserve">filed a civil action before the United States District Court for the District of Columbia on June 4, 2007. </w:t>
      </w:r>
      <w:r w:rsidR="00F06961" w:rsidRPr="00D2222C">
        <w:rPr>
          <w:rFonts w:asciiTheme="majorHAnsi" w:eastAsia="Arial Unicode MS" w:hAnsiTheme="majorHAnsi"/>
          <w:sz w:val="20"/>
          <w:szCs w:val="20"/>
        </w:rPr>
        <w:t>Mr. Hall alleged that the three-drug protocol threatened to subject him to consciously experiencing asphyxiation and cardiac arrest and that, by refusing to provide adequate information about the protocol, the government violated his right to due process of law.</w:t>
      </w:r>
      <w:r w:rsidR="003E4E8A" w:rsidRPr="00D2222C">
        <w:rPr>
          <w:rStyle w:val="FootnoteReference"/>
          <w:rFonts w:asciiTheme="majorHAnsi" w:eastAsia="Arial Unicode MS" w:hAnsiTheme="majorHAnsi"/>
          <w:sz w:val="20"/>
          <w:szCs w:val="20"/>
        </w:rPr>
        <w:footnoteReference w:id="27"/>
      </w:r>
    </w:p>
    <w:p w14:paraId="67EA897C" w14:textId="77777777" w:rsidR="00DD6F04" w:rsidRPr="00D2222C" w:rsidRDefault="00DD6F04" w:rsidP="009E3847">
      <w:pPr>
        <w:pStyle w:val="ListParagraph"/>
        <w:ind w:left="1440"/>
        <w:jc w:val="both"/>
        <w:rPr>
          <w:rFonts w:asciiTheme="majorHAnsi" w:hAnsiTheme="majorHAnsi"/>
          <w:b/>
          <w:color w:val="auto"/>
          <w:sz w:val="20"/>
          <w:szCs w:val="20"/>
        </w:rPr>
      </w:pPr>
    </w:p>
    <w:p w14:paraId="2BA95322" w14:textId="77777777" w:rsidR="000D3921" w:rsidRPr="00D2222C" w:rsidRDefault="0049749D" w:rsidP="009E3847">
      <w:pPr>
        <w:pStyle w:val="NormalWeb"/>
        <w:numPr>
          <w:ilvl w:val="0"/>
          <w:numId w:val="55"/>
        </w:numPr>
        <w:shd w:val="clear" w:color="auto" w:fill="FFFFFF"/>
        <w:spacing w:before="0" w:beforeAutospacing="0" w:after="0" w:afterAutospacing="0"/>
        <w:ind w:left="0" w:firstLine="0"/>
        <w:jc w:val="both"/>
        <w:rPr>
          <w:rFonts w:eastAsia="Arial Unicode MS"/>
          <w:sz w:val="20"/>
          <w:szCs w:val="20"/>
        </w:rPr>
      </w:pPr>
      <w:r w:rsidRPr="00D2222C">
        <w:rPr>
          <w:rFonts w:ascii="Cambria" w:eastAsia="Arial Unicode MS" w:hAnsi="Cambria"/>
          <w:sz w:val="20"/>
          <w:szCs w:val="20"/>
          <w:bdr w:val="nil"/>
        </w:rPr>
        <w:t>In 2007</w:t>
      </w:r>
      <w:r w:rsidR="003C6480" w:rsidRPr="00D2222C">
        <w:rPr>
          <w:rFonts w:ascii="Cambria" w:eastAsia="Arial Unicode MS" w:hAnsi="Cambria"/>
          <w:sz w:val="20"/>
          <w:szCs w:val="20"/>
          <w:bdr w:val="nil"/>
        </w:rPr>
        <w:t>,</w:t>
      </w:r>
      <w:r w:rsidRPr="00D2222C">
        <w:rPr>
          <w:rFonts w:ascii="Cambria" w:eastAsia="Arial Unicode MS" w:hAnsi="Cambria"/>
          <w:sz w:val="20"/>
          <w:szCs w:val="20"/>
          <w:bdr w:val="nil"/>
        </w:rPr>
        <w:t xml:space="preserve"> Mr. Hall joined federal death row inmates</w:t>
      </w:r>
      <w:r w:rsidR="00636E0C" w:rsidRPr="00D2222C">
        <w:rPr>
          <w:rFonts w:ascii="Cambria" w:eastAsia="Arial Unicode MS" w:hAnsi="Cambria"/>
          <w:sz w:val="20"/>
          <w:szCs w:val="20"/>
          <w:bdr w:val="nil"/>
        </w:rPr>
        <w:t xml:space="preserve"> Roane, Tipton and Johnson</w:t>
      </w:r>
      <w:r w:rsidRPr="00D2222C">
        <w:rPr>
          <w:rFonts w:ascii="Cambria" w:eastAsia="Arial Unicode MS" w:hAnsi="Cambria"/>
          <w:sz w:val="20"/>
          <w:szCs w:val="20"/>
          <w:bdr w:val="nil"/>
        </w:rPr>
        <w:t xml:space="preserve"> in a federal lawsuit </w:t>
      </w:r>
      <w:r w:rsidR="00636E0C" w:rsidRPr="00D2222C">
        <w:rPr>
          <w:rFonts w:ascii="Cambria" w:eastAsia="Arial Unicode MS" w:hAnsi="Cambria"/>
          <w:sz w:val="20"/>
          <w:szCs w:val="20"/>
          <w:bdr w:val="nil"/>
        </w:rPr>
        <w:t xml:space="preserve">before the District of Columbia Circuit Court originally </w:t>
      </w:r>
      <w:r w:rsidRPr="00D2222C">
        <w:rPr>
          <w:rFonts w:ascii="Cambria" w:eastAsia="Arial Unicode MS" w:hAnsi="Cambria"/>
          <w:sz w:val="20"/>
          <w:szCs w:val="20"/>
          <w:bdr w:val="nil"/>
        </w:rPr>
        <w:t>filed</w:t>
      </w:r>
      <w:r w:rsidR="00636E0C" w:rsidRPr="00D2222C">
        <w:rPr>
          <w:rFonts w:ascii="Cambria" w:eastAsia="Arial Unicode MS" w:hAnsi="Cambria"/>
          <w:sz w:val="20"/>
          <w:szCs w:val="20"/>
          <w:bdr w:val="nil"/>
        </w:rPr>
        <w:t xml:space="preserve"> on December 6, 2005,</w:t>
      </w:r>
      <w:r w:rsidRPr="00D2222C">
        <w:rPr>
          <w:rFonts w:ascii="Cambria" w:eastAsia="Arial Unicode MS" w:hAnsi="Cambria"/>
          <w:sz w:val="20"/>
          <w:szCs w:val="20"/>
          <w:bdr w:val="nil"/>
        </w:rPr>
        <w:t xml:space="preserve"> challenging the execution procedures. In April 2011, the government notified the district court that sodium thiopental, one of the three drugs used to carry out executions as called for by the federal protocol, was no longer available. In July 2011, the government informed the court that in light of the unavailability of sodium thiopental it had decided to alter the drug mixture used in its executions. Since then, activity in the case has been limited to the government filing</w:t>
      </w:r>
      <w:r w:rsidR="00012470" w:rsidRPr="00D2222C">
        <w:rPr>
          <w:rFonts w:ascii="Cambria" w:eastAsia="Arial Unicode MS" w:hAnsi="Cambria"/>
          <w:sz w:val="20"/>
          <w:szCs w:val="20"/>
          <w:bdr w:val="nil"/>
        </w:rPr>
        <w:t xml:space="preserve"> status reports every four months</w:t>
      </w:r>
      <w:r w:rsidRPr="00D2222C">
        <w:rPr>
          <w:rFonts w:ascii="Cambria" w:eastAsia="Arial Unicode MS" w:hAnsi="Cambria"/>
          <w:sz w:val="20"/>
          <w:szCs w:val="20"/>
          <w:bdr w:val="nil"/>
        </w:rPr>
        <w:t xml:space="preserve"> as it continues the process to determine what drug combination will be used. In the meantime, the inmates’ claims remain unresolved.</w:t>
      </w:r>
      <w:r w:rsidRPr="00D2222C">
        <w:rPr>
          <w:rStyle w:val="FootnoteReference"/>
          <w:rFonts w:ascii="Cambria" w:eastAsia="Arial Unicode MS" w:hAnsi="Cambria"/>
          <w:sz w:val="20"/>
          <w:szCs w:val="20"/>
          <w:bdr w:val="nil"/>
        </w:rPr>
        <w:footnoteReference w:id="28"/>
      </w:r>
      <w:r w:rsidRPr="00D2222C">
        <w:rPr>
          <w:rFonts w:ascii="Cambria" w:eastAsia="Arial Unicode MS" w:hAnsi="Cambria"/>
          <w:sz w:val="20"/>
          <w:szCs w:val="20"/>
          <w:bdr w:val="nil"/>
        </w:rPr>
        <w:t xml:space="preserve"> </w:t>
      </w:r>
    </w:p>
    <w:p w14:paraId="19E70736" w14:textId="77777777" w:rsidR="007D4C93" w:rsidRPr="00D2222C" w:rsidRDefault="007D4C93" w:rsidP="007D2FEE">
      <w:pPr>
        <w:pStyle w:val="ListParagraph"/>
        <w:rPr>
          <w:sz w:val="20"/>
          <w:szCs w:val="20"/>
        </w:rPr>
      </w:pPr>
    </w:p>
    <w:p w14:paraId="4F0C5D83" w14:textId="77777777" w:rsidR="001C4006" w:rsidRPr="00D2222C" w:rsidRDefault="001C4006" w:rsidP="00090720">
      <w:pPr>
        <w:pStyle w:val="Heading1"/>
        <w:spacing w:before="0"/>
        <w:ind w:left="1440" w:hanging="720"/>
        <w:rPr>
          <w:color w:val="auto"/>
          <w:sz w:val="20"/>
          <w:szCs w:val="20"/>
          <w:lang w:val="es-ES_tradnl"/>
        </w:rPr>
      </w:pPr>
      <w:bookmarkStart w:id="10" w:name="_Toc26550926"/>
      <w:r w:rsidRPr="00D2222C">
        <w:rPr>
          <w:color w:val="auto"/>
          <w:sz w:val="20"/>
          <w:szCs w:val="20"/>
          <w:lang w:val="es-ES_tradnl"/>
        </w:rPr>
        <w:t>ANALYSIS OF LAW</w:t>
      </w:r>
      <w:bookmarkEnd w:id="10"/>
    </w:p>
    <w:p w14:paraId="286C3B97" w14:textId="77777777" w:rsidR="001C4006" w:rsidRPr="00D2222C" w:rsidRDefault="001C4006" w:rsidP="00090720">
      <w:pPr>
        <w:suppressAutoHyphens/>
        <w:rPr>
          <w:rFonts w:asciiTheme="majorHAnsi" w:hAnsiTheme="majorHAnsi"/>
          <w:b/>
          <w:sz w:val="20"/>
          <w:szCs w:val="20"/>
          <w:lang w:val="es-ES_tradnl"/>
        </w:rPr>
      </w:pPr>
    </w:p>
    <w:p w14:paraId="5B36D0E4" w14:textId="77777777" w:rsidR="007D2FEE" w:rsidRPr="00D2222C" w:rsidRDefault="007D2FEE" w:rsidP="00090720">
      <w:pPr>
        <w:pStyle w:val="Heading2"/>
        <w:spacing w:before="0"/>
        <w:ind w:left="1440" w:hanging="720"/>
        <w:rPr>
          <w:color w:val="auto"/>
          <w:sz w:val="20"/>
          <w:szCs w:val="20"/>
        </w:rPr>
      </w:pPr>
      <w:bookmarkStart w:id="11" w:name="_Toc412815742"/>
      <w:bookmarkStart w:id="12" w:name="_Toc26550927"/>
      <w:r w:rsidRPr="00D2222C">
        <w:rPr>
          <w:color w:val="auto"/>
          <w:sz w:val="20"/>
          <w:szCs w:val="20"/>
        </w:rPr>
        <w:t>A.</w:t>
      </w:r>
      <w:r w:rsidRPr="00D2222C">
        <w:rPr>
          <w:color w:val="auto"/>
          <w:sz w:val="20"/>
          <w:szCs w:val="20"/>
        </w:rPr>
        <w:tab/>
        <w:t xml:space="preserve">Preliminary </w:t>
      </w:r>
      <w:bookmarkEnd w:id="11"/>
      <w:r w:rsidRPr="00D2222C">
        <w:rPr>
          <w:color w:val="auto"/>
          <w:sz w:val="20"/>
          <w:szCs w:val="20"/>
        </w:rPr>
        <w:t>considerations</w:t>
      </w:r>
      <w:bookmarkEnd w:id="12"/>
    </w:p>
    <w:p w14:paraId="60F8AE24" w14:textId="77777777" w:rsidR="007D2FEE" w:rsidRPr="00D2222C" w:rsidRDefault="007D2FEE" w:rsidP="00090720">
      <w:pPr>
        <w:ind w:left="720"/>
        <w:jc w:val="both"/>
        <w:rPr>
          <w:rFonts w:ascii="Cambria" w:hAnsi="Cambria"/>
          <w:sz w:val="20"/>
          <w:szCs w:val="20"/>
        </w:rPr>
      </w:pPr>
    </w:p>
    <w:p w14:paraId="3F3D89D3" w14:textId="77777777" w:rsidR="007D2FEE" w:rsidRPr="00D2222C" w:rsidRDefault="007D2FEE" w:rsidP="009E3847">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rPr>
      </w:pPr>
      <w:r w:rsidRPr="00D2222C">
        <w:rPr>
          <w:rFonts w:ascii="Cambria" w:hAnsi="Cambria"/>
          <w:sz w:val="20"/>
          <w:szCs w:val="20"/>
        </w:rPr>
        <w:t xml:space="preserve">Before embarking on its analysis of the merits in the case of Orlando Cordia Hall, the Inter-American Commission believes it should reiterate its previous rulings regarding the heightened scrutiny to be used in cases involving the death penalty. The right to life has received broad recognition as the supreme human right and as a </w:t>
      </w:r>
      <w:r w:rsidRPr="00D2222C">
        <w:rPr>
          <w:rFonts w:ascii="Cambria" w:hAnsi="Cambria"/>
          <w:i/>
          <w:iCs/>
          <w:sz w:val="20"/>
          <w:szCs w:val="20"/>
        </w:rPr>
        <w:t>sine qua non</w:t>
      </w:r>
      <w:r w:rsidRPr="00D2222C">
        <w:rPr>
          <w:rFonts w:ascii="Cambria" w:hAnsi="Cambria"/>
          <w:sz w:val="20"/>
          <w:szCs w:val="20"/>
        </w:rPr>
        <w:t xml:space="preserve"> for the enjoyment of all other rights. </w:t>
      </w:r>
    </w:p>
    <w:p w14:paraId="36DD28F6" w14:textId="77777777" w:rsidR="007D2FEE" w:rsidRPr="00D2222C" w:rsidRDefault="007D2FEE" w:rsidP="009E3847">
      <w:pPr>
        <w:pStyle w:val="NormalWeb"/>
        <w:shd w:val="clear" w:color="auto" w:fill="FFFFFF"/>
        <w:spacing w:before="0" w:beforeAutospacing="0" w:after="0" w:afterAutospacing="0"/>
        <w:ind w:left="720"/>
        <w:jc w:val="both"/>
        <w:rPr>
          <w:rFonts w:ascii="Cambria" w:eastAsia="Arial Unicode MS" w:hAnsi="Cambria"/>
          <w:sz w:val="20"/>
          <w:szCs w:val="20"/>
          <w:bdr w:val="nil"/>
        </w:rPr>
      </w:pPr>
    </w:p>
    <w:p w14:paraId="5D793FE1" w14:textId="77777777" w:rsidR="007D2FEE" w:rsidRPr="00D2222C" w:rsidRDefault="007D2FEE" w:rsidP="009E3847">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rPr>
      </w:pPr>
      <w:r w:rsidRPr="00D2222C">
        <w:rPr>
          <w:rFonts w:ascii="Cambria" w:hAnsi="Cambria"/>
          <w:sz w:val="20"/>
          <w:szCs w:val="20"/>
        </w:rPr>
        <w:t>That gives rise to the particular importance of the IACHR’s obligation to ensure that any denial of life that may arise from the enforcement of the death penalty strictly abides by the requirements set forth in the applicable instruments of the inter-American human rights system, including the American Declaration. That heightened scrutiny is consistent with the restrictive approach adopted by other international human rights bodies in cases involving the imposition of the death penalty,</w:t>
      </w:r>
      <w:r w:rsidRPr="00D2222C">
        <w:rPr>
          <w:rStyle w:val="FootnoteReference"/>
          <w:rFonts w:ascii="Cambria" w:eastAsia="Trebuchet MS" w:hAnsi="Cambria"/>
          <w:sz w:val="20"/>
          <w:szCs w:val="20"/>
        </w:rPr>
        <w:footnoteReference w:id="29"/>
      </w:r>
      <w:r w:rsidRPr="00D2222C">
        <w:rPr>
          <w:rFonts w:ascii="Cambria" w:hAnsi="Cambria"/>
          <w:sz w:val="20"/>
          <w:szCs w:val="20"/>
        </w:rPr>
        <w:t xml:space="preserve"> and it has been set out and applied by the Inter-</w:t>
      </w:r>
      <w:r w:rsidRPr="00D2222C">
        <w:rPr>
          <w:rFonts w:ascii="Cambria" w:hAnsi="Cambria"/>
          <w:sz w:val="20"/>
          <w:szCs w:val="20"/>
        </w:rPr>
        <w:lastRenderedPageBreak/>
        <w:t>American Commission in previous capital cases brought before it.</w:t>
      </w:r>
      <w:r w:rsidRPr="00D2222C">
        <w:rPr>
          <w:rStyle w:val="FootnoteReference"/>
          <w:rFonts w:ascii="Cambria" w:eastAsia="Trebuchet MS" w:hAnsi="Cambria"/>
          <w:sz w:val="20"/>
          <w:szCs w:val="20"/>
        </w:rPr>
        <w:t xml:space="preserve"> </w:t>
      </w:r>
      <w:r w:rsidRPr="00D2222C">
        <w:rPr>
          <w:rStyle w:val="FootnoteReference"/>
          <w:rFonts w:ascii="Cambria" w:eastAsia="Trebuchet MS" w:hAnsi="Cambria"/>
          <w:sz w:val="20"/>
          <w:szCs w:val="20"/>
        </w:rPr>
        <w:footnoteReference w:id="30"/>
      </w:r>
      <w:r w:rsidR="00C01451" w:rsidRPr="00D2222C">
        <w:rPr>
          <w:rStyle w:val="FootnoteReference"/>
          <w:rFonts w:ascii="Cambria" w:eastAsia="Arial Unicode MS" w:hAnsi="Cambria"/>
          <w:sz w:val="20"/>
          <w:szCs w:val="20"/>
          <w:bdr w:val="nil"/>
          <w:vertAlign w:val="baseline"/>
        </w:rPr>
        <w:t xml:space="preserve"> </w:t>
      </w:r>
      <w:r w:rsidRPr="00D2222C">
        <w:rPr>
          <w:rFonts w:ascii="Cambria" w:hAnsi="Cambria"/>
          <w:sz w:val="20"/>
          <w:szCs w:val="20"/>
        </w:rPr>
        <w:t>As the Inter-American Commission has explained, this standard of review is the necessary consequence of the specific penalty at issue and the right to a fair trial and all attendant due process guarantees, among others.</w:t>
      </w:r>
      <w:r w:rsidRPr="00D2222C">
        <w:rPr>
          <w:rStyle w:val="FootnoteReference"/>
          <w:rFonts w:ascii="Cambria" w:eastAsia="Trebuchet MS" w:hAnsi="Cambria"/>
          <w:sz w:val="20"/>
          <w:szCs w:val="20"/>
        </w:rPr>
        <w:footnoteReference w:id="31"/>
      </w:r>
      <w:r w:rsidRPr="00D2222C">
        <w:rPr>
          <w:rFonts w:ascii="Cambria" w:hAnsi="Cambria"/>
          <w:sz w:val="20"/>
          <w:szCs w:val="20"/>
        </w:rPr>
        <w:t xml:space="preserve"> In the words of the Commission:</w:t>
      </w:r>
    </w:p>
    <w:p w14:paraId="0F9484C4" w14:textId="77777777" w:rsidR="007D2FEE" w:rsidRPr="00D2222C" w:rsidRDefault="007D2FEE" w:rsidP="007D2FEE">
      <w:pPr>
        <w:pStyle w:val="ListParagraph"/>
        <w:rPr>
          <w:sz w:val="20"/>
          <w:szCs w:val="20"/>
        </w:rPr>
      </w:pPr>
    </w:p>
    <w:p w14:paraId="4FB60781" w14:textId="77777777" w:rsidR="007D2FEE" w:rsidRPr="00D2222C" w:rsidRDefault="007D2FEE" w:rsidP="007D2FEE">
      <w:pPr>
        <w:autoSpaceDE w:val="0"/>
        <w:autoSpaceDN w:val="0"/>
        <w:adjustRightInd w:val="0"/>
        <w:ind w:left="720" w:right="720"/>
        <w:jc w:val="both"/>
        <w:rPr>
          <w:rFonts w:ascii="Cambria" w:hAnsi="Cambria" w:cs="Calibri"/>
          <w:sz w:val="20"/>
          <w:szCs w:val="20"/>
        </w:rPr>
      </w:pPr>
      <w:r w:rsidRPr="00D2222C">
        <w:rPr>
          <w:rFonts w:ascii="Cambria" w:hAnsi="Cambria" w:cs="Calibri"/>
          <w:sz w:val="20"/>
          <w:szCs w:val="20"/>
        </w:rPr>
        <w:t>due in part to its irrevocable and irreversible nature, the death penalty is a form of punishment that differs in substance as well as in degree in comparison with other means of punishment, and therefore warrants a particularly stringent need for reliability in determining whether a person is responsible for a crime that carries a penalty of death.</w:t>
      </w:r>
      <w:r w:rsidRPr="00D2222C">
        <w:rPr>
          <w:rStyle w:val="FootnoteReference"/>
          <w:rFonts w:ascii="Cambria" w:hAnsi="Cambria"/>
          <w:sz w:val="20"/>
          <w:szCs w:val="20"/>
        </w:rPr>
        <w:footnoteReference w:id="32"/>
      </w:r>
    </w:p>
    <w:p w14:paraId="154AB177" w14:textId="77777777" w:rsidR="007D2FEE" w:rsidRPr="00D2222C" w:rsidRDefault="007D2FEE" w:rsidP="007D2FEE">
      <w:pPr>
        <w:jc w:val="both"/>
        <w:rPr>
          <w:rFonts w:ascii="Cambria" w:hAnsi="Cambria"/>
          <w:sz w:val="20"/>
          <w:szCs w:val="20"/>
        </w:rPr>
      </w:pPr>
    </w:p>
    <w:p w14:paraId="6D86CE49" w14:textId="77777777" w:rsidR="009D15C7" w:rsidRPr="00D2222C" w:rsidRDefault="007D2FEE" w:rsidP="009E3847">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rPr>
      </w:pPr>
      <w:r w:rsidRPr="00D2222C">
        <w:rPr>
          <w:rFonts w:ascii="Cambria" w:hAnsi="Cambria" w:cs="Calibri"/>
          <w:sz w:val="20"/>
          <w:szCs w:val="20"/>
        </w:rPr>
        <w:t>The Inter-American Commission will therefore review the petitioners’ allegations in the present case with a heightened level of scrutiny, to ensure in particular that the rights to life, due process, and to a fair trial as prescribed under the American Declaration have been respected by the State.</w:t>
      </w:r>
      <w:r w:rsidR="009D15C7" w:rsidRPr="00D2222C">
        <w:rPr>
          <w:rFonts w:ascii="Cambria" w:hAnsi="Cambria" w:cs="Calibri"/>
          <w:sz w:val="20"/>
          <w:szCs w:val="20"/>
        </w:rPr>
        <w:t xml:space="preserve"> </w:t>
      </w:r>
      <w:r w:rsidR="009D15C7" w:rsidRPr="00D2222C">
        <w:rPr>
          <w:rFonts w:ascii="Cambria" w:hAnsi="Cambria"/>
          <w:sz w:val="20"/>
        </w:rPr>
        <w:t>With regard to the legal status of the American Declaration, the IACHR reiterates that:</w:t>
      </w:r>
      <w:r w:rsidR="009D15C7" w:rsidRPr="00D2222C">
        <w:rPr>
          <w:rFonts w:ascii="Cambria" w:hAnsi="Cambria" w:cs="Tahoma"/>
          <w:color w:val="262626"/>
          <w:sz w:val="20"/>
          <w:szCs w:val="20"/>
        </w:rPr>
        <w:t xml:space="preserve"> </w:t>
      </w:r>
    </w:p>
    <w:p w14:paraId="67A4BF3A" w14:textId="77777777" w:rsidR="009D15C7" w:rsidRPr="00D2222C" w:rsidRDefault="009D15C7" w:rsidP="009D15C7">
      <w:pPr>
        <w:tabs>
          <w:tab w:val="left" w:pos="630"/>
          <w:tab w:val="left" w:pos="810"/>
        </w:tabs>
        <w:autoSpaceDE w:val="0"/>
        <w:autoSpaceDN w:val="0"/>
        <w:adjustRightInd w:val="0"/>
        <w:jc w:val="both"/>
        <w:rPr>
          <w:rFonts w:ascii="Cambria" w:hAnsi="Cambria" w:cs="Calibri"/>
          <w:sz w:val="20"/>
          <w:szCs w:val="20"/>
        </w:rPr>
      </w:pPr>
    </w:p>
    <w:p w14:paraId="364905E3" w14:textId="77777777" w:rsidR="009D15C7" w:rsidRPr="00D2222C" w:rsidRDefault="009D15C7" w:rsidP="009D15C7">
      <w:pPr>
        <w:tabs>
          <w:tab w:val="left" w:pos="630"/>
          <w:tab w:val="left" w:pos="810"/>
        </w:tabs>
        <w:autoSpaceDE w:val="0"/>
        <w:autoSpaceDN w:val="0"/>
        <w:adjustRightInd w:val="0"/>
        <w:ind w:left="720" w:right="720"/>
        <w:jc w:val="both"/>
        <w:rPr>
          <w:rFonts w:ascii="Cambria" w:hAnsi="Cambria" w:cs="Calibri"/>
          <w:sz w:val="20"/>
          <w:szCs w:val="20"/>
        </w:rPr>
      </w:pPr>
      <w:r w:rsidRPr="00D2222C">
        <w:rPr>
          <w:rFonts w:ascii="Cambria" w:hAnsi="Cambria"/>
          <w:sz w:val="20"/>
        </w:rPr>
        <w:t>[t]he American Declaration is, for the Member States not parties to the American Convention, the source of international obligations related to the OAS Charter. The Charter of the Organization gave the IACHR the principal function of promoting the observance and protection of human rights in the Member States. Article 106 of the OAS Charter does not, however, list or define those rights. The General Assembly of the OAS at its Ninth Regular Period of Sessions, held in La Paz, Bolivia, in October, 1979, agreed that those rights are those enunciated and defined in the American Declaration. Therefore, the American Declaration crystallizes the fundamental principles recognized by the American States. The OAS General Assembly has also repeatedly recognized that the American Declaration is a source of international obligations for the member states of the OAS.</w:t>
      </w:r>
      <w:r w:rsidRPr="00D2222C">
        <w:rPr>
          <w:rStyle w:val="FootnoteReference"/>
          <w:rFonts w:ascii="Cambria" w:hAnsi="Cambria"/>
          <w:sz w:val="20"/>
        </w:rPr>
        <w:footnoteReference w:id="33"/>
      </w:r>
    </w:p>
    <w:p w14:paraId="2A73ABEF" w14:textId="77777777" w:rsidR="007D2FEE" w:rsidRPr="00D2222C" w:rsidRDefault="007D2FEE" w:rsidP="007D2FEE">
      <w:pPr>
        <w:pStyle w:val="ListParagraph"/>
        <w:rPr>
          <w:sz w:val="20"/>
          <w:szCs w:val="20"/>
        </w:rPr>
      </w:pPr>
    </w:p>
    <w:p w14:paraId="3297BAD4" w14:textId="77777777" w:rsidR="000332F4" w:rsidRPr="00D2222C" w:rsidRDefault="00C423E4" w:rsidP="009E3847">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rPr>
      </w:pPr>
      <w:r w:rsidRPr="00D2222C">
        <w:rPr>
          <w:rFonts w:ascii="Cambria" w:hAnsi="Cambria"/>
          <w:sz w:val="20"/>
        </w:rPr>
        <w:t>Finally, the Commission recalls that its review does not consist of determining that the death penalty and of itself violates the American Declaration. What this section addresses is the standard of review of the alleged human rights violations in the context of a trial culminating in the death penalty.</w:t>
      </w:r>
    </w:p>
    <w:p w14:paraId="01E72A0A" w14:textId="77777777" w:rsidR="000332F4" w:rsidRPr="00D2222C" w:rsidRDefault="000332F4" w:rsidP="00090720">
      <w:pPr>
        <w:pStyle w:val="NormalWeb"/>
        <w:shd w:val="clear" w:color="auto" w:fill="FFFFFF"/>
        <w:spacing w:before="0" w:beforeAutospacing="0" w:after="0" w:afterAutospacing="0"/>
        <w:ind w:left="720"/>
        <w:jc w:val="both"/>
        <w:rPr>
          <w:rFonts w:asciiTheme="majorHAnsi" w:eastAsia="Arial Unicode MS" w:hAnsiTheme="majorHAnsi"/>
          <w:sz w:val="20"/>
          <w:szCs w:val="20"/>
          <w:bdr w:val="nil"/>
        </w:rPr>
      </w:pPr>
    </w:p>
    <w:p w14:paraId="1C447F00" w14:textId="77777777" w:rsidR="001C4006" w:rsidRPr="00D2222C" w:rsidRDefault="00C546AB" w:rsidP="00090720">
      <w:pPr>
        <w:pStyle w:val="Heading2"/>
        <w:numPr>
          <w:ilvl w:val="0"/>
          <w:numId w:val="56"/>
        </w:numPr>
        <w:spacing w:before="0"/>
        <w:ind w:left="1440" w:hanging="720"/>
        <w:rPr>
          <w:color w:val="auto"/>
          <w:sz w:val="20"/>
          <w:szCs w:val="20"/>
        </w:rPr>
      </w:pPr>
      <w:bookmarkStart w:id="13" w:name="_Toc485650798"/>
      <w:bookmarkStart w:id="14" w:name="_Toc26550928"/>
      <w:r w:rsidRPr="00D2222C">
        <w:rPr>
          <w:rFonts w:eastAsia="Times New Roman"/>
          <w:color w:val="auto"/>
          <w:sz w:val="20"/>
          <w:szCs w:val="20"/>
          <w:bdr w:val="none" w:sz="0" w:space="0" w:color="auto"/>
        </w:rPr>
        <w:t>Right to</w:t>
      </w:r>
      <w:r w:rsidR="00922A9F" w:rsidRPr="00D2222C">
        <w:rPr>
          <w:rFonts w:eastAsia="Times New Roman"/>
          <w:color w:val="auto"/>
          <w:sz w:val="20"/>
          <w:szCs w:val="20"/>
          <w:bdr w:val="none" w:sz="0" w:space="0" w:color="auto"/>
        </w:rPr>
        <w:t xml:space="preserve"> equality before the law</w:t>
      </w:r>
      <w:r w:rsidR="00922A9F" w:rsidRPr="00D2222C">
        <w:rPr>
          <w:rStyle w:val="FootnoteReference"/>
          <w:color w:val="auto"/>
          <w:sz w:val="20"/>
          <w:szCs w:val="20"/>
          <w:lang w:val="es-ES"/>
        </w:rPr>
        <w:footnoteReference w:id="34"/>
      </w:r>
      <w:r w:rsidR="001C4006" w:rsidRPr="00D2222C">
        <w:rPr>
          <w:color w:val="auto"/>
          <w:sz w:val="20"/>
          <w:szCs w:val="20"/>
        </w:rPr>
        <w:t xml:space="preserve"> </w:t>
      </w:r>
      <w:bookmarkEnd w:id="13"/>
      <w:r w:rsidR="00047F35" w:rsidRPr="00D2222C">
        <w:rPr>
          <w:color w:val="auto"/>
          <w:sz w:val="20"/>
          <w:szCs w:val="20"/>
        </w:rPr>
        <w:t>and access to effective remedy</w:t>
      </w:r>
      <w:r w:rsidR="00047F35" w:rsidRPr="00D2222C">
        <w:rPr>
          <w:rStyle w:val="FootnoteReference"/>
          <w:color w:val="auto"/>
          <w:sz w:val="20"/>
          <w:szCs w:val="20"/>
        </w:rPr>
        <w:footnoteReference w:id="35"/>
      </w:r>
      <w:bookmarkEnd w:id="14"/>
    </w:p>
    <w:p w14:paraId="0AC8F3C7" w14:textId="77777777" w:rsidR="001C4006" w:rsidRPr="00D2222C" w:rsidRDefault="001C4006" w:rsidP="00090720">
      <w:pPr>
        <w:pStyle w:val="ListParagraph"/>
        <w:ind w:left="1440" w:hanging="720"/>
        <w:jc w:val="both"/>
        <w:rPr>
          <w:rFonts w:asciiTheme="majorHAnsi" w:hAnsiTheme="majorHAnsi"/>
          <w:b/>
          <w:color w:val="auto"/>
          <w:sz w:val="20"/>
          <w:szCs w:val="20"/>
        </w:rPr>
      </w:pPr>
    </w:p>
    <w:p w14:paraId="5A3CDC6D" w14:textId="77777777" w:rsidR="001C4006" w:rsidRPr="00D2222C" w:rsidRDefault="001C4006" w:rsidP="00090720">
      <w:pPr>
        <w:pStyle w:val="Heading3"/>
        <w:numPr>
          <w:ilvl w:val="0"/>
          <w:numId w:val="63"/>
        </w:numPr>
        <w:spacing w:before="0"/>
        <w:ind w:left="1440" w:hanging="720"/>
        <w:rPr>
          <w:color w:val="auto"/>
          <w:sz w:val="20"/>
          <w:szCs w:val="20"/>
        </w:rPr>
      </w:pPr>
      <w:bookmarkStart w:id="15" w:name="_Toc26550929"/>
      <w:r w:rsidRPr="00D2222C">
        <w:rPr>
          <w:color w:val="auto"/>
          <w:sz w:val="20"/>
          <w:szCs w:val="20"/>
        </w:rPr>
        <w:t xml:space="preserve">General considerations regarding </w:t>
      </w:r>
      <w:r w:rsidR="000332F4" w:rsidRPr="00D2222C">
        <w:rPr>
          <w:color w:val="auto"/>
          <w:sz w:val="20"/>
          <w:szCs w:val="20"/>
        </w:rPr>
        <w:t>equality before the law</w:t>
      </w:r>
      <w:bookmarkEnd w:id="15"/>
      <w:r w:rsidR="003C4BC0" w:rsidRPr="00D2222C">
        <w:rPr>
          <w:color w:val="auto"/>
          <w:sz w:val="20"/>
          <w:szCs w:val="20"/>
        </w:rPr>
        <w:t xml:space="preserve"> </w:t>
      </w:r>
    </w:p>
    <w:p w14:paraId="6BE13835" w14:textId="77777777" w:rsidR="000332F4" w:rsidRPr="00D2222C" w:rsidRDefault="000332F4" w:rsidP="00090720">
      <w:pPr>
        <w:pStyle w:val="ListParagraph"/>
        <w:ind w:left="1440" w:hanging="720"/>
        <w:jc w:val="both"/>
        <w:rPr>
          <w:rFonts w:asciiTheme="majorHAnsi" w:hAnsiTheme="majorHAnsi"/>
          <w:b/>
          <w:color w:val="auto"/>
          <w:sz w:val="20"/>
          <w:szCs w:val="20"/>
        </w:rPr>
      </w:pPr>
    </w:p>
    <w:p w14:paraId="3A3637B3" w14:textId="77777777" w:rsidR="000332F4" w:rsidRPr="00D2222C" w:rsidRDefault="000332F4" w:rsidP="009E3847">
      <w:pPr>
        <w:pStyle w:val="NormalWeb"/>
        <w:numPr>
          <w:ilvl w:val="0"/>
          <w:numId w:val="55"/>
        </w:numPr>
        <w:shd w:val="clear" w:color="auto" w:fill="FFFFFF"/>
        <w:spacing w:before="0" w:beforeAutospacing="0" w:after="0" w:afterAutospacing="0"/>
        <w:ind w:left="0" w:firstLine="0"/>
        <w:jc w:val="both"/>
        <w:rPr>
          <w:rFonts w:asciiTheme="majorHAnsi" w:eastAsia="Arial Unicode MS" w:hAnsiTheme="majorHAnsi"/>
          <w:sz w:val="20"/>
          <w:szCs w:val="20"/>
          <w:bdr w:val="nil"/>
        </w:rPr>
      </w:pPr>
      <w:r w:rsidRPr="00D2222C">
        <w:rPr>
          <w:rFonts w:asciiTheme="majorHAnsi" w:hAnsiTheme="majorHAnsi"/>
          <w:sz w:val="20"/>
          <w:szCs w:val="20"/>
        </w:rPr>
        <w:t xml:space="preserve">The principles of equality before the law, equal protection, and non-discrimination are among the most basic human rights, and are in fact recognized by the Inter-American Court as </w:t>
      </w:r>
      <w:r w:rsidRPr="00D2222C">
        <w:rPr>
          <w:rFonts w:asciiTheme="majorHAnsi" w:hAnsiTheme="majorHAnsi"/>
          <w:i/>
          <w:sz w:val="20"/>
          <w:szCs w:val="20"/>
        </w:rPr>
        <w:t>jus cogens</w:t>
      </w:r>
      <w:r w:rsidRPr="00D2222C">
        <w:rPr>
          <w:rFonts w:asciiTheme="majorHAnsi" w:hAnsiTheme="majorHAnsi"/>
          <w:sz w:val="20"/>
          <w:szCs w:val="20"/>
        </w:rPr>
        <w:t xml:space="preserve"> norms, “because the whole legal structure of national and international public order rests on it.”</w:t>
      </w:r>
      <w:r w:rsidRPr="00D2222C">
        <w:rPr>
          <w:rFonts w:asciiTheme="majorHAnsi" w:hAnsiTheme="majorHAnsi"/>
          <w:sz w:val="20"/>
          <w:szCs w:val="20"/>
          <w:vertAlign w:val="superscript"/>
        </w:rPr>
        <w:footnoteReference w:id="36"/>
      </w:r>
      <w:r w:rsidRPr="00D2222C">
        <w:rPr>
          <w:rFonts w:asciiTheme="majorHAnsi" w:hAnsiTheme="majorHAnsi"/>
          <w:sz w:val="20"/>
          <w:szCs w:val="20"/>
        </w:rPr>
        <w:t xml:space="preserve"> In line with the Human Rights Committee, the Commission has further </w:t>
      </w:r>
      <w:r w:rsidRPr="00D2222C">
        <w:rPr>
          <w:rFonts w:asciiTheme="majorHAnsi" w:hAnsiTheme="majorHAnsi"/>
          <w:bCs/>
          <w:sz w:val="20"/>
          <w:szCs w:val="20"/>
        </w:rPr>
        <w:t>understood “discrimination” to mean</w:t>
      </w:r>
      <w:r w:rsidRPr="00D2222C">
        <w:rPr>
          <w:rFonts w:asciiTheme="majorHAnsi" w:hAnsiTheme="majorHAnsi"/>
          <w:sz w:val="20"/>
          <w:szCs w:val="20"/>
        </w:rPr>
        <w:t xml:space="preserve"> “</w:t>
      </w:r>
      <w:r w:rsidRPr="00D2222C">
        <w:rPr>
          <w:rFonts w:asciiTheme="majorHAnsi" w:hAnsiTheme="majorHAnsi"/>
          <w:bCs/>
          <w:sz w:val="20"/>
          <w:szCs w:val="20"/>
        </w:rPr>
        <w:t xml:space="preserve">any distinction, exclusion, restriction, or preference which is based on any ground such as race, colour, sex, language, religion, political or other opinion, national or social origin, property, birth or other status, and which has the purpose or effect of </w:t>
      </w:r>
      <w:r w:rsidRPr="00D2222C">
        <w:rPr>
          <w:rFonts w:asciiTheme="majorHAnsi" w:hAnsiTheme="majorHAnsi"/>
          <w:bCs/>
          <w:sz w:val="20"/>
          <w:szCs w:val="20"/>
        </w:rPr>
        <w:lastRenderedPageBreak/>
        <w:t>nullifying or impairing the recognition, enjoyment or exercise by all persons, on an equal footing, of all rights and freedoms.”</w:t>
      </w:r>
      <w:r w:rsidRPr="00D2222C">
        <w:rPr>
          <w:rStyle w:val="FootnoteReference"/>
          <w:rFonts w:asciiTheme="majorHAnsi" w:hAnsiTheme="majorHAnsi"/>
          <w:bCs/>
          <w:sz w:val="20"/>
          <w:szCs w:val="20"/>
        </w:rPr>
        <w:footnoteReference w:id="37"/>
      </w:r>
    </w:p>
    <w:p w14:paraId="4D039DFA" w14:textId="77777777" w:rsidR="000332F4" w:rsidRPr="00D2222C" w:rsidRDefault="000332F4" w:rsidP="009E3847">
      <w:pPr>
        <w:pStyle w:val="ListParagraph"/>
        <w:ind w:left="0"/>
        <w:rPr>
          <w:rFonts w:asciiTheme="majorHAnsi" w:hAnsiTheme="majorHAnsi"/>
          <w:sz w:val="20"/>
          <w:szCs w:val="20"/>
        </w:rPr>
      </w:pPr>
    </w:p>
    <w:p w14:paraId="1ED05265" w14:textId="77777777" w:rsidR="007D3E9B" w:rsidRPr="00D2222C" w:rsidRDefault="000332F4" w:rsidP="009E3847">
      <w:pPr>
        <w:pStyle w:val="NormalWeb"/>
        <w:numPr>
          <w:ilvl w:val="0"/>
          <w:numId w:val="55"/>
        </w:numPr>
        <w:shd w:val="clear" w:color="auto" w:fill="FFFFFF"/>
        <w:spacing w:before="0" w:beforeAutospacing="0" w:after="0" w:afterAutospacing="0"/>
        <w:ind w:left="0" w:firstLine="0"/>
        <w:jc w:val="both"/>
        <w:rPr>
          <w:rFonts w:asciiTheme="majorHAnsi" w:eastAsia="Arial Unicode MS" w:hAnsiTheme="majorHAnsi"/>
          <w:sz w:val="20"/>
          <w:szCs w:val="20"/>
          <w:bdr w:val="nil"/>
        </w:rPr>
      </w:pPr>
      <w:r w:rsidRPr="00D2222C">
        <w:rPr>
          <w:rFonts w:asciiTheme="majorHAnsi" w:hAnsiTheme="majorHAnsi"/>
          <w:sz w:val="20"/>
          <w:szCs w:val="20"/>
        </w:rPr>
        <w:t>The principle of equality and non-discrimination incorporate</w:t>
      </w:r>
      <w:r w:rsidR="00ED0E31" w:rsidRPr="00D2222C">
        <w:rPr>
          <w:rFonts w:asciiTheme="majorHAnsi" w:hAnsiTheme="majorHAnsi"/>
          <w:sz w:val="20"/>
          <w:szCs w:val="20"/>
        </w:rPr>
        <w:t>s</w:t>
      </w:r>
      <w:r w:rsidRPr="00D2222C">
        <w:rPr>
          <w:rFonts w:asciiTheme="majorHAnsi" w:hAnsiTheme="majorHAnsi"/>
          <w:sz w:val="20"/>
          <w:szCs w:val="20"/>
        </w:rPr>
        <w:t xml:space="preserve"> both “the prohibition of arbitrary differences of treatment,” and “the obligation of States to create conditions of real equality for groups that have been historically excluded or that are at greater risk of being discriminated against.</w:t>
      </w:r>
      <w:r w:rsidR="00C67F18" w:rsidRPr="00D2222C">
        <w:rPr>
          <w:rFonts w:asciiTheme="majorHAnsi" w:hAnsiTheme="majorHAnsi"/>
          <w:sz w:val="20"/>
          <w:szCs w:val="20"/>
        </w:rPr>
        <w:t>”</w:t>
      </w:r>
      <w:r w:rsidRPr="00D2222C">
        <w:rPr>
          <w:rStyle w:val="FootnoteReference"/>
          <w:rFonts w:asciiTheme="majorHAnsi" w:hAnsiTheme="majorHAnsi"/>
          <w:sz w:val="20"/>
          <w:szCs w:val="20"/>
        </w:rPr>
        <w:footnoteReference w:id="38"/>
      </w:r>
      <w:r w:rsidRPr="00D2222C">
        <w:rPr>
          <w:rFonts w:asciiTheme="majorHAnsi" w:hAnsiTheme="majorHAnsi"/>
          <w:sz w:val="20"/>
          <w:szCs w:val="20"/>
        </w:rPr>
        <w:t xml:space="preserve"> </w:t>
      </w:r>
      <w:r w:rsidRPr="00D2222C">
        <w:rPr>
          <w:rFonts w:asciiTheme="majorHAnsi" w:hAnsiTheme="majorHAnsi"/>
          <w:bCs/>
          <w:sz w:val="20"/>
          <w:szCs w:val="20"/>
        </w:rPr>
        <w:t>With regard to the former, while Article II of the American Declaration does not prohibit all distinctions in treatment in the enjoyment of protected rights and freedoms, it does require that any permissible distinctions be based on an objective and reasonable justification, that they further a legitimate objective, “regard being had to the principles which normally prevail in democratic societies, and that the means are reasonable and proportionate to the end sought.”</w:t>
      </w:r>
      <w:r w:rsidRPr="00D2222C">
        <w:rPr>
          <w:rStyle w:val="FootnoteReference"/>
          <w:rFonts w:asciiTheme="majorHAnsi" w:hAnsiTheme="majorHAnsi"/>
          <w:bCs/>
          <w:sz w:val="20"/>
          <w:szCs w:val="20"/>
        </w:rPr>
        <w:footnoteReference w:id="39"/>
      </w:r>
      <w:r w:rsidRPr="00D2222C">
        <w:rPr>
          <w:rFonts w:asciiTheme="majorHAnsi" w:hAnsiTheme="majorHAnsi"/>
          <w:bCs/>
          <w:sz w:val="20"/>
          <w:szCs w:val="20"/>
        </w:rPr>
        <w:t xml:space="preserve"> </w:t>
      </w:r>
      <w:r w:rsidRPr="00D2222C">
        <w:rPr>
          <w:rFonts w:asciiTheme="majorHAnsi" w:hAnsiTheme="majorHAnsi"/>
          <w:sz w:val="20"/>
          <w:szCs w:val="20"/>
        </w:rPr>
        <w:t>Further, distinctions based on grounds explicitly enumerated under pertinent articles of international human rights instruments are subject to a particularly strict level of scrutiny whereby States must provide an especially weighty interest and compelling justification for the distinction.</w:t>
      </w:r>
      <w:r w:rsidRPr="00D2222C">
        <w:rPr>
          <w:rStyle w:val="FootnoteReference"/>
          <w:rFonts w:asciiTheme="majorHAnsi" w:hAnsiTheme="majorHAnsi"/>
          <w:sz w:val="20"/>
          <w:szCs w:val="20"/>
        </w:rPr>
        <w:footnoteReference w:id="40"/>
      </w:r>
      <w:r w:rsidRPr="00D2222C">
        <w:rPr>
          <w:rFonts w:asciiTheme="majorHAnsi" w:hAnsiTheme="majorHAnsi"/>
          <w:sz w:val="20"/>
          <w:szCs w:val="20"/>
        </w:rPr>
        <w:t xml:space="preserve"> </w:t>
      </w:r>
    </w:p>
    <w:p w14:paraId="38F5A69D" w14:textId="77777777" w:rsidR="007D3E9B" w:rsidRPr="00D2222C" w:rsidRDefault="007D3E9B" w:rsidP="00090720">
      <w:pPr>
        <w:pStyle w:val="ListParagraph"/>
        <w:ind w:left="1440" w:hanging="720"/>
        <w:jc w:val="both"/>
        <w:rPr>
          <w:rFonts w:asciiTheme="majorHAnsi" w:hAnsiTheme="majorHAnsi"/>
          <w:b/>
          <w:color w:val="auto"/>
          <w:sz w:val="20"/>
          <w:szCs w:val="20"/>
        </w:rPr>
      </w:pPr>
    </w:p>
    <w:p w14:paraId="4305982C" w14:textId="77777777" w:rsidR="00FA2C02" w:rsidRPr="00D2222C" w:rsidRDefault="00B77B09" w:rsidP="00090720">
      <w:pPr>
        <w:pStyle w:val="Heading3"/>
        <w:numPr>
          <w:ilvl w:val="0"/>
          <w:numId w:val="63"/>
        </w:numPr>
        <w:spacing w:before="0"/>
        <w:ind w:left="1440" w:hanging="720"/>
        <w:rPr>
          <w:color w:val="auto"/>
          <w:sz w:val="20"/>
          <w:szCs w:val="20"/>
        </w:rPr>
      </w:pPr>
      <w:bookmarkStart w:id="16" w:name="_Toc26550930"/>
      <w:r w:rsidRPr="00D2222C">
        <w:rPr>
          <w:color w:val="auto"/>
          <w:sz w:val="20"/>
          <w:szCs w:val="20"/>
        </w:rPr>
        <w:t>Race and e</w:t>
      </w:r>
      <w:r w:rsidR="00FA2C02" w:rsidRPr="00D2222C">
        <w:rPr>
          <w:color w:val="auto"/>
          <w:sz w:val="20"/>
          <w:szCs w:val="20"/>
        </w:rPr>
        <w:t xml:space="preserve">quality before the law in the </w:t>
      </w:r>
      <w:r w:rsidR="00871EBE" w:rsidRPr="00D2222C">
        <w:rPr>
          <w:color w:val="auto"/>
          <w:sz w:val="20"/>
          <w:szCs w:val="20"/>
        </w:rPr>
        <w:t xml:space="preserve">United States’ </w:t>
      </w:r>
      <w:r w:rsidR="00FA2C02" w:rsidRPr="00D2222C">
        <w:rPr>
          <w:color w:val="auto"/>
          <w:sz w:val="20"/>
          <w:szCs w:val="20"/>
        </w:rPr>
        <w:t>criminal justice system</w:t>
      </w:r>
      <w:bookmarkEnd w:id="16"/>
      <w:r w:rsidR="00FA2C02" w:rsidRPr="00D2222C">
        <w:rPr>
          <w:color w:val="auto"/>
          <w:sz w:val="20"/>
          <w:szCs w:val="20"/>
        </w:rPr>
        <w:t xml:space="preserve"> </w:t>
      </w:r>
    </w:p>
    <w:p w14:paraId="48ABA03B" w14:textId="77777777" w:rsidR="00FA2C02" w:rsidRPr="00D2222C" w:rsidRDefault="00FA2C02" w:rsidP="00090720">
      <w:pPr>
        <w:pStyle w:val="ListParagraph"/>
        <w:ind w:left="1440" w:hanging="720"/>
        <w:jc w:val="both"/>
        <w:rPr>
          <w:rFonts w:asciiTheme="majorHAnsi" w:hAnsiTheme="majorHAnsi"/>
          <w:b/>
          <w:color w:val="auto"/>
          <w:sz w:val="20"/>
          <w:szCs w:val="20"/>
        </w:rPr>
      </w:pPr>
    </w:p>
    <w:p w14:paraId="7B2EE5E0" w14:textId="77777777" w:rsidR="00DC28C0" w:rsidRPr="00D2222C" w:rsidRDefault="00DC28C0" w:rsidP="009E384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0"/>
        <w:jc w:val="both"/>
        <w:rPr>
          <w:rFonts w:asciiTheme="majorHAnsi" w:hAnsiTheme="majorHAnsi"/>
          <w:bCs/>
          <w:color w:val="auto"/>
          <w:sz w:val="20"/>
          <w:szCs w:val="20"/>
        </w:rPr>
      </w:pPr>
      <w:r w:rsidRPr="00D2222C">
        <w:rPr>
          <w:rFonts w:asciiTheme="majorHAnsi" w:hAnsiTheme="majorHAnsi"/>
          <w:bCs/>
          <w:color w:val="auto"/>
          <w:sz w:val="20"/>
          <w:szCs w:val="20"/>
        </w:rPr>
        <w:t>In its report on The Situation of People of African Descent in the Americas, the IACHR, based on the General Recommendation No. XXXI issued by the United Nations Committee on the Elimination of Racial Discrimination (“CERD”),</w:t>
      </w:r>
      <w:r w:rsidRPr="00D2222C">
        <w:rPr>
          <w:rStyle w:val="FootnoteReference"/>
          <w:rFonts w:asciiTheme="majorHAnsi" w:hAnsiTheme="majorHAnsi"/>
          <w:bCs/>
          <w:color w:val="auto"/>
          <w:sz w:val="20"/>
          <w:szCs w:val="20"/>
        </w:rPr>
        <w:footnoteReference w:id="41"/>
      </w:r>
      <w:r w:rsidRPr="00D2222C">
        <w:rPr>
          <w:rFonts w:asciiTheme="majorHAnsi" w:hAnsiTheme="majorHAnsi"/>
          <w:bCs/>
          <w:color w:val="auto"/>
          <w:sz w:val="20"/>
          <w:szCs w:val="20"/>
        </w:rPr>
        <w:t xml:space="preserve"> indicated that “offences involving members of stigmatized or marginalized groups are more severely punished and that whatever the legal and procedural system in force in a given country, the structural inequalities, stereotypes and prejudices are mirrored in the criminal justice system.”</w:t>
      </w:r>
      <w:r w:rsidRPr="00D2222C">
        <w:rPr>
          <w:rStyle w:val="FootnoteReference"/>
          <w:rFonts w:asciiTheme="majorHAnsi" w:hAnsiTheme="majorHAnsi"/>
          <w:bCs/>
          <w:color w:val="auto"/>
          <w:sz w:val="20"/>
          <w:szCs w:val="20"/>
        </w:rPr>
        <w:footnoteReference w:id="42"/>
      </w:r>
      <w:r w:rsidRPr="00D2222C">
        <w:rPr>
          <w:rFonts w:asciiTheme="majorHAnsi" w:hAnsiTheme="majorHAnsi"/>
          <w:bCs/>
          <w:color w:val="auto"/>
          <w:sz w:val="20"/>
          <w:szCs w:val="20"/>
        </w:rPr>
        <w:t xml:space="preserve">  The Commission also observed “the impact of racism in the criminal justice systems in the region” and reiterated that “the use of race and skin color as grounds to set and adjust a criminal sentence are banned by the inter‐American system of human rights protection.”</w:t>
      </w:r>
      <w:r w:rsidRPr="00D2222C">
        <w:rPr>
          <w:rStyle w:val="FootnoteReference"/>
          <w:rFonts w:asciiTheme="majorHAnsi" w:hAnsiTheme="majorHAnsi"/>
          <w:bCs/>
          <w:color w:val="auto"/>
          <w:sz w:val="20"/>
          <w:szCs w:val="20"/>
        </w:rPr>
        <w:footnoteReference w:id="43"/>
      </w:r>
    </w:p>
    <w:p w14:paraId="5135B889" w14:textId="77777777" w:rsidR="00DC28C0" w:rsidRPr="00D2222C" w:rsidRDefault="00DC28C0" w:rsidP="009E3847">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bCs/>
          <w:color w:val="auto"/>
          <w:sz w:val="20"/>
          <w:szCs w:val="20"/>
        </w:rPr>
      </w:pPr>
    </w:p>
    <w:p w14:paraId="14F54AD8" w14:textId="77777777" w:rsidR="000265CB" w:rsidRPr="00D2222C" w:rsidRDefault="00FA2C02" w:rsidP="009E384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hAnsiTheme="majorHAnsi"/>
          <w:bCs/>
          <w:color w:val="auto"/>
          <w:sz w:val="20"/>
          <w:szCs w:val="20"/>
        </w:rPr>
      </w:pPr>
      <w:r w:rsidRPr="00D2222C">
        <w:rPr>
          <w:rFonts w:asciiTheme="majorHAnsi" w:hAnsiTheme="majorHAnsi"/>
          <w:bCs/>
          <w:color w:val="auto"/>
          <w:sz w:val="20"/>
          <w:szCs w:val="20"/>
        </w:rPr>
        <w:t>As a result of its growing concern over the treatment of African-Americans by the United States criminal justice system and, particularly, by law enforcement officers, on October 27, 2014, the IACHR convened, on its own initiative, a public hearing on Reports o</w:t>
      </w:r>
      <w:r w:rsidR="005D0AC5" w:rsidRPr="00D2222C">
        <w:rPr>
          <w:rFonts w:asciiTheme="majorHAnsi" w:hAnsiTheme="majorHAnsi"/>
          <w:bCs/>
          <w:color w:val="auto"/>
          <w:sz w:val="20"/>
          <w:szCs w:val="20"/>
        </w:rPr>
        <w:t>f</w:t>
      </w:r>
      <w:r w:rsidRPr="00D2222C">
        <w:rPr>
          <w:rFonts w:asciiTheme="majorHAnsi" w:hAnsiTheme="majorHAnsi"/>
          <w:bCs/>
          <w:color w:val="auto"/>
          <w:sz w:val="20"/>
          <w:szCs w:val="20"/>
        </w:rPr>
        <w:t xml:space="preserve"> Racism in the United States Justice System.  The IACHR received troubling information regarding the problem of racial profiling by law enforcement officials at the local, state, and federal levels. </w:t>
      </w:r>
      <w:r w:rsidR="00626360" w:rsidRPr="00D2222C">
        <w:rPr>
          <w:rFonts w:asciiTheme="majorHAnsi" w:hAnsiTheme="majorHAnsi"/>
          <w:bCs/>
          <w:color w:val="auto"/>
          <w:sz w:val="20"/>
          <w:szCs w:val="20"/>
        </w:rPr>
        <w:t>On March 16, 2015</w:t>
      </w:r>
      <w:r w:rsidR="007C10AC" w:rsidRPr="00D2222C">
        <w:rPr>
          <w:rFonts w:asciiTheme="majorHAnsi" w:hAnsiTheme="majorHAnsi"/>
          <w:bCs/>
          <w:color w:val="auto"/>
          <w:sz w:val="20"/>
          <w:szCs w:val="20"/>
        </w:rPr>
        <w:t>, the IACHR held a public hearing on Criminal Justice and Race in the United States</w:t>
      </w:r>
      <w:r w:rsidR="00A60093" w:rsidRPr="00D2222C">
        <w:rPr>
          <w:rFonts w:asciiTheme="majorHAnsi" w:hAnsiTheme="majorHAnsi"/>
          <w:bCs/>
          <w:color w:val="auto"/>
          <w:sz w:val="20"/>
          <w:szCs w:val="20"/>
        </w:rPr>
        <w:t xml:space="preserve"> </w:t>
      </w:r>
      <w:r w:rsidR="008678EF" w:rsidRPr="00D2222C">
        <w:rPr>
          <w:rFonts w:asciiTheme="majorHAnsi" w:hAnsiTheme="majorHAnsi"/>
          <w:bCs/>
          <w:color w:val="auto"/>
          <w:sz w:val="20"/>
          <w:szCs w:val="20"/>
        </w:rPr>
        <w:t xml:space="preserve">in which it received </w:t>
      </w:r>
      <w:r w:rsidR="004D4782" w:rsidRPr="00D2222C">
        <w:rPr>
          <w:rFonts w:asciiTheme="majorHAnsi" w:hAnsiTheme="majorHAnsi"/>
          <w:bCs/>
          <w:color w:val="auto"/>
          <w:sz w:val="20"/>
          <w:szCs w:val="20"/>
        </w:rPr>
        <w:t xml:space="preserve">concerning </w:t>
      </w:r>
      <w:r w:rsidR="009A1A5D" w:rsidRPr="00D2222C">
        <w:rPr>
          <w:rFonts w:asciiTheme="majorHAnsi" w:hAnsiTheme="majorHAnsi"/>
          <w:bCs/>
          <w:color w:val="auto"/>
          <w:sz w:val="20"/>
          <w:szCs w:val="20"/>
        </w:rPr>
        <w:t>information indicating that many police departments engage in discriminatory practices toward racial minorities, including the use of racial profiling.</w:t>
      </w:r>
    </w:p>
    <w:p w14:paraId="2145099A" w14:textId="77777777" w:rsidR="000265CB" w:rsidRPr="00D2222C" w:rsidRDefault="000265CB" w:rsidP="009E38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bCs/>
          <w:sz w:val="20"/>
          <w:szCs w:val="20"/>
        </w:rPr>
      </w:pPr>
    </w:p>
    <w:p w14:paraId="708E1735" w14:textId="77777777" w:rsidR="001937A5" w:rsidRPr="00D2222C" w:rsidRDefault="00FA2C02" w:rsidP="009E384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0"/>
        <w:jc w:val="both"/>
        <w:rPr>
          <w:rFonts w:asciiTheme="majorHAnsi" w:hAnsiTheme="majorHAnsi"/>
          <w:bCs/>
          <w:color w:val="auto"/>
          <w:sz w:val="20"/>
          <w:szCs w:val="20"/>
        </w:rPr>
      </w:pPr>
      <w:r w:rsidRPr="00D2222C">
        <w:rPr>
          <w:rFonts w:asciiTheme="majorHAnsi" w:hAnsiTheme="majorHAnsi"/>
          <w:bCs/>
          <w:color w:val="auto"/>
          <w:sz w:val="20"/>
          <w:szCs w:val="20"/>
        </w:rPr>
        <w:t xml:space="preserve">The Commission </w:t>
      </w:r>
      <w:r w:rsidR="00BC73B5" w:rsidRPr="00D2222C">
        <w:rPr>
          <w:rFonts w:asciiTheme="majorHAnsi" w:hAnsiTheme="majorHAnsi"/>
          <w:bCs/>
          <w:color w:val="auto"/>
          <w:sz w:val="20"/>
          <w:szCs w:val="20"/>
        </w:rPr>
        <w:t xml:space="preserve">has </w:t>
      </w:r>
      <w:r w:rsidRPr="00D2222C">
        <w:rPr>
          <w:rFonts w:asciiTheme="majorHAnsi" w:hAnsiTheme="majorHAnsi"/>
          <w:bCs/>
          <w:color w:val="auto"/>
          <w:sz w:val="20"/>
          <w:szCs w:val="20"/>
        </w:rPr>
        <w:t>also note</w:t>
      </w:r>
      <w:r w:rsidR="00BC73B5" w:rsidRPr="00D2222C">
        <w:rPr>
          <w:rFonts w:asciiTheme="majorHAnsi" w:hAnsiTheme="majorHAnsi"/>
          <w:bCs/>
          <w:color w:val="auto"/>
          <w:sz w:val="20"/>
          <w:szCs w:val="20"/>
        </w:rPr>
        <w:t>d</w:t>
      </w:r>
      <w:r w:rsidRPr="00D2222C">
        <w:rPr>
          <w:rFonts w:asciiTheme="majorHAnsi" w:hAnsiTheme="majorHAnsi"/>
          <w:bCs/>
          <w:color w:val="auto"/>
          <w:sz w:val="20"/>
          <w:szCs w:val="20"/>
        </w:rPr>
        <w:t xml:space="preserve"> the special seriousness of the fact that the </w:t>
      </w:r>
      <w:r w:rsidR="00550141" w:rsidRPr="00D2222C">
        <w:rPr>
          <w:rFonts w:asciiTheme="majorHAnsi" w:hAnsiTheme="majorHAnsi"/>
          <w:bCs/>
          <w:color w:val="auto"/>
          <w:sz w:val="20"/>
          <w:szCs w:val="20"/>
        </w:rPr>
        <w:t>United States Government</w:t>
      </w:r>
      <w:r w:rsidR="00ED0E31" w:rsidRPr="00D2222C">
        <w:rPr>
          <w:rFonts w:asciiTheme="majorHAnsi" w:hAnsiTheme="majorHAnsi"/>
          <w:bCs/>
          <w:color w:val="auto"/>
          <w:sz w:val="20"/>
          <w:szCs w:val="20"/>
        </w:rPr>
        <w:t>’s</w:t>
      </w:r>
      <w:r w:rsidRPr="00D2222C">
        <w:rPr>
          <w:rFonts w:asciiTheme="majorHAnsi" w:hAnsiTheme="majorHAnsi"/>
          <w:bCs/>
          <w:color w:val="auto"/>
          <w:sz w:val="20"/>
          <w:szCs w:val="20"/>
        </w:rPr>
        <w:t xml:space="preserve"> own studies demonstrate that the race of defendants and the race of victims of crimes has an undeniable influence on conviction and sentencing patterns</w:t>
      </w:r>
      <w:r w:rsidR="00CB17C1" w:rsidRPr="00D2222C">
        <w:rPr>
          <w:rFonts w:asciiTheme="majorHAnsi" w:hAnsiTheme="majorHAnsi"/>
          <w:bCs/>
          <w:color w:val="auto"/>
          <w:sz w:val="20"/>
          <w:szCs w:val="20"/>
        </w:rPr>
        <w:t xml:space="preserve"> and that t</w:t>
      </w:r>
      <w:r w:rsidRPr="00D2222C">
        <w:rPr>
          <w:rFonts w:asciiTheme="majorHAnsi" w:hAnsiTheme="majorHAnsi"/>
          <w:bCs/>
          <w:color w:val="auto"/>
          <w:sz w:val="20"/>
          <w:szCs w:val="20"/>
        </w:rPr>
        <w:t>his is not a recent finding.</w:t>
      </w:r>
      <w:r w:rsidR="00CB17C1" w:rsidRPr="00D2222C">
        <w:rPr>
          <w:rStyle w:val="FootnoteReference"/>
          <w:rFonts w:asciiTheme="majorHAnsi" w:hAnsiTheme="majorHAnsi"/>
          <w:bCs/>
          <w:color w:val="auto"/>
          <w:sz w:val="20"/>
          <w:szCs w:val="20"/>
        </w:rPr>
        <w:footnoteReference w:id="44"/>
      </w:r>
      <w:r w:rsidRPr="00D2222C">
        <w:rPr>
          <w:rFonts w:asciiTheme="majorHAnsi" w:hAnsiTheme="majorHAnsi"/>
          <w:bCs/>
          <w:color w:val="auto"/>
          <w:sz w:val="20"/>
          <w:szCs w:val="20"/>
        </w:rPr>
        <w:t xml:space="preserve"> </w:t>
      </w:r>
      <w:r w:rsidR="0091677E" w:rsidRPr="00D2222C">
        <w:rPr>
          <w:rFonts w:asciiTheme="majorHAnsi" w:hAnsiTheme="majorHAnsi"/>
          <w:bCs/>
          <w:color w:val="auto"/>
          <w:sz w:val="20"/>
          <w:szCs w:val="20"/>
        </w:rPr>
        <w:t>Fu</w:t>
      </w:r>
      <w:r w:rsidR="00550141" w:rsidRPr="00D2222C">
        <w:rPr>
          <w:rFonts w:asciiTheme="majorHAnsi" w:hAnsiTheme="majorHAnsi"/>
          <w:bCs/>
          <w:color w:val="auto"/>
          <w:sz w:val="20"/>
          <w:szCs w:val="20"/>
        </w:rPr>
        <w:t>rther, t</w:t>
      </w:r>
      <w:r w:rsidR="0091677E" w:rsidRPr="00D2222C">
        <w:rPr>
          <w:rFonts w:asciiTheme="majorHAnsi" w:eastAsia="Times New Roman" w:hAnsiTheme="majorHAnsi"/>
          <w:sz w:val="20"/>
          <w:szCs w:val="20"/>
        </w:rPr>
        <w:t>h</w:t>
      </w:r>
      <w:r w:rsidR="001937A5" w:rsidRPr="00D2222C">
        <w:rPr>
          <w:rFonts w:asciiTheme="majorHAnsi" w:eastAsia="Times New Roman" w:hAnsiTheme="majorHAnsi"/>
          <w:sz w:val="20"/>
          <w:szCs w:val="20"/>
        </w:rPr>
        <w:t>e CERD</w:t>
      </w:r>
      <w:r w:rsidR="00550141" w:rsidRPr="00D2222C">
        <w:rPr>
          <w:rFonts w:asciiTheme="majorHAnsi" w:eastAsia="Times New Roman" w:hAnsiTheme="majorHAnsi"/>
          <w:sz w:val="20"/>
          <w:szCs w:val="20"/>
        </w:rPr>
        <w:t xml:space="preserve"> has established that</w:t>
      </w:r>
      <w:r w:rsidR="001937A5" w:rsidRPr="00D2222C">
        <w:rPr>
          <w:rFonts w:asciiTheme="majorHAnsi" w:eastAsia="Times New Roman" w:hAnsiTheme="majorHAnsi"/>
          <w:sz w:val="20"/>
          <w:szCs w:val="20"/>
        </w:rPr>
        <w:t xml:space="preserve"> </w:t>
      </w:r>
      <w:r w:rsidR="00550141" w:rsidRPr="00D2222C">
        <w:rPr>
          <w:rFonts w:asciiTheme="majorHAnsi" w:eastAsia="Times New Roman" w:hAnsiTheme="majorHAnsi"/>
          <w:sz w:val="20"/>
          <w:szCs w:val="20"/>
        </w:rPr>
        <w:t>in the United States</w:t>
      </w:r>
      <w:r w:rsidR="00ED0E31" w:rsidRPr="00D2222C">
        <w:rPr>
          <w:rFonts w:asciiTheme="majorHAnsi" w:eastAsia="Times New Roman" w:hAnsiTheme="majorHAnsi"/>
          <w:sz w:val="20"/>
          <w:szCs w:val="20"/>
        </w:rPr>
        <w:t>,</w:t>
      </w:r>
      <w:r w:rsidR="00550141" w:rsidRPr="00D2222C">
        <w:rPr>
          <w:rFonts w:asciiTheme="majorHAnsi" w:eastAsia="Times New Roman" w:hAnsiTheme="majorHAnsi"/>
          <w:sz w:val="20"/>
          <w:szCs w:val="20"/>
        </w:rPr>
        <w:t xml:space="preserve"> </w:t>
      </w:r>
      <w:r w:rsidR="001937A5" w:rsidRPr="00D2222C">
        <w:rPr>
          <w:rFonts w:asciiTheme="majorHAnsi" w:eastAsia="Times New Roman" w:hAnsiTheme="majorHAnsi"/>
          <w:sz w:val="20"/>
          <w:szCs w:val="20"/>
        </w:rPr>
        <w:t>African Americans continue to be disproportionately arrested, incarcerated, and subjected to harsher sentences, including life imprisonment without parole and the death penalty, and that this situation is exacerbated by the exercise of prosecutorial discretion.</w:t>
      </w:r>
      <w:r w:rsidR="001937A5" w:rsidRPr="00D2222C">
        <w:rPr>
          <w:rStyle w:val="FootnoteReference"/>
          <w:rFonts w:asciiTheme="majorHAnsi" w:eastAsia="Times New Roman" w:hAnsiTheme="majorHAnsi"/>
          <w:sz w:val="20"/>
          <w:szCs w:val="20"/>
        </w:rPr>
        <w:footnoteReference w:id="45"/>
      </w:r>
      <w:r w:rsidR="001937A5" w:rsidRPr="00D2222C">
        <w:rPr>
          <w:rFonts w:asciiTheme="minorHAnsi" w:eastAsia="Times New Roman" w:hAnsiTheme="minorHAnsi"/>
        </w:rPr>
        <w:t xml:space="preserve"> </w:t>
      </w:r>
    </w:p>
    <w:p w14:paraId="161D4A49" w14:textId="77777777" w:rsidR="0028111A" w:rsidRPr="00D2222C" w:rsidRDefault="0028111A" w:rsidP="009E3847">
      <w:pPr>
        <w:pStyle w:val="ListParagraph"/>
        <w:rPr>
          <w:rFonts w:asciiTheme="majorHAnsi" w:hAnsiTheme="majorHAnsi"/>
          <w:bCs/>
          <w:color w:val="auto"/>
          <w:sz w:val="20"/>
          <w:szCs w:val="20"/>
        </w:rPr>
      </w:pPr>
    </w:p>
    <w:p w14:paraId="7CB79A13" w14:textId="77777777" w:rsidR="00FA2C02" w:rsidRPr="00D2222C" w:rsidRDefault="0028111A" w:rsidP="009E384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0"/>
        <w:jc w:val="both"/>
        <w:rPr>
          <w:rFonts w:asciiTheme="majorHAnsi" w:hAnsiTheme="majorHAnsi"/>
          <w:bCs/>
          <w:color w:val="auto"/>
          <w:sz w:val="20"/>
          <w:szCs w:val="20"/>
        </w:rPr>
      </w:pPr>
      <w:r w:rsidRPr="00D2222C">
        <w:rPr>
          <w:rFonts w:asciiTheme="majorHAnsi" w:hAnsiTheme="majorHAnsi"/>
          <w:bCs/>
          <w:color w:val="auto"/>
          <w:sz w:val="20"/>
          <w:szCs w:val="20"/>
        </w:rPr>
        <w:t xml:space="preserve">With regard to the death penalty applied to African-Americans in the United States, in the case of William Andrews </w:t>
      </w:r>
      <w:r w:rsidR="00FA2C02" w:rsidRPr="00D2222C">
        <w:rPr>
          <w:rFonts w:asciiTheme="majorHAnsi" w:hAnsiTheme="majorHAnsi"/>
          <w:bCs/>
          <w:color w:val="auto"/>
          <w:sz w:val="20"/>
          <w:szCs w:val="20"/>
        </w:rPr>
        <w:t xml:space="preserve">the </w:t>
      </w:r>
      <w:r w:rsidRPr="00D2222C">
        <w:rPr>
          <w:rFonts w:asciiTheme="majorHAnsi" w:hAnsiTheme="majorHAnsi"/>
          <w:bCs/>
          <w:color w:val="auto"/>
          <w:sz w:val="20"/>
          <w:szCs w:val="20"/>
        </w:rPr>
        <w:t xml:space="preserve">IACHR </w:t>
      </w:r>
      <w:r w:rsidR="00FA2C02" w:rsidRPr="00D2222C">
        <w:rPr>
          <w:rFonts w:asciiTheme="majorHAnsi" w:hAnsiTheme="majorHAnsi"/>
          <w:bCs/>
          <w:color w:val="auto"/>
          <w:sz w:val="20"/>
          <w:szCs w:val="20"/>
        </w:rPr>
        <w:t>found that the existence of “a reasonable appearance of “racial bias” by some members of the jury” that tainted the trial and resulted in the death sentence, constituted a violation of the right to an impartial trial and to equality before the law.</w:t>
      </w:r>
      <w:r w:rsidR="00FA2C02" w:rsidRPr="00D2222C">
        <w:rPr>
          <w:rStyle w:val="FootnoteReference"/>
          <w:rFonts w:asciiTheme="majorHAnsi" w:hAnsiTheme="majorHAnsi"/>
          <w:bCs/>
          <w:color w:val="auto"/>
          <w:sz w:val="20"/>
          <w:szCs w:val="20"/>
        </w:rPr>
        <w:footnoteReference w:id="46"/>
      </w:r>
      <w:r w:rsidR="00FA2C02" w:rsidRPr="00D2222C">
        <w:rPr>
          <w:rFonts w:asciiTheme="majorHAnsi" w:hAnsiTheme="majorHAnsi"/>
          <w:bCs/>
          <w:color w:val="auto"/>
          <w:sz w:val="20"/>
          <w:szCs w:val="20"/>
        </w:rPr>
        <w:t xml:space="preserve">  </w:t>
      </w:r>
      <w:r w:rsidRPr="00D2222C">
        <w:rPr>
          <w:rFonts w:asciiTheme="majorHAnsi" w:hAnsiTheme="majorHAnsi"/>
          <w:bCs/>
          <w:color w:val="auto"/>
          <w:sz w:val="20"/>
          <w:szCs w:val="20"/>
        </w:rPr>
        <w:t>T</w:t>
      </w:r>
      <w:r w:rsidR="00FA2C02" w:rsidRPr="00D2222C">
        <w:rPr>
          <w:rFonts w:asciiTheme="majorHAnsi" w:hAnsiTheme="majorHAnsi"/>
          <w:bCs/>
          <w:color w:val="auto"/>
          <w:sz w:val="20"/>
          <w:szCs w:val="20"/>
        </w:rPr>
        <w:t xml:space="preserve">he </w:t>
      </w:r>
      <w:r w:rsidRPr="00D2222C">
        <w:rPr>
          <w:rFonts w:asciiTheme="majorHAnsi" w:hAnsiTheme="majorHAnsi"/>
          <w:bCs/>
          <w:color w:val="auto"/>
          <w:sz w:val="20"/>
          <w:szCs w:val="20"/>
        </w:rPr>
        <w:t>Commission ruled that</w:t>
      </w:r>
      <w:r w:rsidR="00FA2C02" w:rsidRPr="00D2222C">
        <w:rPr>
          <w:rFonts w:asciiTheme="majorHAnsi" w:hAnsiTheme="majorHAnsi"/>
          <w:bCs/>
          <w:color w:val="auto"/>
          <w:sz w:val="20"/>
          <w:szCs w:val="20"/>
        </w:rPr>
        <w:t xml:space="preserve"> “the international </w:t>
      </w:r>
      <w:r w:rsidR="00FA2C02" w:rsidRPr="00D2222C">
        <w:rPr>
          <w:rFonts w:asciiTheme="majorHAnsi" w:hAnsiTheme="majorHAnsi"/>
          <w:bCs/>
          <w:color w:val="auto"/>
          <w:sz w:val="20"/>
          <w:szCs w:val="20"/>
        </w:rPr>
        <w:lastRenderedPageBreak/>
        <w:t>standard on the issue of “judge and juror impartiality” employs an objective test based on “reasonableness, and the appearance of impartiality”</w:t>
      </w:r>
      <w:r w:rsidR="00D95402" w:rsidRPr="00D2222C">
        <w:rPr>
          <w:rFonts w:asciiTheme="majorHAnsi" w:hAnsiTheme="majorHAnsi"/>
          <w:bCs/>
          <w:color w:val="auto"/>
          <w:sz w:val="20"/>
          <w:szCs w:val="20"/>
        </w:rPr>
        <w:t xml:space="preserve"> and</w:t>
      </w:r>
      <w:r w:rsidR="00FA2C02" w:rsidRPr="00D2222C">
        <w:rPr>
          <w:rFonts w:asciiTheme="majorHAnsi" w:hAnsiTheme="majorHAnsi"/>
          <w:bCs/>
          <w:color w:val="auto"/>
          <w:sz w:val="20"/>
          <w:szCs w:val="20"/>
        </w:rPr>
        <w:t xml:space="preserve"> that a reasonable suspicion of bias is sufficient for juror disqualification.</w:t>
      </w:r>
      <w:r w:rsidR="00FA2C02" w:rsidRPr="00D2222C">
        <w:rPr>
          <w:rStyle w:val="FootnoteReference"/>
          <w:rFonts w:asciiTheme="majorHAnsi" w:hAnsiTheme="majorHAnsi"/>
          <w:bCs/>
          <w:color w:val="auto"/>
          <w:sz w:val="20"/>
          <w:szCs w:val="20"/>
        </w:rPr>
        <w:footnoteReference w:id="47"/>
      </w:r>
    </w:p>
    <w:p w14:paraId="2A9EB6A7" w14:textId="77777777" w:rsidR="00FA2C02" w:rsidRPr="00D2222C" w:rsidRDefault="00FA2C02" w:rsidP="00090720">
      <w:pPr>
        <w:pStyle w:val="ListParagraph"/>
        <w:ind w:left="1440" w:hanging="720"/>
        <w:jc w:val="both"/>
        <w:rPr>
          <w:rFonts w:asciiTheme="majorHAnsi" w:hAnsiTheme="majorHAnsi"/>
          <w:b/>
          <w:color w:val="auto"/>
          <w:sz w:val="20"/>
          <w:szCs w:val="20"/>
        </w:rPr>
      </w:pPr>
    </w:p>
    <w:p w14:paraId="25D1DFF0" w14:textId="77777777" w:rsidR="001C4006" w:rsidRPr="00D2222C" w:rsidRDefault="001C4006" w:rsidP="00090720">
      <w:pPr>
        <w:pStyle w:val="Heading3"/>
        <w:numPr>
          <w:ilvl w:val="0"/>
          <w:numId w:val="63"/>
        </w:numPr>
        <w:spacing w:before="0"/>
        <w:ind w:left="1440" w:hanging="720"/>
        <w:rPr>
          <w:color w:val="auto"/>
          <w:sz w:val="20"/>
          <w:szCs w:val="20"/>
          <w:lang w:val="es-ES"/>
        </w:rPr>
      </w:pPr>
      <w:bookmarkStart w:id="17" w:name="_Toc26550931"/>
      <w:r w:rsidRPr="00D2222C">
        <w:rPr>
          <w:color w:val="auto"/>
          <w:sz w:val="20"/>
          <w:szCs w:val="20"/>
          <w:lang w:val="es-ES"/>
        </w:rPr>
        <w:t>Analysis of the case</w:t>
      </w:r>
      <w:bookmarkEnd w:id="17"/>
    </w:p>
    <w:p w14:paraId="7F88C7A9" w14:textId="77777777" w:rsidR="001C4006" w:rsidRPr="00D2222C" w:rsidRDefault="001C4006" w:rsidP="00090720">
      <w:pPr>
        <w:ind w:left="1440" w:hanging="720"/>
        <w:rPr>
          <w:rFonts w:asciiTheme="majorHAnsi" w:hAnsiTheme="majorHAnsi"/>
          <w:sz w:val="20"/>
          <w:szCs w:val="20"/>
          <w:lang w:val="es-ES"/>
        </w:rPr>
      </w:pPr>
    </w:p>
    <w:p w14:paraId="3D60978E" w14:textId="77777777" w:rsidR="005A0410" w:rsidRPr="00D2222C" w:rsidRDefault="00A542D1"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Cs/>
          <w:sz w:val="20"/>
          <w:szCs w:val="20"/>
        </w:rPr>
      </w:pPr>
      <w:r w:rsidRPr="00D2222C">
        <w:rPr>
          <w:rFonts w:asciiTheme="majorHAnsi" w:hAnsiTheme="majorHAnsi"/>
          <w:sz w:val="20"/>
        </w:rPr>
        <w:t xml:space="preserve">The Commission observes that the distinction </w:t>
      </w:r>
      <w:r w:rsidR="002F2D41" w:rsidRPr="00D2222C">
        <w:rPr>
          <w:rFonts w:asciiTheme="majorHAnsi" w:hAnsiTheme="majorHAnsi"/>
          <w:sz w:val="20"/>
        </w:rPr>
        <w:t xml:space="preserve">alleged </w:t>
      </w:r>
      <w:r w:rsidRPr="00D2222C">
        <w:rPr>
          <w:rFonts w:asciiTheme="majorHAnsi" w:hAnsiTheme="majorHAnsi"/>
          <w:sz w:val="20"/>
        </w:rPr>
        <w:t>in this case is race, which is subject to a particularly strict level of scrutiny and thus triggers a “reversal of the burden of proof” and a “presumption of invalidity.”</w:t>
      </w:r>
      <w:r w:rsidRPr="00D2222C">
        <w:rPr>
          <w:rStyle w:val="FootnoteReference"/>
          <w:rFonts w:asciiTheme="majorHAnsi" w:hAnsiTheme="majorHAnsi"/>
          <w:sz w:val="20"/>
        </w:rPr>
        <w:footnoteReference w:id="48"/>
      </w:r>
      <w:r w:rsidRPr="00D2222C">
        <w:rPr>
          <w:rFonts w:asciiTheme="majorHAnsi" w:hAnsiTheme="majorHAnsi"/>
          <w:sz w:val="20"/>
        </w:rPr>
        <w:t xml:space="preserve"> The purpose of applying strict scrutiny is to guarantee that the distinction is not based on the prejudices and/or stereotypes that generally surround suspect categories of distinction.</w:t>
      </w:r>
      <w:r w:rsidRPr="00D2222C">
        <w:rPr>
          <w:rStyle w:val="FootnoteReference"/>
          <w:rFonts w:asciiTheme="majorHAnsi" w:hAnsiTheme="majorHAnsi"/>
          <w:sz w:val="20"/>
        </w:rPr>
        <w:footnoteReference w:id="49"/>
      </w:r>
      <w:r w:rsidRPr="00D2222C">
        <w:rPr>
          <w:rFonts w:asciiTheme="majorHAnsi" w:hAnsiTheme="majorHAnsi"/>
          <w:sz w:val="20"/>
        </w:rPr>
        <w:t xml:space="preserve"> </w:t>
      </w:r>
      <w:r w:rsidR="00A03B6C" w:rsidRPr="00D2222C">
        <w:rPr>
          <w:rFonts w:ascii="Cambria" w:hAnsi="Cambria"/>
          <w:sz w:val="20"/>
        </w:rPr>
        <w:t>The IACHR has indicated that where this bias may relate to a prohibited ground of discrimination, such as race, it may also implicate a violation of the principle of equality and non-discrimination.</w:t>
      </w:r>
      <w:r w:rsidR="00A03B6C" w:rsidRPr="00D2222C">
        <w:rPr>
          <w:rFonts w:ascii="Cambria" w:hAnsi="Cambria"/>
          <w:sz w:val="20"/>
          <w:vertAlign w:val="superscript"/>
        </w:rPr>
        <w:footnoteReference w:id="50"/>
      </w:r>
    </w:p>
    <w:p w14:paraId="3DA2F17C" w14:textId="77777777" w:rsidR="005A0410" w:rsidRPr="00D2222C" w:rsidRDefault="005A0410" w:rsidP="009E384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bCs/>
          <w:sz w:val="20"/>
          <w:szCs w:val="20"/>
        </w:rPr>
      </w:pPr>
    </w:p>
    <w:p w14:paraId="2F170627" w14:textId="77777777" w:rsidR="007D3E9B" w:rsidRPr="00D2222C" w:rsidRDefault="007D3E9B"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Cs/>
          <w:sz w:val="20"/>
          <w:szCs w:val="20"/>
        </w:rPr>
      </w:pPr>
      <w:r w:rsidRPr="00D2222C">
        <w:rPr>
          <w:rFonts w:ascii="Cambria" w:hAnsi="Cambria"/>
          <w:sz w:val="20"/>
        </w:rPr>
        <w:t xml:space="preserve">The Commission has </w:t>
      </w:r>
      <w:r w:rsidR="005A0410" w:rsidRPr="00D2222C">
        <w:rPr>
          <w:rFonts w:ascii="Cambria" w:hAnsi="Cambria"/>
          <w:sz w:val="20"/>
        </w:rPr>
        <w:t>found</w:t>
      </w:r>
      <w:r w:rsidRPr="00D2222C">
        <w:rPr>
          <w:rFonts w:ascii="Cambria" w:hAnsi="Cambria"/>
          <w:sz w:val="20"/>
        </w:rPr>
        <w:t xml:space="preserve"> that allegations relating to the right to equality in the context of a criminal process </w:t>
      </w:r>
      <w:r w:rsidR="00ED0E31" w:rsidRPr="00D2222C">
        <w:rPr>
          <w:rFonts w:ascii="Cambria" w:hAnsi="Cambria"/>
          <w:sz w:val="20"/>
        </w:rPr>
        <w:t xml:space="preserve">require </w:t>
      </w:r>
      <w:r w:rsidRPr="00D2222C">
        <w:rPr>
          <w:rFonts w:ascii="Cambria" w:hAnsi="Cambria"/>
          <w:sz w:val="20"/>
        </w:rPr>
        <w:t xml:space="preserve">an analysis of the fair trial requirements which include the requirement that the tribunal concerned is impartial and affords a party equal protection of the law, without discrimination of any kind. </w:t>
      </w:r>
      <w:r w:rsidRPr="00D2222C">
        <w:rPr>
          <w:rFonts w:ascii="Cambria" w:hAnsi="Cambria"/>
          <w:sz w:val="20"/>
          <w:vertAlign w:val="superscript"/>
        </w:rPr>
        <w:footnoteReference w:id="51"/>
      </w:r>
      <w:r w:rsidRPr="00D2222C">
        <w:rPr>
          <w:rFonts w:ascii="Cambria" w:hAnsi="Cambria"/>
          <w:b/>
          <w:sz w:val="20"/>
        </w:rPr>
        <w:t xml:space="preserve"> </w:t>
      </w:r>
      <w:r w:rsidRPr="00D2222C">
        <w:rPr>
          <w:rFonts w:ascii="Cambria" w:hAnsi="Cambria"/>
          <w:sz w:val="20"/>
        </w:rPr>
        <w:t>In systems that employ a jury system, these requirements apply both to judges and to juries. In this regard, the Commission has recognized that the international standard on the issue of “judge and juror impartiality” employs an objective test based on “reasonableness and appearance of impartiality.”</w:t>
      </w:r>
      <w:r w:rsidRPr="00D2222C">
        <w:rPr>
          <w:rFonts w:ascii="Cambria" w:hAnsi="Cambria"/>
          <w:sz w:val="20"/>
          <w:vertAlign w:val="superscript"/>
        </w:rPr>
        <w:footnoteReference w:id="52"/>
      </w:r>
      <w:r w:rsidRPr="00D2222C">
        <w:rPr>
          <w:rFonts w:ascii="Cambria" w:hAnsi="Cambria"/>
          <w:sz w:val="20"/>
        </w:rPr>
        <w:t xml:space="preserve"> According to this standard, “it must be determined whether there is a real danger of bias affecting the mind of the relevant juror or jurors.”</w:t>
      </w:r>
      <w:r w:rsidRPr="00D2222C">
        <w:rPr>
          <w:rFonts w:ascii="Cambria" w:hAnsi="Cambria"/>
          <w:sz w:val="20"/>
          <w:vertAlign w:val="superscript"/>
        </w:rPr>
        <w:footnoteReference w:id="53"/>
      </w:r>
      <w:r w:rsidRPr="00D2222C">
        <w:rPr>
          <w:rFonts w:ascii="Cambria" w:hAnsi="Cambria"/>
          <w:b/>
          <w:sz w:val="20"/>
        </w:rPr>
        <w:t xml:space="preserve"> </w:t>
      </w:r>
    </w:p>
    <w:p w14:paraId="2153D36C" w14:textId="77777777" w:rsidR="007D3E9B" w:rsidRPr="00D2222C" w:rsidRDefault="007D3E9B" w:rsidP="009E384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bCs/>
          <w:sz w:val="20"/>
          <w:szCs w:val="20"/>
        </w:rPr>
      </w:pPr>
    </w:p>
    <w:p w14:paraId="27E29420" w14:textId="77777777" w:rsidR="001C48AF" w:rsidRPr="00D2222C" w:rsidRDefault="005267AC"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Cs/>
          <w:sz w:val="20"/>
          <w:szCs w:val="20"/>
        </w:rPr>
      </w:pPr>
      <w:r w:rsidRPr="00D2222C">
        <w:rPr>
          <w:rFonts w:asciiTheme="majorHAnsi" w:hAnsiTheme="majorHAnsi"/>
          <w:bCs/>
          <w:sz w:val="20"/>
          <w:szCs w:val="20"/>
        </w:rPr>
        <w:t>In the instant case</w:t>
      </w:r>
      <w:r w:rsidR="00E63B98" w:rsidRPr="00D2222C">
        <w:rPr>
          <w:rFonts w:asciiTheme="majorHAnsi" w:hAnsiTheme="majorHAnsi"/>
          <w:bCs/>
          <w:sz w:val="20"/>
          <w:szCs w:val="20"/>
        </w:rPr>
        <w:t>,</w:t>
      </w:r>
      <w:r w:rsidRPr="00D2222C">
        <w:rPr>
          <w:rFonts w:asciiTheme="majorHAnsi" w:hAnsiTheme="majorHAnsi"/>
          <w:bCs/>
          <w:sz w:val="20"/>
          <w:szCs w:val="20"/>
        </w:rPr>
        <w:t xml:space="preserve"> the petitioners </w:t>
      </w:r>
      <w:r w:rsidR="006C2B38" w:rsidRPr="00D2222C">
        <w:rPr>
          <w:rFonts w:asciiTheme="majorHAnsi" w:hAnsiTheme="majorHAnsi"/>
          <w:bCs/>
          <w:sz w:val="20"/>
          <w:szCs w:val="20"/>
        </w:rPr>
        <w:t xml:space="preserve">allege that the federal </w:t>
      </w:r>
      <w:r w:rsidR="00E63B98" w:rsidRPr="00D2222C">
        <w:rPr>
          <w:rFonts w:asciiTheme="majorHAnsi" w:hAnsiTheme="majorHAnsi"/>
          <w:bCs/>
          <w:sz w:val="20"/>
          <w:szCs w:val="20"/>
        </w:rPr>
        <w:t xml:space="preserve">death </w:t>
      </w:r>
      <w:r w:rsidR="006C2B38" w:rsidRPr="00D2222C">
        <w:rPr>
          <w:rFonts w:asciiTheme="majorHAnsi" w:hAnsiTheme="majorHAnsi"/>
          <w:bCs/>
          <w:sz w:val="20"/>
          <w:szCs w:val="20"/>
        </w:rPr>
        <w:t xml:space="preserve">penalty was administered in a racially discriminatory fashion. In particular, they </w:t>
      </w:r>
      <w:r w:rsidRPr="00D2222C">
        <w:rPr>
          <w:rFonts w:asciiTheme="majorHAnsi" w:hAnsiTheme="majorHAnsi"/>
          <w:bCs/>
          <w:sz w:val="20"/>
          <w:szCs w:val="20"/>
        </w:rPr>
        <w:t xml:space="preserve">question the </w:t>
      </w:r>
      <w:r w:rsidR="006C2B38" w:rsidRPr="00D2222C">
        <w:rPr>
          <w:rFonts w:asciiTheme="majorHAnsi" w:hAnsiTheme="majorHAnsi"/>
          <w:bCs/>
          <w:sz w:val="20"/>
          <w:szCs w:val="20"/>
        </w:rPr>
        <w:t>venue of the trial, the authorization process by which the DoJ select</w:t>
      </w:r>
      <w:r w:rsidR="00BE1438" w:rsidRPr="00D2222C">
        <w:rPr>
          <w:rFonts w:asciiTheme="majorHAnsi" w:hAnsiTheme="majorHAnsi"/>
          <w:bCs/>
          <w:sz w:val="20"/>
          <w:szCs w:val="20"/>
        </w:rPr>
        <w:t>s</w:t>
      </w:r>
      <w:r w:rsidR="006C2B38" w:rsidRPr="00D2222C">
        <w:rPr>
          <w:rFonts w:asciiTheme="majorHAnsi" w:hAnsiTheme="majorHAnsi"/>
          <w:bCs/>
          <w:sz w:val="20"/>
          <w:szCs w:val="20"/>
        </w:rPr>
        <w:t xml:space="preserve"> those defendants who will face the death penalty, the </w:t>
      </w:r>
      <w:r w:rsidRPr="00D2222C">
        <w:rPr>
          <w:rFonts w:asciiTheme="majorHAnsi" w:hAnsiTheme="majorHAnsi"/>
          <w:bCs/>
          <w:sz w:val="20"/>
          <w:szCs w:val="20"/>
        </w:rPr>
        <w:t>composition of the jury, the manner in which the members of the jury were chosen</w:t>
      </w:r>
      <w:r w:rsidR="00C50C1E" w:rsidRPr="00D2222C">
        <w:rPr>
          <w:rFonts w:asciiTheme="majorHAnsi" w:hAnsiTheme="majorHAnsi"/>
          <w:bCs/>
          <w:sz w:val="20"/>
          <w:szCs w:val="20"/>
        </w:rPr>
        <w:t>, and the fact that the State did not offer Mr. Hall the chance to plead guilty</w:t>
      </w:r>
      <w:r w:rsidRPr="00D2222C">
        <w:rPr>
          <w:rFonts w:asciiTheme="majorHAnsi" w:hAnsiTheme="majorHAnsi"/>
          <w:bCs/>
          <w:sz w:val="20"/>
          <w:szCs w:val="20"/>
        </w:rPr>
        <w:t xml:space="preserve">.  </w:t>
      </w:r>
    </w:p>
    <w:p w14:paraId="3A596AD0" w14:textId="77777777" w:rsidR="001C48AF" w:rsidRPr="00D2222C" w:rsidRDefault="001C48AF" w:rsidP="009E3847">
      <w:pPr>
        <w:pStyle w:val="ListParagraph"/>
        <w:rPr>
          <w:rFonts w:asciiTheme="majorHAnsi" w:hAnsiTheme="majorHAnsi"/>
          <w:bCs/>
          <w:sz w:val="20"/>
          <w:szCs w:val="20"/>
        </w:rPr>
      </w:pPr>
    </w:p>
    <w:p w14:paraId="13638994" w14:textId="77777777" w:rsidR="001C48AF" w:rsidRPr="00D2222C" w:rsidRDefault="00371EFD"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Cs/>
          <w:sz w:val="20"/>
          <w:szCs w:val="20"/>
        </w:rPr>
      </w:pPr>
      <w:r w:rsidRPr="00D2222C">
        <w:rPr>
          <w:rFonts w:asciiTheme="majorHAnsi" w:hAnsiTheme="majorHAnsi"/>
          <w:bCs/>
          <w:sz w:val="20"/>
          <w:szCs w:val="20"/>
        </w:rPr>
        <w:t xml:space="preserve">According to </w:t>
      </w:r>
      <w:r w:rsidR="00FA63CD" w:rsidRPr="00D2222C">
        <w:rPr>
          <w:rFonts w:asciiTheme="majorHAnsi" w:hAnsiTheme="majorHAnsi"/>
          <w:bCs/>
          <w:sz w:val="20"/>
          <w:szCs w:val="20"/>
        </w:rPr>
        <w:t>the facts established in this report</w:t>
      </w:r>
      <w:r w:rsidR="00BE1438" w:rsidRPr="00D2222C">
        <w:rPr>
          <w:rFonts w:asciiTheme="majorHAnsi" w:hAnsiTheme="majorHAnsi"/>
          <w:bCs/>
          <w:sz w:val="20"/>
          <w:szCs w:val="20"/>
        </w:rPr>
        <w:t>,</w:t>
      </w:r>
      <w:r w:rsidRPr="00D2222C">
        <w:rPr>
          <w:rFonts w:asciiTheme="majorHAnsi" w:hAnsiTheme="majorHAnsi"/>
          <w:bCs/>
          <w:sz w:val="20"/>
          <w:szCs w:val="20"/>
        </w:rPr>
        <w:t xml:space="preserve"> at the time of Mr. Hall’s trial </w:t>
      </w:r>
      <w:r w:rsidR="004F441A" w:rsidRPr="00D2222C">
        <w:rPr>
          <w:rFonts w:asciiTheme="majorHAnsi" w:hAnsiTheme="majorHAnsi"/>
          <w:bCs/>
          <w:sz w:val="20"/>
          <w:szCs w:val="20"/>
        </w:rPr>
        <w:t>t</w:t>
      </w:r>
      <w:r w:rsidR="006B17B3" w:rsidRPr="00D2222C">
        <w:rPr>
          <w:rFonts w:asciiTheme="majorHAnsi" w:hAnsiTheme="majorHAnsi"/>
          <w:bCs/>
          <w:sz w:val="20"/>
          <w:szCs w:val="20"/>
        </w:rPr>
        <w:t>he rate of black defendants against whom the DoJ sought the death penalty was more than 60% higher than white defendants</w:t>
      </w:r>
      <w:r w:rsidR="00496C69" w:rsidRPr="00D2222C">
        <w:rPr>
          <w:rFonts w:asciiTheme="majorHAnsi" w:hAnsiTheme="majorHAnsi"/>
          <w:bCs/>
          <w:sz w:val="20"/>
          <w:szCs w:val="20"/>
        </w:rPr>
        <w:t>; and</w:t>
      </w:r>
      <w:r w:rsidR="00795E01" w:rsidRPr="00D2222C">
        <w:rPr>
          <w:rFonts w:asciiTheme="majorHAnsi" w:hAnsiTheme="majorHAnsi"/>
          <w:bCs/>
          <w:sz w:val="20"/>
          <w:szCs w:val="20"/>
        </w:rPr>
        <w:t xml:space="preserve"> </w:t>
      </w:r>
      <w:r w:rsidR="00134FF0" w:rsidRPr="00D2222C">
        <w:rPr>
          <w:rFonts w:asciiTheme="majorHAnsi" w:hAnsiTheme="majorHAnsi"/>
          <w:bCs/>
          <w:sz w:val="20"/>
          <w:szCs w:val="20"/>
        </w:rPr>
        <w:t>of the defendants who entered into plea agreements after the Attorney General had authorized the death penalty, 41% were white and 35% black.</w:t>
      </w:r>
      <w:r w:rsidR="001C48AF" w:rsidRPr="00D2222C">
        <w:rPr>
          <w:rFonts w:asciiTheme="majorHAnsi" w:hAnsiTheme="majorHAnsi"/>
          <w:bCs/>
          <w:sz w:val="20"/>
          <w:szCs w:val="20"/>
        </w:rPr>
        <w:t xml:space="preserve"> </w:t>
      </w:r>
      <w:r w:rsidR="00955EA3" w:rsidRPr="00D2222C">
        <w:rPr>
          <w:rFonts w:asciiTheme="majorHAnsi" w:hAnsiTheme="majorHAnsi"/>
          <w:bCs/>
          <w:sz w:val="20"/>
          <w:szCs w:val="20"/>
        </w:rPr>
        <w:t>I</w:t>
      </w:r>
      <w:r w:rsidR="001C48AF" w:rsidRPr="00D2222C">
        <w:rPr>
          <w:rFonts w:asciiTheme="majorHAnsi" w:hAnsiTheme="majorHAnsi"/>
          <w:bCs/>
          <w:sz w:val="20"/>
          <w:szCs w:val="20"/>
        </w:rPr>
        <w:t>t has</w:t>
      </w:r>
      <w:r w:rsidR="00955EA3" w:rsidRPr="00D2222C">
        <w:rPr>
          <w:rFonts w:asciiTheme="majorHAnsi" w:hAnsiTheme="majorHAnsi"/>
          <w:bCs/>
          <w:sz w:val="20"/>
          <w:szCs w:val="20"/>
        </w:rPr>
        <w:t xml:space="preserve"> also</w:t>
      </w:r>
      <w:r w:rsidR="001C48AF" w:rsidRPr="00D2222C">
        <w:rPr>
          <w:rFonts w:asciiTheme="majorHAnsi" w:hAnsiTheme="majorHAnsi"/>
          <w:bCs/>
          <w:sz w:val="20"/>
          <w:szCs w:val="20"/>
        </w:rPr>
        <w:t xml:space="preserve"> been proven that, b</w:t>
      </w:r>
      <w:r w:rsidR="001C48AF" w:rsidRPr="00D2222C">
        <w:rPr>
          <w:rFonts w:asciiTheme="majorHAnsi" w:hAnsiTheme="majorHAnsi"/>
          <w:sz w:val="20"/>
          <w:szCs w:val="20"/>
        </w:rPr>
        <w:t>efore the commencement of trial</w:t>
      </w:r>
      <w:r w:rsidR="00955EA3" w:rsidRPr="00D2222C">
        <w:rPr>
          <w:rFonts w:asciiTheme="majorHAnsi" w:hAnsiTheme="majorHAnsi"/>
          <w:sz w:val="20"/>
          <w:szCs w:val="20"/>
        </w:rPr>
        <w:t>,</w:t>
      </w:r>
      <w:r w:rsidR="001C48AF" w:rsidRPr="00D2222C">
        <w:rPr>
          <w:rFonts w:asciiTheme="majorHAnsi" w:hAnsiTheme="majorHAnsi"/>
          <w:sz w:val="20"/>
          <w:szCs w:val="20"/>
        </w:rPr>
        <w:t xml:space="preserve"> </w:t>
      </w:r>
      <w:r w:rsidR="007A17C8" w:rsidRPr="00D2222C">
        <w:rPr>
          <w:rFonts w:asciiTheme="majorHAnsi" w:hAnsiTheme="majorHAnsi"/>
          <w:sz w:val="20"/>
          <w:szCs w:val="20"/>
        </w:rPr>
        <w:t xml:space="preserve">the district court denied a discovery request made by </w:t>
      </w:r>
      <w:r w:rsidR="00E26FCD" w:rsidRPr="00D2222C">
        <w:rPr>
          <w:rFonts w:asciiTheme="majorHAnsi" w:hAnsiTheme="majorHAnsi"/>
          <w:sz w:val="20"/>
          <w:szCs w:val="20"/>
        </w:rPr>
        <w:t xml:space="preserve">Mr. Hall’s </w:t>
      </w:r>
      <w:r w:rsidR="007A17C8" w:rsidRPr="00D2222C">
        <w:rPr>
          <w:rFonts w:asciiTheme="majorHAnsi" w:hAnsiTheme="majorHAnsi"/>
          <w:sz w:val="20"/>
          <w:szCs w:val="20"/>
        </w:rPr>
        <w:t>defense counsel regarding the government’s decision-making in death-penalty cases</w:t>
      </w:r>
      <w:r w:rsidR="001C48AF" w:rsidRPr="00D2222C">
        <w:rPr>
          <w:rFonts w:asciiTheme="majorHAnsi" w:hAnsiTheme="majorHAnsi"/>
          <w:sz w:val="20"/>
          <w:szCs w:val="20"/>
        </w:rPr>
        <w:t xml:space="preserve">. </w:t>
      </w:r>
    </w:p>
    <w:p w14:paraId="6CA1A856" w14:textId="77777777" w:rsidR="00E1451D" w:rsidRPr="00D2222C" w:rsidRDefault="00E1451D" w:rsidP="009E3847">
      <w:pPr>
        <w:pStyle w:val="ListParagraph"/>
        <w:rPr>
          <w:rFonts w:asciiTheme="majorHAnsi" w:hAnsiTheme="majorHAnsi"/>
          <w:bCs/>
          <w:sz w:val="20"/>
          <w:szCs w:val="20"/>
        </w:rPr>
      </w:pPr>
    </w:p>
    <w:p w14:paraId="10C3E694" w14:textId="77777777" w:rsidR="00D74A1F" w:rsidRPr="00D2222C" w:rsidRDefault="00E6356C"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Cs/>
          <w:sz w:val="20"/>
          <w:szCs w:val="20"/>
        </w:rPr>
      </w:pPr>
      <w:r w:rsidRPr="00D2222C">
        <w:rPr>
          <w:rFonts w:asciiTheme="majorHAnsi" w:hAnsiTheme="majorHAnsi"/>
          <w:bCs/>
          <w:sz w:val="20"/>
          <w:szCs w:val="20"/>
        </w:rPr>
        <w:t>After an</w:t>
      </w:r>
      <w:r w:rsidR="00E1451D" w:rsidRPr="00D2222C">
        <w:rPr>
          <w:rFonts w:asciiTheme="majorHAnsi" w:hAnsiTheme="majorHAnsi"/>
          <w:bCs/>
          <w:sz w:val="20"/>
          <w:szCs w:val="20"/>
        </w:rPr>
        <w:t xml:space="preserve"> all-white jury </w:t>
      </w:r>
      <w:r w:rsidRPr="00D2222C">
        <w:rPr>
          <w:rFonts w:asciiTheme="majorHAnsi" w:hAnsiTheme="majorHAnsi"/>
          <w:bCs/>
          <w:sz w:val="20"/>
          <w:szCs w:val="20"/>
        </w:rPr>
        <w:t xml:space="preserve">recommended that Mr. Hall receive the death penalty, </w:t>
      </w:r>
      <w:r w:rsidR="00A438F6" w:rsidRPr="00D2222C">
        <w:rPr>
          <w:rFonts w:asciiTheme="majorHAnsi" w:hAnsiTheme="majorHAnsi"/>
          <w:bCs/>
          <w:sz w:val="20"/>
          <w:szCs w:val="20"/>
        </w:rPr>
        <w:t xml:space="preserve">Mr. Hall was convicted and sentenced to the </w:t>
      </w:r>
      <w:r w:rsidRPr="00D2222C">
        <w:rPr>
          <w:rFonts w:asciiTheme="majorHAnsi" w:hAnsiTheme="majorHAnsi"/>
          <w:bCs/>
          <w:sz w:val="20"/>
          <w:szCs w:val="20"/>
        </w:rPr>
        <w:t xml:space="preserve">death penalty on February 12, 1996. </w:t>
      </w:r>
      <w:r w:rsidR="00B46313" w:rsidRPr="00D2222C">
        <w:rPr>
          <w:rFonts w:asciiTheme="majorHAnsi" w:hAnsiTheme="majorHAnsi"/>
          <w:bCs/>
          <w:sz w:val="20"/>
          <w:szCs w:val="20"/>
        </w:rPr>
        <w:t xml:space="preserve">It is uncontested that the Assistant U.S. Attorney </w:t>
      </w:r>
      <w:r w:rsidR="00D25C75" w:rsidRPr="00D2222C">
        <w:rPr>
          <w:rFonts w:asciiTheme="majorHAnsi" w:hAnsiTheme="majorHAnsi"/>
          <w:bCs/>
          <w:sz w:val="20"/>
          <w:szCs w:val="20"/>
        </w:rPr>
        <w:t xml:space="preserve">responsible for assembling the jury in Mr. Hall’s prosecution was </w:t>
      </w:r>
      <w:r w:rsidR="00A438F6" w:rsidRPr="00D2222C">
        <w:rPr>
          <w:rFonts w:asciiTheme="majorHAnsi" w:hAnsiTheme="majorHAnsi"/>
          <w:bCs/>
          <w:sz w:val="20"/>
          <w:szCs w:val="20"/>
        </w:rPr>
        <w:t xml:space="preserve">later </w:t>
      </w:r>
      <w:r w:rsidR="00D25C75" w:rsidRPr="00D2222C">
        <w:rPr>
          <w:rFonts w:asciiTheme="majorHAnsi" w:hAnsiTheme="majorHAnsi"/>
          <w:bCs/>
          <w:sz w:val="20"/>
          <w:szCs w:val="20"/>
        </w:rPr>
        <w:t>found by the U.S. Supreme Court</w:t>
      </w:r>
      <w:r w:rsidR="00ED0E31" w:rsidRPr="00D2222C">
        <w:rPr>
          <w:rFonts w:asciiTheme="majorHAnsi" w:hAnsiTheme="majorHAnsi"/>
          <w:bCs/>
          <w:sz w:val="20"/>
          <w:szCs w:val="20"/>
        </w:rPr>
        <w:t xml:space="preserve"> and Fifth Circuit</w:t>
      </w:r>
      <w:r w:rsidR="00D25C75" w:rsidRPr="00D2222C">
        <w:rPr>
          <w:rFonts w:asciiTheme="majorHAnsi" w:hAnsiTheme="majorHAnsi"/>
          <w:bCs/>
          <w:sz w:val="20"/>
          <w:szCs w:val="20"/>
        </w:rPr>
        <w:t xml:space="preserve">, in two separate capital cases decided in 2005 and 2009, to have engaged in racial discrimination in jury selection. According to the petitioners, given that Mr. Hall’s final round of appeals had already been decided, he could not use this new finding in his habeas petition. This allegation has not been disputed by the State. </w:t>
      </w:r>
      <w:r w:rsidR="00B46313" w:rsidRPr="00D2222C">
        <w:rPr>
          <w:rFonts w:asciiTheme="majorHAnsi" w:hAnsiTheme="majorHAnsi"/>
          <w:bCs/>
          <w:sz w:val="20"/>
          <w:szCs w:val="20"/>
        </w:rPr>
        <w:t xml:space="preserve"> </w:t>
      </w:r>
      <w:r w:rsidRPr="00D2222C">
        <w:rPr>
          <w:rFonts w:asciiTheme="majorHAnsi" w:hAnsiTheme="majorHAnsi"/>
          <w:bCs/>
          <w:sz w:val="20"/>
          <w:szCs w:val="20"/>
        </w:rPr>
        <w:t xml:space="preserve"> </w:t>
      </w:r>
      <w:r w:rsidR="00A91F89" w:rsidRPr="00D2222C">
        <w:rPr>
          <w:rFonts w:asciiTheme="majorHAnsi" w:hAnsiTheme="majorHAnsi"/>
          <w:bCs/>
          <w:sz w:val="20"/>
          <w:szCs w:val="20"/>
        </w:rPr>
        <w:t xml:space="preserve"> </w:t>
      </w:r>
    </w:p>
    <w:p w14:paraId="46716EA4" w14:textId="77777777" w:rsidR="00E26FCD" w:rsidRPr="00D2222C" w:rsidRDefault="00E26FCD" w:rsidP="009E3847">
      <w:pPr>
        <w:pStyle w:val="ListParagraph"/>
        <w:rPr>
          <w:rFonts w:asciiTheme="majorHAnsi" w:hAnsiTheme="majorHAnsi"/>
          <w:bCs/>
          <w:sz w:val="20"/>
          <w:szCs w:val="20"/>
        </w:rPr>
      </w:pPr>
    </w:p>
    <w:p w14:paraId="08AE703C" w14:textId="77777777" w:rsidR="00F82683" w:rsidRPr="00D2222C" w:rsidRDefault="00E26FCD"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Cs/>
          <w:sz w:val="20"/>
          <w:szCs w:val="20"/>
        </w:rPr>
      </w:pPr>
      <w:r w:rsidRPr="00D2222C">
        <w:rPr>
          <w:rFonts w:asciiTheme="majorHAnsi" w:hAnsiTheme="majorHAnsi"/>
          <w:bCs/>
          <w:sz w:val="20"/>
          <w:szCs w:val="20"/>
        </w:rPr>
        <w:t xml:space="preserve">The fact that Mr. Hall, an African-American, had been tried by an all-white jury does not constitute </w:t>
      </w:r>
      <w:r w:rsidRPr="00D2222C">
        <w:rPr>
          <w:rFonts w:asciiTheme="majorHAnsi" w:hAnsiTheme="majorHAnsi"/>
          <w:bCs/>
          <w:i/>
          <w:sz w:val="20"/>
          <w:szCs w:val="20"/>
        </w:rPr>
        <w:t>per se</w:t>
      </w:r>
      <w:r w:rsidRPr="00D2222C">
        <w:rPr>
          <w:rFonts w:asciiTheme="majorHAnsi" w:hAnsiTheme="majorHAnsi"/>
          <w:bCs/>
          <w:sz w:val="20"/>
          <w:szCs w:val="20"/>
        </w:rPr>
        <w:t xml:space="preserve"> a violation to the right of equality before the law. </w:t>
      </w:r>
      <w:r w:rsidR="006A508B" w:rsidRPr="00D2222C">
        <w:rPr>
          <w:rFonts w:asciiTheme="majorHAnsi" w:hAnsiTheme="majorHAnsi"/>
          <w:bCs/>
          <w:sz w:val="20"/>
          <w:szCs w:val="20"/>
        </w:rPr>
        <w:t xml:space="preserve">However, </w:t>
      </w:r>
      <w:r w:rsidR="00047F35" w:rsidRPr="00D2222C">
        <w:rPr>
          <w:rFonts w:asciiTheme="majorHAnsi" w:hAnsiTheme="majorHAnsi"/>
          <w:bCs/>
          <w:sz w:val="20"/>
          <w:szCs w:val="20"/>
        </w:rPr>
        <w:t>the facts established above</w:t>
      </w:r>
      <w:r w:rsidR="00404333" w:rsidRPr="00D2222C">
        <w:rPr>
          <w:rFonts w:asciiTheme="majorHAnsi" w:hAnsiTheme="majorHAnsi"/>
          <w:bCs/>
          <w:sz w:val="20"/>
          <w:szCs w:val="20"/>
        </w:rPr>
        <w:t xml:space="preserve"> and the context of disparate impact</w:t>
      </w:r>
      <w:r w:rsidR="00047F35" w:rsidRPr="00D2222C">
        <w:rPr>
          <w:rFonts w:asciiTheme="majorHAnsi" w:hAnsiTheme="majorHAnsi"/>
          <w:bCs/>
          <w:sz w:val="20"/>
          <w:szCs w:val="20"/>
        </w:rPr>
        <w:t>, when considered as a whole,</w:t>
      </w:r>
      <w:r w:rsidR="00084C5B" w:rsidRPr="00D2222C">
        <w:rPr>
          <w:rFonts w:asciiTheme="majorHAnsi" w:hAnsiTheme="majorHAnsi"/>
          <w:bCs/>
          <w:sz w:val="20"/>
          <w:szCs w:val="20"/>
        </w:rPr>
        <w:t xml:space="preserve"> raise a sufficient suspicion on the possible consideration of race in the application of the death penalty </w:t>
      </w:r>
      <w:r w:rsidR="001C38BC" w:rsidRPr="00D2222C">
        <w:rPr>
          <w:rFonts w:asciiTheme="majorHAnsi" w:hAnsiTheme="majorHAnsi"/>
          <w:bCs/>
          <w:sz w:val="20"/>
          <w:szCs w:val="20"/>
        </w:rPr>
        <w:t xml:space="preserve">in </w:t>
      </w:r>
      <w:r w:rsidR="00084C5B" w:rsidRPr="00D2222C">
        <w:rPr>
          <w:rFonts w:asciiTheme="majorHAnsi" w:hAnsiTheme="majorHAnsi"/>
          <w:bCs/>
          <w:sz w:val="20"/>
          <w:szCs w:val="20"/>
        </w:rPr>
        <w:t>Mr. Hall</w:t>
      </w:r>
      <w:r w:rsidR="001C38BC" w:rsidRPr="00D2222C">
        <w:rPr>
          <w:rFonts w:asciiTheme="majorHAnsi" w:hAnsiTheme="majorHAnsi"/>
          <w:bCs/>
          <w:sz w:val="20"/>
          <w:szCs w:val="20"/>
        </w:rPr>
        <w:t>’s case</w:t>
      </w:r>
      <w:r w:rsidR="00084C5B" w:rsidRPr="00D2222C">
        <w:rPr>
          <w:rFonts w:asciiTheme="majorHAnsi" w:hAnsiTheme="majorHAnsi"/>
          <w:bCs/>
          <w:sz w:val="20"/>
          <w:szCs w:val="20"/>
        </w:rPr>
        <w:t>. G</w:t>
      </w:r>
      <w:r w:rsidR="006A508B" w:rsidRPr="00D2222C">
        <w:rPr>
          <w:rFonts w:asciiTheme="majorHAnsi" w:hAnsiTheme="majorHAnsi"/>
          <w:bCs/>
          <w:sz w:val="20"/>
          <w:szCs w:val="20"/>
        </w:rPr>
        <w:t xml:space="preserve">iven </w:t>
      </w:r>
      <w:r w:rsidR="002D628F" w:rsidRPr="00D2222C">
        <w:rPr>
          <w:rFonts w:asciiTheme="majorHAnsi" w:hAnsiTheme="majorHAnsi"/>
          <w:bCs/>
          <w:sz w:val="20"/>
          <w:szCs w:val="20"/>
        </w:rPr>
        <w:t xml:space="preserve">the </w:t>
      </w:r>
      <w:r w:rsidR="00084C5B" w:rsidRPr="00D2222C">
        <w:rPr>
          <w:rFonts w:asciiTheme="majorHAnsi" w:hAnsiTheme="majorHAnsi"/>
          <w:bCs/>
          <w:sz w:val="20"/>
          <w:szCs w:val="20"/>
        </w:rPr>
        <w:t>seriousness of a suspicion of racial discrimination and the fact that in this specific case</w:t>
      </w:r>
      <w:r w:rsidR="00ED0E31" w:rsidRPr="00D2222C">
        <w:rPr>
          <w:rFonts w:asciiTheme="majorHAnsi" w:hAnsiTheme="majorHAnsi"/>
          <w:bCs/>
          <w:sz w:val="20"/>
          <w:szCs w:val="20"/>
        </w:rPr>
        <w:t>,</w:t>
      </w:r>
      <w:r w:rsidR="00084C5B" w:rsidRPr="00D2222C">
        <w:rPr>
          <w:rFonts w:asciiTheme="majorHAnsi" w:hAnsiTheme="majorHAnsi"/>
          <w:bCs/>
          <w:sz w:val="20"/>
          <w:szCs w:val="20"/>
        </w:rPr>
        <w:t xml:space="preserve"> the State had the means to prove that </w:t>
      </w:r>
      <w:r w:rsidR="001C38BC" w:rsidRPr="00D2222C">
        <w:rPr>
          <w:rFonts w:asciiTheme="majorHAnsi" w:hAnsiTheme="majorHAnsi"/>
          <w:bCs/>
          <w:sz w:val="20"/>
          <w:szCs w:val="20"/>
        </w:rPr>
        <w:t xml:space="preserve">the </w:t>
      </w:r>
      <w:r w:rsidR="00084C5B" w:rsidRPr="00D2222C">
        <w:rPr>
          <w:rFonts w:asciiTheme="majorHAnsi" w:hAnsiTheme="majorHAnsi"/>
          <w:bCs/>
          <w:sz w:val="20"/>
          <w:szCs w:val="20"/>
        </w:rPr>
        <w:t xml:space="preserve">death penalty was administered in an objective manner, </w:t>
      </w:r>
      <w:r w:rsidR="005439C3" w:rsidRPr="00D2222C">
        <w:rPr>
          <w:rFonts w:asciiTheme="majorHAnsi" w:hAnsiTheme="majorHAnsi"/>
          <w:bCs/>
          <w:sz w:val="20"/>
          <w:szCs w:val="20"/>
        </w:rPr>
        <w:t xml:space="preserve">such suspicion </w:t>
      </w:r>
      <w:r w:rsidR="009C1D8B" w:rsidRPr="00D2222C">
        <w:rPr>
          <w:rFonts w:asciiTheme="majorHAnsi" w:hAnsiTheme="majorHAnsi"/>
          <w:bCs/>
          <w:sz w:val="20"/>
          <w:szCs w:val="20"/>
        </w:rPr>
        <w:t xml:space="preserve">triggers a strict level of scrutiny and a presumption </w:t>
      </w:r>
      <w:r w:rsidR="009C1D8B" w:rsidRPr="00D2222C">
        <w:rPr>
          <w:rFonts w:asciiTheme="majorHAnsi" w:hAnsiTheme="majorHAnsi"/>
          <w:bCs/>
          <w:sz w:val="20"/>
          <w:szCs w:val="20"/>
        </w:rPr>
        <w:lastRenderedPageBreak/>
        <w:t>of invalidity</w:t>
      </w:r>
      <w:r w:rsidR="003D5CD7" w:rsidRPr="00D2222C">
        <w:rPr>
          <w:rFonts w:asciiTheme="majorHAnsi" w:hAnsiTheme="majorHAnsi"/>
          <w:bCs/>
          <w:sz w:val="20"/>
          <w:szCs w:val="20"/>
        </w:rPr>
        <w:t xml:space="preserve">, </w:t>
      </w:r>
      <w:r w:rsidR="006E6C78" w:rsidRPr="00D2222C">
        <w:rPr>
          <w:rFonts w:asciiTheme="majorHAnsi" w:hAnsiTheme="majorHAnsi"/>
          <w:bCs/>
          <w:sz w:val="20"/>
          <w:szCs w:val="20"/>
        </w:rPr>
        <w:t xml:space="preserve">and </w:t>
      </w:r>
      <w:r w:rsidR="003D5CD7" w:rsidRPr="00D2222C">
        <w:rPr>
          <w:rFonts w:asciiTheme="majorHAnsi" w:hAnsiTheme="majorHAnsi"/>
          <w:bCs/>
          <w:sz w:val="20"/>
          <w:szCs w:val="20"/>
        </w:rPr>
        <w:t xml:space="preserve">the State has the burden </w:t>
      </w:r>
      <w:r w:rsidR="009C1D8B" w:rsidRPr="00D2222C">
        <w:rPr>
          <w:rFonts w:asciiTheme="majorHAnsi" w:hAnsiTheme="majorHAnsi"/>
          <w:bCs/>
          <w:sz w:val="20"/>
          <w:szCs w:val="20"/>
        </w:rPr>
        <w:t>of proving</w:t>
      </w:r>
      <w:r w:rsidR="003D5CD7" w:rsidRPr="00D2222C">
        <w:rPr>
          <w:rFonts w:asciiTheme="majorHAnsi" w:hAnsiTheme="majorHAnsi"/>
          <w:bCs/>
          <w:sz w:val="20"/>
          <w:szCs w:val="20"/>
        </w:rPr>
        <w:t xml:space="preserve"> </w:t>
      </w:r>
      <w:r w:rsidR="00BB6D96" w:rsidRPr="00D2222C">
        <w:rPr>
          <w:rFonts w:asciiTheme="majorHAnsi" w:hAnsiTheme="majorHAnsi"/>
          <w:bCs/>
          <w:sz w:val="20"/>
          <w:szCs w:val="20"/>
        </w:rPr>
        <w:t>t</w:t>
      </w:r>
      <w:r w:rsidR="00182F27" w:rsidRPr="00D2222C">
        <w:rPr>
          <w:rFonts w:asciiTheme="majorHAnsi" w:hAnsiTheme="majorHAnsi"/>
          <w:bCs/>
          <w:sz w:val="20"/>
          <w:szCs w:val="20"/>
        </w:rPr>
        <w:t>hat</w:t>
      </w:r>
      <w:r w:rsidR="00BB6D96" w:rsidRPr="00D2222C">
        <w:rPr>
          <w:rFonts w:asciiTheme="majorHAnsi" w:hAnsiTheme="majorHAnsi"/>
          <w:bCs/>
          <w:sz w:val="20"/>
          <w:szCs w:val="20"/>
        </w:rPr>
        <w:t xml:space="preserve"> criminal proceedings </w:t>
      </w:r>
      <w:r w:rsidR="00182F27" w:rsidRPr="00D2222C">
        <w:rPr>
          <w:rFonts w:asciiTheme="majorHAnsi" w:hAnsiTheme="majorHAnsi"/>
          <w:bCs/>
          <w:sz w:val="20"/>
          <w:szCs w:val="20"/>
        </w:rPr>
        <w:t>had</w:t>
      </w:r>
      <w:r w:rsidR="00BB6D96" w:rsidRPr="00D2222C">
        <w:rPr>
          <w:rFonts w:asciiTheme="majorHAnsi" w:hAnsiTheme="majorHAnsi"/>
          <w:bCs/>
          <w:sz w:val="20"/>
          <w:szCs w:val="20"/>
        </w:rPr>
        <w:t xml:space="preserve"> not</w:t>
      </w:r>
      <w:r w:rsidR="00182F27" w:rsidRPr="00D2222C">
        <w:rPr>
          <w:rFonts w:asciiTheme="majorHAnsi" w:hAnsiTheme="majorHAnsi"/>
          <w:bCs/>
          <w:sz w:val="20"/>
          <w:szCs w:val="20"/>
        </w:rPr>
        <w:t xml:space="preserve"> been</w:t>
      </w:r>
      <w:r w:rsidR="00BB6D96" w:rsidRPr="00D2222C">
        <w:rPr>
          <w:rFonts w:asciiTheme="majorHAnsi" w:hAnsiTheme="majorHAnsi"/>
          <w:bCs/>
          <w:sz w:val="20"/>
          <w:szCs w:val="20"/>
        </w:rPr>
        <w:t xml:space="preserve"> tainted </w:t>
      </w:r>
      <w:r w:rsidR="00182F27" w:rsidRPr="00D2222C">
        <w:rPr>
          <w:rFonts w:asciiTheme="majorHAnsi" w:hAnsiTheme="majorHAnsi"/>
          <w:bCs/>
          <w:sz w:val="20"/>
          <w:szCs w:val="20"/>
        </w:rPr>
        <w:t>by racial bias at any stage</w:t>
      </w:r>
      <w:r w:rsidR="00081EC3" w:rsidRPr="00D2222C">
        <w:rPr>
          <w:rFonts w:asciiTheme="majorHAnsi" w:hAnsiTheme="majorHAnsi"/>
          <w:bCs/>
          <w:sz w:val="20"/>
          <w:szCs w:val="20"/>
        </w:rPr>
        <w:t>.</w:t>
      </w:r>
      <w:r w:rsidR="00182F27" w:rsidRPr="00D2222C">
        <w:rPr>
          <w:rFonts w:asciiTheme="majorHAnsi" w:hAnsiTheme="majorHAnsi"/>
          <w:bCs/>
          <w:sz w:val="20"/>
          <w:szCs w:val="20"/>
        </w:rPr>
        <w:t xml:space="preserve"> The State argued that </w:t>
      </w:r>
      <w:r w:rsidR="00D8763F" w:rsidRPr="00D2222C">
        <w:rPr>
          <w:rFonts w:asciiTheme="majorHAnsi" w:hAnsiTheme="majorHAnsi"/>
          <w:bCs/>
          <w:sz w:val="20"/>
          <w:szCs w:val="20"/>
        </w:rPr>
        <w:t>statistical evidence is not sufficient to demonstrate evidence of discriminatory intent regarding the death penalty against African-American individuals. With regard to the instant case, it asserted that defense attorneys met with the capital case review committee</w:t>
      </w:r>
      <w:r w:rsidR="00180E3B" w:rsidRPr="00D2222C">
        <w:rPr>
          <w:rFonts w:asciiTheme="majorHAnsi" w:hAnsiTheme="majorHAnsi"/>
          <w:bCs/>
          <w:sz w:val="20"/>
          <w:szCs w:val="20"/>
        </w:rPr>
        <w:t xml:space="preserve"> to present arguments as to why the government should not seek the death penalty</w:t>
      </w:r>
      <w:r w:rsidR="00D8763F" w:rsidRPr="00D2222C">
        <w:rPr>
          <w:rFonts w:asciiTheme="majorHAnsi" w:hAnsiTheme="majorHAnsi"/>
          <w:bCs/>
          <w:sz w:val="20"/>
          <w:szCs w:val="20"/>
        </w:rPr>
        <w:t xml:space="preserve">, that the decision to seek </w:t>
      </w:r>
      <w:r w:rsidR="00180E3B" w:rsidRPr="00D2222C">
        <w:rPr>
          <w:rFonts w:asciiTheme="majorHAnsi" w:hAnsiTheme="majorHAnsi"/>
          <w:bCs/>
          <w:sz w:val="20"/>
          <w:szCs w:val="20"/>
        </w:rPr>
        <w:t>it</w:t>
      </w:r>
      <w:r w:rsidR="00D8763F" w:rsidRPr="00D2222C">
        <w:rPr>
          <w:rFonts w:asciiTheme="majorHAnsi" w:hAnsiTheme="majorHAnsi"/>
          <w:bCs/>
          <w:sz w:val="20"/>
          <w:szCs w:val="20"/>
        </w:rPr>
        <w:t xml:space="preserve"> was made by the Attorney General and not by the prosecuting attorney, </w:t>
      </w:r>
      <w:r w:rsidR="00180E3B" w:rsidRPr="00D2222C">
        <w:rPr>
          <w:rFonts w:asciiTheme="majorHAnsi" w:hAnsiTheme="majorHAnsi"/>
          <w:bCs/>
          <w:sz w:val="20"/>
          <w:szCs w:val="20"/>
        </w:rPr>
        <w:t xml:space="preserve">that Texas was the most logical venue for the trial, </w:t>
      </w:r>
      <w:r w:rsidR="00D8763F" w:rsidRPr="00D2222C">
        <w:rPr>
          <w:rFonts w:asciiTheme="majorHAnsi" w:hAnsiTheme="majorHAnsi"/>
          <w:bCs/>
          <w:sz w:val="20"/>
          <w:szCs w:val="20"/>
        </w:rPr>
        <w:t xml:space="preserve">and that the lack of access to discovery is not sufficient to establish </w:t>
      </w:r>
      <w:r w:rsidR="00F545AC" w:rsidRPr="00D2222C">
        <w:rPr>
          <w:rFonts w:asciiTheme="majorHAnsi" w:hAnsiTheme="majorHAnsi"/>
          <w:bCs/>
          <w:sz w:val="20"/>
          <w:szCs w:val="20"/>
        </w:rPr>
        <w:t>a</w:t>
      </w:r>
      <w:r w:rsidR="00D8763F" w:rsidRPr="00D2222C">
        <w:rPr>
          <w:rFonts w:asciiTheme="majorHAnsi" w:hAnsiTheme="majorHAnsi"/>
          <w:bCs/>
          <w:sz w:val="20"/>
          <w:szCs w:val="20"/>
        </w:rPr>
        <w:t xml:space="preserve"> claim of selective prosecution. </w:t>
      </w:r>
    </w:p>
    <w:p w14:paraId="27145B6E" w14:textId="77777777" w:rsidR="00F82683" w:rsidRPr="00D2222C" w:rsidRDefault="00F82683" w:rsidP="009E3847">
      <w:pPr>
        <w:pStyle w:val="ListParagraph"/>
        <w:rPr>
          <w:rFonts w:asciiTheme="majorHAnsi" w:hAnsiTheme="majorHAnsi"/>
          <w:bCs/>
          <w:sz w:val="20"/>
          <w:szCs w:val="20"/>
        </w:rPr>
      </w:pPr>
    </w:p>
    <w:p w14:paraId="53045630" w14:textId="77777777" w:rsidR="009653A0" w:rsidRPr="00D2222C" w:rsidRDefault="00081EC3"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Cs/>
          <w:sz w:val="20"/>
          <w:szCs w:val="20"/>
        </w:rPr>
      </w:pPr>
      <w:r w:rsidRPr="00D2222C">
        <w:rPr>
          <w:rFonts w:asciiTheme="majorHAnsi" w:hAnsiTheme="majorHAnsi"/>
          <w:bCs/>
          <w:sz w:val="20"/>
          <w:szCs w:val="20"/>
        </w:rPr>
        <w:t xml:space="preserve"> </w:t>
      </w:r>
      <w:r w:rsidR="003D5CD7" w:rsidRPr="00D2222C">
        <w:rPr>
          <w:rFonts w:asciiTheme="majorHAnsi" w:hAnsiTheme="majorHAnsi"/>
          <w:bCs/>
          <w:sz w:val="20"/>
          <w:szCs w:val="20"/>
        </w:rPr>
        <w:t xml:space="preserve"> </w:t>
      </w:r>
      <w:r w:rsidR="004B388C" w:rsidRPr="00D2222C">
        <w:rPr>
          <w:rFonts w:asciiTheme="majorHAnsi" w:hAnsiTheme="majorHAnsi"/>
          <w:bCs/>
          <w:sz w:val="20"/>
          <w:szCs w:val="20"/>
        </w:rPr>
        <w:t xml:space="preserve">The Commission notes that </w:t>
      </w:r>
      <w:r w:rsidR="00A40CED" w:rsidRPr="00D2222C">
        <w:rPr>
          <w:rFonts w:asciiTheme="majorHAnsi" w:hAnsiTheme="majorHAnsi"/>
          <w:bCs/>
          <w:sz w:val="20"/>
          <w:szCs w:val="20"/>
        </w:rPr>
        <w:t xml:space="preserve">the State does not dispute the fact that the district </w:t>
      </w:r>
      <w:r w:rsidR="00483146" w:rsidRPr="00D2222C">
        <w:rPr>
          <w:rFonts w:asciiTheme="majorHAnsi" w:hAnsiTheme="majorHAnsi"/>
          <w:bCs/>
          <w:sz w:val="20"/>
          <w:szCs w:val="20"/>
        </w:rPr>
        <w:t xml:space="preserve">court dismissed defense counsel’s </w:t>
      </w:r>
      <w:r w:rsidR="000657E1" w:rsidRPr="00D2222C">
        <w:rPr>
          <w:rFonts w:asciiTheme="majorHAnsi" w:hAnsiTheme="majorHAnsi"/>
          <w:sz w:val="20"/>
          <w:szCs w:val="20"/>
        </w:rPr>
        <w:t xml:space="preserve">discovery request regarding the </w:t>
      </w:r>
      <w:r w:rsidR="00A10450" w:rsidRPr="00D2222C">
        <w:rPr>
          <w:rFonts w:asciiTheme="majorHAnsi" w:hAnsiTheme="majorHAnsi"/>
          <w:sz w:val="20"/>
          <w:szCs w:val="20"/>
        </w:rPr>
        <w:t xml:space="preserve">death penalty </w:t>
      </w:r>
      <w:r w:rsidR="000657E1" w:rsidRPr="00D2222C">
        <w:rPr>
          <w:rFonts w:asciiTheme="majorHAnsi" w:hAnsiTheme="majorHAnsi"/>
          <w:sz w:val="20"/>
          <w:szCs w:val="20"/>
        </w:rPr>
        <w:t>decision-making process</w:t>
      </w:r>
      <w:r w:rsidR="00A10450" w:rsidRPr="00D2222C">
        <w:rPr>
          <w:rFonts w:asciiTheme="majorHAnsi" w:hAnsiTheme="majorHAnsi"/>
          <w:sz w:val="20"/>
          <w:szCs w:val="20"/>
        </w:rPr>
        <w:t xml:space="preserve">. </w:t>
      </w:r>
      <w:r w:rsidR="009653A0" w:rsidRPr="00D2222C">
        <w:rPr>
          <w:rFonts w:asciiTheme="majorHAnsi" w:hAnsiTheme="majorHAnsi"/>
          <w:bCs/>
          <w:sz w:val="20"/>
          <w:szCs w:val="20"/>
        </w:rPr>
        <w:t>The State has also failed to provide information to the IACHR</w:t>
      </w:r>
      <w:r w:rsidR="009653A0" w:rsidRPr="00D2222C">
        <w:rPr>
          <w:rFonts w:asciiTheme="majorHAnsi" w:hAnsiTheme="majorHAnsi"/>
          <w:sz w:val="20"/>
          <w:szCs w:val="20"/>
        </w:rPr>
        <w:t xml:space="preserve"> </w:t>
      </w:r>
      <w:r w:rsidR="00A10450" w:rsidRPr="00D2222C">
        <w:rPr>
          <w:rFonts w:asciiTheme="majorHAnsi" w:hAnsiTheme="majorHAnsi"/>
          <w:sz w:val="20"/>
          <w:szCs w:val="20"/>
        </w:rPr>
        <w:t xml:space="preserve">regarding the basis of the prosecution’s recommendation to apply the death penalty. </w:t>
      </w:r>
      <w:r w:rsidR="00A10450" w:rsidRPr="00D2222C">
        <w:rPr>
          <w:rFonts w:asciiTheme="majorHAnsi" w:hAnsiTheme="majorHAnsi"/>
          <w:bCs/>
          <w:sz w:val="20"/>
          <w:szCs w:val="20"/>
        </w:rPr>
        <w:t xml:space="preserve">When a judicial authority encounters an allegation of covert discrimination, the duty of due diligence requires it </w:t>
      </w:r>
      <w:r w:rsidR="009653A0" w:rsidRPr="00D2222C">
        <w:rPr>
          <w:rFonts w:asciiTheme="majorHAnsi" w:hAnsiTheme="majorHAnsi"/>
          <w:bCs/>
          <w:sz w:val="20"/>
          <w:szCs w:val="20"/>
        </w:rPr>
        <w:t xml:space="preserve">not only to investigate, but </w:t>
      </w:r>
      <w:r w:rsidR="00A10450" w:rsidRPr="00D2222C">
        <w:rPr>
          <w:rFonts w:asciiTheme="majorHAnsi" w:hAnsiTheme="majorHAnsi"/>
          <w:bCs/>
          <w:sz w:val="20"/>
          <w:szCs w:val="20"/>
        </w:rPr>
        <w:t>to investigate beyond the formally stated motivation and to take into consideration all indicia, circumstantial evidence and other elements.</w:t>
      </w:r>
      <w:r w:rsidR="00A10450" w:rsidRPr="00D2222C">
        <w:rPr>
          <w:rStyle w:val="FootnoteReference"/>
          <w:rFonts w:asciiTheme="majorHAnsi" w:hAnsiTheme="majorHAnsi"/>
          <w:bCs/>
          <w:sz w:val="20"/>
          <w:szCs w:val="20"/>
        </w:rPr>
        <w:footnoteReference w:id="54"/>
      </w:r>
      <w:r w:rsidR="00A10450" w:rsidRPr="00D2222C">
        <w:rPr>
          <w:rFonts w:asciiTheme="majorHAnsi" w:hAnsiTheme="majorHAnsi"/>
          <w:bCs/>
          <w:sz w:val="20"/>
          <w:szCs w:val="20"/>
        </w:rPr>
        <w:t xml:space="preserve"> </w:t>
      </w:r>
      <w:r w:rsidR="003E06A3" w:rsidRPr="00D2222C">
        <w:rPr>
          <w:rFonts w:asciiTheme="majorHAnsi" w:hAnsiTheme="majorHAnsi"/>
          <w:bCs/>
          <w:sz w:val="20"/>
          <w:szCs w:val="20"/>
        </w:rPr>
        <w:t xml:space="preserve">This duty is reinforced </w:t>
      </w:r>
      <w:r w:rsidR="006418C1" w:rsidRPr="00D2222C">
        <w:rPr>
          <w:rFonts w:asciiTheme="majorHAnsi" w:hAnsiTheme="majorHAnsi"/>
          <w:bCs/>
          <w:sz w:val="20"/>
          <w:szCs w:val="20"/>
        </w:rPr>
        <w:t>in a case such as this, since the d</w:t>
      </w:r>
      <w:r w:rsidR="00E43C96" w:rsidRPr="00D2222C">
        <w:rPr>
          <w:rFonts w:asciiTheme="majorHAnsi" w:hAnsiTheme="majorHAnsi"/>
          <w:bCs/>
          <w:sz w:val="20"/>
          <w:szCs w:val="20"/>
        </w:rPr>
        <w:t xml:space="preserve">efendant’s life is at stake. </w:t>
      </w:r>
      <w:r w:rsidR="00A10450" w:rsidRPr="00D2222C">
        <w:rPr>
          <w:rFonts w:asciiTheme="majorHAnsi" w:hAnsiTheme="majorHAnsi"/>
          <w:bCs/>
          <w:sz w:val="20"/>
          <w:szCs w:val="20"/>
        </w:rPr>
        <w:t xml:space="preserve">In </w:t>
      </w:r>
      <w:r w:rsidR="006418C1" w:rsidRPr="00D2222C">
        <w:rPr>
          <w:rFonts w:asciiTheme="majorHAnsi" w:hAnsiTheme="majorHAnsi"/>
          <w:bCs/>
          <w:sz w:val="20"/>
          <w:szCs w:val="20"/>
        </w:rPr>
        <w:t>Mr. Hall’s</w:t>
      </w:r>
      <w:r w:rsidR="00A10450" w:rsidRPr="00D2222C">
        <w:rPr>
          <w:rFonts w:asciiTheme="majorHAnsi" w:hAnsiTheme="majorHAnsi"/>
          <w:bCs/>
          <w:sz w:val="20"/>
          <w:szCs w:val="20"/>
        </w:rPr>
        <w:t xml:space="preserve"> case, </w:t>
      </w:r>
      <w:r w:rsidR="006418C1" w:rsidRPr="00D2222C">
        <w:rPr>
          <w:rFonts w:asciiTheme="majorHAnsi" w:hAnsiTheme="majorHAnsi"/>
          <w:bCs/>
          <w:sz w:val="20"/>
          <w:szCs w:val="20"/>
        </w:rPr>
        <w:t>th</w:t>
      </w:r>
      <w:r w:rsidR="009653A0" w:rsidRPr="00D2222C">
        <w:rPr>
          <w:rFonts w:asciiTheme="majorHAnsi" w:hAnsiTheme="majorHAnsi"/>
          <w:bCs/>
          <w:sz w:val="20"/>
          <w:szCs w:val="20"/>
        </w:rPr>
        <w:t>e discovery request</w:t>
      </w:r>
      <w:r w:rsidR="006418C1" w:rsidRPr="00D2222C">
        <w:rPr>
          <w:rFonts w:asciiTheme="majorHAnsi" w:hAnsiTheme="majorHAnsi"/>
          <w:bCs/>
          <w:sz w:val="20"/>
          <w:szCs w:val="20"/>
        </w:rPr>
        <w:t xml:space="preserve"> was the only </w:t>
      </w:r>
      <w:r w:rsidR="009653A0" w:rsidRPr="00D2222C">
        <w:rPr>
          <w:rFonts w:asciiTheme="majorHAnsi" w:hAnsiTheme="majorHAnsi"/>
          <w:bCs/>
          <w:sz w:val="20"/>
          <w:szCs w:val="20"/>
        </w:rPr>
        <w:t xml:space="preserve">way to obtain key information to establish whether or not race had any influence on the decision to recommend the death penalty. </w:t>
      </w:r>
      <w:r w:rsidR="006418C1" w:rsidRPr="00D2222C">
        <w:rPr>
          <w:rFonts w:asciiTheme="majorHAnsi" w:hAnsiTheme="majorHAnsi"/>
          <w:bCs/>
          <w:sz w:val="20"/>
          <w:szCs w:val="20"/>
        </w:rPr>
        <w:t>T</w:t>
      </w:r>
      <w:r w:rsidR="00A10450" w:rsidRPr="00D2222C">
        <w:rPr>
          <w:rFonts w:asciiTheme="majorHAnsi" w:hAnsiTheme="majorHAnsi"/>
          <w:bCs/>
          <w:sz w:val="20"/>
          <w:szCs w:val="20"/>
        </w:rPr>
        <w:t>he district court</w:t>
      </w:r>
      <w:r w:rsidR="006418C1" w:rsidRPr="00D2222C">
        <w:rPr>
          <w:rFonts w:asciiTheme="majorHAnsi" w:hAnsiTheme="majorHAnsi"/>
          <w:bCs/>
          <w:sz w:val="20"/>
          <w:szCs w:val="20"/>
        </w:rPr>
        <w:t>,</w:t>
      </w:r>
      <w:r w:rsidR="00A10450" w:rsidRPr="00D2222C">
        <w:rPr>
          <w:rFonts w:asciiTheme="majorHAnsi" w:hAnsiTheme="majorHAnsi"/>
          <w:bCs/>
          <w:sz w:val="20"/>
          <w:szCs w:val="20"/>
        </w:rPr>
        <w:t xml:space="preserve"> </w:t>
      </w:r>
      <w:r w:rsidR="006418C1" w:rsidRPr="00D2222C">
        <w:rPr>
          <w:rFonts w:asciiTheme="majorHAnsi" w:hAnsiTheme="majorHAnsi"/>
          <w:bCs/>
          <w:sz w:val="20"/>
          <w:szCs w:val="20"/>
        </w:rPr>
        <w:t xml:space="preserve">however, </w:t>
      </w:r>
      <w:r w:rsidR="00A10450" w:rsidRPr="00D2222C">
        <w:rPr>
          <w:rFonts w:asciiTheme="majorHAnsi" w:hAnsiTheme="majorHAnsi"/>
          <w:bCs/>
          <w:sz w:val="20"/>
          <w:szCs w:val="20"/>
        </w:rPr>
        <w:t xml:space="preserve">dismissed the pre-trial motion.  </w:t>
      </w:r>
    </w:p>
    <w:p w14:paraId="686B575C" w14:textId="77777777" w:rsidR="009653A0" w:rsidRPr="00D2222C" w:rsidRDefault="009653A0" w:rsidP="009E3847">
      <w:pPr>
        <w:pStyle w:val="ListParagraph"/>
        <w:rPr>
          <w:rFonts w:asciiTheme="majorHAnsi" w:hAnsiTheme="majorHAnsi"/>
          <w:bCs/>
          <w:sz w:val="20"/>
          <w:szCs w:val="20"/>
        </w:rPr>
      </w:pPr>
    </w:p>
    <w:p w14:paraId="79036226" w14:textId="77777777" w:rsidR="00D21D95" w:rsidRPr="00D2222C" w:rsidRDefault="00C14701"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Cs/>
          <w:sz w:val="20"/>
          <w:szCs w:val="20"/>
        </w:rPr>
      </w:pPr>
      <w:r w:rsidRPr="00D2222C">
        <w:rPr>
          <w:rFonts w:asciiTheme="majorHAnsi" w:hAnsiTheme="majorHAnsi"/>
          <w:bCs/>
          <w:sz w:val="20"/>
          <w:szCs w:val="20"/>
        </w:rPr>
        <w:t xml:space="preserve">Although </w:t>
      </w:r>
      <w:r w:rsidR="004F69EA" w:rsidRPr="00D2222C">
        <w:rPr>
          <w:rFonts w:asciiTheme="majorHAnsi" w:hAnsiTheme="majorHAnsi"/>
          <w:bCs/>
          <w:sz w:val="20"/>
          <w:szCs w:val="20"/>
        </w:rPr>
        <w:t xml:space="preserve">in the present case </w:t>
      </w:r>
      <w:r w:rsidRPr="00D2222C">
        <w:rPr>
          <w:rFonts w:asciiTheme="majorHAnsi" w:hAnsiTheme="majorHAnsi"/>
          <w:bCs/>
          <w:sz w:val="20"/>
          <w:szCs w:val="20"/>
        </w:rPr>
        <w:t xml:space="preserve">there is no direct evidence of the presence of a prohibited criterion of discrimination, in this case </w:t>
      </w:r>
      <w:r w:rsidR="00A2456A" w:rsidRPr="00D2222C">
        <w:rPr>
          <w:rFonts w:asciiTheme="majorHAnsi" w:hAnsiTheme="majorHAnsi"/>
          <w:bCs/>
          <w:sz w:val="20"/>
          <w:szCs w:val="20"/>
        </w:rPr>
        <w:t>race</w:t>
      </w:r>
      <w:r w:rsidRPr="00D2222C">
        <w:rPr>
          <w:rFonts w:asciiTheme="majorHAnsi" w:hAnsiTheme="majorHAnsi"/>
          <w:bCs/>
          <w:sz w:val="20"/>
          <w:szCs w:val="20"/>
        </w:rPr>
        <w:t>, t</w:t>
      </w:r>
      <w:r w:rsidR="00BF1F10" w:rsidRPr="00D2222C">
        <w:rPr>
          <w:rFonts w:asciiTheme="majorHAnsi" w:hAnsiTheme="majorHAnsi"/>
          <w:bCs/>
          <w:sz w:val="20"/>
          <w:szCs w:val="20"/>
        </w:rPr>
        <w:t>he IACHR is faced with indicia</w:t>
      </w:r>
      <w:r w:rsidR="001F3B00" w:rsidRPr="00D2222C">
        <w:rPr>
          <w:rFonts w:asciiTheme="majorHAnsi" w:hAnsiTheme="majorHAnsi"/>
          <w:bCs/>
          <w:sz w:val="20"/>
          <w:szCs w:val="20"/>
        </w:rPr>
        <w:t xml:space="preserve"> of suspected use of race in the application of the death penalty. </w:t>
      </w:r>
      <w:r w:rsidR="002F6201" w:rsidRPr="00D2222C">
        <w:rPr>
          <w:rFonts w:asciiTheme="majorHAnsi" w:hAnsiTheme="majorHAnsi"/>
          <w:bCs/>
          <w:sz w:val="20"/>
          <w:szCs w:val="20"/>
        </w:rPr>
        <w:t>To this is added the aforementioned lack of information and the fact that the prosecuting attorney responsible for assembling the all-white jury was later found to have engaged in racial discrimination in jury selection</w:t>
      </w:r>
      <w:r w:rsidR="009D280B" w:rsidRPr="00D2222C">
        <w:rPr>
          <w:rFonts w:asciiTheme="majorHAnsi" w:hAnsiTheme="majorHAnsi"/>
          <w:bCs/>
          <w:sz w:val="20"/>
          <w:szCs w:val="20"/>
        </w:rPr>
        <w:t xml:space="preserve"> in two separate cases</w:t>
      </w:r>
      <w:r w:rsidR="002F6201" w:rsidRPr="00D2222C">
        <w:rPr>
          <w:rFonts w:asciiTheme="majorHAnsi" w:hAnsiTheme="majorHAnsi"/>
          <w:bCs/>
          <w:sz w:val="20"/>
          <w:szCs w:val="20"/>
        </w:rPr>
        <w:t xml:space="preserve">. </w:t>
      </w:r>
      <w:r w:rsidR="0038330F" w:rsidRPr="00D2222C">
        <w:rPr>
          <w:rFonts w:asciiTheme="majorHAnsi" w:hAnsiTheme="majorHAnsi"/>
          <w:bCs/>
          <w:sz w:val="20"/>
          <w:szCs w:val="20"/>
        </w:rPr>
        <w:t>Therefore,</w:t>
      </w:r>
      <w:r w:rsidR="009A0B09" w:rsidRPr="00D2222C">
        <w:rPr>
          <w:rFonts w:asciiTheme="majorHAnsi" w:hAnsiTheme="majorHAnsi"/>
          <w:bCs/>
          <w:sz w:val="20"/>
          <w:szCs w:val="20"/>
        </w:rPr>
        <w:t xml:space="preserve"> </w:t>
      </w:r>
      <w:r w:rsidR="00C3238A" w:rsidRPr="00D2222C">
        <w:rPr>
          <w:rFonts w:asciiTheme="majorHAnsi" w:hAnsiTheme="majorHAnsi"/>
          <w:bCs/>
          <w:sz w:val="20"/>
          <w:szCs w:val="20"/>
        </w:rPr>
        <w:t xml:space="preserve">the IACHR </w:t>
      </w:r>
      <w:r w:rsidR="008A7FC7" w:rsidRPr="00D2222C">
        <w:rPr>
          <w:rFonts w:asciiTheme="majorHAnsi" w:hAnsiTheme="majorHAnsi"/>
          <w:bCs/>
          <w:sz w:val="20"/>
          <w:szCs w:val="20"/>
        </w:rPr>
        <w:t>finds</w:t>
      </w:r>
      <w:r w:rsidR="00C3238A" w:rsidRPr="00D2222C">
        <w:rPr>
          <w:rFonts w:asciiTheme="majorHAnsi" w:hAnsiTheme="majorHAnsi"/>
          <w:bCs/>
          <w:sz w:val="20"/>
          <w:szCs w:val="20"/>
        </w:rPr>
        <w:t xml:space="preserve"> that the </w:t>
      </w:r>
      <w:r w:rsidR="00590C43" w:rsidRPr="00D2222C">
        <w:rPr>
          <w:rFonts w:asciiTheme="majorHAnsi" w:hAnsiTheme="majorHAnsi"/>
          <w:bCs/>
          <w:sz w:val="20"/>
          <w:szCs w:val="20"/>
        </w:rPr>
        <w:t xml:space="preserve">United </w:t>
      </w:r>
      <w:r w:rsidR="00C3238A" w:rsidRPr="00D2222C">
        <w:rPr>
          <w:rFonts w:asciiTheme="majorHAnsi" w:hAnsiTheme="majorHAnsi"/>
          <w:bCs/>
          <w:sz w:val="20"/>
          <w:szCs w:val="20"/>
        </w:rPr>
        <w:t>State</w:t>
      </w:r>
      <w:r w:rsidR="00590C43" w:rsidRPr="00D2222C">
        <w:rPr>
          <w:rFonts w:asciiTheme="majorHAnsi" w:hAnsiTheme="majorHAnsi"/>
          <w:bCs/>
          <w:sz w:val="20"/>
          <w:szCs w:val="20"/>
        </w:rPr>
        <w:t>s</w:t>
      </w:r>
      <w:r w:rsidR="00C3238A" w:rsidRPr="00D2222C">
        <w:rPr>
          <w:rFonts w:asciiTheme="majorHAnsi" w:hAnsiTheme="majorHAnsi"/>
          <w:bCs/>
          <w:sz w:val="20"/>
          <w:szCs w:val="20"/>
        </w:rPr>
        <w:t xml:space="preserve"> </w:t>
      </w:r>
      <w:r w:rsidR="00484F80" w:rsidRPr="00D2222C">
        <w:rPr>
          <w:rFonts w:asciiTheme="majorHAnsi" w:hAnsiTheme="majorHAnsi"/>
          <w:bCs/>
          <w:sz w:val="20"/>
          <w:szCs w:val="20"/>
        </w:rPr>
        <w:t>is responsible for failing to fully respond to the allegations concerning possible racial discrimination raised throughout this process pursuant to its obligations under Article II of the American Declaration.</w:t>
      </w:r>
      <w:r w:rsidR="00415BAE" w:rsidRPr="00D2222C">
        <w:rPr>
          <w:rFonts w:asciiTheme="majorHAnsi" w:hAnsiTheme="majorHAnsi"/>
          <w:sz w:val="20"/>
          <w:szCs w:val="20"/>
        </w:rPr>
        <w:t xml:space="preserve"> </w:t>
      </w:r>
      <w:r w:rsidR="00E81771" w:rsidRPr="00D2222C">
        <w:rPr>
          <w:rFonts w:asciiTheme="majorHAnsi" w:hAnsiTheme="majorHAnsi"/>
          <w:sz w:val="20"/>
          <w:szCs w:val="20"/>
        </w:rPr>
        <w:t>In this respect</w:t>
      </w:r>
      <w:r w:rsidR="001C38BC" w:rsidRPr="00D2222C">
        <w:rPr>
          <w:rFonts w:asciiTheme="majorHAnsi" w:hAnsiTheme="majorHAnsi"/>
          <w:sz w:val="20"/>
          <w:szCs w:val="20"/>
        </w:rPr>
        <w:t>, the IACHR also finds that Mr. Hall</w:t>
      </w:r>
      <w:r w:rsidR="00E81771" w:rsidRPr="00D2222C">
        <w:rPr>
          <w:rFonts w:asciiTheme="majorHAnsi" w:hAnsiTheme="majorHAnsi"/>
          <w:sz w:val="20"/>
          <w:szCs w:val="20"/>
        </w:rPr>
        <w:t xml:space="preserve">’s lack of </w:t>
      </w:r>
      <w:r w:rsidR="001C38BC" w:rsidRPr="00D2222C">
        <w:rPr>
          <w:rFonts w:asciiTheme="majorHAnsi" w:hAnsiTheme="majorHAnsi"/>
          <w:sz w:val="20"/>
          <w:szCs w:val="20"/>
        </w:rPr>
        <w:t xml:space="preserve">access to an effective remedy </w:t>
      </w:r>
      <w:r w:rsidR="00E81771" w:rsidRPr="00D2222C">
        <w:rPr>
          <w:rFonts w:asciiTheme="majorHAnsi" w:hAnsiTheme="majorHAnsi"/>
          <w:sz w:val="20"/>
          <w:szCs w:val="20"/>
        </w:rPr>
        <w:t>with regard to</w:t>
      </w:r>
      <w:r w:rsidR="001C38BC" w:rsidRPr="00D2222C">
        <w:rPr>
          <w:rFonts w:asciiTheme="majorHAnsi" w:hAnsiTheme="majorHAnsi"/>
          <w:sz w:val="20"/>
          <w:szCs w:val="20"/>
        </w:rPr>
        <w:t xml:space="preserve"> the allegation of racial discrimination</w:t>
      </w:r>
      <w:r w:rsidR="00E81771" w:rsidRPr="00D2222C">
        <w:rPr>
          <w:rFonts w:asciiTheme="majorHAnsi" w:hAnsiTheme="majorHAnsi"/>
          <w:sz w:val="20"/>
          <w:szCs w:val="20"/>
        </w:rPr>
        <w:t xml:space="preserve"> amounts to a violation of Article XVIII of the American Declaration.</w:t>
      </w:r>
      <w:r w:rsidR="001C38BC" w:rsidRPr="00D2222C">
        <w:rPr>
          <w:rFonts w:asciiTheme="majorHAnsi" w:hAnsiTheme="majorHAnsi"/>
          <w:sz w:val="20"/>
          <w:szCs w:val="20"/>
        </w:rPr>
        <w:t xml:space="preserve"> </w:t>
      </w:r>
      <w:r w:rsidR="00415BAE" w:rsidRPr="00D2222C">
        <w:rPr>
          <w:rFonts w:asciiTheme="majorHAnsi" w:hAnsiTheme="majorHAnsi"/>
          <w:sz w:val="20"/>
          <w:szCs w:val="20"/>
        </w:rPr>
        <w:t xml:space="preserve">The effects of the violation of the right to equality before the law on Mr. Hall’s due process guarantees </w:t>
      </w:r>
      <w:r w:rsidR="001C04BF" w:rsidRPr="00D2222C">
        <w:rPr>
          <w:rFonts w:asciiTheme="majorHAnsi" w:hAnsiTheme="majorHAnsi"/>
          <w:sz w:val="20"/>
          <w:szCs w:val="20"/>
        </w:rPr>
        <w:t xml:space="preserve">and right to access to information </w:t>
      </w:r>
      <w:r w:rsidR="00415BAE" w:rsidRPr="00D2222C">
        <w:rPr>
          <w:rFonts w:asciiTheme="majorHAnsi" w:hAnsiTheme="majorHAnsi"/>
          <w:sz w:val="20"/>
          <w:szCs w:val="20"/>
        </w:rPr>
        <w:t>will be analyzed below.</w:t>
      </w:r>
    </w:p>
    <w:p w14:paraId="11D94411" w14:textId="77777777" w:rsidR="00D21D95" w:rsidRPr="00D2222C" w:rsidRDefault="00D21D95" w:rsidP="000907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440" w:hanging="720"/>
        <w:jc w:val="both"/>
        <w:rPr>
          <w:rFonts w:asciiTheme="majorHAnsi" w:hAnsiTheme="majorHAnsi"/>
          <w:bCs/>
          <w:sz w:val="20"/>
          <w:szCs w:val="20"/>
        </w:rPr>
      </w:pPr>
    </w:p>
    <w:p w14:paraId="5715082E" w14:textId="77777777" w:rsidR="001F3B00" w:rsidRPr="00D2222C" w:rsidRDefault="00FE144F" w:rsidP="00090720">
      <w:pPr>
        <w:pStyle w:val="Heading2"/>
        <w:numPr>
          <w:ilvl w:val="0"/>
          <w:numId w:val="56"/>
        </w:numPr>
        <w:spacing w:before="0"/>
        <w:ind w:left="1440" w:hanging="720"/>
        <w:rPr>
          <w:color w:val="auto"/>
          <w:sz w:val="20"/>
          <w:szCs w:val="20"/>
        </w:rPr>
      </w:pPr>
      <w:bookmarkStart w:id="18" w:name="_Toc26550932"/>
      <w:r w:rsidRPr="00D2222C">
        <w:rPr>
          <w:color w:val="auto"/>
          <w:sz w:val="20"/>
          <w:szCs w:val="20"/>
        </w:rPr>
        <w:t>Right to a fair trial</w:t>
      </w:r>
      <w:r w:rsidR="00496687" w:rsidRPr="00D2222C">
        <w:rPr>
          <w:rStyle w:val="FootnoteReference"/>
          <w:color w:val="auto"/>
          <w:sz w:val="20"/>
          <w:szCs w:val="20"/>
        </w:rPr>
        <w:footnoteReference w:id="55"/>
      </w:r>
      <w:r w:rsidRPr="00D2222C">
        <w:rPr>
          <w:color w:val="auto"/>
          <w:sz w:val="20"/>
          <w:szCs w:val="20"/>
        </w:rPr>
        <w:t xml:space="preserve"> and right to due process of law</w:t>
      </w:r>
      <w:r w:rsidR="00496687" w:rsidRPr="00D2222C">
        <w:rPr>
          <w:rStyle w:val="FootnoteReference"/>
          <w:color w:val="auto"/>
          <w:sz w:val="20"/>
          <w:szCs w:val="20"/>
        </w:rPr>
        <w:footnoteReference w:id="56"/>
      </w:r>
      <w:bookmarkEnd w:id="18"/>
      <w:r w:rsidRPr="00D2222C">
        <w:rPr>
          <w:color w:val="auto"/>
          <w:sz w:val="20"/>
          <w:szCs w:val="20"/>
        </w:rPr>
        <w:t xml:space="preserve"> </w:t>
      </w:r>
    </w:p>
    <w:p w14:paraId="5CE7BBE7" w14:textId="77777777" w:rsidR="006A0F00" w:rsidRPr="00D2222C" w:rsidRDefault="006A0F00" w:rsidP="00090720">
      <w:pPr>
        <w:pStyle w:val="ListParagraph"/>
        <w:ind w:left="1440" w:hanging="720"/>
        <w:rPr>
          <w:rFonts w:asciiTheme="majorHAnsi" w:hAnsiTheme="majorHAnsi"/>
          <w:bCs/>
          <w:color w:val="auto"/>
          <w:sz w:val="20"/>
          <w:szCs w:val="20"/>
        </w:rPr>
      </w:pPr>
    </w:p>
    <w:p w14:paraId="41207C09" w14:textId="77777777" w:rsidR="00FE40DE" w:rsidRPr="00D2222C" w:rsidRDefault="00FE40DE" w:rsidP="00090720">
      <w:pPr>
        <w:pStyle w:val="Heading3"/>
        <w:numPr>
          <w:ilvl w:val="0"/>
          <w:numId w:val="64"/>
        </w:numPr>
        <w:spacing w:before="0"/>
        <w:ind w:left="1440" w:hanging="720"/>
        <w:rPr>
          <w:color w:val="auto"/>
          <w:sz w:val="20"/>
          <w:szCs w:val="20"/>
        </w:rPr>
      </w:pPr>
      <w:bookmarkStart w:id="19" w:name="_Toc26550933"/>
      <w:r w:rsidRPr="00D2222C">
        <w:rPr>
          <w:color w:val="auto"/>
          <w:sz w:val="20"/>
          <w:szCs w:val="20"/>
        </w:rPr>
        <w:t xml:space="preserve">General considerations regarding </w:t>
      </w:r>
      <w:r w:rsidR="00D21D95" w:rsidRPr="00D2222C">
        <w:rPr>
          <w:color w:val="auto"/>
          <w:sz w:val="20"/>
          <w:szCs w:val="20"/>
        </w:rPr>
        <w:t>ineffective assistance of court-appointed counsel</w:t>
      </w:r>
      <w:bookmarkEnd w:id="19"/>
    </w:p>
    <w:p w14:paraId="16434D6C" w14:textId="77777777" w:rsidR="006C2B38" w:rsidRPr="00D2222C" w:rsidRDefault="006C2B38" w:rsidP="00090720">
      <w:pPr>
        <w:pStyle w:val="ListParagraph"/>
        <w:ind w:left="1440" w:hanging="720"/>
        <w:rPr>
          <w:rFonts w:asciiTheme="majorHAnsi" w:hAnsiTheme="majorHAnsi"/>
          <w:bCs/>
          <w:color w:val="auto"/>
          <w:sz w:val="20"/>
          <w:szCs w:val="20"/>
        </w:rPr>
      </w:pPr>
    </w:p>
    <w:p w14:paraId="2EFDEE25" w14:textId="77777777" w:rsidR="007607EC" w:rsidRPr="00D2222C" w:rsidRDefault="00D21D95" w:rsidP="00A46D0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0" w:firstLine="0"/>
        <w:jc w:val="both"/>
        <w:rPr>
          <w:rFonts w:asciiTheme="majorHAnsi" w:hAnsiTheme="majorHAnsi"/>
          <w:sz w:val="20"/>
          <w:szCs w:val="20"/>
        </w:rPr>
      </w:pPr>
      <w:r w:rsidRPr="00D2222C">
        <w:rPr>
          <w:rFonts w:asciiTheme="majorHAnsi" w:hAnsiTheme="majorHAnsi" w:cs="Arial"/>
          <w:sz w:val="20"/>
          <w:szCs w:val="20"/>
        </w:rPr>
        <w:t xml:space="preserve">Adequate legal representation is a fundamental component of the right to a fair trial. </w:t>
      </w:r>
      <w:r w:rsidRPr="00D2222C">
        <w:rPr>
          <w:rFonts w:asciiTheme="majorHAnsi" w:hAnsiTheme="majorHAnsi"/>
          <w:sz w:val="20"/>
          <w:szCs w:val="20"/>
        </w:rPr>
        <w:t xml:space="preserve">The IACHR has found that </w:t>
      </w:r>
      <w:r w:rsidRPr="00D2222C">
        <w:rPr>
          <w:rFonts w:asciiTheme="majorHAnsi" w:hAnsiTheme="majorHAnsi" w:cs="Arial"/>
          <w:sz w:val="20"/>
          <w:szCs w:val="20"/>
        </w:rPr>
        <w:t>“[t]he right to due process and to a fair trial includes the right to adequate means for the preparation of a defense, assisted by adequate legal counsel.”</w:t>
      </w:r>
      <w:r w:rsidR="00771205" w:rsidRPr="00D2222C">
        <w:rPr>
          <w:rStyle w:val="FootnoteReference"/>
          <w:rFonts w:asciiTheme="majorHAnsi" w:hAnsiTheme="majorHAnsi"/>
          <w:sz w:val="20"/>
          <w:szCs w:val="20"/>
        </w:rPr>
        <w:footnoteReference w:id="57"/>
      </w:r>
      <w:r w:rsidRPr="00D2222C">
        <w:rPr>
          <w:rFonts w:asciiTheme="majorHAnsi" w:hAnsiTheme="majorHAnsi" w:cs="Arial"/>
          <w:sz w:val="20"/>
          <w:szCs w:val="20"/>
        </w:rPr>
        <w:t xml:space="preserve"> According to the Commission, “[t]he State cannot be held responsible for all deficiencies in the conduct of State-funded defense counsel. National authorities are, however, required […] to intervene if a failure by legal aid counsel to provide effective representation is manifest or sufficiently brought to their attention. Rigorous compliance with the defendant’s right to competent counsel is compelled by the possibility of the application of the death penalty.”</w:t>
      </w:r>
      <w:r w:rsidRPr="00D2222C">
        <w:rPr>
          <w:rStyle w:val="FootnoteReference"/>
          <w:rFonts w:asciiTheme="majorHAnsi" w:hAnsiTheme="majorHAnsi"/>
          <w:sz w:val="20"/>
          <w:szCs w:val="20"/>
        </w:rPr>
        <w:footnoteReference w:id="58"/>
      </w:r>
    </w:p>
    <w:p w14:paraId="5EA5C6F9" w14:textId="77777777" w:rsidR="007607EC" w:rsidRPr="00D2222C" w:rsidRDefault="007607EC" w:rsidP="009E384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Theme="majorHAnsi" w:hAnsiTheme="majorHAnsi"/>
          <w:sz w:val="20"/>
          <w:szCs w:val="20"/>
        </w:rPr>
      </w:pPr>
    </w:p>
    <w:p w14:paraId="18CF2DE1" w14:textId="77777777" w:rsidR="00FA7982" w:rsidRPr="00D2222C" w:rsidRDefault="00D21D95" w:rsidP="00A46D0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0" w:firstLine="0"/>
        <w:jc w:val="both"/>
        <w:rPr>
          <w:rFonts w:asciiTheme="majorHAnsi" w:hAnsiTheme="majorHAnsi"/>
          <w:sz w:val="20"/>
          <w:szCs w:val="20"/>
        </w:rPr>
      </w:pPr>
      <w:r w:rsidRPr="00D2222C">
        <w:rPr>
          <w:rFonts w:asciiTheme="majorHAnsi" w:hAnsiTheme="majorHAnsi"/>
          <w:sz w:val="20"/>
          <w:szCs w:val="20"/>
        </w:rPr>
        <w:t xml:space="preserve">The appointment of an attorney by the state does not, in and of itself, ensure effective assistance of counsel.  At the same time, while the state is responsible for ensuring that such assistance is effective, it is not responsible for what may be understood as decisions of strategy or for every possible shortcoming.  Rather, </w:t>
      </w:r>
      <w:r w:rsidRPr="00D2222C">
        <w:rPr>
          <w:rFonts w:asciiTheme="majorHAnsi" w:hAnsiTheme="majorHAnsi"/>
          <w:sz w:val="20"/>
          <w:szCs w:val="20"/>
        </w:rPr>
        <w:lastRenderedPageBreak/>
        <w:t>the Commission must evaluate whether the assistance of counsel was effective in the overall context of the process and taking into account the specific interests at stake.  In the present case, the interests at stake included the potential application of the death penalty, and the assistance of counsel must be evaluated in that context.</w:t>
      </w:r>
      <w:r w:rsidR="007607EC" w:rsidRPr="00D2222C">
        <w:rPr>
          <w:rFonts w:asciiTheme="majorHAnsi" w:hAnsiTheme="majorHAnsi"/>
          <w:sz w:val="20"/>
          <w:szCs w:val="20"/>
        </w:rPr>
        <w:t xml:space="preserve"> </w:t>
      </w:r>
    </w:p>
    <w:p w14:paraId="5F1FC809" w14:textId="77777777" w:rsidR="00FA7982" w:rsidRPr="00D2222C" w:rsidRDefault="00FA7982" w:rsidP="009E3847">
      <w:pPr>
        <w:pStyle w:val="ListParagraph"/>
        <w:rPr>
          <w:rFonts w:asciiTheme="majorHAnsi" w:hAnsiTheme="majorHAnsi"/>
          <w:sz w:val="20"/>
          <w:szCs w:val="20"/>
        </w:rPr>
      </w:pPr>
    </w:p>
    <w:p w14:paraId="6149DD0E" w14:textId="77777777" w:rsidR="007607EC" w:rsidRPr="00D2222C" w:rsidRDefault="00FA7982" w:rsidP="00A46D0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0" w:firstLine="0"/>
        <w:jc w:val="both"/>
        <w:rPr>
          <w:rFonts w:asciiTheme="majorHAnsi" w:hAnsiTheme="majorHAnsi"/>
          <w:sz w:val="20"/>
          <w:szCs w:val="20"/>
        </w:rPr>
      </w:pPr>
      <w:r w:rsidRPr="00D2222C">
        <w:rPr>
          <w:rFonts w:ascii="Cambria" w:hAnsi="Cambria"/>
          <w:sz w:val="20"/>
        </w:rPr>
        <w:t>The Commission has established that “the fundamental due process requirements for capital trials include the obligation to afford a defendant a full and fair opportunity to present mitigating evidence for consideration in determining whether the death penalty is the appropriate punishment in the circumstances of his or her case.”</w:t>
      </w:r>
      <w:r w:rsidRPr="00D2222C">
        <w:rPr>
          <w:rStyle w:val="FootnoteReference"/>
          <w:rFonts w:ascii="Cambria" w:hAnsi="Cambria"/>
          <w:sz w:val="20"/>
        </w:rPr>
        <w:footnoteReference w:id="59"/>
      </w:r>
      <w:r w:rsidRPr="00D2222C">
        <w:rPr>
          <w:rFonts w:ascii="Cambria" w:hAnsi="Cambria"/>
          <w:sz w:val="20"/>
        </w:rPr>
        <w:t xml:space="preserve"> </w:t>
      </w:r>
      <w:r w:rsidR="007607EC" w:rsidRPr="00D2222C">
        <w:rPr>
          <w:rFonts w:asciiTheme="majorHAnsi" w:hAnsiTheme="majorHAnsi"/>
          <w:sz w:val="20"/>
          <w:szCs w:val="20"/>
        </w:rPr>
        <w:t xml:space="preserve">The Commission </w:t>
      </w:r>
      <w:r w:rsidR="007607EC" w:rsidRPr="00D2222C">
        <w:rPr>
          <w:rFonts w:ascii="Cambria" w:hAnsi="Cambria"/>
          <w:sz w:val="20"/>
        </w:rPr>
        <w:t xml:space="preserve">has also indicated that due process protections, under the Declaration: </w:t>
      </w:r>
    </w:p>
    <w:p w14:paraId="69B24F7B" w14:textId="77777777" w:rsidR="007607EC" w:rsidRPr="00D2222C" w:rsidRDefault="007607EC" w:rsidP="007607EC">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autoSpaceDE w:val="0"/>
        <w:autoSpaceDN w:val="0"/>
        <w:adjustRightInd w:val="0"/>
        <w:ind w:firstLine="720"/>
        <w:jc w:val="both"/>
        <w:rPr>
          <w:rFonts w:ascii="Cambria" w:hAnsi="Cambria"/>
          <w:sz w:val="20"/>
          <w:szCs w:val="20"/>
        </w:rPr>
      </w:pPr>
    </w:p>
    <w:p w14:paraId="78A00303" w14:textId="77777777" w:rsidR="00D21D95" w:rsidRPr="00D2222C" w:rsidRDefault="007607EC" w:rsidP="007607EC">
      <w:pPr>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sz w:val="20"/>
          <w:szCs w:val="20"/>
        </w:rPr>
      </w:pPr>
      <w:r w:rsidRPr="00D2222C">
        <w:rPr>
          <w:rFonts w:ascii="Cambria" w:hAnsi="Cambria"/>
          <w:sz w:val="20"/>
        </w:rPr>
        <w:t>guarantee an opportunity to make submissions and present evidence as to whether a death sentence may not be a permissible or appropriate punishment in the circumstances of the defendant’s case, in light of such considerations as the offender’s character and record, subjective factors that might have motivated his or her conduct, the design and manner of execution of the particular offense, and the possibility of reform and social readaptation of the offender.</w:t>
      </w:r>
      <w:r w:rsidRPr="00D2222C">
        <w:rPr>
          <w:rStyle w:val="FootnoteReference"/>
          <w:rFonts w:ascii="Cambria" w:hAnsi="Cambria"/>
          <w:sz w:val="20"/>
        </w:rPr>
        <w:footnoteReference w:id="60"/>
      </w:r>
    </w:p>
    <w:p w14:paraId="2DA0886C" w14:textId="77777777" w:rsidR="00D21D95" w:rsidRPr="00D2222C" w:rsidRDefault="00D21D95" w:rsidP="00D21D9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bCs/>
          <w:sz w:val="20"/>
          <w:szCs w:val="20"/>
        </w:rPr>
      </w:pPr>
    </w:p>
    <w:p w14:paraId="029E544E" w14:textId="77777777" w:rsidR="00D21D95" w:rsidRPr="00D2222C" w:rsidRDefault="00D21D95"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0" w:firstLine="0"/>
        <w:jc w:val="both"/>
        <w:rPr>
          <w:rFonts w:asciiTheme="majorHAnsi" w:hAnsiTheme="majorHAnsi" w:cs="Arial"/>
          <w:sz w:val="20"/>
          <w:szCs w:val="20"/>
        </w:rPr>
      </w:pPr>
      <w:r w:rsidRPr="00D2222C">
        <w:rPr>
          <w:rFonts w:asciiTheme="majorHAnsi" w:hAnsiTheme="majorHAnsi" w:cs="Arial"/>
          <w:sz w:val="20"/>
          <w:szCs w:val="20"/>
        </w:rPr>
        <w:t>It may be noted that the fundamental nature of this guarantee has been reflected in practice guidelines for lawyers. The American Bar Association has prepared and adopted guidelines and related commentaries that emphasize the importance of investigating and presenting mitigating evidence in death penalty cases.</w:t>
      </w:r>
      <w:r w:rsidRPr="00D2222C">
        <w:rPr>
          <w:rStyle w:val="FootnoteReference"/>
          <w:rFonts w:asciiTheme="majorHAnsi" w:hAnsiTheme="majorHAnsi" w:cs="Arial"/>
          <w:sz w:val="20"/>
          <w:szCs w:val="20"/>
        </w:rPr>
        <w:footnoteReference w:id="61"/>
      </w:r>
      <w:r w:rsidRPr="00D2222C">
        <w:rPr>
          <w:rFonts w:asciiTheme="majorHAnsi" w:hAnsiTheme="majorHAnsi" w:cs="Arial"/>
          <w:sz w:val="20"/>
          <w:szCs w:val="20"/>
        </w:rPr>
        <w:t xml:space="preserve"> According to these guidelines, the duty of counsel in the United States to investigate and present mitigating evidence is n</w:t>
      </w:r>
      <w:r w:rsidR="00406721" w:rsidRPr="00D2222C">
        <w:rPr>
          <w:rFonts w:asciiTheme="majorHAnsi" w:hAnsiTheme="majorHAnsi" w:cs="Arial"/>
          <w:sz w:val="20"/>
          <w:szCs w:val="20"/>
        </w:rPr>
        <w:t xml:space="preserve">ow “well-established” and </w:t>
      </w:r>
      <w:r w:rsidRPr="00D2222C">
        <w:rPr>
          <w:rFonts w:asciiTheme="majorHAnsi" w:hAnsiTheme="majorHAnsi" w:cs="Arial"/>
          <w:sz w:val="20"/>
          <w:szCs w:val="20"/>
        </w:rPr>
        <w:t>“[b]ecause the sentencer in a capital case must consider in mitigation, “anything in the life of the defendant which might militate against the appropriateness of the death penalty for the defendant,” “penalty phase preparation requires extensive and generally unparalleled investigation into personal and family history.”</w:t>
      </w:r>
      <w:r w:rsidRPr="00D2222C">
        <w:rPr>
          <w:rStyle w:val="FootnoteReference"/>
          <w:rFonts w:asciiTheme="majorHAnsi" w:hAnsiTheme="majorHAnsi" w:cs="Arial"/>
          <w:sz w:val="20"/>
          <w:szCs w:val="20"/>
        </w:rPr>
        <w:footnoteReference w:id="62"/>
      </w:r>
      <w:r w:rsidRPr="00D2222C">
        <w:rPr>
          <w:rFonts w:asciiTheme="majorHAnsi" w:hAnsiTheme="majorHAnsi" w:cs="Arial"/>
          <w:sz w:val="20"/>
          <w:szCs w:val="20"/>
        </w:rPr>
        <w:t xml:space="preserve"> The Guidelines also emphasize that the “mitigation investigation should begin as quickly as possible, because it may affect the investigation of first phase defenses (e.g., by suggesting additional areas for questioning police officers or other witnesses), decisions about the need for expert evaluations (including competency, mental retardation, or insanity), motion practice, and plea negotiations.”</w:t>
      </w:r>
      <w:r w:rsidRPr="00D2222C">
        <w:rPr>
          <w:rStyle w:val="FootnoteReference"/>
          <w:rFonts w:asciiTheme="majorHAnsi" w:hAnsiTheme="majorHAnsi" w:cs="Arial"/>
          <w:sz w:val="20"/>
          <w:szCs w:val="20"/>
        </w:rPr>
        <w:footnoteReference w:id="63"/>
      </w:r>
      <w:r w:rsidRPr="00D2222C">
        <w:rPr>
          <w:rFonts w:asciiTheme="majorHAnsi" w:hAnsiTheme="majorHAnsi" w:cs="Arial"/>
          <w:sz w:val="20"/>
          <w:szCs w:val="20"/>
        </w:rPr>
        <w:t xml:space="preserve"> </w:t>
      </w:r>
    </w:p>
    <w:p w14:paraId="0F14E93D" w14:textId="77777777" w:rsidR="006C2B38" w:rsidRPr="00D2222C" w:rsidRDefault="006C2B38" w:rsidP="006C2B3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Cs/>
          <w:sz w:val="20"/>
          <w:szCs w:val="20"/>
        </w:rPr>
      </w:pPr>
    </w:p>
    <w:p w14:paraId="304485C8" w14:textId="77777777" w:rsidR="00F66BDC" w:rsidRPr="00D2222C" w:rsidRDefault="00F66BDC" w:rsidP="009412E0">
      <w:pPr>
        <w:pStyle w:val="Heading3"/>
        <w:numPr>
          <w:ilvl w:val="0"/>
          <w:numId w:val="64"/>
        </w:numPr>
        <w:spacing w:before="0"/>
        <w:ind w:left="1440" w:hanging="720"/>
        <w:rPr>
          <w:color w:val="auto"/>
          <w:sz w:val="20"/>
          <w:szCs w:val="20"/>
          <w:lang w:val="es-ES"/>
        </w:rPr>
      </w:pPr>
      <w:bookmarkStart w:id="20" w:name="_Toc26550934"/>
      <w:r w:rsidRPr="00D2222C">
        <w:rPr>
          <w:color w:val="auto"/>
          <w:sz w:val="20"/>
          <w:szCs w:val="20"/>
          <w:lang w:val="es-ES"/>
        </w:rPr>
        <w:t>Analysis of the case</w:t>
      </w:r>
      <w:bookmarkEnd w:id="20"/>
    </w:p>
    <w:p w14:paraId="4FCD121C" w14:textId="77777777" w:rsidR="00B868A4" w:rsidRPr="00D2222C" w:rsidRDefault="00B868A4" w:rsidP="009412E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440" w:hanging="720"/>
        <w:jc w:val="both"/>
        <w:rPr>
          <w:rFonts w:asciiTheme="majorHAnsi" w:hAnsiTheme="majorHAnsi"/>
          <w:bCs/>
          <w:sz w:val="20"/>
          <w:szCs w:val="20"/>
        </w:rPr>
      </w:pPr>
    </w:p>
    <w:p w14:paraId="093CAED1" w14:textId="77777777" w:rsidR="003D51A2" w:rsidRPr="00D2222C" w:rsidRDefault="003D51A2"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0" w:firstLine="0"/>
        <w:jc w:val="both"/>
        <w:rPr>
          <w:rFonts w:asciiTheme="majorHAnsi" w:hAnsiTheme="majorHAnsi" w:cs="Arial"/>
          <w:sz w:val="20"/>
          <w:szCs w:val="20"/>
        </w:rPr>
      </w:pPr>
      <w:r w:rsidRPr="00D2222C">
        <w:rPr>
          <w:rFonts w:asciiTheme="majorHAnsi" w:hAnsiTheme="majorHAnsi"/>
          <w:sz w:val="20"/>
          <w:szCs w:val="20"/>
        </w:rPr>
        <w:t xml:space="preserve">The Commission will </w:t>
      </w:r>
      <w:r w:rsidR="00614153" w:rsidRPr="00D2222C">
        <w:rPr>
          <w:rFonts w:asciiTheme="majorHAnsi" w:hAnsiTheme="majorHAnsi"/>
          <w:sz w:val="20"/>
          <w:szCs w:val="20"/>
        </w:rPr>
        <w:t>analyze</w:t>
      </w:r>
      <w:r w:rsidRPr="00D2222C">
        <w:rPr>
          <w:rFonts w:asciiTheme="majorHAnsi" w:hAnsiTheme="majorHAnsi"/>
          <w:sz w:val="20"/>
          <w:szCs w:val="20"/>
        </w:rPr>
        <w:t xml:space="preserve"> whether the assistance of counsel was effective in the overall context of Mr. Hall’s case and taking into account the specific interests at stake. </w:t>
      </w:r>
    </w:p>
    <w:p w14:paraId="780B37F4" w14:textId="77777777" w:rsidR="003D51A2" w:rsidRPr="00D2222C" w:rsidRDefault="003D51A2" w:rsidP="009E384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720"/>
        <w:jc w:val="both"/>
        <w:rPr>
          <w:rFonts w:asciiTheme="majorHAnsi" w:hAnsiTheme="majorHAnsi" w:cs="Arial"/>
          <w:sz w:val="20"/>
          <w:szCs w:val="20"/>
        </w:rPr>
      </w:pPr>
    </w:p>
    <w:p w14:paraId="616E7609" w14:textId="77777777" w:rsidR="000516F4" w:rsidRPr="00D2222C" w:rsidRDefault="00115009"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0" w:firstLine="0"/>
        <w:jc w:val="both"/>
        <w:rPr>
          <w:rFonts w:asciiTheme="majorHAnsi" w:hAnsiTheme="majorHAnsi" w:cs="Arial"/>
          <w:sz w:val="20"/>
          <w:szCs w:val="20"/>
        </w:rPr>
      </w:pPr>
      <w:r w:rsidRPr="00D2222C">
        <w:rPr>
          <w:rFonts w:asciiTheme="majorHAnsi" w:hAnsiTheme="majorHAnsi" w:cs="Arial"/>
          <w:sz w:val="20"/>
          <w:szCs w:val="20"/>
        </w:rPr>
        <w:t xml:space="preserve">As established in the </w:t>
      </w:r>
      <w:r w:rsidR="00D86569" w:rsidRPr="00D2222C">
        <w:rPr>
          <w:rFonts w:asciiTheme="majorHAnsi" w:hAnsiTheme="majorHAnsi" w:cs="Arial"/>
          <w:sz w:val="20"/>
          <w:szCs w:val="20"/>
        </w:rPr>
        <w:t>findings of</w:t>
      </w:r>
      <w:r w:rsidRPr="00D2222C">
        <w:rPr>
          <w:rFonts w:asciiTheme="majorHAnsi" w:hAnsiTheme="majorHAnsi" w:cs="Arial"/>
          <w:sz w:val="20"/>
          <w:szCs w:val="20"/>
        </w:rPr>
        <w:t xml:space="preserve"> fact,</w:t>
      </w:r>
      <w:r w:rsidR="00D86569" w:rsidRPr="00D2222C">
        <w:rPr>
          <w:rFonts w:asciiTheme="majorHAnsi" w:hAnsiTheme="majorHAnsi" w:cs="Arial"/>
          <w:sz w:val="20"/>
          <w:szCs w:val="20"/>
        </w:rPr>
        <w:t xml:space="preserve"> on October 28, 1994, two days after Mr. Hall was charged, Mark Daniel was appointed to represent </w:t>
      </w:r>
      <w:r w:rsidR="006847BC" w:rsidRPr="00D2222C">
        <w:rPr>
          <w:rFonts w:asciiTheme="majorHAnsi" w:hAnsiTheme="majorHAnsi" w:cs="Arial"/>
          <w:sz w:val="20"/>
          <w:szCs w:val="20"/>
        </w:rPr>
        <w:t>him</w:t>
      </w:r>
      <w:r w:rsidR="00D86569" w:rsidRPr="00D2222C">
        <w:rPr>
          <w:rFonts w:asciiTheme="majorHAnsi" w:hAnsiTheme="majorHAnsi" w:cs="Arial"/>
          <w:sz w:val="20"/>
          <w:szCs w:val="20"/>
        </w:rPr>
        <w:t xml:space="preserve"> and</w:t>
      </w:r>
      <w:r w:rsidR="00B45BE7" w:rsidRPr="00D2222C">
        <w:rPr>
          <w:rFonts w:asciiTheme="majorHAnsi" w:hAnsiTheme="majorHAnsi" w:cs="Arial"/>
          <w:sz w:val="20"/>
          <w:szCs w:val="20"/>
        </w:rPr>
        <w:t>,</w:t>
      </w:r>
      <w:r w:rsidR="00D86569" w:rsidRPr="00D2222C">
        <w:rPr>
          <w:rFonts w:asciiTheme="majorHAnsi" w:hAnsiTheme="majorHAnsi" w:cs="Arial"/>
          <w:sz w:val="20"/>
          <w:szCs w:val="20"/>
        </w:rPr>
        <w:t xml:space="preserve"> on January 6, 1995, Michael Heiskell was appointed as co-counsel. </w:t>
      </w:r>
      <w:r w:rsidR="006847BC" w:rsidRPr="00D2222C">
        <w:rPr>
          <w:rFonts w:asciiTheme="majorHAnsi" w:hAnsiTheme="majorHAnsi" w:cs="Arial"/>
          <w:sz w:val="20"/>
          <w:szCs w:val="20"/>
        </w:rPr>
        <w:t>It has further been established that counsel required Mr. Hall to complete a nineteen-page questionnaire and travel</w:t>
      </w:r>
      <w:r w:rsidR="0050536C" w:rsidRPr="00D2222C">
        <w:rPr>
          <w:rFonts w:asciiTheme="majorHAnsi" w:hAnsiTheme="majorHAnsi" w:cs="Arial"/>
          <w:sz w:val="20"/>
          <w:szCs w:val="20"/>
        </w:rPr>
        <w:t>ed</w:t>
      </w:r>
      <w:r w:rsidR="006847BC" w:rsidRPr="00D2222C">
        <w:rPr>
          <w:rFonts w:asciiTheme="majorHAnsi" w:hAnsiTheme="majorHAnsi" w:cs="Arial"/>
          <w:sz w:val="20"/>
          <w:szCs w:val="20"/>
        </w:rPr>
        <w:t xml:space="preserve"> to his hometown to interview family members and other persons familiar with Mr. Hall. This information was turned over to the new defense attorneys appointed </w:t>
      </w:r>
      <w:r w:rsidR="00D86569" w:rsidRPr="00D2222C">
        <w:rPr>
          <w:rFonts w:asciiTheme="majorHAnsi" w:hAnsiTheme="majorHAnsi" w:cs="Arial"/>
          <w:sz w:val="20"/>
          <w:szCs w:val="20"/>
        </w:rPr>
        <w:t>on March 21, 1995</w:t>
      </w:r>
      <w:r w:rsidR="006847BC" w:rsidRPr="00D2222C">
        <w:rPr>
          <w:rFonts w:asciiTheme="majorHAnsi" w:hAnsiTheme="majorHAnsi" w:cs="Arial"/>
          <w:sz w:val="20"/>
          <w:szCs w:val="20"/>
        </w:rPr>
        <w:t>, after prior counsel withdrew from their representation</w:t>
      </w:r>
      <w:r w:rsidR="00D86569" w:rsidRPr="00D2222C">
        <w:rPr>
          <w:rFonts w:asciiTheme="majorHAnsi" w:hAnsiTheme="majorHAnsi" w:cs="Arial"/>
          <w:sz w:val="20"/>
          <w:szCs w:val="20"/>
        </w:rPr>
        <w:t xml:space="preserve">. </w:t>
      </w:r>
    </w:p>
    <w:p w14:paraId="65B334C6" w14:textId="77777777" w:rsidR="000516F4" w:rsidRPr="00D2222C" w:rsidRDefault="000516F4" w:rsidP="009E384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720"/>
        <w:jc w:val="both"/>
        <w:rPr>
          <w:rFonts w:asciiTheme="majorHAnsi" w:hAnsiTheme="majorHAnsi" w:cs="Arial"/>
          <w:sz w:val="20"/>
          <w:szCs w:val="20"/>
        </w:rPr>
      </w:pPr>
    </w:p>
    <w:p w14:paraId="26FC7349" w14:textId="77777777" w:rsidR="00115009" w:rsidRPr="00D2222C" w:rsidRDefault="00D86569"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0" w:firstLine="0"/>
        <w:jc w:val="both"/>
        <w:rPr>
          <w:rFonts w:asciiTheme="majorHAnsi" w:hAnsiTheme="majorHAnsi" w:cs="Arial"/>
          <w:sz w:val="20"/>
          <w:szCs w:val="20"/>
        </w:rPr>
      </w:pPr>
      <w:r w:rsidRPr="00D2222C">
        <w:rPr>
          <w:rFonts w:asciiTheme="majorHAnsi" w:hAnsiTheme="majorHAnsi" w:cs="Arial"/>
          <w:sz w:val="20"/>
          <w:szCs w:val="20"/>
        </w:rPr>
        <w:t xml:space="preserve">With </w:t>
      </w:r>
      <w:r w:rsidR="009D6116" w:rsidRPr="00D2222C">
        <w:rPr>
          <w:rFonts w:asciiTheme="majorHAnsi" w:hAnsiTheme="majorHAnsi" w:cs="Arial"/>
          <w:sz w:val="20"/>
          <w:szCs w:val="20"/>
        </w:rPr>
        <w:t xml:space="preserve">regard to the investigation </w:t>
      </w:r>
      <w:r w:rsidR="000516F4" w:rsidRPr="00D2222C">
        <w:rPr>
          <w:rFonts w:asciiTheme="majorHAnsi" w:hAnsiTheme="majorHAnsi" w:cs="Arial"/>
          <w:sz w:val="20"/>
          <w:szCs w:val="20"/>
        </w:rPr>
        <w:t xml:space="preserve">concerning potential mitigating evidence </w:t>
      </w:r>
      <w:r w:rsidR="009D6116" w:rsidRPr="00D2222C">
        <w:rPr>
          <w:rFonts w:asciiTheme="majorHAnsi" w:hAnsiTheme="majorHAnsi" w:cs="Arial"/>
          <w:sz w:val="20"/>
          <w:szCs w:val="20"/>
        </w:rPr>
        <w:t xml:space="preserve">conducted by defense counsel </w:t>
      </w:r>
      <w:r w:rsidR="000A650D" w:rsidRPr="00D2222C">
        <w:rPr>
          <w:rFonts w:asciiTheme="majorHAnsi" w:hAnsiTheme="majorHAnsi" w:cs="Arial"/>
          <w:sz w:val="20"/>
          <w:szCs w:val="20"/>
        </w:rPr>
        <w:t xml:space="preserve">between their appointment </w:t>
      </w:r>
      <w:r w:rsidR="000516F4" w:rsidRPr="00D2222C">
        <w:rPr>
          <w:rFonts w:asciiTheme="majorHAnsi" w:hAnsiTheme="majorHAnsi" w:cs="Arial"/>
          <w:sz w:val="20"/>
          <w:szCs w:val="20"/>
        </w:rPr>
        <w:t xml:space="preserve">on March 21, 1995, </w:t>
      </w:r>
      <w:r w:rsidR="000A650D" w:rsidRPr="00D2222C">
        <w:rPr>
          <w:rFonts w:asciiTheme="majorHAnsi" w:hAnsiTheme="majorHAnsi" w:cs="Arial"/>
          <w:sz w:val="20"/>
          <w:szCs w:val="20"/>
        </w:rPr>
        <w:t xml:space="preserve">and </w:t>
      </w:r>
      <w:r w:rsidR="009D6116" w:rsidRPr="00D2222C">
        <w:rPr>
          <w:rFonts w:asciiTheme="majorHAnsi" w:hAnsiTheme="majorHAnsi" w:cs="Arial"/>
          <w:sz w:val="20"/>
          <w:szCs w:val="20"/>
        </w:rPr>
        <w:t>the commencement of trial on October 2, 1995,</w:t>
      </w:r>
      <w:r w:rsidR="002D033F" w:rsidRPr="00D2222C">
        <w:rPr>
          <w:rFonts w:asciiTheme="majorHAnsi" w:hAnsiTheme="majorHAnsi" w:cs="Arial"/>
          <w:sz w:val="20"/>
          <w:szCs w:val="20"/>
        </w:rPr>
        <w:t xml:space="preserve"> the IACHR observes the following: on July 14 counsel sought and obtained funds to hire a psychiatrist and a neuropsychologist; on September 7 counsel sought the assistance of a mitigation specialist who was appointed </w:t>
      </w:r>
      <w:r w:rsidR="002D033F" w:rsidRPr="00D2222C">
        <w:rPr>
          <w:rFonts w:asciiTheme="majorHAnsi" w:hAnsiTheme="majorHAnsi" w:cs="Arial"/>
          <w:sz w:val="20"/>
          <w:szCs w:val="20"/>
        </w:rPr>
        <w:lastRenderedPageBreak/>
        <w:t>by the court on September 14</w:t>
      </w:r>
      <w:r w:rsidR="00B45BE7" w:rsidRPr="00D2222C">
        <w:rPr>
          <w:rFonts w:asciiTheme="majorHAnsi" w:hAnsiTheme="majorHAnsi" w:cs="Arial"/>
          <w:sz w:val="20"/>
          <w:szCs w:val="20"/>
        </w:rPr>
        <w:t>,</w:t>
      </w:r>
      <w:r w:rsidR="002D033F" w:rsidRPr="00D2222C">
        <w:rPr>
          <w:rFonts w:asciiTheme="majorHAnsi" w:hAnsiTheme="majorHAnsi" w:cs="Arial"/>
          <w:sz w:val="20"/>
          <w:szCs w:val="20"/>
        </w:rPr>
        <w:t xml:space="preserve"> </w:t>
      </w:r>
      <w:r w:rsidR="008C00EE" w:rsidRPr="00D2222C">
        <w:rPr>
          <w:rFonts w:asciiTheme="majorHAnsi" w:hAnsiTheme="majorHAnsi" w:cs="Arial"/>
          <w:sz w:val="20"/>
          <w:szCs w:val="20"/>
        </w:rPr>
        <w:t xml:space="preserve">and </w:t>
      </w:r>
      <w:r w:rsidR="00E27AA4" w:rsidRPr="00D2222C">
        <w:rPr>
          <w:rFonts w:asciiTheme="majorHAnsi" w:hAnsiTheme="majorHAnsi" w:cs="Arial"/>
          <w:sz w:val="20"/>
          <w:szCs w:val="20"/>
        </w:rPr>
        <w:t>on September 15</w:t>
      </w:r>
      <w:r w:rsidR="002D033F" w:rsidRPr="00D2222C">
        <w:rPr>
          <w:rFonts w:asciiTheme="majorHAnsi" w:hAnsiTheme="majorHAnsi" w:cs="Arial"/>
          <w:sz w:val="20"/>
          <w:szCs w:val="20"/>
        </w:rPr>
        <w:t xml:space="preserve"> counsel and Mr. Hall met with her</w:t>
      </w:r>
      <w:r w:rsidR="008C00EE" w:rsidRPr="00D2222C">
        <w:rPr>
          <w:rFonts w:asciiTheme="majorHAnsi" w:hAnsiTheme="majorHAnsi" w:cs="Arial"/>
          <w:sz w:val="20"/>
          <w:szCs w:val="20"/>
        </w:rPr>
        <w:t xml:space="preserve">. </w:t>
      </w:r>
      <w:r w:rsidR="00795940" w:rsidRPr="00D2222C">
        <w:rPr>
          <w:rFonts w:asciiTheme="majorHAnsi" w:hAnsiTheme="majorHAnsi" w:cs="Arial"/>
          <w:sz w:val="20"/>
          <w:szCs w:val="20"/>
        </w:rPr>
        <w:t xml:space="preserve">On October 6, after the trial had begun, </w:t>
      </w:r>
      <w:r w:rsidR="00317255" w:rsidRPr="00D2222C">
        <w:rPr>
          <w:rFonts w:asciiTheme="majorHAnsi" w:hAnsiTheme="majorHAnsi" w:cs="Arial"/>
          <w:sz w:val="20"/>
          <w:szCs w:val="20"/>
        </w:rPr>
        <w:t>the specialist</w:t>
      </w:r>
      <w:r w:rsidR="00DE783D" w:rsidRPr="00D2222C">
        <w:rPr>
          <w:rFonts w:asciiTheme="majorHAnsi" w:hAnsiTheme="majorHAnsi" w:cs="Arial"/>
          <w:sz w:val="20"/>
          <w:szCs w:val="20"/>
        </w:rPr>
        <w:t xml:space="preserve"> sent a memorandum to trial counsel </w:t>
      </w:r>
      <w:r w:rsidR="00EF6972" w:rsidRPr="00D2222C">
        <w:rPr>
          <w:rFonts w:asciiTheme="majorHAnsi" w:hAnsiTheme="majorHAnsi" w:cs="Arial"/>
          <w:sz w:val="20"/>
          <w:szCs w:val="20"/>
        </w:rPr>
        <w:t xml:space="preserve">pointing out to critically important mitigating information that would take additional time to fully develop. </w:t>
      </w:r>
      <w:r w:rsidR="008C00EE" w:rsidRPr="00D2222C">
        <w:rPr>
          <w:rFonts w:asciiTheme="majorHAnsi" w:hAnsiTheme="majorHAnsi" w:cs="Arial"/>
          <w:sz w:val="20"/>
          <w:szCs w:val="20"/>
        </w:rPr>
        <w:t>T</w:t>
      </w:r>
      <w:r w:rsidR="002D033F" w:rsidRPr="00D2222C">
        <w:rPr>
          <w:rFonts w:asciiTheme="majorHAnsi" w:hAnsiTheme="majorHAnsi" w:cs="Arial"/>
          <w:sz w:val="20"/>
          <w:szCs w:val="20"/>
        </w:rPr>
        <w:t>he specialist submitted two investigative memor</w:t>
      </w:r>
      <w:r w:rsidR="00820D73" w:rsidRPr="00D2222C">
        <w:rPr>
          <w:rFonts w:asciiTheme="majorHAnsi" w:hAnsiTheme="majorHAnsi" w:cs="Arial"/>
          <w:sz w:val="20"/>
          <w:szCs w:val="20"/>
        </w:rPr>
        <w:t>anda to counsel dated October 2</w:t>
      </w:r>
      <w:r w:rsidR="002D033F" w:rsidRPr="00D2222C">
        <w:rPr>
          <w:rFonts w:asciiTheme="majorHAnsi" w:hAnsiTheme="majorHAnsi" w:cs="Arial"/>
          <w:sz w:val="20"/>
          <w:szCs w:val="20"/>
        </w:rPr>
        <w:t>3 and 25</w:t>
      </w:r>
      <w:r w:rsidR="00DD2BE4" w:rsidRPr="00D2222C">
        <w:rPr>
          <w:rFonts w:asciiTheme="majorHAnsi" w:hAnsiTheme="majorHAnsi" w:cs="Arial"/>
          <w:sz w:val="20"/>
          <w:szCs w:val="20"/>
        </w:rPr>
        <w:t>, and</w:t>
      </w:r>
      <w:r w:rsidR="00231CD1" w:rsidRPr="00D2222C">
        <w:rPr>
          <w:rFonts w:asciiTheme="majorHAnsi" w:hAnsiTheme="majorHAnsi" w:cs="Arial"/>
          <w:sz w:val="20"/>
          <w:szCs w:val="20"/>
        </w:rPr>
        <w:t>,</w:t>
      </w:r>
      <w:r w:rsidR="00DD2BE4" w:rsidRPr="00D2222C">
        <w:rPr>
          <w:rFonts w:asciiTheme="majorHAnsi" w:hAnsiTheme="majorHAnsi" w:cs="Arial"/>
          <w:sz w:val="20"/>
          <w:szCs w:val="20"/>
        </w:rPr>
        <w:t xml:space="preserve"> on November 1, 1995, the punishment phase of trial began. </w:t>
      </w:r>
    </w:p>
    <w:p w14:paraId="3DDF8BD0" w14:textId="77777777" w:rsidR="002256AE" w:rsidRPr="00D2222C" w:rsidRDefault="002256AE" w:rsidP="009E384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720"/>
        <w:jc w:val="both"/>
        <w:rPr>
          <w:rFonts w:asciiTheme="majorHAnsi" w:hAnsiTheme="majorHAnsi" w:cs="Arial"/>
          <w:sz w:val="20"/>
          <w:szCs w:val="20"/>
        </w:rPr>
      </w:pPr>
    </w:p>
    <w:p w14:paraId="440391AA" w14:textId="77777777" w:rsidR="003D51A2" w:rsidRPr="00D2222C" w:rsidRDefault="003964BF"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0" w:firstLine="0"/>
        <w:jc w:val="both"/>
        <w:rPr>
          <w:rFonts w:asciiTheme="majorHAnsi" w:hAnsiTheme="majorHAnsi" w:cs="Arial"/>
          <w:sz w:val="20"/>
          <w:szCs w:val="20"/>
        </w:rPr>
      </w:pPr>
      <w:r w:rsidRPr="00D2222C">
        <w:rPr>
          <w:rFonts w:asciiTheme="majorHAnsi" w:hAnsiTheme="majorHAnsi" w:cs="Arial"/>
          <w:sz w:val="20"/>
          <w:szCs w:val="20"/>
        </w:rPr>
        <w:t xml:space="preserve">The Commission </w:t>
      </w:r>
      <w:r w:rsidR="00154179" w:rsidRPr="00D2222C">
        <w:rPr>
          <w:rFonts w:asciiTheme="majorHAnsi" w:hAnsiTheme="majorHAnsi" w:cs="Arial"/>
          <w:sz w:val="20"/>
          <w:szCs w:val="20"/>
        </w:rPr>
        <w:t xml:space="preserve">notes that </w:t>
      </w:r>
      <w:r w:rsidR="004730AF" w:rsidRPr="00D2222C">
        <w:rPr>
          <w:rFonts w:asciiTheme="majorHAnsi" w:hAnsiTheme="majorHAnsi" w:cs="Arial"/>
          <w:sz w:val="20"/>
          <w:szCs w:val="20"/>
        </w:rPr>
        <w:t xml:space="preserve">it took </w:t>
      </w:r>
      <w:r w:rsidR="00154179" w:rsidRPr="00D2222C">
        <w:rPr>
          <w:rFonts w:asciiTheme="majorHAnsi" w:hAnsiTheme="majorHAnsi" w:cs="Arial"/>
          <w:sz w:val="20"/>
          <w:szCs w:val="20"/>
        </w:rPr>
        <w:t>t</w:t>
      </w:r>
      <w:r w:rsidRPr="00D2222C">
        <w:rPr>
          <w:rFonts w:asciiTheme="majorHAnsi" w:hAnsiTheme="majorHAnsi" w:cs="Arial"/>
          <w:sz w:val="20"/>
          <w:szCs w:val="20"/>
        </w:rPr>
        <w:t>rial counsel</w:t>
      </w:r>
      <w:r w:rsidR="00154179" w:rsidRPr="00D2222C">
        <w:rPr>
          <w:rFonts w:asciiTheme="majorHAnsi" w:hAnsiTheme="majorHAnsi" w:cs="Arial"/>
          <w:sz w:val="20"/>
          <w:szCs w:val="20"/>
        </w:rPr>
        <w:t xml:space="preserve"> almost four month</w:t>
      </w:r>
      <w:r w:rsidR="004730AF" w:rsidRPr="00D2222C">
        <w:rPr>
          <w:rFonts w:asciiTheme="majorHAnsi" w:hAnsiTheme="majorHAnsi" w:cs="Arial"/>
          <w:sz w:val="20"/>
          <w:szCs w:val="20"/>
        </w:rPr>
        <w:t>s</w:t>
      </w:r>
      <w:r w:rsidR="00154179" w:rsidRPr="00D2222C">
        <w:rPr>
          <w:rFonts w:asciiTheme="majorHAnsi" w:hAnsiTheme="majorHAnsi" w:cs="Arial"/>
          <w:sz w:val="20"/>
          <w:szCs w:val="20"/>
        </w:rPr>
        <w:t xml:space="preserve"> from their appointment to seek funds to hire</w:t>
      </w:r>
      <w:r w:rsidR="004730AF" w:rsidRPr="00D2222C">
        <w:rPr>
          <w:rFonts w:asciiTheme="majorHAnsi" w:hAnsiTheme="majorHAnsi" w:cs="Arial"/>
          <w:sz w:val="20"/>
          <w:szCs w:val="20"/>
        </w:rPr>
        <w:t xml:space="preserve"> a psychiatrist and a neuropsychologist, and almost six months to obtain the assistance of a mitigation specialist. </w:t>
      </w:r>
      <w:r w:rsidR="009E3ABD" w:rsidRPr="00D2222C">
        <w:rPr>
          <w:rFonts w:asciiTheme="majorHAnsi" w:hAnsiTheme="majorHAnsi" w:cs="Arial"/>
          <w:sz w:val="20"/>
          <w:szCs w:val="20"/>
        </w:rPr>
        <w:t xml:space="preserve">Accordingly, the mitigation specialist had only </w:t>
      </w:r>
      <w:r w:rsidR="00715928" w:rsidRPr="00D2222C">
        <w:rPr>
          <w:rFonts w:asciiTheme="majorHAnsi" w:hAnsiTheme="majorHAnsi" w:cs="Arial"/>
          <w:sz w:val="20"/>
          <w:szCs w:val="20"/>
        </w:rPr>
        <w:t xml:space="preserve">two weeks and three days before the start of the trial and less than seven weeks before the </w:t>
      </w:r>
      <w:r w:rsidR="00231CD1" w:rsidRPr="00D2222C">
        <w:rPr>
          <w:rFonts w:asciiTheme="majorHAnsi" w:hAnsiTheme="majorHAnsi" w:cs="Arial"/>
          <w:sz w:val="20"/>
          <w:szCs w:val="20"/>
        </w:rPr>
        <w:t xml:space="preserve">start of the </w:t>
      </w:r>
      <w:r w:rsidR="00715928" w:rsidRPr="00D2222C">
        <w:rPr>
          <w:rFonts w:asciiTheme="majorHAnsi" w:hAnsiTheme="majorHAnsi" w:cs="Arial"/>
          <w:sz w:val="20"/>
          <w:szCs w:val="20"/>
        </w:rPr>
        <w:t xml:space="preserve">punishment phase. </w:t>
      </w:r>
      <w:r w:rsidR="00A53D23" w:rsidRPr="00D2222C">
        <w:rPr>
          <w:rFonts w:asciiTheme="majorHAnsi" w:hAnsiTheme="majorHAnsi" w:cs="Arial"/>
          <w:sz w:val="20"/>
          <w:szCs w:val="20"/>
        </w:rPr>
        <w:t xml:space="preserve">After </w:t>
      </w:r>
      <w:r w:rsidR="00B70462" w:rsidRPr="00D2222C">
        <w:rPr>
          <w:rFonts w:asciiTheme="majorHAnsi" w:hAnsiTheme="majorHAnsi" w:cs="Arial"/>
          <w:sz w:val="20"/>
          <w:szCs w:val="20"/>
        </w:rPr>
        <w:t xml:space="preserve">the beginning of </w:t>
      </w:r>
      <w:r w:rsidR="00A53D23" w:rsidRPr="00D2222C">
        <w:rPr>
          <w:rFonts w:asciiTheme="majorHAnsi" w:hAnsiTheme="majorHAnsi" w:cs="Arial"/>
          <w:sz w:val="20"/>
          <w:szCs w:val="20"/>
        </w:rPr>
        <w:t>trial, the specialist indicated that critical aspects had not yet been investigated: “little or no investigation ha[d] been conducted concerning the four co-defendants,” the “mitigation/social history investigation into the life of Orlando Hall</w:t>
      </w:r>
      <w:r w:rsidR="00275FC9" w:rsidRPr="00D2222C">
        <w:rPr>
          <w:rFonts w:asciiTheme="majorHAnsi" w:hAnsiTheme="majorHAnsi" w:cs="Arial"/>
          <w:sz w:val="20"/>
          <w:szCs w:val="20"/>
        </w:rPr>
        <w:t xml:space="preserve"> [which takes time]</w:t>
      </w:r>
      <w:r w:rsidR="00A53D23" w:rsidRPr="00D2222C">
        <w:rPr>
          <w:rFonts w:asciiTheme="majorHAnsi" w:hAnsiTheme="majorHAnsi" w:cs="Arial"/>
          <w:sz w:val="20"/>
          <w:szCs w:val="20"/>
        </w:rPr>
        <w:t xml:space="preserve"> [wa]s not complete,”</w:t>
      </w:r>
      <w:r w:rsidR="004907E1" w:rsidRPr="00D2222C">
        <w:rPr>
          <w:rFonts w:asciiTheme="majorHAnsi" w:hAnsiTheme="majorHAnsi" w:cs="Arial"/>
          <w:sz w:val="20"/>
          <w:szCs w:val="20"/>
        </w:rPr>
        <w:t xml:space="preserve"> and</w:t>
      </w:r>
      <w:r w:rsidR="00A53D23" w:rsidRPr="00D2222C">
        <w:rPr>
          <w:rFonts w:asciiTheme="majorHAnsi" w:hAnsiTheme="majorHAnsi" w:cs="Arial"/>
          <w:sz w:val="20"/>
          <w:szCs w:val="20"/>
        </w:rPr>
        <w:t xml:space="preserve"> </w:t>
      </w:r>
      <w:r w:rsidR="00275FC9" w:rsidRPr="00D2222C">
        <w:rPr>
          <w:rFonts w:asciiTheme="majorHAnsi" w:hAnsiTheme="majorHAnsi" w:cs="Arial"/>
          <w:sz w:val="20"/>
          <w:szCs w:val="20"/>
        </w:rPr>
        <w:t>“more information need[ed] to be developed [regarding] the extent and effects” of serious domestic violence</w:t>
      </w:r>
      <w:r w:rsidR="00074669" w:rsidRPr="00D2222C">
        <w:rPr>
          <w:rFonts w:asciiTheme="majorHAnsi" w:hAnsiTheme="majorHAnsi" w:cs="Arial"/>
          <w:sz w:val="20"/>
          <w:szCs w:val="20"/>
        </w:rPr>
        <w:t xml:space="preserve">. The mitigation specialist </w:t>
      </w:r>
      <w:r w:rsidR="004907E1" w:rsidRPr="00D2222C">
        <w:rPr>
          <w:rFonts w:asciiTheme="majorHAnsi" w:hAnsiTheme="majorHAnsi" w:cs="Arial"/>
          <w:sz w:val="20"/>
          <w:szCs w:val="20"/>
        </w:rPr>
        <w:t xml:space="preserve">also </w:t>
      </w:r>
      <w:r w:rsidR="00074669" w:rsidRPr="00D2222C">
        <w:rPr>
          <w:rFonts w:asciiTheme="majorHAnsi" w:hAnsiTheme="majorHAnsi" w:cs="Arial"/>
          <w:sz w:val="20"/>
          <w:szCs w:val="20"/>
        </w:rPr>
        <w:t>highlighted that</w:t>
      </w:r>
      <w:r w:rsidR="00275FC9" w:rsidRPr="00D2222C">
        <w:rPr>
          <w:rFonts w:asciiTheme="majorHAnsi" w:hAnsiTheme="majorHAnsi" w:cs="Arial"/>
          <w:sz w:val="20"/>
          <w:szCs w:val="20"/>
        </w:rPr>
        <w:t xml:space="preserve"> </w:t>
      </w:r>
      <w:r w:rsidR="00074669" w:rsidRPr="00D2222C">
        <w:rPr>
          <w:rFonts w:asciiTheme="majorHAnsi" w:hAnsiTheme="majorHAnsi" w:cs="Arial"/>
          <w:sz w:val="20"/>
          <w:szCs w:val="20"/>
        </w:rPr>
        <w:t>“</w:t>
      </w:r>
      <w:r w:rsidR="00275FC9" w:rsidRPr="00D2222C">
        <w:rPr>
          <w:rFonts w:ascii="Cambria" w:hAnsi="Cambria"/>
          <w:sz w:val="20"/>
          <w:szCs w:val="20"/>
        </w:rPr>
        <w:t>the process of gathering information about Mr. Hall’</w:t>
      </w:r>
      <w:r w:rsidR="00074669" w:rsidRPr="00D2222C">
        <w:rPr>
          <w:rFonts w:ascii="Cambria" w:hAnsi="Cambria"/>
          <w:sz w:val="20"/>
          <w:szCs w:val="20"/>
        </w:rPr>
        <w:t>s childhood [wa]</w:t>
      </w:r>
      <w:r w:rsidR="00275FC9" w:rsidRPr="00D2222C">
        <w:rPr>
          <w:rFonts w:ascii="Cambria" w:hAnsi="Cambria"/>
          <w:sz w:val="20"/>
          <w:szCs w:val="20"/>
        </w:rPr>
        <w:t>s a slow one</w:t>
      </w:r>
      <w:r w:rsidR="00074669" w:rsidRPr="00D2222C">
        <w:rPr>
          <w:rFonts w:ascii="Cambria" w:hAnsi="Cambria"/>
          <w:sz w:val="20"/>
          <w:szCs w:val="20"/>
        </w:rPr>
        <w:t>.”</w:t>
      </w:r>
    </w:p>
    <w:p w14:paraId="57F7FE33" w14:textId="77777777" w:rsidR="003D51A2" w:rsidRPr="00D2222C" w:rsidRDefault="003D51A2" w:rsidP="009E3847">
      <w:pPr>
        <w:pStyle w:val="ListParagraph"/>
        <w:tabs>
          <w:tab w:val="left" w:pos="720"/>
        </w:tabs>
        <w:rPr>
          <w:rFonts w:asciiTheme="majorHAnsi" w:hAnsiTheme="majorHAnsi"/>
          <w:sz w:val="20"/>
          <w:szCs w:val="20"/>
        </w:rPr>
      </w:pPr>
    </w:p>
    <w:p w14:paraId="5FDFC364" w14:textId="77777777" w:rsidR="00536B9E" w:rsidRPr="00D2222C" w:rsidRDefault="003D51A2"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0" w:firstLine="0"/>
        <w:jc w:val="both"/>
        <w:rPr>
          <w:rFonts w:asciiTheme="majorHAnsi" w:hAnsiTheme="majorHAnsi" w:cs="Arial"/>
          <w:sz w:val="20"/>
          <w:szCs w:val="20"/>
        </w:rPr>
      </w:pPr>
      <w:r w:rsidRPr="00D2222C">
        <w:rPr>
          <w:rFonts w:asciiTheme="majorHAnsi" w:hAnsiTheme="majorHAnsi"/>
          <w:sz w:val="20"/>
          <w:szCs w:val="20"/>
        </w:rPr>
        <w:t>The IACHR finds that</w:t>
      </w:r>
      <w:r w:rsidR="008D7DF4" w:rsidRPr="00D2222C">
        <w:rPr>
          <w:rFonts w:asciiTheme="majorHAnsi" w:hAnsiTheme="majorHAnsi"/>
          <w:sz w:val="20"/>
          <w:szCs w:val="20"/>
        </w:rPr>
        <w:t xml:space="preserve"> the inaction of </w:t>
      </w:r>
      <w:r w:rsidRPr="00D2222C">
        <w:rPr>
          <w:rFonts w:asciiTheme="majorHAnsi" w:hAnsiTheme="majorHAnsi"/>
          <w:sz w:val="20"/>
          <w:szCs w:val="20"/>
        </w:rPr>
        <w:t>defense</w:t>
      </w:r>
      <w:r w:rsidR="008D7DF4" w:rsidRPr="00D2222C">
        <w:rPr>
          <w:rFonts w:asciiTheme="majorHAnsi" w:hAnsiTheme="majorHAnsi"/>
          <w:sz w:val="20"/>
          <w:szCs w:val="20"/>
        </w:rPr>
        <w:t xml:space="preserve"> counsel</w:t>
      </w:r>
      <w:r w:rsidRPr="00D2222C">
        <w:rPr>
          <w:rFonts w:asciiTheme="majorHAnsi" w:hAnsiTheme="majorHAnsi"/>
          <w:sz w:val="20"/>
          <w:szCs w:val="20"/>
        </w:rPr>
        <w:t xml:space="preserve"> at decisive moments in the proceedings cannot be understood as a </w:t>
      </w:r>
      <w:r w:rsidR="00C85CF6" w:rsidRPr="00D2222C">
        <w:rPr>
          <w:rFonts w:asciiTheme="majorHAnsi" w:hAnsiTheme="majorHAnsi"/>
          <w:sz w:val="20"/>
          <w:szCs w:val="20"/>
        </w:rPr>
        <w:t>decision of</w:t>
      </w:r>
      <w:r w:rsidRPr="00D2222C">
        <w:rPr>
          <w:rFonts w:asciiTheme="majorHAnsi" w:hAnsiTheme="majorHAnsi"/>
          <w:sz w:val="20"/>
          <w:szCs w:val="20"/>
        </w:rPr>
        <w:t xml:space="preserve"> strategy. </w:t>
      </w:r>
      <w:r w:rsidR="004730AF" w:rsidRPr="00D2222C">
        <w:rPr>
          <w:rFonts w:asciiTheme="majorHAnsi" w:hAnsiTheme="majorHAnsi" w:cs="Arial"/>
          <w:sz w:val="20"/>
          <w:szCs w:val="20"/>
        </w:rPr>
        <w:t xml:space="preserve">In a </w:t>
      </w:r>
      <w:r w:rsidR="006B248C" w:rsidRPr="00D2222C">
        <w:rPr>
          <w:rFonts w:asciiTheme="majorHAnsi" w:hAnsiTheme="majorHAnsi" w:cs="Arial"/>
          <w:sz w:val="20"/>
          <w:szCs w:val="20"/>
        </w:rPr>
        <w:t>death penalty case</w:t>
      </w:r>
      <w:r w:rsidR="00CF2824" w:rsidRPr="00D2222C">
        <w:rPr>
          <w:rFonts w:asciiTheme="majorHAnsi" w:hAnsiTheme="majorHAnsi" w:cs="Arial"/>
          <w:sz w:val="20"/>
          <w:szCs w:val="20"/>
        </w:rPr>
        <w:t xml:space="preserve"> in which the most rigorous enforcement of judicial guarantees is required, </w:t>
      </w:r>
      <w:r w:rsidR="00702565" w:rsidRPr="00D2222C">
        <w:rPr>
          <w:rFonts w:asciiTheme="majorHAnsi" w:hAnsiTheme="majorHAnsi" w:cs="Arial"/>
          <w:sz w:val="20"/>
          <w:szCs w:val="20"/>
        </w:rPr>
        <w:t xml:space="preserve">the </w:t>
      </w:r>
      <w:r w:rsidR="00F438CD" w:rsidRPr="00D2222C">
        <w:rPr>
          <w:rFonts w:asciiTheme="majorHAnsi" w:hAnsiTheme="majorHAnsi" w:cs="Arial"/>
          <w:sz w:val="20"/>
          <w:szCs w:val="20"/>
        </w:rPr>
        <w:t xml:space="preserve">defense counsels’ </w:t>
      </w:r>
      <w:r w:rsidR="004022E4" w:rsidRPr="00D2222C">
        <w:rPr>
          <w:rFonts w:asciiTheme="majorHAnsi" w:hAnsiTheme="majorHAnsi" w:cs="Arial"/>
          <w:sz w:val="20"/>
          <w:szCs w:val="20"/>
        </w:rPr>
        <w:t xml:space="preserve">immediate action </w:t>
      </w:r>
      <w:r w:rsidR="00F438CD" w:rsidRPr="00D2222C">
        <w:rPr>
          <w:rFonts w:asciiTheme="majorHAnsi" w:hAnsiTheme="majorHAnsi" w:cs="Arial"/>
          <w:sz w:val="20"/>
          <w:szCs w:val="20"/>
        </w:rPr>
        <w:t xml:space="preserve">to thoroughly investigate every possible mitigating factor is a basic component of the right to </w:t>
      </w:r>
      <w:r w:rsidR="00C95BF6" w:rsidRPr="00D2222C">
        <w:rPr>
          <w:rFonts w:asciiTheme="majorHAnsi" w:hAnsiTheme="majorHAnsi" w:cs="Arial"/>
          <w:sz w:val="20"/>
          <w:szCs w:val="20"/>
        </w:rPr>
        <w:t xml:space="preserve">an </w:t>
      </w:r>
      <w:r w:rsidR="00F438CD" w:rsidRPr="00D2222C">
        <w:rPr>
          <w:rFonts w:asciiTheme="majorHAnsi" w:hAnsiTheme="majorHAnsi" w:cs="Arial"/>
          <w:sz w:val="20"/>
          <w:szCs w:val="20"/>
        </w:rPr>
        <w:t xml:space="preserve">effective legal representation. </w:t>
      </w:r>
      <w:r w:rsidR="006420B7" w:rsidRPr="00D2222C">
        <w:rPr>
          <w:rFonts w:asciiTheme="majorHAnsi" w:hAnsiTheme="majorHAnsi" w:cs="Arial"/>
          <w:sz w:val="20"/>
          <w:szCs w:val="20"/>
        </w:rPr>
        <w:t>As emphasized in the ABA Guidelines,</w:t>
      </w:r>
      <w:r w:rsidRPr="00D2222C">
        <w:rPr>
          <w:rFonts w:asciiTheme="majorHAnsi" w:hAnsiTheme="majorHAnsi" w:cs="Arial"/>
          <w:sz w:val="20"/>
          <w:szCs w:val="20"/>
        </w:rPr>
        <w:t xml:space="preserve"> </w:t>
      </w:r>
      <w:r w:rsidR="006B248C" w:rsidRPr="00D2222C">
        <w:rPr>
          <w:rFonts w:asciiTheme="majorHAnsi" w:hAnsiTheme="majorHAnsi" w:cs="Arial"/>
          <w:sz w:val="20"/>
          <w:szCs w:val="20"/>
        </w:rPr>
        <w:t>“penalty phase preparation requires extensive and generally unparalleled investigation into personal and family history.”</w:t>
      </w:r>
      <w:r w:rsidR="006420B7" w:rsidRPr="00D2222C">
        <w:rPr>
          <w:rFonts w:asciiTheme="majorHAnsi" w:hAnsiTheme="majorHAnsi" w:cs="Arial"/>
          <w:sz w:val="20"/>
          <w:szCs w:val="20"/>
        </w:rPr>
        <w:t xml:space="preserve"> </w:t>
      </w:r>
      <w:r w:rsidR="00E22278" w:rsidRPr="00D2222C">
        <w:rPr>
          <w:rFonts w:asciiTheme="majorHAnsi" w:hAnsiTheme="majorHAnsi" w:cs="Arial"/>
          <w:sz w:val="20"/>
          <w:szCs w:val="20"/>
        </w:rPr>
        <w:t xml:space="preserve">The mitigation specialist cautioned that the process of gathering information was a slow one, </w:t>
      </w:r>
      <w:r w:rsidR="002056C8" w:rsidRPr="00D2222C">
        <w:rPr>
          <w:rFonts w:asciiTheme="majorHAnsi" w:hAnsiTheme="majorHAnsi" w:cs="Arial"/>
          <w:sz w:val="20"/>
          <w:szCs w:val="20"/>
        </w:rPr>
        <w:t>since</w:t>
      </w:r>
      <w:r w:rsidR="00E22278" w:rsidRPr="00D2222C">
        <w:rPr>
          <w:rFonts w:asciiTheme="majorHAnsi" w:hAnsiTheme="majorHAnsi" w:cs="Arial"/>
          <w:sz w:val="20"/>
          <w:szCs w:val="20"/>
        </w:rPr>
        <w:t xml:space="preserve"> the investigator must first deal with a variety of emotions from the witnesses in order to elicit the needed information.</w:t>
      </w:r>
      <w:r w:rsidR="002E10DC" w:rsidRPr="00D2222C">
        <w:rPr>
          <w:rFonts w:asciiTheme="majorHAnsi" w:hAnsiTheme="majorHAnsi" w:cs="Arial"/>
          <w:sz w:val="20"/>
          <w:szCs w:val="20"/>
        </w:rPr>
        <w:t xml:space="preserve"> It is not reasonable to </w:t>
      </w:r>
      <w:r w:rsidR="00267891" w:rsidRPr="00D2222C">
        <w:rPr>
          <w:rFonts w:asciiTheme="majorHAnsi" w:hAnsiTheme="majorHAnsi" w:cs="Arial"/>
          <w:sz w:val="20"/>
          <w:szCs w:val="20"/>
        </w:rPr>
        <w:t xml:space="preserve">have </w:t>
      </w:r>
      <w:r w:rsidR="002E10DC" w:rsidRPr="00D2222C">
        <w:rPr>
          <w:rFonts w:asciiTheme="majorHAnsi" w:hAnsiTheme="majorHAnsi" w:cs="Arial"/>
          <w:sz w:val="20"/>
          <w:szCs w:val="20"/>
        </w:rPr>
        <w:t>consider</w:t>
      </w:r>
      <w:r w:rsidR="00267891" w:rsidRPr="00D2222C">
        <w:rPr>
          <w:rFonts w:asciiTheme="majorHAnsi" w:hAnsiTheme="majorHAnsi" w:cs="Arial"/>
          <w:sz w:val="20"/>
          <w:szCs w:val="20"/>
        </w:rPr>
        <w:t>ed</w:t>
      </w:r>
      <w:r w:rsidR="002E10DC" w:rsidRPr="00D2222C">
        <w:rPr>
          <w:rFonts w:asciiTheme="majorHAnsi" w:hAnsiTheme="majorHAnsi" w:cs="Arial"/>
          <w:sz w:val="20"/>
          <w:szCs w:val="20"/>
        </w:rPr>
        <w:t xml:space="preserve"> that</w:t>
      </w:r>
      <w:r w:rsidR="002056C8" w:rsidRPr="00D2222C">
        <w:rPr>
          <w:rFonts w:asciiTheme="majorHAnsi" w:hAnsiTheme="majorHAnsi" w:cs="Arial"/>
          <w:sz w:val="20"/>
          <w:szCs w:val="20"/>
        </w:rPr>
        <w:t>, in just a few weeks,</w:t>
      </w:r>
      <w:r w:rsidR="002E10DC" w:rsidRPr="00D2222C">
        <w:rPr>
          <w:rFonts w:asciiTheme="majorHAnsi" w:hAnsiTheme="majorHAnsi" w:cs="Arial"/>
          <w:sz w:val="20"/>
          <w:szCs w:val="20"/>
        </w:rPr>
        <w:t xml:space="preserve"> a serious and thorough investigation</w:t>
      </w:r>
      <w:r w:rsidR="001D59B1" w:rsidRPr="00D2222C">
        <w:rPr>
          <w:rFonts w:asciiTheme="majorHAnsi" w:hAnsiTheme="majorHAnsi" w:cs="Arial"/>
          <w:sz w:val="20"/>
          <w:szCs w:val="20"/>
        </w:rPr>
        <w:t xml:space="preserve"> could have been undertaken</w:t>
      </w:r>
      <w:r w:rsidR="002E10DC" w:rsidRPr="00D2222C">
        <w:rPr>
          <w:rFonts w:asciiTheme="majorHAnsi" w:hAnsiTheme="majorHAnsi" w:cs="Arial"/>
          <w:sz w:val="20"/>
          <w:szCs w:val="20"/>
        </w:rPr>
        <w:t>.</w:t>
      </w:r>
    </w:p>
    <w:p w14:paraId="2657BD81" w14:textId="77777777" w:rsidR="00536B9E" w:rsidRPr="00D2222C" w:rsidRDefault="00536B9E" w:rsidP="009E3847">
      <w:pPr>
        <w:pStyle w:val="ListParagraph"/>
        <w:tabs>
          <w:tab w:val="left" w:pos="720"/>
        </w:tabs>
        <w:rPr>
          <w:rFonts w:asciiTheme="majorHAnsi" w:hAnsiTheme="majorHAnsi"/>
          <w:bCs/>
          <w:sz w:val="20"/>
          <w:szCs w:val="20"/>
        </w:rPr>
      </w:pPr>
    </w:p>
    <w:p w14:paraId="0F0DC01A" w14:textId="77777777" w:rsidR="00095575" w:rsidRPr="00D2222C" w:rsidRDefault="00967ECF"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0" w:firstLine="0"/>
        <w:jc w:val="both"/>
        <w:rPr>
          <w:rFonts w:asciiTheme="majorHAnsi" w:hAnsiTheme="majorHAnsi" w:cs="Arial"/>
          <w:sz w:val="20"/>
          <w:szCs w:val="20"/>
        </w:rPr>
      </w:pPr>
      <w:r w:rsidRPr="00D2222C">
        <w:rPr>
          <w:rFonts w:asciiTheme="majorHAnsi" w:hAnsiTheme="majorHAnsi"/>
          <w:bCs/>
          <w:sz w:val="20"/>
          <w:szCs w:val="20"/>
        </w:rPr>
        <w:t xml:space="preserve">As previously established, </w:t>
      </w:r>
      <w:r w:rsidR="0002681D" w:rsidRPr="00D2222C">
        <w:rPr>
          <w:rFonts w:asciiTheme="majorHAnsi" w:hAnsiTheme="majorHAnsi"/>
          <w:bCs/>
          <w:sz w:val="20"/>
          <w:szCs w:val="20"/>
        </w:rPr>
        <w:t xml:space="preserve">in federal death penalty cases, </w:t>
      </w:r>
      <w:r w:rsidR="0002681D" w:rsidRPr="00D2222C">
        <w:rPr>
          <w:rFonts w:asciiTheme="majorHAnsi" w:hAnsiTheme="majorHAnsi"/>
          <w:sz w:val="20"/>
          <w:szCs w:val="20"/>
        </w:rPr>
        <w:t>m</w:t>
      </w:r>
      <w:r w:rsidR="00536B9E" w:rsidRPr="00D2222C">
        <w:rPr>
          <w:rFonts w:asciiTheme="majorHAnsi" w:hAnsiTheme="majorHAnsi"/>
          <w:sz w:val="20"/>
          <w:szCs w:val="20"/>
        </w:rPr>
        <w:t>itigating factors need only be proven by a preponderance of the evidence and each juror can make an individual decision as to which factors have been proven to his or her satisfaction.</w:t>
      </w:r>
      <w:r w:rsidR="0002681D" w:rsidRPr="00D2222C">
        <w:rPr>
          <w:rFonts w:asciiTheme="majorHAnsi" w:hAnsiTheme="majorHAnsi"/>
          <w:sz w:val="20"/>
          <w:szCs w:val="20"/>
        </w:rPr>
        <w:t xml:space="preserve"> Therefore, with only one mitigating factor</w:t>
      </w:r>
      <w:r w:rsidR="006B130C" w:rsidRPr="00D2222C">
        <w:rPr>
          <w:rFonts w:asciiTheme="majorHAnsi" w:hAnsiTheme="majorHAnsi"/>
          <w:sz w:val="20"/>
          <w:szCs w:val="20"/>
        </w:rPr>
        <w:t>,</w:t>
      </w:r>
      <w:r w:rsidR="0002681D" w:rsidRPr="00D2222C">
        <w:rPr>
          <w:rFonts w:asciiTheme="majorHAnsi" w:hAnsiTheme="majorHAnsi"/>
          <w:sz w:val="20"/>
          <w:szCs w:val="20"/>
        </w:rPr>
        <w:t xml:space="preserve"> a juror could have voted to spare Mr. Hall’s life. </w:t>
      </w:r>
      <w:r w:rsidR="002056C8" w:rsidRPr="00D2222C">
        <w:rPr>
          <w:rFonts w:asciiTheme="majorHAnsi" w:hAnsiTheme="majorHAnsi"/>
          <w:sz w:val="20"/>
          <w:szCs w:val="20"/>
        </w:rPr>
        <w:t xml:space="preserve">A timely, diligent and thorough mitigation investigation could </w:t>
      </w:r>
      <w:r w:rsidR="00F15799" w:rsidRPr="00D2222C">
        <w:rPr>
          <w:rFonts w:asciiTheme="majorHAnsi" w:hAnsiTheme="majorHAnsi"/>
          <w:sz w:val="20"/>
          <w:szCs w:val="20"/>
        </w:rPr>
        <w:t>thus</w:t>
      </w:r>
      <w:r w:rsidR="002056C8" w:rsidRPr="00D2222C">
        <w:rPr>
          <w:rFonts w:asciiTheme="majorHAnsi" w:hAnsiTheme="majorHAnsi"/>
          <w:sz w:val="20"/>
          <w:szCs w:val="20"/>
        </w:rPr>
        <w:t xml:space="preserve"> mean the difference between life and death. </w:t>
      </w:r>
      <w:r w:rsidR="0078595F" w:rsidRPr="00D2222C">
        <w:rPr>
          <w:rFonts w:ascii="Cambria" w:hAnsi="Cambria"/>
          <w:sz w:val="20"/>
        </w:rPr>
        <w:t xml:space="preserve">The IACHR </w:t>
      </w:r>
      <w:r w:rsidR="00FA7982" w:rsidRPr="00D2222C">
        <w:rPr>
          <w:rFonts w:ascii="Cambria" w:hAnsi="Cambria"/>
          <w:sz w:val="20"/>
        </w:rPr>
        <w:t>concludes that this failure to meet fundamental due process requirements in a capital trial</w:t>
      </w:r>
      <w:r w:rsidR="0078595F" w:rsidRPr="00D2222C">
        <w:rPr>
          <w:rFonts w:ascii="Cambria" w:hAnsi="Cambria"/>
          <w:sz w:val="20"/>
        </w:rPr>
        <w:t xml:space="preserve"> amounted to a violation of the right to a fair trial and </w:t>
      </w:r>
      <w:r w:rsidR="0021055A" w:rsidRPr="00D2222C">
        <w:rPr>
          <w:rFonts w:ascii="Cambria" w:hAnsi="Cambria"/>
          <w:sz w:val="20"/>
        </w:rPr>
        <w:t xml:space="preserve">to </w:t>
      </w:r>
      <w:r w:rsidR="0078595F" w:rsidRPr="00D2222C">
        <w:rPr>
          <w:rFonts w:ascii="Cambria" w:hAnsi="Cambria"/>
          <w:sz w:val="20"/>
        </w:rPr>
        <w:t>due process of law.</w:t>
      </w:r>
    </w:p>
    <w:p w14:paraId="1D8F6ECD" w14:textId="77777777" w:rsidR="00095575" w:rsidRPr="00D2222C" w:rsidRDefault="00095575" w:rsidP="009412E0">
      <w:pPr>
        <w:pStyle w:val="ListParagraph"/>
        <w:ind w:left="1440" w:hanging="720"/>
        <w:rPr>
          <w:rFonts w:asciiTheme="majorHAnsi" w:hAnsiTheme="majorHAnsi"/>
          <w:color w:val="auto"/>
          <w:sz w:val="20"/>
          <w:szCs w:val="20"/>
        </w:rPr>
      </w:pPr>
    </w:p>
    <w:p w14:paraId="229A81A5" w14:textId="77777777" w:rsidR="00095575" w:rsidRPr="00D2222C" w:rsidRDefault="008F4101" w:rsidP="009412E0">
      <w:pPr>
        <w:pStyle w:val="Heading3"/>
        <w:numPr>
          <w:ilvl w:val="0"/>
          <w:numId w:val="64"/>
        </w:numPr>
        <w:spacing w:before="0"/>
        <w:ind w:left="1440" w:hanging="720"/>
        <w:rPr>
          <w:rFonts w:cs="Arial"/>
          <w:color w:val="auto"/>
          <w:sz w:val="20"/>
          <w:szCs w:val="20"/>
        </w:rPr>
      </w:pPr>
      <w:bookmarkStart w:id="21" w:name="_Toc26550935"/>
      <w:r w:rsidRPr="00D2222C">
        <w:rPr>
          <w:color w:val="auto"/>
          <w:sz w:val="20"/>
          <w:szCs w:val="20"/>
        </w:rPr>
        <w:t>A</w:t>
      </w:r>
      <w:r w:rsidR="003E0852" w:rsidRPr="00D2222C">
        <w:rPr>
          <w:color w:val="auto"/>
          <w:sz w:val="20"/>
          <w:szCs w:val="20"/>
        </w:rPr>
        <w:t>ccess to effective remedies</w:t>
      </w:r>
      <w:bookmarkEnd w:id="21"/>
    </w:p>
    <w:p w14:paraId="1C6C623F" w14:textId="77777777" w:rsidR="00095575" w:rsidRPr="00D2222C" w:rsidRDefault="00095575" w:rsidP="009412E0">
      <w:pPr>
        <w:pStyle w:val="ListParagraph"/>
        <w:ind w:left="1440" w:hanging="720"/>
        <w:rPr>
          <w:rFonts w:asciiTheme="majorHAnsi" w:hAnsiTheme="majorHAnsi"/>
          <w:color w:val="auto"/>
          <w:sz w:val="20"/>
          <w:szCs w:val="20"/>
        </w:rPr>
      </w:pPr>
    </w:p>
    <w:p w14:paraId="0501D36C" w14:textId="77777777" w:rsidR="00095575" w:rsidRPr="00D2222C" w:rsidRDefault="00095575"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0" w:firstLine="0"/>
        <w:jc w:val="both"/>
        <w:rPr>
          <w:rFonts w:asciiTheme="majorHAnsi" w:hAnsiTheme="majorHAnsi" w:cs="Arial"/>
          <w:sz w:val="20"/>
          <w:szCs w:val="20"/>
        </w:rPr>
      </w:pPr>
      <w:r w:rsidRPr="00D2222C">
        <w:rPr>
          <w:rFonts w:ascii="Cambria" w:hAnsi="Cambria"/>
          <w:sz w:val="20"/>
        </w:rPr>
        <w:t>The right to appeal a sentence is a fundamental guarantee of due process for avoiding the consolidation of an injustice.  In that regard, the IACHR has stated that “due process guarantees should also be interpreted to include a right of effective review or appeal from a determination that the death penalty is an appropriate sentence in a given case.”</w:t>
      </w:r>
      <w:r w:rsidRPr="00D2222C">
        <w:rPr>
          <w:rStyle w:val="FootnoteReference"/>
          <w:rFonts w:ascii="Cambria" w:hAnsi="Cambria"/>
          <w:sz w:val="20"/>
        </w:rPr>
        <w:footnoteReference w:id="64"/>
      </w:r>
      <w:r w:rsidRPr="00D2222C">
        <w:rPr>
          <w:rFonts w:ascii="Cambria" w:hAnsi="Cambria"/>
          <w:sz w:val="20"/>
        </w:rPr>
        <w:t xml:space="preserve"> </w:t>
      </w:r>
    </w:p>
    <w:p w14:paraId="3218831E" w14:textId="77777777" w:rsidR="00095575" w:rsidRPr="00D2222C" w:rsidRDefault="00095575" w:rsidP="009E3847">
      <w:pPr>
        <w:pStyle w:val="ListParagraph"/>
        <w:tabs>
          <w:tab w:val="left" w:pos="720"/>
        </w:tabs>
        <w:rPr>
          <w:sz w:val="20"/>
        </w:rPr>
      </w:pPr>
    </w:p>
    <w:p w14:paraId="716AE82B" w14:textId="77777777" w:rsidR="00095575" w:rsidRPr="00D2222C" w:rsidRDefault="00095575"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0" w:firstLine="0"/>
        <w:jc w:val="both"/>
        <w:rPr>
          <w:rFonts w:asciiTheme="majorHAnsi" w:hAnsiTheme="majorHAnsi" w:cs="Arial"/>
          <w:sz w:val="20"/>
          <w:szCs w:val="20"/>
        </w:rPr>
      </w:pPr>
      <w:r w:rsidRPr="00D2222C">
        <w:rPr>
          <w:rFonts w:ascii="Cambria" w:hAnsi="Cambria"/>
          <w:sz w:val="20"/>
        </w:rPr>
        <w:t>According to the standards developed by the Inter-American human rights system, a remedy must be effective, i.e., it must provide results or responses consistent with the objectives that it was intended to serve, which is to avoid the consolidation of an unjust situation.</w:t>
      </w:r>
      <w:r w:rsidRPr="00D2222C">
        <w:rPr>
          <w:rStyle w:val="FootnoteReference"/>
          <w:rFonts w:ascii="Cambria" w:hAnsi="Cambria"/>
          <w:sz w:val="20"/>
        </w:rPr>
        <w:footnoteReference w:id="65"/>
      </w:r>
      <w:r w:rsidR="00C070BA" w:rsidRPr="00D2222C">
        <w:rPr>
          <w:rFonts w:ascii="Cambria" w:hAnsi="Cambria"/>
          <w:sz w:val="20"/>
        </w:rPr>
        <w:t xml:space="preserve"> </w:t>
      </w:r>
      <w:r w:rsidRPr="00D2222C">
        <w:rPr>
          <w:rFonts w:ascii="Cambria" w:hAnsi="Cambria"/>
          <w:sz w:val="20"/>
        </w:rPr>
        <w:t>The efficacy of a remedy is closely linked to the scope of the review. Judicial error is not confined to the application of the law, but may occur in other aspects of the process such as the determination of the facts or the weighing of evidence.</w:t>
      </w:r>
      <w:r w:rsidRPr="00D2222C">
        <w:rPr>
          <w:rStyle w:val="FootnoteReference"/>
          <w:rFonts w:ascii="Cambria" w:hAnsi="Cambria"/>
          <w:sz w:val="20"/>
        </w:rPr>
        <w:footnoteReference w:id="66"/>
      </w:r>
      <w:r w:rsidRPr="00D2222C">
        <w:rPr>
          <w:rFonts w:ascii="Cambria" w:hAnsi="Cambria"/>
          <w:sz w:val="20"/>
        </w:rPr>
        <w:t xml:space="preserve"> Hence, the remedy of appeal will be effective in accomplishing the purpose for which it was conceived if it makes a review of such issues possible without </w:t>
      </w:r>
      <w:r w:rsidRPr="00D2222C">
        <w:rPr>
          <w:rFonts w:ascii="Cambria" w:hAnsi="Cambria"/>
          <w:i/>
          <w:sz w:val="20"/>
        </w:rPr>
        <w:t>a priori</w:t>
      </w:r>
      <w:r w:rsidRPr="00D2222C">
        <w:rPr>
          <w:rFonts w:ascii="Cambria" w:hAnsi="Cambria"/>
          <w:sz w:val="20"/>
        </w:rPr>
        <w:t xml:space="preserve"> limiting that review to certain aspects of the court proceedings.</w:t>
      </w:r>
      <w:r w:rsidRPr="00D2222C">
        <w:rPr>
          <w:rStyle w:val="FootnoteReference"/>
          <w:rFonts w:ascii="Cambria" w:hAnsi="Cambria"/>
          <w:sz w:val="20"/>
        </w:rPr>
        <w:footnoteReference w:id="67"/>
      </w:r>
    </w:p>
    <w:p w14:paraId="2D59A465" w14:textId="77777777" w:rsidR="00095575" w:rsidRDefault="00095575" w:rsidP="00261687">
      <w:pPr>
        <w:tabs>
          <w:tab w:val="left" w:pos="720"/>
        </w:tabs>
        <w:rPr>
          <w:sz w:val="20"/>
        </w:rPr>
      </w:pPr>
    </w:p>
    <w:p w14:paraId="63048A62" w14:textId="77777777" w:rsidR="00261687" w:rsidRPr="00261687" w:rsidRDefault="00261687" w:rsidP="00261687">
      <w:pPr>
        <w:tabs>
          <w:tab w:val="left" w:pos="720"/>
        </w:tabs>
        <w:rPr>
          <w:sz w:val="20"/>
        </w:rPr>
      </w:pPr>
    </w:p>
    <w:p w14:paraId="403DCDAF" w14:textId="77777777" w:rsidR="00095575" w:rsidRPr="00D2222C" w:rsidRDefault="00095575"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0" w:firstLine="0"/>
        <w:jc w:val="both"/>
        <w:rPr>
          <w:rFonts w:asciiTheme="majorHAnsi" w:hAnsiTheme="majorHAnsi" w:cs="Arial"/>
          <w:sz w:val="20"/>
          <w:szCs w:val="20"/>
        </w:rPr>
      </w:pPr>
      <w:r w:rsidRPr="00D2222C">
        <w:rPr>
          <w:rFonts w:ascii="Cambria" w:hAnsi="Cambria"/>
          <w:sz w:val="20"/>
        </w:rPr>
        <w:t>In this respect, the IACHR has considered that:</w:t>
      </w:r>
    </w:p>
    <w:p w14:paraId="1E0884A0" w14:textId="77777777" w:rsidR="00095575" w:rsidRPr="00D2222C" w:rsidRDefault="00095575" w:rsidP="00095575">
      <w:pPr>
        <w:pStyle w:val="ListParagraph"/>
        <w:rPr>
          <w:sz w:val="20"/>
        </w:rPr>
      </w:pPr>
    </w:p>
    <w:p w14:paraId="47D49DA1" w14:textId="77777777" w:rsidR="00095575" w:rsidRPr="00D2222C" w:rsidRDefault="00095575" w:rsidP="00095575">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Theme="majorHAnsi" w:hAnsiTheme="majorHAnsi" w:cs="Arial"/>
          <w:sz w:val="20"/>
          <w:szCs w:val="20"/>
        </w:rPr>
      </w:pPr>
      <w:r w:rsidRPr="00D2222C">
        <w:rPr>
          <w:rFonts w:ascii="Cambria" w:hAnsi="Cambria"/>
          <w:sz w:val="20"/>
        </w:rPr>
        <w:t xml:space="preserve">to guarantee the full right of defense, this remedy should include a material review of the interpretation of procedural rules that may have influenced the decision in the case when there has been an incurable nullity or where the right to defense was rendered ineffective, and also with respect to the interpretation of the rules on the weighing of evidence, whenever they have led to an erroneous application or non-application of those rules. </w:t>
      </w:r>
      <w:r w:rsidRPr="00D2222C">
        <w:rPr>
          <w:rStyle w:val="FootnoteReference"/>
          <w:rFonts w:ascii="Cambria" w:hAnsi="Cambria"/>
          <w:sz w:val="20"/>
        </w:rPr>
        <w:footnoteReference w:id="68"/>
      </w:r>
    </w:p>
    <w:p w14:paraId="42B00979" w14:textId="77777777" w:rsidR="00095575" w:rsidRPr="00D2222C" w:rsidRDefault="00095575" w:rsidP="00095575">
      <w:pPr>
        <w:pStyle w:val="ListParagraph"/>
        <w:rPr>
          <w:sz w:val="20"/>
        </w:rPr>
      </w:pPr>
    </w:p>
    <w:p w14:paraId="76683494" w14:textId="77777777" w:rsidR="009047EE" w:rsidRPr="00D2222C" w:rsidRDefault="00095575"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0" w:firstLine="0"/>
        <w:jc w:val="both"/>
        <w:rPr>
          <w:rFonts w:asciiTheme="majorHAnsi" w:hAnsiTheme="majorHAnsi" w:cs="Arial"/>
          <w:sz w:val="20"/>
          <w:szCs w:val="20"/>
        </w:rPr>
      </w:pPr>
      <w:r w:rsidRPr="00D2222C">
        <w:rPr>
          <w:rFonts w:ascii="Cambria" w:hAnsi="Cambria"/>
          <w:sz w:val="20"/>
        </w:rPr>
        <w:t>With respect to the accessibility</w:t>
      </w:r>
      <w:r w:rsidRPr="00D2222C">
        <w:rPr>
          <w:rFonts w:ascii="Cambria" w:hAnsi="Cambria"/>
          <w:i/>
          <w:sz w:val="20"/>
        </w:rPr>
        <w:t xml:space="preserve"> </w:t>
      </w:r>
      <w:r w:rsidRPr="00D2222C">
        <w:rPr>
          <w:rFonts w:ascii="Cambria" w:hAnsi="Cambria"/>
          <w:sz w:val="20"/>
        </w:rPr>
        <w:t>of the remedy, the Commission has considered that, in principle, the regulation of some minimum requirements for the presentation of the appeal is not incompatible with the right to appeal.  Some of these requirements are, for example, the presentation of the appeal itself or the regulation of a reasonable period within which it must be filed.</w:t>
      </w:r>
      <w:r w:rsidRPr="00D2222C">
        <w:rPr>
          <w:rStyle w:val="FootnoteReference"/>
          <w:rFonts w:ascii="Cambria" w:hAnsi="Cambria"/>
          <w:sz w:val="20"/>
        </w:rPr>
        <w:footnoteReference w:id="69"/>
      </w:r>
      <w:r w:rsidRPr="00D2222C">
        <w:rPr>
          <w:rFonts w:ascii="Cambria" w:hAnsi="Cambria"/>
          <w:sz w:val="20"/>
        </w:rPr>
        <w:t xml:space="preserve">  However, in some circumstances, rejection of appeals based on failure to comply with formal requirements established by statute or defined in judicial practice may be a violation of the right to appeal a judgment.</w:t>
      </w:r>
      <w:r w:rsidRPr="00D2222C">
        <w:rPr>
          <w:rStyle w:val="FootnoteReference"/>
          <w:rFonts w:ascii="Cambria" w:hAnsi="Cambria"/>
          <w:sz w:val="20"/>
        </w:rPr>
        <w:footnoteReference w:id="70"/>
      </w:r>
    </w:p>
    <w:p w14:paraId="16B618DD" w14:textId="77777777" w:rsidR="009047EE" w:rsidRPr="00D2222C" w:rsidRDefault="009047EE" w:rsidP="009E384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720"/>
        <w:jc w:val="both"/>
        <w:rPr>
          <w:rFonts w:asciiTheme="majorHAnsi" w:hAnsiTheme="majorHAnsi" w:cs="Arial"/>
          <w:sz w:val="20"/>
          <w:szCs w:val="20"/>
        </w:rPr>
      </w:pPr>
    </w:p>
    <w:p w14:paraId="62E49CF1" w14:textId="77777777" w:rsidR="00E62965" w:rsidRPr="00D2222C" w:rsidRDefault="00F36D40"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0" w:firstLine="0"/>
        <w:jc w:val="both"/>
        <w:rPr>
          <w:rStyle w:val="apple-style-span"/>
          <w:rFonts w:asciiTheme="majorHAnsi" w:hAnsiTheme="majorHAnsi" w:cs="Arial"/>
          <w:sz w:val="20"/>
          <w:szCs w:val="20"/>
        </w:rPr>
      </w:pPr>
      <w:r w:rsidRPr="00D2222C">
        <w:rPr>
          <w:rStyle w:val="apple-style-span"/>
          <w:rFonts w:asciiTheme="majorHAnsi" w:hAnsiTheme="majorHAnsi" w:cs="Arial"/>
          <w:sz w:val="20"/>
          <w:szCs w:val="20"/>
        </w:rPr>
        <w:t xml:space="preserve">As established in the findings of fact, in September 2002 Mr. Hall filed an amended version of </w:t>
      </w:r>
      <w:r w:rsidR="00702565" w:rsidRPr="00D2222C">
        <w:rPr>
          <w:rStyle w:val="apple-style-span"/>
          <w:rFonts w:asciiTheme="majorHAnsi" w:hAnsiTheme="majorHAnsi" w:cs="Arial"/>
          <w:sz w:val="20"/>
          <w:szCs w:val="20"/>
        </w:rPr>
        <w:t xml:space="preserve">his </w:t>
      </w:r>
      <w:r w:rsidRPr="00D2222C">
        <w:rPr>
          <w:rStyle w:val="apple-style-span"/>
          <w:rFonts w:asciiTheme="majorHAnsi" w:hAnsiTheme="majorHAnsi" w:cs="Arial"/>
          <w:sz w:val="20"/>
          <w:szCs w:val="20"/>
        </w:rPr>
        <w:t xml:space="preserve">motion to vacate, raising twelve claims for relief from his conviction and sentence. </w:t>
      </w:r>
      <w:r w:rsidR="006D0424" w:rsidRPr="00D2222C">
        <w:rPr>
          <w:rStyle w:val="apple-style-span"/>
          <w:rFonts w:asciiTheme="majorHAnsi" w:hAnsiTheme="majorHAnsi" w:cs="Arial"/>
          <w:sz w:val="20"/>
          <w:szCs w:val="20"/>
        </w:rPr>
        <w:t xml:space="preserve">The district court found that six claims </w:t>
      </w:r>
      <w:r w:rsidR="00E62965" w:rsidRPr="00D2222C">
        <w:rPr>
          <w:rStyle w:val="apple-style-span"/>
          <w:rFonts w:asciiTheme="majorHAnsi" w:hAnsiTheme="majorHAnsi" w:cs="Arial"/>
          <w:sz w:val="20"/>
          <w:szCs w:val="20"/>
        </w:rPr>
        <w:t xml:space="preserve">had </w:t>
      </w:r>
      <w:r w:rsidR="006D0424" w:rsidRPr="00D2222C">
        <w:rPr>
          <w:rStyle w:val="apple-style-span"/>
          <w:rFonts w:asciiTheme="majorHAnsi" w:hAnsiTheme="majorHAnsi" w:cs="Arial"/>
          <w:sz w:val="20"/>
          <w:szCs w:val="20"/>
        </w:rPr>
        <w:t xml:space="preserve">not </w:t>
      </w:r>
      <w:r w:rsidR="00E62965" w:rsidRPr="00D2222C">
        <w:rPr>
          <w:rStyle w:val="apple-style-span"/>
          <w:rFonts w:asciiTheme="majorHAnsi" w:hAnsiTheme="majorHAnsi" w:cs="Arial"/>
          <w:sz w:val="20"/>
          <w:szCs w:val="20"/>
        </w:rPr>
        <w:t>been</w:t>
      </w:r>
      <w:r w:rsidR="006D0424" w:rsidRPr="00D2222C">
        <w:rPr>
          <w:rStyle w:val="apple-style-span"/>
          <w:rFonts w:asciiTheme="majorHAnsi" w:hAnsiTheme="majorHAnsi" w:cs="Arial"/>
          <w:sz w:val="20"/>
          <w:szCs w:val="20"/>
        </w:rPr>
        <w:t xml:space="preserve"> raised on direct appeal and were not based on new facts. However, it decided to address them as Mr. Hall </w:t>
      </w:r>
      <w:r w:rsidR="00E62965" w:rsidRPr="00D2222C">
        <w:rPr>
          <w:rStyle w:val="apple-style-span"/>
          <w:rFonts w:asciiTheme="majorHAnsi" w:hAnsiTheme="majorHAnsi" w:cs="Arial"/>
          <w:sz w:val="20"/>
          <w:szCs w:val="20"/>
        </w:rPr>
        <w:t xml:space="preserve">had </w:t>
      </w:r>
      <w:r w:rsidR="006D0424" w:rsidRPr="00D2222C">
        <w:rPr>
          <w:rStyle w:val="apple-style-span"/>
          <w:rFonts w:asciiTheme="majorHAnsi" w:hAnsiTheme="majorHAnsi" w:cs="Arial"/>
          <w:sz w:val="20"/>
          <w:szCs w:val="20"/>
        </w:rPr>
        <w:t xml:space="preserve">alleged ineffective assistance of appellate counsel. The IACHR </w:t>
      </w:r>
      <w:r w:rsidR="00E62965" w:rsidRPr="00D2222C">
        <w:rPr>
          <w:rStyle w:val="apple-style-span"/>
          <w:rFonts w:asciiTheme="majorHAnsi" w:hAnsiTheme="majorHAnsi" w:cs="Arial"/>
          <w:sz w:val="20"/>
          <w:szCs w:val="20"/>
        </w:rPr>
        <w:t xml:space="preserve">recognizes that the court’s decision </w:t>
      </w:r>
      <w:r w:rsidR="002F5E45" w:rsidRPr="00D2222C">
        <w:rPr>
          <w:rStyle w:val="apple-style-span"/>
          <w:rFonts w:asciiTheme="majorHAnsi" w:hAnsiTheme="majorHAnsi" w:cs="Arial"/>
          <w:sz w:val="20"/>
          <w:szCs w:val="20"/>
        </w:rPr>
        <w:t xml:space="preserve">not to apply procedural restrictions in post-conviction </w:t>
      </w:r>
      <w:r w:rsidR="003D0D3E" w:rsidRPr="00D2222C">
        <w:rPr>
          <w:rStyle w:val="apple-style-span"/>
          <w:rFonts w:asciiTheme="majorHAnsi" w:hAnsiTheme="majorHAnsi" w:cs="Arial"/>
          <w:sz w:val="20"/>
          <w:szCs w:val="20"/>
        </w:rPr>
        <w:t>review</w:t>
      </w:r>
      <w:r w:rsidR="00E62965" w:rsidRPr="00D2222C">
        <w:rPr>
          <w:rStyle w:val="apple-style-span"/>
          <w:rFonts w:asciiTheme="majorHAnsi" w:hAnsiTheme="majorHAnsi" w:cs="Arial"/>
          <w:sz w:val="20"/>
          <w:szCs w:val="20"/>
        </w:rPr>
        <w:t xml:space="preserve"> is consistent with </w:t>
      </w:r>
      <w:r w:rsidR="002F5E45" w:rsidRPr="00D2222C">
        <w:rPr>
          <w:rStyle w:val="apple-style-span"/>
          <w:rFonts w:asciiTheme="majorHAnsi" w:hAnsiTheme="majorHAnsi" w:cs="Arial"/>
          <w:sz w:val="20"/>
          <w:szCs w:val="20"/>
        </w:rPr>
        <w:t xml:space="preserve">the inter-American human rights standards cited above. </w:t>
      </w:r>
    </w:p>
    <w:p w14:paraId="7765AE67" w14:textId="77777777" w:rsidR="00A978E7" w:rsidRPr="00D2222C" w:rsidRDefault="00A978E7" w:rsidP="009E384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720"/>
        <w:jc w:val="both"/>
        <w:rPr>
          <w:rStyle w:val="apple-style-span"/>
          <w:rFonts w:asciiTheme="majorHAnsi" w:hAnsiTheme="majorHAnsi" w:cs="Arial"/>
          <w:sz w:val="20"/>
          <w:szCs w:val="20"/>
        </w:rPr>
      </w:pPr>
    </w:p>
    <w:p w14:paraId="12E091FE" w14:textId="77777777" w:rsidR="009D2342" w:rsidRPr="00D2222C" w:rsidRDefault="00A978E7"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0" w:firstLine="0"/>
        <w:jc w:val="both"/>
        <w:rPr>
          <w:rStyle w:val="apple-style-span"/>
          <w:rFonts w:asciiTheme="majorHAnsi" w:hAnsiTheme="majorHAnsi" w:cs="Arial"/>
          <w:sz w:val="20"/>
          <w:szCs w:val="20"/>
        </w:rPr>
      </w:pPr>
      <w:r w:rsidRPr="00D2222C">
        <w:rPr>
          <w:rStyle w:val="apple-style-span"/>
          <w:rFonts w:asciiTheme="majorHAnsi" w:hAnsiTheme="majorHAnsi" w:cs="Arial"/>
          <w:sz w:val="20"/>
          <w:szCs w:val="20"/>
        </w:rPr>
        <w:t>The Commission notes</w:t>
      </w:r>
      <w:r w:rsidR="008F4101" w:rsidRPr="00D2222C">
        <w:rPr>
          <w:rStyle w:val="apple-style-span"/>
          <w:rFonts w:asciiTheme="majorHAnsi" w:hAnsiTheme="majorHAnsi" w:cs="Arial"/>
          <w:sz w:val="20"/>
          <w:szCs w:val="20"/>
        </w:rPr>
        <w:t>, however,</w:t>
      </w:r>
      <w:r w:rsidRPr="00D2222C">
        <w:rPr>
          <w:rStyle w:val="apple-style-span"/>
          <w:rFonts w:asciiTheme="majorHAnsi" w:hAnsiTheme="majorHAnsi" w:cs="Arial"/>
          <w:sz w:val="20"/>
          <w:szCs w:val="20"/>
        </w:rPr>
        <w:t xml:space="preserve"> that </w:t>
      </w:r>
      <w:r w:rsidR="003D0D3E" w:rsidRPr="00D2222C">
        <w:rPr>
          <w:rStyle w:val="apple-style-span"/>
          <w:rFonts w:asciiTheme="majorHAnsi" w:hAnsiTheme="majorHAnsi" w:cs="Arial"/>
          <w:sz w:val="20"/>
          <w:szCs w:val="20"/>
        </w:rPr>
        <w:t xml:space="preserve">the court conducted an evidentiary hearing limited to only one of the twelve claims. </w:t>
      </w:r>
      <w:r w:rsidR="00EB24D7" w:rsidRPr="00D2222C">
        <w:rPr>
          <w:rStyle w:val="apple-style-span"/>
          <w:rFonts w:asciiTheme="majorHAnsi" w:hAnsiTheme="majorHAnsi" w:cs="Arial"/>
          <w:sz w:val="20"/>
          <w:szCs w:val="20"/>
        </w:rPr>
        <w:t>The Fifth Circuit Court of Appeals in the decision denying the application for a COA established, with regard to the denial of an evidentiary hearing to address the ineffective assistance of counsel claim, that Mr. Hall’s “expert declarations failed to create a contested fact issue about the objective reasonableness of his trial counsel’s mitigation investigation.”</w:t>
      </w:r>
    </w:p>
    <w:p w14:paraId="4C4D7864" w14:textId="77777777" w:rsidR="009D2342" w:rsidRPr="00D2222C" w:rsidRDefault="009D2342" w:rsidP="009E3847">
      <w:pPr>
        <w:pStyle w:val="ListParagraph"/>
        <w:tabs>
          <w:tab w:val="left" w:pos="720"/>
        </w:tabs>
        <w:rPr>
          <w:rStyle w:val="apple-style-span"/>
          <w:rFonts w:asciiTheme="majorHAnsi" w:hAnsiTheme="majorHAnsi" w:cs="Arial"/>
          <w:sz w:val="20"/>
          <w:szCs w:val="20"/>
        </w:rPr>
      </w:pPr>
    </w:p>
    <w:p w14:paraId="53107A3B" w14:textId="77777777" w:rsidR="008F4101" w:rsidRPr="00D2222C" w:rsidRDefault="00495CD7"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0" w:firstLine="0"/>
        <w:jc w:val="both"/>
        <w:rPr>
          <w:rFonts w:asciiTheme="majorHAnsi" w:hAnsiTheme="majorHAnsi" w:cs="Arial"/>
          <w:sz w:val="20"/>
          <w:szCs w:val="20"/>
        </w:rPr>
      </w:pPr>
      <w:r w:rsidRPr="00D2222C">
        <w:rPr>
          <w:rStyle w:val="apple-style-span"/>
          <w:rFonts w:asciiTheme="majorHAnsi" w:hAnsiTheme="majorHAnsi" w:cs="Arial"/>
          <w:sz w:val="20"/>
          <w:szCs w:val="20"/>
        </w:rPr>
        <w:t xml:space="preserve">The Commission </w:t>
      </w:r>
      <w:r w:rsidR="009A03E7" w:rsidRPr="00D2222C">
        <w:rPr>
          <w:rStyle w:val="apple-style-span"/>
          <w:rFonts w:asciiTheme="majorHAnsi" w:hAnsiTheme="majorHAnsi" w:cs="Arial"/>
          <w:sz w:val="20"/>
          <w:szCs w:val="20"/>
        </w:rPr>
        <w:t>has</w:t>
      </w:r>
      <w:r w:rsidR="008F4101" w:rsidRPr="00D2222C">
        <w:rPr>
          <w:rStyle w:val="apple-style-span"/>
          <w:rFonts w:asciiTheme="majorHAnsi" w:hAnsiTheme="majorHAnsi" w:cs="Arial"/>
          <w:sz w:val="20"/>
          <w:szCs w:val="20"/>
        </w:rPr>
        <w:t xml:space="preserve"> already</w:t>
      </w:r>
      <w:r w:rsidRPr="00D2222C">
        <w:rPr>
          <w:rStyle w:val="apple-style-span"/>
          <w:rFonts w:asciiTheme="majorHAnsi" w:hAnsiTheme="majorHAnsi" w:cs="Arial"/>
          <w:sz w:val="20"/>
          <w:szCs w:val="20"/>
        </w:rPr>
        <w:t xml:space="preserve"> determined that the right of Mr. Hall to effective assistance of court-appointed counsel has been violated. </w:t>
      </w:r>
      <w:r w:rsidR="00010A7E" w:rsidRPr="00D2222C">
        <w:rPr>
          <w:rStyle w:val="apple-style-span"/>
          <w:rFonts w:asciiTheme="majorHAnsi" w:hAnsiTheme="majorHAnsi" w:cs="Arial"/>
          <w:sz w:val="20"/>
          <w:szCs w:val="20"/>
        </w:rPr>
        <w:t>Therefore, the IACHR finds that</w:t>
      </w:r>
      <w:r w:rsidR="008C606A" w:rsidRPr="00D2222C">
        <w:rPr>
          <w:rStyle w:val="apple-style-span"/>
          <w:rFonts w:asciiTheme="majorHAnsi" w:hAnsiTheme="majorHAnsi" w:cs="Arial"/>
          <w:sz w:val="20"/>
          <w:szCs w:val="20"/>
        </w:rPr>
        <w:t xml:space="preserve">, given the </w:t>
      </w:r>
      <w:r w:rsidR="009A03E7" w:rsidRPr="00D2222C">
        <w:rPr>
          <w:rStyle w:val="apple-style-span"/>
          <w:rFonts w:asciiTheme="majorHAnsi" w:hAnsiTheme="majorHAnsi" w:cs="Arial"/>
          <w:sz w:val="20"/>
          <w:szCs w:val="20"/>
        </w:rPr>
        <w:t>specific interests</w:t>
      </w:r>
      <w:r w:rsidR="008C606A" w:rsidRPr="00D2222C">
        <w:rPr>
          <w:rStyle w:val="apple-style-span"/>
          <w:rFonts w:asciiTheme="majorHAnsi" w:hAnsiTheme="majorHAnsi" w:cs="Arial"/>
          <w:sz w:val="20"/>
          <w:szCs w:val="20"/>
        </w:rPr>
        <w:t xml:space="preserve"> at stake,</w:t>
      </w:r>
      <w:r w:rsidR="00010A7E" w:rsidRPr="00D2222C">
        <w:rPr>
          <w:rStyle w:val="apple-style-span"/>
          <w:rFonts w:asciiTheme="majorHAnsi" w:hAnsiTheme="majorHAnsi" w:cs="Arial"/>
          <w:sz w:val="20"/>
          <w:szCs w:val="20"/>
        </w:rPr>
        <w:t xml:space="preserve"> the </w:t>
      </w:r>
      <w:r w:rsidR="008C606A" w:rsidRPr="00D2222C">
        <w:rPr>
          <w:rStyle w:val="apple-style-span"/>
          <w:rFonts w:asciiTheme="majorHAnsi" w:hAnsiTheme="majorHAnsi" w:cs="Arial"/>
          <w:sz w:val="20"/>
          <w:szCs w:val="20"/>
        </w:rPr>
        <w:t xml:space="preserve">lack of access to an evidentiary </w:t>
      </w:r>
      <w:r w:rsidR="009A03E7" w:rsidRPr="00D2222C">
        <w:rPr>
          <w:rStyle w:val="apple-style-span"/>
          <w:rFonts w:asciiTheme="majorHAnsi" w:hAnsiTheme="majorHAnsi" w:cs="Arial"/>
          <w:sz w:val="20"/>
          <w:szCs w:val="20"/>
        </w:rPr>
        <w:t>hearing to</w:t>
      </w:r>
      <w:r w:rsidR="008C606A" w:rsidRPr="00D2222C">
        <w:rPr>
          <w:rStyle w:val="apple-style-span"/>
          <w:rFonts w:asciiTheme="majorHAnsi" w:hAnsiTheme="majorHAnsi" w:cs="Arial"/>
          <w:sz w:val="20"/>
          <w:szCs w:val="20"/>
        </w:rPr>
        <w:t xml:space="preserve"> address this claim </w:t>
      </w:r>
      <w:r w:rsidR="009A03E7" w:rsidRPr="00D2222C">
        <w:rPr>
          <w:rStyle w:val="apple-style-span"/>
          <w:rFonts w:asciiTheme="majorHAnsi" w:hAnsiTheme="majorHAnsi" w:cs="Arial"/>
          <w:sz w:val="20"/>
          <w:szCs w:val="20"/>
        </w:rPr>
        <w:t>in post-conviction review constitutes a violation of Mr. Hall’s right to an</w:t>
      </w:r>
      <w:r w:rsidR="00010A7E" w:rsidRPr="00D2222C">
        <w:rPr>
          <w:rStyle w:val="apple-style-span"/>
          <w:rFonts w:asciiTheme="majorHAnsi" w:hAnsiTheme="majorHAnsi" w:cs="Arial"/>
          <w:sz w:val="20"/>
          <w:szCs w:val="20"/>
        </w:rPr>
        <w:t xml:space="preserve"> effective </w:t>
      </w:r>
      <w:r w:rsidR="009A03E7" w:rsidRPr="00D2222C">
        <w:rPr>
          <w:rStyle w:val="apple-style-span"/>
          <w:rFonts w:asciiTheme="majorHAnsi" w:hAnsiTheme="majorHAnsi" w:cs="Arial"/>
          <w:sz w:val="20"/>
          <w:szCs w:val="20"/>
        </w:rPr>
        <w:t>remedy.</w:t>
      </w:r>
      <w:r w:rsidR="00010A7E" w:rsidRPr="00D2222C">
        <w:rPr>
          <w:rStyle w:val="apple-style-span"/>
          <w:rFonts w:asciiTheme="majorHAnsi" w:hAnsiTheme="majorHAnsi" w:cs="Arial"/>
          <w:sz w:val="20"/>
          <w:szCs w:val="20"/>
        </w:rPr>
        <w:t xml:space="preserve"> </w:t>
      </w:r>
      <w:r w:rsidR="008F4101" w:rsidRPr="00D2222C">
        <w:rPr>
          <w:rStyle w:val="apple-style-span"/>
          <w:rFonts w:asciiTheme="majorHAnsi" w:hAnsiTheme="majorHAnsi" w:cs="Arial"/>
          <w:sz w:val="20"/>
          <w:szCs w:val="20"/>
        </w:rPr>
        <w:t xml:space="preserve">The Commission underscores in this regard that </w:t>
      </w:r>
      <w:r w:rsidR="008F4101" w:rsidRPr="00D2222C">
        <w:rPr>
          <w:rFonts w:ascii="Cambria" w:hAnsi="Cambria"/>
          <w:sz w:val="20"/>
        </w:rPr>
        <w:t>States have an enhanced obligation to ensure that any deprivation of life which may occur through the application of the death penalty is in strict compliance with the right to a timely, effective and accessible remedy.</w:t>
      </w:r>
      <w:r w:rsidR="008F4101" w:rsidRPr="00D2222C">
        <w:rPr>
          <w:rStyle w:val="FootnoteReference"/>
          <w:rFonts w:ascii="Cambria" w:hAnsi="Cambria"/>
          <w:sz w:val="20"/>
        </w:rPr>
        <w:footnoteReference w:id="71"/>
      </w:r>
    </w:p>
    <w:p w14:paraId="3A2E0479" w14:textId="77777777" w:rsidR="008B2DA9" w:rsidRPr="00D2222C" w:rsidRDefault="008B2DA9" w:rsidP="009412E0">
      <w:pPr>
        <w:ind w:left="1440" w:hanging="720"/>
        <w:rPr>
          <w:rStyle w:val="apple-style-span"/>
          <w:rFonts w:asciiTheme="majorHAnsi" w:hAnsiTheme="majorHAnsi" w:cs="Arial"/>
          <w:sz w:val="20"/>
          <w:szCs w:val="20"/>
        </w:rPr>
      </w:pPr>
    </w:p>
    <w:p w14:paraId="126E6409" w14:textId="77777777" w:rsidR="00E0740A" w:rsidRPr="00D2222C" w:rsidRDefault="008F4101" w:rsidP="009412E0">
      <w:pPr>
        <w:pStyle w:val="Heading3"/>
        <w:numPr>
          <w:ilvl w:val="0"/>
          <w:numId w:val="64"/>
        </w:numPr>
        <w:spacing w:before="0"/>
        <w:ind w:left="1440" w:hanging="720"/>
        <w:rPr>
          <w:color w:val="auto"/>
          <w:sz w:val="20"/>
          <w:szCs w:val="20"/>
        </w:rPr>
      </w:pPr>
      <w:bookmarkStart w:id="22" w:name="_Toc26550936"/>
      <w:r w:rsidRPr="00D2222C">
        <w:rPr>
          <w:color w:val="auto"/>
          <w:sz w:val="20"/>
          <w:szCs w:val="20"/>
        </w:rPr>
        <w:t>T</w:t>
      </w:r>
      <w:r w:rsidR="00E0740A" w:rsidRPr="00D2222C">
        <w:rPr>
          <w:color w:val="auto"/>
          <w:sz w:val="20"/>
          <w:szCs w:val="20"/>
        </w:rPr>
        <w:t xml:space="preserve">he </w:t>
      </w:r>
      <w:r w:rsidR="0094199B" w:rsidRPr="00D2222C">
        <w:rPr>
          <w:color w:val="auto"/>
          <w:sz w:val="20"/>
          <w:szCs w:val="20"/>
        </w:rPr>
        <w:t xml:space="preserve">executive </w:t>
      </w:r>
      <w:r w:rsidR="00E0740A" w:rsidRPr="00D2222C">
        <w:rPr>
          <w:color w:val="auto"/>
          <w:sz w:val="20"/>
          <w:szCs w:val="20"/>
        </w:rPr>
        <w:t>clemency process</w:t>
      </w:r>
      <w:bookmarkEnd w:id="22"/>
    </w:p>
    <w:p w14:paraId="30006B16" w14:textId="77777777" w:rsidR="00E0740A" w:rsidRPr="00D2222C" w:rsidRDefault="00E0740A" w:rsidP="009412E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440" w:hanging="720"/>
        <w:rPr>
          <w:rFonts w:asciiTheme="majorHAnsi" w:hAnsiTheme="majorHAnsi"/>
          <w:b/>
          <w:bCs/>
          <w:color w:val="auto"/>
          <w:sz w:val="20"/>
          <w:szCs w:val="20"/>
        </w:rPr>
      </w:pPr>
    </w:p>
    <w:p w14:paraId="1B18FF37" w14:textId="77777777" w:rsidR="005D6A03" w:rsidRPr="00D2222C" w:rsidRDefault="00297288" w:rsidP="009E3847">
      <w:pPr>
        <w:pStyle w:val="NormalWeb"/>
        <w:numPr>
          <w:ilvl w:val="0"/>
          <w:numId w:val="55"/>
        </w:numPr>
        <w:shd w:val="clear" w:color="auto" w:fill="FFFFFF"/>
        <w:tabs>
          <w:tab w:val="left" w:pos="720"/>
        </w:tabs>
        <w:spacing w:before="0" w:beforeAutospacing="0" w:after="0" w:afterAutospacing="0"/>
        <w:ind w:left="0" w:firstLine="0"/>
        <w:jc w:val="both"/>
        <w:rPr>
          <w:rFonts w:ascii="Cambria" w:eastAsia="Arial Unicode MS" w:hAnsi="Cambria"/>
          <w:sz w:val="20"/>
          <w:szCs w:val="20"/>
          <w:bdr w:val="nil"/>
        </w:rPr>
      </w:pPr>
      <w:r w:rsidRPr="00D2222C">
        <w:rPr>
          <w:rFonts w:ascii="Cambria" w:eastAsia="Arial Unicode MS" w:hAnsi="Cambria"/>
          <w:sz w:val="20"/>
          <w:szCs w:val="20"/>
          <w:bdr w:val="nil"/>
        </w:rPr>
        <w:t>Article II, Section 2 of the United States Constitution grants the President of the United States the exercise of executive clemency in federal criminal offenses. In order to decide whether to grant a request for executive clemency, the President relies on the recommendation of the Department of Justice</w:t>
      </w:r>
      <w:r w:rsidR="00C84B0E" w:rsidRPr="00D2222C">
        <w:rPr>
          <w:rFonts w:ascii="Cambria" w:eastAsia="Arial Unicode MS" w:hAnsi="Cambria"/>
          <w:sz w:val="20"/>
          <w:szCs w:val="20"/>
          <w:bdr w:val="nil"/>
        </w:rPr>
        <w:t xml:space="preserve"> through the Deputy Attorney General</w:t>
      </w:r>
      <w:r w:rsidRPr="00D2222C">
        <w:rPr>
          <w:rFonts w:ascii="Cambria" w:eastAsia="Arial Unicode MS" w:hAnsi="Cambria"/>
          <w:sz w:val="20"/>
          <w:szCs w:val="20"/>
          <w:bdr w:val="nil"/>
        </w:rPr>
        <w:t>, particularly the Office of the Pardon Attorney. As indicated in the established facts, any person under a sentence of death may request to make an oral presentation to the Office of the Pardon Attorney in support of the clemency petition.</w:t>
      </w:r>
    </w:p>
    <w:p w14:paraId="29039AC0" w14:textId="77777777" w:rsidR="005D6A03" w:rsidRPr="00D2222C" w:rsidRDefault="005D6A03" w:rsidP="009E3847">
      <w:pPr>
        <w:pStyle w:val="NormalWeb"/>
        <w:shd w:val="clear" w:color="auto" w:fill="FFFFFF"/>
        <w:tabs>
          <w:tab w:val="left" w:pos="720"/>
        </w:tabs>
        <w:spacing w:before="0" w:beforeAutospacing="0" w:after="0" w:afterAutospacing="0"/>
        <w:ind w:left="720"/>
        <w:jc w:val="both"/>
        <w:rPr>
          <w:rFonts w:ascii="Cambria" w:eastAsia="Arial Unicode MS" w:hAnsi="Cambria"/>
          <w:sz w:val="20"/>
          <w:szCs w:val="20"/>
          <w:bdr w:val="nil"/>
        </w:rPr>
      </w:pPr>
    </w:p>
    <w:p w14:paraId="0A549351" w14:textId="77777777" w:rsidR="005D6A03" w:rsidRPr="00D2222C" w:rsidRDefault="005D6A03" w:rsidP="009E3847">
      <w:pPr>
        <w:pStyle w:val="NormalWeb"/>
        <w:numPr>
          <w:ilvl w:val="0"/>
          <w:numId w:val="55"/>
        </w:numPr>
        <w:shd w:val="clear" w:color="auto" w:fill="FFFFFF"/>
        <w:tabs>
          <w:tab w:val="left" w:pos="720"/>
        </w:tabs>
        <w:spacing w:before="0" w:beforeAutospacing="0" w:after="0" w:afterAutospacing="0"/>
        <w:ind w:left="0" w:firstLine="0"/>
        <w:jc w:val="both"/>
        <w:rPr>
          <w:rFonts w:ascii="Cambria" w:eastAsia="Arial Unicode MS" w:hAnsi="Cambria"/>
          <w:sz w:val="20"/>
          <w:szCs w:val="20"/>
          <w:bdr w:val="nil"/>
        </w:rPr>
      </w:pPr>
      <w:r w:rsidRPr="00D2222C">
        <w:rPr>
          <w:rFonts w:asciiTheme="majorHAnsi" w:hAnsiTheme="majorHAnsi"/>
          <w:sz w:val="20"/>
          <w:szCs w:val="20"/>
        </w:rPr>
        <w:t>According to the inter-American human rights standards, the right to apply for pardon or commutation of sentence is subject to certain minimal fairness guarantees in order for the right to be effectively respected and enjoyed.  These procedural protections have been held to include “the right on the part of condemned prisoners to submit a request for amnesty, pardon or commutation of sentence, to be informed of when the competent authority will consider the offender's case, to make representations, in person or by counsel to the competent authority, and to receive a decision from that authority within a reasonable period of time prior to his or her execution.</w:t>
      </w:r>
      <w:bookmarkStart w:id="23" w:name="_ftnref81"/>
      <w:r w:rsidRPr="00D2222C">
        <w:rPr>
          <w:rFonts w:asciiTheme="majorHAnsi" w:hAnsiTheme="majorHAnsi"/>
          <w:sz w:val="20"/>
          <w:szCs w:val="20"/>
        </w:rPr>
        <w:t>”</w:t>
      </w:r>
      <w:r w:rsidRPr="00D2222C">
        <w:rPr>
          <w:rStyle w:val="FootnoteReference"/>
          <w:rFonts w:asciiTheme="majorHAnsi" w:hAnsiTheme="majorHAnsi"/>
          <w:sz w:val="20"/>
          <w:szCs w:val="20"/>
        </w:rPr>
        <w:footnoteReference w:id="72"/>
      </w:r>
      <w:r w:rsidRPr="00D2222C">
        <w:rPr>
          <w:rFonts w:asciiTheme="majorHAnsi" w:hAnsiTheme="majorHAnsi"/>
          <w:sz w:val="20"/>
          <w:szCs w:val="20"/>
        </w:rPr>
        <w:t xml:space="preserve"> In particular, the IACHR has previously held that “[i]</w:t>
      </w:r>
      <w:bookmarkEnd w:id="23"/>
      <w:r w:rsidRPr="00D2222C">
        <w:rPr>
          <w:rFonts w:asciiTheme="majorHAnsi" w:hAnsiTheme="majorHAnsi"/>
          <w:sz w:val="20"/>
          <w:szCs w:val="20"/>
        </w:rPr>
        <w:t xml:space="preserve">n the case of Clemency proceedings </w:t>
      </w:r>
      <w:r w:rsidRPr="00D2222C">
        <w:rPr>
          <w:rFonts w:asciiTheme="majorHAnsi" w:hAnsiTheme="majorHAnsi"/>
          <w:sz w:val="20"/>
          <w:szCs w:val="20"/>
        </w:rPr>
        <w:lastRenderedPageBreak/>
        <w:t>pending the execution of a death sentence, the minimal fairness guarantees afforded to the applicant should include the opportunity to receive an impartial hearing.”</w:t>
      </w:r>
      <w:r w:rsidR="00B574EE" w:rsidRPr="00D2222C">
        <w:rPr>
          <w:rStyle w:val="FootnoteReference"/>
          <w:rFonts w:asciiTheme="majorHAnsi" w:hAnsiTheme="majorHAnsi"/>
          <w:sz w:val="20"/>
          <w:szCs w:val="20"/>
        </w:rPr>
        <w:footnoteReference w:id="73"/>
      </w:r>
    </w:p>
    <w:p w14:paraId="69A43C8D" w14:textId="77777777" w:rsidR="00EE5E58" w:rsidRPr="00D2222C" w:rsidRDefault="00EE5E58" w:rsidP="009E3847">
      <w:pPr>
        <w:pStyle w:val="ListParagraph"/>
        <w:tabs>
          <w:tab w:val="left" w:pos="720"/>
        </w:tabs>
        <w:rPr>
          <w:rFonts w:eastAsia="Arial Unicode MS"/>
          <w:sz w:val="20"/>
          <w:szCs w:val="20"/>
        </w:rPr>
      </w:pPr>
    </w:p>
    <w:p w14:paraId="5CB3DAEB" w14:textId="77777777" w:rsidR="00EE5E58" w:rsidRPr="00D2222C" w:rsidRDefault="00EE5E58" w:rsidP="009E3847">
      <w:pPr>
        <w:pStyle w:val="NormalWeb"/>
        <w:numPr>
          <w:ilvl w:val="0"/>
          <w:numId w:val="55"/>
        </w:numPr>
        <w:shd w:val="clear" w:color="auto" w:fill="FFFFFF"/>
        <w:tabs>
          <w:tab w:val="left" w:pos="720"/>
        </w:tabs>
        <w:spacing w:before="0" w:beforeAutospacing="0" w:after="0" w:afterAutospacing="0"/>
        <w:ind w:left="0" w:firstLine="0"/>
        <w:jc w:val="both"/>
        <w:rPr>
          <w:rFonts w:ascii="Cambria" w:eastAsia="Arial Unicode MS" w:hAnsi="Cambria"/>
          <w:sz w:val="20"/>
          <w:szCs w:val="20"/>
          <w:bdr w:val="nil"/>
        </w:rPr>
      </w:pPr>
      <w:r w:rsidRPr="00D2222C">
        <w:rPr>
          <w:rFonts w:ascii="Cambria" w:eastAsia="Arial Unicode MS" w:hAnsi="Cambria"/>
          <w:sz w:val="20"/>
          <w:szCs w:val="20"/>
          <w:bdr w:val="nil"/>
        </w:rPr>
        <w:t xml:space="preserve">The IACHR has previously established, regarding the clemency process in Virginia, that the fact that the person vested with the power to commute the </w:t>
      </w:r>
      <w:r w:rsidR="00AC7F4D" w:rsidRPr="00D2222C">
        <w:rPr>
          <w:rFonts w:ascii="Cambria" w:eastAsia="Arial Unicode MS" w:hAnsi="Cambria"/>
          <w:sz w:val="20"/>
          <w:szCs w:val="20"/>
          <w:bdr w:val="nil"/>
        </w:rPr>
        <w:t>death</w:t>
      </w:r>
      <w:r w:rsidRPr="00D2222C">
        <w:rPr>
          <w:rFonts w:ascii="Cambria" w:eastAsia="Arial Unicode MS" w:hAnsi="Cambria"/>
          <w:sz w:val="20"/>
          <w:szCs w:val="20"/>
          <w:bdr w:val="nil"/>
        </w:rPr>
        <w:t xml:space="preserve"> sentence </w:t>
      </w:r>
      <w:r w:rsidR="00AC7F4D" w:rsidRPr="00D2222C">
        <w:rPr>
          <w:rFonts w:ascii="Cambria" w:eastAsia="Arial Unicode MS" w:hAnsi="Cambria"/>
          <w:sz w:val="20"/>
          <w:szCs w:val="20"/>
          <w:bdr w:val="nil"/>
        </w:rPr>
        <w:t>“</w:t>
      </w:r>
      <w:r w:rsidRPr="00D2222C">
        <w:rPr>
          <w:rFonts w:ascii="Cambria" w:eastAsia="Arial Unicode MS" w:hAnsi="Cambria"/>
          <w:sz w:val="20"/>
          <w:szCs w:val="20"/>
          <w:bdr w:val="nil"/>
        </w:rPr>
        <w:t>is the same person who was in charge of [the] prosecution, does not satisfy the minimal fairness guarantees such as the right to be heard by an impartial authority.”</w:t>
      </w:r>
      <w:r w:rsidRPr="00D2222C">
        <w:rPr>
          <w:rStyle w:val="FootnoteReference"/>
          <w:rFonts w:ascii="Cambria" w:eastAsia="Arial Unicode MS" w:hAnsi="Cambria"/>
          <w:sz w:val="20"/>
          <w:szCs w:val="20"/>
          <w:bdr w:val="nil"/>
        </w:rPr>
        <w:footnoteReference w:id="74"/>
      </w:r>
      <w:r w:rsidR="00EF5AA9" w:rsidRPr="00D2222C">
        <w:rPr>
          <w:rFonts w:ascii="Cambria" w:eastAsia="Arial Unicode MS" w:hAnsi="Cambria"/>
          <w:sz w:val="20"/>
          <w:szCs w:val="20"/>
          <w:bdr w:val="nil"/>
        </w:rPr>
        <w:t xml:space="preserve"> In the instant case the Commission notes that </w:t>
      </w:r>
      <w:r w:rsidR="00C84B0E" w:rsidRPr="00D2222C">
        <w:rPr>
          <w:rFonts w:ascii="Cambria" w:eastAsia="Arial Unicode MS" w:hAnsi="Cambria"/>
          <w:sz w:val="20"/>
          <w:szCs w:val="20"/>
          <w:bdr w:val="nil"/>
        </w:rPr>
        <w:t>the pardon attorney and the federal criminal prosecutors who are pursuing Mr. Hall’s execution serve under the same supervisor, the Deputy Attorney General. This does not guarantee that the United States President will have the benefit of independent</w:t>
      </w:r>
      <w:r w:rsidR="009A0816" w:rsidRPr="00D2222C">
        <w:rPr>
          <w:rFonts w:ascii="Cambria" w:eastAsia="Arial Unicode MS" w:hAnsi="Cambria"/>
          <w:sz w:val="20"/>
          <w:szCs w:val="20"/>
          <w:bdr w:val="nil"/>
        </w:rPr>
        <w:t xml:space="preserve"> and impartial</w:t>
      </w:r>
      <w:r w:rsidR="00C84B0E" w:rsidRPr="00D2222C">
        <w:rPr>
          <w:rFonts w:ascii="Cambria" w:eastAsia="Arial Unicode MS" w:hAnsi="Cambria"/>
          <w:sz w:val="20"/>
          <w:szCs w:val="20"/>
          <w:bdr w:val="nil"/>
        </w:rPr>
        <w:t xml:space="preserve"> recommendations and advice. Therefore, the Inter-American Commission concludes that the structure of the executive clemency process fail</w:t>
      </w:r>
      <w:r w:rsidR="00973675" w:rsidRPr="00D2222C">
        <w:rPr>
          <w:rFonts w:ascii="Cambria" w:eastAsia="Arial Unicode MS" w:hAnsi="Cambria"/>
          <w:sz w:val="20"/>
          <w:szCs w:val="20"/>
          <w:bdr w:val="nil"/>
        </w:rPr>
        <w:t>s</w:t>
      </w:r>
      <w:r w:rsidR="00C84B0E" w:rsidRPr="00D2222C">
        <w:rPr>
          <w:rFonts w:ascii="Cambria" w:eastAsia="Arial Unicode MS" w:hAnsi="Cambria"/>
          <w:sz w:val="20"/>
          <w:szCs w:val="20"/>
          <w:bdr w:val="nil"/>
        </w:rPr>
        <w:t xml:space="preserve"> to guarantee the right to minimal fairness guarantees pursuant to Article XXVI of the American Declaration.</w:t>
      </w:r>
    </w:p>
    <w:p w14:paraId="7AE24036" w14:textId="77777777" w:rsidR="000679BC" w:rsidRPr="00D2222C" w:rsidRDefault="000679BC" w:rsidP="009412E0">
      <w:pPr>
        <w:pStyle w:val="NormalWeb"/>
        <w:shd w:val="clear" w:color="auto" w:fill="FFFFFF"/>
        <w:spacing w:before="0" w:beforeAutospacing="0" w:after="0" w:afterAutospacing="0"/>
        <w:ind w:left="720"/>
        <w:jc w:val="both"/>
        <w:rPr>
          <w:rFonts w:asciiTheme="majorHAnsi" w:eastAsia="Arial Unicode MS" w:hAnsiTheme="majorHAnsi"/>
          <w:sz w:val="20"/>
          <w:szCs w:val="20"/>
          <w:bdr w:val="nil"/>
        </w:rPr>
      </w:pPr>
    </w:p>
    <w:p w14:paraId="54C64576" w14:textId="77777777" w:rsidR="001B5F45" w:rsidRPr="00D2222C" w:rsidRDefault="005066A4" w:rsidP="009412E0">
      <w:pPr>
        <w:pStyle w:val="Heading2"/>
        <w:numPr>
          <w:ilvl w:val="0"/>
          <w:numId w:val="56"/>
        </w:numPr>
        <w:spacing w:before="0"/>
        <w:ind w:left="1440" w:hanging="720"/>
        <w:rPr>
          <w:rStyle w:val="apple-style-span"/>
          <w:rFonts w:cs="Arial"/>
          <w:b w:val="0"/>
          <w:color w:val="auto"/>
          <w:sz w:val="20"/>
          <w:szCs w:val="20"/>
        </w:rPr>
      </w:pPr>
      <w:bookmarkStart w:id="24" w:name="_Toc26550937"/>
      <w:r w:rsidRPr="00D2222C">
        <w:rPr>
          <w:rStyle w:val="apple-style-span"/>
          <w:rFonts w:cs="Arial"/>
          <w:color w:val="auto"/>
          <w:sz w:val="20"/>
          <w:szCs w:val="20"/>
        </w:rPr>
        <w:t xml:space="preserve">Right </w:t>
      </w:r>
      <w:r w:rsidR="00FF379A" w:rsidRPr="00D2222C">
        <w:rPr>
          <w:rStyle w:val="apple-style-span"/>
          <w:rFonts w:cs="Arial"/>
          <w:color w:val="auto"/>
          <w:sz w:val="20"/>
          <w:szCs w:val="20"/>
        </w:rPr>
        <w:t>of protection against cruel, infamous or unusual punishment</w:t>
      </w:r>
      <w:r w:rsidRPr="00D2222C">
        <w:rPr>
          <w:rStyle w:val="FootnoteReference"/>
          <w:color w:val="auto"/>
          <w:sz w:val="20"/>
          <w:szCs w:val="20"/>
        </w:rPr>
        <w:footnoteReference w:id="75"/>
      </w:r>
      <w:bookmarkEnd w:id="24"/>
      <w:r w:rsidRPr="00D2222C">
        <w:rPr>
          <w:rStyle w:val="apple-style-span"/>
          <w:rFonts w:cs="Arial"/>
          <w:color w:val="auto"/>
          <w:sz w:val="20"/>
          <w:szCs w:val="20"/>
        </w:rPr>
        <w:t xml:space="preserve"> </w:t>
      </w:r>
    </w:p>
    <w:p w14:paraId="5563A4CB" w14:textId="77777777" w:rsidR="00A542D1" w:rsidRPr="00D2222C" w:rsidRDefault="00A542D1" w:rsidP="009412E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Theme="majorHAnsi" w:hAnsiTheme="majorHAnsi"/>
          <w:bCs/>
          <w:color w:val="auto"/>
          <w:sz w:val="20"/>
          <w:szCs w:val="20"/>
        </w:rPr>
      </w:pPr>
    </w:p>
    <w:p w14:paraId="6AB5F349" w14:textId="77777777" w:rsidR="009B541A" w:rsidRPr="00D2222C" w:rsidRDefault="008F4101" w:rsidP="009412E0">
      <w:pPr>
        <w:pStyle w:val="Heading3"/>
        <w:numPr>
          <w:ilvl w:val="0"/>
          <w:numId w:val="65"/>
        </w:numPr>
        <w:spacing w:before="0"/>
        <w:ind w:left="1440" w:hanging="720"/>
        <w:rPr>
          <w:rStyle w:val="apple-style-span"/>
          <w:rFonts w:ascii="Cambria" w:eastAsia="Cambria" w:hAnsi="Cambria" w:cs="Arial"/>
          <w:bCs w:val="0"/>
          <w:color w:val="auto"/>
          <w:sz w:val="20"/>
          <w:szCs w:val="20"/>
          <w:u w:color="000000"/>
          <w:lang w:eastAsia="es-ES"/>
        </w:rPr>
      </w:pPr>
      <w:bookmarkStart w:id="25" w:name="_Toc26550938"/>
      <w:r w:rsidRPr="00D2222C">
        <w:rPr>
          <w:rStyle w:val="apple-style-span"/>
          <w:rFonts w:ascii="Cambria" w:eastAsia="Cambria" w:hAnsi="Cambria" w:cs="Arial"/>
          <w:bCs w:val="0"/>
          <w:color w:val="auto"/>
          <w:sz w:val="20"/>
          <w:szCs w:val="20"/>
          <w:u w:color="000000"/>
          <w:lang w:eastAsia="es-ES"/>
        </w:rPr>
        <w:t>T</w:t>
      </w:r>
      <w:r w:rsidR="00E43C54" w:rsidRPr="00D2222C">
        <w:rPr>
          <w:rStyle w:val="apple-style-span"/>
          <w:rFonts w:ascii="Cambria" w:eastAsia="Cambria" w:hAnsi="Cambria" w:cs="Arial"/>
          <w:bCs w:val="0"/>
          <w:color w:val="auto"/>
          <w:sz w:val="20"/>
          <w:szCs w:val="20"/>
          <w:u w:color="000000"/>
          <w:lang w:eastAsia="es-ES"/>
        </w:rPr>
        <w:t>he lethal injection</w:t>
      </w:r>
      <w:r w:rsidRPr="00D2222C">
        <w:rPr>
          <w:rStyle w:val="apple-style-span"/>
          <w:rFonts w:ascii="Cambria" w:eastAsia="Cambria" w:hAnsi="Cambria" w:cs="Arial"/>
          <w:bCs w:val="0"/>
          <w:color w:val="auto"/>
          <w:sz w:val="20"/>
          <w:szCs w:val="20"/>
          <w:u w:color="000000"/>
          <w:lang w:eastAsia="es-ES"/>
        </w:rPr>
        <w:t xml:space="preserve"> protocol</w:t>
      </w:r>
      <w:bookmarkEnd w:id="25"/>
    </w:p>
    <w:p w14:paraId="614314CE" w14:textId="77777777" w:rsidR="009B541A" w:rsidRPr="00D2222C" w:rsidRDefault="009B541A" w:rsidP="009412E0">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rPr>
      </w:pPr>
    </w:p>
    <w:p w14:paraId="65820225" w14:textId="77777777" w:rsidR="00DA3005" w:rsidRPr="00D2222C" w:rsidRDefault="009B541A"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cs="Arial"/>
          <w:color w:val="222222"/>
          <w:sz w:val="20"/>
          <w:szCs w:val="20"/>
          <w:lang w:val="en"/>
        </w:rPr>
      </w:pPr>
      <w:r w:rsidRPr="00D2222C">
        <w:rPr>
          <w:rFonts w:ascii="Cambria" w:hAnsi="Cambria"/>
          <w:sz w:val="20"/>
          <w:szCs w:val="20"/>
        </w:rPr>
        <w:t xml:space="preserve">The Commission </w:t>
      </w:r>
      <w:r w:rsidRPr="00D2222C">
        <w:rPr>
          <w:rFonts w:ascii="Cambria" w:hAnsi="Cambria"/>
          <w:color w:val="212121"/>
          <w:sz w:val="20"/>
          <w:szCs w:val="20"/>
          <w:lang w:val="en"/>
        </w:rPr>
        <w:t xml:space="preserve">notes that even though the American Declaration does not prohibit the death penalty, the State has a heightened </w:t>
      </w:r>
      <w:r w:rsidRPr="00D2222C">
        <w:rPr>
          <w:rFonts w:ascii="Cambria" w:eastAsia="Times New Roman" w:hAnsi="Cambria"/>
          <w:sz w:val="20"/>
          <w:szCs w:val="20"/>
          <w:bdr w:val="none" w:sz="0" w:space="0" w:color="auto"/>
        </w:rPr>
        <w:t>obligation to ensure that the method of execution does not constitute cruel, infamous or unusual punishment.  In this regard, the U.N. Special Rapporteur on torture and other cruel, inhuman or degrading treatment or punishment observed that “[t]</w:t>
      </w:r>
      <w:r w:rsidRPr="00D2222C">
        <w:rPr>
          <w:rFonts w:ascii="Cambria" w:eastAsia="Times New Roman" w:hAnsi="Cambria" w:cs="TimesNewRomanPS"/>
          <w:color w:val="231F20"/>
          <w:sz w:val="20"/>
          <w:szCs w:val="20"/>
          <w:bdr w:val="none" w:sz="0" w:space="0" w:color="auto"/>
        </w:rPr>
        <w:t xml:space="preserve">he fact that a number of execution methods </w:t>
      </w:r>
      <w:r w:rsidRPr="00D2222C">
        <w:rPr>
          <w:rFonts w:ascii="Cambria" w:hAnsi="Cambria"/>
          <w:sz w:val="20"/>
          <w:szCs w:val="20"/>
        </w:rPr>
        <w:t>have</w:t>
      </w:r>
      <w:r w:rsidRPr="00D2222C">
        <w:rPr>
          <w:rFonts w:ascii="Cambria" w:eastAsia="Times New Roman" w:hAnsi="Cambria" w:cs="TimesNewRomanPS"/>
          <w:color w:val="231F20"/>
          <w:sz w:val="20"/>
          <w:szCs w:val="20"/>
          <w:bdr w:val="none" w:sz="0" w:space="0" w:color="auto"/>
        </w:rPr>
        <w:t xml:space="preserve"> been deemed to constitute torture or CIDT, together with a growing trend to review all methods of execution for their potential to cause severe pain and suffering, highlights the increasing difficulty with which a state may impose the death penalty without violating international law.”</w:t>
      </w:r>
      <w:r w:rsidRPr="00D2222C">
        <w:rPr>
          <w:rFonts w:eastAsia="Times New Roman"/>
          <w:color w:val="231F20"/>
          <w:sz w:val="20"/>
          <w:szCs w:val="20"/>
          <w:bdr w:val="none" w:sz="0" w:space="0" w:color="auto"/>
          <w:vertAlign w:val="superscript"/>
        </w:rPr>
        <w:footnoteReference w:id="76"/>
      </w:r>
      <w:r w:rsidR="00DA3005" w:rsidRPr="00D2222C">
        <w:rPr>
          <w:rFonts w:ascii="Cambria" w:eastAsia="Times New Roman" w:hAnsi="Cambria" w:cs="TimesNewRomanPS"/>
          <w:color w:val="231F20"/>
          <w:sz w:val="20"/>
          <w:szCs w:val="20"/>
          <w:bdr w:val="none" w:sz="0" w:space="0" w:color="auto"/>
        </w:rPr>
        <w:t xml:space="preserve"> </w:t>
      </w:r>
    </w:p>
    <w:p w14:paraId="47992114" w14:textId="77777777" w:rsidR="00DA3005" w:rsidRPr="00D2222C" w:rsidRDefault="00DA3005" w:rsidP="009E384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jc w:val="both"/>
        <w:rPr>
          <w:rFonts w:ascii="Cambria" w:hAnsi="Cambria" w:cs="Arial"/>
          <w:color w:val="222222"/>
          <w:sz w:val="20"/>
          <w:szCs w:val="20"/>
          <w:lang w:val="en"/>
        </w:rPr>
      </w:pPr>
    </w:p>
    <w:p w14:paraId="5896DBB9" w14:textId="77777777" w:rsidR="00112617" w:rsidRPr="00D2222C" w:rsidRDefault="009B541A"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rPr>
      </w:pPr>
      <w:r w:rsidRPr="00D2222C">
        <w:rPr>
          <w:rFonts w:ascii="Cambria" w:hAnsi="Cambria"/>
          <w:color w:val="212121"/>
          <w:sz w:val="20"/>
          <w:szCs w:val="20"/>
          <w:lang w:val="en"/>
        </w:rPr>
        <w:t xml:space="preserve">Along these same lines, </w:t>
      </w:r>
      <w:r w:rsidRPr="00D2222C">
        <w:rPr>
          <w:rFonts w:ascii="Cambria" w:hAnsi="Cambria"/>
          <w:sz w:val="20"/>
          <w:szCs w:val="20"/>
        </w:rPr>
        <w:t>various supervisory bodies have considered that an execution method is incompatible with the right to humane treatment and the prohibition of torture when it is not designed to inflict the least possible suffering,</w:t>
      </w:r>
      <w:r w:rsidRPr="00D2222C">
        <w:rPr>
          <w:rFonts w:ascii="Cambria" w:hAnsi="Cambria"/>
          <w:sz w:val="20"/>
          <w:szCs w:val="20"/>
          <w:vertAlign w:val="superscript"/>
        </w:rPr>
        <w:footnoteReference w:id="77"/>
      </w:r>
      <w:r w:rsidRPr="00D2222C">
        <w:rPr>
          <w:rFonts w:ascii="Cambria" w:hAnsi="Cambria"/>
          <w:sz w:val="20"/>
          <w:szCs w:val="20"/>
        </w:rPr>
        <w:t xml:space="preserve"> and have raised questions on the compatibility of the method of lethal injection with the prohibition of torture.</w:t>
      </w:r>
      <w:r w:rsidR="006005C1" w:rsidRPr="00D2222C">
        <w:rPr>
          <w:rStyle w:val="FootnoteReference"/>
          <w:rFonts w:ascii="Cambria" w:hAnsi="Cambria"/>
          <w:sz w:val="20"/>
          <w:szCs w:val="20"/>
        </w:rPr>
        <w:footnoteReference w:id="78"/>
      </w:r>
      <w:r w:rsidRPr="00D2222C">
        <w:rPr>
          <w:rFonts w:ascii="Cambria" w:hAnsi="Cambria"/>
          <w:sz w:val="20"/>
          <w:szCs w:val="20"/>
        </w:rPr>
        <w:t xml:space="preserve"> With regard to the injection of untested lethal drugs, in its concluding observations on the fourth periodic report of the United States, the Human Rights Committee noted with concern reports “about the administration, by some states, of untested lethal drugs to execute prisoners and the withholding of information about such drugs.” The Committee recommended that the State “ensure that lethal drugs used for executions originate from legal, regulated sources, and are approved by the United States Food and Drug Administration and that information on the origin and composition of such drugs is made available to individuals scheduled for execution.”</w:t>
      </w:r>
      <w:r w:rsidRPr="00D2222C">
        <w:rPr>
          <w:rStyle w:val="FootnoteReference"/>
          <w:rFonts w:ascii="Cambria" w:hAnsi="Cambria"/>
          <w:sz w:val="20"/>
          <w:szCs w:val="20"/>
        </w:rPr>
        <w:footnoteReference w:id="79"/>
      </w:r>
      <w:r w:rsidR="00DA3005" w:rsidRPr="00D2222C">
        <w:rPr>
          <w:rFonts w:ascii="Cambria" w:hAnsi="Cambria"/>
          <w:sz w:val="20"/>
          <w:szCs w:val="20"/>
        </w:rPr>
        <w:t xml:space="preserve"> </w:t>
      </w:r>
    </w:p>
    <w:p w14:paraId="2E7831C8" w14:textId="77777777" w:rsidR="00112617" w:rsidRPr="00D2222C" w:rsidRDefault="00112617" w:rsidP="009E3847">
      <w:pPr>
        <w:pStyle w:val="ListParagraph"/>
        <w:tabs>
          <w:tab w:val="left" w:pos="720"/>
        </w:tabs>
        <w:rPr>
          <w:sz w:val="20"/>
          <w:szCs w:val="20"/>
        </w:rPr>
      </w:pPr>
    </w:p>
    <w:p w14:paraId="541A9CDF" w14:textId="77777777" w:rsidR="009B541A" w:rsidRPr="00D2222C" w:rsidRDefault="009B541A"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rPr>
      </w:pPr>
      <w:r w:rsidRPr="00D2222C">
        <w:rPr>
          <w:rFonts w:ascii="Cambria" w:hAnsi="Cambria"/>
          <w:sz w:val="20"/>
          <w:szCs w:val="20"/>
        </w:rPr>
        <w:t>Similarly, the Committee Against Torture has expressed its concern that death penalty executions in the United States can be accompanied by severe pain and suffering and has called on the State to “carefully review its execution methods, in particular lethal injection, in order to prevent severe pain and suffering.”</w:t>
      </w:r>
      <w:r w:rsidRPr="00D2222C">
        <w:rPr>
          <w:rStyle w:val="FootnoteReference"/>
          <w:rFonts w:ascii="Cambria" w:hAnsi="Cambria"/>
          <w:sz w:val="20"/>
          <w:szCs w:val="20"/>
        </w:rPr>
        <w:footnoteReference w:id="80"/>
      </w:r>
      <w:r w:rsidR="00112617" w:rsidRPr="00D2222C">
        <w:rPr>
          <w:rFonts w:ascii="Cambria" w:hAnsi="Cambria"/>
          <w:sz w:val="20"/>
          <w:szCs w:val="20"/>
        </w:rPr>
        <w:t xml:space="preserve"> </w:t>
      </w:r>
      <w:r w:rsidRPr="00D2222C">
        <w:rPr>
          <w:rFonts w:ascii="Cambria" w:hAnsi="Cambria"/>
          <w:sz w:val="20"/>
          <w:szCs w:val="20"/>
        </w:rPr>
        <w:t xml:space="preserve">The Special Rapporteur on torture and other cruel, inhuman or degrading treatment or punishment has considered that the method of lethal injection “as currently administered, does not work as efficiently as </w:t>
      </w:r>
      <w:r w:rsidRPr="00D2222C">
        <w:rPr>
          <w:rFonts w:ascii="Cambria" w:hAnsi="Cambria"/>
          <w:sz w:val="20"/>
          <w:szCs w:val="20"/>
        </w:rPr>
        <w:lastRenderedPageBreak/>
        <w:t>intended. Some prisoners take minutes to die and others become very distressed. New studies conclude that even if lethal injection is administered without technical error, those executed may experience suffocation, and therefore the conventional view of lethal injection as peaceful and painless death is questionable.”</w:t>
      </w:r>
      <w:r w:rsidRPr="00D2222C">
        <w:rPr>
          <w:rStyle w:val="FootnoteReference"/>
          <w:rFonts w:ascii="Cambria" w:hAnsi="Cambria"/>
          <w:sz w:val="20"/>
          <w:szCs w:val="20"/>
        </w:rPr>
        <w:footnoteReference w:id="81"/>
      </w:r>
      <w:r w:rsidRPr="00D2222C">
        <w:rPr>
          <w:rFonts w:ascii="Cambria" w:hAnsi="Cambria"/>
          <w:sz w:val="20"/>
          <w:szCs w:val="20"/>
        </w:rPr>
        <w:t xml:space="preserve"> The Special Rapporteur has underlined that States must ensure that the method of execution employed causes the least possible physical and mental suffering and has the burden of proof of establishing that there are no more humane alternatives available.</w:t>
      </w:r>
      <w:r w:rsidRPr="00D2222C">
        <w:rPr>
          <w:rStyle w:val="FootnoteReference"/>
          <w:rFonts w:ascii="Cambria" w:hAnsi="Cambria"/>
          <w:sz w:val="20"/>
          <w:szCs w:val="20"/>
        </w:rPr>
        <w:t xml:space="preserve"> </w:t>
      </w:r>
      <w:r w:rsidRPr="00D2222C">
        <w:rPr>
          <w:rStyle w:val="FootnoteReference"/>
          <w:rFonts w:ascii="Cambria" w:hAnsi="Cambria"/>
          <w:sz w:val="20"/>
          <w:szCs w:val="20"/>
        </w:rPr>
        <w:footnoteReference w:id="82"/>
      </w:r>
      <w:r w:rsidRPr="00D2222C">
        <w:rPr>
          <w:rFonts w:ascii="Cambria" w:hAnsi="Cambria"/>
          <w:sz w:val="20"/>
          <w:szCs w:val="20"/>
        </w:rPr>
        <w:t xml:space="preserve"> </w:t>
      </w:r>
    </w:p>
    <w:p w14:paraId="1C010156" w14:textId="77777777" w:rsidR="009B541A" w:rsidRPr="00D2222C" w:rsidRDefault="009B541A" w:rsidP="009E3847">
      <w:pPr>
        <w:tabs>
          <w:tab w:val="left" w:pos="720"/>
        </w:tabs>
        <w:jc w:val="both"/>
        <w:rPr>
          <w:b/>
          <w:bCs/>
          <w:sz w:val="20"/>
          <w:szCs w:val="20"/>
        </w:rPr>
      </w:pPr>
    </w:p>
    <w:p w14:paraId="6D9D106A" w14:textId="77777777" w:rsidR="000E69B3" w:rsidRPr="00D2222C" w:rsidRDefault="007A7F31" w:rsidP="009E3847">
      <w:pPr>
        <w:pStyle w:val="NormalWeb"/>
        <w:numPr>
          <w:ilvl w:val="0"/>
          <w:numId w:val="55"/>
        </w:numPr>
        <w:shd w:val="clear" w:color="auto" w:fill="FFFFFF"/>
        <w:tabs>
          <w:tab w:val="left" w:pos="720"/>
        </w:tabs>
        <w:spacing w:before="0" w:beforeAutospacing="0" w:after="0" w:afterAutospacing="0"/>
        <w:ind w:left="0" w:firstLine="0"/>
        <w:jc w:val="both"/>
        <w:rPr>
          <w:rFonts w:asciiTheme="majorHAnsi" w:eastAsia="Arial Unicode MS" w:hAnsiTheme="majorHAnsi"/>
          <w:sz w:val="20"/>
          <w:szCs w:val="20"/>
        </w:rPr>
      </w:pPr>
      <w:r w:rsidRPr="00D2222C">
        <w:rPr>
          <w:rFonts w:asciiTheme="majorHAnsi" w:eastAsia="Arial Unicode MS" w:hAnsiTheme="majorHAnsi"/>
          <w:sz w:val="20"/>
          <w:szCs w:val="20"/>
        </w:rPr>
        <w:t xml:space="preserve">As </w:t>
      </w:r>
      <w:r w:rsidR="002B4B61" w:rsidRPr="00D2222C">
        <w:rPr>
          <w:rFonts w:asciiTheme="majorHAnsi" w:eastAsia="Arial Unicode MS" w:hAnsiTheme="majorHAnsi"/>
          <w:sz w:val="20"/>
          <w:szCs w:val="20"/>
        </w:rPr>
        <w:t>already</w:t>
      </w:r>
      <w:r w:rsidRPr="00D2222C">
        <w:rPr>
          <w:rFonts w:asciiTheme="majorHAnsi" w:eastAsia="Arial Unicode MS" w:hAnsiTheme="majorHAnsi"/>
          <w:sz w:val="20"/>
          <w:szCs w:val="20"/>
        </w:rPr>
        <w:t xml:space="preserve"> established, Mr. Hall filed a civil action on June 4, 2007, alleging that the three-drug protocol threatened to subject him to consciously experiencing asphyxiation and cardiac arrest. That same year </w:t>
      </w:r>
      <w:r w:rsidR="009F297A" w:rsidRPr="00D2222C">
        <w:rPr>
          <w:rFonts w:asciiTheme="majorHAnsi" w:eastAsia="Arial Unicode MS" w:hAnsiTheme="majorHAnsi"/>
          <w:sz w:val="20"/>
          <w:szCs w:val="20"/>
        </w:rPr>
        <w:t>he</w:t>
      </w:r>
      <w:r w:rsidRPr="00D2222C">
        <w:rPr>
          <w:rFonts w:asciiTheme="majorHAnsi" w:eastAsia="Arial Unicode MS" w:hAnsiTheme="majorHAnsi"/>
          <w:sz w:val="20"/>
          <w:szCs w:val="20"/>
        </w:rPr>
        <w:t xml:space="preserve"> </w:t>
      </w:r>
      <w:r w:rsidRPr="00D2222C">
        <w:rPr>
          <w:rFonts w:asciiTheme="majorHAnsi" w:eastAsia="Arial Unicode MS" w:hAnsiTheme="majorHAnsi"/>
          <w:sz w:val="20"/>
          <w:szCs w:val="20"/>
          <w:bdr w:val="nil"/>
        </w:rPr>
        <w:t xml:space="preserve">joined a federal lawsuit challenging the execution procedures. In July 2011, the government informed the court that in light of the unavailability of sodium thiopental it had decided to alter the drug mixture used in its executions. Since then, </w:t>
      </w:r>
      <w:r w:rsidR="009F297A" w:rsidRPr="00D2222C">
        <w:rPr>
          <w:rFonts w:asciiTheme="majorHAnsi" w:eastAsia="Arial Unicode MS" w:hAnsiTheme="majorHAnsi"/>
          <w:sz w:val="20"/>
          <w:szCs w:val="20"/>
          <w:bdr w:val="nil"/>
        </w:rPr>
        <w:t>the government</w:t>
      </w:r>
      <w:r w:rsidRPr="00D2222C">
        <w:rPr>
          <w:rFonts w:asciiTheme="majorHAnsi" w:eastAsia="Arial Unicode MS" w:hAnsiTheme="majorHAnsi"/>
          <w:sz w:val="20"/>
          <w:szCs w:val="20"/>
          <w:bdr w:val="nil"/>
        </w:rPr>
        <w:t xml:space="preserve"> continues the process to determine what drug combination will be used. </w:t>
      </w:r>
    </w:p>
    <w:p w14:paraId="3D8B99FC" w14:textId="77777777" w:rsidR="003B66DC" w:rsidRPr="00D2222C" w:rsidRDefault="003B66DC" w:rsidP="009E3847">
      <w:pPr>
        <w:pStyle w:val="ListParagraph"/>
        <w:tabs>
          <w:tab w:val="left" w:pos="720"/>
        </w:tabs>
        <w:rPr>
          <w:rFonts w:asciiTheme="majorHAnsi" w:eastAsia="Arial Unicode MS" w:hAnsiTheme="majorHAnsi"/>
          <w:sz w:val="20"/>
          <w:szCs w:val="20"/>
        </w:rPr>
      </w:pPr>
    </w:p>
    <w:p w14:paraId="2F9F2C8B" w14:textId="77777777" w:rsidR="00E80E83" w:rsidRPr="00D2222C" w:rsidRDefault="00B75D57" w:rsidP="009E3847">
      <w:pPr>
        <w:pStyle w:val="NormalWeb"/>
        <w:numPr>
          <w:ilvl w:val="0"/>
          <w:numId w:val="55"/>
        </w:numPr>
        <w:shd w:val="clear" w:color="auto" w:fill="FFFFFF"/>
        <w:tabs>
          <w:tab w:val="left" w:pos="720"/>
        </w:tabs>
        <w:spacing w:before="0" w:beforeAutospacing="0" w:after="0" w:afterAutospacing="0"/>
        <w:ind w:left="0" w:firstLine="0"/>
        <w:jc w:val="both"/>
        <w:rPr>
          <w:rFonts w:asciiTheme="majorHAnsi" w:eastAsia="Arial Unicode MS" w:hAnsiTheme="majorHAnsi"/>
          <w:sz w:val="20"/>
          <w:szCs w:val="20"/>
        </w:rPr>
      </w:pPr>
      <w:r w:rsidRPr="00D2222C">
        <w:rPr>
          <w:rFonts w:asciiTheme="majorHAnsi" w:eastAsia="Arial Unicode MS" w:hAnsiTheme="majorHAnsi"/>
          <w:sz w:val="20"/>
          <w:szCs w:val="20"/>
          <w:bdr w:val="nil"/>
        </w:rPr>
        <w:t xml:space="preserve">Given that the federal government is still reviewing its lethal injection protocol, there is currently no information to assess the compatibility of the execution method with the inter-American human rights standards cited above. However, the IACHR finds that the </w:t>
      </w:r>
      <w:r w:rsidR="00D0799B" w:rsidRPr="00D2222C">
        <w:rPr>
          <w:rFonts w:asciiTheme="majorHAnsi" w:eastAsia="Arial Unicode MS" w:hAnsiTheme="majorHAnsi"/>
          <w:sz w:val="20"/>
          <w:szCs w:val="20"/>
          <w:bdr w:val="nil"/>
        </w:rPr>
        <w:t xml:space="preserve">uncertainty about the </w:t>
      </w:r>
      <w:r w:rsidR="00D0799B" w:rsidRPr="00D2222C">
        <w:rPr>
          <w:rFonts w:ascii="Cambria" w:hAnsi="Cambria"/>
          <w:sz w:val="20"/>
          <w:szCs w:val="20"/>
        </w:rPr>
        <w:t xml:space="preserve">manner in which Mr. Hall is going to die preceded by summary denials to requests of information about the </w:t>
      </w:r>
      <w:r w:rsidR="003B66DC" w:rsidRPr="00D2222C">
        <w:rPr>
          <w:rFonts w:ascii="Cambria" w:hAnsi="Cambria"/>
          <w:sz w:val="20"/>
          <w:szCs w:val="20"/>
        </w:rPr>
        <w:t xml:space="preserve">execution </w:t>
      </w:r>
      <w:r w:rsidR="00D0799B" w:rsidRPr="00D2222C">
        <w:rPr>
          <w:rFonts w:ascii="Cambria" w:hAnsi="Cambria"/>
          <w:sz w:val="20"/>
          <w:szCs w:val="20"/>
        </w:rPr>
        <w:t xml:space="preserve">process, </w:t>
      </w:r>
      <w:r w:rsidR="003B66DC" w:rsidRPr="00D2222C">
        <w:rPr>
          <w:rFonts w:ascii="Cambria" w:hAnsi="Cambria"/>
          <w:sz w:val="20"/>
          <w:szCs w:val="20"/>
        </w:rPr>
        <w:t xml:space="preserve">exposes </w:t>
      </w:r>
      <w:r w:rsidR="00432731" w:rsidRPr="00D2222C">
        <w:rPr>
          <w:rFonts w:ascii="Cambria" w:hAnsi="Cambria"/>
          <w:sz w:val="20"/>
          <w:szCs w:val="20"/>
        </w:rPr>
        <w:t xml:space="preserve">Mr. </w:t>
      </w:r>
      <w:r w:rsidR="00503C4C" w:rsidRPr="00D2222C">
        <w:rPr>
          <w:rFonts w:ascii="Cambria" w:hAnsi="Cambria"/>
          <w:sz w:val="20"/>
          <w:szCs w:val="20"/>
        </w:rPr>
        <w:t>Hall</w:t>
      </w:r>
      <w:r w:rsidR="00432731" w:rsidRPr="00D2222C">
        <w:rPr>
          <w:rFonts w:ascii="Cambria" w:hAnsi="Cambria"/>
          <w:sz w:val="20"/>
          <w:szCs w:val="20"/>
        </w:rPr>
        <w:t xml:space="preserve"> to anguish and fear that amount to a violation of his right to humane treatment and not to receive cruel, infamous or unusual punishment set forth in Articles XXV and XXVI of the Declaration. </w:t>
      </w:r>
      <w:r w:rsidR="008F4101" w:rsidRPr="00D2222C">
        <w:rPr>
          <w:rFonts w:asciiTheme="majorHAnsi" w:hAnsiTheme="majorHAnsi"/>
          <w:sz w:val="20"/>
          <w:szCs w:val="20"/>
        </w:rPr>
        <w:t xml:space="preserve">The obligation in capital cases to ensure access to all the relevant information regarding the execution will be addressed in the section related to the right to freedom of expression. </w:t>
      </w:r>
    </w:p>
    <w:p w14:paraId="087C9BBA" w14:textId="77777777" w:rsidR="00E43C54" w:rsidRPr="00D2222C" w:rsidRDefault="00861972" w:rsidP="009412E0">
      <w:pPr>
        <w:pStyle w:val="Heading2"/>
        <w:numPr>
          <w:ilvl w:val="0"/>
          <w:numId w:val="65"/>
        </w:numPr>
        <w:ind w:left="1440" w:hanging="720"/>
        <w:rPr>
          <w:rStyle w:val="apple-style-span"/>
          <w:rFonts w:ascii="Cambria" w:eastAsia="Cambria" w:hAnsi="Cambria" w:cs="Arial"/>
          <w:bCs w:val="0"/>
          <w:color w:val="000000"/>
          <w:sz w:val="20"/>
          <w:szCs w:val="20"/>
          <w:u w:color="000000"/>
          <w:lang w:eastAsia="es-ES"/>
        </w:rPr>
      </w:pPr>
      <w:bookmarkStart w:id="26" w:name="_Toc511310303"/>
      <w:bookmarkStart w:id="27" w:name="_Toc512265316"/>
      <w:bookmarkStart w:id="28" w:name="_Toc26550939"/>
      <w:r w:rsidRPr="00D2222C">
        <w:rPr>
          <w:rStyle w:val="apple-style-span"/>
          <w:rFonts w:ascii="Cambria" w:eastAsia="Cambria" w:hAnsi="Cambria" w:cs="Arial"/>
          <w:bCs w:val="0"/>
          <w:color w:val="000000"/>
          <w:sz w:val="20"/>
          <w:szCs w:val="20"/>
          <w:u w:color="000000"/>
          <w:lang w:eastAsia="es-ES"/>
        </w:rPr>
        <w:t>T</w:t>
      </w:r>
      <w:r w:rsidR="00E43C54" w:rsidRPr="00D2222C">
        <w:rPr>
          <w:rStyle w:val="apple-style-span"/>
          <w:rFonts w:ascii="Cambria" w:eastAsia="Cambria" w:hAnsi="Cambria" w:cs="Arial"/>
          <w:bCs w:val="0"/>
          <w:color w:val="000000"/>
          <w:sz w:val="20"/>
          <w:szCs w:val="20"/>
          <w:u w:color="000000"/>
          <w:lang w:eastAsia="es-ES"/>
        </w:rPr>
        <w:t>he deprivation of liberty on death row</w:t>
      </w:r>
      <w:bookmarkEnd w:id="26"/>
      <w:bookmarkEnd w:id="27"/>
      <w:bookmarkEnd w:id="28"/>
    </w:p>
    <w:p w14:paraId="2F6EF022" w14:textId="77777777" w:rsidR="00E43C54" w:rsidRPr="00D2222C" w:rsidRDefault="00E43C54" w:rsidP="00E43C54">
      <w:pPr>
        <w:widowControl w:val="0"/>
        <w:tabs>
          <w:tab w:val="left" w:pos="360"/>
        </w:tabs>
        <w:suppressAutoHyphens/>
        <w:jc w:val="both"/>
        <w:rPr>
          <w:rFonts w:ascii="Cambria" w:hAnsi="Cambria"/>
          <w:b/>
          <w:sz w:val="20"/>
          <w:szCs w:val="20"/>
        </w:rPr>
      </w:pPr>
    </w:p>
    <w:p w14:paraId="4DFF1FB8" w14:textId="77777777" w:rsidR="008F7B4C" w:rsidRPr="00D2222C" w:rsidRDefault="00E43C54"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2040"/>
        </w:tabs>
        <w:ind w:left="0" w:firstLine="0"/>
        <w:jc w:val="both"/>
        <w:rPr>
          <w:rFonts w:ascii="Cambria" w:hAnsi="Cambria"/>
          <w:bCs/>
          <w:sz w:val="20"/>
          <w:szCs w:val="20"/>
        </w:rPr>
      </w:pPr>
      <w:r w:rsidRPr="00D2222C">
        <w:rPr>
          <w:rFonts w:ascii="Cambria" w:hAnsi="Cambria"/>
          <w:sz w:val="20"/>
          <w:szCs w:val="20"/>
        </w:rPr>
        <w:t xml:space="preserve">In both international human rights law and comparative law, the issue of long term deprivation of liberty on death row, known as the </w:t>
      </w:r>
      <w:r w:rsidRPr="00D2222C">
        <w:rPr>
          <w:rFonts w:ascii="Cambria" w:hAnsi="Cambria"/>
          <w:i/>
          <w:sz w:val="20"/>
          <w:szCs w:val="20"/>
        </w:rPr>
        <w:t>death row phenomenon,</w:t>
      </w:r>
      <w:r w:rsidRPr="00D2222C">
        <w:rPr>
          <w:rFonts w:ascii="Cambria" w:hAnsi="Cambria"/>
          <w:sz w:val="20"/>
          <w:szCs w:val="20"/>
        </w:rPr>
        <w:t xml:space="preserve"> has been developed for decades, in light of the prohibition of cruel, inhuman, or degrading punishment in </w:t>
      </w:r>
      <w:r w:rsidR="008F7B4C" w:rsidRPr="00D2222C">
        <w:rPr>
          <w:rFonts w:ascii="Cambria" w:hAnsi="Cambria"/>
          <w:sz w:val="20"/>
          <w:szCs w:val="20"/>
        </w:rPr>
        <w:t>C</w:t>
      </w:r>
      <w:r w:rsidRPr="00D2222C">
        <w:rPr>
          <w:rFonts w:ascii="Cambria" w:hAnsi="Cambria"/>
          <w:sz w:val="20"/>
          <w:szCs w:val="20"/>
        </w:rPr>
        <w:t>onstitutions and in multiple international treaties, including the American Declaration (Articles XXV and XXVI).</w:t>
      </w:r>
      <w:r w:rsidR="0070045F" w:rsidRPr="00D2222C">
        <w:rPr>
          <w:rStyle w:val="FootnoteReference"/>
          <w:rFonts w:ascii="Cambria" w:hAnsi="Cambria"/>
          <w:sz w:val="20"/>
          <w:szCs w:val="20"/>
        </w:rPr>
        <w:footnoteReference w:id="83"/>
      </w:r>
      <w:r w:rsidRPr="00D2222C">
        <w:rPr>
          <w:rFonts w:ascii="Cambria" w:hAnsi="Cambria"/>
          <w:sz w:val="20"/>
          <w:szCs w:val="20"/>
        </w:rPr>
        <w:t xml:space="preserve"> </w:t>
      </w:r>
      <w:r w:rsidR="006C1815" w:rsidRPr="00D2222C">
        <w:rPr>
          <w:rFonts w:ascii="Cambria" w:hAnsi="Cambria"/>
          <w:sz w:val="20"/>
          <w:szCs w:val="20"/>
        </w:rPr>
        <w:t>Based on those standards, i</w:t>
      </w:r>
      <w:r w:rsidR="008F7B4C" w:rsidRPr="00D2222C">
        <w:rPr>
          <w:rFonts w:ascii="Cambria" w:hAnsi="Cambria"/>
          <w:sz w:val="20"/>
          <w:szCs w:val="20"/>
        </w:rPr>
        <w:t>n the case of Russell Bucklew the IACHR found that “the very fact of spending 20 years on death row is, by any account, excessive and inhuman.”</w:t>
      </w:r>
      <w:r w:rsidR="008F7B4C" w:rsidRPr="00D2222C">
        <w:rPr>
          <w:rStyle w:val="FootnoteReference"/>
          <w:rFonts w:ascii="Cambria" w:hAnsi="Cambria"/>
          <w:sz w:val="20"/>
          <w:szCs w:val="20"/>
        </w:rPr>
        <w:footnoteReference w:id="84"/>
      </w:r>
    </w:p>
    <w:p w14:paraId="4F70A7BD" w14:textId="77777777" w:rsidR="008F7B4C" w:rsidRPr="00D2222C" w:rsidRDefault="008F7B4C" w:rsidP="009E384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bCs/>
          <w:sz w:val="20"/>
          <w:szCs w:val="20"/>
        </w:rPr>
      </w:pPr>
    </w:p>
    <w:p w14:paraId="2FDFEBF5" w14:textId="77777777" w:rsidR="00E43C54" w:rsidRPr="00D2222C" w:rsidRDefault="00E43C54"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2040"/>
        </w:tabs>
        <w:ind w:left="0" w:firstLine="0"/>
        <w:jc w:val="both"/>
        <w:rPr>
          <w:rFonts w:ascii="Cambria" w:hAnsi="Cambria"/>
          <w:bCs/>
          <w:i/>
          <w:sz w:val="20"/>
          <w:szCs w:val="20"/>
        </w:rPr>
      </w:pPr>
      <w:r w:rsidRPr="00D2222C">
        <w:rPr>
          <w:rFonts w:ascii="Cambria" w:hAnsi="Cambria"/>
          <w:sz w:val="20"/>
          <w:szCs w:val="20"/>
        </w:rPr>
        <w:t xml:space="preserve">As established </w:t>
      </w:r>
      <w:r w:rsidR="00915FDE" w:rsidRPr="00D2222C">
        <w:rPr>
          <w:rFonts w:ascii="Cambria" w:hAnsi="Cambria"/>
          <w:sz w:val="20"/>
          <w:szCs w:val="20"/>
        </w:rPr>
        <w:t>in this report</w:t>
      </w:r>
      <w:r w:rsidRPr="00D2222C">
        <w:rPr>
          <w:rFonts w:ascii="Cambria" w:hAnsi="Cambria"/>
          <w:sz w:val="20"/>
          <w:szCs w:val="20"/>
        </w:rPr>
        <w:t xml:space="preserve">, </w:t>
      </w:r>
      <w:r w:rsidR="003A527A" w:rsidRPr="00D2222C">
        <w:rPr>
          <w:rFonts w:ascii="Cambria" w:hAnsi="Cambria"/>
          <w:sz w:val="20"/>
          <w:szCs w:val="20"/>
        </w:rPr>
        <w:t>Mr. Hall</w:t>
      </w:r>
      <w:r w:rsidRPr="00D2222C">
        <w:rPr>
          <w:rFonts w:ascii="Cambria" w:hAnsi="Cambria"/>
          <w:sz w:val="20"/>
          <w:szCs w:val="20"/>
        </w:rPr>
        <w:t xml:space="preserve"> has been deprived of his liberty on death row for </w:t>
      </w:r>
      <w:r w:rsidR="00915FDE" w:rsidRPr="00D2222C">
        <w:rPr>
          <w:rFonts w:ascii="Cambria" w:hAnsi="Cambria"/>
          <w:sz w:val="20"/>
          <w:szCs w:val="20"/>
        </w:rPr>
        <w:t>almost</w:t>
      </w:r>
      <w:r w:rsidRPr="00D2222C">
        <w:rPr>
          <w:rFonts w:ascii="Cambria" w:hAnsi="Cambria"/>
          <w:sz w:val="20"/>
          <w:szCs w:val="20"/>
        </w:rPr>
        <w:t xml:space="preserve"> 2</w:t>
      </w:r>
      <w:r w:rsidR="00915FDE" w:rsidRPr="00D2222C">
        <w:rPr>
          <w:rFonts w:ascii="Cambria" w:hAnsi="Cambria"/>
          <w:sz w:val="20"/>
          <w:szCs w:val="20"/>
        </w:rPr>
        <w:t>3</w:t>
      </w:r>
      <w:r w:rsidRPr="00D2222C">
        <w:rPr>
          <w:rFonts w:ascii="Cambria" w:hAnsi="Cambria"/>
          <w:sz w:val="20"/>
          <w:szCs w:val="20"/>
        </w:rPr>
        <w:t xml:space="preserve"> years.</w:t>
      </w:r>
      <w:r w:rsidRPr="00D2222C">
        <w:rPr>
          <w:rFonts w:ascii="Cambria" w:hAnsi="Cambria"/>
          <w:bCs/>
          <w:sz w:val="20"/>
          <w:szCs w:val="20"/>
        </w:rPr>
        <w:t xml:space="preserve"> </w:t>
      </w:r>
      <w:r w:rsidRPr="00D2222C">
        <w:rPr>
          <w:rFonts w:ascii="Cambria" w:hAnsi="Cambria"/>
          <w:sz w:val="20"/>
          <w:szCs w:val="20"/>
        </w:rPr>
        <w:t>The Commission notes that the time spent on death row greatly exceeds the length of time that other international and domestic courts have characterized as cruel, inhuman, and degrading treatment. The very fact of spending 2</w:t>
      </w:r>
      <w:r w:rsidR="00915FDE" w:rsidRPr="00D2222C">
        <w:rPr>
          <w:rFonts w:ascii="Cambria" w:hAnsi="Cambria"/>
          <w:sz w:val="20"/>
          <w:szCs w:val="20"/>
        </w:rPr>
        <w:t>3</w:t>
      </w:r>
      <w:r w:rsidRPr="00D2222C">
        <w:rPr>
          <w:rFonts w:ascii="Cambria" w:hAnsi="Cambria"/>
          <w:sz w:val="20"/>
          <w:szCs w:val="20"/>
        </w:rPr>
        <w:t xml:space="preserve"> years on death row is, by any account, excessive and inhuman</w:t>
      </w:r>
      <w:r w:rsidR="00D76232" w:rsidRPr="00D2222C">
        <w:rPr>
          <w:rFonts w:ascii="Cambria" w:hAnsi="Cambria"/>
          <w:sz w:val="20"/>
          <w:szCs w:val="20"/>
        </w:rPr>
        <w:t>, and is aggravated by the prolonged expectation that the death sentence could be executed</w:t>
      </w:r>
      <w:r w:rsidRPr="00D2222C">
        <w:rPr>
          <w:rFonts w:ascii="Cambria" w:hAnsi="Cambria"/>
          <w:sz w:val="20"/>
          <w:szCs w:val="20"/>
        </w:rPr>
        <w:t>.</w:t>
      </w:r>
      <w:r w:rsidRPr="00D2222C">
        <w:rPr>
          <w:rFonts w:ascii="Cambria" w:hAnsi="Cambria"/>
          <w:bCs/>
          <w:i/>
          <w:sz w:val="20"/>
          <w:szCs w:val="20"/>
        </w:rPr>
        <w:t xml:space="preserve"> </w:t>
      </w:r>
      <w:r w:rsidRPr="00D2222C">
        <w:rPr>
          <w:rFonts w:ascii="Cambria" w:hAnsi="Cambria"/>
          <w:sz w:val="20"/>
          <w:szCs w:val="20"/>
        </w:rPr>
        <w:t xml:space="preserve">Consequently, the United States is responsible for violating, to the detriment of </w:t>
      </w:r>
      <w:r w:rsidR="00915FDE" w:rsidRPr="00D2222C">
        <w:rPr>
          <w:rFonts w:ascii="Cambria" w:hAnsi="Cambria"/>
          <w:sz w:val="20"/>
          <w:szCs w:val="20"/>
        </w:rPr>
        <w:t>Mr. Hall</w:t>
      </w:r>
      <w:r w:rsidRPr="00D2222C">
        <w:rPr>
          <w:rFonts w:ascii="Cambria" w:hAnsi="Cambria"/>
          <w:sz w:val="20"/>
          <w:szCs w:val="20"/>
        </w:rPr>
        <w:t>, the right to humane treatment, and not to receive cruel, infamous, or unusual punishment established in the American Declaration.</w:t>
      </w:r>
      <w:r w:rsidRPr="00D2222C">
        <w:rPr>
          <w:rFonts w:ascii="Cambria" w:hAnsi="Cambria"/>
          <w:b/>
          <w:sz w:val="20"/>
          <w:szCs w:val="20"/>
        </w:rPr>
        <w:t xml:space="preserve">  </w:t>
      </w:r>
    </w:p>
    <w:p w14:paraId="3C6BD7DE" w14:textId="77777777" w:rsidR="00E2673A" w:rsidRPr="00D2222C" w:rsidRDefault="00E2673A" w:rsidP="009412E0">
      <w:pPr>
        <w:pStyle w:val="ListParagraph"/>
        <w:ind w:left="1440" w:hanging="720"/>
        <w:rPr>
          <w:bCs/>
          <w:i/>
          <w:color w:val="auto"/>
          <w:sz w:val="20"/>
          <w:szCs w:val="20"/>
        </w:rPr>
      </w:pPr>
    </w:p>
    <w:p w14:paraId="10452C87" w14:textId="77777777" w:rsidR="00BB356D" w:rsidRPr="00D2222C" w:rsidRDefault="00BB356D" w:rsidP="009412E0">
      <w:pPr>
        <w:pStyle w:val="Heading2"/>
        <w:numPr>
          <w:ilvl w:val="0"/>
          <w:numId w:val="56"/>
        </w:numPr>
        <w:spacing w:before="0"/>
        <w:ind w:left="1440" w:hanging="720"/>
        <w:rPr>
          <w:color w:val="auto"/>
          <w:sz w:val="20"/>
          <w:szCs w:val="20"/>
        </w:rPr>
      </w:pPr>
      <w:bookmarkStart w:id="29" w:name="_Toc26550940"/>
      <w:bookmarkStart w:id="30" w:name="_Toc469320066"/>
      <w:bookmarkStart w:id="31" w:name="_Toc511310304"/>
      <w:bookmarkStart w:id="32" w:name="_Toc512265317"/>
      <w:r w:rsidRPr="00D2222C">
        <w:rPr>
          <w:color w:val="auto"/>
          <w:sz w:val="20"/>
          <w:szCs w:val="20"/>
        </w:rPr>
        <w:t xml:space="preserve">The right to </w:t>
      </w:r>
      <w:r w:rsidR="000E6EDD" w:rsidRPr="00D2222C">
        <w:rPr>
          <w:color w:val="auto"/>
          <w:sz w:val="20"/>
          <w:szCs w:val="20"/>
        </w:rPr>
        <w:t>access to information</w:t>
      </w:r>
      <w:r w:rsidR="00373790" w:rsidRPr="00D2222C">
        <w:rPr>
          <w:rStyle w:val="FootnoteReference"/>
          <w:color w:val="auto"/>
          <w:sz w:val="20"/>
          <w:szCs w:val="20"/>
        </w:rPr>
        <w:footnoteReference w:id="85"/>
      </w:r>
      <w:r w:rsidRPr="00D2222C">
        <w:rPr>
          <w:color w:val="auto"/>
          <w:sz w:val="20"/>
          <w:szCs w:val="20"/>
        </w:rPr>
        <w:t xml:space="preserve"> with respect to the </w:t>
      </w:r>
      <w:r w:rsidR="00373790" w:rsidRPr="00D2222C">
        <w:rPr>
          <w:color w:val="auto"/>
          <w:sz w:val="20"/>
          <w:szCs w:val="20"/>
        </w:rPr>
        <w:t>death penalty decision-making process and the lethal injection protocol</w:t>
      </w:r>
      <w:bookmarkEnd w:id="29"/>
    </w:p>
    <w:p w14:paraId="48C9F875" w14:textId="77777777" w:rsidR="00BB356D" w:rsidRPr="00D2222C" w:rsidRDefault="00BB356D" w:rsidP="009412E0">
      <w:pPr>
        <w:pStyle w:val="Heading2"/>
        <w:keepLines w:val="0"/>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color w:val="auto"/>
          <w:sz w:val="20"/>
          <w:szCs w:val="20"/>
        </w:rPr>
      </w:pPr>
    </w:p>
    <w:p w14:paraId="074D69F0" w14:textId="77777777" w:rsidR="00935A29" w:rsidRPr="00D2222C" w:rsidRDefault="00E2673A"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2040"/>
        </w:tabs>
        <w:ind w:left="0" w:firstLine="0"/>
        <w:jc w:val="both"/>
      </w:pPr>
      <w:r w:rsidRPr="00D2222C">
        <w:rPr>
          <w:rFonts w:ascii="Cambria" w:hAnsi="Cambria"/>
          <w:bCs/>
          <w:sz w:val="20"/>
          <w:szCs w:val="20"/>
        </w:rPr>
        <w:t xml:space="preserve">The Commission notes that Mr. Hall was </w:t>
      </w:r>
      <w:r w:rsidR="00123ECD" w:rsidRPr="00D2222C">
        <w:rPr>
          <w:rFonts w:ascii="Cambria" w:hAnsi="Cambria"/>
          <w:bCs/>
          <w:sz w:val="20"/>
          <w:szCs w:val="20"/>
        </w:rPr>
        <w:t>twice denied</w:t>
      </w:r>
      <w:r w:rsidRPr="00D2222C">
        <w:rPr>
          <w:rFonts w:ascii="Cambria" w:hAnsi="Cambria"/>
          <w:bCs/>
          <w:sz w:val="20"/>
          <w:szCs w:val="20"/>
        </w:rPr>
        <w:t xml:space="preserve"> access to relevant information during the proceedings. First, </w:t>
      </w:r>
      <w:r w:rsidR="00C01451" w:rsidRPr="00D2222C">
        <w:rPr>
          <w:rFonts w:ascii="Cambria" w:hAnsi="Cambria"/>
          <w:bCs/>
          <w:sz w:val="20"/>
          <w:szCs w:val="20"/>
        </w:rPr>
        <w:t xml:space="preserve">a </w:t>
      </w:r>
      <w:r w:rsidR="00C01451" w:rsidRPr="00D2222C">
        <w:rPr>
          <w:rFonts w:ascii="Cambria" w:hAnsi="Cambria"/>
          <w:sz w:val="20"/>
          <w:szCs w:val="20"/>
        </w:rPr>
        <w:t xml:space="preserve">request for discovery regarding the government’s decision-making in death-penalty cases was denied by the district court. </w:t>
      </w:r>
      <w:r w:rsidR="0013178F" w:rsidRPr="00D2222C">
        <w:rPr>
          <w:rFonts w:ascii="Cambria" w:hAnsi="Cambria"/>
          <w:sz w:val="20"/>
          <w:szCs w:val="20"/>
        </w:rPr>
        <w:t xml:space="preserve">This information was </w:t>
      </w:r>
      <w:r w:rsidR="00F35E2A" w:rsidRPr="00D2222C">
        <w:rPr>
          <w:rFonts w:ascii="Cambria" w:hAnsi="Cambria"/>
          <w:sz w:val="20"/>
          <w:szCs w:val="20"/>
        </w:rPr>
        <w:t xml:space="preserve">necessary to </w:t>
      </w:r>
      <w:r w:rsidR="005401F2" w:rsidRPr="00D2222C">
        <w:rPr>
          <w:rFonts w:ascii="Cambria" w:hAnsi="Cambria"/>
          <w:sz w:val="20"/>
          <w:szCs w:val="20"/>
        </w:rPr>
        <w:t>know</w:t>
      </w:r>
      <w:r w:rsidR="00F35E2A" w:rsidRPr="00D2222C">
        <w:rPr>
          <w:rFonts w:ascii="Cambria" w:hAnsi="Cambria"/>
          <w:sz w:val="20"/>
          <w:szCs w:val="20"/>
        </w:rPr>
        <w:t xml:space="preserve"> the arguments </w:t>
      </w:r>
      <w:r w:rsidR="00BF08CB" w:rsidRPr="00D2222C">
        <w:rPr>
          <w:rFonts w:ascii="Cambria" w:hAnsi="Cambria"/>
          <w:sz w:val="20"/>
          <w:szCs w:val="20"/>
        </w:rPr>
        <w:t>presented</w:t>
      </w:r>
      <w:r w:rsidR="00F35E2A" w:rsidRPr="00D2222C">
        <w:rPr>
          <w:rFonts w:ascii="Cambria" w:hAnsi="Cambria"/>
          <w:sz w:val="20"/>
          <w:szCs w:val="20"/>
        </w:rPr>
        <w:t xml:space="preserve"> by the </w:t>
      </w:r>
      <w:r w:rsidR="00F35E2A" w:rsidRPr="00D2222C">
        <w:rPr>
          <w:rFonts w:ascii="Cambria" w:hAnsi="Cambria"/>
          <w:sz w:val="20"/>
          <w:szCs w:val="20"/>
        </w:rPr>
        <w:lastRenderedPageBreak/>
        <w:t xml:space="preserve">government to seek the death penalty and identify any </w:t>
      </w:r>
      <w:r w:rsidR="00C43FC7" w:rsidRPr="00D2222C">
        <w:rPr>
          <w:rFonts w:ascii="Cambria" w:hAnsi="Cambria"/>
          <w:sz w:val="20"/>
          <w:szCs w:val="20"/>
        </w:rPr>
        <w:t>possible racial bias</w:t>
      </w:r>
      <w:r w:rsidR="005401F2" w:rsidRPr="00D2222C">
        <w:rPr>
          <w:rFonts w:ascii="Cambria" w:hAnsi="Cambria"/>
          <w:sz w:val="20"/>
          <w:szCs w:val="20"/>
        </w:rPr>
        <w:t xml:space="preserve">. Second, </w:t>
      </w:r>
      <w:r w:rsidR="00F14F98" w:rsidRPr="00D2222C">
        <w:rPr>
          <w:rFonts w:ascii="Cambria" w:hAnsi="Cambria"/>
          <w:sz w:val="20"/>
          <w:szCs w:val="20"/>
        </w:rPr>
        <w:t xml:space="preserve">a request for information filed by Mr. Hall with the U.S. Penitentiary Terre Haute </w:t>
      </w:r>
      <w:r w:rsidR="00F14F98" w:rsidRPr="00D2222C">
        <w:rPr>
          <w:rFonts w:asciiTheme="majorHAnsi" w:hAnsiTheme="majorHAnsi"/>
          <w:sz w:val="20"/>
          <w:szCs w:val="20"/>
        </w:rPr>
        <w:t xml:space="preserve">about the process that would be used for his execution was summarily denied by the Warden and the Bureau of Prisons Regional Administrator. </w:t>
      </w:r>
      <w:r w:rsidR="003407E0" w:rsidRPr="00D2222C">
        <w:rPr>
          <w:rFonts w:asciiTheme="majorHAnsi" w:hAnsiTheme="majorHAnsi"/>
          <w:sz w:val="20"/>
          <w:szCs w:val="20"/>
        </w:rPr>
        <w:t>The Bureau of Prisons Central (National) Administration similarly denied the request.</w:t>
      </w:r>
      <w:r w:rsidR="00264033" w:rsidRPr="00D2222C">
        <w:rPr>
          <w:rFonts w:asciiTheme="majorHAnsi" w:hAnsiTheme="majorHAnsi"/>
          <w:sz w:val="20"/>
          <w:szCs w:val="20"/>
        </w:rPr>
        <w:t xml:space="preserve"> </w:t>
      </w:r>
    </w:p>
    <w:p w14:paraId="3FE5CFF7" w14:textId="77777777" w:rsidR="00935A29" w:rsidRPr="00D2222C" w:rsidRDefault="00935A29" w:rsidP="009E384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jc w:val="both"/>
      </w:pPr>
    </w:p>
    <w:p w14:paraId="6E67FDE9" w14:textId="77777777" w:rsidR="002F443F" w:rsidRPr="00D2222C" w:rsidRDefault="00935A29"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2040"/>
        </w:tabs>
        <w:ind w:left="0" w:firstLine="0"/>
        <w:jc w:val="both"/>
      </w:pPr>
      <w:r w:rsidRPr="00D2222C">
        <w:rPr>
          <w:rFonts w:asciiTheme="majorHAnsi" w:hAnsiTheme="majorHAnsi"/>
          <w:sz w:val="20"/>
          <w:szCs w:val="20"/>
        </w:rPr>
        <w:t>The right to access to information is a fundamental right protected by Article IV of the American Declaration</w:t>
      </w:r>
      <w:r w:rsidR="005764DD" w:rsidRPr="00D2222C">
        <w:rPr>
          <w:rFonts w:asciiTheme="majorHAnsi" w:hAnsiTheme="majorHAnsi"/>
          <w:sz w:val="20"/>
          <w:szCs w:val="20"/>
        </w:rPr>
        <w:t>,</w:t>
      </w:r>
      <w:r w:rsidR="00ED56AB" w:rsidRPr="00D2222C">
        <w:rPr>
          <w:rFonts w:asciiTheme="majorHAnsi" w:hAnsiTheme="majorHAnsi"/>
          <w:sz w:val="20"/>
          <w:szCs w:val="20"/>
        </w:rPr>
        <w:t xml:space="preserve"> and the States have the obligation to guarantee the full exercise of this right</w:t>
      </w:r>
      <w:r w:rsidRPr="00D2222C">
        <w:rPr>
          <w:rFonts w:asciiTheme="majorHAnsi" w:hAnsiTheme="majorHAnsi"/>
          <w:sz w:val="20"/>
          <w:szCs w:val="20"/>
        </w:rPr>
        <w:t>.</w:t>
      </w:r>
      <w:r w:rsidR="00ED56AB" w:rsidRPr="00D2222C">
        <w:rPr>
          <w:rStyle w:val="FootnoteReference"/>
          <w:rFonts w:asciiTheme="majorHAnsi" w:hAnsiTheme="majorHAnsi"/>
          <w:sz w:val="20"/>
          <w:szCs w:val="20"/>
        </w:rPr>
        <w:footnoteReference w:id="86"/>
      </w:r>
      <w:r w:rsidRPr="00D2222C">
        <w:rPr>
          <w:rFonts w:asciiTheme="majorHAnsi" w:hAnsiTheme="majorHAnsi"/>
          <w:sz w:val="20"/>
          <w:szCs w:val="20"/>
        </w:rPr>
        <w:t xml:space="preserve"> The IACHR’s Declaration of Principles on Freedom of Expression establishes in Principle 3 that every person has the right to access to information about himself or herself in an expeditious manner.</w:t>
      </w:r>
      <w:r w:rsidR="00ED56AB" w:rsidRPr="00D2222C">
        <w:rPr>
          <w:rStyle w:val="FootnoteReference"/>
          <w:rFonts w:asciiTheme="majorHAnsi" w:hAnsiTheme="majorHAnsi"/>
          <w:sz w:val="20"/>
          <w:szCs w:val="20"/>
        </w:rPr>
        <w:footnoteReference w:id="87"/>
      </w:r>
      <w:r w:rsidRPr="00D2222C">
        <w:rPr>
          <w:rFonts w:asciiTheme="majorHAnsi" w:hAnsiTheme="majorHAnsi"/>
          <w:sz w:val="20"/>
          <w:szCs w:val="20"/>
        </w:rPr>
        <w:t xml:space="preserve"> </w:t>
      </w:r>
    </w:p>
    <w:p w14:paraId="2684C2EA" w14:textId="77777777" w:rsidR="002F443F" w:rsidRPr="00D2222C" w:rsidRDefault="002F443F" w:rsidP="009E3847">
      <w:pPr>
        <w:pStyle w:val="ListParagraph"/>
        <w:tabs>
          <w:tab w:val="left" w:pos="720"/>
        </w:tabs>
        <w:rPr>
          <w:rFonts w:asciiTheme="majorHAnsi" w:hAnsiTheme="majorHAnsi"/>
          <w:sz w:val="20"/>
          <w:szCs w:val="20"/>
        </w:rPr>
      </w:pPr>
    </w:p>
    <w:p w14:paraId="4E365ACE" w14:textId="77777777" w:rsidR="001E2867" w:rsidRPr="00D2222C" w:rsidRDefault="00162CEF"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2040"/>
        </w:tabs>
        <w:ind w:left="0" w:firstLine="0"/>
        <w:jc w:val="both"/>
      </w:pPr>
      <w:r w:rsidRPr="00D2222C">
        <w:rPr>
          <w:rFonts w:asciiTheme="majorHAnsi" w:hAnsiTheme="majorHAnsi"/>
          <w:sz w:val="20"/>
          <w:szCs w:val="20"/>
        </w:rPr>
        <w:t xml:space="preserve">With regard to access to information relating to judicial </w:t>
      </w:r>
      <w:r w:rsidR="001E699E" w:rsidRPr="00D2222C">
        <w:rPr>
          <w:rFonts w:asciiTheme="majorHAnsi" w:hAnsiTheme="majorHAnsi"/>
          <w:sz w:val="20"/>
          <w:szCs w:val="20"/>
        </w:rPr>
        <w:t>proceedings</w:t>
      </w:r>
      <w:r w:rsidRPr="00D2222C">
        <w:rPr>
          <w:rFonts w:asciiTheme="majorHAnsi" w:hAnsiTheme="majorHAnsi"/>
          <w:sz w:val="20"/>
          <w:szCs w:val="20"/>
        </w:rPr>
        <w:t xml:space="preserve">, although the State </w:t>
      </w:r>
      <w:r w:rsidR="001E699E" w:rsidRPr="00D2222C">
        <w:rPr>
          <w:rFonts w:asciiTheme="majorHAnsi" w:hAnsiTheme="majorHAnsi"/>
          <w:sz w:val="20"/>
          <w:szCs w:val="20"/>
        </w:rPr>
        <w:t>is allowed</w:t>
      </w:r>
      <w:r w:rsidRPr="00D2222C">
        <w:rPr>
          <w:rFonts w:asciiTheme="majorHAnsi" w:hAnsiTheme="majorHAnsi"/>
          <w:sz w:val="20"/>
          <w:szCs w:val="20"/>
        </w:rPr>
        <w:t xml:space="preserve"> </w:t>
      </w:r>
      <w:r w:rsidR="001E699E" w:rsidRPr="00D2222C">
        <w:rPr>
          <w:rFonts w:asciiTheme="majorHAnsi" w:hAnsiTheme="majorHAnsi"/>
          <w:sz w:val="20"/>
          <w:szCs w:val="20"/>
        </w:rPr>
        <w:t xml:space="preserve">to </w:t>
      </w:r>
      <w:r w:rsidRPr="00D2222C">
        <w:rPr>
          <w:rFonts w:asciiTheme="majorHAnsi" w:hAnsiTheme="majorHAnsi"/>
          <w:sz w:val="20"/>
          <w:szCs w:val="20"/>
        </w:rPr>
        <w:t xml:space="preserve">reserve the proceedings at the </w:t>
      </w:r>
      <w:r w:rsidR="001E699E" w:rsidRPr="00D2222C">
        <w:rPr>
          <w:rFonts w:asciiTheme="majorHAnsi" w:hAnsiTheme="majorHAnsi"/>
          <w:sz w:val="20"/>
          <w:szCs w:val="20"/>
        </w:rPr>
        <w:t>initial</w:t>
      </w:r>
      <w:r w:rsidRPr="00D2222C">
        <w:rPr>
          <w:rFonts w:asciiTheme="majorHAnsi" w:hAnsiTheme="majorHAnsi"/>
          <w:sz w:val="20"/>
          <w:szCs w:val="20"/>
        </w:rPr>
        <w:t xml:space="preserve"> stage</w:t>
      </w:r>
      <w:r w:rsidR="001E699E" w:rsidRPr="00D2222C">
        <w:rPr>
          <w:rFonts w:asciiTheme="majorHAnsi" w:hAnsiTheme="majorHAnsi"/>
          <w:sz w:val="20"/>
          <w:szCs w:val="20"/>
        </w:rPr>
        <w:t xml:space="preserve"> to safeguard the investigation</w:t>
      </w:r>
      <w:r w:rsidRPr="00D2222C">
        <w:rPr>
          <w:rFonts w:asciiTheme="majorHAnsi" w:hAnsiTheme="majorHAnsi"/>
          <w:sz w:val="20"/>
          <w:szCs w:val="20"/>
        </w:rPr>
        <w:t xml:space="preserve">, it must substantiate the legitimate aim pursued and demonstrate that it is a suitable, necessary and strictly proportional means for the purpose sought. </w:t>
      </w:r>
      <w:r w:rsidR="0003324D" w:rsidRPr="00D2222C">
        <w:rPr>
          <w:rFonts w:asciiTheme="majorHAnsi" w:hAnsiTheme="majorHAnsi"/>
          <w:sz w:val="20"/>
          <w:szCs w:val="20"/>
        </w:rPr>
        <w:t xml:space="preserve">The State, however, cannot invoke the reservation to prevent the accused from having access to the judicial file since this is </w:t>
      </w:r>
      <w:r w:rsidR="00A20B65" w:rsidRPr="00D2222C">
        <w:rPr>
          <w:rFonts w:asciiTheme="majorHAnsi" w:hAnsiTheme="majorHAnsi"/>
          <w:sz w:val="20"/>
          <w:szCs w:val="20"/>
        </w:rPr>
        <w:t>a</w:t>
      </w:r>
      <w:r w:rsidR="00C548FA" w:rsidRPr="00D2222C">
        <w:rPr>
          <w:rFonts w:asciiTheme="majorHAnsi" w:hAnsiTheme="majorHAnsi"/>
          <w:sz w:val="20"/>
          <w:szCs w:val="20"/>
        </w:rPr>
        <w:t xml:space="preserve"> basic requirement </w:t>
      </w:r>
      <w:r w:rsidR="0003324D" w:rsidRPr="00D2222C">
        <w:rPr>
          <w:rFonts w:asciiTheme="majorHAnsi" w:hAnsiTheme="majorHAnsi"/>
          <w:sz w:val="20"/>
          <w:szCs w:val="20"/>
        </w:rPr>
        <w:t>of the right to a</w:t>
      </w:r>
      <w:r w:rsidR="000B4DAF" w:rsidRPr="00D2222C">
        <w:rPr>
          <w:rFonts w:asciiTheme="majorHAnsi" w:hAnsiTheme="majorHAnsi"/>
          <w:sz w:val="20"/>
          <w:szCs w:val="20"/>
        </w:rPr>
        <w:t>n effective</w:t>
      </w:r>
      <w:r w:rsidR="0003324D" w:rsidRPr="00D2222C">
        <w:rPr>
          <w:rFonts w:asciiTheme="majorHAnsi" w:hAnsiTheme="majorHAnsi"/>
          <w:sz w:val="20"/>
          <w:szCs w:val="20"/>
        </w:rPr>
        <w:t xml:space="preserve"> defense.</w:t>
      </w:r>
      <w:r w:rsidR="000B4DAF" w:rsidRPr="00D2222C">
        <w:rPr>
          <w:rFonts w:asciiTheme="majorHAnsi" w:hAnsiTheme="majorHAnsi"/>
          <w:sz w:val="20"/>
          <w:szCs w:val="20"/>
        </w:rPr>
        <w:t xml:space="preserve"> </w:t>
      </w:r>
      <w:r w:rsidRPr="00D2222C">
        <w:rPr>
          <w:rFonts w:asciiTheme="majorHAnsi" w:hAnsiTheme="majorHAnsi"/>
          <w:sz w:val="20"/>
          <w:szCs w:val="20"/>
        </w:rPr>
        <w:t>In the instant case</w:t>
      </w:r>
      <w:r w:rsidR="001E699E" w:rsidRPr="00D2222C">
        <w:rPr>
          <w:rFonts w:asciiTheme="majorHAnsi" w:hAnsiTheme="majorHAnsi"/>
          <w:sz w:val="20"/>
          <w:szCs w:val="20"/>
        </w:rPr>
        <w:t xml:space="preserve">, </w:t>
      </w:r>
      <w:r w:rsidRPr="00D2222C">
        <w:rPr>
          <w:rFonts w:asciiTheme="majorHAnsi" w:hAnsiTheme="majorHAnsi"/>
          <w:sz w:val="20"/>
          <w:szCs w:val="20"/>
        </w:rPr>
        <w:t xml:space="preserve">the </w:t>
      </w:r>
      <w:r w:rsidR="00447B8F" w:rsidRPr="00D2222C">
        <w:rPr>
          <w:rFonts w:asciiTheme="majorHAnsi" w:hAnsiTheme="majorHAnsi"/>
          <w:sz w:val="20"/>
          <w:szCs w:val="20"/>
        </w:rPr>
        <w:t>discovery request was denied by the</w:t>
      </w:r>
      <w:r w:rsidR="00EB4B7E" w:rsidRPr="00D2222C">
        <w:rPr>
          <w:rFonts w:asciiTheme="majorHAnsi" w:hAnsiTheme="majorHAnsi"/>
          <w:sz w:val="20"/>
          <w:szCs w:val="20"/>
        </w:rPr>
        <w:t xml:space="preserve"> district court</w:t>
      </w:r>
      <w:r w:rsidR="00021201" w:rsidRPr="00D2222C">
        <w:rPr>
          <w:rFonts w:asciiTheme="majorHAnsi" w:hAnsiTheme="majorHAnsi"/>
          <w:sz w:val="20"/>
          <w:szCs w:val="20"/>
        </w:rPr>
        <w:t xml:space="preserve"> and t</w:t>
      </w:r>
      <w:r w:rsidR="002626A2" w:rsidRPr="00D2222C">
        <w:rPr>
          <w:rFonts w:asciiTheme="majorHAnsi" w:hAnsiTheme="majorHAnsi"/>
          <w:sz w:val="20"/>
          <w:szCs w:val="20"/>
        </w:rPr>
        <w:t xml:space="preserve">here is no information before the IACHR on the reasons stated by the court </w:t>
      </w:r>
      <w:r w:rsidR="00021201" w:rsidRPr="00D2222C">
        <w:rPr>
          <w:rFonts w:asciiTheme="majorHAnsi" w:hAnsiTheme="majorHAnsi"/>
          <w:sz w:val="20"/>
          <w:szCs w:val="20"/>
        </w:rPr>
        <w:t>to deny the request.</w:t>
      </w:r>
      <w:r w:rsidR="002626A2" w:rsidRPr="00D2222C">
        <w:rPr>
          <w:rFonts w:asciiTheme="majorHAnsi" w:hAnsiTheme="majorHAnsi"/>
          <w:sz w:val="20"/>
          <w:szCs w:val="20"/>
        </w:rPr>
        <w:t xml:space="preserve"> </w:t>
      </w:r>
      <w:r w:rsidR="001F62D9" w:rsidRPr="00D2222C">
        <w:rPr>
          <w:rFonts w:asciiTheme="majorHAnsi" w:hAnsiTheme="majorHAnsi"/>
          <w:sz w:val="20"/>
          <w:szCs w:val="20"/>
        </w:rPr>
        <w:t>Th</w:t>
      </w:r>
      <w:r w:rsidR="000B4DAF" w:rsidRPr="00D2222C">
        <w:rPr>
          <w:rFonts w:asciiTheme="majorHAnsi" w:hAnsiTheme="majorHAnsi"/>
          <w:sz w:val="20"/>
          <w:szCs w:val="20"/>
        </w:rPr>
        <w:t>is</w:t>
      </w:r>
      <w:r w:rsidR="001F62D9" w:rsidRPr="00D2222C">
        <w:rPr>
          <w:rFonts w:asciiTheme="majorHAnsi" w:hAnsiTheme="majorHAnsi"/>
          <w:sz w:val="20"/>
          <w:szCs w:val="20"/>
        </w:rPr>
        <w:t xml:space="preserve"> information was essential </w:t>
      </w:r>
      <w:r w:rsidR="000B4DAF" w:rsidRPr="00D2222C">
        <w:rPr>
          <w:rFonts w:asciiTheme="majorHAnsi" w:hAnsiTheme="majorHAnsi"/>
          <w:sz w:val="20"/>
          <w:szCs w:val="20"/>
        </w:rPr>
        <w:t>to establish whether Mr. Hall’s race had any bearing on the government’s decision to seek the death penalty</w:t>
      </w:r>
      <w:r w:rsidR="00021201" w:rsidRPr="00D2222C">
        <w:rPr>
          <w:rFonts w:asciiTheme="majorHAnsi" w:hAnsiTheme="majorHAnsi"/>
          <w:sz w:val="20"/>
          <w:szCs w:val="20"/>
        </w:rPr>
        <w:t xml:space="preserve"> and thus had an impact on his right to due process and judicial protection</w:t>
      </w:r>
      <w:r w:rsidR="000B4DAF" w:rsidRPr="00D2222C">
        <w:rPr>
          <w:rFonts w:asciiTheme="majorHAnsi" w:hAnsiTheme="majorHAnsi"/>
          <w:sz w:val="20"/>
          <w:szCs w:val="20"/>
        </w:rPr>
        <w:t xml:space="preserve">. </w:t>
      </w:r>
    </w:p>
    <w:p w14:paraId="16467BD6" w14:textId="77777777" w:rsidR="00C01451" w:rsidRPr="00D2222C" w:rsidRDefault="00C01451" w:rsidP="009E384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jc w:val="both"/>
      </w:pPr>
    </w:p>
    <w:p w14:paraId="290982E8" w14:textId="77777777" w:rsidR="00112617" w:rsidRPr="00D2222C" w:rsidRDefault="00FB4EE9"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2040"/>
        </w:tabs>
        <w:ind w:left="0" w:firstLine="0"/>
        <w:jc w:val="both"/>
        <w:rPr>
          <w:rFonts w:ascii="Cambria" w:eastAsia="Times New Roman" w:hAnsi="Cambria"/>
          <w:sz w:val="20"/>
          <w:szCs w:val="20"/>
          <w:bdr w:val="none" w:sz="0" w:space="0" w:color="auto"/>
        </w:rPr>
      </w:pPr>
      <w:r w:rsidRPr="00D2222C">
        <w:rPr>
          <w:rFonts w:ascii="Cambria" w:eastAsia="Times New Roman" w:hAnsi="Cambria"/>
          <w:sz w:val="20"/>
          <w:szCs w:val="20"/>
          <w:bdr w:val="none" w:sz="0" w:space="0" w:color="auto"/>
        </w:rPr>
        <w:t xml:space="preserve">With regard to the denial of the request of information </w:t>
      </w:r>
      <w:r w:rsidRPr="00D2222C">
        <w:rPr>
          <w:rFonts w:asciiTheme="majorHAnsi" w:hAnsiTheme="majorHAnsi"/>
          <w:sz w:val="20"/>
          <w:szCs w:val="20"/>
        </w:rPr>
        <w:t xml:space="preserve">about the </w:t>
      </w:r>
      <w:r w:rsidR="00021201" w:rsidRPr="00D2222C">
        <w:rPr>
          <w:rFonts w:asciiTheme="majorHAnsi" w:hAnsiTheme="majorHAnsi"/>
          <w:sz w:val="20"/>
          <w:szCs w:val="20"/>
        </w:rPr>
        <w:t>lethal injection protocol</w:t>
      </w:r>
      <w:r w:rsidRPr="00D2222C">
        <w:rPr>
          <w:rFonts w:asciiTheme="majorHAnsi" w:hAnsiTheme="majorHAnsi"/>
          <w:sz w:val="20"/>
          <w:szCs w:val="20"/>
        </w:rPr>
        <w:t>, the IACHR recalls that i</w:t>
      </w:r>
      <w:r w:rsidR="00112617" w:rsidRPr="00D2222C">
        <w:rPr>
          <w:rFonts w:ascii="Cambria" w:eastAsia="Times New Roman" w:hAnsi="Cambria"/>
          <w:sz w:val="20"/>
          <w:szCs w:val="20"/>
          <w:bdr w:val="none" w:sz="0" w:space="0" w:color="auto"/>
        </w:rPr>
        <w:t>n capital cases the State has an enhanced obligation to ensure that the person sentenced to death has access to all the relevant information regarding the manner in which he or she is going to die. In particular, the convicted person must have access to information related to the precise procedures to be followed, the drugs and doses to be used in the case of execution by lethal injection, and the composition of the execution team as well as the training of its members.</w:t>
      </w:r>
      <w:r w:rsidR="00112617" w:rsidRPr="00D2222C">
        <w:rPr>
          <w:rFonts w:eastAsia="Times New Roman"/>
          <w:sz w:val="20"/>
          <w:szCs w:val="20"/>
          <w:bdr w:val="none" w:sz="0" w:space="0" w:color="auto"/>
          <w:vertAlign w:val="superscript"/>
        </w:rPr>
        <w:footnoteReference w:id="88"/>
      </w:r>
      <w:r w:rsidR="00112617" w:rsidRPr="00D2222C">
        <w:rPr>
          <w:rFonts w:ascii="Cambria" w:eastAsia="Times New Roman" w:hAnsi="Cambria"/>
          <w:sz w:val="20"/>
          <w:szCs w:val="20"/>
          <w:bdr w:val="none" w:sz="0" w:space="0" w:color="auto"/>
        </w:rPr>
        <w:t xml:space="preserve">  </w:t>
      </w:r>
    </w:p>
    <w:p w14:paraId="6CEFC0AA" w14:textId="77777777" w:rsidR="00112617" w:rsidRPr="00D2222C" w:rsidRDefault="00112617" w:rsidP="009E384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jc w:val="both"/>
        <w:rPr>
          <w:rFonts w:ascii="Cambria" w:eastAsia="Times New Roman" w:hAnsi="Cambria"/>
          <w:sz w:val="20"/>
          <w:szCs w:val="20"/>
          <w:bdr w:val="none" w:sz="0" w:space="0" w:color="auto"/>
        </w:rPr>
      </w:pPr>
    </w:p>
    <w:p w14:paraId="44BF376A" w14:textId="77777777" w:rsidR="00BF08CB" w:rsidRPr="00D2222C" w:rsidRDefault="00112617"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2040"/>
        </w:tabs>
        <w:ind w:left="0" w:firstLine="0"/>
        <w:jc w:val="both"/>
        <w:rPr>
          <w:rFonts w:ascii="Cambria" w:eastAsia="Times New Roman" w:hAnsi="Cambria"/>
          <w:sz w:val="20"/>
          <w:szCs w:val="20"/>
          <w:bdr w:val="none" w:sz="0" w:space="0" w:color="auto"/>
        </w:rPr>
      </w:pPr>
      <w:r w:rsidRPr="00D2222C">
        <w:rPr>
          <w:rFonts w:ascii="Cambria" w:eastAsia="Times New Roman" w:hAnsi="Cambria"/>
          <w:sz w:val="20"/>
          <w:szCs w:val="20"/>
          <w:bdr w:val="none" w:sz="0" w:space="0" w:color="auto"/>
        </w:rPr>
        <w:t>Any person subjected to the death penalty must have the opportunity to challenge every aspect of the execution procedure and such information is necessary to file a challenge. The IACHR notes in this regard that the obligation of the State to provide due process is not limited to the conviction and post-conviction proceedings.</w:t>
      </w:r>
      <w:r w:rsidRPr="00D2222C">
        <w:rPr>
          <w:rFonts w:eastAsia="Times New Roman"/>
          <w:sz w:val="20"/>
          <w:szCs w:val="20"/>
          <w:bdr w:val="none" w:sz="0" w:space="0" w:color="auto"/>
          <w:vertAlign w:val="superscript"/>
        </w:rPr>
        <w:footnoteReference w:id="89"/>
      </w:r>
      <w:r w:rsidRPr="00D2222C">
        <w:rPr>
          <w:rFonts w:ascii="Cambria" w:eastAsia="Times New Roman" w:hAnsi="Cambria"/>
          <w:sz w:val="20"/>
          <w:szCs w:val="20"/>
          <w:bdr w:val="none" w:sz="0" w:space="0" w:color="auto"/>
        </w:rPr>
        <w:t xml:space="preserve"> Accordingly, the State has the duty to inform the person sentenced to death, in a timely manner, about the drug and method of execution that will be used, so he or she is not precluded from litigating the right to be executed in a manner devoid of cruel and unusual suffering. </w:t>
      </w:r>
    </w:p>
    <w:p w14:paraId="76BDA882" w14:textId="77777777" w:rsidR="00BF08CB" w:rsidRPr="00D2222C" w:rsidRDefault="00BF08CB" w:rsidP="009E3847">
      <w:pPr>
        <w:pStyle w:val="ListParagraph"/>
        <w:tabs>
          <w:tab w:val="left" w:pos="720"/>
        </w:tabs>
        <w:rPr>
          <w:rFonts w:eastAsia="Times New Roman"/>
          <w:sz w:val="20"/>
          <w:szCs w:val="20"/>
          <w:bdr w:val="none" w:sz="0" w:space="0" w:color="auto"/>
        </w:rPr>
      </w:pPr>
    </w:p>
    <w:p w14:paraId="64F67C9C" w14:textId="77777777" w:rsidR="00BC35EB" w:rsidRPr="00D2222C" w:rsidRDefault="00EB4B7E"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2040"/>
        </w:tabs>
        <w:ind w:left="0" w:firstLine="0"/>
        <w:jc w:val="both"/>
        <w:rPr>
          <w:rFonts w:ascii="Cambria" w:eastAsia="Times New Roman" w:hAnsi="Cambria"/>
          <w:sz w:val="20"/>
          <w:szCs w:val="20"/>
          <w:bdr w:val="none" w:sz="0" w:space="0" w:color="auto"/>
        </w:rPr>
      </w:pPr>
      <w:r w:rsidRPr="00D2222C">
        <w:rPr>
          <w:rFonts w:ascii="Cambria" w:eastAsia="Times New Roman" w:hAnsi="Cambria"/>
          <w:sz w:val="20"/>
          <w:szCs w:val="20"/>
          <w:bdr w:val="none" w:sz="0" w:space="0" w:color="auto"/>
        </w:rPr>
        <w:t xml:space="preserve">The IACHR notes that </w:t>
      </w:r>
      <w:r w:rsidR="00021201" w:rsidRPr="00D2222C">
        <w:rPr>
          <w:rFonts w:ascii="Cambria" w:eastAsia="Times New Roman" w:hAnsi="Cambria"/>
          <w:sz w:val="20"/>
          <w:szCs w:val="20"/>
          <w:bdr w:val="none" w:sz="0" w:space="0" w:color="auto"/>
        </w:rPr>
        <w:t xml:space="preserve">in the instant case </w:t>
      </w:r>
      <w:r w:rsidRPr="00D2222C">
        <w:rPr>
          <w:rFonts w:ascii="Cambria" w:eastAsia="Times New Roman" w:hAnsi="Cambria"/>
          <w:sz w:val="20"/>
          <w:szCs w:val="20"/>
          <w:bdr w:val="none" w:sz="0" w:space="0" w:color="auto"/>
        </w:rPr>
        <w:t xml:space="preserve">three different administrative authorities summarily denied Mr. Hall’s request </w:t>
      </w:r>
      <w:r w:rsidR="003410A6" w:rsidRPr="00D2222C">
        <w:rPr>
          <w:rFonts w:ascii="Cambria" w:eastAsia="Times New Roman" w:hAnsi="Cambria"/>
          <w:sz w:val="20"/>
          <w:szCs w:val="20"/>
          <w:bdr w:val="none" w:sz="0" w:space="0" w:color="auto"/>
        </w:rPr>
        <w:t xml:space="preserve">of information </w:t>
      </w:r>
      <w:r w:rsidR="003410A6" w:rsidRPr="00D2222C">
        <w:rPr>
          <w:rFonts w:asciiTheme="majorHAnsi" w:hAnsiTheme="majorHAnsi"/>
          <w:sz w:val="20"/>
          <w:szCs w:val="20"/>
        </w:rPr>
        <w:t>about the process that would be used for his execution.</w:t>
      </w:r>
      <w:r w:rsidR="00021201" w:rsidRPr="00D2222C">
        <w:rPr>
          <w:rFonts w:asciiTheme="majorHAnsi" w:hAnsiTheme="majorHAnsi"/>
          <w:sz w:val="20"/>
          <w:szCs w:val="20"/>
        </w:rPr>
        <w:t xml:space="preserve"> </w:t>
      </w:r>
      <w:r w:rsidR="00D537DA" w:rsidRPr="00D2222C">
        <w:rPr>
          <w:rFonts w:ascii="Cambria" w:hAnsi="Cambria" w:cs="Cambria"/>
          <w:color w:val="000000"/>
          <w:sz w:val="20"/>
          <w:szCs w:val="20"/>
        </w:rPr>
        <w:t xml:space="preserve">The Commission considers that the summary dismissal of such claims demonstrates a failure to act with due diligence to fully examine them in light of the prohibition of torture and cruel and inhuman punishment.  </w:t>
      </w:r>
    </w:p>
    <w:p w14:paraId="5F175066" w14:textId="77777777" w:rsidR="00BC35EB" w:rsidRPr="00D2222C" w:rsidRDefault="00BC35EB" w:rsidP="009E3847">
      <w:pPr>
        <w:pStyle w:val="ListParagraph"/>
        <w:tabs>
          <w:tab w:val="left" w:pos="720"/>
        </w:tabs>
        <w:rPr>
          <w:rFonts w:eastAsia="Times New Roman"/>
          <w:sz w:val="20"/>
          <w:szCs w:val="20"/>
          <w:bdr w:val="none" w:sz="0" w:space="0" w:color="auto"/>
        </w:rPr>
      </w:pPr>
    </w:p>
    <w:p w14:paraId="1C745031" w14:textId="77777777" w:rsidR="00432731" w:rsidRPr="00D2222C" w:rsidRDefault="00432731"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2040"/>
        </w:tabs>
        <w:ind w:left="0" w:firstLine="0"/>
        <w:jc w:val="both"/>
        <w:rPr>
          <w:rFonts w:ascii="Cambria" w:eastAsia="Times New Roman" w:hAnsi="Cambria"/>
          <w:sz w:val="20"/>
          <w:szCs w:val="20"/>
          <w:bdr w:val="none" w:sz="0" w:space="0" w:color="auto"/>
        </w:rPr>
      </w:pPr>
      <w:r w:rsidRPr="00D2222C">
        <w:rPr>
          <w:rFonts w:ascii="Cambria" w:eastAsia="Times New Roman" w:hAnsi="Cambria"/>
          <w:sz w:val="20"/>
          <w:szCs w:val="20"/>
          <w:bdr w:val="none" w:sz="0" w:space="0" w:color="auto"/>
        </w:rPr>
        <w:t xml:space="preserve">Based on the above considerations, the IACHR concludes that, by refusing </w:t>
      </w:r>
      <w:r w:rsidR="00BF08CB" w:rsidRPr="00D2222C">
        <w:rPr>
          <w:rFonts w:ascii="Cambria" w:eastAsia="Times New Roman" w:hAnsi="Cambria"/>
          <w:sz w:val="20"/>
          <w:szCs w:val="20"/>
          <w:bdr w:val="none" w:sz="0" w:space="0" w:color="auto"/>
        </w:rPr>
        <w:t xml:space="preserve">to provide information on </w:t>
      </w:r>
      <w:r w:rsidR="00BF08CB" w:rsidRPr="00D2222C">
        <w:rPr>
          <w:rFonts w:ascii="Cambria" w:hAnsi="Cambria"/>
          <w:sz w:val="20"/>
          <w:szCs w:val="20"/>
        </w:rPr>
        <w:t xml:space="preserve">the arguments presented by the government to seek the death penalty and </w:t>
      </w:r>
      <w:r w:rsidRPr="00D2222C">
        <w:rPr>
          <w:rFonts w:ascii="Cambria" w:eastAsia="Times New Roman" w:hAnsi="Cambria"/>
          <w:sz w:val="20"/>
          <w:szCs w:val="20"/>
          <w:bdr w:val="none" w:sz="0" w:space="0" w:color="auto"/>
        </w:rPr>
        <w:t>to reveal the e</w:t>
      </w:r>
      <w:r w:rsidR="00A23924" w:rsidRPr="00D2222C">
        <w:rPr>
          <w:rFonts w:ascii="Cambria" w:eastAsia="Times New Roman" w:hAnsi="Cambria"/>
          <w:sz w:val="20"/>
          <w:szCs w:val="20"/>
          <w:bdr w:val="none" w:sz="0" w:space="0" w:color="auto"/>
        </w:rPr>
        <w:t>xecution protocol, the State has violated</w:t>
      </w:r>
      <w:r w:rsidRPr="00D2222C">
        <w:rPr>
          <w:rFonts w:ascii="Cambria" w:eastAsia="Times New Roman" w:hAnsi="Cambria"/>
          <w:sz w:val="20"/>
          <w:szCs w:val="20"/>
          <w:bdr w:val="none" w:sz="0" w:space="0" w:color="auto"/>
        </w:rPr>
        <w:t xml:space="preserve"> Mr. </w:t>
      </w:r>
      <w:r w:rsidR="00A23924" w:rsidRPr="00D2222C">
        <w:rPr>
          <w:rFonts w:ascii="Cambria" w:eastAsia="Times New Roman" w:hAnsi="Cambria"/>
          <w:sz w:val="20"/>
          <w:szCs w:val="20"/>
          <w:bdr w:val="none" w:sz="0" w:space="0" w:color="auto"/>
        </w:rPr>
        <w:t xml:space="preserve">Hall’s right to access to information set forth in Article IV of the </w:t>
      </w:r>
      <w:r w:rsidR="00584C28" w:rsidRPr="00D2222C">
        <w:rPr>
          <w:rFonts w:ascii="Cambria" w:eastAsia="Times New Roman" w:hAnsi="Cambria"/>
          <w:sz w:val="20"/>
          <w:szCs w:val="20"/>
          <w:bdr w:val="none" w:sz="0" w:space="0" w:color="auto"/>
        </w:rPr>
        <w:t xml:space="preserve">American </w:t>
      </w:r>
      <w:r w:rsidR="00A23924" w:rsidRPr="00D2222C">
        <w:rPr>
          <w:rFonts w:ascii="Cambria" w:eastAsia="Times New Roman" w:hAnsi="Cambria"/>
          <w:sz w:val="20"/>
          <w:szCs w:val="20"/>
          <w:bdr w:val="none" w:sz="0" w:space="0" w:color="auto"/>
        </w:rPr>
        <w:t xml:space="preserve">Declaration, in connection to Mr. Hall’s right to </w:t>
      </w:r>
      <w:r w:rsidR="00584C28" w:rsidRPr="00D2222C">
        <w:rPr>
          <w:rFonts w:ascii="Cambria" w:eastAsia="Times New Roman" w:hAnsi="Cambria"/>
          <w:sz w:val="20"/>
          <w:szCs w:val="20"/>
          <w:bdr w:val="none" w:sz="0" w:space="0" w:color="auto"/>
        </w:rPr>
        <w:t xml:space="preserve">fair trial and </w:t>
      </w:r>
      <w:r w:rsidR="00A23924" w:rsidRPr="00D2222C">
        <w:rPr>
          <w:rFonts w:ascii="Cambria" w:eastAsia="Times New Roman" w:hAnsi="Cambria"/>
          <w:sz w:val="20"/>
          <w:szCs w:val="20"/>
          <w:bdr w:val="none" w:sz="0" w:space="0" w:color="auto"/>
        </w:rPr>
        <w:t xml:space="preserve">due process </w:t>
      </w:r>
      <w:r w:rsidR="00584C28" w:rsidRPr="00D2222C">
        <w:rPr>
          <w:rFonts w:ascii="Cambria" w:eastAsia="Times New Roman" w:hAnsi="Cambria"/>
          <w:sz w:val="20"/>
          <w:szCs w:val="20"/>
          <w:bdr w:val="none" w:sz="0" w:space="0" w:color="auto"/>
        </w:rPr>
        <w:t>of law</w:t>
      </w:r>
      <w:r w:rsidR="00A23924" w:rsidRPr="00D2222C">
        <w:rPr>
          <w:rFonts w:ascii="Cambria" w:eastAsia="Times New Roman" w:hAnsi="Cambria"/>
          <w:sz w:val="20"/>
          <w:szCs w:val="20"/>
          <w:bdr w:val="none" w:sz="0" w:space="0" w:color="auto"/>
        </w:rPr>
        <w:t xml:space="preserve"> </w:t>
      </w:r>
      <w:r w:rsidRPr="00D2222C">
        <w:rPr>
          <w:rFonts w:ascii="Cambria" w:eastAsia="Times New Roman" w:hAnsi="Cambria"/>
          <w:sz w:val="20"/>
          <w:szCs w:val="20"/>
          <w:bdr w:val="none" w:sz="0" w:space="0" w:color="auto"/>
        </w:rPr>
        <w:t xml:space="preserve">set forth in Articles </w:t>
      </w:r>
      <w:r w:rsidR="00584C28" w:rsidRPr="00D2222C">
        <w:rPr>
          <w:rFonts w:ascii="Cambria" w:eastAsia="Times New Roman" w:hAnsi="Cambria"/>
          <w:sz w:val="20"/>
          <w:szCs w:val="20"/>
          <w:bdr w:val="none" w:sz="0" w:space="0" w:color="auto"/>
        </w:rPr>
        <w:t xml:space="preserve">XVIII and </w:t>
      </w:r>
      <w:r w:rsidRPr="00D2222C">
        <w:rPr>
          <w:rFonts w:ascii="Cambria" w:eastAsia="Times New Roman" w:hAnsi="Cambria"/>
          <w:sz w:val="20"/>
          <w:szCs w:val="20"/>
          <w:bdr w:val="none" w:sz="0" w:space="0" w:color="auto"/>
        </w:rPr>
        <w:t>XXV</w:t>
      </w:r>
      <w:r w:rsidR="00584C28" w:rsidRPr="00D2222C">
        <w:rPr>
          <w:rFonts w:ascii="Cambria" w:eastAsia="Times New Roman" w:hAnsi="Cambria"/>
          <w:sz w:val="20"/>
          <w:szCs w:val="20"/>
          <w:bdr w:val="none" w:sz="0" w:space="0" w:color="auto"/>
        </w:rPr>
        <w:t>I</w:t>
      </w:r>
      <w:r w:rsidRPr="00D2222C">
        <w:rPr>
          <w:rFonts w:ascii="Cambria" w:eastAsia="Times New Roman" w:hAnsi="Cambria"/>
          <w:sz w:val="20"/>
          <w:szCs w:val="20"/>
          <w:bdr w:val="none" w:sz="0" w:space="0" w:color="auto"/>
        </w:rPr>
        <w:t xml:space="preserve"> of the Declaration. </w:t>
      </w:r>
    </w:p>
    <w:p w14:paraId="35353A4C" w14:textId="77777777" w:rsidR="00A24331" w:rsidRPr="00D2222C" w:rsidRDefault="00A24331" w:rsidP="009412E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rPr>
      </w:pPr>
    </w:p>
    <w:p w14:paraId="560A4EEC" w14:textId="77777777" w:rsidR="000E1356" w:rsidRPr="00D2222C" w:rsidRDefault="000E1356" w:rsidP="009412E0">
      <w:pPr>
        <w:pStyle w:val="Heading2"/>
        <w:numPr>
          <w:ilvl w:val="0"/>
          <w:numId w:val="56"/>
        </w:numPr>
        <w:spacing w:before="0"/>
        <w:ind w:left="1440" w:hanging="720"/>
        <w:jc w:val="both"/>
        <w:rPr>
          <w:color w:val="auto"/>
          <w:sz w:val="20"/>
          <w:szCs w:val="20"/>
        </w:rPr>
      </w:pPr>
      <w:bookmarkStart w:id="33" w:name="_Toc26550941"/>
      <w:r w:rsidRPr="00D2222C">
        <w:rPr>
          <w:color w:val="auto"/>
          <w:sz w:val="20"/>
          <w:szCs w:val="20"/>
        </w:rPr>
        <w:t>The right to life</w:t>
      </w:r>
      <w:r w:rsidRPr="00D2222C">
        <w:rPr>
          <w:rStyle w:val="FootnoteReference"/>
          <w:color w:val="auto"/>
          <w:sz w:val="20"/>
          <w:szCs w:val="20"/>
        </w:rPr>
        <w:footnoteReference w:id="90"/>
      </w:r>
      <w:r w:rsidRPr="00D2222C">
        <w:rPr>
          <w:color w:val="auto"/>
          <w:sz w:val="20"/>
          <w:szCs w:val="20"/>
        </w:rPr>
        <w:t xml:space="preserve"> </w:t>
      </w:r>
      <w:r w:rsidR="00A5028C" w:rsidRPr="00D2222C">
        <w:rPr>
          <w:color w:val="auto"/>
          <w:sz w:val="20"/>
          <w:szCs w:val="20"/>
        </w:rPr>
        <w:t xml:space="preserve">and the right to protection against cruel, infamous or unusual punishment </w:t>
      </w:r>
      <w:r w:rsidRPr="00D2222C">
        <w:rPr>
          <w:color w:val="auto"/>
          <w:sz w:val="20"/>
          <w:szCs w:val="20"/>
        </w:rPr>
        <w:t xml:space="preserve">with respect to the eventual execution of </w:t>
      </w:r>
      <w:bookmarkEnd w:id="30"/>
      <w:bookmarkEnd w:id="31"/>
      <w:bookmarkEnd w:id="32"/>
      <w:r w:rsidRPr="00D2222C">
        <w:rPr>
          <w:color w:val="auto"/>
          <w:sz w:val="20"/>
          <w:szCs w:val="20"/>
        </w:rPr>
        <w:t>Orlando Cordia Hall</w:t>
      </w:r>
      <w:bookmarkEnd w:id="33"/>
    </w:p>
    <w:p w14:paraId="6482A15A" w14:textId="77777777" w:rsidR="000E1356" w:rsidRPr="00D2222C" w:rsidRDefault="000E1356" w:rsidP="009412E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2040"/>
        </w:tabs>
        <w:autoSpaceDE w:val="0"/>
        <w:autoSpaceDN w:val="0"/>
        <w:adjustRightInd w:val="0"/>
        <w:jc w:val="both"/>
        <w:rPr>
          <w:rFonts w:ascii="Cambria" w:hAnsi="Cambria"/>
          <w:bCs/>
          <w:sz w:val="20"/>
          <w:szCs w:val="20"/>
        </w:rPr>
      </w:pPr>
    </w:p>
    <w:p w14:paraId="0274EFF0" w14:textId="77777777" w:rsidR="000E1356" w:rsidRPr="00D2222C" w:rsidRDefault="000E1356"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rPr>
      </w:pPr>
      <w:r w:rsidRPr="00D2222C">
        <w:rPr>
          <w:rFonts w:ascii="Cambria" w:hAnsi="Cambria"/>
          <w:sz w:val="20"/>
          <w:szCs w:val="20"/>
        </w:rPr>
        <w:t xml:space="preserve">The Commission reiterates that it is not competent to review judgments handed down by domestic courts acting within their spheres of competence and with due judicial guarantees. In principle that is because </w:t>
      </w:r>
      <w:r w:rsidRPr="00D2222C">
        <w:rPr>
          <w:rFonts w:ascii="Cambria" w:hAnsi="Cambria"/>
          <w:sz w:val="20"/>
          <w:szCs w:val="20"/>
        </w:rPr>
        <w:lastRenderedPageBreak/>
        <w:t>the IACHR does not have the authority to superimpose its own interpretations on the assessment of facts made by national courts. The fourth instance formula, however, does not preclude the Commission from considering a case in which the petitioner's allegations entail a possible violation of any of the rights set forth in the Declaration.</w:t>
      </w:r>
      <w:r w:rsidRPr="00D2222C">
        <w:rPr>
          <w:rStyle w:val="FootnoteReference"/>
          <w:rFonts w:ascii="Cambria" w:hAnsi="Cambria"/>
          <w:sz w:val="20"/>
          <w:szCs w:val="20"/>
        </w:rPr>
        <w:footnoteReference w:id="91"/>
      </w:r>
      <w:r w:rsidRPr="00D2222C">
        <w:rPr>
          <w:rFonts w:ascii="Cambria" w:hAnsi="Cambria"/>
          <w:sz w:val="20"/>
          <w:szCs w:val="20"/>
        </w:rPr>
        <w:t xml:space="preserve">  This authority is heightened in cases involving imposition of the death penalty, given its irreversibility. </w:t>
      </w:r>
    </w:p>
    <w:p w14:paraId="5B256F6D" w14:textId="77777777" w:rsidR="000E1356" w:rsidRPr="00D2222C" w:rsidRDefault="000E1356" w:rsidP="009E384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num" w:pos="2040"/>
        </w:tabs>
        <w:autoSpaceDE w:val="0"/>
        <w:autoSpaceDN w:val="0"/>
        <w:adjustRightInd w:val="0"/>
        <w:jc w:val="both"/>
        <w:rPr>
          <w:rFonts w:ascii="Cambria" w:hAnsi="Cambria"/>
          <w:bCs/>
          <w:sz w:val="20"/>
          <w:szCs w:val="20"/>
        </w:rPr>
      </w:pPr>
    </w:p>
    <w:p w14:paraId="46308D01" w14:textId="77777777" w:rsidR="000E1356" w:rsidRPr="00D2222C" w:rsidRDefault="000E1356"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rPr>
      </w:pPr>
      <w:r w:rsidRPr="00D2222C">
        <w:rPr>
          <w:rFonts w:ascii="Cambria" w:hAnsi="Cambria"/>
          <w:sz w:val="20"/>
          <w:szCs w:val="20"/>
        </w:rPr>
        <w:t>As indicated above, the Inter-American Commission considers that it is incumbent upon the national courts, not the Commission, to interpret and apply national law. Nevertheless, the IACHR must ensure that any deprivation of life resulting from imposition of the death penalty complies with the requirements of the American Declaration.</w:t>
      </w:r>
      <w:r w:rsidRPr="00D2222C">
        <w:rPr>
          <w:rStyle w:val="FootnoteReference"/>
          <w:rFonts w:ascii="Cambria" w:hAnsi="Cambria"/>
          <w:sz w:val="20"/>
          <w:szCs w:val="20"/>
        </w:rPr>
        <w:footnoteReference w:id="92"/>
      </w:r>
    </w:p>
    <w:p w14:paraId="4F9E3920" w14:textId="77777777" w:rsidR="000E1356" w:rsidRPr="00D2222C" w:rsidRDefault="000E1356" w:rsidP="009E384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jc w:val="both"/>
        <w:rPr>
          <w:sz w:val="20"/>
          <w:szCs w:val="20"/>
        </w:rPr>
      </w:pPr>
    </w:p>
    <w:p w14:paraId="040271B2" w14:textId="77777777" w:rsidR="000E1356" w:rsidRPr="00D2222C" w:rsidRDefault="000E1356"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rPr>
      </w:pPr>
      <w:r w:rsidRPr="00D2222C">
        <w:rPr>
          <w:rFonts w:ascii="Cambria" w:hAnsi="Cambria"/>
          <w:sz w:val="20"/>
          <w:szCs w:val="20"/>
        </w:rPr>
        <w:t xml:space="preserve">Throughout this report, the Commission established that </w:t>
      </w:r>
      <w:r w:rsidR="00C14CE0" w:rsidRPr="00D2222C">
        <w:rPr>
          <w:rFonts w:ascii="Cambria" w:hAnsi="Cambria"/>
          <w:sz w:val="20"/>
          <w:szCs w:val="20"/>
        </w:rPr>
        <w:t xml:space="preserve">the United States </w:t>
      </w:r>
      <w:r w:rsidR="00C14CE0" w:rsidRPr="00D2222C">
        <w:rPr>
          <w:rFonts w:asciiTheme="majorHAnsi" w:hAnsiTheme="majorHAnsi"/>
          <w:bCs/>
          <w:sz w:val="20"/>
          <w:szCs w:val="20"/>
        </w:rPr>
        <w:t>failed to fully respond to the allegations concerning possible racial discrimination raised in Mr. Hall’s case</w:t>
      </w:r>
      <w:r w:rsidRPr="00D2222C">
        <w:rPr>
          <w:rFonts w:ascii="Cambria" w:hAnsi="Cambria"/>
          <w:sz w:val="20"/>
          <w:szCs w:val="20"/>
        </w:rPr>
        <w:t xml:space="preserve">. The Commission also established </w:t>
      </w:r>
      <w:r w:rsidR="003A4B42" w:rsidRPr="00D2222C">
        <w:rPr>
          <w:rFonts w:ascii="Cambria" w:hAnsi="Cambria"/>
          <w:sz w:val="20"/>
          <w:szCs w:val="20"/>
        </w:rPr>
        <w:t xml:space="preserve">that Mr. Hall was deprived of effective assistance of counsel and that his </w:t>
      </w:r>
      <w:r w:rsidR="003A4B42" w:rsidRPr="00D2222C">
        <w:rPr>
          <w:rStyle w:val="apple-style-span"/>
          <w:rFonts w:asciiTheme="majorHAnsi" w:hAnsiTheme="majorHAnsi" w:cs="Arial"/>
          <w:sz w:val="20"/>
          <w:szCs w:val="20"/>
        </w:rPr>
        <w:t xml:space="preserve">right to an effective remedy has been violated. The Commission further concluded that </w:t>
      </w:r>
      <w:r w:rsidR="00973675" w:rsidRPr="00D2222C">
        <w:rPr>
          <w:rStyle w:val="apple-style-span"/>
          <w:rFonts w:asciiTheme="majorHAnsi" w:hAnsiTheme="majorHAnsi" w:cs="Arial"/>
          <w:sz w:val="20"/>
          <w:szCs w:val="20"/>
        </w:rPr>
        <w:t xml:space="preserve">the </w:t>
      </w:r>
      <w:r w:rsidR="00973675" w:rsidRPr="00D2222C">
        <w:rPr>
          <w:rFonts w:ascii="Cambria" w:hAnsi="Cambria"/>
          <w:sz w:val="20"/>
          <w:szCs w:val="20"/>
        </w:rPr>
        <w:t xml:space="preserve">executive clemency process fails to guarantee the right to minimal fairness guarantees </w:t>
      </w:r>
      <w:r w:rsidR="00A87FF5" w:rsidRPr="00D2222C">
        <w:rPr>
          <w:rFonts w:ascii="Cambria" w:hAnsi="Cambria"/>
          <w:sz w:val="20"/>
          <w:szCs w:val="20"/>
        </w:rPr>
        <w:t xml:space="preserve">and that </w:t>
      </w:r>
      <w:r w:rsidR="00A87FF5" w:rsidRPr="00D2222C">
        <w:rPr>
          <w:rFonts w:asciiTheme="majorHAnsi" w:hAnsiTheme="majorHAnsi"/>
          <w:sz w:val="20"/>
          <w:szCs w:val="20"/>
        </w:rPr>
        <w:t xml:space="preserve">the uncertainty about the </w:t>
      </w:r>
      <w:r w:rsidR="00A87FF5" w:rsidRPr="00D2222C">
        <w:rPr>
          <w:rFonts w:ascii="Cambria" w:hAnsi="Cambria"/>
          <w:sz w:val="20"/>
          <w:szCs w:val="20"/>
        </w:rPr>
        <w:t>execution process</w:t>
      </w:r>
      <w:r w:rsidR="00A87FF5" w:rsidRPr="00D2222C">
        <w:rPr>
          <w:rFonts w:ascii="Cambria" w:eastAsia="Times New Roman" w:hAnsi="Cambria"/>
          <w:sz w:val="20"/>
          <w:szCs w:val="20"/>
          <w:bdr w:val="none" w:sz="0" w:space="0" w:color="auto"/>
        </w:rPr>
        <w:t xml:space="preserve"> amounts to a violation of Mr. Hall’s right to humane treatment</w:t>
      </w:r>
      <w:r w:rsidRPr="00D2222C">
        <w:rPr>
          <w:rFonts w:ascii="Cambria" w:hAnsi="Cambria"/>
          <w:sz w:val="20"/>
          <w:szCs w:val="20"/>
        </w:rPr>
        <w:t xml:space="preserve">. Moreover, </w:t>
      </w:r>
      <w:r w:rsidR="00684434" w:rsidRPr="00D2222C">
        <w:rPr>
          <w:rFonts w:ascii="Cambria" w:hAnsi="Cambria"/>
          <w:sz w:val="20"/>
          <w:szCs w:val="20"/>
        </w:rPr>
        <w:t xml:space="preserve">the IACHR found that </w:t>
      </w:r>
      <w:r w:rsidR="00684434" w:rsidRPr="00D2222C">
        <w:rPr>
          <w:rFonts w:ascii="Cambria" w:eastAsia="Times New Roman" w:hAnsi="Cambria"/>
          <w:sz w:val="20"/>
          <w:szCs w:val="20"/>
          <w:bdr w:val="none" w:sz="0" w:space="0" w:color="auto"/>
        </w:rPr>
        <w:t xml:space="preserve">by refusing to provide information on </w:t>
      </w:r>
      <w:r w:rsidR="00684434" w:rsidRPr="00D2222C">
        <w:rPr>
          <w:rFonts w:ascii="Cambria" w:hAnsi="Cambria"/>
          <w:sz w:val="20"/>
          <w:szCs w:val="20"/>
        </w:rPr>
        <w:t xml:space="preserve">the arguments presented by the government to seek the death penalty and </w:t>
      </w:r>
      <w:r w:rsidR="00684434" w:rsidRPr="00D2222C">
        <w:rPr>
          <w:rFonts w:ascii="Cambria" w:eastAsia="Times New Roman" w:hAnsi="Cambria"/>
          <w:sz w:val="20"/>
          <w:szCs w:val="20"/>
          <w:bdr w:val="none" w:sz="0" w:space="0" w:color="auto"/>
        </w:rPr>
        <w:t xml:space="preserve">to reveal the execution protocol, the State has violated Mr. Hall’s right to access to information. </w:t>
      </w:r>
      <w:r w:rsidR="00684434" w:rsidRPr="00D2222C">
        <w:rPr>
          <w:rFonts w:ascii="Cambria" w:hAnsi="Cambria"/>
          <w:sz w:val="20"/>
          <w:szCs w:val="20"/>
        </w:rPr>
        <w:t xml:space="preserve">Finally, </w:t>
      </w:r>
      <w:r w:rsidRPr="00D2222C">
        <w:rPr>
          <w:rFonts w:ascii="Cambria" w:hAnsi="Cambria"/>
          <w:sz w:val="20"/>
          <w:szCs w:val="20"/>
        </w:rPr>
        <w:t xml:space="preserve">the Commission established that the </w:t>
      </w:r>
      <w:r w:rsidR="003A4B42" w:rsidRPr="00D2222C">
        <w:rPr>
          <w:rFonts w:ascii="Cambria" w:hAnsi="Cambria"/>
          <w:sz w:val="20"/>
          <w:szCs w:val="20"/>
        </w:rPr>
        <w:t>almost 23</w:t>
      </w:r>
      <w:r w:rsidRPr="00D2222C">
        <w:rPr>
          <w:rFonts w:ascii="Cambria" w:hAnsi="Cambria"/>
          <w:sz w:val="20"/>
          <w:szCs w:val="20"/>
        </w:rPr>
        <w:t xml:space="preserve"> years that Mr. </w:t>
      </w:r>
      <w:r w:rsidR="003A4B42" w:rsidRPr="00D2222C">
        <w:rPr>
          <w:rFonts w:ascii="Cambria" w:hAnsi="Cambria"/>
          <w:sz w:val="20"/>
          <w:szCs w:val="20"/>
        </w:rPr>
        <w:t xml:space="preserve">Hall </w:t>
      </w:r>
      <w:r w:rsidRPr="00D2222C">
        <w:rPr>
          <w:rFonts w:ascii="Cambria" w:hAnsi="Cambria"/>
          <w:sz w:val="20"/>
          <w:szCs w:val="20"/>
        </w:rPr>
        <w:t xml:space="preserve">has been in death row constitute cruel and inhuman treatment.  </w:t>
      </w:r>
    </w:p>
    <w:p w14:paraId="6CD070CF" w14:textId="77777777" w:rsidR="000E1356" w:rsidRPr="00D2222C" w:rsidRDefault="000E1356" w:rsidP="009E3847">
      <w:pPr>
        <w:pStyle w:val="ListParagraph"/>
        <w:tabs>
          <w:tab w:val="left" w:pos="720"/>
        </w:tabs>
        <w:ind w:left="0"/>
        <w:rPr>
          <w:sz w:val="20"/>
          <w:szCs w:val="20"/>
        </w:rPr>
      </w:pPr>
    </w:p>
    <w:p w14:paraId="1384A96B" w14:textId="77777777" w:rsidR="000E1356" w:rsidRPr="00D2222C" w:rsidRDefault="000E1356"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rPr>
      </w:pPr>
      <w:r w:rsidRPr="00D2222C">
        <w:rPr>
          <w:rFonts w:ascii="Cambria" w:hAnsi="Cambria"/>
          <w:sz w:val="20"/>
          <w:szCs w:val="20"/>
        </w:rPr>
        <w:t>Under these circumstances, the IACHR has maintained that executing a person after proceedings that were conducted in violation of his rights would be extremely grave and constitute a deliberate violation of the right to life established in Article I of the American Declaration.</w:t>
      </w:r>
      <w:r w:rsidRPr="00D2222C">
        <w:rPr>
          <w:rStyle w:val="FootnoteReference"/>
          <w:rFonts w:ascii="Cambria" w:hAnsi="Cambria"/>
          <w:sz w:val="20"/>
          <w:szCs w:val="20"/>
        </w:rPr>
        <w:footnoteReference w:id="93"/>
      </w:r>
      <w:r w:rsidRPr="00D2222C">
        <w:rPr>
          <w:rFonts w:ascii="Cambria" w:hAnsi="Cambria"/>
          <w:sz w:val="20"/>
          <w:szCs w:val="20"/>
        </w:rPr>
        <w:t xml:space="preserve"> </w:t>
      </w:r>
      <w:r w:rsidR="00A5028C" w:rsidRPr="00D2222C">
        <w:rPr>
          <w:rFonts w:ascii="Cambria" w:hAnsi="Cambria"/>
          <w:sz w:val="20"/>
          <w:szCs w:val="20"/>
        </w:rPr>
        <w:t xml:space="preserve">Further, based on the conclusions regarding the deprivation of liberty on death row, the eventual execution of Mr. Hall would constitute, by any account, a violation of the right to protection against cruel, infamous or unusual punishment. </w:t>
      </w:r>
      <w:r w:rsidRPr="00D2222C">
        <w:rPr>
          <w:rFonts w:ascii="Cambria" w:hAnsi="Cambria"/>
          <w:sz w:val="20"/>
          <w:szCs w:val="20"/>
        </w:rPr>
        <w:t>In light of</w:t>
      </w:r>
      <w:r w:rsidRPr="00D2222C">
        <w:rPr>
          <w:rFonts w:ascii="Cambria" w:hAnsi="Cambria"/>
          <w:sz w:val="20"/>
          <w:szCs w:val="20"/>
          <w:lang w:val="en"/>
        </w:rPr>
        <w:t xml:space="preserve"> the foregoing and taking into account the determinations made throughout this report, the IACHR concludes that the execution of </w:t>
      </w:r>
      <w:r w:rsidR="003A4B42" w:rsidRPr="00D2222C">
        <w:rPr>
          <w:rFonts w:ascii="Cambria" w:hAnsi="Cambria"/>
          <w:sz w:val="20"/>
          <w:szCs w:val="20"/>
          <w:lang w:val="en"/>
        </w:rPr>
        <w:t>Orlando Cordia Hall</w:t>
      </w:r>
      <w:r w:rsidRPr="00D2222C">
        <w:rPr>
          <w:rFonts w:ascii="Cambria" w:hAnsi="Cambria"/>
          <w:sz w:val="20"/>
          <w:szCs w:val="20"/>
          <w:lang w:val="en"/>
        </w:rPr>
        <w:t xml:space="preserve"> would constitute a serious violation of his rights to life </w:t>
      </w:r>
      <w:r w:rsidRPr="00D2222C">
        <w:rPr>
          <w:rFonts w:ascii="Cambria" w:hAnsi="Cambria"/>
          <w:sz w:val="20"/>
          <w:szCs w:val="20"/>
        </w:rPr>
        <w:t>established in Articles I of the American Declaration.</w:t>
      </w:r>
    </w:p>
    <w:p w14:paraId="636416DB" w14:textId="77777777" w:rsidR="004A2280" w:rsidRPr="00D2222C" w:rsidRDefault="004A2280" w:rsidP="004A2280">
      <w:pPr>
        <w:pStyle w:val="ListParagraph"/>
        <w:rPr>
          <w:sz w:val="20"/>
          <w:szCs w:val="20"/>
        </w:rPr>
      </w:pPr>
    </w:p>
    <w:p w14:paraId="11CDB71D" w14:textId="77777777" w:rsidR="004A2280" w:rsidRPr="00D2222C" w:rsidRDefault="0030197A" w:rsidP="009E3847">
      <w:pPr>
        <w:pStyle w:val="Heading1"/>
        <w:spacing w:before="0"/>
        <w:ind w:left="1440" w:hanging="720"/>
        <w:rPr>
          <w:color w:val="auto"/>
          <w:sz w:val="20"/>
          <w:szCs w:val="20"/>
        </w:rPr>
      </w:pPr>
      <w:bookmarkStart w:id="34" w:name="_Toc26550942"/>
      <w:r w:rsidRPr="00D2222C">
        <w:rPr>
          <w:color w:val="auto"/>
          <w:sz w:val="20"/>
          <w:szCs w:val="20"/>
        </w:rPr>
        <w:t>ACTIONS</w:t>
      </w:r>
      <w:r w:rsidR="004A2280" w:rsidRPr="00D2222C">
        <w:rPr>
          <w:color w:val="auto"/>
          <w:sz w:val="20"/>
          <w:szCs w:val="20"/>
        </w:rPr>
        <w:t xml:space="preserve"> SUBSEQUENT TO REPORT No. 155/18</w:t>
      </w:r>
      <w:bookmarkEnd w:id="34"/>
    </w:p>
    <w:p w14:paraId="1BF68810" w14:textId="77777777" w:rsidR="004A2280" w:rsidRPr="00D2222C" w:rsidRDefault="004A2280" w:rsidP="004A2280"/>
    <w:p w14:paraId="5BCE8DF3" w14:textId="77777777" w:rsidR="0030197A" w:rsidRPr="00D2222C" w:rsidRDefault="0030197A"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rPr>
      </w:pPr>
      <w:r w:rsidRPr="00D2222C">
        <w:rPr>
          <w:rFonts w:ascii="Cambria" w:hAnsi="Cambria"/>
          <w:sz w:val="20"/>
          <w:szCs w:val="20"/>
        </w:rPr>
        <w:t xml:space="preserve">On December 7, 2018, the Commission approved Report No. 155/18 on the merits of the instant case, which encompasses paragraphs 1 to 98 </w:t>
      </w:r>
      <w:r w:rsidRPr="00D2222C">
        <w:rPr>
          <w:rFonts w:ascii="Cambria" w:hAnsi="Cambria"/>
          <w:i/>
          <w:sz w:val="20"/>
          <w:szCs w:val="20"/>
        </w:rPr>
        <w:t>supra</w:t>
      </w:r>
      <w:r w:rsidRPr="00D2222C">
        <w:rPr>
          <w:rFonts w:ascii="Cambria" w:hAnsi="Cambria"/>
          <w:sz w:val="20"/>
          <w:szCs w:val="20"/>
        </w:rPr>
        <w:t xml:space="preserve">, and issued the following recommendations to the State: </w:t>
      </w:r>
    </w:p>
    <w:p w14:paraId="1E288FB3" w14:textId="77777777" w:rsidR="0030197A" w:rsidRPr="00D2222C" w:rsidRDefault="0030197A" w:rsidP="0030197A"/>
    <w:p w14:paraId="151D9980" w14:textId="77777777" w:rsidR="0030197A" w:rsidRPr="00D2222C" w:rsidRDefault="0030197A" w:rsidP="0030197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r w:rsidRPr="00D2222C">
        <w:rPr>
          <w:rFonts w:eastAsia="Times New Roman" w:cs="Tahoma"/>
          <w:sz w:val="20"/>
          <w:szCs w:val="20"/>
          <w:bdr w:val="none" w:sz="0" w:space="0" w:color="auto"/>
        </w:rPr>
        <w:t xml:space="preserve">Grant Orlando Cordia Hall effective relief, including the review of his trial and sentence in accordance with the right to equality before the law and the guarantees of fair trial and due process set forth in Articles II, XVIII and XXVI of the American Declaration. </w:t>
      </w:r>
      <w:r w:rsidRPr="00D2222C">
        <w:rPr>
          <w:rFonts w:cs="Arial"/>
          <w:color w:val="auto"/>
          <w:sz w:val="20"/>
          <w:szCs w:val="20"/>
        </w:rPr>
        <w:t>Taking into account the conclusions of the IACHR on the time Orlando Cordia Hall has been held on death row, the Commission recommends that his sentence be commuted</w:t>
      </w:r>
      <w:r w:rsidRPr="00D2222C">
        <w:rPr>
          <w:rFonts w:eastAsia="Times New Roman" w:cs="Tahoma"/>
          <w:sz w:val="20"/>
          <w:szCs w:val="20"/>
          <w:bdr w:val="none" w:sz="0" w:space="0" w:color="auto"/>
        </w:rPr>
        <w:t>.</w:t>
      </w:r>
    </w:p>
    <w:p w14:paraId="2B968451" w14:textId="77777777" w:rsidR="0030197A" w:rsidRPr="00D2222C" w:rsidRDefault="0030197A" w:rsidP="0030197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jc w:val="both"/>
        <w:rPr>
          <w:rFonts w:eastAsia="Times New Roman" w:cs="Tahoma"/>
          <w:sz w:val="20"/>
          <w:szCs w:val="20"/>
          <w:bdr w:val="none" w:sz="0" w:space="0" w:color="auto"/>
        </w:rPr>
      </w:pPr>
    </w:p>
    <w:p w14:paraId="485ECF79" w14:textId="77777777" w:rsidR="0030197A" w:rsidRPr="00D2222C" w:rsidRDefault="0030197A" w:rsidP="0030197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r w:rsidRPr="00D2222C">
        <w:rPr>
          <w:sz w:val="20"/>
        </w:rPr>
        <w:t>Review its laws, procedures, and practices to ensure that persons accused of capital crimes are tried and, if convicted, sentenced in accordance with the rights established in the American Declaration, including Articles I, II, XVIII, XXV and XXVI thereof.</w:t>
      </w:r>
    </w:p>
    <w:p w14:paraId="784A29B3" w14:textId="77777777" w:rsidR="0030197A" w:rsidRPr="00D2222C" w:rsidRDefault="0030197A" w:rsidP="0030197A">
      <w:pPr>
        <w:pStyle w:val="ListParagraph"/>
        <w:rPr>
          <w:sz w:val="20"/>
        </w:rPr>
      </w:pPr>
    </w:p>
    <w:p w14:paraId="502EA293" w14:textId="77777777" w:rsidR="0030197A" w:rsidRPr="00D2222C" w:rsidRDefault="0030197A" w:rsidP="0030197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r w:rsidRPr="00D2222C">
        <w:rPr>
          <w:sz w:val="20"/>
        </w:rPr>
        <w:t>Ensure that the legal counsel provided by the State in death penalty cases is effective and adequately trained to serve in death penalty cases.</w:t>
      </w:r>
    </w:p>
    <w:p w14:paraId="281FC6A2" w14:textId="77777777" w:rsidR="0030197A" w:rsidRPr="00D2222C" w:rsidRDefault="0030197A" w:rsidP="0030197A">
      <w:pPr>
        <w:pStyle w:val="ListParagraph"/>
        <w:rPr>
          <w:sz w:val="20"/>
        </w:rPr>
      </w:pPr>
    </w:p>
    <w:p w14:paraId="6613F789" w14:textId="77777777" w:rsidR="0030197A" w:rsidRPr="00D2222C" w:rsidRDefault="0030197A" w:rsidP="0030197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r w:rsidRPr="00D2222C">
        <w:rPr>
          <w:sz w:val="20"/>
        </w:rPr>
        <w:t xml:space="preserve">Review the executive clemency procedure to ensure impartiality and compliance with </w:t>
      </w:r>
      <w:r w:rsidRPr="00D2222C">
        <w:rPr>
          <w:rFonts w:eastAsia="Arial Unicode MS"/>
          <w:sz w:val="20"/>
          <w:szCs w:val="20"/>
        </w:rPr>
        <w:t>the right to minimal fairness guarantees.</w:t>
      </w:r>
    </w:p>
    <w:p w14:paraId="270C35F0" w14:textId="77777777" w:rsidR="0030197A" w:rsidRPr="00D2222C" w:rsidRDefault="0030197A" w:rsidP="0030197A">
      <w:pPr>
        <w:pStyle w:val="ListParagraph"/>
        <w:rPr>
          <w:rFonts w:asciiTheme="majorHAnsi" w:eastAsia="Times New Roman" w:hAnsiTheme="majorHAnsi" w:cs="Tahoma"/>
          <w:sz w:val="20"/>
          <w:szCs w:val="20"/>
          <w:bdr w:val="none" w:sz="0" w:space="0" w:color="auto"/>
        </w:rPr>
      </w:pPr>
    </w:p>
    <w:p w14:paraId="1A7DF2A2" w14:textId="77777777" w:rsidR="0030197A" w:rsidRPr="00D2222C" w:rsidRDefault="0030197A" w:rsidP="0030197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r w:rsidRPr="00D2222C">
        <w:rPr>
          <w:rFonts w:asciiTheme="majorHAnsi" w:eastAsia="Times New Roman" w:hAnsiTheme="majorHAnsi" w:cs="Tahoma"/>
          <w:sz w:val="20"/>
          <w:szCs w:val="20"/>
          <w:bdr w:val="none" w:sz="0" w:space="0" w:color="auto"/>
        </w:rPr>
        <w:t xml:space="preserve">Ensure that the federal lethal injection protocol complies with the </w:t>
      </w:r>
      <w:r w:rsidRPr="00D2222C">
        <w:rPr>
          <w:rFonts w:asciiTheme="majorHAnsi" w:eastAsia="Times New Roman" w:hAnsiTheme="majorHAnsi"/>
          <w:sz w:val="20"/>
          <w:szCs w:val="20"/>
          <w:bdr w:val="none" w:sz="0" w:space="0" w:color="auto"/>
        </w:rPr>
        <w:t>right to humane treatment and not to receive cruel, infamous or unusual punishment set forth in Articles XXV and XXVI of the Declaration, and that</w:t>
      </w:r>
      <w:r w:rsidRPr="00D2222C">
        <w:rPr>
          <w:rFonts w:eastAsia="Times New Roman"/>
          <w:sz w:val="20"/>
          <w:szCs w:val="20"/>
          <w:bdr w:val="none" w:sz="0" w:space="0" w:color="auto"/>
        </w:rPr>
        <w:t xml:space="preserve"> the person sentenced to death has access to all the relevant information regarding</w:t>
      </w:r>
      <w:r w:rsidRPr="00D2222C">
        <w:rPr>
          <w:rFonts w:asciiTheme="majorHAnsi" w:eastAsia="Times New Roman" w:hAnsiTheme="majorHAnsi"/>
          <w:sz w:val="20"/>
          <w:szCs w:val="20"/>
          <w:bdr w:val="none" w:sz="0" w:space="0" w:color="auto"/>
        </w:rPr>
        <w:t xml:space="preserve"> the method of execution.  </w:t>
      </w:r>
    </w:p>
    <w:p w14:paraId="6CD1FE66" w14:textId="77777777" w:rsidR="0030197A" w:rsidRPr="00D2222C" w:rsidRDefault="0030197A" w:rsidP="0030197A">
      <w:pPr>
        <w:pStyle w:val="ListParagraph"/>
        <w:rPr>
          <w:rFonts w:asciiTheme="majorHAnsi" w:hAnsiTheme="majorHAnsi"/>
          <w:sz w:val="20"/>
        </w:rPr>
      </w:pPr>
    </w:p>
    <w:p w14:paraId="4F198F2E" w14:textId="77777777" w:rsidR="0030197A" w:rsidRPr="00D2222C" w:rsidRDefault="0030197A" w:rsidP="0030197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r w:rsidRPr="00D2222C">
        <w:rPr>
          <w:rFonts w:asciiTheme="majorHAnsi" w:hAnsiTheme="majorHAnsi"/>
          <w:sz w:val="20"/>
        </w:rPr>
        <w:t>Given the violations of the American Declaration the IACHR has established in the present</w:t>
      </w:r>
      <w:r w:rsidRPr="00D2222C">
        <w:rPr>
          <w:sz w:val="20"/>
        </w:rPr>
        <w:t xml:space="preserve"> case and in others involving application of the death penalty, the Inter-American Commission also recommends to the United States that it adopt a moratorium on executions of persons sentenced to death.</w:t>
      </w:r>
      <w:r w:rsidRPr="00D2222C">
        <w:rPr>
          <w:rStyle w:val="FootnoteReference"/>
          <w:sz w:val="20"/>
        </w:rPr>
        <w:footnoteReference w:id="94"/>
      </w:r>
    </w:p>
    <w:p w14:paraId="2296C8EE" w14:textId="77777777" w:rsidR="0030197A" w:rsidRPr="00D2222C" w:rsidRDefault="0030197A" w:rsidP="0030197A"/>
    <w:p w14:paraId="0DA7178C" w14:textId="77777777" w:rsidR="004A2280" w:rsidRPr="00D2222C" w:rsidRDefault="00576EEB"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pPr>
      <w:r w:rsidRPr="00D2222C">
        <w:rPr>
          <w:rFonts w:ascii="Cambria" w:hAnsi="Cambria"/>
          <w:sz w:val="20"/>
          <w:szCs w:val="20"/>
        </w:rPr>
        <w:t>O</w:t>
      </w:r>
      <w:r w:rsidR="000B44FC" w:rsidRPr="00D2222C">
        <w:rPr>
          <w:rFonts w:ascii="Cambria" w:hAnsi="Cambria"/>
          <w:sz w:val="20"/>
          <w:szCs w:val="20"/>
        </w:rPr>
        <w:t xml:space="preserve">n </w:t>
      </w:r>
      <w:r w:rsidR="00D826D9" w:rsidRPr="00D2222C">
        <w:rPr>
          <w:rFonts w:ascii="Cambria" w:hAnsi="Cambria"/>
          <w:sz w:val="20"/>
          <w:szCs w:val="20"/>
        </w:rPr>
        <w:t xml:space="preserve">January 18, 2019, the Commission </w:t>
      </w:r>
      <w:r w:rsidR="000B44FC" w:rsidRPr="00D2222C">
        <w:rPr>
          <w:rFonts w:ascii="Cambria" w:hAnsi="Cambria"/>
          <w:sz w:val="20"/>
          <w:szCs w:val="20"/>
        </w:rPr>
        <w:t>transmitted</w:t>
      </w:r>
      <w:r w:rsidR="00D826D9" w:rsidRPr="00D2222C">
        <w:rPr>
          <w:rFonts w:ascii="Cambria" w:hAnsi="Cambria"/>
          <w:sz w:val="20"/>
          <w:szCs w:val="20"/>
        </w:rPr>
        <w:t xml:space="preserve"> the report to the State</w:t>
      </w:r>
      <w:r w:rsidR="000B44FC" w:rsidRPr="00D2222C">
        <w:rPr>
          <w:rFonts w:ascii="Cambria" w:hAnsi="Cambria"/>
          <w:sz w:val="20"/>
          <w:szCs w:val="20"/>
        </w:rPr>
        <w:t xml:space="preserve"> with a time period of two months to </w:t>
      </w:r>
      <w:r w:rsidRPr="00D2222C">
        <w:rPr>
          <w:rFonts w:ascii="Cambria" w:hAnsi="Cambria"/>
          <w:sz w:val="20"/>
          <w:szCs w:val="20"/>
        </w:rPr>
        <w:t>inform the Inter-American Commission on the measures taken to comply with its re</w:t>
      </w:r>
      <w:r w:rsidR="000B44FC" w:rsidRPr="00D2222C">
        <w:rPr>
          <w:rFonts w:ascii="Cambria" w:hAnsi="Cambria"/>
          <w:sz w:val="20"/>
          <w:szCs w:val="20"/>
        </w:rPr>
        <w:t xml:space="preserve">commendations. On that same date the IACHR </w:t>
      </w:r>
      <w:r w:rsidR="005B4672" w:rsidRPr="00D2222C">
        <w:rPr>
          <w:rFonts w:ascii="Cambria" w:hAnsi="Cambria"/>
          <w:sz w:val="20"/>
          <w:szCs w:val="20"/>
        </w:rPr>
        <w:t>notified</w:t>
      </w:r>
      <w:r w:rsidR="000B44FC" w:rsidRPr="00D2222C">
        <w:rPr>
          <w:rFonts w:ascii="Cambria" w:hAnsi="Cambria"/>
          <w:sz w:val="20"/>
          <w:szCs w:val="20"/>
        </w:rPr>
        <w:t xml:space="preserve"> the</w:t>
      </w:r>
      <w:r w:rsidR="005B4672" w:rsidRPr="00D2222C">
        <w:rPr>
          <w:rFonts w:ascii="Cambria" w:hAnsi="Cambria"/>
          <w:sz w:val="20"/>
          <w:szCs w:val="20"/>
        </w:rPr>
        <w:t xml:space="preserve"> petitioners about the adoption of the</w:t>
      </w:r>
      <w:r w:rsidR="000B44FC" w:rsidRPr="00D2222C">
        <w:rPr>
          <w:rFonts w:ascii="Cambria" w:hAnsi="Cambria"/>
          <w:sz w:val="20"/>
          <w:szCs w:val="20"/>
        </w:rPr>
        <w:t xml:space="preserve"> report. To date, the IACHR has not received any response from the United States</w:t>
      </w:r>
      <w:r w:rsidRPr="00D2222C">
        <w:rPr>
          <w:rFonts w:ascii="Cambria" w:hAnsi="Cambria"/>
          <w:sz w:val="20"/>
          <w:szCs w:val="20"/>
        </w:rPr>
        <w:t xml:space="preserve"> regarding Report No. 155/18</w:t>
      </w:r>
      <w:r w:rsidR="000B44FC" w:rsidRPr="00D2222C">
        <w:rPr>
          <w:rFonts w:ascii="Cambria" w:hAnsi="Cambria"/>
          <w:sz w:val="20"/>
          <w:szCs w:val="20"/>
        </w:rPr>
        <w:t>.</w:t>
      </w:r>
    </w:p>
    <w:p w14:paraId="5E3F1B77" w14:textId="77777777" w:rsidR="004A2280" w:rsidRDefault="004A2280" w:rsidP="004A2280"/>
    <w:p w14:paraId="360D9A9E" w14:textId="77777777" w:rsidR="00EA14E5" w:rsidRPr="00261687" w:rsidRDefault="00EA14E5" w:rsidP="00EA14E5">
      <w:pPr>
        <w:pStyle w:val="Heading1"/>
        <w:spacing w:before="0"/>
        <w:ind w:left="1440" w:hanging="720"/>
        <w:rPr>
          <w:color w:val="auto"/>
          <w:sz w:val="20"/>
          <w:szCs w:val="20"/>
        </w:rPr>
      </w:pPr>
      <w:bookmarkStart w:id="35" w:name="_Toc26550943"/>
      <w:r w:rsidRPr="00261687">
        <w:rPr>
          <w:color w:val="auto"/>
          <w:sz w:val="20"/>
          <w:szCs w:val="20"/>
        </w:rPr>
        <w:t>ACTIONS SUBSEQUENT TO REPORT No. 90/19</w:t>
      </w:r>
      <w:bookmarkEnd w:id="35"/>
    </w:p>
    <w:p w14:paraId="42F178F0" w14:textId="77777777" w:rsidR="00EA14E5" w:rsidRPr="00261687" w:rsidRDefault="00EA14E5" w:rsidP="004A2280"/>
    <w:p w14:paraId="44B96B59" w14:textId="77777777" w:rsidR="00B43E7C" w:rsidRPr="00261687" w:rsidRDefault="00EA14E5" w:rsidP="00EA14E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pPr>
      <w:r w:rsidRPr="00261687">
        <w:rPr>
          <w:rFonts w:ascii="Cambria" w:hAnsi="Cambria"/>
          <w:sz w:val="20"/>
          <w:szCs w:val="20"/>
        </w:rPr>
        <w:t>On</w:t>
      </w:r>
      <w:r w:rsidR="00D01A32" w:rsidRPr="00261687">
        <w:rPr>
          <w:rFonts w:ascii="Cambria" w:hAnsi="Cambria"/>
          <w:sz w:val="20"/>
          <w:szCs w:val="20"/>
        </w:rPr>
        <w:t xml:space="preserve"> June 10, 2019,</w:t>
      </w:r>
      <w:r w:rsidRPr="00261687">
        <w:rPr>
          <w:rFonts w:ascii="Cambria" w:hAnsi="Cambria"/>
          <w:sz w:val="20"/>
          <w:szCs w:val="20"/>
        </w:rPr>
        <w:t xml:space="preserve"> the Commission approved </w:t>
      </w:r>
      <w:r w:rsidR="002F3376" w:rsidRPr="00261687">
        <w:rPr>
          <w:rFonts w:ascii="Cambria" w:hAnsi="Cambria"/>
          <w:sz w:val="20"/>
          <w:szCs w:val="20"/>
        </w:rPr>
        <w:t>F</w:t>
      </w:r>
      <w:r w:rsidR="00B43E7C" w:rsidRPr="00261687">
        <w:rPr>
          <w:rFonts w:ascii="Cambria" w:hAnsi="Cambria"/>
          <w:sz w:val="20"/>
          <w:szCs w:val="20"/>
        </w:rPr>
        <w:t xml:space="preserve">inal Merits </w:t>
      </w:r>
      <w:r w:rsidRPr="00261687">
        <w:rPr>
          <w:rFonts w:ascii="Cambria" w:hAnsi="Cambria"/>
          <w:sz w:val="20"/>
          <w:szCs w:val="20"/>
        </w:rPr>
        <w:t xml:space="preserve">Report No. 90/19, which encompasses paragraphs 1 to 100 </w:t>
      </w:r>
      <w:r w:rsidRPr="00261687">
        <w:rPr>
          <w:rFonts w:ascii="Cambria" w:hAnsi="Cambria"/>
          <w:i/>
          <w:sz w:val="20"/>
          <w:szCs w:val="20"/>
        </w:rPr>
        <w:t>supra</w:t>
      </w:r>
      <w:r w:rsidRPr="00261687">
        <w:rPr>
          <w:rFonts w:ascii="Cambria" w:hAnsi="Cambria"/>
          <w:sz w:val="20"/>
          <w:szCs w:val="20"/>
        </w:rPr>
        <w:t xml:space="preserve">, and issued its final conclusions and recommendations to the State. On </w:t>
      </w:r>
      <w:r w:rsidR="00D01A32" w:rsidRPr="00261687">
        <w:rPr>
          <w:rFonts w:ascii="Cambria" w:hAnsi="Cambria"/>
          <w:sz w:val="20"/>
          <w:szCs w:val="20"/>
        </w:rPr>
        <w:t xml:space="preserve">July 3, 2019, </w:t>
      </w:r>
      <w:r w:rsidRPr="00261687">
        <w:rPr>
          <w:rFonts w:ascii="Cambria" w:hAnsi="Cambria"/>
          <w:sz w:val="20"/>
          <w:szCs w:val="20"/>
        </w:rPr>
        <w:t>the Commission transmitted the report to the State</w:t>
      </w:r>
      <w:r w:rsidR="00D01A32" w:rsidRPr="00261687">
        <w:rPr>
          <w:rFonts w:ascii="Cambria" w:hAnsi="Cambria"/>
          <w:sz w:val="20"/>
          <w:szCs w:val="20"/>
        </w:rPr>
        <w:t xml:space="preserve"> and</w:t>
      </w:r>
      <w:r w:rsidRPr="00261687">
        <w:rPr>
          <w:rFonts w:ascii="Cambria" w:hAnsi="Cambria"/>
          <w:sz w:val="20"/>
          <w:szCs w:val="20"/>
        </w:rPr>
        <w:t xml:space="preserve"> </w:t>
      </w:r>
      <w:r w:rsidR="00D01A32" w:rsidRPr="00261687">
        <w:rPr>
          <w:rFonts w:ascii="Cambria" w:hAnsi="Cambria"/>
          <w:sz w:val="20"/>
          <w:szCs w:val="20"/>
        </w:rPr>
        <w:t xml:space="preserve">the petitioners </w:t>
      </w:r>
      <w:r w:rsidRPr="00261687">
        <w:rPr>
          <w:rFonts w:ascii="Cambria" w:hAnsi="Cambria"/>
          <w:sz w:val="20"/>
          <w:szCs w:val="20"/>
        </w:rPr>
        <w:t xml:space="preserve">with a time period of </w:t>
      </w:r>
      <w:r w:rsidR="00D01A32" w:rsidRPr="00261687">
        <w:rPr>
          <w:rFonts w:ascii="Cambria" w:hAnsi="Cambria"/>
          <w:sz w:val="20"/>
          <w:szCs w:val="20"/>
        </w:rPr>
        <w:t>two</w:t>
      </w:r>
      <w:r w:rsidRPr="00261687">
        <w:rPr>
          <w:rFonts w:ascii="Cambria" w:hAnsi="Cambria"/>
          <w:sz w:val="20"/>
          <w:szCs w:val="20"/>
        </w:rPr>
        <w:t xml:space="preserve"> month</w:t>
      </w:r>
      <w:r w:rsidR="00D01A32" w:rsidRPr="00261687">
        <w:rPr>
          <w:rFonts w:ascii="Cambria" w:hAnsi="Cambria"/>
          <w:sz w:val="20"/>
          <w:szCs w:val="20"/>
        </w:rPr>
        <w:t>s</w:t>
      </w:r>
      <w:r w:rsidRPr="00261687">
        <w:rPr>
          <w:rFonts w:ascii="Cambria" w:hAnsi="Cambria"/>
          <w:sz w:val="20"/>
          <w:szCs w:val="20"/>
        </w:rPr>
        <w:t xml:space="preserve"> to inform the Inter-American Commission on the measures taken to comply with its recommendations. </w:t>
      </w:r>
    </w:p>
    <w:p w14:paraId="18581F35" w14:textId="77777777" w:rsidR="00B43E7C" w:rsidRPr="00261687" w:rsidRDefault="00B43E7C" w:rsidP="00B43E7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pPr>
    </w:p>
    <w:p w14:paraId="07B200FC" w14:textId="77777777" w:rsidR="00F12EAC" w:rsidRPr="00261687" w:rsidRDefault="00D01A32" w:rsidP="00EA14E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pPr>
      <w:r w:rsidRPr="00261687">
        <w:rPr>
          <w:rFonts w:ascii="Cambria" w:hAnsi="Cambria"/>
          <w:sz w:val="20"/>
          <w:szCs w:val="20"/>
        </w:rPr>
        <w:t>On September 3, 2019, the petitioners</w:t>
      </w:r>
      <w:r w:rsidR="00D877E2" w:rsidRPr="00261687">
        <w:rPr>
          <w:rFonts w:ascii="Cambria" w:hAnsi="Cambria"/>
          <w:sz w:val="20"/>
          <w:szCs w:val="20"/>
        </w:rPr>
        <w:t xml:space="preserve"> </w:t>
      </w:r>
      <w:r w:rsidR="00F12EAC" w:rsidRPr="00261687">
        <w:rPr>
          <w:rFonts w:ascii="Cambria" w:hAnsi="Cambria"/>
          <w:sz w:val="20"/>
          <w:szCs w:val="20"/>
        </w:rPr>
        <w:t xml:space="preserve">informed that </w:t>
      </w:r>
      <w:r w:rsidR="00707651" w:rsidRPr="00261687">
        <w:rPr>
          <w:rFonts w:ascii="Cambria" w:hAnsi="Cambria"/>
          <w:sz w:val="20"/>
          <w:szCs w:val="20"/>
        </w:rPr>
        <w:t xml:space="preserve">the United States has adopted no measures to comply with the Commission’s recommendations and that Mr. Hall remains in the custody of the State, which has given no indication that it does not intend to carry out his death sentence. Petitioners also informed that, </w:t>
      </w:r>
      <w:r w:rsidR="00F12EAC" w:rsidRPr="00261687">
        <w:rPr>
          <w:rFonts w:ascii="Cambria" w:hAnsi="Cambria"/>
          <w:sz w:val="20"/>
          <w:szCs w:val="20"/>
        </w:rPr>
        <w:t xml:space="preserve">on July 25, 2019, </w:t>
      </w:r>
      <w:r w:rsidR="00707651" w:rsidRPr="00261687">
        <w:rPr>
          <w:rFonts w:ascii="Cambria" w:hAnsi="Cambria"/>
          <w:sz w:val="20"/>
          <w:szCs w:val="20"/>
        </w:rPr>
        <w:t xml:space="preserve">U.S. </w:t>
      </w:r>
      <w:r w:rsidR="00F12EAC" w:rsidRPr="00261687">
        <w:rPr>
          <w:rFonts w:ascii="Cambria" w:hAnsi="Cambria"/>
          <w:sz w:val="20"/>
          <w:szCs w:val="20"/>
        </w:rPr>
        <w:t xml:space="preserve">Attorney General directed the Federal Bureau of Prisons to adopt an addendum to the federal execution protocol and scheduled the executions of five death-row inmates. </w:t>
      </w:r>
      <w:r w:rsidR="0045757F" w:rsidRPr="00261687">
        <w:rPr>
          <w:rFonts w:ascii="Cambria" w:hAnsi="Cambria"/>
          <w:sz w:val="20"/>
          <w:szCs w:val="20"/>
        </w:rPr>
        <w:t>T</w:t>
      </w:r>
      <w:r w:rsidR="00F12EAC" w:rsidRPr="00261687">
        <w:rPr>
          <w:rFonts w:ascii="Cambria" w:hAnsi="Cambria"/>
          <w:sz w:val="20"/>
          <w:szCs w:val="20"/>
        </w:rPr>
        <w:t xml:space="preserve">he </w:t>
      </w:r>
      <w:r w:rsidR="00136DF6" w:rsidRPr="00261687">
        <w:rPr>
          <w:rFonts w:ascii="Cambria" w:hAnsi="Cambria"/>
          <w:sz w:val="20"/>
          <w:szCs w:val="20"/>
        </w:rPr>
        <w:t>addendum</w:t>
      </w:r>
      <w:r w:rsidR="00707651" w:rsidRPr="00261687">
        <w:rPr>
          <w:rFonts w:ascii="Cambria" w:hAnsi="Cambria"/>
          <w:sz w:val="20"/>
          <w:szCs w:val="20"/>
        </w:rPr>
        <w:t>, which</w:t>
      </w:r>
      <w:r w:rsidR="00136DF6" w:rsidRPr="00261687">
        <w:rPr>
          <w:rFonts w:ascii="Cambria" w:hAnsi="Cambria"/>
          <w:sz w:val="20"/>
          <w:szCs w:val="20"/>
        </w:rPr>
        <w:t xml:space="preserve"> closely mirrors protocols utilized by several states, including currently Georgia, Missouri, and Texas, replaces the three-drug procedure previously used in federal executions with a single drug – pentobarbital.</w:t>
      </w:r>
      <w:r w:rsidR="00136DF6" w:rsidRPr="00261687">
        <w:rPr>
          <w:rStyle w:val="FootnoteReference"/>
          <w:rFonts w:ascii="Cambria" w:hAnsi="Cambria"/>
          <w:sz w:val="20"/>
          <w:szCs w:val="20"/>
        </w:rPr>
        <w:footnoteReference w:id="95"/>
      </w:r>
    </w:p>
    <w:p w14:paraId="52DC7706" w14:textId="77777777" w:rsidR="005E69EC" w:rsidRPr="00261687" w:rsidRDefault="005E69EC" w:rsidP="005E69EC">
      <w:pPr>
        <w:pStyle w:val="ListParagraph"/>
        <w:rPr>
          <w:rFonts w:asciiTheme="majorHAnsi" w:hAnsiTheme="majorHAnsi"/>
          <w:sz w:val="20"/>
          <w:szCs w:val="20"/>
        </w:rPr>
      </w:pPr>
    </w:p>
    <w:p w14:paraId="6ECEF2D9" w14:textId="77777777" w:rsidR="005E69EC" w:rsidRPr="00261687" w:rsidRDefault="005E69EC" w:rsidP="00EA14E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Theme="majorHAnsi" w:hAnsiTheme="majorHAnsi"/>
          <w:sz w:val="20"/>
          <w:szCs w:val="20"/>
        </w:rPr>
      </w:pPr>
      <w:r w:rsidRPr="00261687">
        <w:rPr>
          <w:rFonts w:asciiTheme="majorHAnsi" w:hAnsiTheme="majorHAnsi"/>
          <w:sz w:val="20"/>
          <w:szCs w:val="20"/>
        </w:rPr>
        <w:t xml:space="preserve">Petitioners also informed that the new lethal-injection protocol remains subject to a pending court challenge in </w:t>
      </w:r>
      <w:r w:rsidRPr="00261687">
        <w:rPr>
          <w:rFonts w:asciiTheme="majorHAnsi" w:hAnsiTheme="majorHAnsi"/>
          <w:i/>
          <w:sz w:val="20"/>
          <w:szCs w:val="20"/>
        </w:rPr>
        <w:t>Roane, et al., v. Barr</w:t>
      </w:r>
      <w:r w:rsidR="00D71384" w:rsidRPr="00261687">
        <w:rPr>
          <w:rFonts w:asciiTheme="majorHAnsi" w:hAnsiTheme="majorHAnsi"/>
          <w:sz w:val="20"/>
          <w:szCs w:val="20"/>
        </w:rPr>
        <w:t xml:space="preserve">. According to the petitioner, there is reason for concern that the dangers of severe suffering associated with the prior protocol have not been eliminated. </w:t>
      </w:r>
      <w:r w:rsidR="00402146" w:rsidRPr="00261687">
        <w:rPr>
          <w:rFonts w:asciiTheme="majorHAnsi" w:hAnsiTheme="majorHAnsi"/>
          <w:sz w:val="20"/>
          <w:szCs w:val="20"/>
        </w:rPr>
        <w:t xml:space="preserve">They also consider questionable whether the State will provide plaintiffs access to all the relevant information regarding the method of execution, particularly in light of the fact that the pharmaceutical manufacturer will no longer sell the drug for use in executions and the State would likely seek to keep secret its alternate source of the drug. </w:t>
      </w:r>
    </w:p>
    <w:p w14:paraId="14476E96" w14:textId="77777777" w:rsidR="00402146" w:rsidRPr="00261687" w:rsidRDefault="00402146" w:rsidP="00402146">
      <w:pPr>
        <w:pStyle w:val="ListParagraph"/>
        <w:rPr>
          <w:rFonts w:asciiTheme="majorHAnsi" w:hAnsiTheme="majorHAnsi"/>
          <w:sz w:val="20"/>
          <w:szCs w:val="20"/>
        </w:rPr>
      </w:pPr>
    </w:p>
    <w:p w14:paraId="136A3ECC" w14:textId="77777777" w:rsidR="00F12EAC" w:rsidRPr="00261687" w:rsidRDefault="00402146" w:rsidP="00F12EA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Theme="majorHAnsi" w:hAnsiTheme="majorHAnsi"/>
          <w:sz w:val="20"/>
          <w:szCs w:val="20"/>
        </w:rPr>
      </w:pPr>
      <w:r w:rsidRPr="00261687">
        <w:rPr>
          <w:rFonts w:asciiTheme="majorHAnsi" w:hAnsiTheme="majorHAnsi"/>
          <w:sz w:val="20"/>
          <w:szCs w:val="20"/>
        </w:rPr>
        <w:t xml:space="preserve">The petitioners conclude that </w:t>
      </w:r>
      <w:r w:rsidR="00D118E5" w:rsidRPr="00261687">
        <w:rPr>
          <w:rFonts w:asciiTheme="majorHAnsi" w:hAnsiTheme="majorHAnsi"/>
          <w:sz w:val="20"/>
          <w:szCs w:val="20"/>
        </w:rPr>
        <w:t>the United States has not only failed to adopt any measure to comply with the Commission’s recommendation but “it is about to embark on a deliberate campaign to execute the death-sentenced prisoners on the federal Death Row, a campaign which at some point will target Mr. Hall.”</w:t>
      </w:r>
    </w:p>
    <w:p w14:paraId="6DF7C477" w14:textId="77777777" w:rsidR="00D01A32" w:rsidRPr="00261687" w:rsidRDefault="00D01A32" w:rsidP="00D01A32">
      <w:pPr>
        <w:pStyle w:val="ListParagraph"/>
        <w:rPr>
          <w:rFonts w:asciiTheme="majorHAnsi" w:hAnsiTheme="majorHAnsi"/>
          <w:sz w:val="20"/>
          <w:szCs w:val="20"/>
        </w:rPr>
      </w:pPr>
    </w:p>
    <w:p w14:paraId="5538F773" w14:textId="77777777" w:rsidR="00EA14E5" w:rsidRPr="00261687" w:rsidRDefault="00EA14E5" w:rsidP="00EA14E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pPr>
      <w:r w:rsidRPr="00261687">
        <w:rPr>
          <w:rFonts w:ascii="Cambria" w:hAnsi="Cambria"/>
          <w:sz w:val="20"/>
          <w:szCs w:val="20"/>
        </w:rPr>
        <w:t>To date, the IACHR has not received any response from the United States regarding Report No. 90/19.</w:t>
      </w:r>
    </w:p>
    <w:p w14:paraId="0579D81D" w14:textId="77777777" w:rsidR="007E4368" w:rsidRPr="00261687" w:rsidRDefault="007E4368" w:rsidP="007E4368">
      <w:pPr>
        <w:pStyle w:val="ListParagraph"/>
      </w:pPr>
    </w:p>
    <w:p w14:paraId="2E648224" w14:textId="77777777" w:rsidR="007E4368" w:rsidRPr="00261687" w:rsidRDefault="007E4368" w:rsidP="00EA14E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eastAsia="Times New Roman" w:hAnsi="Cambria"/>
          <w:sz w:val="20"/>
          <w:szCs w:val="20"/>
          <w:bdr w:val="none" w:sz="0" w:space="0" w:color="auto"/>
        </w:rPr>
      </w:pPr>
      <w:r w:rsidRPr="00261687">
        <w:rPr>
          <w:rFonts w:ascii="Cambria" w:eastAsia="Times New Roman" w:hAnsi="Cambria"/>
          <w:sz w:val="20"/>
          <w:szCs w:val="20"/>
          <w:bdr w:val="none" w:sz="0" w:space="0" w:color="auto"/>
        </w:rPr>
        <w:t>Based on the available information, the Commission will now analyze the level of compliance with the</w:t>
      </w:r>
      <w:r w:rsidR="00AA427A" w:rsidRPr="00261687">
        <w:rPr>
          <w:rFonts w:ascii="Cambria" w:eastAsia="Times New Roman" w:hAnsi="Cambria"/>
          <w:sz w:val="20"/>
          <w:szCs w:val="20"/>
          <w:bdr w:val="none" w:sz="0" w:space="0" w:color="auto"/>
        </w:rPr>
        <w:t xml:space="preserve"> final recommendations issued in </w:t>
      </w:r>
      <w:r w:rsidR="00AA427A" w:rsidRPr="00261687">
        <w:rPr>
          <w:rFonts w:ascii="Cambria" w:hAnsi="Cambria"/>
          <w:sz w:val="20"/>
          <w:szCs w:val="20"/>
        </w:rPr>
        <w:t xml:space="preserve">Report No. 90/19. </w:t>
      </w:r>
    </w:p>
    <w:p w14:paraId="60E15BFE" w14:textId="77777777" w:rsidR="007E4368" w:rsidRPr="00261687" w:rsidRDefault="007E4368" w:rsidP="007E4368">
      <w:pPr>
        <w:pStyle w:val="ListParagraph"/>
        <w:rPr>
          <w:rFonts w:eastAsia="Times New Roman"/>
          <w:sz w:val="20"/>
          <w:szCs w:val="20"/>
          <w:bdr w:val="none" w:sz="0" w:space="0" w:color="auto"/>
        </w:rPr>
      </w:pPr>
    </w:p>
    <w:p w14:paraId="409312F7" w14:textId="77777777" w:rsidR="0088385A" w:rsidRPr="00261687" w:rsidRDefault="0088385A" w:rsidP="000C3B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b/>
          <w:bCs/>
          <w:sz w:val="20"/>
          <w:szCs w:val="20"/>
        </w:rPr>
      </w:pPr>
      <w:r w:rsidRPr="00261687">
        <w:rPr>
          <w:rFonts w:ascii="Cambria" w:hAnsi="Cambria"/>
          <w:sz w:val="20"/>
          <w:szCs w:val="20"/>
        </w:rPr>
        <w:t xml:space="preserve">As the Commission established in its report, </w:t>
      </w:r>
      <w:r w:rsidRPr="00261687">
        <w:rPr>
          <w:rFonts w:ascii="Cambria" w:hAnsi="Cambria"/>
          <w:color w:val="212121"/>
          <w:sz w:val="20"/>
          <w:szCs w:val="20"/>
          <w:lang w:val="en"/>
        </w:rPr>
        <w:t xml:space="preserve">the State has a heightened </w:t>
      </w:r>
      <w:r w:rsidRPr="00261687">
        <w:rPr>
          <w:rFonts w:ascii="Cambria" w:eastAsia="Times New Roman" w:hAnsi="Cambria"/>
          <w:sz w:val="20"/>
          <w:szCs w:val="20"/>
          <w:bdr w:val="none" w:sz="0" w:space="0" w:color="auto"/>
        </w:rPr>
        <w:t xml:space="preserve">obligation to ensure that the method of execution does not constitute cruel, infamous or unusual punishment.  </w:t>
      </w:r>
      <w:r w:rsidR="000C3B09" w:rsidRPr="00261687">
        <w:rPr>
          <w:rFonts w:ascii="Cambria" w:eastAsia="Times New Roman" w:hAnsi="Cambria"/>
          <w:sz w:val="20"/>
          <w:szCs w:val="20"/>
          <w:bdr w:val="none" w:sz="0" w:space="0" w:color="auto"/>
        </w:rPr>
        <w:t>Also, the Commission noted that v</w:t>
      </w:r>
      <w:r w:rsidRPr="00261687">
        <w:rPr>
          <w:rFonts w:ascii="Cambria" w:hAnsi="Cambria"/>
          <w:sz w:val="20"/>
          <w:szCs w:val="20"/>
        </w:rPr>
        <w:t xml:space="preserve">arious supervisory bodies have considered that an execution method is incompatible with the right to </w:t>
      </w:r>
      <w:r w:rsidRPr="00261687">
        <w:rPr>
          <w:rFonts w:ascii="Cambria" w:hAnsi="Cambria"/>
          <w:sz w:val="20"/>
          <w:szCs w:val="20"/>
        </w:rPr>
        <w:lastRenderedPageBreak/>
        <w:t xml:space="preserve">humane treatment and the prohibition of torture when it is not designed to inflict the least possible suffering, and have raised questions on the compatibility of the method of lethal injection with the prohibition of torture. </w:t>
      </w:r>
    </w:p>
    <w:p w14:paraId="654B5296" w14:textId="77777777" w:rsidR="000C3B09" w:rsidRPr="00261687" w:rsidRDefault="000C3B09" w:rsidP="000C3B0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b/>
          <w:bCs/>
          <w:sz w:val="20"/>
          <w:szCs w:val="20"/>
        </w:rPr>
      </w:pPr>
    </w:p>
    <w:p w14:paraId="15AC41ED" w14:textId="77777777" w:rsidR="0055322F" w:rsidRPr="00261687" w:rsidRDefault="0055322F" w:rsidP="0088385A">
      <w:pPr>
        <w:pStyle w:val="NormalWeb"/>
        <w:numPr>
          <w:ilvl w:val="0"/>
          <w:numId w:val="55"/>
        </w:numPr>
        <w:shd w:val="clear" w:color="auto" w:fill="FFFFFF"/>
        <w:tabs>
          <w:tab w:val="left" w:pos="720"/>
        </w:tabs>
        <w:spacing w:before="0" w:beforeAutospacing="0" w:after="0" w:afterAutospacing="0"/>
        <w:ind w:left="0" w:firstLine="0"/>
        <w:jc w:val="both"/>
        <w:rPr>
          <w:rFonts w:asciiTheme="majorHAnsi" w:eastAsia="Arial Unicode MS" w:hAnsiTheme="majorHAnsi"/>
          <w:sz w:val="20"/>
          <w:szCs w:val="20"/>
        </w:rPr>
      </w:pPr>
      <w:r w:rsidRPr="00261687">
        <w:rPr>
          <w:rFonts w:asciiTheme="majorHAnsi" w:eastAsia="Arial Unicode MS" w:hAnsiTheme="majorHAnsi"/>
          <w:sz w:val="20"/>
          <w:szCs w:val="20"/>
        </w:rPr>
        <w:t xml:space="preserve">At the time of adopting its final merits report, </w:t>
      </w:r>
      <w:r w:rsidRPr="00261687">
        <w:rPr>
          <w:rFonts w:asciiTheme="majorHAnsi" w:eastAsia="Arial Unicode MS" w:hAnsiTheme="majorHAnsi"/>
          <w:sz w:val="20"/>
          <w:szCs w:val="20"/>
          <w:bdr w:val="nil"/>
        </w:rPr>
        <w:t xml:space="preserve">there was no information to assess the compatibility of the execution method with inter-American human rights standards given that the federal government was still reviewing its lethal injection protocol. However, the IACHR found that the uncertainty about the </w:t>
      </w:r>
      <w:r w:rsidRPr="00261687">
        <w:rPr>
          <w:rFonts w:ascii="Cambria" w:hAnsi="Cambria"/>
          <w:sz w:val="20"/>
          <w:szCs w:val="20"/>
        </w:rPr>
        <w:t xml:space="preserve">manner in which Mr. Hall is going to die preceded by summary denials to requests of information about the execution process, exposes Mr. Hall to anguish and fear that amount to a violation of his right to humane treatment and not to receive cruel, infamous or unusual punishment set forth in Articles XXV and XXVI of the Declaration. </w:t>
      </w:r>
    </w:p>
    <w:p w14:paraId="0C69D720" w14:textId="77777777" w:rsidR="0055322F" w:rsidRPr="00261687" w:rsidRDefault="0055322F" w:rsidP="0055322F">
      <w:pPr>
        <w:pStyle w:val="ListParagraph"/>
        <w:rPr>
          <w:rFonts w:asciiTheme="majorHAnsi" w:hAnsiTheme="majorHAnsi"/>
          <w:sz w:val="20"/>
          <w:szCs w:val="20"/>
        </w:rPr>
      </w:pPr>
    </w:p>
    <w:p w14:paraId="536E98AD" w14:textId="77777777" w:rsidR="007E4368" w:rsidRPr="00261687" w:rsidRDefault="006E4DF5" w:rsidP="0055322F">
      <w:pPr>
        <w:pStyle w:val="NormalWeb"/>
        <w:numPr>
          <w:ilvl w:val="0"/>
          <w:numId w:val="55"/>
        </w:numPr>
        <w:shd w:val="clear" w:color="auto" w:fill="FFFFFF"/>
        <w:tabs>
          <w:tab w:val="left" w:pos="720"/>
        </w:tabs>
        <w:spacing w:before="0" w:beforeAutospacing="0" w:after="0" w:afterAutospacing="0"/>
        <w:ind w:left="0" w:firstLine="0"/>
        <w:jc w:val="both"/>
        <w:rPr>
          <w:rFonts w:asciiTheme="majorHAnsi" w:eastAsia="Arial Unicode MS" w:hAnsiTheme="majorHAnsi"/>
          <w:sz w:val="20"/>
          <w:szCs w:val="20"/>
        </w:rPr>
      </w:pPr>
      <w:r w:rsidRPr="00261687">
        <w:rPr>
          <w:rFonts w:asciiTheme="majorHAnsi" w:hAnsiTheme="majorHAnsi"/>
          <w:sz w:val="20"/>
          <w:szCs w:val="20"/>
        </w:rPr>
        <w:t>In its report t</w:t>
      </w:r>
      <w:r w:rsidR="0055322F" w:rsidRPr="00261687">
        <w:rPr>
          <w:rFonts w:asciiTheme="majorHAnsi" w:hAnsiTheme="majorHAnsi"/>
          <w:sz w:val="20"/>
          <w:szCs w:val="20"/>
        </w:rPr>
        <w:t>he Commission also referred to the State’s obligation in capital ca</w:t>
      </w:r>
      <w:r w:rsidR="00BA5B71" w:rsidRPr="00261687">
        <w:rPr>
          <w:rFonts w:asciiTheme="majorHAnsi" w:hAnsiTheme="majorHAnsi"/>
          <w:sz w:val="20"/>
          <w:szCs w:val="20"/>
        </w:rPr>
        <w:t xml:space="preserve">ses to ensure access to all </w:t>
      </w:r>
      <w:r w:rsidR="0055322F" w:rsidRPr="00261687">
        <w:rPr>
          <w:rFonts w:asciiTheme="majorHAnsi" w:hAnsiTheme="majorHAnsi"/>
          <w:sz w:val="20"/>
          <w:szCs w:val="20"/>
        </w:rPr>
        <w:t xml:space="preserve">relevant information regarding the execution. </w:t>
      </w:r>
      <w:r w:rsidR="007E4368" w:rsidRPr="00261687">
        <w:rPr>
          <w:rFonts w:ascii="Cambria" w:hAnsi="Cambria"/>
          <w:sz w:val="20"/>
          <w:szCs w:val="20"/>
        </w:rPr>
        <w:t xml:space="preserve">Accordingly, the State has the duty to inform the person sentenced to death, in a timely manner, about the drug and method of execution that will be used, so he or she is not precluded from litigating the right to be executed in a manner devoid of cruel and unusual suffering. </w:t>
      </w:r>
      <w:r w:rsidR="004815EB" w:rsidRPr="00261687">
        <w:rPr>
          <w:rFonts w:ascii="Cambria" w:hAnsi="Cambria"/>
          <w:sz w:val="20"/>
          <w:szCs w:val="20"/>
        </w:rPr>
        <w:t>The Commission found that</w:t>
      </w:r>
      <w:r w:rsidR="007A7003" w:rsidRPr="00261687">
        <w:rPr>
          <w:rFonts w:ascii="Cambria" w:hAnsi="Cambria"/>
          <w:sz w:val="20"/>
          <w:szCs w:val="20"/>
        </w:rPr>
        <w:t>,</w:t>
      </w:r>
      <w:r w:rsidR="004815EB" w:rsidRPr="00261687">
        <w:rPr>
          <w:rFonts w:ascii="Cambria" w:hAnsi="Cambria"/>
          <w:sz w:val="20"/>
          <w:szCs w:val="20"/>
        </w:rPr>
        <w:t xml:space="preserve"> in the instant case</w:t>
      </w:r>
      <w:r w:rsidR="007A7003" w:rsidRPr="00261687">
        <w:rPr>
          <w:rFonts w:ascii="Cambria" w:hAnsi="Cambria"/>
          <w:sz w:val="20"/>
          <w:szCs w:val="20"/>
        </w:rPr>
        <w:t xml:space="preserve">, </w:t>
      </w:r>
      <w:r w:rsidR="007E4368" w:rsidRPr="00261687">
        <w:rPr>
          <w:rFonts w:ascii="Cambria" w:hAnsi="Cambria"/>
          <w:sz w:val="20"/>
          <w:szCs w:val="20"/>
        </w:rPr>
        <w:t xml:space="preserve">three different administrative authorities summarily denied Mr. Hall’s request of information </w:t>
      </w:r>
      <w:r w:rsidR="007E4368" w:rsidRPr="00261687">
        <w:rPr>
          <w:rFonts w:asciiTheme="majorHAnsi" w:hAnsiTheme="majorHAnsi"/>
          <w:sz w:val="20"/>
          <w:szCs w:val="20"/>
        </w:rPr>
        <w:t xml:space="preserve">about the process that would be used for his execution. </w:t>
      </w:r>
      <w:r w:rsidR="007E4368" w:rsidRPr="00261687">
        <w:rPr>
          <w:rFonts w:ascii="Cambria" w:hAnsi="Cambria" w:cs="Cambria"/>
          <w:color w:val="000000"/>
          <w:sz w:val="20"/>
          <w:szCs w:val="20"/>
        </w:rPr>
        <w:t>The Commission consider</w:t>
      </w:r>
      <w:r w:rsidR="007A7003" w:rsidRPr="00261687">
        <w:rPr>
          <w:rFonts w:ascii="Cambria" w:hAnsi="Cambria" w:cs="Cambria"/>
          <w:color w:val="000000"/>
          <w:sz w:val="20"/>
          <w:szCs w:val="20"/>
        </w:rPr>
        <w:t>ed</w:t>
      </w:r>
      <w:r w:rsidR="007E4368" w:rsidRPr="00261687">
        <w:rPr>
          <w:rFonts w:ascii="Cambria" w:hAnsi="Cambria" w:cs="Cambria"/>
          <w:color w:val="000000"/>
          <w:sz w:val="20"/>
          <w:szCs w:val="20"/>
        </w:rPr>
        <w:t xml:space="preserve"> that th</w:t>
      </w:r>
      <w:r w:rsidR="007A7003" w:rsidRPr="00261687">
        <w:rPr>
          <w:rFonts w:ascii="Cambria" w:hAnsi="Cambria" w:cs="Cambria"/>
          <w:color w:val="000000"/>
          <w:sz w:val="20"/>
          <w:szCs w:val="20"/>
        </w:rPr>
        <w:t>is</w:t>
      </w:r>
      <w:r w:rsidR="007E4368" w:rsidRPr="00261687">
        <w:rPr>
          <w:rFonts w:ascii="Cambria" w:hAnsi="Cambria" w:cs="Cambria"/>
          <w:color w:val="000000"/>
          <w:sz w:val="20"/>
          <w:szCs w:val="20"/>
        </w:rPr>
        <w:t xml:space="preserve"> summary dismissal </w:t>
      </w:r>
      <w:r w:rsidR="007A7003" w:rsidRPr="00261687">
        <w:rPr>
          <w:rFonts w:ascii="Cambria" w:hAnsi="Cambria"/>
          <w:sz w:val="20"/>
          <w:szCs w:val="20"/>
        </w:rPr>
        <w:t>violated Mr. Hall’s right to access to information set forth in Article IV of the American Declaration, in connection to Mr. Hall’s right to a fair trial and due process of law set forth in Articles XVIII and XXVI of the Declaration.</w:t>
      </w:r>
    </w:p>
    <w:p w14:paraId="54E40B93" w14:textId="77777777" w:rsidR="007E4368" w:rsidRPr="00261687" w:rsidRDefault="007E4368" w:rsidP="007E436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eastAsia="Times New Roman" w:hAnsi="Cambria"/>
          <w:sz w:val="20"/>
          <w:szCs w:val="20"/>
          <w:bdr w:val="none" w:sz="0" w:space="0" w:color="auto"/>
        </w:rPr>
      </w:pPr>
    </w:p>
    <w:p w14:paraId="4B9CE15D" w14:textId="77777777" w:rsidR="007E4368" w:rsidRPr="00261687" w:rsidRDefault="00BA5B71" w:rsidP="00553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pPr>
      <w:r w:rsidRPr="00261687">
        <w:rPr>
          <w:rFonts w:ascii="Cambria" w:eastAsia="Times New Roman" w:hAnsi="Cambria"/>
          <w:sz w:val="20"/>
          <w:szCs w:val="20"/>
          <w:bdr w:val="none" w:sz="0" w:space="0" w:color="auto"/>
        </w:rPr>
        <w:t xml:space="preserve">The </w:t>
      </w:r>
      <w:r w:rsidRPr="00261687">
        <w:rPr>
          <w:rFonts w:ascii="Cambria" w:hAnsi="Cambria"/>
          <w:sz w:val="20"/>
          <w:szCs w:val="20"/>
        </w:rPr>
        <w:t>addendum to the federal execution protocol</w:t>
      </w:r>
      <w:r w:rsidRPr="00261687">
        <w:rPr>
          <w:rFonts w:ascii="Cambria" w:eastAsia="Times New Roman" w:hAnsi="Cambria"/>
          <w:sz w:val="20"/>
          <w:szCs w:val="20"/>
          <w:bdr w:val="none" w:sz="0" w:space="0" w:color="auto"/>
        </w:rPr>
        <w:t xml:space="preserve"> adopted by</w:t>
      </w:r>
      <w:r w:rsidR="0055322F" w:rsidRPr="00261687">
        <w:rPr>
          <w:rFonts w:ascii="Cambria" w:eastAsia="Times New Roman" w:hAnsi="Cambria"/>
          <w:sz w:val="20"/>
          <w:szCs w:val="20"/>
          <w:bdr w:val="none" w:sz="0" w:space="0" w:color="auto"/>
        </w:rPr>
        <w:t xml:space="preserve"> the federal Government </w:t>
      </w:r>
      <w:r w:rsidRPr="00261687">
        <w:rPr>
          <w:rFonts w:ascii="Cambria" w:eastAsia="Times New Roman" w:hAnsi="Cambria"/>
          <w:sz w:val="20"/>
          <w:szCs w:val="20"/>
          <w:bdr w:val="none" w:sz="0" w:space="0" w:color="auto"/>
        </w:rPr>
        <w:t xml:space="preserve">on July 25, 2019, </w:t>
      </w:r>
      <w:r w:rsidR="006E4DF5" w:rsidRPr="00261687">
        <w:rPr>
          <w:rFonts w:ascii="Cambria" w:hAnsi="Cambria"/>
          <w:sz w:val="20"/>
          <w:szCs w:val="20"/>
        </w:rPr>
        <w:t xml:space="preserve">states, in its relevant parts, </w:t>
      </w:r>
      <w:r w:rsidR="0005746C" w:rsidRPr="00261687">
        <w:rPr>
          <w:rFonts w:ascii="Cambria" w:hAnsi="Cambria"/>
          <w:sz w:val="20"/>
          <w:szCs w:val="20"/>
        </w:rPr>
        <w:t>the following:</w:t>
      </w:r>
    </w:p>
    <w:p w14:paraId="5C7E9A41" w14:textId="77777777" w:rsidR="0005746C" w:rsidRPr="00261687" w:rsidRDefault="0005746C" w:rsidP="006D135C">
      <w:pPr>
        <w:pStyle w:val="ListParagraph"/>
        <w:jc w:val="both"/>
        <w:rPr>
          <w:rFonts w:asciiTheme="majorHAnsi" w:hAnsiTheme="majorHAnsi"/>
          <w:sz w:val="18"/>
          <w:szCs w:val="18"/>
        </w:rPr>
      </w:pPr>
    </w:p>
    <w:p w14:paraId="7FF097E9" w14:textId="77777777" w:rsidR="006D135C" w:rsidRPr="00261687" w:rsidRDefault="006D135C" w:rsidP="006D135C">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080"/>
        </w:tabs>
        <w:autoSpaceDE w:val="0"/>
        <w:autoSpaceDN w:val="0"/>
        <w:adjustRightInd w:val="0"/>
        <w:ind w:right="720" w:firstLine="0"/>
        <w:jc w:val="both"/>
        <w:rPr>
          <w:rFonts w:asciiTheme="majorHAnsi" w:hAnsiTheme="majorHAnsi" w:cs="Arial"/>
          <w:sz w:val="20"/>
          <w:szCs w:val="20"/>
        </w:rPr>
      </w:pPr>
      <w:r w:rsidRPr="00261687">
        <w:rPr>
          <w:rFonts w:asciiTheme="majorHAnsi" w:hAnsiTheme="majorHAnsi" w:cs="Arial"/>
          <w:sz w:val="20"/>
          <w:szCs w:val="20"/>
        </w:rPr>
        <w:t>Federal death sentences are implemented by an intravenous injection of a lethal substance or substances in a quantity sufficient to cause death, such substance or substances to be determined by the Director, Federal Bureau of Prisons (BOP) and to be administered by qualified personnel selected by the Warden and acting at the direction of the United States Marshal. 28 CFR 26.3. The procedures utilized by the BOP to implement federal death sentences shall be as follows unless modified at the discretion of the Director or his/her designee, as necessary to (1) comply with specific judicial orders; (2) based on the recommendation of on-site medical personnel utilizing their clinical judgment; or (3) as may be required by other circumstances.</w:t>
      </w:r>
    </w:p>
    <w:p w14:paraId="4C00BFDA" w14:textId="77777777" w:rsidR="006D135C" w:rsidRPr="00261687" w:rsidRDefault="006D135C" w:rsidP="006D135C">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jc w:val="both"/>
        <w:rPr>
          <w:rFonts w:asciiTheme="majorHAnsi" w:hAnsiTheme="majorHAnsi" w:cs="Arial"/>
          <w:sz w:val="20"/>
          <w:szCs w:val="20"/>
        </w:rPr>
      </w:pPr>
    </w:p>
    <w:p w14:paraId="53CCF1ED" w14:textId="77777777" w:rsidR="006D135C" w:rsidRPr="00261687" w:rsidRDefault="006D135C" w:rsidP="006D13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hAnsiTheme="majorHAnsi" w:cs="Arial"/>
          <w:sz w:val="20"/>
          <w:szCs w:val="20"/>
        </w:rPr>
      </w:pPr>
      <w:r w:rsidRPr="00261687">
        <w:rPr>
          <w:rFonts w:asciiTheme="majorHAnsi" w:hAnsiTheme="majorHAnsi" w:cs="Arial"/>
          <w:sz w:val="20"/>
          <w:szCs w:val="20"/>
          <w:lang w:eastAsia="es-ES"/>
        </w:rPr>
        <w:t>B.</w:t>
      </w:r>
      <w:r w:rsidRPr="00261687">
        <w:rPr>
          <w:rFonts w:asciiTheme="majorHAnsi" w:hAnsiTheme="majorHAnsi" w:cs="Arial"/>
          <w:sz w:val="20"/>
          <w:szCs w:val="20"/>
        </w:rPr>
        <w:t xml:space="preserve"> The identities of personnel considered for and/or selected to perform death sentence related functions, any documentation establishing their qualifications and the identities of personnel participating in federal judicial executions or training for such judicial executions shall be protected from disclosure to the fullest extent permitted by law.</w:t>
      </w:r>
    </w:p>
    <w:p w14:paraId="7869E1DE" w14:textId="77777777" w:rsidR="006D135C" w:rsidRPr="00261687" w:rsidRDefault="006D135C" w:rsidP="006D135C">
      <w:pPr>
        <w:ind w:left="720" w:right="720"/>
        <w:rPr>
          <w:sz w:val="20"/>
          <w:szCs w:val="20"/>
        </w:rPr>
      </w:pPr>
    </w:p>
    <w:p w14:paraId="110AFA83" w14:textId="77777777" w:rsidR="006D135C" w:rsidRPr="00261687" w:rsidRDefault="006D135C" w:rsidP="006D13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hAnsiTheme="majorHAnsi" w:cs="Arial"/>
          <w:sz w:val="20"/>
          <w:szCs w:val="20"/>
          <w:lang w:eastAsia="es-ES"/>
        </w:rPr>
      </w:pPr>
      <w:r w:rsidRPr="00261687">
        <w:rPr>
          <w:rFonts w:asciiTheme="majorHAnsi" w:hAnsiTheme="majorHAnsi" w:cs="Arial"/>
          <w:sz w:val="20"/>
          <w:szCs w:val="20"/>
          <w:lang w:eastAsia="es-ES"/>
        </w:rPr>
        <w:t>C. The lethal substances to be utilized in federal lethal injections shall be Pentobarbital Sodium.</w:t>
      </w:r>
    </w:p>
    <w:p w14:paraId="6D39269D" w14:textId="77777777" w:rsidR="006D135C" w:rsidRPr="00261687" w:rsidRDefault="006D135C" w:rsidP="006D13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hAnsiTheme="majorHAnsi" w:cs="Arial"/>
          <w:sz w:val="20"/>
          <w:szCs w:val="20"/>
          <w:lang w:eastAsia="es-ES"/>
        </w:rPr>
      </w:pPr>
    </w:p>
    <w:p w14:paraId="448B49A0" w14:textId="77777777" w:rsidR="0005746C" w:rsidRPr="00261687" w:rsidRDefault="006D135C" w:rsidP="006D13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hAnsiTheme="majorHAnsi"/>
          <w:sz w:val="20"/>
          <w:szCs w:val="20"/>
        </w:rPr>
      </w:pPr>
      <w:r w:rsidRPr="00261687">
        <w:rPr>
          <w:rFonts w:asciiTheme="majorHAnsi" w:hAnsiTheme="majorHAnsi" w:cs="Arial"/>
          <w:sz w:val="20"/>
          <w:szCs w:val="20"/>
          <w:lang w:eastAsia="es-ES"/>
        </w:rPr>
        <w:t>D. Not less than fourteen (14) days prior to a scheduled execution, the Director or designee, in conjunction with the United States Marshal Service, shall make a final selection of qualified personnel to serve as the executioner(s) and their alternates. See BOP Execution Protocol, Chap. 1, §§ III (F) and IV (B) &amp; (E). Qualified personnel includes currently licensed physicians, nurses, EMTs, Paramedics, Phlebotomists, other medically trained personnel, including those trained in the United States Military having at least one year professional experience and other personnel with necessary training and experience in a specific execution related function. Non-medically licensed or certified qualified personnel shall participate in a minimum of ten (10) execution rehearsals a year and shall have participated in at least two (2) execution rehearsals prior to participating in an actual execution. Any documentation establishing the qualifications, including training, of such personnel shall be maintained by the Director or designee.</w:t>
      </w:r>
    </w:p>
    <w:p w14:paraId="2E944AE1" w14:textId="77777777" w:rsidR="006D135C" w:rsidRPr="00261687" w:rsidRDefault="006D135C" w:rsidP="006E4DF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eastAsia="Times New Roman" w:hAnsi="Cambria"/>
          <w:sz w:val="20"/>
          <w:szCs w:val="20"/>
          <w:bdr w:val="none" w:sz="0" w:space="0" w:color="auto"/>
        </w:rPr>
      </w:pPr>
    </w:p>
    <w:p w14:paraId="0A0965B8" w14:textId="77777777" w:rsidR="007E4368" w:rsidRPr="00261687" w:rsidRDefault="006E4DF5" w:rsidP="00EA14E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eastAsia="Times New Roman" w:hAnsi="Cambria"/>
          <w:sz w:val="20"/>
          <w:szCs w:val="20"/>
          <w:bdr w:val="none" w:sz="0" w:space="0" w:color="auto"/>
        </w:rPr>
      </w:pPr>
      <w:r w:rsidRPr="00261687">
        <w:rPr>
          <w:rFonts w:ascii="Cambria" w:eastAsia="Times New Roman" w:hAnsi="Cambria"/>
          <w:sz w:val="20"/>
          <w:szCs w:val="20"/>
          <w:bdr w:val="none" w:sz="0" w:space="0" w:color="auto"/>
        </w:rPr>
        <w:lastRenderedPageBreak/>
        <w:t>The IACHR notes with</w:t>
      </w:r>
      <w:r w:rsidR="00373D5A" w:rsidRPr="00261687">
        <w:rPr>
          <w:rFonts w:ascii="Cambria" w:eastAsia="Times New Roman" w:hAnsi="Cambria"/>
          <w:sz w:val="20"/>
          <w:szCs w:val="20"/>
          <w:bdr w:val="none" w:sz="0" w:space="0" w:color="auto"/>
        </w:rPr>
        <w:t xml:space="preserve"> deep</w:t>
      </w:r>
      <w:r w:rsidRPr="00261687">
        <w:rPr>
          <w:rFonts w:ascii="Cambria" w:eastAsia="Times New Roman" w:hAnsi="Cambria"/>
          <w:sz w:val="20"/>
          <w:szCs w:val="20"/>
          <w:bdr w:val="none" w:sz="0" w:space="0" w:color="auto"/>
        </w:rPr>
        <w:t xml:space="preserve"> concern that the </w:t>
      </w:r>
      <w:r w:rsidR="00BA5B71" w:rsidRPr="00261687">
        <w:rPr>
          <w:rFonts w:ascii="Cambria" w:eastAsia="Times New Roman" w:hAnsi="Cambria"/>
          <w:sz w:val="20"/>
          <w:szCs w:val="20"/>
          <w:bdr w:val="none" w:sz="0" w:space="0" w:color="auto"/>
        </w:rPr>
        <w:t>addendum</w:t>
      </w:r>
      <w:r w:rsidRPr="00261687">
        <w:rPr>
          <w:rFonts w:ascii="Cambria" w:eastAsia="Times New Roman" w:hAnsi="Cambria"/>
          <w:sz w:val="20"/>
          <w:szCs w:val="20"/>
          <w:bdr w:val="none" w:sz="0" w:space="0" w:color="auto"/>
        </w:rPr>
        <w:t xml:space="preserve"> expressly </w:t>
      </w:r>
      <w:r w:rsidR="001F7984" w:rsidRPr="00261687">
        <w:rPr>
          <w:rFonts w:ascii="Cambria" w:eastAsia="Times New Roman" w:hAnsi="Cambria"/>
          <w:sz w:val="20"/>
          <w:szCs w:val="20"/>
          <w:bdr w:val="none" w:sz="0" w:space="0" w:color="auto"/>
        </w:rPr>
        <w:t>provides for the secrecy of the identity of personnel involved in the administration of the lethal injection</w:t>
      </w:r>
      <w:r w:rsidR="006B4E2D" w:rsidRPr="00261687">
        <w:rPr>
          <w:rFonts w:ascii="Cambria" w:eastAsia="Times New Roman" w:hAnsi="Cambria"/>
          <w:sz w:val="20"/>
          <w:szCs w:val="20"/>
          <w:bdr w:val="none" w:sz="0" w:space="0" w:color="auto"/>
        </w:rPr>
        <w:t xml:space="preserve"> and in the training of such personnel</w:t>
      </w:r>
      <w:r w:rsidR="00C04DFB" w:rsidRPr="00261687">
        <w:rPr>
          <w:rFonts w:ascii="Cambria" w:eastAsia="Times New Roman" w:hAnsi="Cambria"/>
          <w:sz w:val="20"/>
          <w:szCs w:val="20"/>
          <w:bdr w:val="none" w:sz="0" w:space="0" w:color="auto"/>
        </w:rPr>
        <w:t xml:space="preserve"> for the person condemned to death penalty</w:t>
      </w:r>
      <w:r w:rsidR="006B4E2D" w:rsidRPr="00261687">
        <w:rPr>
          <w:rFonts w:ascii="Cambria" w:eastAsia="Times New Roman" w:hAnsi="Cambria"/>
          <w:sz w:val="20"/>
          <w:szCs w:val="20"/>
          <w:bdr w:val="none" w:sz="0" w:space="0" w:color="auto"/>
        </w:rPr>
        <w:t xml:space="preserve">. </w:t>
      </w:r>
      <w:r w:rsidR="004B6B2E" w:rsidRPr="00261687">
        <w:rPr>
          <w:rFonts w:ascii="Cambria" w:eastAsia="Times New Roman" w:hAnsi="Cambria"/>
          <w:sz w:val="20"/>
          <w:szCs w:val="20"/>
          <w:bdr w:val="none" w:sz="0" w:space="0" w:color="auto"/>
        </w:rPr>
        <w:t>This provision directly contravenes the Commission’s recommendation to ensure that person</w:t>
      </w:r>
      <w:r w:rsidR="00416872" w:rsidRPr="00261687">
        <w:rPr>
          <w:rFonts w:ascii="Cambria" w:eastAsia="Times New Roman" w:hAnsi="Cambria"/>
          <w:sz w:val="20"/>
          <w:szCs w:val="20"/>
          <w:bdr w:val="none" w:sz="0" w:space="0" w:color="auto"/>
        </w:rPr>
        <w:t>s</w:t>
      </w:r>
      <w:r w:rsidR="004B6B2E" w:rsidRPr="00261687">
        <w:rPr>
          <w:rFonts w:ascii="Cambria" w:eastAsia="Times New Roman" w:hAnsi="Cambria"/>
          <w:sz w:val="20"/>
          <w:szCs w:val="20"/>
          <w:bdr w:val="none" w:sz="0" w:space="0" w:color="auto"/>
        </w:rPr>
        <w:t xml:space="preserve"> sentenced to death ha</w:t>
      </w:r>
      <w:r w:rsidR="00416872" w:rsidRPr="00261687">
        <w:rPr>
          <w:rFonts w:ascii="Cambria" w:eastAsia="Times New Roman" w:hAnsi="Cambria"/>
          <w:sz w:val="20"/>
          <w:szCs w:val="20"/>
          <w:bdr w:val="none" w:sz="0" w:space="0" w:color="auto"/>
        </w:rPr>
        <w:t>ve</w:t>
      </w:r>
      <w:r w:rsidR="004B6B2E" w:rsidRPr="00261687">
        <w:rPr>
          <w:rFonts w:ascii="Cambria" w:eastAsia="Times New Roman" w:hAnsi="Cambria"/>
          <w:sz w:val="20"/>
          <w:szCs w:val="20"/>
          <w:bdr w:val="none" w:sz="0" w:space="0" w:color="auto"/>
        </w:rPr>
        <w:t xml:space="preserve"> access to all the relevant information regarding the method of execution. </w:t>
      </w:r>
      <w:r w:rsidR="00BA5B71" w:rsidRPr="00261687">
        <w:rPr>
          <w:rFonts w:ascii="Cambria" w:eastAsia="Times New Roman" w:hAnsi="Cambria"/>
          <w:sz w:val="20"/>
          <w:szCs w:val="20"/>
          <w:bdr w:val="none" w:sz="0" w:space="0" w:color="auto"/>
        </w:rPr>
        <w:t>As previously indicated, i</w:t>
      </w:r>
      <w:r w:rsidR="00806F7E" w:rsidRPr="00261687">
        <w:rPr>
          <w:rFonts w:ascii="Cambria" w:eastAsia="Times New Roman" w:hAnsi="Cambria"/>
          <w:sz w:val="20"/>
          <w:szCs w:val="20"/>
          <w:bdr w:val="none" w:sz="0" w:space="0" w:color="auto"/>
        </w:rPr>
        <w:t xml:space="preserve">n its merits report </w:t>
      </w:r>
      <w:r w:rsidR="00806F7E" w:rsidRPr="00261687">
        <w:rPr>
          <w:rFonts w:asciiTheme="majorHAnsi" w:hAnsiTheme="majorHAnsi"/>
          <w:sz w:val="20"/>
          <w:szCs w:val="20"/>
        </w:rPr>
        <w:t xml:space="preserve">the IACHR recalled </w:t>
      </w:r>
      <w:r w:rsidR="00806F7E" w:rsidRPr="00261687">
        <w:rPr>
          <w:rFonts w:ascii="Cambria" w:eastAsia="Times New Roman" w:hAnsi="Cambria"/>
          <w:sz w:val="20"/>
          <w:szCs w:val="20"/>
          <w:bdr w:val="none" w:sz="0" w:space="0" w:color="auto"/>
        </w:rPr>
        <w:t xml:space="preserve">the State’s enhanced obligation </w:t>
      </w:r>
      <w:r w:rsidR="00806F7E" w:rsidRPr="00261687">
        <w:rPr>
          <w:rFonts w:asciiTheme="majorHAnsi" w:hAnsiTheme="majorHAnsi"/>
          <w:sz w:val="20"/>
          <w:szCs w:val="20"/>
        </w:rPr>
        <w:t>i</w:t>
      </w:r>
      <w:r w:rsidR="00806F7E" w:rsidRPr="00261687">
        <w:rPr>
          <w:rFonts w:ascii="Cambria" w:eastAsia="Times New Roman" w:hAnsi="Cambria"/>
          <w:sz w:val="20"/>
          <w:szCs w:val="20"/>
          <w:bdr w:val="none" w:sz="0" w:space="0" w:color="auto"/>
        </w:rPr>
        <w:t>n capital cases to ensure that the person sentenced to death has access to all the relevant information regarding the manner in which he or she is going to die. In particular, the convicted person must have access, among others, to information related to “the composition of the execution team as well as the training of its members”.</w:t>
      </w:r>
      <w:r w:rsidR="009C78F9" w:rsidRPr="00276646">
        <w:rPr>
          <w:rStyle w:val="FootnoteReference"/>
          <w:rFonts w:ascii="Cambria" w:eastAsia="Times New Roman" w:hAnsi="Cambria"/>
          <w:sz w:val="20"/>
          <w:szCs w:val="20"/>
          <w:bdr w:val="none" w:sz="0" w:space="0" w:color="auto" w:frame="1"/>
          <w:lang w:val="es-ES"/>
        </w:rPr>
        <w:footnoteReference w:id="96"/>
      </w:r>
      <w:r w:rsidR="004B4C1B" w:rsidRPr="00261687">
        <w:rPr>
          <w:rFonts w:ascii="Cambria" w:eastAsia="Times New Roman" w:hAnsi="Cambria"/>
          <w:sz w:val="20"/>
          <w:szCs w:val="20"/>
          <w:bdr w:val="none" w:sz="0" w:space="0" w:color="auto"/>
        </w:rPr>
        <w:t xml:space="preserve"> Further, this duty is a prerequisite to ensure the right of the person sentenced to death </w:t>
      </w:r>
      <w:r w:rsidR="00806F7E" w:rsidRPr="00261687">
        <w:rPr>
          <w:rFonts w:ascii="Cambria" w:eastAsia="Times New Roman" w:hAnsi="Cambria"/>
          <w:sz w:val="20"/>
          <w:szCs w:val="20"/>
          <w:bdr w:val="none" w:sz="0" w:space="0" w:color="auto"/>
        </w:rPr>
        <w:t xml:space="preserve">to challenge every aspect of the execution procedure. </w:t>
      </w:r>
      <w:r w:rsidR="004B4C1B" w:rsidRPr="00261687">
        <w:rPr>
          <w:rFonts w:ascii="Cambria" w:eastAsia="Times New Roman" w:hAnsi="Cambria"/>
          <w:sz w:val="20"/>
          <w:szCs w:val="20"/>
          <w:bdr w:val="none" w:sz="0" w:space="0" w:color="auto"/>
        </w:rPr>
        <w:t>T</w:t>
      </w:r>
      <w:r w:rsidR="006B4E2D" w:rsidRPr="00261687">
        <w:rPr>
          <w:rFonts w:ascii="Cambria" w:eastAsia="Times New Roman" w:hAnsi="Cambria"/>
          <w:sz w:val="20"/>
          <w:szCs w:val="20"/>
          <w:bdr w:val="none" w:sz="0" w:space="0" w:color="auto"/>
        </w:rPr>
        <w:t xml:space="preserve">he Commission also notes with </w:t>
      </w:r>
      <w:r w:rsidR="004B6B2E" w:rsidRPr="00261687">
        <w:rPr>
          <w:rFonts w:ascii="Cambria" w:eastAsia="Times New Roman" w:hAnsi="Cambria"/>
          <w:sz w:val="20"/>
          <w:szCs w:val="20"/>
          <w:bdr w:val="none" w:sz="0" w:space="0" w:color="auto"/>
        </w:rPr>
        <w:t>concern</w:t>
      </w:r>
      <w:r w:rsidR="006B4E2D" w:rsidRPr="00261687">
        <w:rPr>
          <w:rFonts w:ascii="Cambria" w:eastAsia="Times New Roman" w:hAnsi="Cambria"/>
          <w:sz w:val="20"/>
          <w:szCs w:val="20"/>
          <w:bdr w:val="none" w:sz="0" w:space="0" w:color="auto"/>
        </w:rPr>
        <w:t xml:space="preserve"> that non-medically licensed or certified personnel are expressly included among the professionals authorized to administer the lethal injection. </w:t>
      </w:r>
    </w:p>
    <w:p w14:paraId="258FFE5D" w14:textId="77777777" w:rsidR="009F7E8F" w:rsidRPr="00261687" w:rsidRDefault="009F7E8F" w:rsidP="009F7E8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eastAsia="Times New Roman" w:hAnsi="Cambria"/>
          <w:sz w:val="20"/>
          <w:szCs w:val="20"/>
          <w:bdr w:val="none" w:sz="0" w:space="0" w:color="auto"/>
        </w:rPr>
      </w:pPr>
    </w:p>
    <w:p w14:paraId="201E0A4E" w14:textId="77777777" w:rsidR="00FC1C08" w:rsidRPr="00261687" w:rsidRDefault="009F7E8F" w:rsidP="00EA14E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eastAsia="Times New Roman" w:hAnsi="Cambria"/>
          <w:sz w:val="20"/>
          <w:szCs w:val="20"/>
          <w:bdr w:val="none" w:sz="0" w:space="0" w:color="auto"/>
        </w:rPr>
      </w:pPr>
      <w:r w:rsidRPr="00261687">
        <w:rPr>
          <w:rFonts w:ascii="Cambria" w:eastAsia="Times New Roman" w:hAnsi="Cambria"/>
          <w:sz w:val="20"/>
          <w:szCs w:val="20"/>
          <w:bdr w:val="none" w:sz="0" w:space="0" w:color="auto"/>
        </w:rPr>
        <w:t xml:space="preserve">Finally, </w:t>
      </w:r>
      <w:r w:rsidR="00FC1C08" w:rsidRPr="00261687">
        <w:rPr>
          <w:rFonts w:ascii="Cambria" w:eastAsia="Times New Roman" w:hAnsi="Cambria"/>
          <w:sz w:val="20"/>
          <w:szCs w:val="20"/>
          <w:bdr w:val="none" w:sz="0" w:space="0" w:color="auto"/>
        </w:rPr>
        <w:t>the Commission reiterates its profound concern for the reinstatement of the death penalty at the federal level in the United States</w:t>
      </w:r>
      <w:r w:rsidR="00BA5B71" w:rsidRPr="00261687">
        <w:rPr>
          <w:rFonts w:ascii="Cambria" w:eastAsia="Times New Roman" w:hAnsi="Cambria"/>
          <w:sz w:val="20"/>
          <w:szCs w:val="20"/>
          <w:bdr w:val="none" w:sz="0" w:space="0" w:color="auto"/>
        </w:rPr>
        <w:t xml:space="preserve"> after a nearly two decade</w:t>
      </w:r>
      <w:r w:rsidR="00276646">
        <w:rPr>
          <w:rFonts w:ascii="Cambria" w:eastAsia="Times New Roman" w:hAnsi="Cambria"/>
          <w:sz w:val="20"/>
          <w:szCs w:val="20"/>
          <w:bdr w:val="none" w:sz="0" w:space="0" w:color="auto"/>
        </w:rPr>
        <w:t>s</w:t>
      </w:r>
      <w:r w:rsidR="00BA5B71" w:rsidRPr="00261687">
        <w:rPr>
          <w:rFonts w:ascii="Cambria" w:eastAsia="Times New Roman" w:hAnsi="Cambria"/>
          <w:sz w:val="20"/>
          <w:szCs w:val="20"/>
          <w:bdr w:val="none" w:sz="0" w:space="0" w:color="auto"/>
        </w:rPr>
        <w:t xml:space="preserve"> lapse</w:t>
      </w:r>
      <w:r w:rsidR="00FC1C08" w:rsidRPr="00261687">
        <w:rPr>
          <w:rFonts w:ascii="Cambria" w:eastAsia="Times New Roman" w:hAnsi="Cambria"/>
          <w:sz w:val="20"/>
          <w:szCs w:val="20"/>
          <w:bdr w:val="none" w:sz="0" w:space="0" w:color="auto"/>
        </w:rPr>
        <w:t>. In this regard, the Commission has publicly reiterated the United States’ duty to review its laws, procedures and practices to ensure that people accused of capital crimes are tried and, if convicted, sentenced in accordance with the rights established in the American Declaration.</w:t>
      </w:r>
      <w:r w:rsidR="00373D5A" w:rsidRPr="00261687">
        <w:rPr>
          <w:rStyle w:val="FootnoteReference"/>
          <w:rFonts w:ascii="Cambria" w:eastAsia="Times New Roman" w:hAnsi="Cambria"/>
          <w:sz w:val="20"/>
          <w:szCs w:val="20"/>
          <w:bdr w:val="none" w:sz="0" w:space="0" w:color="auto"/>
        </w:rPr>
        <w:footnoteReference w:id="97"/>
      </w:r>
      <w:r w:rsidR="00FC1C08" w:rsidRPr="00261687">
        <w:rPr>
          <w:rFonts w:ascii="Cambria" w:eastAsia="Times New Roman" w:hAnsi="Cambria"/>
          <w:sz w:val="20"/>
          <w:szCs w:val="20"/>
          <w:bdr w:val="none" w:sz="0" w:space="0" w:color="auto"/>
        </w:rPr>
        <w:t xml:space="preserve"> </w:t>
      </w:r>
    </w:p>
    <w:p w14:paraId="3B7E27FB" w14:textId="77777777" w:rsidR="003227ED" w:rsidRPr="00261687" w:rsidRDefault="003227ED" w:rsidP="003227E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eastAsia="Times New Roman" w:hAnsi="Cambria"/>
          <w:sz w:val="20"/>
          <w:szCs w:val="20"/>
          <w:bdr w:val="none" w:sz="0" w:space="0" w:color="auto"/>
        </w:rPr>
      </w:pPr>
    </w:p>
    <w:p w14:paraId="71D09342" w14:textId="77777777" w:rsidR="003227ED" w:rsidRPr="00261687" w:rsidRDefault="003227ED" w:rsidP="00373D5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eastAsia="Times New Roman" w:hAnsi="Cambria"/>
          <w:sz w:val="20"/>
          <w:szCs w:val="20"/>
          <w:bdr w:val="none" w:sz="0" w:space="0" w:color="auto"/>
        </w:rPr>
      </w:pPr>
      <w:r w:rsidRPr="00261687">
        <w:rPr>
          <w:rFonts w:ascii="Cambria" w:eastAsia="Times New Roman" w:hAnsi="Cambria"/>
          <w:sz w:val="20"/>
          <w:szCs w:val="20"/>
          <w:bdr w:val="none" w:sz="0" w:space="0" w:color="auto"/>
        </w:rPr>
        <w:t>Therefore, the Commission conclud</w:t>
      </w:r>
      <w:r w:rsidR="009F7E8F" w:rsidRPr="00261687">
        <w:rPr>
          <w:rFonts w:ascii="Cambria" w:eastAsia="Times New Roman" w:hAnsi="Cambria"/>
          <w:sz w:val="20"/>
          <w:szCs w:val="20"/>
          <w:bdr w:val="none" w:sz="0" w:space="0" w:color="auto"/>
        </w:rPr>
        <w:t xml:space="preserve">es that the United States has </w:t>
      </w:r>
      <w:r w:rsidRPr="00261687">
        <w:rPr>
          <w:rFonts w:ascii="Cambria" w:eastAsia="Times New Roman" w:hAnsi="Cambria"/>
          <w:sz w:val="20"/>
          <w:szCs w:val="20"/>
          <w:bdr w:val="none" w:sz="0" w:space="0" w:color="auto"/>
        </w:rPr>
        <w:t xml:space="preserve">not only failed to take measures to comply with the recommendations issued by the Commission in its </w:t>
      </w:r>
      <w:r w:rsidRPr="00261687">
        <w:rPr>
          <w:rFonts w:ascii="Cambria" w:hAnsi="Cambria"/>
          <w:sz w:val="20"/>
          <w:szCs w:val="20"/>
        </w:rPr>
        <w:t>Final Merits Report No. 90/19</w:t>
      </w:r>
      <w:r w:rsidR="009F7E8F" w:rsidRPr="00261687">
        <w:rPr>
          <w:rFonts w:ascii="Cambria" w:hAnsi="Cambria"/>
          <w:sz w:val="20"/>
          <w:szCs w:val="20"/>
        </w:rPr>
        <w:t>, but has adopted</w:t>
      </w:r>
      <w:r w:rsidR="00373D5A" w:rsidRPr="00261687">
        <w:rPr>
          <w:rFonts w:ascii="Cambria" w:hAnsi="Cambria"/>
          <w:sz w:val="20"/>
          <w:szCs w:val="20"/>
        </w:rPr>
        <w:t xml:space="preserve"> actions that directly contravene those recommendations</w:t>
      </w:r>
      <w:r w:rsidR="0045757F" w:rsidRPr="00261687">
        <w:rPr>
          <w:rFonts w:ascii="Cambria" w:hAnsi="Cambria"/>
          <w:sz w:val="20"/>
          <w:szCs w:val="20"/>
        </w:rPr>
        <w:t xml:space="preserve">, in particular, </w:t>
      </w:r>
      <w:r w:rsidR="009F7E8F" w:rsidRPr="00261687">
        <w:rPr>
          <w:rFonts w:ascii="Cambria" w:hAnsi="Cambria"/>
          <w:sz w:val="20"/>
          <w:szCs w:val="20"/>
        </w:rPr>
        <w:t xml:space="preserve">Recommendations number 5 and 6.  </w:t>
      </w:r>
    </w:p>
    <w:p w14:paraId="69AE4B54" w14:textId="77777777" w:rsidR="001F7984" w:rsidRPr="00261687" w:rsidRDefault="001F7984" w:rsidP="001F7984">
      <w:pPr>
        <w:pStyle w:val="ListParagraph"/>
      </w:pPr>
    </w:p>
    <w:p w14:paraId="5E8CB533" w14:textId="77777777" w:rsidR="001C4006" w:rsidRPr="00261687" w:rsidRDefault="000B44FC" w:rsidP="009E3847">
      <w:pPr>
        <w:pStyle w:val="Heading1"/>
        <w:spacing w:before="0"/>
        <w:ind w:left="1440" w:hanging="720"/>
        <w:rPr>
          <w:color w:val="auto"/>
          <w:sz w:val="20"/>
          <w:szCs w:val="20"/>
          <w:lang w:val="es-ES_tradnl"/>
        </w:rPr>
      </w:pPr>
      <w:bookmarkStart w:id="36" w:name="_Toc26550944"/>
      <w:r w:rsidRPr="00261687">
        <w:rPr>
          <w:color w:val="auto"/>
          <w:sz w:val="20"/>
          <w:szCs w:val="20"/>
          <w:lang w:val="es-ES_tradnl"/>
        </w:rPr>
        <w:t xml:space="preserve">FINAL </w:t>
      </w:r>
      <w:r w:rsidR="001C4006" w:rsidRPr="00261687">
        <w:rPr>
          <w:color w:val="auto"/>
          <w:sz w:val="20"/>
          <w:szCs w:val="20"/>
          <w:lang w:val="es-ES_tradnl"/>
        </w:rPr>
        <w:t>CONCLUSIONS AND RECOMMENDATIONS</w:t>
      </w:r>
      <w:bookmarkEnd w:id="36"/>
    </w:p>
    <w:p w14:paraId="57103DA4" w14:textId="77777777" w:rsidR="001C4006" w:rsidRPr="00D2222C" w:rsidRDefault="001C4006" w:rsidP="009412E0">
      <w:pPr>
        <w:suppressAutoHyphens/>
        <w:ind w:left="1440" w:hanging="720"/>
        <w:rPr>
          <w:rFonts w:asciiTheme="majorHAnsi" w:hAnsiTheme="majorHAnsi"/>
          <w:b/>
          <w:sz w:val="20"/>
          <w:szCs w:val="20"/>
          <w:lang w:val="es-ES_tradnl"/>
        </w:rPr>
      </w:pPr>
    </w:p>
    <w:p w14:paraId="2519ADCC" w14:textId="77777777" w:rsidR="0064712F" w:rsidRPr="00D2222C" w:rsidRDefault="00F1763D"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0" w:firstLine="0"/>
        <w:jc w:val="both"/>
        <w:rPr>
          <w:rFonts w:ascii="Cambria" w:hAnsi="Cambria"/>
          <w:sz w:val="20"/>
          <w:szCs w:val="20"/>
        </w:rPr>
      </w:pPr>
      <w:r w:rsidRPr="00D2222C">
        <w:rPr>
          <w:rFonts w:asciiTheme="majorHAnsi" w:hAnsiTheme="majorHAnsi"/>
          <w:color w:val="000000" w:themeColor="text1"/>
          <w:sz w:val="20"/>
          <w:szCs w:val="20"/>
        </w:rPr>
        <w:t xml:space="preserve">On the basis of determinations of fact and law, the Inter-American Commission concluded that the State is responsible for the violation of Articles I (life, liberty, and security), II (equality before the law), IV (freedom of expression), XVIII (fair trial), XXV (protection from arbitrary detention), and XXVI (due process) of the American Declaration. </w:t>
      </w:r>
    </w:p>
    <w:p w14:paraId="652D3031" w14:textId="77777777" w:rsidR="00BA7984" w:rsidRPr="00D2222C" w:rsidRDefault="00BA7984" w:rsidP="009E384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720"/>
        <w:jc w:val="both"/>
        <w:rPr>
          <w:rFonts w:ascii="Cambria" w:hAnsi="Cambria"/>
          <w:sz w:val="20"/>
          <w:szCs w:val="20"/>
        </w:rPr>
      </w:pPr>
    </w:p>
    <w:p w14:paraId="119EB3C7" w14:textId="77777777" w:rsidR="00F1763D" w:rsidRPr="00D2222C" w:rsidRDefault="00C55378" w:rsidP="009E3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0" w:firstLine="0"/>
        <w:jc w:val="both"/>
        <w:rPr>
          <w:rFonts w:ascii="Cambria" w:hAnsi="Cambria"/>
          <w:sz w:val="20"/>
          <w:szCs w:val="20"/>
        </w:rPr>
      </w:pPr>
      <w:r w:rsidRPr="00D2222C">
        <w:rPr>
          <w:rFonts w:ascii="Cambria" w:eastAsia="Times New Roman" w:hAnsi="Cambria"/>
          <w:sz w:val="20"/>
          <w:szCs w:val="20"/>
        </w:rPr>
        <w:t>Orlando Cordia Hall</w:t>
      </w:r>
      <w:r w:rsidR="0064712F" w:rsidRPr="00D2222C">
        <w:rPr>
          <w:rFonts w:ascii="Cambria" w:eastAsia="Times New Roman" w:hAnsi="Cambria"/>
          <w:sz w:val="20"/>
          <w:szCs w:val="20"/>
        </w:rPr>
        <w:t xml:space="preserve"> is the beneficiary of precautionary measures adopted by the Inter-American Commission under Article 25 of its Rules of Procedure. The Commission must remind the State that carrying out a death sentence in such circumstances would not only cause irreparable harm to the person but would also deny his right to petition the Inter-American human rights system and to obtain an effective result, and that such a measure is contrary to the fundamental human rights obligations of an OAS member state pursuant to the Charter of the Organization and the instruments deriving from it</w:t>
      </w:r>
      <w:r w:rsidRPr="00D2222C">
        <w:rPr>
          <w:rFonts w:ascii="Cambria" w:eastAsia="Times New Roman" w:hAnsi="Cambria"/>
          <w:sz w:val="20"/>
          <w:szCs w:val="20"/>
        </w:rPr>
        <w:t>.</w:t>
      </w:r>
      <w:r w:rsidRPr="00D2222C">
        <w:rPr>
          <w:rStyle w:val="FootnoteReference"/>
          <w:rFonts w:ascii="Cambria" w:eastAsia="Times New Roman" w:hAnsi="Cambria"/>
          <w:sz w:val="20"/>
          <w:szCs w:val="20"/>
        </w:rPr>
        <w:footnoteReference w:id="98"/>
      </w:r>
      <w:r w:rsidRPr="00D2222C">
        <w:rPr>
          <w:rFonts w:ascii="Cambria" w:eastAsia="Times New Roman" w:hAnsi="Cambria"/>
          <w:sz w:val="20"/>
          <w:szCs w:val="20"/>
        </w:rPr>
        <w:t xml:space="preserve"> Accordingly, t</w:t>
      </w:r>
      <w:r w:rsidR="00F1763D" w:rsidRPr="00D2222C">
        <w:rPr>
          <w:rFonts w:asciiTheme="majorHAnsi" w:hAnsiTheme="majorHAnsi"/>
          <w:color w:val="000000" w:themeColor="text1"/>
          <w:sz w:val="20"/>
          <w:szCs w:val="20"/>
        </w:rPr>
        <w:t>he Commission formulated the corresponding recommendations to the State.</w:t>
      </w:r>
    </w:p>
    <w:p w14:paraId="106382F5" w14:textId="77777777" w:rsidR="00261687" w:rsidRDefault="00261687">
      <w:pPr>
        <w:rPr>
          <w:rFonts w:ascii="Cambria" w:eastAsia="Cambria" w:hAnsi="Cambria" w:cs="Cambria"/>
          <w:color w:val="000000"/>
          <w:sz w:val="20"/>
          <w:szCs w:val="20"/>
          <w:u w:color="000000"/>
          <w:lang w:eastAsia="es-ES"/>
        </w:rPr>
      </w:pPr>
      <w:r>
        <w:rPr>
          <w:sz w:val="20"/>
          <w:szCs w:val="20"/>
        </w:rPr>
        <w:br w:type="page"/>
      </w:r>
    </w:p>
    <w:p w14:paraId="54A3A42E" w14:textId="77777777" w:rsidR="001C4006" w:rsidRPr="00D2222C" w:rsidRDefault="001C4006" w:rsidP="001C4006">
      <w:pPr>
        <w:ind w:firstLine="720"/>
        <w:jc w:val="both"/>
        <w:rPr>
          <w:rFonts w:ascii="Cambria" w:hAnsi="Cambria"/>
          <w:b/>
          <w:sz w:val="20"/>
          <w:szCs w:val="20"/>
        </w:rPr>
      </w:pPr>
      <w:r w:rsidRPr="00D2222C">
        <w:rPr>
          <w:rFonts w:ascii="Cambria" w:hAnsi="Cambria"/>
          <w:b/>
          <w:sz w:val="20"/>
          <w:szCs w:val="20"/>
        </w:rPr>
        <w:lastRenderedPageBreak/>
        <w:tab/>
        <w:t xml:space="preserve">THE INTER-AMERICAN COMMISSION ON HUMAN RIGHTS, </w:t>
      </w:r>
      <w:r w:rsidR="000B44FC" w:rsidRPr="00D2222C">
        <w:rPr>
          <w:rFonts w:ascii="Cambria" w:hAnsi="Cambria"/>
          <w:b/>
          <w:sz w:val="20"/>
          <w:szCs w:val="20"/>
        </w:rPr>
        <w:t>REITERATES</w:t>
      </w:r>
      <w:r w:rsidRPr="00D2222C">
        <w:rPr>
          <w:rFonts w:ascii="Cambria" w:hAnsi="Cambria"/>
          <w:b/>
          <w:sz w:val="20"/>
          <w:szCs w:val="20"/>
        </w:rPr>
        <w:t xml:space="preserve"> THAT THE </w:t>
      </w:r>
      <w:r w:rsidR="002E432F" w:rsidRPr="00D2222C">
        <w:rPr>
          <w:rFonts w:ascii="Cambria" w:hAnsi="Cambria"/>
          <w:b/>
          <w:sz w:val="20"/>
          <w:szCs w:val="20"/>
        </w:rPr>
        <w:t xml:space="preserve">UNITED </w:t>
      </w:r>
      <w:r w:rsidRPr="00D2222C">
        <w:rPr>
          <w:rFonts w:ascii="Cambria" w:hAnsi="Cambria"/>
          <w:b/>
          <w:sz w:val="20"/>
          <w:szCs w:val="20"/>
        </w:rPr>
        <w:t>STATE</w:t>
      </w:r>
      <w:r w:rsidR="002E432F" w:rsidRPr="00D2222C">
        <w:rPr>
          <w:rFonts w:ascii="Cambria" w:hAnsi="Cambria"/>
          <w:b/>
          <w:sz w:val="20"/>
          <w:szCs w:val="20"/>
        </w:rPr>
        <w:t>S</w:t>
      </w:r>
      <w:r w:rsidRPr="00D2222C">
        <w:rPr>
          <w:rFonts w:ascii="Cambria" w:hAnsi="Cambria"/>
          <w:b/>
          <w:sz w:val="20"/>
          <w:szCs w:val="20"/>
        </w:rPr>
        <w:t xml:space="preserve"> OF</w:t>
      </w:r>
      <w:r w:rsidR="002E432F" w:rsidRPr="00D2222C">
        <w:rPr>
          <w:rFonts w:ascii="Cambria" w:hAnsi="Cambria"/>
          <w:b/>
          <w:sz w:val="20"/>
          <w:szCs w:val="20"/>
        </w:rPr>
        <w:t xml:space="preserve"> AMERICA</w:t>
      </w:r>
      <w:r w:rsidRPr="00D2222C">
        <w:rPr>
          <w:rFonts w:ascii="Cambria" w:hAnsi="Cambria"/>
          <w:b/>
          <w:sz w:val="20"/>
          <w:szCs w:val="20"/>
        </w:rPr>
        <w:t>,</w:t>
      </w:r>
    </w:p>
    <w:p w14:paraId="24DE54E0" w14:textId="77777777" w:rsidR="001C4006" w:rsidRPr="00D2222C" w:rsidRDefault="001C4006" w:rsidP="001C4006">
      <w:pPr>
        <w:ind w:firstLine="720"/>
        <w:jc w:val="both"/>
        <w:rPr>
          <w:rFonts w:ascii="Cambria" w:hAnsi="Cambria"/>
          <w:b/>
          <w:sz w:val="20"/>
          <w:szCs w:val="20"/>
        </w:rPr>
      </w:pPr>
    </w:p>
    <w:p w14:paraId="006AD8E4" w14:textId="77777777" w:rsidR="00A54E22" w:rsidRPr="00D2222C" w:rsidRDefault="00A163A4" w:rsidP="00EA500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r w:rsidRPr="00D2222C">
        <w:rPr>
          <w:rFonts w:eastAsia="Times New Roman" w:cs="Tahoma"/>
          <w:sz w:val="20"/>
          <w:szCs w:val="20"/>
          <w:bdr w:val="none" w:sz="0" w:space="0" w:color="auto"/>
        </w:rPr>
        <w:t>Grant Orlando Cordia Hall effective relief, including the review of his trial and sentence in accordance with the right to equality before the law and the guarantees of fair trial and due process set forth in Articles II, XVIII and XXVI of the American Declaration.</w:t>
      </w:r>
      <w:r w:rsidR="00250F42" w:rsidRPr="00D2222C">
        <w:rPr>
          <w:rFonts w:eastAsia="Times New Roman" w:cs="Tahoma"/>
          <w:sz w:val="20"/>
          <w:szCs w:val="20"/>
          <w:bdr w:val="none" w:sz="0" w:space="0" w:color="auto"/>
        </w:rPr>
        <w:t xml:space="preserve"> </w:t>
      </w:r>
      <w:r w:rsidR="00C55378" w:rsidRPr="00D2222C">
        <w:rPr>
          <w:rFonts w:cs="Arial"/>
          <w:color w:val="auto"/>
          <w:sz w:val="20"/>
          <w:szCs w:val="20"/>
        </w:rPr>
        <w:t>Taking into account the conclusions of the IACHR on the time Orlando Cordia Hall has been held on death row, the Commission recommends that his sentence be commuted</w:t>
      </w:r>
      <w:r w:rsidR="00C55378" w:rsidRPr="00D2222C">
        <w:rPr>
          <w:rFonts w:eastAsia="Times New Roman" w:cs="Tahoma"/>
          <w:sz w:val="20"/>
          <w:szCs w:val="20"/>
          <w:bdr w:val="none" w:sz="0" w:space="0" w:color="auto"/>
        </w:rPr>
        <w:t>.</w:t>
      </w:r>
    </w:p>
    <w:p w14:paraId="1E0F4932" w14:textId="77777777" w:rsidR="00A54E22" w:rsidRPr="00D2222C" w:rsidRDefault="00A54E22" w:rsidP="00A54E2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jc w:val="both"/>
        <w:rPr>
          <w:rFonts w:eastAsia="Times New Roman" w:cs="Tahoma"/>
          <w:sz w:val="20"/>
          <w:szCs w:val="20"/>
          <w:bdr w:val="none" w:sz="0" w:space="0" w:color="auto"/>
        </w:rPr>
      </w:pPr>
    </w:p>
    <w:p w14:paraId="4B77B6A4" w14:textId="77777777" w:rsidR="0059770B" w:rsidRPr="00D2222C" w:rsidRDefault="00A54E22" w:rsidP="00EA500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r w:rsidRPr="00D2222C">
        <w:rPr>
          <w:sz w:val="20"/>
        </w:rPr>
        <w:t>Review its laws, procedures, and practices to ensure that persons accused of capital crimes are tried and, if convicted, sentenced in accordance with the rights established in the American Declaration, including Articles I, II, XVIII, X</w:t>
      </w:r>
      <w:r w:rsidR="0059770B" w:rsidRPr="00D2222C">
        <w:rPr>
          <w:sz w:val="20"/>
        </w:rPr>
        <w:t>X</w:t>
      </w:r>
      <w:r w:rsidRPr="00D2222C">
        <w:rPr>
          <w:sz w:val="20"/>
        </w:rPr>
        <w:t>V and XXVI thereof</w:t>
      </w:r>
      <w:bookmarkStart w:id="37" w:name="_ftn34"/>
      <w:bookmarkEnd w:id="37"/>
      <w:r w:rsidR="00952CAA" w:rsidRPr="00D2222C">
        <w:rPr>
          <w:sz w:val="20"/>
        </w:rPr>
        <w:t>.</w:t>
      </w:r>
    </w:p>
    <w:p w14:paraId="4AA68EC0" w14:textId="77777777" w:rsidR="0059770B" w:rsidRPr="00D2222C" w:rsidRDefault="0059770B" w:rsidP="0059770B">
      <w:pPr>
        <w:pStyle w:val="ListParagraph"/>
        <w:rPr>
          <w:sz w:val="20"/>
        </w:rPr>
      </w:pPr>
    </w:p>
    <w:p w14:paraId="72BF43BF" w14:textId="77777777" w:rsidR="00952CAA" w:rsidRPr="00D2222C" w:rsidRDefault="00A54E22" w:rsidP="00EA500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r w:rsidRPr="00D2222C">
        <w:rPr>
          <w:sz w:val="20"/>
        </w:rPr>
        <w:t>Ensure that the legal counsel provided by the State in death penalty cases is effective and adequately trained to serve in death penalty cases</w:t>
      </w:r>
      <w:r w:rsidR="00952CAA" w:rsidRPr="00D2222C">
        <w:rPr>
          <w:sz w:val="20"/>
        </w:rPr>
        <w:t>.</w:t>
      </w:r>
    </w:p>
    <w:p w14:paraId="2E96FB16" w14:textId="77777777" w:rsidR="00952CAA" w:rsidRPr="00D2222C" w:rsidRDefault="00952CAA" w:rsidP="00952CAA">
      <w:pPr>
        <w:pStyle w:val="ListParagraph"/>
        <w:rPr>
          <w:sz w:val="20"/>
        </w:rPr>
      </w:pPr>
    </w:p>
    <w:p w14:paraId="712B48D7" w14:textId="77777777" w:rsidR="00F737D9" w:rsidRPr="00D2222C" w:rsidRDefault="00952CAA" w:rsidP="00EA500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r w:rsidRPr="00D2222C">
        <w:rPr>
          <w:sz w:val="20"/>
        </w:rPr>
        <w:t xml:space="preserve">Review the executive clemency procedure to ensure </w:t>
      </w:r>
      <w:r w:rsidR="009A0F04" w:rsidRPr="00D2222C">
        <w:rPr>
          <w:sz w:val="20"/>
        </w:rPr>
        <w:t>impartiality and</w:t>
      </w:r>
      <w:r w:rsidR="00A54E22" w:rsidRPr="00D2222C">
        <w:rPr>
          <w:sz w:val="20"/>
        </w:rPr>
        <w:t xml:space="preserve"> </w:t>
      </w:r>
      <w:r w:rsidR="00530B2B" w:rsidRPr="00D2222C">
        <w:rPr>
          <w:sz w:val="20"/>
        </w:rPr>
        <w:t xml:space="preserve">compliance with </w:t>
      </w:r>
      <w:r w:rsidR="009A0F04" w:rsidRPr="00D2222C">
        <w:rPr>
          <w:rFonts w:eastAsia="Arial Unicode MS"/>
          <w:sz w:val="20"/>
          <w:szCs w:val="20"/>
        </w:rPr>
        <w:t>the right to minimal fairness guarantees.</w:t>
      </w:r>
    </w:p>
    <w:p w14:paraId="249655BF" w14:textId="77777777" w:rsidR="00F737D9" w:rsidRPr="00D2222C" w:rsidRDefault="00F737D9" w:rsidP="00F737D9">
      <w:pPr>
        <w:pStyle w:val="ListParagraph"/>
        <w:rPr>
          <w:rFonts w:asciiTheme="majorHAnsi" w:eastAsia="Times New Roman" w:hAnsiTheme="majorHAnsi" w:cs="Tahoma"/>
          <w:sz w:val="20"/>
          <w:szCs w:val="20"/>
          <w:bdr w:val="none" w:sz="0" w:space="0" w:color="auto"/>
        </w:rPr>
      </w:pPr>
    </w:p>
    <w:p w14:paraId="36643AC2" w14:textId="77777777" w:rsidR="00700471" w:rsidRPr="00D2222C" w:rsidRDefault="00700471" w:rsidP="00EA500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r w:rsidRPr="00D2222C">
        <w:rPr>
          <w:rFonts w:asciiTheme="majorHAnsi" w:eastAsia="Times New Roman" w:hAnsiTheme="majorHAnsi" w:cs="Tahoma"/>
          <w:sz w:val="20"/>
          <w:szCs w:val="20"/>
          <w:bdr w:val="none" w:sz="0" w:space="0" w:color="auto"/>
        </w:rPr>
        <w:t xml:space="preserve">Ensure that the federal lethal injection protocol complies with the </w:t>
      </w:r>
      <w:r w:rsidR="00F737D9" w:rsidRPr="00D2222C">
        <w:rPr>
          <w:rFonts w:asciiTheme="majorHAnsi" w:eastAsia="Times New Roman" w:hAnsiTheme="majorHAnsi"/>
          <w:sz w:val="20"/>
          <w:szCs w:val="20"/>
          <w:bdr w:val="none" w:sz="0" w:space="0" w:color="auto"/>
        </w:rPr>
        <w:t>right to humane treatment and not to receive cruel, infamous or unusual punishment set forth in Articles XXV and XXVI of the Declaration</w:t>
      </w:r>
      <w:r w:rsidR="00C55378" w:rsidRPr="00D2222C">
        <w:rPr>
          <w:rFonts w:asciiTheme="majorHAnsi" w:eastAsia="Times New Roman" w:hAnsiTheme="majorHAnsi"/>
          <w:sz w:val="20"/>
          <w:szCs w:val="20"/>
          <w:bdr w:val="none" w:sz="0" w:space="0" w:color="auto"/>
        </w:rPr>
        <w:t>, and that</w:t>
      </w:r>
      <w:r w:rsidR="00C55378" w:rsidRPr="00D2222C">
        <w:rPr>
          <w:rFonts w:eastAsia="Times New Roman"/>
          <w:sz w:val="20"/>
          <w:szCs w:val="20"/>
          <w:bdr w:val="none" w:sz="0" w:space="0" w:color="auto"/>
        </w:rPr>
        <w:t xml:space="preserve"> the person sentenced to death has access to all the relevant information regarding</w:t>
      </w:r>
      <w:r w:rsidR="00C55378" w:rsidRPr="00D2222C">
        <w:rPr>
          <w:rFonts w:asciiTheme="majorHAnsi" w:eastAsia="Times New Roman" w:hAnsiTheme="majorHAnsi"/>
          <w:sz w:val="20"/>
          <w:szCs w:val="20"/>
          <w:bdr w:val="none" w:sz="0" w:space="0" w:color="auto"/>
        </w:rPr>
        <w:t xml:space="preserve"> the method of execution. </w:t>
      </w:r>
      <w:r w:rsidR="00F737D9" w:rsidRPr="00D2222C">
        <w:rPr>
          <w:rFonts w:asciiTheme="majorHAnsi" w:eastAsia="Times New Roman" w:hAnsiTheme="majorHAnsi"/>
          <w:sz w:val="20"/>
          <w:szCs w:val="20"/>
          <w:bdr w:val="none" w:sz="0" w:space="0" w:color="auto"/>
        </w:rPr>
        <w:t xml:space="preserve"> </w:t>
      </w:r>
    </w:p>
    <w:p w14:paraId="3E2EEB0F" w14:textId="77777777" w:rsidR="0059770B" w:rsidRPr="00D2222C" w:rsidRDefault="0059770B" w:rsidP="0059770B">
      <w:pPr>
        <w:pStyle w:val="ListParagraph"/>
        <w:rPr>
          <w:rFonts w:asciiTheme="majorHAnsi" w:hAnsiTheme="majorHAnsi"/>
          <w:sz w:val="20"/>
        </w:rPr>
      </w:pPr>
    </w:p>
    <w:p w14:paraId="28FC7C56" w14:textId="77777777" w:rsidR="001C4006" w:rsidRPr="00D2222C" w:rsidRDefault="00A54E22" w:rsidP="00EA500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r w:rsidRPr="00D2222C">
        <w:rPr>
          <w:rFonts w:asciiTheme="majorHAnsi" w:hAnsiTheme="majorHAnsi"/>
          <w:sz w:val="20"/>
        </w:rPr>
        <w:t>Given the violations of the American Declaration the IACHR has established in the present</w:t>
      </w:r>
      <w:r w:rsidRPr="00D2222C">
        <w:rPr>
          <w:sz w:val="20"/>
        </w:rPr>
        <w:t xml:space="preserve"> case and in others involving application of the death penalty, the Inter-American Commission also recommends to the United States that it adopt a moratorium on executions of persons sentenced to death.</w:t>
      </w:r>
      <w:r w:rsidRPr="00D2222C">
        <w:rPr>
          <w:rStyle w:val="FootnoteReference"/>
          <w:sz w:val="20"/>
        </w:rPr>
        <w:footnoteReference w:id="99"/>
      </w:r>
    </w:p>
    <w:p w14:paraId="793AB991" w14:textId="77777777" w:rsidR="00EA5001" w:rsidRPr="00D2222C" w:rsidRDefault="00EA5001" w:rsidP="00EA5001">
      <w:pPr>
        <w:pStyle w:val="Heading1"/>
        <w:numPr>
          <w:ilvl w:val="0"/>
          <w:numId w:val="0"/>
        </w:numPr>
        <w:spacing w:before="0"/>
        <w:ind w:left="1440"/>
        <w:rPr>
          <w:color w:val="auto"/>
          <w:sz w:val="20"/>
          <w:szCs w:val="20"/>
        </w:rPr>
      </w:pPr>
    </w:p>
    <w:p w14:paraId="5CEDF712" w14:textId="77777777" w:rsidR="00EA5001" w:rsidRPr="00261687" w:rsidRDefault="006E3C05" w:rsidP="009E3847">
      <w:pPr>
        <w:pStyle w:val="Heading1"/>
        <w:spacing w:before="0"/>
        <w:ind w:left="1440" w:hanging="720"/>
        <w:rPr>
          <w:color w:val="auto"/>
          <w:sz w:val="20"/>
          <w:szCs w:val="20"/>
          <w:lang w:val="es-ES_tradnl"/>
        </w:rPr>
      </w:pPr>
      <w:bookmarkStart w:id="38" w:name="_Toc26550945"/>
      <w:r w:rsidRPr="00261687">
        <w:rPr>
          <w:color w:val="auto"/>
          <w:sz w:val="20"/>
          <w:szCs w:val="20"/>
          <w:lang w:val="es-ES_tradnl"/>
        </w:rPr>
        <w:t>PUBLICATION</w:t>
      </w:r>
      <w:bookmarkEnd w:id="38"/>
    </w:p>
    <w:p w14:paraId="302C5012" w14:textId="77777777" w:rsidR="00EA5001" w:rsidRPr="00261687" w:rsidRDefault="00EA5001" w:rsidP="00EA5001">
      <w:pPr>
        <w:rPr>
          <w:rFonts w:asciiTheme="majorHAnsi" w:hAnsiTheme="majorHAnsi"/>
          <w:sz w:val="20"/>
          <w:szCs w:val="20"/>
        </w:rPr>
      </w:pPr>
    </w:p>
    <w:p w14:paraId="2F0896E9" w14:textId="77777777" w:rsidR="006E3C05" w:rsidRPr="00261687" w:rsidRDefault="006E3C05" w:rsidP="006E3C0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0" w:firstLine="0"/>
        <w:jc w:val="both"/>
        <w:rPr>
          <w:rFonts w:ascii="Cambria" w:eastAsia="Times New Roman" w:hAnsi="Cambria"/>
          <w:sz w:val="20"/>
          <w:szCs w:val="20"/>
        </w:rPr>
      </w:pPr>
      <w:r w:rsidRPr="00261687">
        <w:rPr>
          <w:rFonts w:ascii="Cambria" w:eastAsia="Times New Roman" w:hAnsi="Cambria"/>
          <w:sz w:val="20"/>
          <w:szCs w:val="20"/>
        </w:rPr>
        <w:t xml:space="preserve">In light of the above and in accordance with Article 47.3 of its Rules of Procedure, the IACHR decides to make this report public, and to include it in its Annual Report to the General Assembly of the Organization of American States. The Inter-American Commission, according to the norms contained in the instruments which govern its mandate, will continue evaluating the measures adopted by the United States with respect to the above recommendations until it determines there has been full compliance. </w:t>
      </w:r>
    </w:p>
    <w:p w14:paraId="77923059" w14:textId="77777777" w:rsidR="00EA5001" w:rsidRDefault="00EA5001" w:rsidP="006E3C0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0"/>
        <w:jc w:val="both"/>
        <w:rPr>
          <w:sz w:val="20"/>
          <w:szCs w:val="20"/>
        </w:rPr>
      </w:pPr>
    </w:p>
    <w:p w14:paraId="3E55C004" w14:textId="77777777" w:rsidR="00261687" w:rsidRDefault="00261687" w:rsidP="00261687">
      <w:pPr>
        <w:suppressAutoHyphens/>
        <w:ind w:firstLine="720"/>
        <w:jc w:val="both"/>
        <w:rPr>
          <w:rFonts w:ascii="Cambria" w:hAnsi="Cambria"/>
          <w:spacing w:val="-2"/>
          <w:sz w:val="20"/>
        </w:rPr>
      </w:pPr>
      <w:r>
        <w:rPr>
          <w:rFonts w:ascii="Cambria" w:hAnsi="Cambria"/>
          <w:spacing w:val="-2"/>
          <w:sz w:val="20"/>
        </w:rPr>
        <w:t xml:space="preserve">Approved by </w:t>
      </w:r>
      <w:r>
        <w:rPr>
          <w:rFonts w:ascii="Cambria" w:hAnsi="Cambria" w:cs="Arial"/>
          <w:sz w:val="20"/>
          <w:szCs w:val="20"/>
        </w:rPr>
        <w:t xml:space="preserve">the </w:t>
      </w:r>
      <w:r w:rsidRPr="00365F2F">
        <w:rPr>
          <w:rFonts w:ascii="Cambria" w:hAnsi="Cambria"/>
          <w:sz w:val="20"/>
        </w:rPr>
        <w:t>Inter-American Commission on Human Rights</w:t>
      </w:r>
      <w:r w:rsidRPr="00365F2F">
        <w:rPr>
          <w:rFonts w:ascii="Cambria" w:hAnsi="Cambria"/>
          <w:spacing w:val="-2"/>
          <w:sz w:val="20"/>
        </w:rPr>
        <w:t xml:space="preserve"> on the </w:t>
      </w:r>
      <w:r>
        <w:rPr>
          <w:rFonts w:ascii="Cambria" w:hAnsi="Cambria"/>
          <w:spacing w:val="-2"/>
          <w:sz w:val="20"/>
        </w:rPr>
        <w:t>22</w:t>
      </w:r>
      <w:r w:rsidRPr="00CC164D">
        <w:rPr>
          <w:rFonts w:ascii="Cambria" w:hAnsi="Cambria"/>
          <w:spacing w:val="-2"/>
          <w:sz w:val="20"/>
        </w:rPr>
        <w:t xml:space="preserve"> day of the month of </w:t>
      </w:r>
      <w:r>
        <w:rPr>
          <w:rFonts w:ascii="Cambria" w:hAnsi="Cambria"/>
          <w:spacing w:val="-2"/>
          <w:sz w:val="20"/>
        </w:rPr>
        <w:t>April, 2020</w:t>
      </w:r>
      <w:r w:rsidRPr="00365F2F">
        <w:rPr>
          <w:rFonts w:ascii="Cambria" w:hAnsi="Cambria"/>
          <w:spacing w:val="-2"/>
          <w:sz w:val="20"/>
        </w:rPr>
        <w:t>.</w:t>
      </w:r>
      <w:r>
        <w:rPr>
          <w:rFonts w:ascii="Cambria" w:hAnsi="Cambria"/>
          <w:spacing w:val="-2"/>
          <w:sz w:val="20"/>
        </w:rPr>
        <w:t xml:space="preserve"> (Signed): </w:t>
      </w:r>
      <w:r w:rsidRPr="00CC164D">
        <w:rPr>
          <w:rFonts w:ascii="Cambria" w:hAnsi="Cambria"/>
          <w:spacing w:val="-2"/>
          <w:sz w:val="20"/>
        </w:rPr>
        <w:t>Joel Hernández García</w:t>
      </w:r>
      <w:r w:rsidRPr="00CD27AC">
        <w:rPr>
          <w:rFonts w:ascii="Cambria" w:hAnsi="Cambria"/>
          <w:spacing w:val="-2"/>
          <w:sz w:val="20"/>
        </w:rPr>
        <w:t xml:space="preserve">, </w:t>
      </w:r>
      <w:r w:rsidRPr="00365F2F">
        <w:rPr>
          <w:rFonts w:ascii="Cambria" w:hAnsi="Cambria"/>
          <w:spacing w:val="-2"/>
          <w:sz w:val="20"/>
        </w:rPr>
        <w:t>President</w:t>
      </w:r>
      <w:r>
        <w:rPr>
          <w:rFonts w:ascii="Cambria" w:hAnsi="Cambria"/>
          <w:spacing w:val="-2"/>
          <w:sz w:val="20"/>
        </w:rPr>
        <w:t xml:space="preserve">; </w:t>
      </w:r>
      <w:r w:rsidRPr="00CC164D">
        <w:rPr>
          <w:rFonts w:ascii="Cambria" w:hAnsi="Cambria"/>
          <w:spacing w:val="-2"/>
          <w:sz w:val="20"/>
        </w:rPr>
        <w:t>Antonia Urrejola Noguera</w:t>
      </w:r>
      <w:r>
        <w:rPr>
          <w:rFonts w:ascii="Cambria" w:hAnsi="Cambria"/>
          <w:spacing w:val="-2"/>
          <w:sz w:val="20"/>
        </w:rPr>
        <w:t xml:space="preserve">, </w:t>
      </w:r>
      <w:r w:rsidRPr="00E578CC">
        <w:rPr>
          <w:rFonts w:ascii="Cambria" w:hAnsi="Cambria" w:cs="Arial"/>
          <w:sz w:val="20"/>
        </w:rPr>
        <w:t>First Vice President</w:t>
      </w:r>
      <w:r>
        <w:rPr>
          <w:rFonts w:ascii="Cambria" w:hAnsi="Cambria" w:cs="Arial"/>
          <w:sz w:val="20"/>
        </w:rPr>
        <w:t xml:space="preserve">; </w:t>
      </w:r>
      <w:r>
        <w:rPr>
          <w:rFonts w:ascii="Cambria" w:hAnsi="Cambria"/>
          <w:spacing w:val="-2"/>
          <w:sz w:val="20"/>
        </w:rPr>
        <w:t>Flávia Piovesan</w:t>
      </w:r>
      <w:r w:rsidRPr="00CD27AC">
        <w:rPr>
          <w:rFonts w:ascii="Cambria" w:hAnsi="Cambria"/>
          <w:spacing w:val="-2"/>
          <w:sz w:val="20"/>
        </w:rPr>
        <w:t>, Second Vice President;</w:t>
      </w:r>
      <w:r>
        <w:rPr>
          <w:rFonts w:ascii="Cambria" w:hAnsi="Cambria" w:cs="Arial"/>
          <w:sz w:val="20"/>
        </w:rPr>
        <w:t xml:space="preserve"> </w:t>
      </w:r>
      <w:r>
        <w:rPr>
          <w:rFonts w:ascii="Cambria" w:hAnsi="Cambria"/>
          <w:spacing w:val="-2"/>
          <w:sz w:val="20"/>
        </w:rPr>
        <w:t>Margarette</w:t>
      </w:r>
      <w:r w:rsidRPr="000F5AF1">
        <w:rPr>
          <w:rFonts w:ascii="Cambria" w:hAnsi="Cambria"/>
          <w:spacing w:val="-2"/>
          <w:sz w:val="20"/>
        </w:rPr>
        <w:t xml:space="preserve"> May Macaulay</w:t>
      </w:r>
      <w:r>
        <w:rPr>
          <w:rFonts w:ascii="Cambria" w:hAnsi="Cambria"/>
          <w:spacing w:val="-2"/>
          <w:sz w:val="20"/>
        </w:rPr>
        <w:t xml:space="preserve">, </w:t>
      </w:r>
      <w:r w:rsidRPr="00326763">
        <w:rPr>
          <w:rFonts w:ascii="Cambria" w:hAnsi="Cambria"/>
          <w:spacing w:val="-2"/>
          <w:sz w:val="20"/>
        </w:rPr>
        <w:t>Esmeralda E. Arosemena Bernal de Troitiño</w:t>
      </w:r>
      <w:r>
        <w:rPr>
          <w:rFonts w:ascii="Cambria" w:hAnsi="Cambria"/>
          <w:spacing w:val="-2"/>
          <w:sz w:val="20"/>
        </w:rPr>
        <w:t xml:space="preserve"> and </w:t>
      </w:r>
      <w:r w:rsidRPr="00CC164D">
        <w:rPr>
          <w:rFonts w:ascii="Cambria" w:hAnsi="Cambria"/>
          <w:spacing w:val="-2"/>
          <w:sz w:val="20"/>
        </w:rPr>
        <w:t>Julissa Mantilla Falcón</w:t>
      </w:r>
      <w:r>
        <w:rPr>
          <w:rFonts w:ascii="Cambria" w:hAnsi="Cambria"/>
          <w:spacing w:val="-2"/>
          <w:sz w:val="20"/>
        </w:rPr>
        <w:t>, Commissioners.</w:t>
      </w:r>
    </w:p>
    <w:p w14:paraId="7AB432B1" w14:textId="77777777" w:rsidR="00261687" w:rsidRPr="00CD207E" w:rsidRDefault="00261687" w:rsidP="00261687">
      <w:pPr>
        <w:suppressAutoHyphens/>
        <w:jc w:val="both"/>
        <w:rPr>
          <w:rFonts w:ascii="Cambria" w:hAnsi="Cambria"/>
          <w:spacing w:val="-2"/>
          <w:sz w:val="20"/>
        </w:rPr>
      </w:pPr>
    </w:p>
    <w:p w14:paraId="6E0996F3" w14:textId="77777777" w:rsidR="00EA5001" w:rsidRDefault="00EA5001" w:rsidP="00261687">
      <w:pPr>
        <w:tabs>
          <w:tab w:val="left" w:pos="-720"/>
          <w:tab w:val="left" w:pos="5760"/>
        </w:tabs>
        <w:jc w:val="center"/>
      </w:pPr>
    </w:p>
    <w:sectPr w:rsidR="00EA5001"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8DD97" w14:textId="77777777" w:rsidR="000A72E9" w:rsidRDefault="000A72E9" w:rsidP="00036A8A">
      <w:r>
        <w:separator/>
      </w:r>
    </w:p>
  </w:endnote>
  <w:endnote w:type="continuationSeparator" w:id="0">
    <w:p w14:paraId="02FA5CA4" w14:textId="77777777" w:rsidR="000A72E9" w:rsidRDefault="000A72E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500A5DAB" w14:textId="77777777" w:rsidR="007E4368" w:rsidRPr="006311DA" w:rsidRDefault="007E4368">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67517">
          <w:rPr>
            <w:noProof/>
            <w:sz w:val="16"/>
          </w:rPr>
          <w:t>26</w:t>
        </w:r>
        <w:r w:rsidRPr="006311DA">
          <w:rPr>
            <w:noProof/>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FD12" w14:textId="77777777" w:rsidR="007E4368" w:rsidRDefault="007E4368">
    <w:pPr>
      <w:pStyle w:val="Footer"/>
      <w:jc w:val="center"/>
    </w:pPr>
  </w:p>
  <w:p w14:paraId="20FF60DA" w14:textId="77777777" w:rsidR="007E4368" w:rsidRDefault="007E4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4911FCFE" w14:textId="77777777" w:rsidR="007E4368" w:rsidRDefault="007E436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22376F0" w14:textId="77777777" w:rsidR="007E4368" w:rsidRDefault="007E4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3D9A7" w14:textId="77777777" w:rsidR="000A72E9" w:rsidRPr="00036A8A" w:rsidRDefault="000A72E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8A3A732" w14:textId="77777777" w:rsidR="000A72E9" w:rsidRPr="00036A8A" w:rsidRDefault="000A72E9" w:rsidP="00036A8A">
      <w:pPr>
        <w:rPr>
          <w:rFonts w:asciiTheme="majorHAnsi" w:hAnsiTheme="majorHAnsi"/>
          <w:sz w:val="16"/>
          <w:szCs w:val="16"/>
        </w:rPr>
      </w:pPr>
      <w:r w:rsidRPr="00036A8A">
        <w:rPr>
          <w:rFonts w:asciiTheme="majorHAnsi" w:hAnsiTheme="majorHAnsi"/>
          <w:sz w:val="16"/>
          <w:szCs w:val="16"/>
        </w:rPr>
        <w:separator/>
      </w:r>
    </w:p>
    <w:p w14:paraId="0951CC62" w14:textId="77777777" w:rsidR="000A72E9" w:rsidRPr="00036A8A" w:rsidRDefault="000A72E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FAC1B5D" w14:textId="77777777" w:rsidR="000A72E9" w:rsidRPr="0093441A" w:rsidRDefault="000A72E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7F2EFAB3"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On October 15, 2012, petitioner Owen Bonheimer sent a notice of withdrawal from Mr. Hall’s representation before the IACHR.</w:t>
      </w:r>
    </w:p>
  </w:footnote>
  <w:footnote w:id="3">
    <w:p w14:paraId="4854ACCC"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No 77/09, Petition 1349-07. Admissibility. Orlando Cordia Hall. United States. August 5, 2009. Alleged violations admissible: Articles I, II, XVIII, XXV and XXVI of the American Declaration on the Rights and Duties of Man. </w:t>
      </w:r>
    </w:p>
  </w:footnote>
  <w:footnote w:id="4">
    <w:p w14:paraId="7375ED0A"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Style w:val="FootnoteReference"/>
          <w:rFonts w:asciiTheme="majorHAnsi" w:hAnsiTheme="majorHAnsi"/>
          <w:color w:val="auto"/>
          <w:sz w:val="16"/>
          <w:szCs w:val="16"/>
        </w:rPr>
        <w:t xml:space="preserve"> </w:t>
      </w:r>
      <w:r w:rsidRPr="00ED56AB">
        <w:rPr>
          <w:rFonts w:asciiTheme="majorHAnsi" w:hAnsiTheme="majorHAnsi"/>
          <w:color w:val="auto"/>
          <w:sz w:val="16"/>
          <w:szCs w:val="16"/>
        </w:rPr>
        <w:t>On July 7, 2008, the IACHR granted precautionary measures on behalf of Mr. Hall.  The Commission requested the United States to refrain from executing the death sentence until it has had an opportunity to issue its decision on the petitioners’ claim of alleged violations of the American Declaration.</w:t>
      </w:r>
    </w:p>
  </w:footnote>
  <w:footnote w:id="5">
    <w:p w14:paraId="0E139E29"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Style w:val="FootnoteReference"/>
          <w:rFonts w:asciiTheme="majorHAnsi" w:hAnsiTheme="majorHAnsi"/>
          <w:color w:val="auto"/>
          <w:sz w:val="16"/>
          <w:szCs w:val="16"/>
        </w:rPr>
        <w:t xml:space="preserve"> </w:t>
      </w:r>
      <w:r w:rsidRPr="00ED56AB">
        <w:rPr>
          <w:rFonts w:asciiTheme="majorHAnsi" w:hAnsiTheme="majorHAnsi"/>
          <w:color w:val="auto"/>
          <w:sz w:val="16"/>
          <w:szCs w:val="16"/>
        </w:rPr>
        <w:t>The Federal Death Penalty System: a statistical survey (1988-2000). United States Department of Justice. Washington, D.C. September 12, 2000. Exhibit A submitted with petitioners’ brief on October 15, 2010.</w:t>
      </w:r>
    </w:p>
  </w:footnote>
  <w:footnote w:id="6">
    <w:p w14:paraId="21A73262"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Style w:val="FootnoteReference"/>
          <w:rFonts w:asciiTheme="majorHAnsi" w:hAnsiTheme="majorHAnsi"/>
          <w:color w:val="auto"/>
          <w:sz w:val="16"/>
          <w:szCs w:val="16"/>
        </w:rPr>
        <w:t xml:space="preserve"> </w:t>
      </w:r>
      <w:r w:rsidRPr="00ED56AB">
        <w:rPr>
          <w:rFonts w:asciiTheme="majorHAnsi" w:hAnsiTheme="majorHAnsi"/>
          <w:color w:val="auto"/>
          <w:sz w:val="16"/>
          <w:szCs w:val="16"/>
        </w:rPr>
        <w:t>The Federal Death Penalty System: a statistical survey (1988-2000). United States Department of Justice. Washington, D.C. September 12, 2000, p. 8. Exhibit A submitted with petitioners’ brief on October 15, 2010.</w:t>
      </w:r>
    </w:p>
  </w:footnote>
  <w:footnote w:id="7">
    <w:p w14:paraId="2644A8E1" w14:textId="77777777" w:rsidR="007E4368" w:rsidRPr="00ED56AB" w:rsidRDefault="007E4368" w:rsidP="00DC28C0">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The United States Department of Justice. Legal authority governing executive clemency. Available at: </w:t>
      </w:r>
      <w:hyperlink r:id="rId1" w:anchor="procedures" w:history="1">
        <w:r w:rsidRPr="00ED56AB">
          <w:rPr>
            <w:rStyle w:val="Hyperlink"/>
            <w:rFonts w:asciiTheme="majorHAnsi" w:hAnsiTheme="majorHAnsi"/>
            <w:color w:val="auto"/>
            <w:sz w:val="16"/>
            <w:szCs w:val="16"/>
          </w:rPr>
          <w:t>https://www.justice.gov/pardon/legal-authority-governing-executive-clemency#procedures</w:t>
        </w:r>
      </w:hyperlink>
      <w:r w:rsidRPr="00ED56AB">
        <w:rPr>
          <w:rFonts w:asciiTheme="majorHAnsi" w:hAnsiTheme="majorHAnsi"/>
          <w:color w:val="auto"/>
          <w:sz w:val="16"/>
          <w:szCs w:val="16"/>
        </w:rPr>
        <w:t xml:space="preserve"> </w:t>
      </w:r>
    </w:p>
  </w:footnote>
  <w:footnote w:id="8">
    <w:p w14:paraId="330F79F5" w14:textId="77777777" w:rsidR="007E4368" w:rsidRPr="00ED56AB" w:rsidRDefault="007E4368" w:rsidP="00DC28C0">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Style w:val="FootnoteReference"/>
          <w:rFonts w:asciiTheme="majorHAnsi" w:hAnsiTheme="majorHAnsi"/>
          <w:color w:val="auto"/>
          <w:sz w:val="16"/>
          <w:szCs w:val="16"/>
        </w:rPr>
        <w:t xml:space="preserve"> </w:t>
      </w:r>
      <w:r w:rsidRPr="00ED56AB">
        <w:rPr>
          <w:rFonts w:asciiTheme="majorHAnsi" w:hAnsiTheme="majorHAnsi"/>
          <w:color w:val="auto"/>
          <w:sz w:val="16"/>
          <w:szCs w:val="16"/>
        </w:rPr>
        <w:t xml:space="preserve">The United States Department of Justice. Legal authority governing executive clemency. Available at: </w:t>
      </w:r>
      <w:hyperlink r:id="rId2" w:anchor="procedures" w:history="1">
        <w:r w:rsidRPr="00ED56AB">
          <w:rPr>
            <w:rStyle w:val="Hyperlink"/>
            <w:rFonts w:asciiTheme="majorHAnsi" w:hAnsiTheme="majorHAnsi"/>
            <w:color w:val="auto"/>
            <w:sz w:val="16"/>
            <w:szCs w:val="16"/>
          </w:rPr>
          <w:t>https://www.justice.gov/pardon/legal-authority-governing-executive-clemency#procedures</w:t>
        </w:r>
      </w:hyperlink>
    </w:p>
  </w:footnote>
  <w:footnote w:id="9">
    <w:p w14:paraId="73C68B03"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United States v. Hall, 152 F. 3d 381 (5</w:t>
      </w:r>
      <w:r w:rsidRPr="00ED56AB">
        <w:rPr>
          <w:rFonts w:asciiTheme="majorHAnsi" w:hAnsiTheme="majorHAnsi"/>
          <w:color w:val="auto"/>
          <w:sz w:val="16"/>
          <w:szCs w:val="16"/>
          <w:vertAlign w:val="superscript"/>
        </w:rPr>
        <w:t>th</w:t>
      </w:r>
      <w:r w:rsidRPr="00ED56AB">
        <w:rPr>
          <w:rFonts w:asciiTheme="majorHAnsi" w:hAnsiTheme="majorHAnsi"/>
          <w:color w:val="auto"/>
          <w:sz w:val="16"/>
          <w:szCs w:val="16"/>
        </w:rPr>
        <w:t xml:space="preserve"> Cir. 1998).</w:t>
      </w:r>
    </w:p>
  </w:footnote>
  <w:footnote w:id="10">
    <w:p w14:paraId="22CFD838"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Style w:val="FootnoteReference"/>
          <w:rFonts w:asciiTheme="majorHAnsi" w:hAnsiTheme="majorHAnsi"/>
          <w:color w:val="auto"/>
          <w:sz w:val="16"/>
          <w:szCs w:val="16"/>
        </w:rPr>
        <w:t xml:space="preserve"> </w:t>
      </w:r>
      <w:r w:rsidRPr="00ED56AB">
        <w:rPr>
          <w:rFonts w:asciiTheme="majorHAnsi" w:hAnsiTheme="majorHAnsi"/>
          <w:color w:val="auto"/>
          <w:sz w:val="16"/>
          <w:szCs w:val="16"/>
        </w:rPr>
        <w:t>United States v. Hall, 152 F. 3d 381 (5</w:t>
      </w:r>
      <w:r w:rsidRPr="00ED56AB">
        <w:rPr>
          <w:rFonts w:asciiTheme="majorHAnsi" w:hAnsiTheme="majorHAnsi"/>
          <w:color w:val="auto"/>
          <w:sz w:val="16"/>
          <w:szCs w:val="16"/>
          <w:vertAlign w:val="superscript"/>
        </w:rPr>
        <w:t>th</w:t>
      </w:r>
      <w:r w:rsidRPr="00ED56AB">
        <w:rPr>
          <w:rFonts w:asciiTheme="majorHAnsi" w:hAnsiTheme="majorHAnsi"/>
          <w:color w:val="auto"/>
          <w:sz w:val="16"/>
          <w:szCs w:val="16"/>
        </w:rPr>
        <w:t xml:space="preserve"> Cir. 1998).</w:t>
      </w:r>
    </w:p>
  </w:footnote>
  <w:footnote w:id="11">
    <w:p w14:paraId="1AA6A600"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Style w:val="FootnoteReference"/>
          <w:rFonts w:asciiTheme="majorHAnsi" w:hAnsiTheme="majorHAnsi"/>
          <w:color w:val="auto"/>
          <w:sz w:val="16"/>
          <w:szCs w:val="16"/>
        </w:rPr>
        <w:t xml:space="preserve"> </w:t>
      </w:r>
      <w:r w:rsidRPr="00ED56AB">
        <w:rPr>
          <w:rFonts w:asciiTheme="majorHAnsi" w:hAnsiTheme="majorHAnsi"/>
          <w:color w:val="auto"/>
          <w:sz w:val="16"/>
          <w:szCs w:val="16"/>
        </w:rPr>
        <w:t>United States v. Hall, 152 F. 3d 381 (5</w:t>
      </w:r>
      <w:r w:rsidRPr="00ED56AB">
        <w:rPr>
          <w:rFonts w:asciiTheme="majorHAnsi" w:hAnsiTheme="majorHAnsi"/>
          <w:color w:val="auto"/>
          <w:sz w:val="16"/>
          <w:szCs w:val="16"/>
          <w:vertAlign w:val="superscript"/>
        </w:rPr>
        <w:t>th</w:t>
      </w:r>
      <w:r w:rsidRPr="00ED56AB">
        <w:rPr>
          <w:rFonts w:asciiTheme="majorHAnsi" w:hAnsiTheme="majorHAnsi"/>
          <w:color w:val="auto"/>
          <w:sz w:val="16"/>
          <w:szCs w:val="16"/>
        </w:rPr>
        <w:t xml:space="preserve"> Cir. 1998).</w:t>
      </w:r>
    </w:p>
  </w:footnote>
  <w:footnote w:id="12">
    <w:p w14:paraId="063B16AF"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United States v. Hall, 2004 WL 1908242 (N.D. Texas. 2004). Exhibit 63 submitted with petitioners’ merits brief on November 30, 2009.</w:t>
      </w:r>
    </w:p>
  </w:footnote>
  <w:footnote w:id="13">
    <w:p w14:paraId="23E1F265"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Style w:val="FootnoteReference"/>
          <w:rFonts w:asciiTheme="majorHAnsi" w:hAnsiTheme="majorHAnsi"/>
          <w:color w:val="auto"/>
          <w:sz w:val="16"/>
          <w:szCs w:val="16"/>
        </w:rPr>
        <w:t xml:space="preserve"> </w:t>
      </w:r>
      <w:r w:rsidRPr="00ED56AB">
        <w:rPr>
          <w:rFonts w:asciiTheme="majorHAnsi" w:hAnsiTheme="majorHAnsi"/>
          <w:color w:val="auto"/>
          <w:sz w:val="16"/>
          <w:szCs w:val="16"/>
        </w:rPr>
        <w:t>United States v. Hall, 2004 WL 1908242 (N.D. Texas. 2004). Exhibit 63 submitted with petitioners’ merits brief on November 30, 2009.</w:t>
      </w:r>
    </w:p>
  </w:footnote>
  <w:footnote w:id="14">
    <w:p w14:paraId="2E1CD6B9"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Style w:val="FootnoteReference"/>
          <w:rFonts w:asciiTheme="majorHAnsi" w:hAnsiTheme="majorHAnsi"/>
          <w:color w:val="auto"/>
          <w:sz w:val="16"/>
          <w:szCs w:val="16"/>
        </w:rPr>
        <w:t xml:space="preserve"> </w:t>
      </w:r>
      <w:r w:rsidRPr="00ED56AB">
        <w:rPr>
          <w:rFonts w:asciiTheme="majorHAnsi" w:hAnsiTheme="majorHAnsi"/>
          <w:color w:val="auto"/>
          <w:sz w:val="16"/>
          <w:szCs w:val="16"/>
        </w:rPr>
        <w:t>United States v. Hall, 152 F. 3d 381 (5</w:t>
      </w:r>
      <w:r w:rsidRPr="00ED56AB">
        <w:rPr>
          <w:rFonts w:asciiTheme="majorHAnsi" w:hAnsiTheme="majorHAnsi"/>
          <w:color w:val="auto"/>
          <w:sz w:val="16"/>
          <w:szCs w:val="16"/>
          <w:vertAlign w:val="superscript"/>
        </w:rPr>
        <w:t>th</w:t>
      </w:r>
      <w:r w:rsidRPr="00ED56AB">
        <w:rPr>
          <w:rFonts w:asciiTheme="majorHAnsi" w:hAnsiTheme="majorHAnsi"/>
          <w:color w:val="auto"/>
          <w:sz w:val="16"/>
          <w:szCs w:val="16"/>
        </w:rPr>
        <w:t xml:space="preserve"> Cir. 1998).</w:t>
      </w:r>
    </w:p>
  </w:footnote>
  <w:footnote w:id="15">
    <w:p w14:paraId="23663C5E"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Memo from Tena Francis to Jena Parker, Oct. 6, 1995. Exhibit 73 submitted with petitioners’ brief on January 14, 2011.</w:t>
      </w:r>
    </w:p>
  </w:footnote>
  <w:footnote w:id="16">
    <w:p w14:paraId="2426AEBA"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Style w:val="FootnoteReference"/>
          <w:rFonts w:asciiTheme="majorHAnsi" w:hAnsiTheme="majorHAnsi"/>
          <w:color w:val="auto"/>
          <w:sz w:val="16"/>
          <w:szCs w:val="16"/>
        </w:rPr>
        <w:t xml:space="preserve"> </w:t>
      </w:r>
      <w:r w:rsidRPr="00ED56AB">
        <w:rPr>
          <w:rFonts w:asciiTheme="majorHAnsi" w:hAnsiTheme="majorHAnsi"/>
          <w:color w:val="auto"/>
          <w:sz w:val="16"/>
          <w:szCs w:val="16"/>
        </w:rPr>
        <w:t>United States v. Hall, 2004 WL 1908242 (N.D. Texas. 2004). Exhibit 63 submitted with petitioners’ merits brief on November 30, 2009.</w:t>
      </w:r>
    </w:p>
  </w:footnote>
  <w:footnote w:id="17">
    <w:p w14:paraId="7B09E178"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Hall v. United States, 526 U.S. 1117, 119 S.Ct. 1767, 143 L.Ed.2d 797 (1999).</w:t>
      </w:r>
    </w:p>
  </w:footnote>
  <w:footnote w:id="18">
    <w:p w14:paraId="451BB8DF"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United States v. Hall, 2004 WL 1908242 (N.D. Texas. 2004). Exhibit 63 submitted with petitioners’ merits brief on November 30, 2009.</w:t>
      </w:r>
    </w:p>
  </w:footnote>
  <w:footnote w:id="19">
    <w:p w14:paraId="53901BA7"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Style w:val="FootnoteReference"/>
          <w:rFonts w:asciiTheme="majorHAnsi" w:hAnsiTheme="majorHAnsi"/>
          <w:color w:val="auto"/>
          <w:sz w:val="16"/>
          <w:szCs w:val="16"/>
        </w:rPr>
        <w:t xml:space="preserve"> </w:t>
      </w:r>
      <w:r w:rsidRPr="00ED56AB">
        <w:rPr>
          <w:rFonts w:asciiTheme="majorHAnsi" w:hAnsiTheme="majorHAnsi"/>
          <w:color w:val="auto"/>
          <w:sz w:val="16"/>
          <w:szCs w:val="16"/>
        </w:rPr>
        <w:t>United States v. Hall, 2004 WL 1908242 (N.D. Texas. 2004). Exhibit 63 submitted with petitioners’ merits brief on November 30, 2009.</w:t>
      </w:r>
    </w:p>
  </w:footnote>
  <w:footnote w:id="20">
    <w:p w14:paraId="5A81AAEF"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United States v. Hall, 455 F.3d 508 (5</w:t>
      </w:r>
      <w:r w:rsidRPr="00ED56AB">
        <w:rPr>
          <w:rFonts w:asciiTheme="majorHAnsi" w:hAnsiTheme="majorHAnsi"/>
          <w:color w:val="auto"/>
          <w:sz w:val="16"/>
          <w:szCs w:val="16"/>
          <w:vertAlign w:val="superscript"/>
        </w:rPr>
        <w:t>th</w:t>
      </w:r>
      <w:r w:rsidRPr="00ED56AB">
        <w:rPr>
          <w:rFonts w:asciiTheme="majorHAnsi" w:hAnsiTheme="majorHAnsi"/>
          <w:color w:val="auto"/>
          <w:sz w:val="16"/>
          <w:szCs w:val="16"/>
        </w:rPr>
        <w:t xml:space="preserve"> Cir. 2006). Exhibit 63 submitted with petitioners’ merits brief on November 30, 2009.</w:t>
      </w:r>
    </w:p>
  </w:footnote>
  <w:footnote w:id="21">
    <w:p w14:paraId="3B8787CA"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Style w:val="FootnoteReference"/>
          <w:rFonts w:asciiTheme="majorHAnsi" w:hAnsiTheme="majorHAnsi"/>
          <w:color w:val="auto"/>
          <w:sz w:val="16"/>
          <w:szCs w:val="16"/>
        </w:rPr>
        <w:t xml:space="preserve"> </w:t>
      </w:r>
      <w:r w:rsidRPr="00ED56AB">
        <w:rPr>
          <w:rFonts w:asciiTheme="majorHAnsi" w:hAnsiTheme="majorHAnsi"/>
          <w:color w:val="auto"/>
          <w:sz w:val="16"/>
          <w:szCs w:val="16"/>
        </w:rPr>
        <w:t xml:space="preserve">Unpublished order of the United States Court of Appeals for the Fifth Circuit, denying rehearing </w:t>
      </w:r>
      <w:r w:rsidRPr="00ED56AB">
        <w:rPr>
          <w:rFonts w:asciiTheme="majorHAnsi" w:hAnsiTheme="majorHAnsi"/>
          <w:i/>
          <w:color w:val="auto"/>
          <w:sz w:val="16"/>
          <w:szCs w:val="16"/>
        </w:rPr>
        <w:t>en banc</w:t>
      </w:r>
      <w:r w:rsidRPr="00ED56AB">
        <w:rPr>
          <w:rFonts w:asciiTheme="majorHAnsi" w:hAnsiTheme="majorHAnsi"/>
          <w:color w:val="auto"/>
          <w:sz w:val="16"/>
          <w:szCs w:val="16"/>
        </w:rPr>
        <w:t>. Exhibit 63 submitted with petitioners’ merits brief on November 30, 2009.</w:t>
      </w:r>
    </w:p>
  </w:footnote>
  <w:footnote w:id="22">
    <w:p w14:paraId="5971189D"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Style w:val="FootnoteReference"/>
          <w:rFonts w:asciiTheme="majorHAnsi" w:hAnsiTheme="majorHAnsi"/>
          <w:color w:val="auto"/>
          <w:sz w:val="16"/>
          <w:szCs w:val="16"/>
        </w:rPr>
        <w:t xml:space="preserve"> </w:t>
      </w:r>
      <w:r w:rsidRPr="00ED56AB">
        <w:rPr>
          <w:rFonts w:asciiTheme="majorHAnsi" w:hAnsiTheme="majorHAnsi"/>
          <w:color w:val="auto"/>
          <w:sz w:val="16"/>
          <w:szCs w:val="16"/>
        </w:rPr>
        <w:t xml:space="preserve">Petition for </w:t>
      </w:r>
      <w:r w:rsidRPr="00ED56AB">
        <w:rPr>
          <w:rFonts w:asciiTheme="majorHAnsi" w:hAnsiTheme="majorHAnsi"/>
          <w:i/>
          <w:color w:val="auto"/>
          <w:sz w:val="16"/>
          <w:szCs w:val="16"/>
        </w:rPr>
        <w:t>certiorari</w:t>
      </w:r>
      <w:r w:rsidRPr="00ED56AB">
        <w:rPr>
          <w:rFonts w:asciiTheme="majorHAnsi" w:hAnsiTheme="majorHAnsi"/>
          <w:color w:val="auto"/>
          <w:sz w:val="16"/>
          <w:szCs w:val="16"/>
        </w:rPr>
        <w:t xml:space="preserve"> and related exhibits. Exhibit 63 submitted with petitioners’ merits brief on November 30, 2009.</w:t>
      </w:r>
    </w:p>
  </w:footnote>
  <w:footnote w:id="23">
    <w:p w14:paraId="62CA1CC5"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Hall v. United States, Case No. 06-8178 (order of Apr. 16, 2007), 2007 WL 1110560 (U.S.).</w:t>
      </w:r>
    </w:p>
  </w:footnote>
  <w:footnote w:id="24">
    <w:p w14:paraId="7EBE9452"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Miller-El v. Dretke, 545 U.S. 231 (2005). Exhibit 58a submitted with petitioners’ merits brief on November 30, 2009.</w:t>
      </w:r>
    </w:p>
  </w:footnote>
  <w:footnote w:id="25">
    <w:p w14:paraId="704CF710"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Style w:val="FootnoteReference"/>
          <w:rFonts w:asciiTheme="majorHAnsi" w:hAnsiTheme="majorHAnsi"/>
          <w:color w:val="auto"/>
          <w:sz w:val="16"/>
          <w:szCs w:val="16"/>
        </w:rPr>
        <w:t xml:space="preserve"> </w:t>
      </w:r>
      <w:r w:rsidRPr="00ED56AB">
        <w:rPr>
          <w:rFonts w:asciiTheme="majorHAnsi" w:hAnsiTheme="majorHAnsi"/>
          <w:color w:val="auto"/>
          <w:sz w:val="16"/>
          <w:szCs w:val="16"/>
        </w:rPr>
        <w:t>Reed v. Quarterman, 555 F.3d 364 (5</w:t>
      </w:r>
      <w:r w:rsidRPr="00ED56AB">
        <w:rPr>
          <w:rFonts w:asciiTheme="majorHAnsi" w:hAnsiTheme="majorHAnsi"/>
          <w:color w:val="auto"/>
          <w:sz w:val="16"/>
          <w:szCs w:val="16"/>
          <w:vertAlign w:val="superscript"/>
        </w:rPr>
        <w:t>th</w:t>
      </w:r>
      <w:r w:rsidRPr="00ED56AB">
        <w:rPr>
          <w:rFonts w:asciiTheme="majorHAnsi" w:hAnsiTheme="majorHAnsi"/>
          <w:color w:val="auto"/>
          <w:sz w:val="16"/>
          <w:szCs w:val="16"/>
        </w:rPr>
        <w:t xml:space="preserve"> Cir. 2009). Exhibit 58b submitted with petitioners’ merits brief on November 30, 2009.</w:t>
      </w:r>
    </w:p>
  </w:footnote>
  <w:footnote w:id="26">
    <w:p w14:paraId="53AF0298"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Complaint filed by Orlando Cordia Hall on June 4, 2007 (Case 1:05-cv-02337-RWR-DAR). </w:t>
      </w:r>
    </w:p>
  </w:footnote>
  <w:footnote w:id="27">
    <w:p w14:paraId="7C035CB4"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Complaint filed by Orlando Cordia Hall on June 4, 2007 (Case 1:05-cv-02337-RWR-DAR).</w:t>
      </w:r>
    </w:p>
  </w:footnote>
  <w:footnote w:id="28">
    <w:p w14:paraId="28085D47"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Roane v. Leonhart, 741 F.3d 147 (D.C. Cir. 2014); Roane v. Holder, Civil Action No. 05-2337 (D.D.C. 2016).</w:t>
      </w:r>
    </w:p>
  </w:footnote>
  <w:footnote w:id="29">
    <w:p w14:paraId="63EF383E"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See, for example: I/A Court H. R., Advisory Opinion OC-16/99 (October 1, 1999), </w:t>
      </w:r>
      <w:r w:rsidRPr="00ED56AB">
        <w:rPr>
          <w:rFonts w:asciiTheme="majorHAnsi" w:hAnsiTheme="majorHAnsi"/>
          <w:i/>
          <w:iCs/>
          <w:color w:val="auto"/>
          <w:sz w:val="16"/>
          <w:szCs w:val="16"/>
        </w:rPr>
        <w:t>The Right to Information on Consular Assistance in the Framework of the Guarantees of the Due Process of Law</w:t>
      </w:r>
      <w:r w:rsidRPr="00ED56AB">
        <w:rPr>
          <w:rFonts w:asciiTheme="majorHAnsi" w:hAnsiTheme="majorHAnsi"/>
          <w:color w:val="auto"/>
          <w:sz w:val="16"/>
          <w:szCs w:val="16"/>
        </w:rPr>
        <w:t xml:space="preserve">, para. 136; United Nations Human Rights Committee, </w:t>
      </w:r>
      <w:r w:rsidRPr="00ED56AB">
        <w:rPr>
          <w:rFonts w:asciiTheme="majorHAnsi" w:hAnsiTheme="majorHAnsi"/>
          <w:i/>
          <w:iCs/>
          <w:color w:val="auto"/>
          <w:sz w:val="16"/>
          <w:szCs w:val="16"/>
        </w:rPr>
        <w:t>Baboheram-Adhin et al. v. Suriname</w:t>
      </w:r>
      <w:r w:rsidRPr="00ED56AB">
        <w:rPr>
          <w:rFonts w:asciiTheme="majorHAnsi" w:hAnsiTheme="majorHAnsi"/>
          <w:color w:val="auto"/>
          <w:sz w:val="16"/>
          <w:szCs w:val="16"/>
        </w:rPr>
        <w:t>,</w:t>
      </w:r>
      <w:r w:rsidRPr="00ED56AB">
        <w:rPr>
          <w:rFonts w:asciiTheme="majorHAnsi" w:hAnsiTheme="majorHAnsi"/>
          <w:i/>
          <w:iCs/>
          <w:color w:val="auto"/>
          <w:sz w:val="16"/>
          <w:szCs w:val="16"/>
        </w:rPr>
        <w:t xml:space="preserve"> </w:t>
      </w:r>
      <w:r w:rsidRPr="00ED56AB">
        <w:rPr>
          <w:rFonts w:asciiTheme="majorHAnsi" w:hAnsiTheme="majorHAnsi"/>
          <w:color w:val="auto"/>
          <w:sz w:val="16"/>
          <w:szCs w:val="16"/>
        </w:rPr>
        <w:t xml:space="preserve">Communications Nos. 148-154/1983, adopted on April 4, 1985, para. 14.3; </w:t>
      </w:r>
      <w:r w:rsidRPr="00ED56AB">
        <w:rPr>
          <w:rFonts w:asciiTheme="majorHAnsi" w:hAnsiTheme="majorHAnsi"/>
          <w:i/>
          <w:iCs/>
          <w:color w:val="auto"/>
          <w:sz w:val="16"/>
          <w:szCs w:val="16"/>
        </w:rPr>
        <w:t>Report of the United Nations Special Rapporteur on Extrajudicial Executions</w:t>
      </w:r>
      <w:r w:rsidRPr="00ED56AB">
        <w:rPr>
          <w:rFonts w:asciiTheme="majorHAnsi" w:hAnsiTheme="majorHAnsi"/>
          <w:color w:val="auto"/>
          <w:sz w:val="16"/>
          <w:szCs w:val="16"/>
        </w:rPr>
        <w:t>, Bacre Waly Ndiaye, submitted pursuant to Commission on Human Rights Resolution 1994/82, Question of the Violation of Human Rights and Fundamental Freedoms in any part of the World, with particular reference to Colonial and Other Dependent Countries and Territories, UN Doc.E/CN.4/1995/61 (December 14, 1994), para. 378.</w:t>
      </w:r>
    </w:p>
  </w:footnote>
  <w:footnote w:id="30">
    <w:p w14:paraId="6B4D9F5A"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w:t>
      </w:r>
      <w:r w:rsidRPr="00ED56AB">
        <w:rPr>
          <w:rFonts w:asciiTheme="majorHAnsi" w:hAnsiTheme="majorHAnsi"/>
          <w:i/>
          <w:iCs/>
          <w:color w:val="auto"/>
          <w:sz w:val="16"/>
          <w:szCs w:val="16"/>
        </w:rPr>
        <w:t xml:space="preserve"> </w:t>
      </w:r>
      <w:r w:rsidRPr="00ED56AB">
        <w:rPr>
          <w:rFonts w:asciiTheme="majorHAnsi" w:hAnsiTheme="majorHAnsi"/>
          <w:color w:val="auto"/>
          <w:sz w:val="16"/>
          <w:szCs w:val="16"/>
        </w:rPr>
        <w:t xml:space="preserve">Report No. 57/96, </w:t>
      </w:r>
      <w:r w:rsidRPr="00ED56AB">
        <w:rPr>
          <w:rFonts w:asciiTheme="majorHAnsi" w:hAnsiTheme="majorHAnsi"/>
          <w:iCs/>
          <w:color w:val="auto"/>
          <w:sz w:val="16"/>
          <w:szCs w:val="16"/>
        </w:rPr>
        <w:t>Andrews, United States</w:t>
      </w:r>
      <w:r w:rsidRPr="00ED56AB">
        <w:rPr>
          <w:rFonts w:asciiTheme="majorHAnsi" w:hAnsiTheme="majorHAnsi"/>
          <w:color w:val="auto"/>
          <w:sz w:val="16"/>
          <w:szCs w:val="16"/>
        </w:rPr>
        <w:t xml:space="preserve">, IACHR Annual Report 1997, para. 170-171; Report No. 38/00 Baptiste, Grenada, IACHR Annual Report 1999, paras. 64-66; Report No. 41/00, McKenzie </w:t>
      </w:r>
      <w:r w:rsidRPr="00ED56AB">
        <w:rPr>
          <w:rFonts w:asciiTheme="majorHAnsi" w:hAnsiTheme="majorHAnsi"/>
          <w:i/>
          <w:iCs/>
          <w:color w:val="auto"/>
          <w:sz w:val="16"/>
          <w:szCs w:val="16"/>
        </w:rPr>
        <w:t>et al.</w:t>
      </w:r>
      <w:r w:rsidRPr="00ED56AB">
        <w:rPr>
          <w:rFonts w:asciiTheme="majorHAnsi" w:hAnsiTheme="majorHAnsi"/>
          <w:iCs/>
          <w:color w:val="auto"/>
          <w:sz w:val="16"/>
          <w:szCs w:val="16"/>
        </w:rPr>
        <w:t>,</w:t>
      </w:r>
      <w:r w:rsidRPr="00ED56AB">
        <w:rPr>
          <w:rFonts w:asciiTheme="majorHAnsi" w:hAnsiTheme="majorHAnsi"/>
          <w:color w:val="auto"/>
          <w:sz w:val="16"/>
          <w:szCs w:val="16"/>
        </w:rPr>
        <w:t xml:space="preserve"> Jamaica, IACHR Annual Report 1999, paras. 169-171.</w:t>
      </w:r>
    </w:p>
  </w:footnote>
  <w:footnote w:id="31">
    <w:p w14:paraId="1BE73110" w14:textId="77777777" w:rsidR="007E4368" w:rsidRPr="00ED56AB" w:rsidRDefault="007E4368" w:rsidP="00ED56AB">
      <w:pPr>
        <w:autoSpaceDE w:val="0"/>
        <w:autoSpaceDN w:val="0"/>
        <w:adjustRightInd w:val="0"/>
        <w:jc w:val="both"/>
        <w:rPr>
          <w:rFonts w:asciiTheme="majorHAnsi" w:hAnsiTheme="majorHAnsi"/>
          <w:sz w:val="16"/>
          <w:szCs w:val="16"/>
        </w:rPr>
      </w:pPr>
      <w:r w:rsidRPr="00ED56AB">
        <w:rPr>
          <w:rStyle w:val="FootnoteReference"/>
          <w:rFonts w:asciiTheme="majorHAnsi" w:hAnsiTheme="majorHAnsi"/>
          <w:sz w:val="16"/>
          <w:szCs w:val="16"/>
        </w:rPr>
        <w:footnoteRef/>
      </w:r>
      <w:r w:rsidRPr="00ED56AB">
        <w:rPr>
          <w:rFonts w:asciiTheme="majorHAnsi" w:hAnsiTheme="majorHAnsi"/>
          <w:sz w:val="16"/>
          <w:szCs w:val="16"/>
        </w:rPr>
        <w:t xml:space="preserve"> IACHR, The death penalty in the Inter-American System of Human Rights: From restrictions to abolition, </w:t>
      </w:r>
      <w:r w:rsidRPr="00ED56AB">
        <w:rPr>
          <w:rFonts w:asciiTheme="majorHAnsi" w:hAnsiTheme="majorHAnsi" w:cs="Calibri"/>
          <w:sz w:val="16"/>
          <w:szCs w:val="16"/>
        </w:rPr>
        <w:t xml:space="preserve">OEA/Ser.L/V/II.Doc. 68, December 31, 2011, </w:t>
      </w:r>
      <w:r w:rsidRPr="00ED56AB">
        <w:rPr>
          <w:rFonts w:asciiTheme="majorHAnsi" w:hAnsiTheme="majorHAnsi"/>
          <w:sz w:val="16"/>
          <w:szCs w:val="16"/>
        </w:rPr>
        <w:t>para. 41.</w:t>
      </w:r>
    </w:p>
  </w:footnote>
  <w:footnote w:id="32">
    <w:p w14:paraId="0F5205E9" w14:textId="77777777" w:rsidR="007E4368" w:rsidRPr="00ED56AB" w:rsidRDefault="007E4368" w:rsidP="00ED56AB">
      <w:pPr>
        <w:autoSpaceDE w:val="0"/>
        <w:autoSpaceDN w:val="0"/>
        <w:adjustRightInd w:val="0"/>
        <w:jc w:val="both"/>
        <w:rPr>
          <w:rFonts w:asciiTheme="majorHAnsi" w:hAnsiTheme="majorHAnsi"/>
          <w:sz w:val="16"/>
          <w:szCs w:val="16"/>
        </w:rPr>
      </w:pPr>
      <w:r w:rsidRPr="00ED56AB">
        <w:rPr>
          <w:rStyle w:val="FootnoteReference"/>
          <w:rFonts w:asciiTheme="majorHAnsi" w:hAnsiTheme="majorHAnsi"/>
          <w:sz w:val="16"/>
          <w:szCs w:val="16"/>
        </w:rPr>
        <w:footnoteRef/>
      </w:r>
      <w:r w:rsidRPr="00ED56AB">
        <w:rPr>
          <w:rFonts w:asciiTheme="majorHAnsi" w:hAnsiTheme="majorHAnsi"/>
          <w:sz w:val="16"/>
          <w:szCs w:val="16"/>
        </w:rPr>
        <w:t xml:space="preserve"> IACHR, Report No. 78/07, Case 12.265, Merits (Publication), Chad Roger Goodman, The Bahamas, October 15, 2007, para. 34.</w:t>
      </w:r>
    </w:p>
  </w:footnote>
  <w:footnote w:id="33">
    <w:p w14:paraId="58B97FFA" w14:textId="77777777" w:rsidR="007E4368" w:rsidRPr="00ED56AB" w:rsidRDefault="007E4368" w:rsidP="00ED56AB">
      <w:pPr>
        <w:pStyle w:val="FootnoteText"/>
        <w:jc w:val="both"/>
        <w:rPr>
          <w:rFonts w:asciiTheme="majorHAnsi" w:hAnsiTheme="majorHAnsi" w:cs="Times New Roman"/>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No. 44/14, Case 12,873, Report on Merits (Publication), Edgar Tamayo Arias, United States, July 17, 2014, para. 214.</w:t>
      </w:r>
    </w:p>
  </w:footnote>
  <w:footnote w:id="34">
    <w:p w14:paraId="5F6F8CD5"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Article II of the American Declaration provides: “All persons are equal before the law and have the rights and duties established in this Declaration, without distinction as to race, sex, language, creed or any other factor.”</w:t>
      </w:r>
    </w:p>
  </w:footnote>
  <w:footnote w:id="35">
    <w:p w14:paraId="557AC09D" w14:textId="77777777" w:rsidR="007E4368" w:rsidRDefault="007E4368" w:rsidP="00404333">
      <w:pPr>
        <w:jc w:val="both"/>
      </w:pPr>
      <w:r w:rsidRPr="00047F35">
        <w:rPr>
          <w:rStyle w:val="FootnoteReference"/>
          <w:rFonts w:asciiTheme="majorHAnsi" w:eastAsia="Calibri" w:hAnsiTheme="majorHAnsi"/>
          <w:sz w:val="16"/>
          <w:szCs w:val="16"/>
          <w:u w:color="000000"/>
          <w:lang w:eastAsia="es-ES"/>
        </w:rPr>
        <w:footnoteRef/>
      </w:r>
      <w:r w:rsidRPr="00047F35">
        <w:rPr>
          <w:rStyle w:val="FootnoteReference"/>
          <w:rFonts w:asciiTheme="majorHAnsi" w:eastAsia="Calibri" w:hAnsiTheme="majorHAnsi"/>
          <w:sz w:val="16"/>
          <w:szCs w:val="16"/>
          <w:u w:color="000000"/>
          <w:lang w:eastAsia="es-ES"/>
        </w:rPr>
        <w:t xml:space="preserve"> </w:t>
      </w:r>
      <w:r w:rsidRPr="00ED56AB">
        <w:rPr>
          <w:rFonts w:asciiTheme="majorHAnsi" w:hAnsiTheme="majorHAnsi"/>
          <w:sz w:val="16"/>
          <w:szCs w:val="16"/>
        </w:rPr>
        <w:t>Article XVIII of the American Declaration provides: “Every person may resort to the courts to ensure respect for his legal rights. There should likewise be available to him a simple, brief procedure whereby the courts will protect him from acts of authority that, to his prejudice, violate any fundamental constitutional rights.”</w:t>
      </w:r>
    </w:p>
  </w:footnote>
  <w:footnote w:id="36">
    <w:p w14:paraId="613C1CD4" w14:textId="77777777" w:rsidR="007E4368" w:rsidRPr="00ED56AB" w:rsidRDefault="007E4368" w:rsidP="00ED56AB">
      <w:pPr>
        <w:pStyle w:val="FootnoteText"/>
        <w:jc w:val="both"/>
        <w:rPr>
          <w:rFonts w:asciiTheme="majorHAnsi" w:hAnsiTheme="majorHAnsi" w:cstheme="majorHAnsi"/>
          <w:color w:val="auto"/>
          <w:sz w:val="16"/>
          <w:szCs w:val="16"/>
        </w:rPr>
      </w:pPr>
      <w:r w:rsidRPr="00ED56AB">
        <w:rPr>
          <w:rStyle w:val="FootnoteReference"/>
          <w:rFonts w:asciiTheme="majorHAnsi" w:hAnsiTheme="majorHAnsi" w:cstheme="majorHAnsi"/>
          <w:color w:val="auto"/>
          <w:sz w:val="16"/>
          <w:szCs w:val="16"/>
        </w:rPr>
        <w:footnoteRef/>
      </w:r>
      <w:r w:rsidRPr="00ED56AB">
        <w:rPr>
          <w:rFonts w:asciiTheme="majorHAnsi" w:hAnsiTheme="majorHAnsi" w:cstheme="majorHAnsi"/>
          <w:color w:val="auto"/>
          <w:sz w:val="16"/>
          <w:szCs w:val="16"/>
        </w:rPr>
        <w:t xml:space="preserve"> </w:t>
      </w:r>
      <w:r w:rsidRPr="00ED56AB">
        <w:rPr>
          <w:rFonts w:asciiTheme="majorHAnsi" w:hAnsiTheme="majorHAnsi" w:cstheme="majorHAnsi"/>
          <w:i/>
          <w:color w:val="auto"/>
          <w:sz w:val="16"/>
          <w:szCs w:val="16"/>
        </w:rPr>
        <w:t>See</w:t>
      </w:r>
      <w:r w:rsidRPr="00ED56AB">
        <w:rPr>
          <w:rFonts w:asciiTheme="majorHAnsi" w:hAnsiTheme="majorHAnsi" w:cstheme="majorHAnsi"/>
          <w:i/>
          <w:iCs/>
          <w:color w:val="auto"/>
          <w:sz w:val="16"/>
          <w:szCs w:val="16"/>
        </w:rPr>
        <w:t xml:space="preserve"> </w:t>
      </w:r>
      <w:r w:rsidRPr="00ED56AB">
        <w:rPr>
          <w:rFonts w:asciiTheme="majorHAnsi" w:hAnsiTheme="majorHAnsi"/>
          <w:color w:val="auto"/>
          <w:sz w:val="16"/>
          <w:szCs w:val="16"/>
        </w:rPr>
        <w:t xml:space="preserve">I/A Ct. H.R. </w:t>
      </w:r>
      <w:r w:rsidRPr="00ED56AB">
        <w:rPr>
          <w:rFonts w:asciiTheme="majorHAnsi" w:hAnsiTheme="majorHAnsi"/>
          <w:i/>
          <w:color w:val="auto"/>
          <w:sz w:val="16"/>
          <w:szCs w:val="16"/>
        </w:rPr>
        <w:t>Juridical Condition and Rights of Undocumented Migrants</w:t>
      </w:r>
      <w:r w:rsidRPr="00ED56AB">
        <w:rPr>
          <w:rFonts w:asciiTheme="majorHAnsi" w:hAnsiTheme="majorHAnsi"/>
          <w:color w:val="auto"/>
          <w:sz w:val="16"/>
          <w:szCs w:val="16"/>
        </w:rPr>
        <w:t>, Advisory Opinion OC-18/03 of Sept. 17, 2003, para</w:t>
      </w:r>
      <w:r w:rsidRPr="00ED56AB">
        <w:rPr>
          <w:rFonts w:asciiTheme="majorHAnsi" w:hAnsiTheme="majorHAnsi" w:cstheme="majorHAnsi"/>
          <w:color w:val="auto"/>
          <w:sz w:val="16"/>
          <w:szCs w:val="16"/>
        </w:rPr>
        <w:t xml:space="preserve">. 101. </w:t>
      </w:r>
      <w:r w:rsidRPr="00ED56AB">
        <w:rPr>
          <w:rFonts w:asciiTheme="majorHAnsi" w:hAnsiTheme="majorHAnsi" w:cstheme="majorHAnsi"/>
          <w:i/>
          <w:color w:val="auto"/>
          <w:sz w:val="16"/>
          <w:szCs w:val="16"/>
        </w:rPr>
        <w:t>See also</w:t>
      </w:r>
      <w:r w:rsidRPr="00ED56AB">
        <w:rPr>
          <w:rFonts w:asciiTheme="majorHAnsi" w:hAnsiTheme="majorHAnsi" w:cstheme="majorHAnsi"/>
          <w:color w:val="auto"/>
          <w:sz w:val="16"/>
          <w:szCs w:val="16"/>
        </w:rPr>
        <w:t xml:space="preserve"> IACHR, Report No. 50/16, Case 12.834, Merits (Publication), Undocumented Workers, United States, Nov. 30, 2016, para. 72.</w:t>
      </w:r>
    </w:p>
  </w:footnote>
  <w:footnote w:id="37">
    <w:p w14:paraId="5A2ACA07" w14:textId="77777777" w:rsidR="007E4368" w:rsidRPr="00ED56AB" w:rsidRDefault="007E4368" w:rsidP="00ED56AB">
      <w:pPr>
        <w:pStyle w:val="Footnotes"/>
        <w:spacing w:after="0"/>
        <w:ind w:firstLine="0"/>
        <w:rPr>
          <w:rFonts w:asciiTheme="majorHAnsi" w:hAnsiTheme="majorHAnsi"/>
          <w:sz w:val="16"/>
          <w:szCs w:val="16"/>
        </w:rPr>
      </w:pPr>
      <w:r w:rsidRPr="00ED56AB">
        <w:rPr>
          <w:rStyle w:val="FootnoteReference"/>
          <w:rFonts w:asciiTheme="majorHAnsi" w:hAnsiTheme="majorHAnsi"/>
          <w:sz w:val="16"/>
          <w:szCs w:val="16"/>
        </w:rPr>
        <w:footnoteRef/>
      </w:r>
      <w:r w:rsidRPr="00ED56AB">
        <w:rPr>
          <w:rFonts w:asciiTheme="majorHAnsi" w:hAnsiTheme="majorHAnsi"/>
          <w:sz w:val="16"/>
          <w:szCs w:val="16"/>
        </w:rPr>
        <w:t xml:space="preserve"> IACHR, Report No. 50/16, Case 12.834, Merits (Publication), Undocumented Workers, United States, Nov. 30, 2016, para. 75. </w:t>
      </w:r>
    </w:p>
  </w:footnote>
  <w:footnote w:id="38">
    <w:p w14:paraId="369566A7"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w:t>
      </w:r>
      <w:r w:rsidRPr="00ED56AB">
        <w:rPr>
          <w:rFonts w:asciiTheme="majorHAnsi" w:hAnsiTheme="majorHAnsi"/>
          <w:i/>
          <w:color w:val="auto"/>
          <w:sz w:val="16"/>
          <w:szCs w:val="16"/>
        </w:rPr>
        <w:t xml:space="preserve">See, e.g., </w:t>
      </w:r>
      <w:r w:rsidRPr="00ED56AB">
        <w:rPr>
          <w:rFonts w:asciiTheme="majorHAnsi" w:hAnsiTheme="majorHAnsi"/>
          <w:color w:val="auto"/>
          <w:sz w:val="16"/>
          <w:szCs w:val="16"/>
        </w:rPr>
        <w:t>I/A Ct. H.R.</w:t>
      </w:r>
      <w:r w:rsidRPr="00ED56AB">
        <w:rPr>
          <w:rFonts w:asciiTheme="majorHAnsi" w:eastAsia="Times New Roman" w:hAnsiTheme="majorHAnsi"/>
          <w:bCs/>
          <w:color w:val="auto"/>
          <w:sz w:val="16"/>
          <w:szCs w:val="16"/>
        </w:rPr>
        <w:t>. Furlan and family Vs. Argentina. Judgment of Aug. 31, 2012, para. 267.</w:t>
      </w:r>
    </w:p>
  </w:footnote>
  <w:footnote w:id="39">
    <w:p w14:paraId="1C8FF507" w14:textId="77777777" w:rsidR="007E4368" w:rsidRPr="00ED56AB" w:rsidRDefault="007E4368" w:rsidP="00ED56AB">
      <w:pPr>
        <w:pStyle w:val="Footnotes"/>
        <w:spacing w:after="0"/>
        <w:ind w:firstLine="0"/>
        <w:rPr>
          <w:rFonts w:asciiTheme="majorHAnsi" w:hAnsiTheme="majorHAnsi"/>
          <w:sz w:val="16"/>
          <w:szCs w:val="16"/>
        </w:rPr>
      </w:pPr>
      <w:r w:rsidRPr="00ED56AB">
        <w:rPr>
          <w:rStyle w:val="FootnoteReference"/>
          <w:rFonts w:asciiTheme="majorHAnsi" w:hAnsiTheme="majorHAnsi"/>
          <w:sz w:val="16"/>
          <w:szCs w:val="16"/>
        </w:rPr>
        <w:footnoteRef/>
      </w:r>
      <w:r w:rsidRPr="00ED56AB">
        <w:rPr>
          <w:rFonts w:asciiTheme="majorHAnsi" w:hAnsiTheme="majorHAnsi"/>
          <w:sz w:val="16"/>
          <w:szCs w:val="16"/>
        </w:rPr>
        <w:t xml:space="preserve"> IACHR, Report No. 50/16, Case 12.834, Merits (Publication), Undocumented Workers, United States, Nov. 30, 2016, para. 74; IACHR, Report No. 51/01, Case 9903, </w:t>
      </w:r>
      <w:r w:rsidRPr="00ED56AB">
        <w:rPr>
          <w:rFonts w:asciiTheme="majorHAnsi" w:hAnsiTheme="majorHAnsi"/>
          <w:i/>
          <w:sz w:val="16"/>
          <w:szCs w:val="16"/>
        </w:rPr>
        <w:t>Rafael Ferrer-Mazorra et al.</w:t>
      </w:r>
      <w:r w:rsidRPr="00ED56AB">
        <w:rPr>
          <w:rFonts w:asciiTheme="majorHAnsi" w:hAnsiTheme="majorHAnsi"/>
          <w:sz w:val="16"/>
          <w:szCs w:val="16"/>
        </w:rPr>
        <w:t>, United States, Apr. 4, 2001, para. 238</w:t>
      </w:r>
      <w:r w:rsidRPr="00ED56AB">
        <w:rPr>
          <w:rFonts w:asciiTheme="majorHAnsi" w:eastAsia="Times New Roman" w:hAnsiTheme="majorHAnsi"/>
          <w:sz w:val="16"/>
          <w:szCs w:val="16"/>
        </w:rPr>
        <w:t xml:space="preserve">. </w:t>
      </w:r>
    </w:p>
  </w:footnote>
  <w:footnote w:id="40">
    <w:p w14:paraId="59B7D7A5"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w:t>
      </w:r>
      <w:r w:rsidRPr="00ED56AB">
        <w:rPr>
          <w:rFonts w:asciiTheme="majorHAnsi" w:hAnsiTheme="majorHAnsi"/>
          <w:i/>
          <w:color w:val="auto"/>
          <w:sz w:val="16"/>
          <w:szCs w:val="16"/>
        </w:rPr>
        <w:t xml:space="preserve">Report on Terrorism and Human Rights </w:t>
      </w:r>
      <w:r w:rsidRPr="00ED56AB">
        <w:rPr>
          <w:rFonts w:asciiTheme="majorHAnsi" w:hAnsiTheme="majorHAnsi"/>
          <w:color w:val="auto"/>
          <w:sz w:val="16"/>
          <w:szCs w:val="16"/>
        </w:rPr>
        <w:t>(2002), para. 338.</w:t>
      </w:r>
    </w:p>
  </w:footnote>
  <w:footnote w:id="41">
    <w:p w14:paraId="7CD8C76E" w14:textId="77777777" w:rsidR="007E4368" w:rsidRPr="00ED56AB" w:rsidRDefault="007E4368" w:rsidP="00DC28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16"/>
          <w:szCs w:val="16"/>
        </w:rPr>
      </w:pPr>
      <w:r w:rsidRPr="00ED56AB">
        <w:rPr>
          <w:rStyle w:val="FootnoteReference"/>
          <w:rFonts w:asciiTheme="majorHAnsi" w:hAnsiTheme="majorHAnsi"/>
          <w:sz w:val="16"/>
          <w:szCs w:val="16"/>
        </w:rPr>
        <w:footnoteRef/>
      </w:r>
      <w:r w:rsidRPr="00ED56AB">
        <w:rPr>
          <w:rFonts w:asciiTheme="majorHAnsi" w:hAnsiTheme="majorHAnsi"/>
          <w:sz w:val="16"/>
          <w:szCs w:val="16"/>
        </w:rPr>
        <w:t xml:space="preserve"> CERD, General Recommendation No. XXXI, U.N. Doc. CERD/C/GC/31/Rev.4 (2005).  </w:t>
      </w:r>
    </w:p>
  </w:footnote>
  <w:footnote w:id="42">
    <w:p w14:paraId="2367B5C8" w14:textId="77777777" w:rsidR="007E4368" w:rsidRPr="00ED56AB" w:rsidRDefault="007E4368" w:rsidP="00DC28C0">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The Situation of People of African Descent in the Americas, OEA/Ser.L/V/II. Doc. 62, December 5, 2011, para. 184.</w:t>
      </w:r>
    </w:p>
  </w:footnote>
  <w:footnote w:id="43">
    <w:p w14:paraId="5CB58602" w14:textId="77777777" w:rsidR="007E4368" w:rsidRPr="00ED56AB" w:rsidRDefault="007E4368" w:rsidP="00DC28C0">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The Situation of People of African Descent in the Americas, OEA/Ser.L/V/II. Doc. 62, December 5, 2011, para. 189.</w:t>
      </w:r>
    </w:p>
  </w:footnote>
  <w:footnote w:id="44">
    <w:p w14:paraId="3AE2D816"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No. 78/15, Case 12.831. Merits (Publication). Kevin Cooper. United States. October, 28, 2015, para. 140 and 141.</w:t>
      </w:r>
    </w:p>
  </w:footnote>
  <w:footnote w:id="45">
    <w:p w14:paraId="2B88AA45" w14:textId="77777777" w:rsidR="007E4368" w:rsidRPr="00ED56AB" w:rsidRDefault="007E4368" w:rsidP="00ED56AB">
      <w:pPr>
        <w:pStyle w:val="FootnoteText"/>
        <w:jc w:val="both"/>
        <w:rPr>
          <w:rFonts w:asciiTheme="majorHAnsi" w:hAnsiTheme="majorHAnsi" w:cstheme="majorHAnsi"/>
          <w:color w:val="auto"/>
          <w:sz w:val="16"/>
          <w:szCs w:val="16"/>
        </w:rPr>
      </w:pPr>
      <w:r w:rsidRPr="00ED56AB">
        <w:rPr>
          <w:rStyle w:val="FootnoteReference"/>
          <w:rFonts w:asciiTheme="majorHAnsi" w:hAnsiTheme="majorHAnsi" w:cstheme="majorHAnsi"/>
          <w:color w:val="auto"/>
          <w:sz w:val="16"/>
          <w:szCs w:val="16"/>
        </w:rPr>
        <w:footnoteRef/>
      </w:r>
      <w:r w:rsidRPr="00ED56AB">
        <w:rPr>
          <w:rFonts w:asciiTheme="majorHAnsi" w:hAnsiTheme="majorHAnsi" w:cstheme="majorHAnsi"/>
          <w:color w:val="auto"/>
          <w:sz w:val="16"/>
          <w:szCs w:val="16"/>
        </w:rPr>
        <w:t xml:space="preserve"> </w:t>
      </w:r>
      <w:r w:rsidRPr="00ED56AB">
        <w:rPr>
          <w:rFonts w:asciiTheme="majorHAnsi" w:hAnsiTheme="majorHAnsi" w:cstheme="majorHAnsi"/>
          <w:bCs/>
          <w:color w:val="auto"/>
          <w:sz w:val="16"/>
          <w:szCs w:val="16"/>
        </w:rPr>
        <w:t xml:space="preserve">CERD, </w:t>
      </w:r>
      <w:hyperlink r:id="rId3" w:history="1">
        <w:r w:rsidRPr="00ED56AB">
          <w:rPr>
            <w:rStyle w:val="Hyperlink"/>
            <w:rFonts w:asciiTheme="majorHAnsi" w:hAnsiTheme="majorHAnsi" w:cstheme="majorHAnsi"/>
            <w:bCs/>
            <w:color w:val="auto"/>
            <w:sz w:val="16"/>
            <w:szCs w:val="16"/>
          </w:rPr>
          <w:t>Concluding Observations 2014</w:t>
        </w:r>
      </w:hyperlink>
      <w:r w:rsidRPr="00ED56AB">
        <w:rPr>
          <w:rFonts w:asciiTheme="majorHAnsi" w:hAnsiTheme="majorHAnsi" w:cstheme="majorHAnsi"/>
          <w:bCs/>
          <w:color w:val="auto"/>
          <w:sz w:val="16"/>
          <w:szCs w:val="16"/>
        </w:rPr>
        <w:t xml:space="preserve">, </w:t>
      </w:r>
      <w:r w:rsidRPr="00ED56AB">
        <w:rPr>
          <w:rFonts w:asciiTheme="majorHAnsi" w:hAnsiTheme="majorHAnsi" w:cstheme="majorHAnsi"/>
          <w:color w:val="auto"/>
          <w:sz w:val="16"/>
          <w:szCs w:val="16"/>
        </w:rPr>
        <w:t xml:space="preserve">Sept. </w:t>
      </w:r>
      <w:r w:rsidRPr="00ED56AB">
        <w:rPr>
          <w:rFonts w:asciiTheme="majorHAnsi" w:hAnsiTheme="majorHAnsi" w:cstheme="majorHAnsi"/>
          <w:bCs/>
          <w:color w:val="auto"/>
          <w:sz w:val="16"/>
          <w:szCs w:val="16"/>
        </w:rPr>
        <w:t>25, 2014</w:t>
      </w:r>
      <w:r w:rsidRPr="00ED56AB">
        <w:rPr>
          <w:rFonts w:asciiTheme="majorHAnsi" w:hAnsiTheme="majorHAnsi" w:cstheme="majorHAnsi"/>
          <w:color w:val="auto"/>
          <w:sz w:val="16"/>
          <w:szCs w:val="16"/>
        </w:rPr>
        <w:t>, para. 20.</w:t>
      </w:r>
    </w:p>
  </w:footnote>
  <w:footnote w:id="46">
    <w:p w14:paraId="34F8F095"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No. 57/97, Case No. 11.139, William Andrews, Merits, United States, December 6, 1996, para. 165. </w:t>
      </w:r>
    </w:p>
  </w:footnote>
  <w:footnote w:id="47">
    <w:p w14:paraId="4D3263F6"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No. 57/97, Case No. 11.139, William Andrews, Merits, United States, December 6, 1996, para. 159.</w:t>
      </w:r>
    </w:p>
  </w:footnote>
  <w:footnote w:id="48">
    <w:p w14:paraId="2131BA6C"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w:t>
      </w:r>
      <w:r w:rsidRPr="00ED56AB">
        <w:rPr>
          <w:rFonts w:asciiTheme="majorHAnsi" w:hAnsiTheme="majorHAnsi"/>
          <w:i/>
          <w:color w:val="auto"/>
          <w:sz w:val="16"/>
          <w:szCs w:val="16"/>
        </w:rPr>
        <w:t>See, e.g.</w:t>
      </w:r>
      <w:r w:rsidRPr="00ED56AB">
        <w:rPr>
          <w:rFonts w:asciiTheme="majorHAnsi" w:hAnsiTheme="majorHAnsi"/>
          <w:color w:val="auto"/>
          <w:sz w:val="16"/>
          <w:szCs w:val="16"/>
        </w:rPr>
        <w:t>, IACHR, Report No. 64/12. Case 12.271. Merits. Benito Tide Méndez. Dominican Republic. Mar. 29, 2012, para. 228.</w:t>
      </w:r>
    </w:p>
  </w:footnote>
  <w:footnote w:id="49">
    <w:p w14:paraId="0BC983D9"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w:t>
      </w:r>
      <w:r w:rsidRPr="00ED56AB">
        <w:rPr>
          <w:rFonts w:asciiTheme="majorHAnsi" w:hAnsiTheme="majorHAnsi"/>
          <w:i/>
          <w:color w:val="auto"/>
          <w:sz w:val="16"/>
          <w:szCs w:val="16"/>
        </w:rPr>
        <w:t xml:space="preserve">See, e.g., </w:t>
      </w:r>
      <w:r w:rsidRPr="00ED56AB">
        <w:rPr>
          <w:rFonts w:asciiTheme="majorHAnsi" w:hAnsiTheme="majorHAnsi"/>
          <w:color w:val="auto"/>
          <w:sz w:val="16"/>
          <w:szCs w:val="16"/>
        </w:rPr>
        <w:t xml:space="preserve">IACHR, Application filed with I/A Ct. H.R., </w:t>
      </w:r>
      <w:r w:rsidRPr="00ED56AB">
        <w:rPr>
          <w:rFonts w:asciiTheme="majorHAnsi" w:hAnsiTheme="majorHAnsi"/>
          <w:i/>
          <w:color w:val="auto"/>
          <w:sz w:val="16"/>
          <w:szCs w:val="16"/>
        </w:rPr>
        <w:t>Case of Karen Atala and Daughters v. Chile</w:t>
      </w:r>
      <w:r w:rsidRPr="00ED56AB">
        <w:rPr>
          <w:rFonts w:asciiTheme="majorHAnsi" w:hAnsiTheme="majorHAnsi"/>
          <w:color w:val="auto"/>
          <w:sz w:val="16"/>
          <w:szCs w:val="16"/>
        </w:rPr>
        <w:t>, Sept. 17, 2010, para. 88.</w:t>
      </w:r>
    </w:p>
  </w:footnote>
  <w:footnote w:id="50">
    <w:p w14:paraId="4CD3E1AA" w14:textId="77777777" w:rsidR="007E4368" w:rsidRPr="00ED56AB" w:rsidRDefault="007E4368" w:rsidP="00ED56AB">
      <w:pPr>
        <w:jc w:val="both"/>
        <w:rPr>
          <w:rFonts w:asciiTheme="majorHAnsi" w:hAnsiTheme="majorHAnsi"/>
          <w:sz w:val="16"/>
          <w:szCs w:val="16"/>
        </w:rPr>
      </w:pPr>
      <w:r w:rsidRPr="00ED56AB">
        <w:rPr>
          <w:rStyle w:val="FootnoteReference"/>
          <w:rFonts w:asciiTheme="majorHAnsi" w:hAnsiTheme="majorHAnsi"/>
          <w:sz w:val="16"/>
          <w:szCs w:val="16"/>
        </w:rPr>
        <w:footnoteRef/>
      </w:r>
      <w:r w:rsidRPr="00ED56AB">
        <w:rPr>
          <w:rFonts w:asciiTheme="majorHAnsi" w:hAnsiTheme="majorHAnsi"/>
          <w:sz w:val="16"/>
          <w:szCs w:val="16"/>
        </w:rPr>
        <w:t xml:space="preserve"> IACHR, Report No. 24/17, Case 12.254. Merits. Victor Saldaño. United States. March 18, 2017, para. 187.</w:t>
      </w:r>
    </w:p>
  </w:footnote>
  <w:footnote w:id="51">
    <w:p w14:paraId="77851BAF" w14:textId="77777777" w:rsidR="007E4368" w:rsidRPr="00ED56AB" w:rsidRDefault="007E4368" w:rsidP="00ED56AB">
      <w:pPr>
        <w:jc w:val="both"/>
        <w:rPr>
          <w:rFonts w:asciiTheme="majorHAnsi" w:hAnsiTheme="majorHAnsi"/>
          <w:sz w:val="16"/>
          <w:szCs w:val="16"/>
        </w:rPr>
      </w:pPr>
      <w:r w:rsidRPr="00ED56AB">
        <w:rPr>
          <w:rStyle w:val="FootnoteReference"/>
          <w:rFonts w:asciiTheme="majorHAnsi" w:hAnsiTheme="majorHAnsi"/>
          <w:sz w:val="16"/>
          <w:szCs w:val="16"/>
        </w:rPr>
        <w:footnoteRef/>
      </w:r>
      <w:r w:rsidRPr="00ED56AB">
        <w:rPr>
          <w:rFonts w:asciiTheme="majorHAnsi" w:hAnsiTheme="majorHAnsi"/>
          <w:sz w:val="16"/>
          <w:szCs w:val="16"/>
        </w:rPr>
        <w:t xml:space="preserve"> IACHR, Report No. 24/17, Case 12.254. Merits. Victor Saldaño. United States. March 18, 2017, para. 186. </w:t>
      </w:r>
    </w:p>
  </w:footnote>
  <w:footnote w:id="52">
    <w:p w14:paraId="4883FC1D"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No. 24/17, Case 12.254. Merits. Victor Saldaño. United States. March 18, 2017, para. 186.</w:t>
      </w:r>
    </w:p>
  </w:footnote>
  <w:footnote w:id="53">
    <w:p w14:paraId="0A6BC1F9" w14:textId="77777777" w:rsidR="007E4368" w:rsidRPr="004E2452"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No. 24/17, Case 12.254. Merits. Victor Saldaño. United States. March 18, 2017, para. </w:t>
      </w:r>
      <w:r w:rsidRPr="004E2452">
        <w:rPr>
          <w:rFonts w:asciiTheme="majorHAnsi" w:hAnsiTheme="majorHAnsi"/>
          <w:color w:val="auto"/>
          <w:sz w:val="16"/>
          <w:szCs w:val="16"/>
        </w:rPr>
        <w:t>186.</w:t>
      </w:r>
    </w:p>
  </w:footnote>
  <w:footnote w:id="54">
    <w:p w14:paraId="62FD3456"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4E2452">
        <w:rPr>
          <w:rFonts w:asciiTheme="majorHAnsi" w:hAnsiTheme="majorHAnsi"/>
          <w:color w:val="auto"/>
          <w:sz w:val="16"/>
          <w:szCs w:val="16"/>
        </w:rPr>
        <w:t xml:space="preserve"> </w:t>
      </w:r>
      <w:r w:rsidRPr="004E2452">
        <w:rPr>
          <w:rFonts w:asciiTheme="majorHAnsi" w:hAnsiTheme="majorHAnsi"/>
          <w:i/>
          <w:color w:val="auto"/>
          <w:sz w:val="16"/>
          <w:szCs w:val="16"/>
        </w:rPr>
        <w:t xml:space="preserve">See, e.g., </w:t>
      </w:r>
      <w:r w:rsidRPr="004E2452">
        <w:rPr>
          <w:rFonts w:asciiTheme="majorHAnsi" w:hAnsiTheme="majorHAnsi"/>
          <w:color w:val="auto"/>
          <w:sz w:val="16"/>
          <w:szCs w:val="16"/>
        </w:rPr>
        <w:t xml:space="preserve">IACHR, Report No. 75/15, Case 12.923. Merits. Rocio San Miguel Sosa </w:t>
      </w:r>
      <w:r w:rsidRPr="004E2452">
        <w:rPr>
          <w:rFonts w:asciiTheme="majorHAnsi" w:hAnsiTheme="majorHAnsi"/>
          <w:i/>
          <w:color w:val="auto"/>
          <w:sz w:val="16"/>
          <w:szCs w:val="16"/>
        </w:rPr>
        <w:t>et al</w:t>
      </w:r>
      <w:r w:rsidRPr="004E2452">
        <w:rPr>
          <w:rFonts w:asciiTheme="majorHAnsi" w:hAnsiTheme="majorHAnsi"/>
          <w:color w:val="auto"/>
          <w:sz w:val="16"/>
          <w:szCs w:val="16"/>
        </w:rPr>
        <w:t xml:space="preserve">. Venezuela. October 28, 2015, para. </w:t>
      </w:r>
      <w:r w:rsidRPr="00ED56AB">
        <w:rPr>
          <w:rFonts w:asciiTheme="majorHAnsi" w:hAnsiTheme="majorHAnsi"/>
          <w:color w:val="auto"/>
          <w:sz w:val="16"/>
          <w:szCs w:val="16"/>
        </w:rPr>
        <w:t>188.</w:t>
      </w:r>
    </w:p>
  </w:footnote>
  <w:footnote w:id="55">
    <w:p w14:paraId="26CDC101" w14:textId="77777777" w:rsidR="007E4368" w:rsidRPr="00ED56AB" w:rsidRDefault="007E4368" w:rsidP="00ED56AB">
      <w:pPr>
        <w:jc w:val="both"/>
        <w:rPr>
          <w:rFonts w:asciiTheme="majorHAnsi" w:hAnsiTheme="majorHAnsi"/>
          <w:sz w:val="16"/>
          <w:szCs w:val="16"/>
        </w:rPr>
      </w:pPr>
      <w:r w:rsidRPr="00ED56AB">
        <w:rPr>
          <w:rStyle w:val="FootnoteReference"/>
          <w:rFonts w:asciiTheme="majorHAnsi" w:hAnsiTheme="majorHAnsi"/>
          <w:sz w:val="16"/>
          <w:szCs w:val="16"/>
        </w:rPr>
        <w:footnoteRef/>
      </w:r>
      <w:r w:rsidRPr="00ED56AB">
        <w:rPr>
          <w:rFonts w:asciiTheme="majorHAnsi" w:hAnsiTheme="majorHAnsi"/>
          <w:sz w:val="16"/>
          <w:szCs w:val="16"/>
        </w:rPr>
        <w:t xml:space="preserve"> Article XVIII of the American Declaration provides: “Every person may resort to the courts to ensure respect for his legal rights. There should likewise be available to him a simple, brief procedure whereby the courts will protect him from acts of authority that, to his prejudice, violate any fundamental constitutional rights.”</w:t>
      </w:r>
    </w:p>
  </w:footnote>
  <w:footnote w:id="56">
    <w:p w14:paraId="3E71FD35" w14:textId="77777777" w:rsidR="007E4368" w:rsidRPr="00ED56AB" w:rsidRDefault="007E4368" w:rsidP="00ED56AB">
      <w:pPr>
        <w:keepNext/>
        <w:jc w:val="both"/>
        <w:rPr>
          <w:rFonts w:asciiTheme="majorHAnsi" w:hAnsiTheme="majorHAnsi"/>
          <w:sz w:val="16"/>
          <w:szCs w:val="16"/>
        </w:rPr>
      </w:pPr>
      <w:r w:rsidRPr="00ED56AB">
        <w:rPr>
          <w:rStyle w:val="FootnoteReference"/>
          <w:rFonts w:asciiTheme="majorHAnsi" w:hAnsiTheme="majorHAnsi"/>
          <w:sz w:val="16"/>
          <w:szCs w:val="16"/>
        </w:rPr>
        <w:footnoteRef/>
      </w:r>
      <w:r w:rsidRPr="00ED56AB">
        <w:rPr>
          <w:rFonts w:asciiTheme="majorHAnsi" w:hAnsiTheme="majorHAnsi"/>
          <w:sz w:val="16"/>
          <w:szCs w:val="16"/>
        </w:rPr>
        <w:t xml:space="preserve"> Article XXVI of the American Declaration provides: “Every accused person is presumed to be innocent until proved guilty.</w:t>
      </w:r>
    </w:p>
    <w:p w14:paraId="360BBCC9" w14:textId="77777777" w:rsidR="007E4368" w:rsidRPr="00ED56AB" w:rsidRDefault="007E4368" w:rsidP="00ED56AB">
      <w:pPr>
        <w:keepNext/>
        <w:jc w:val="both"/>
        <w:rPr>
          <w:rFonts w:asciiTheme="majorHAnsi" w:hAnsiTheme="majorHAnsi"/>
          <w:sz w:val="16"/>
          <w:szCs w:val="16"/>
        </w:rPr>
      </w:pPr>
      <w:r w:rsidRPr="00ED56AB">
        <w:rPr>
          <w:rFonts w:asciiTheme="majorHAnsi" w:hAnsiTheme="majorHAnsi"/>
          <w:sz w:val="16"/>
          <w:szCs w:val="16"/>
        </w:rPr>
        <w:t>Every person accused of an offense has the right to be given an impartial and public hearing, and to be tried by courts previously established in accordance with pre-existing laws, and not to receive cruel, infamous or unusual punishment.”</w:t>
      </w:r>
    </w:p>
  </w:footnote>
  <w:footnote w:id="57">
    <w:p w14:paraId="7B563F63"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The death penalty in the Inter-American System of Human Rights: From restrictions to abolition, OEA/Ser.L/V/II.Doc. 68, December 31, 2011.</w:t>
      </w:r>
    </w:p>
  </w:footnote>
  <w:footnote w:id="58">
    <w:p w14:paraId="36CAA709"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The death penalty in the Inter-American System of Human Rights: From restrictions to abolition, OEA/Ser.L/V/II.Doc. 68, December 31, 2011.</w:t>
      </w:r>
    </w:p>
  </w:footnote>
  <w:footnote w:id="59">
    <w:p w14:paraId="1776D7AB" w14:textId="77777777" w:rsidR="007E4368" w:rsidRPr="00ED56AB" w:rsidRDefault="007E4368" w:rsidP="00ED56AB">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N.</w:t>
      </w:r>
      <w:r w:rsidRPr="00ED56AB">
        <w:rPr>
          <w:rFonts w:asciiTheme="majorHAnsi" w:hAnsiTheme="majorHAnsi"/>
          <w:color w:val="auto"/>
          <w:sz w:val="16"/>
          <w:szCs w:val="16"/>
          <w:vertAlign w:val="superscript"/>
        </w:rPr>
        <w:t>o</w:t>
      </w:r>
      <w:r w:rsidRPr="00ED56AB">
        <w:rPr>
          <w:rFonts w:asciiTheme="majorHAnsi" w:hAnsiTheme="majorHAnsi"/>
          <w:color w:val="auto"/>
          <w:sz w:val="16"/>
          <w:szCs w:val="16"/>
        </w:rPr>
        <w:t xml:space="preserve"> 90/09, Case 12.644, Admissibility and Merits (Publication), Medellín, Ramírez Cárdenas and Leal García, United States, August 7, 2009, para. 134.</w:t>
      </w:r>
    </w:p>
  </w:footnote>
  <w:footnote w:id="60">
    <w:p w14:paraId="453C74F7" w14:textId="77777777" w:rsidR="007E4368" w:rsidRPr="00ED56AB" w:rsidRDefault="007E4368" w:rsidP="00ED56AB">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N.</w:t>
      </w:r>
      <w:r w:rsidRPr="00ED56AB">
        <w:rPr>
          <w:rFonts w:asciiTheme="majorHAnsi" w:hAnsiTheme="majorHAnsi"/>
          <w:color w:val="auto"/>
          <w:sz w:val="16"/>
          <w:szCs w:val="16"/>
          <w:vertAlign w:val="superscript"/>
        </w:rPr>
        <w:t>o</w:t>
      </w:r>
      <w:r w:rsidRPr="00ED56AB">
        <w:rPr>
          <w:rFonts w:asciiTheme="majorHAnsi" w:hAnsiTheme="majorHAnsi"/>
          <w:color w:val="auto"/>
          <w:sz w:val="16"/>
          <w:szCs w:val="16"/>
        </w:rPr>
        <w:t xml:space="preserve"> 90/09, Case 12.644, Admissibility and Merits (Publication), Medellín, Ramírez Cárdenas and Leal García, United States, August 7, 2009, para. 134. </w:t>
      </w:r>
    </w:p>
  </w:footnote>
  <w:footnote w:id="61">
    <w:p w14:paraId="3B600A43" w14:textId="77777777" w:rsidR="007E4368" w:rsidRPr="00ED56AB" w:rsidRDefault="007E4368" w:rsidP="00ED56AB">
      <w:pPr>
        <w:pStyle w:val="FootnoteText"/>
        <w:jc w:val="both"/>
        <w:rPr>
          <w:rFonts w:asciiTheme="majorHAnsi" w:hAnsiTheme="majorHAnsi" w:cs="Arial"/>
          <w:color w:val="auto"/>
          <w:sz w:val="16"/>
          <w:szCs w:val="16"/>
        </w:rPr>
      </w:pPr>
      <w:r w:rsidRPr="00ED56AB">
        <w:rPr>
          <w:rStyle w:val="FootnoteReference"/>
          <w:rFonts w:asciiTheme="majorHAnsi" w:hAnsiTheme="majorHAnsi" w:cs="Arial"/>
          <w:color w:val="auto"/>
          <w:sz w:val="16"/>
          <w:szCs w:val="16"/>
        </w:rPr>
        <w:footnoteRef/>
      </w:r>
      <w:r w:rsidRPr="00ED56AB">
        <w:rPr>
          <w:rFonts w:asciiTheme="majorHAnsi" w:hAnsiTheme="majorHAnsi" w:cs="Arial"/>
          <w:color w:val="auto"/>
          <w:sz w:val="16"/>
          <w:szCs w:val="16"/>
        </w:rPr>
        <w:t xml:space="preserve"> American Bar Association, </w:t>
      </w:r>
      <w:r w:rsidRPr="00ED56AB">
        <w:rPr>
          <w:rFonts w:asciiTheme="majorHAnsi" w:hAnsiTheme="majorHAnsi" w:cs="Arial"/>
          <w:i/>
          <w:iCs/>
          <w:color w:val="auto"/>
          <w:sz w:val="16"/>
          <w:szCs w:val="16"/>
        </w:rPr>
        <w:t>Guidelines for the Appointment and Performance of Defense Counsel in Death Penalty Cases</w:t>
      </w:r>
      <w:r w:rsidRPr="00ED56AB">
        <w:rPr>
          <w:rFonts w:asciiTheme="majorHAnsi" w:hAnsiTheme="majorHAnsi" w:cs="Arial"/>
          <w:color w:val="auto"/>
          <w:sz w:val="16"/>
          <w:szCs w:val="16"/>
        </w:rPr>
        <w:t xml:space="preserve"> (Revised editions) (February 2003), Guideline 10.7 – Investigation. Available at: </w:t>
      </w:r>
      <w:hyperlink r:id="rId4" w:history="1">
        <w:r w:rsidRPr="00ED56AB">
          <w:rPr>
            <w:rStyle w:val="Hyperlink"/>
            <w:rFonts w:asciiTheme="majorHAnsi" w:hAnsiTheme="majorHAnsi" w:cs="Arial"/>
            <w:color w:val="auto"/>
            <w:sz w:val="16"/>
            <w:szCs w:val="16"/>
          </w:rPr>
          <w:t>http://www.abanet.org/legalservices/downloads/ sclaid/deathpenaltyguidelines.pdf</w:t>
        </w:r>
      </w:hyperlink>
      <w:r w:rsidRPr="00ED56AB">
        <w:rPr>
          <w:rFonts w:asciiTheme="majorHAnsi" w:hAnsiTheme="majorHAnsi" w:cs="Arial"/>
          <w:color w:val="auto"/>
          <w:sz w:val="16"/>
          <w:szCs w:val="16"/>
        </w:rPr>
        <w:t xml:space="preserve">. </w:t>
      </w:r>
    </w:p>
  </w:footnote>
  <w:footnote w:id="62">
    <w:p w14:paraId="6E7680B5" w14:textId="77777777" w:rsidR="007E4368" w:rsidRPr="00ED56AB" w:rsidRDefault="007E4368" w:rsidP="00ED56AB">
      <w:pPr>
        <w:pStyle w:val="FootnoteText"/>
        <w:jc w:val="both"/>
        <w:rPr>
          <w:rFonts w:asciiTheme="majorHAnsi" w:hAnsiTheme="majorHAnsi" w:cs="Arial"/>
          <w:color w:val="auto"/>
          <w:sz w:val="16"/>
          <w:szCs w:val="16"/>
        </w:rPr>
      </w:pPr>
      <w:r w:rsidRPr="00ED56AB">
        <w:rPr>
          <w:rStyle w:val="FootnoteReference"/>
          <w:rFonts w:asciiTheme="majorHAnsi" w:hAnsiTheme="majorHAnsi" w:cs="Arial"/>
          <w:color w:val="auto"/>
          <w:sz w:val="16"/>
          <w:szCs w:val="16"/>
        </w:rPr>
        <w:footnoteRef/>
      </w:r>
      <w:r w:rsidRPr="00ED56AB">
        <w:rPr>
          <w:rFonts w:asciiTheme="majorHAnsi" w:hAnsiTheme="majorHAnsi" w:cs="Arial"/>
          <w:color w:val="auto"/>
          <w:sz w:val="16"/>
          <w:szCs w:val="16"/>
        </w:rPr>
        <w:t xml:space="preserve"> American Bar Association, </w:t>
      </w:r>
      <w:r w:rsidRPr="00ED56AB">
        <w:rPr>
          <w:rFonts w:asciiTheme="majorHAnsi" w:hAnsiTheme="majorHAnsi" w:cs="Arial"/>
          <w:i/>
          <w:iCs/>
          <w:color w:val="auto"/>
          <w:sz w:val="16"/>
          <w:szCs w:val="16"/>
        </w:rPr>
        <w:t>Guidelines for the Appointment and Performance of Defense Counsel in Death Penalty Cases</w:t>
      </w:r>
      <w:r w:rsidRPr="00ED56AB">
        <w:rPr>
          <w:rFonts w:asciiTheme="majorHAnsi" w:hAnsiTheme="majorHAnsi" w:cs="Arial"/>
          <w:color w:val="auto"/>
          <w:sz w:val="16"/>
          <w:szCs w:val="16"/>
        </w:rPr>
        <w:t xml:space="preserve"> (Revised editions) (February 2003), Guideline 10.7 – Investigation, at 82.</w:t>
      </w:r>
    </w:p>
  </w:footnote>
  <w:footnote w:id="63">
    <w:p w14:paraId="53348DD3" w14:textId="77777777" w:rsidR="007E4368" w:rsidRPr="00ED56AB" w:rsidRDefault="007E4368" w:rsidP="00ED56AB">
      <w:pPr>
        <w:pStyle w:val="FootnoteText"/>
        <w:jc w:val="both"/>
        <w:rPr>
          <w:rFonts w:asciiTheme="majorHAnsi" w:hAnsiTheme="majorHAnsi" w:cs="Arial"/>
          <w:color w:val="auto"/>
          <w:sz w:val="16"/>
          <w:szCs w:val="16"/>
        </w:rPr>
      </w:pPr>
      <w:r w:rsidRPr="00ED56AB">
        <w:rPr>
          <w:rStyle w:val="FootnoteReference"/>
          <w:rFonts w:asciiTheme="majorHAnsi" w:hAnsiTheme="majorHAnsi" w:cs="Arial"/>
          <w:color w:val="auto"/>
          <w:sz w:val="16"/>
          <w:szCs w:val="16"/>
        </w:rPr>
        <w:footnoteRef/>
      </w:r>
      <w:r w:rsidRPr="00ED56AB">
        <w:rPr>
          <w:rFonts w:asciiTheme="majorHAnsi" w:hAnsiTheme="majorHAnsi" w:cs="Arial"/>
          <w:color w:val="auto"/>
          <w:sz w:val="16"/>
          <w:szCs w:val="16"/>
        </w:rPr>
        <w:t xml:space="preserve"> American Bar Association, </w:t>
      </w:r>
      <w:r w:rsidRPr="00ED56AB">
        <w:rPr>
          <w:rFonts w:asciiTheme="majorHAnsi" w:hAnsiTheme="majorHAnsi" w:cs="Arial"/>
          <w:i/>
          <w:iCs/>
          <w:color w:val="auto"/>
          <w:sz w:val="16"/>
          <w:szCs w:val="16"/>
        </w:rPr>
        <w:t>Guidelines for the Appointment and Performance of Defense Counsel in Death Penalty Cases</w:t>
      </w:r>
      <w:r w:rsidRPr="00ED56AB">
        <w:rPr>
          <w:rFonts w:asciiTheme="majorHAnsi" w:hAnsiTheme="majorHAnsi" w:cs="Arial"/>
          <w:color w:val="auto"/>
          <w:sz w:val="16"/>
          <w:szCs w:val="16"/>
        </w:rPr>
        <w:t xml:space="preserve"> (Revised editions) (February 2003), Guideline 10.7 – Investigation, at 83.</w:t>
      </w:r>
    </w:p>
  </w:footnote>
  <w:footnote w:id="64">
    <w:p w14:paraId="2231AB0D" w14:textId="77777777" w:rsidR="007E4368" w:rsidRPr="00ED56AB" w:rsidRDefault="007E4368" w:rsidP="00ED56AB">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48/01, Case N.</w:t>
      </w:r>
      <w:r w:rsidRPr="00ED56AB">
        <w:rPr>
          <w:rFonts w:asciiTheme="majorHAnsi" w:hAnsiTheme="majorHAnsi"/>
          <w:color w:val="auto"/>
          <w:sz w:val="16"/>
          <w:szCs w:val="16"/>
          <w:vertAlign w:val="superscript"/>
        </w:rPr>
        <w:t>o</w:t>
      </w:r>
      <w:r w:rsidRPr="00ED56AB">
        <w:rPr>
          <w:rFonts w:asciiTheme="majorHAnsi" w:hAnsiTheme="majorHAnsi"/>
          <w:color w:val="auto"/>
          <w:sz w:val="16"/>
          <w:szCs w:val="16"/>
        </w:rPr>
        <w:t xml:space="preserve"> 12.067, Michael Edwards et al</w:t>
      </w:r>
      <w:r w:rsidRPr="00ED56AB">
        <w:rPr>
          <w:rFonts w:asciiTheme="majorHAnsi" w:hAnsiTheme="majorHAnsi"/>
          <w:i/>
          <w:color w:val="auto"/>
          <w:sz w:val="16"/>
          <w:szCs w:val="16"/>
        </w:rPr>
        <w:t>.</w:t>
      </w:r>
      <w:r w:rsidRPr="00ED56AB">
        <w:rPr>
          <w:rFonts w:asciiTheme="majorHAnsi" w:hAnsiTheme="majorHAnsi"/>
          <w:color w:val="auto"/>
          <w:sz w:val="16"/>
          <w:szCs w:val="16"/>
        </w:rPr>
        <w:t>, Bahamas, April 4,  2001, para. 149.</w:t>
      </w:r>
    </w:p>
  </w:footnote>
  <w:footnote w:id="65">
    <w:p w14:paraId="667BCB91" w14:textId="77777777" w:rsidR="007E4368" w:rsidRPr="00ED56AB" w:rsidRDefault="007E4368" w:rsidP="00ED56AB">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16"/>
          <w:szCs w:val="16"/>
        </w:rPr>
      </w:pPr>
      <w:r w:rsidRPr="00ED56AB">
        <w:rPr>
          <w:rStyle w:val="FootnoteReference"/>
          <w:rFonts w:asciiTheme="majorHAnsi" w:hAnsiTheme="majorHAnsi"/>
          <w:sz w:val="16"/>
          <w:szCs w:val="16"/>
        </w:rPr>
        <w:footnoteRef/>
      </w:r>
      <w:r w:rsidRPr="00ED56AB">
        <w:rPr>
          <w:rFonts w:asciiTheme="majorHAnsi" w:hAnsiTheme="majorHAnsi"/>
          <w:sz w:val="16"/>
          <w:szCs w:val="16"/>
        </w:rPr>
        <w:t xml:space="preserve"> IACHR, Report 79/15, Case 12.994. Merits (Publication), Bernardo Aban Tercero, United States, October 28, 2015, </w:t>
      </w:r>
      <w:r w:rsidRPr="00ED56AB">
        <w:rPr>
          <w:rFonts w:asciiTheme="majorHAnsi" w:hAnsiTheme="majorHAnsi"/>
          <w:sz w:val="16"/>
          <w:szCs w:val="16"/>
        </w:rPr>
        <w:br/>
        <w:t>para. 134.</w:t>
      </w:r>
    </w:p>
  </w:footnote>
  <w:footnote w:id="66">
    <w:p w14:paraId="363D5C35" w14:textId="77777777" w:rsidR="007E4368" w:rsidRPr="00ED56AB" w:rsidRDefault="007E4368" w:rsidP="00ED56AB">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53/13, Case 12.864, Merits (Publication), Ivan Teleguz, United States, July 15, 2013, para. 103.</w:t>
      </w:r>
    </w:p>
  </w:footnote>
  <w:footnote w:id="67">
    <w:p w14:paraId="6B07319F" w14:textId="77777777" w:rsidR="007E4368" w:rsidRPr="00326763" w:rsidRDefault="007E4368" w:rsidP="00ED56AB">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53/13, Case 12.864, Merits (Publication), Ivan Teleguz, United States, July 15, 2013, para. </w:t>
      </w:r>
      <w:r w:rsidRPr="00326763">
        <w:rPr>
          <w:rFonts w:asciiTheme="majorHAnsi" w:hAnsiTheme="majorHAnsi"/>
          <w:color w:val="auto"/>
          <w:sz w:val="16"/>
          <w:szCs w:val="16"/>
        </w:rPr>
        <w:t>103.</w:t>
      </w:r>
    </w:p>
  </w:footnote>
  <w:footnote w:id="68">
    <w:p w14:paraId="0E078ED6" w14:textId="77777777" w:rsidR="007E4368" w:rsidRPr="00ED56AB" w:rsidRDefault="007E4368" w:rsidP="00ED56AB">
      <w:pPr>
        <w:pBdr>
          <w:top w:val="none" w:sz="0" w:space="0" w:color="auto"/>
          <w:left w:val="none" w:sz="0" w:space="0" w:color="auto"/>
          <w:bottom w:val="none" w:sz="0" w:space="0" w:color="auto"/>
          <w:right w:val="none" w:sz="0" w:space="0" w:color="auto"/>
          <w:bar w:val="none" w:sz="0" w:color="auto"/>
        </w:pBdr>
        <w:tabs>
          <w:tab w:val="left" w:pos="180"/>
          <w:tab w:val="left" w:pos="360"/>
        </w:tabs>
        <w:autoSpaceDE w:val="0"/>
        <w:autoSpaceDN w:val="0"/>
        <w:adjustRightInd w:val="0"/>
        <w:jc w:val="both"/>
        <w:rPr>
          <w:rFonts w:asciiTheme="majorHAnsi" w:hAnsiTheme="majorHAnsi"/>
          <w:sz w:val="16"/>
          <w:szCs w:val="16"/>
        </w:rPr>
      </w:pPr>
      <w:r w:rsidRPr="00ED56AB">
        <w:rPr>
          <w:rStyle w:val="FootnoteReference"/>
          <w:rFonts w:asciiTheme="majorHAnsi" w:hAnsiTheme="majorHAnsi"/>
          <w:sz w:val="16"/>
          <w:szCs w:val="16"/>
        </w:rPr>
        <w:footnoteRef/>
      </w:r>
      <w:r w:rsidRPr="00326763">
        <w:rPr>
          <w:rFonts w:asciiTheme="majorHAnsi" w:hAnsiTheme="majorHAnsi"/>
          <w:sz w:val="16"/>
          <w:szCs w:val="16"/>
        </w:rPr>
        <w:t xml:space="preserve"> IACHR, Report 55/97, Case 11.137, Merits, Juan Carlos Abella, Argentina, November 18, 1997, para. </w:t>
      </w:r>
      <w:r w:rsidRPr="00ED56AB">
        <w:rPr>
          <w:rFonts w:asciiTheme="majorHAnsi" w:hAnsiTheme="majorHAnsi"/>
          <w:sz w:val="16"/>
          <w:szCs w:val="16"/>
        </w:rPr>
        <w:t>261.</w:t>
      </w:r>
    </w:p>
  </w:footnote>
  <w:footnote w:id="69">
    <w:p w14:paraId="52FF54C6" w14:textId="77777777" w:rsidR="007E4368" w:rsidRPr="00ED56AB" w:rsidRDefault="007E4368" w:rsidP="00ED56AB">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53/13, Case 12.864, Merits (Publication), Ivan Teleguz, United States, July 15, 2013, para. 105.</w:t>
      </w:r>
    </w:p>
  </w:footnote>
  <w:footnote w:id="70">
    <w:p w14:paraId="28641024" w14:textId="77777777" w:rsidR="007E4368" w:rsidRPr="00ED56AB" w:rsidRDefault="007E4368" w:rsidP="00ED56AB">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53/13, Case 12.864, Merits (Publication), Ivan Teleguz, United States, July 15, 2013, para. 103.</w:t>
      </w:r>
    </w:p>
  </w:footnote>
  <w:footnote w:id="71">
    <w:p w14:paraId="21CBF13F" w14:textId="77777777" w:rsidR="007E4368" w:rsidRPr="00ED56AB" w:rsidRDefault="007E4368" w:rsidP="008F4101">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53/13, Case 12.864, Merits (Publication), Ivan Teleguz, United States, July 15, 2013, para. 106.</w:t>
      </w:r>
    </w:p>
  </w:footnote>
  <w:footnote w:id="72">
    <w:p w14:paraId="27F2D242" w14:textId="77777777" w:rsidR="007E4368" w:rsidRPr="00AD7A33" w:rsidRDefault="007E4368" w:rsidP="00AD7A33">
      <w:pPr>
        <w:pStyle w:val="FootnoteText"/>
        <w:jc w:val="both"/>
        <w:rPr>
          <w:rFonts w:asciiTheme="majorHAnsi" w:hAnsiTheme="majorHAnsi"/>
          <w:sz w:val="16"/>
          <w:szCs w:val="16"/>
        </w:rPr>
      </w:pPr>
      <w:r w:rsidRPr="00AD7A33">
        <w:rPr>
          <w:rStyle w:val="FootnoteReference"/>
          <w:rFonts w:asciiTheme="majorHAnsi" w:hAnsiTheme="majorHAnsi"/>
          <w:sz w:val="16"/>
          <w:szCs w:val="16"/>
        </w:rPr>
        <w:footnoteRef/>
      </w:r>
      <w:r w:rsidRPr="00AD7A33">
        <w:rPr>
          <w:rFonts w:asciiTheme="majorHAnsi" w:hAnsiTheme="majorHAnsi"/>
          <w:sz w:val="16"/>
          <w:szCs w:val="16"/>
        </w:rPr>
        <w:t xml:space="preserve"> </w:t>
      </w:r>
      <w:r w:rsidRPr="00AD7A33">
        <w:rPr>
          <w:rFonts w:asciiTheme="majorHAnsi" w:hAnsiTheme="majorHAnsi"/>
          <w:color w:val="auto"/>
          <w:sz w:val="16"/>
          <w:szCs w:val="16"/>
        </w:rPr>
        <w:t>IACHR, Report No. 53/13, Case 12.864, Merits (Publication), Ivan Teleguz, United States, July 15, 2013, para. 116.</w:t>
      </w:r>
    </w:p>
  </w:footnote>
  <w:footnote w:id="73">
    <w:p w14:paraId="2978F5AF" w14:textId="77777777" w:rsidR="007E4368" w:rsidRPr="00AD7A33" w:rsidRDefault="007E4368" w:rsidP="00B574EE">
      <w:pPr>
        <w:pStyle w:val="FootnoteText"/>
        <w:jc w:val="both"/>
        <w:rPr>
          <w:rFonts w:asciiTheme="majorHAnsi" w:hAnsiTheme="majorHAnsi"/>
          <w:sz w:val="16"/>
          <w:szCs w:val="16"/>
        </w:rPr>
      </w:pPr>
      <w:r w:rsidRPr="00AD7A33">
        <w:rPr>
          <w:rStyle w:val="FootnoteReference"/>
          <w:rFonts w:asciiTheme="majorHAnsi" w:hAnsiTheme="majorHAnsi"/>
          <w:sz w:val="16"/>
          <w:szCs w:val="16"/>
        </w:rPr>
        <w:footnoteRef/>
      </w:r>
      <w:r w:rsidRPr="00AD7A33">
        <w:rPr>
          <w:rFonts w:asciiTheme="majorHAnsi" w:hAnsiTheme="majorHAnsi"/>
          <w:sz w:val="16"/>
          <w:szCs w:val="16"/>
        </w:rPr>
        <w:t xml:space="preserve"> </w:t>
      </w:r>
      <w:r w:rsidRPr="00AD7A33">
        <w:rPr>
          <w:rFonts w:asciiTheme="majorHAnsi" w:hAnsiTheme="majorHAnsi"/>
          <w:color w:val="auto"/>
          <w:sz w:val="16"/>
          <w:szCs w:val="16"/>
        </w:rPr>
        <w:t>IACHR, Report No. 53/13, Case 12.864, Merits (Publication), Ivan Teleguz, United States, July 15, 2013, para. 116.</w:t>
      </w:r>
    </w:p>
  </w:footnote>
  <w:footnote w:id="74">
    <w:p w14:paraId="20760DE6" w14:textId="77777777" w:rsidR="007E4368" w:rsidRDefault="007E4368">
      <w:pPr>
        <w:pStyle w:val="FootnoteText"/>
      </w:pPr>
      <w:r w:rsidRPr="00EE5E58">
        <w:rPr>
          <w:rStyle w:val="FootnoteReference"/>
          <w:rFonts w:asciiTheme="majorHAnsi" w:hAnsiTheme="majorHAnsi"/>
          <w:sz w:val="16"/>
          <w:szCs w:val="16"/>
        </w:rPr>
        <w:footnoteRef/>
      </w:r>
      <w:r w:rsidRPr="00EE5E58">
        <w:rPr>
          <w:rStyle w:val="FootnoteReference"/>
          <w:rFonts w:asciiTheme="majorHAnsi" w:hAnsiTheme="majorHAnsi"/>
          <w:sz w:val="16"/>
          <w:szCs w:val="16"/>
        </w:rPr>
        <w:t xml:space="preserve"> </w:t>
      </w:r>
      <w:r w:rsidRPr="00AD7A33">
        <w:rPr>
          <w:rFonts w:asciiTheme="majorHAnsi" w:hAnsiTheme="majorHAnsi"/>
          <w:color w:val="auto"/>
          <w:sz w:val="16"/>
          <w:szCs w:val="16"/>
        </w:rPr>
        <w:t>IACHR, Report No. 53/13, Case 12.864, Merits (Publication), Ivan Teleguz, United States, July 15, 2013, para. 1</w:t>
      </w:r>
      <w:r>
        <w:rPr>
          <w:rFonts w:asciiTheme="majorHAnsi" w:hAnsiTheme="majorHAnsi"/>
          <w:color w:val="auto"/>
          <w:sz w:val="16"/>
          <w:szCs w:val="16"/>
        </w:rPr>
        <w:t>17</w:t>
      </w:r>
      <w:r w:rsidRPr="00AD7A33">
        <w:rPr>
          <w:rFonts w:asciiTheme="majorHAnsi" w:hAnsiTheme="majorHAnsi"/>
          <w:color w:val="auto"/>
          <w:sz w:val="16"/>
          <w:szCs w:val="16"/>
        </w:rPr>
        <w:t>.</w:t>
      </w:r>
    </w:p>
  </w:footnote>
  <w:footnote w:id="75">
    <w:p w14:paraId="6BFFE36E" w14:textId="77777777" w:rsidR="007E4368" w:rsidRPr="00AD7A33" w:rsidRDefault="007E4368" w:rsidP="00AD7A33">
      <w:pPr>
        <w:pStyle w:val="FootnoteText"/>
        <w:jc w:val="both"/>
        <w:rPr>
          <w:rFonts w:asciiTheme="majorHAnsi" w:hAnsiTheme="majorHAnsi"/>
          <w:color w:val="auto"/>
          <w:sz w:val="16"/>
          <w:szCs w:val="16"/>
        </w:rPr>
      </w:pPr>
      <w:r w:rsidRPr="00AD7A33">
        <w:rPr>
          <w:rStyle w:val="FootnoteReference"/>
          <w:rFonts w:asciiTheme="majorHAnsi" w:hAnsiTheme="majorHAnsi"/>
          <w:color w:val="auto"/>
          <w:sz w:val="16"/>
          <w:szCs w:val="16"/>
        </w:rPr>
        <w:footnoteRef/>
      </w:r>
      <w:r w:rsidRPr="00AD7A33">
        <w:rPr>
          <w:rFonts w:asciiTheme="majorHAnsi" w:hAnsiTheme="majorHAnsi"/>
          <w:color w:val="auto"/>
          <w:sz w:val="16"/>
          <w:szCs w:val="16"/>
        </w:rPr>
        <w:t xml:space="preserve"> Article XXV of the American Declaration provides: “[…] Every individual who has been deprived of his liberty has the right […] to humane treatment during the time he is in custody.” </w:t>
      </w:r>
    </w:p>
    <w:p w14:paraId="52C4D99D" w14:textId="77777777" w:rsidR="007E4368" w:rsidRPr="00AD7A33" w:rsidRDefault="007E4368" w:rsidP="00AD7A33">
      <w:pPr>
        <w:pStyle w:val="FootnoteText"/>
        <w:jc w:val="both"/>
        <w:rPr>
          <w:rFonts w:asciiTheme="majorHAnsi" w:hAnsiTheme="majorHAnsi"/>
          <w:color w:val="auto"/>
          <w:sz w:val="16"/>
          <w:szCs w:val="16"/>
        </w:rPr>
      </w:pPr>
      <w:r w:rsidRPr="00AD7A33">
        <w:rPr>
          <w:rFonts w:asciiTheme="majorHAnsi" w:hAnsiTheme="majorHAnsi"/>
          <w:color w:val="auto"/>
          <w:sz w:val="16"/>
          <w:szCs w:val="16"/>
        </w:rPr>
        <w:t>Article XXVI of the American Declaration provides: “[…] Every person accused of an offense has the right […] not to receive cruel, infamous or unusual punishment.”</w:t>
      </w:r>
    </w:p>
  </w:footnote>
  <w:footnote w:id="76">
    <w:p w14:paraId="64DD302D"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The death penalty and the absolute prohibition of Torture and Cruel, Inhuman, and Degrading Treatment or Punishment, Juan E. Mendez, Human Right Brief, Volume 20, Issue 1, Article 1, p. 3. </w:t>
      </w:r>
    </w:p>
  </w:footnote>
  <w:footnote w:id="77">
    <w:p w14:paraId="148E2DE1"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In that respect, guideline xi) of the “UE Guidelines on Death Penalty” establishes that “Where capital punishment occurs, it shall be carried out so as to inflict the minimum possible suffering. It may not be carried out in public or in any other degrading manner </w:t>
      </w:r>
      <w:hyperlink r:id="rId5" w:history="1">
        <w:r w:rsidRPr="00ED56AB">
          <w:rPr>
            <w:rStyle w:val="Hyperlink"/>
            <w:rFonts w:asciiTheme="majorHAnsi" w:hAnsiTheme="majorHAnsi"/>
            <w:color w:val="auto"/>
            <w:sz w:val="16"/>
            <w:szCs w:val="16"/>
          </w:rPr>
          <w:t>EU Guidelines on the Death Penalty: revised and updated version.</w:t>
        </w:r>
      </w:hyperlink>
    </w:p>
  </w:footnote>
  <w:footnote w:id="78">
    <w:p w14:paraId="2D82CA0F"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No. 71/18, Case 12.958. Merits. Russell Bucklew. United States, May 10, 2018, paras. 66 and 67.</w:t>
      </w:r>
    </w:p>
  </w:footnote>
  <w:footnote w:id="79">
    <w:p w14:paraId="0D8E7991"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Human Rights Committee, Concluding observations on the fourth periodic report of the United States of America, CCPR/C/USA/CO/4, para. 8.</w:t>
      </w:r>
    </w:p>
  </w:footnote>
  <w:footnote w:id="80">
    <w:p w14:paraId="2DDA7A88" w14:textId="77777777" w:rsidR="007E4368" w:rsidRPr="00ED56AB" w:rsidRDefault="007E4368" w:rsidP="00ED56AB">
      <w:pPr>
        <w:pStyle w:val="Heading2"/>
        <w:spacing w:before="0"/>
        <w:jc w:val="both"/>
        <w:rPr>
          <w:b w:val="0"/>
          <w:color w:val="auto"/>
          <w:sz w:val="16"/>
          <w:szCs w:val="16"/>
        </w:rPr>
      </w:pPr>
      <w:r w:rsidRPr="00ED56AB">
        <w:rPr>
          <w:rStyle w:val="FootnoteReference"/>
          <w:b w:val="0"/>
          <w:color w:val="auto"/>
          <w:sz w:val="16"/>
          <w:szCs w:val="16"/>
        </w:rPr>
        <w:footnoteRef/>
      </w:r>
      <w:r w:rsidRPr="00ED56AB">
        <w:rPr>
          <w:b w:val="0"/>
          <w:color w:val="auto"/>
          <w:sz w:val="16"/>
          <w:szCs w:val="16"/>
        </w:rPr>
        <w:t xml:space="preserve"> Committee against Torture, Conclusions and recommendations of the Committee against Torture, United States of America, 25 July 2006, CAT/C/USA/CO/2, para. 31.</w:t>
      </w:r>
    </w:p>
  </w:footnote>
  <w:footnote w:id="81">
    <w:p w14:paraId="319B787E" w14:textId="77777777" w:rsidR="007E4368" w:rsidRPr="00ED56AB" w:rsidRDefault="007E4368" w:rsidP="00ED56AB">
      <w:pPr>
        <w:autoSpaceDE w:val="0"/>
        <w:autoSpaceDN w:val="0"/>
        <w:adjustRightInd w:val="0"/>
        <w:jc w:val="both"/>
        <w:rPr>
          <w:rFonts w:asciiTheme="majorHAnsi" w:hAnsiTheme="majorHAnsi"/>
          <w:bCs/>
          <w:sz w:val="16"/>
          <w:szCs w:val="16"/>
        </w:rPr>
      </w:pPr>
      <w:r w:rsidRPr="00ED56AB">
        <w:rPr>
          <w:rStyle w:val="FootnoteReference"/>
          <w:rFonts w:asciiTheme="majorHAnsi" w:hAnsiTheme="majorHAnsi"/>
          <w:sz w:val="16"/>
          <w:szCs w:val="16"/>
        </w:rPr>
        <w:footnoteRef/>
      </w:r>
      <w:r w:rsidRPr="00ED56AB">
        <w:rPr>
          <w:rFonts w:asciiTheme="majorHAnsi" w:hAnsiTheme="majorHAnsi"/>
          <w:sz w:val="16"/>
          <w:szCs w:val="16"/>
        </w:rPr>
        <w:t xml:space="preserve"> Interim Report of the </w:t>
      </w:r>
      <w:r w:rsidRPr="00ED56AB">
        <w:rPr>
          <w:rFonts w:asciiTheme="majorHAnsi" w:hAnsiTheme="majorHAnsi"/>
          <w:bCs/>
          <w:sz w:val="16"/>
          <w:szCs w:val="16"/>
        </w:rPr>
        <w:t>Special Rapporteur on torture and other cruel, inhuman or degrading treatment or punishment, A/67/229, 9 August 2012, para. 38.</w:t>
      </w:r>
    </w:p>
  </w:footnote>
  <w:footnote w:id="82">
    <w:p w14:paraId="346A3F62" w14:textId="77777777" w:rsidR="007E4368" w:rsidRPr="00ED56AB" w:rsidRDefault="007E4368" w:rsidP="00ED56AB">
      <w:pPr>
        <w:autoSpaceDE w:val="0"/>
        <w:autoSpaceDN w:val="0"/>
        <w:adjustRightInd w:val="0"/>
        <w:jc w:val="both"/>
        <w:rPr>
          <w:rFonts w:asciiTheme="majorHAnsi" w:hAnsiTheme="majorHAnsi"/>
          <w:bCs/>
          <w:sz w:val="16"/>
          <w:szCs w:val="16"/>
        </w:rPr>
      </w:pPr>
      <w:r w:rsidRPr="00ED56AB">
        <w:rPr>
          <w:rStyle w:val="FootnoteReference"/>
          <w:rFonts w:asciiTheme="majorHAnsi" w:hAnsiTheme="majorHAnsi"/>
          <w:sz w:val="16"/>
          <w:szCs w:val="16"/>
        </w:rPr>
        <w:footnoteRef/>
      </w:r>
      <w:r w:rsidRPr="00ED56AB">
        <w:rPr>
          <w:rFonts w:asciiTheme="majorHAnsi" w:hAnsiTheme="majorHAnsi"/>
          <w:sz w:val="16"/>
          <w:szCs w:val="16"/>
        </w:rPr>
        <w:t xml:space="preserve"> Interim Report of the </w:t>
      </w:r>
      <w:r w:rsidRPr="00ED56AB">
        <w:rPr>
          <w:rFonts w:asciiTheme="majorHAnsi" w:hAnsiTheme="majorHAnsi"/>
          <w:bCs/>
          <w:sz w:val="16"/>
          <w:szCs w:val="16"/>
        </w:rPr>
        <w:t>Special Rapporteur on torture and other cruel, inhuman or degrading treatment or punishment, A/67/229, 9 August 2012, para. 80 (b).</w:t>
      </w:r>
    </w:p>
  </w:footnote>
  <w:footnote w:id="83">
    <w:p w14:paraId="6B0E629F"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Style w:val="FootnoteReference"/>
          <w:rFonts w:asciiTheme="majorHAnsi" w:hAnsiTheme="majorHAnsi"/>
          <w:color w:val="auto"/>
          <w:sz w:val="16"/>
          <w:szCs w:val="16"/>
        </w:rPr>
        <w:t xml:space="preserve"> </w:t>
      </w:r>
      <w:r w:rsidRPr="00ED56AB">
        <w:rPr>
          <w:rFonts w:asciiTheme="majorHAnsi" w:hAnsiTheme="majorHAnsi"/>
          <w:color w:val="auto"/>
          <w:sz w:val="16"/>
          <w:szCs w:val="16"/>
        </w:rPr>
        <w:t>IACHR, Report No. 71/18, Case 12.958. Merits. Russell Bucklew. United States, May 10, 2018, paras. 86-90. In this report the Commission has cite</w:t>
      </w:r>
      <w:r>
        <w:rPr>
          <w:rFonts w:asciiTheme="majorHAnsi" w:hAnsiTheme="majorHAnsi"/>
          <w:color w:val="auto"/>
          <w:sz w:val="16"/>
          <w:szCs w:val="16"/>
        </w:rPr>
        <w:t>d</w:t>
      </w:r>
      <w:r w:rsidRPr="00ED56AB">
        <w:rPr>
          <w:rFonts w:asciiTheme="majorHAnsi" w:hAnsiTheme="majorHAnsi"/>
          <w:color w:val="auto"/>
          <w:sz w:val="16"/>
          <w:szCs w:val="16"/>
        </w:rPr>
        <w:t xml:space="preserve"> a number of developments in the inter-American and other protections systems, including the regional and United Nations systems.</w:t>
      </w:r>
    </w:p>
  </w:footnote>
  <w:footnote w:id="84">
    <w:p w14:paraId="21EA6DAB" w14:textId="77777777" w:rsidR="007E4368" w:rsidRPr="006C1815" w:rsidRDefault="007E4368">
      <w:pPr>
        <w:pStyle w:val="FootnoteText"/>
      </w:pPr>
      <w:r w:rsidRPr="006C1815">
        <w:rPr>
          <w:rStyle w:val="FootnoteReference"/>
          <w:rFonts w:asciiTheme="majorHAnsi" w:hAnsiTheme="majorHAnsi"/>
          <w:color w:val="auto"/>
          <w:sz w:val="16"/>
          <w:szCs w:val="16"/>
        </w:rPr>
        <w:footnoteRef/>
      </w:r>
      <w:r w:rsidRPr="006C1815">
        <w:rPr>
          <w:rStyle w:val="FootnoteReference"/>
          <w:rFonts w:asciiTheme="majorHAnsi" w:hAnsiTheme="majorHAnsi"/>
          <w:color w:val="auto"/>
          <w:sz w:val="16"/>
          <w:szCs w:val="16"/>
        </w:rPr>
        <w:t xml:space="preserve"> </w:t>
      </w:r>
      <w:r w:rsidRPr="00ED56AB">
        <w:rPr>
          <w:rFonts w:asciiTheme="majorHAnsi" w:hAnsiTheme="majorHAnsi"/>
          <w:color w:val="auto"/>
          <w:sz w:val="16"/>
          <w:szCs w:val="16"/>
        </w:rPr>
        <w:t>IACHR, Report No. 71/18, Case 12.958. Merits. Russell Bucklew. United States, May 10, 2018, para</w:t>
      </w:r>
      <w:r>
        <w:rPr>
          <w:rFonts w:asciiTheme="majorHAnsi" w:hAnsiTheme="majorHAnsi"/>
          <w:color w:val="auto"/>
          <w:sz w:val="16"/>
          <w:szCs w:val="16"/>
        </w:rPr>
        <w:t>. 83.</w:t>
      </w:r>
    </w:p>
  </w:footnote>
  <w:footnote w:id="85">
    <w:p w14:paraId="397DEEFF" w14:textId="77777777" w:rsidR="007E4368" w:rsidRPr="00ED56AB" w:rsidRDefault="007E4368" w:rsidP="00ED56AB">
      <w:pPr>
        <w:pStyle w:val="FootnoteText"/>
        <w:jc w:val="both"/>
        <w:rPr>
          <w:rFonts w:asciiTheme="majorHAnsi" w:hAnsiTheme="majorHAnsi"/>
          <w:sz w:val="16"/>
          <w:szCs w:val="16"/>
        </w:rPr>
      </w:pPr>
      <w:r w:rsidRPr="00ED56AB">
        <w:rPr>
          <w:rStyle w:val="FootnoteReference"/>
          <w:rFonts w:asciiTheme="majorHAnsi" w:hAnsiTheme="majorHAnsi"/>
          <w:color w:val="auto"/>
          <w:sz w:val="16"/>
          <w:szCs w:val="16"/>
        </w:rPr>
        <w:footnoteRef/>
      </w:r>
      <w:r w:rsidRPr="00ED56AB">
        <w:rPr>
          <w:rStyle w:val="FootnoteReference"/>
          <w:rFonts w:asciiTheme="majorHAnsi" w:hAnsiTheme="majorHAnsi"/>
          <w:color w:val="auto"/>
          <w:sz w:val="16"/>
          <w:szCs w:val="16"/>
        </w:rPr>
        <w:t xml:space="preserve"> </w:t>
      </w:r>
      <w:r w:rsidRPr="00ED56AB">
        <w:rPr>
          <w:rFonts w:asciiTheme="majorHAnsi" w:hAnsiTheme="majorHAnsi"/>
          <w:color w:val="auto"/>
          <w:sz w:val="16"/>
          <w:szCs w:val="16"/>
        </w:rPr>
        <w:t>Article IV of the American Declaration provides: “Every person has the right to freedom of investigation, of opinion, and of the expression and dissemination of ideas, by any medium whatsoever.”</w:t>
      </w:r>
    </w:p>
  </w:footnote>
  <w:footnote w:id="86">
    <w:p w14:paraId="2F46771E" w14:textId="77777777" w:rsidR="007E4368" w:rsidRPr="00ED56AB" w:rsidRDefault="007E4368" w:rsidP="00ED56AB">
      <w:pPr>
        <w:pStyle w:val="FootnoteText"/>
        <w:jc w:val="both"/>
        <w:rPr>
          <w:rFonts w:asciiTheme="majorHAnsi" w:hAnsiTheme="majorHAnsi"/>
          <w:sz w:val="16"/>
          <w:szCs w:val="16"/>
        </w:rPr>
      </w:pPr>
      <w:r w:rsidRPr="00ED56AB">
        <w:rPr>
          <w:rStyle w:val="FootnoteReference"/>
          <w:rFonts w:asciiTheme="majorHAnsi" w:hAnsiTheme="majorHAnsi"/>
          <w:sz w:val="16"/>
          <w:szCs w:val="16"/>
        </w:rPr>
        <w:footnoteRef/>
      </w:r>
      <w:r w:rsidRPr="00ED56AB">
        <w:rPr>
          <w:rFonts w:asciiTheme="majorHAnsi" w:hAnsiTheme="majorHAnsi"/>
          <w:sz w:val="16"/>
          <w:szCs w:val="16"/>
        </w:rPr>
        <w:t xml:space="preserve"> </w:t>
      </w:r>
      <w:r w:rsidRPr="00ED56AB">
        <w:rPr>
          <w:rFonts w:asciiTheme="majorHAnsi" w:hAnsiTheme="majorHAnsi"/>
          <w:i/>
          <w:sz w:val="16"/>
          <w:szCs w:val="16"/>
        </w:rPr>
        <w:t>See generally</w:t>
      </w:r>
      <w:r w:rsidRPr="00ED56AB">
        <w:rPr>
          <w:rFonts w:asciiTheme="majorHAnsi" w:hAnsiTheme="majorHAnsi"/>
          <w:sz w:val="16"/>
          <w:szCs w:val="16"/>
        </w:rPr>
        <w:t xml:space="preserve"> IACHR, The Inter-American Legal Framework Regarding the Right to Access to Information. December 30, 2009.</w:t>
      </w:r>
    </w:p>
  </w:footnote>
  <w:footnote w:id="87">
    <w:p w14:paraId="3D548281" w14:textId="77777777" w:rsidR="007E4368" w:rsidRPr="00ED56AB" w:rsidRDefault="007E4368" w:rsidP="00ED56AB">
      <w:pPr>
        <w:pStyle w:val="FootnoteText"/>
        <w:jc w:val="both"/>
        <w:rPr>
          <w:rFonts w:asciiTheme="majorHAnsi" w:hAnsiTheme="majorHAnsi"/>
          <w:sz w:val="16"/>
          <w:szCs w:val="16"/>
        </w:rPr>
      </w:pPr>
      <w:r w:rsidRPr="00ED56AB">
        <w:rPr>
          <w:rStyle w:val="FootnoteReference"/>
          <w:rFonts w:asciiTheme="majorHAnsi" w:hAnsiTheme="majorHAnsi"/>
          <w:sz w:val="16"/>
          <w:szCs w:val="16"/>
        </w:rPr>
        <w:footnoteRef/>
      </w:r>
      <w:r w:rsidRPr="00ED56AB">
        <w:rPr>
          <w:rFonts w:asciiTheme="majorHAnsi" w:hAnsiTheme="majorHAnsi"/>
          <w:sz w:val="16"/>
          <w:szCs w:val="16"/>
        </w:rPr>
        <w:t xml:space="preserve"> IACHR. Declaration of Principles on Freedom of Expression, </w:t>
      </w:r>
      <w:r>
        <w:rPr>
          <w:rFonts w:asciiTheme="majorHAnsi" w:hAnsiTheme="majorHAnsi"/>
          <w:sz w:val="16"/>
          <w:szCs w:val="16"/>
        </w:rPr>
        <w:t xml:space="preserve">Principle 3, </w:t>
      </w:r>
      <w:r w:rsidRPr="00ED56AB">
        <w:rPr>
          <w:rFonts w:asciiTheme="majorHAnsi" w:hAnsiTheme="majorHAnsi"/>
          <w:sz w:val="16"/>
          <w:szCs w:val="16"/>
        </w:rPr>
        <w:t>October 20, 2000.</w:t>
      </w:r>
    </w:p>
  </w:footnote>
  <w:footnote w:id="88">
    <w:p w14:paraId="6E1F6913"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No. 44/14, Case 12.873, Merits (Publication), Edgar Tamayo Arias, United States, July 17, 2014, para. 189.</w:t>
      </w:r>
    </w:p>
  </w:footnote>
  <w:footnote w:id="89">
    <w:p w14:paraId="460EF26A" w14:textId="77777777" w:rsidR="007E4368" w:rsidRPr="000A7DBA"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No. 44/14, Case 12.873, Merits (Publication), Edgar Tamayo Arias, United States, July 17, 2014, para. </w:t>
      </w:r>
      <w:r w:rsidRPr="000A7DBA">
        <w:rPr>
          <w:rFonts w:asciiTheme="majorHAnsi" w:hAnsiTheme="majorHAnsi"/>
          <w:color w:val="auto"/>
          <w:sz w:val="16"/>
          <w:szCs w:val="16"/>
        </w:rPr>
        <w:t>190.</w:t>
      </w:r>
    </w:p>
  </w:footnote>
  <w:footnote w:id="90">
    <w:p w14:paraId="4676B7BB"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Article I of the American Declaration provides: “</w:t>
      </w:r>
      <w:r w:rsidRPr="00ED56AB">
        <w:rPr>
          <w:rFonts w:asciiTheme="majorHAnsi" w:hAnsiTheme="majorHAnsi"/>
          <w:color w:val="auto"/>
          <w:sz w:val="16"/>
          <w:szCs w:val="16"/>
          <w:shd w:val="clear" w:color="auto" w:fill="FFFFFF"/>
        </w:rPr>
        <w:t>Every human being has the right to life, liberty and the security of his person.”</w:t>
      </w:r>
    </w:p>
  </w:footnote>
  <w:footnote w:id="91">
    <w:p w14:paraId="53735800"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See, </w:t>
      </w:r>
      <w:r w:rsidRPr="00ED56AB">
        <w:rPr>
          <w:rFonts w:asciiTheme="majorHAnsi" w:hAnsiTheme="majorHAnsi"/>
          <w:i/>
          <w:color w:val="auto"/>
          <w:sz w:val="16"/>
          <w:szCs w:val="16"/>
        </w:rPr>
        <w:t>mutatis mutandis</w:t>
      </w:r>
      <w:r w:rsidRPr="00ED56AB">
        <w:rPr>
          <w:rFonts w:asciiTheme="majorHAnsi" w:hAnsiTheme="majorHAnsi"/>
          <w:color w:val="auto"/>
          <w:sz w:val="16"/>
          <w:szCs w:val="16"/>
        </w:rPr>
        <w:t xml:space="preserve">, IACHR, Report No. 57/96, Case 11.139, William Andrews, United States, December 6, 1996. </w:t>
      </w:r>
    </w:p>
  </w:footnote>
  <w:footnote w:id="92">
    <w:p w14:paraId="0B03D464" w14:textId="77777777" w:rsidR="007E4368" w:rsidRPr="00ED56AB" w:rsidRDefault="007E4368" w:rsidP="00ED56AB">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No. 53/13, Case 12.864, Merits (Publication), Ivan Teleguz, United States, July 15, 2013, para. 129.</w:t>
      </w:r>
    </w:p>
  </w:footnote>
  <w:footnote w:id="93">
    <w:p w14:paraId="2CF7B262" w14:textId="77777777" w:rsidR="007E4368" w:rsidRPr="00700471" w:rsidRDefault="007E4368" w:rsidP="0059770B">
      <w:pPr>
        <w:pStyle w:val="FootnoteText"/>
        <w:jc w:val="both"/>
        <w:rPr>
          <w:rFonts w:asciiTheme="majorHAnsi" w:hAnsiTheme="majorHAnsi"/>
          <w:color w:val="auto"/>
          <w:sz w:val="16"/>
          <w:szCs w:val="16"/>
        </w:rPr>
      </w:pPr>
      <w:r w:rsidRPr="00700471">
        <w:rPr>
          <w:rStyle w:val="FootnoteReference"/>
          <w:rFonts w:asciiTheme="majorHAnsi" w:hAnsiTheme="majorHAnsi"/>
          <w:color w:val="auto"/>
          <w:sz w:val="16"/>
          <w:szCs w:val="16"/>
        </w:rPr>
        <w:footnoteRef/>
      </w:r>
      <w:r w:rsidRPr="00700471">
        <w:rPr>
          <w:rFonts w:asciiTheme="majorHAnsi" w:hAnsiTheme="majorHAnsi"/>
          <w:color w:val="auto"/>
          <w:sz w:val="16"/>
          <w:szCs w:val="16"/>
        </w:rPr>
        <w:t xml:space="preserve"> IACHR, Report No. 11/15, Case 12.833, Merits (Publication), Félix Rocha Díaz, United States, March 23, 2015, para. 106.</w:t>
      </w:r>
    </w:p>
  </w:footnote>
  <w:footnote w:id="94">
    <w:p w14:paraId="358319F7" w14:textId="77777777" w:rsidR="007E4368" w:rsidRPr="00700471" w:rsidRDefault="007E4368" w:rsidP="0030197A">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rPr>
      </w:pPr>
      <w:r w:rsidRPr="00700471">
        <w:rPr>
          <w:rStyle w:val="FootnoteReference"/>
          <w:rFonts w:asciiTheme="majorHAnsi" w:hAnsiTheme="majorHAnsi"/>
          <w:color w:val="auto"/>
          <w:sz w:val="16"/>
          <w:szCs w:val="16"/>
        </w:rPr>
        <w:footnoteRef/>
      </w:r>
      <w:r w:rsidRPr="00700471">
        <w:rPr>
          <w:rFonts w:asciiTheme="majorHAnsi" w:hAnsiTheme="majorHAnsi"/>
          <w:color w:val="auto"/>
          <w:sz w:val="16"/>
          <w:szCs w:val="16"/>
        </w:rPr>
        <w:t xml:space="preserve"> See in this regard, IACHR, The death penalty in the Inter-American Human Rights System: From restrictions to abolition, OEA/Ser.L/V/II.Doc 68, December 31, 2011.</w:t>
      </w:r>
    </w:p>
  </w:footnote>
  <w:footnote w:id="95">
    <w:p w14:paraId="0187F3B3" w14:textId="77777777" w:rsidR="007E4368" w:rsidRPr="00136DF6" w:rsidRDefault="007E4368" w:rsidP="00136DF6">
      <w:pPr>
        <w:pStyle w:val="FootnoteText"/>
        <w:jc w:val="both"/>
        <w:rPr>
          <w:rFonts w:asciiTheme="majorHAnsi" w:hAnsiTheme="majorHAnsi"/>
          <w:sz w:val="16"/>
          <w:szCs w:val="16"/>
        </w:rPr>
      </w:pPr>
      <w:r w:rsidRPr="00136DF6">
        <w:rPr>
          <w:rStyle w:val="FootnoteReference"/>
          <w:rFonts w:asciiTheme="majorHAnsi" w:hAnsiTheme="majorHAnsi"/>
          <w:sz w:val="16"/>
          <w:szCs w:val="16"/>
        </w:rPr>
        <w:footnoteRef/>
      </w:r>
      <w:r w:rsidRPr="00136DF6">
        <w:rPr>
          <w:rFonts w:asciiTheme="majorHAnsi" w:hAnsiTheme="majorHAnsi"/>
          <w:sz w:val="16"/>
          <w:szCs w:val="16"/>
        </w:rPr>
        <w:t xml:space="preserve"> U.S. Department of Justice. Justice News. Federal Government to Resume Capital Punishment After Nearly Two Decade Lapse. July 25, 2019. Available at: </w:t>
      </w:r>
      <w:hyperlink r:id="rId6" w:history="1">
        <w:r w:rsidRPr="00136DF6">
          <w:rPr>
            <w:rStyle w:val="Hyperlink"/>
            <w:rFonts w:asciiTheme="majorHAnsi" w:hAnsiTheme="majorHAnsi"/>
            <w:sz w:val="16"/>
            <w:szCs w:val="16"/>
          </w:rPr>
          <w:t>https://www.justice.gov/opa/pr/federal-government-resume-capital-punishment-after-nearly-two-decade-lapse</w:t>
        </w:r>
      </w:hyperlink>
      <w:r w:rsidRPr="00136DF6">
        <w:rPr>
          <w:rFonts w:asciiTheme="majorHAnsi" w:hAnsiTheme="majorHAnsi"/>
          <w:sz w:val="16"/>
          <w:szCs w:val="16"/>
        </w:rPr>
        <w:t xml:space="preserve"> </w:t>
      </w:r>
    </w:p>
  </w:footnote>
  <w:footnote w:id="96">
    <w:p w14:paraId="579CBAC5" w14:textId="77777777" w:rsidR="009C78F9" w:rsidRPr="00276646" w:rsidRDefault="009C78F9" w:rsidP="009C78F9">
      <w:pPr>
        <w:pStyle w:val="FootnoteText"/>
        <w:rPr>
          <w:rFonts w:asciiTheme="majorHAnsi" w:hAnsiTheme="majorHAnsi"/>
          <w:sz w:val="16"/>
          <w:szCs w:val="16"/>
          <w:highlight w:val="yellow"/>
        </w:rPr>
      </w:pPr>
      <w:r w:rsidRPr="00276646">
        <w:rPr>
          <w:rStyle w:val="FootnoteReference"/>
          <w:rFonts w:asciiTheme="majorHAnsi" w:hAnsiTheme="majorHAnsi"/>
          <w:sz w:val="16"/>
          <w:szCs w:val="16"/>
          <w:lang w:val="es-ES"/>
        </w:rPr>
        <w:footnoteRef/>
      </w:r>
      <w:r w:rsidRPr="00276646">
        <w:rPr>
          <w:rFonts w:asciiTheme="majorHAnsi" w:hAnsiTheme="majorHAnsi"/>
          <w:sz w:val="16"/>
          <w:szCs w:val="16"/>
        </w:rPr>
        <w:t xml:space="preserve"> IACHR. Report No. 44/14, Case 12.873. Merits (Publication). Edgar Tamayo Arias. United States. July 17, 2014, para. 189.</w:t>
      </w:r>
    </w:p>
  </w:footnote>
  <w:footnote w:id="97">
    <w:p w14:paraId="32B5FFDE" w14:textId="77777777" w:rsidR="00373D5A" w:rsidRPr="00276646" w:rsidRDefault="00373D5A" w:rsidP="0045757F">
      <w:pPr>
        <w:pStyle w:val="FootnoteText"/>
        <w:jc w:val="both"/>
        <w:rPr>
          <w:rFonts w:asciiTheme="majorHAnsi" w:hAnsiTheme="majorHAnsi" w:cs="Arabic Typesetting"/>
          <w:sz w:val="16"/>
          <w:szCs w:val="16"/>
        </w:rPr>
      </w:pPr>
      <w:r w:rsidRPr="00276646">
        <w:rPr>
          <w:rStyle w:val="FootnoteReference"/>
          <w:rFonts w:asciiTheme="majorHAnsi" w:hAnsiTheme="majorHAnsi" w:cs="Arabic Typesetting"/>
          <w:sz w:val="16"/>
          <w:szCs w:val="16"/>
        </w:rPr>
        <w:footnoteRef/>
      </w:r>
      <w:r w:rsidRPr="00276646">
        <w:rPr>
          <w:rFonts w:asciiTheme="majorHAnsi" w:hAnsiTheme="majorHAnsi" w:cs="Arabic Typesetting"/>
          <w:sz w:val="16"/>
          <w:szCs w:val="16"/>
        </w:rPr>
        <w:t xml:space="preserve"> </w:t>
      </w:r>
      <w:r w:rsidR="0045757F" w:rsidRPr="00276646">
        <w:rPr>
          <w:rFonts w:asciiTheme="majorHAnsi" w:hAnsiTheme="majorHAnsi" w:cs="Arabic Typesetting"/>
          <w:sz w:val="16"/>
          <w:szCs w:val="16"/>
        </w:rPr>
        <w:t xml:space="preserve">IACHR. Press Release No. 201/19. </w:t>
      </w:r>
      <w:hyperlink r:id="rId7" w:history="1">
        <w:r w:rsidR="0045757F" w:rsidRPr="00276646">
          <w:rPr>
            <w:rStyle w:val="Hyperlink"/>
            <w:rFonts w:asciiTheme="majorHAnsi" w:hAnsiTheme="majorHAnsi" w:cs="Arabic Typesetting"/>
            <w:sz w:val="16"/>
            <w:szCs w:val="16"/>
          </w:rPr>
          <w:t>IACHR expresses its profound concern for the reinstatement of the death penalty at the federal level in the United States</w:t>
        </w:r>
      </w:hyperlink>
      <w:r w:rsidR="0045757F" w:rsidRPr="00276646">
        <w:rPr>
          <w:rFonts w:asciiTheme="majorHAnsi" w:hAnsiTheme="majorHAnsi" w:cs="Arabic Typesetting"/>
          <w:sz w:val="16"/>
          <w:szCs w:val="16"/>
        </w:rPr>
        <w:t>. August 15, 2019.</w:t>
      </w:r>
    </w:p>
  </w:footnote>
  <w:footnote w:id="98">
    <w:p w14:paraId="0B25C6F6" w14:textId="77777777" w:rsidR="007E4368" w:rsidRPr="00C55378" w:rsidRDefault="007E4368">
      <w:pPr>
        <w:pStyle w:val="FootnoteText"/>
      </w:pPr>
      <w:r w:rsidRPr="00C55378">
        <w:rPr>
          <w:rStyle w:val="FootnoteReference"/>
          <w:rFonts w:asciiTheme="majorHAnsi" w:hAnsiTheme="majorHAnsi"/>
          <w:color w:val="auto"/>
          <w:sz w:val="16"/>
          <w:szCs w:val="16"/>
        </w:rPr>
        <w:footnoteRef/>
      </w:r>
      <w:r w:rsidRPr="00C55378">
        <w:rPr>
          <w:rStyle w:val="FootnoteReference"/>
          <w:rFonts w:asciiTheme="majorHAnsi" w:hAnsiTheme="majorHAnsi"/>
          <w:color w:val="auto"/>
          <w:sz w:val="16"/>
          <w:szCs w:val="16"/>
        </w:rPr>
        <w:t xml:space="preserve"> </w:t>
      </w:r>
      <w:r w:rsidRPr="00ED56AB">
        <w:rPr>
          <w:rFonts w:asciiTheme="majorHAnsi" w:hAnsiTheme="majorHAnsi"/>
          <w:sz w:val="16"/>
          <w:szCs w:val="16"/>
        </w:rPr>
        <w:t>IACHR, Report No. 24/17, Case 12.254. Merits. Victor Saldaño. United States. March 18, 2017, para.</w:t>
      </w:r>
      <w:r>
        <w:rPr>
          <w:rFonts w:asciiTheme="majorHAnsi" w:hAnsiTheme="majorHAnsi"/>
          <w:sz w:val="16"/>
          <w:szCs w:val="16"/>
        </w:rPr>
        <w:t xml:space="preserve"> 269.</w:t>
      </w:r>
    </w:p>
  </w:footnote>
  <w:footnote w:id="99">
    <w:p w14:paraId="434E80A4" w14:textId="77777777" w:rsidR="007E4368" w:rsidRPr="00700471" w:rsidRDefault="007E4368" w:rsidP="0059770B">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rPr>
      </w:pPr>
      <w:r w:rsidRPr="00700471">
        <w:rPr>
          <w:rStyle w:val="FootnoteReference"/>
          <w:rFonts w:asciiTheme="majorHAnsi" w:hAnsiTheme="majorHAnsi"/>
          <w:color w:val="auto"/>
          <w:sz w:val="16"/>
          <w:szCs w:val="16"/>
        </w:rPr>
        <w:footnoteRef/>
      </w:r>
      <w:r w:rsidRPr="00700471">
        <w:rPr>
          <w:rFonts w:asciiTheme="majorHAnsi" w:hAnsiTheme="majorHAnsi"/>
          <w:color w:val="auto"/>
          <w:sz w:val="16"/>
          <w:szCs w:val="16"/>
        </w:rPr>
        <w:t xml:space="preserve"> See in this regard, IACHR, The death penalty in the Inter-American Human Rights System: From restrictions to abolition, OEA/Ser.L/V/II.Doc 68, December 31,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F4CF" w14:textId="77777777" w:rsidR="007E4368" w:rsidRDefault="007E4368" w:rsidP="00C1470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33A7780" w14:textId="77777777" w:rsidR="007E4368" w:rsidRDefault="007E4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1E90" w14:textId="77777777" w:rsidR="007E4368" w:rsidRDefault="007E4368" w:rsidP="002C1641">
    <w:pPr>
      <w:pStyle w:val="Header"/>
      <w:tabs>
        <w:tab w:val="clear" w:pos="4320"/>
        <w:tab w:val="clear" w:pos="8640"/>
      </w:tabs>
      <w:jc w:val="center"/>
      <w:rPr>
        <w:sz w:val="22"/>
        <w:szCs w:val="22"/>
      </w:rPr>
    </w:pPr>
    <w:r>
      <w:rPr>
        <w:noProof/>
        <w:sz w:val="22"/>
        <w:szCs w:val="22"/>
      </w:rPr>
      <w:drawing>
        <wp:inline distT="0" distB="0" distL="0" distR="0" wp14:anchorId="34230F68" wp14:editId="4012CF70">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A075B93" w14:textId="77777777" w:rsidR="007E4368" w:rsidRPr="00EC7D62" w:rsidRDefault="006E3F74" w:rsidP="002C1641">
    <w:pPr>
      <w:pStyle w:val="Header"/>
      <w:tabs>
        <w:tab w:val="clear" w:pos="4320"/>
        <w:tab w:val="clear" w:pos="8640"/>
      </w:tabs>
      <w:jc w:val="center"/>
      <w:rPr>
        <w:sz w:val="22"/>
        <w:szCs w:val="22"/>
      </w:rPr>
    </w:pPr>
    <w:r>
      <w:rPr>
        <w:noProof/>
        <w:sz w:val="22"/>
        <w:szCs w:val="22"/>
        <w:bdr w:val="nil"/>
      </w:rPr>
      <w:pict w14:anchorId="2CACE08B">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4C32763"/>
    <w:multiLevelType w:val="hybridMultilevel"/>
    <w:tmpl w:val="7D301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BB09CE"/>
    <w:multiLevelType w:val="hybridMultilevel"/>
    <w:tmpl w:val="0B5AF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45C1A68"/>
    <w:multiLevelType w:val="hybridMultilevel"/>
    <w:tmpl w:val="502652AC"/>
    <w:lvl w:ilvl="0" w:tplc="54FE0348">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B66050"/>
    <w:multiLevelType w:val="hybridMultilevel"/>
    <w:tmpl w:val="FD52EF74"/>
    <w:lvl w:ilvl="0" w:tplc="BCA0C818">
      <w:start w:val="1"/>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4E17DD"/>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5D31B9A"/>
    <w:multiLevelType w:val="hybridMultilevel"/>
    <w:tmpl w:val="94DC54F4"/>
    <w:lvl w:ilvl="0" w:tplc="F704ED20">
      <w:start w:val="1"/>
      <w:numFmt w:val="decimal"/>
      <w:lvlText w:val="%1."/>
      <w:lvlJc w:val="left"/>
      <w:pPr>
        <w:ind w:left="720" w:hanging="360"/>
      </w:pPr>
      <w:rPr>
        <w:rFonts w:ascii="Cambria" w:hAnsi="Cambria"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7C0422"/>
    <w:multiLevelType w:val="hybridMultilevel"/>
    <w:tmpl w:val="D1A06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C37724"/>
    <w:multiLevelType w:val="hybridMultilevel"/>
    <w:tmpl w:val="F32A5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FE25FBB"/>
    <w:multiLevelType w:val="hybridMultilevel"/>
    <w:tmpl w:val="0B5AF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24A2B98"/>
    <w:multiLevelType w:val="hybridMultilevel"/>
    <w:tmpl w:val="F7647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5D7D4B9D"/>
    <w:multiLevelType w:val="hybridMultilevel"/>
    <w:tmpl w:val="94DC54F4"/>
    <w:lvl w:ilvl="0" w:tplc="F704ED20">
      <w:start w:val="1"/>
      <w:numFmt w:val="decimal"/>
      <w:lvlText w:val="%1."/>
      <w:lvlJc w:val="left"/>
      <w:pPr>
        <w:ind w:left="720" w:hanging="360"/>
      </w:pPr>
      <w:rPr>
        <w:rFonts w:ascii="Cambria" w:hAnsi="Cambria"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63767A48"/>
    <w:multiLevelType w:val="hybridMultilevel"/>
    <w:tmpl w:val="D8F0FF18"/>
    <w:lvl w:ilvl="0" w:tplc="A5D2DF80">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745554A"/>
    <w:multiLevelType w:val="hybridMultilevel"/>
    <w:tmpl w:val="742AE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63"/>
  </w:num>
  <w:num w:numId="4">
    <w:abstractNumId w:val="24"/>
  </w:num>
  <w:num w:numId="5">
    <w:abstractNumId w:val="55"/>
  </w:num>
  <w:num w:numId="6">
    <w:abstractNumId w:val="30"/>
  </w:num>
  <w:num w:numId="7">
    <w:abstractNumId w:val="6"/>
  </w:num>
  <w:num w:numId="8">
    <w:abstractNumId w:val="18"/>
  </w:num>
  <w:num w:numId="9">
    <w:abstractNumId w:val="48"/>
  </w:num>
  <w:num w:numId="10">
    <w:abstractNumId w:val="0"/>
  </w:num>
  <w:num w:numId="11">
    <w:abstractNumId w:val="41"/>
  </w:num>
  <w:num w:numId="12">
    <w:abstractNumId w:val="42"/>
  </w:num>
  <w:num w:numId="13">
    <w:abstractNumId w:val="50"/>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6"/>
  </w:num>
  <w:num w:numId="24">
    <w:abstractNumId w:val="17"/>
  </w:num>
  <w:num w:numId="25">
    <w:abstractNumId w:val="19"/>
  </w:num>
  <w:num w:numId="26">
    <w:abstractNumId w:val="20"/>
  </w:num>
  <w:num w:numId="27">
    <w:abstractNumId w:val="25"/>
  </w:num>
  <w:num w:numId="28">
    <w:abstractNumId w:val="26"/>
  </w:num>
  <w:num w:numId="29">
    <w:abstractNumId w:val="27"/>
  </w:num>
  <w:num w:numId="30">
    <w:abstractNumId w:val="29"/>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8"/>
  </w:num>
  <w:num w:numId="38">
    <w:abstractNumId w:val="39"/>
  </w:num>
  <w:num w:numId="39">
    <w:abstractNumId w:val="43"/>
  </w:num>
  <w:num w:numId="40">
    <w:abstractNumId w:val="45"/>
  </w:num>
  <w:num w:numId="41">
    <w:abstractNumId w:val="53"/>
  </w:num>
  <w:num w:numId="42">
    <w:abstractNumId w:val="57"/>
  </w:num>
  <w:num w:numId="43">
    <w:abstractNumId w:val="58"/>
  </w:num>
  <w:num w:numId="44">
    <w:abstractNumId w:val="60"/>
  </w:num>
  <w:num w:numId="45">
    <w:abstractNumId w:val="62"/>
  </w:num>
  <w:num w:numId="46">
    <w:abstractNumId w:val="64"/>
  </w:num>
  <w:num w:numId="47">
    <w:abstractNumId w:val="65"/>
  </w:num>
  <w:num w:numId="48">
    <w:abstractNumId w:val="66"/>
  </w:num>
  <w:num w:numId="49">
    <w:abstractNumId w:val="67"/>
  </w:num>
  <w:num w:numId="50">
    <w:abstractNumId w:val="68"/>
  </w:num>
  <w:num w:numId="51">
    <w:abstractNumId w:val="22"/>
  </w:num>
  <w:num w:numId="52">
    <w:abstractNumId w:val="46"/>
  </w:num>
  <w:num w:numId="53">
    <w:abstractNumId w:val="59"/>
  </w:num>
  <w:num w:numId="54">
    <w:abstractNumId w:val="51"/>
  </w:num>
  <w:num w:numId="55">
    <w:abstractNumId w:val="52"/>
  </w:num>
  <w:num w:numId="56">
    <w:abstractNumId w:val="21"/>
  </w:num>
  <w:num w:numId="57">
    <w:abstractNumId w:val="49"/>
  </w:num>
  <w:num w:numId="58">
    <w:abstractNumId w:val="15"/>
  </w:num>
  <w:num w:numId="59">
    <w:abstractNumId w:val="54"/>
  </w:num>
  <w:num w:numId="60">
    <w:abstractNumId w:val="56"/>
  </w:num>
  <w:num w:numId="61">
    <w:abstractNumId w:val="47"/>
  </w:num>
  <w:num w:numId="62">
    <w:abstractNumId w:val="61"/>
  </w:num>
  <w:num w:numId="63">
    <w:abstractNumId w:val="40"/>
  </w:num>
  <w:num w:numId="64">
    <w:abstractNumId w:val="37"/>
  </w:num>
  <w:num w:numId="65">
    <w:abstractNumId w:val="5"/>
  </w:num>
  <w:num w:numId="66">
    <w:abstractNumId w:val="23"/>
  </w:num>
  <w:num w:numId="67">
    <w:abstractNumId w:val="28"/>
  </w:num>
  <w:num w:numId="68">
    <w:abstractNumId w:val="59"/>
  </w:num>
  <w:num w:numId="69">
    <w:abstractNumId w:val="59"/>
  </w:num>
  <w:num w:numId="70">
    <w:abstractNumId w:val="59"/>
  </w:num>
  <w:num w:numId="71">
    <w:abstractNumId w:val="59"/>
  </w:num>
  <w:num w:numId="72">
    <w:abstractNumId w:val="59"/>
    <w:lvlOverride w:ilvl="0">
      <w:startOverride w:val="1"/>
    </w:lvlOverride>
  </w:num>
  <w:num w:numId="73">
    <w:abstractNumId w:val="59"/>
  </w:num>
  <w:num w:numId="74">
    <w:abstractNumId w:val="44"/>
  </w:num>
  <w:num w:numId="75">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132"/>
    <w:rsid w:val="00001B5B"/>
    <w:rsid w:val="000050CC"/>
    <w:rsid w:val="000070D7"/>
    <w:rsid w:val="00007B4D"/>
    <w:rsid w:val="00010877"/>
    <w:rsid w:val="00010A7E"/>
    <w:rsid w:val="000111A8"/>
    <w:rsid w:val="00011EB8"/>
    <w:rsid w:val="00012470"/>
    <w:rsid w:val="00012683"/>
    <w:rsid w:val="00012ADD"/>
    <w:rsid w:val="00012E4F"/>
    <w:rsid w:val="00015F42"/>
    <w:rsid w:val="00017552"/>
    <w:rsid w:val="0001788C"/>
    <w:rsid w:val="00021201"/>
    <w:rsid w:val="00024730"/>
    <w:rsid w:val="000265CB"/>
    <w:rsid w:val="0002681D"/>
    <w:rsid w:val="00030834"/>
    <w:rsid w:val="0003324D"/>
    <w:rsid w:val="000332F4"/>
    <w:rsid w:val="00036A8A"/>
    <w:rsid w:val="00040C3A"/>
    <w:rsid w:val="0004390C"/>
    <w:rsid w:val="000459E0"/>
    <w:rsid w:val="0004761C"/>
    <w:rsid w:val="00047F35"/>
    <w:rsid w:val="000516F4"/>
    <w:rsid w:val="000517B2"/>
    <w:rsid w:val="000520FB"/>
    <w:rsid w:val="00054E1B"/>
    <w:rsid w:val="0005746C"/>
    <w:rsid w:val="000576AA"/>
    <w:rsid w:val="00057D4F"/>
    <w:rsid w:val="00057EDB"/>
    <w:rsid w:val="0006097A"/>
    <w:rsid w:val="00062C0F"/>
    <w:rsid w:val="00062FEC"/>
    <w:rsid w:val="000639C0"/>
    <w:rsid w:val="000657E1"/>
    <w:rsid w:val="000679BC"/>
    <w:rsid w:val="00070F3A"/>
    <w:rsid w:val="0007127E"/>
    <w:rsid w:val="000716C5"/>
    <w:rsid w:val="00071E45"/>
    <w:rsid w:val="00074669"/>
    <w:rsid w:val="00075E23"/>
    <w:rsid w:val="000764E3"/>
    <w:rsid w:val="00080249"/>
    <w:rsid w:val="00081EC3"/>
    <w:rsid w:val="000830D5"/>
    <w:rsid w:val="00084A11"/>
    <w:rsid w:val="00084C5B"/>
    <w:rsid w:val="00085F65"/>
    <w:rsid w:val="00090720"/>
    <w:rsid w:val="00091707"/>
    <w:rsid w:val="000922C5"/>
    <w:rsid w:val="00092F32"/>
    <w:rsid w:val="00093055"/>
    <w:rsid w:val="0009344A"/>
    <w:rsid w:val="00094AFA"/>
    <w:rsid w:val="00095575"/>
    <w:rsid w:val="0009575D"/>
    <w:rsid w:val="000A254B"/>
    <w:rsid w:val="000A3276"/>
    <w:rsid w:val="000A3E84"/>
    <w:rsid w:val="000A4138"/>
    <w:rsid w:val="000A575F"/>
    <w:rsid w:val="000A5B0F"/>
    <w:rsid w:val="000A650D"/>
    <w:rsid w:val="000A72E9"/>
    <w:rsid w:val="000A7DBA"/>
    <w:rsid w:val="000B25FC"/>
    <w:rsid w:val="000B405D"/>
    <w:rsid w:val="000B44FC"/>
    <w:rsid w:val="000B478D"/>
    <w:rsid w:val="000B4DAF"/>
    <w:rsid w:val="000B6BBC"/>
    <w:rsid w:val="000C1B5A"/>
    <w:rsid w:val="000C3B09"/>
    <w:rsid w:val="000C6FFD"/>
    <w:rsid w:val="000D10DB"/>
    <w:rsid w:val="000D1FC7"/>
    <w:rsid w:val="000D3921"/>
    <w:rsid w:val="000D3B27"/>
    <w:rsid w:val="000D5691"/>
    <w:rsid w:val="000D6817"/>
    <w:rsid w:val="000D6EEF"/>
    <w:rsid w:val="000E1356"/>
    <w:rsid w:val="000E44C7"/>
    <w:rsid w:val="000E56C3"/>
    <w:rsid w:val="000E69B3"/>
    <w:rsid w:val="000E6EDD"/>
    <w:rsid w:val="000E7140"/>
    <w:rsid w:val="000E7ED0"/>
    <w:rsid w:val="000E7F69"/>
    <w:rsid w:val="000F0EEC"/>
    <w:rsid w:val="000F4D36"/>
    <w:rsid w:val="000F7409"/>
    <w:rsid w:val="001032AB"/>
    <w:rsid w:val="00104896"/>
    <w:rsid w:val="00106990"/>
    <w:rsid w:val="00112617"/>
    <w:rsid w:val="00115009"/>
    <w:rsid w:val="00123ECD"/>
    <w:rsid w:val="0013104F"/>
    <w:rsid w:val="001313C9"/>
    <w:rsid w:val="0013178F"/>
    <w:rsid w:val="00131B01"/>
    <w:rsid w:val="0013403C"/>
    <w:rsid w:val="00134FF0"/>
    <w:rsid w:val="00135C62"/>
    <w:rsid w:val="00136DF6"/>
    <w:rsid w:val="00137EBA"/>
    <w:rsid w:val="00141DEA"/>
    <w:rsid w:val="00142AE8"/>
    <w:rsid w:val="00143EB9"/>
    <w:rsid w:val="00145EDC"/>
    <w:rsid w:val="001503E0"/>
    <w:rsid w:val="00150D3B"/>
    <w:rsid w:val="00154179"/>
    <w:rsid w:val="001577B2"/>
    <w:rsid w:val="00162AAD"/>
    <w:rsid w:val="00162CEF"/>
    <w:rsid w:val="001638DF"/>
    <w:rsid w:val="0016465A"/>
    <w:rsid w:val="00167A34"/>
    <w:rsid w:val="00171725"/>
    <w:rsid w:val="001739F5"/>
    <w:rsid w:val="001747B4"/>
    <w:rsid w:val="00175827"/>
    <w:rsid w:val="0018037F"/>
    <w:rsid w:val="001805B4"/>
    <w:rsid w:val="00180D3C"/>
    <w:rsid w:val="00180E3B"/>
    <w:rsid w:val="001829D6"/>
    <w:rsid w:val="00182F27"/>
    <w:rsid w:val="00184083"/>
    <w:rsid w:val="00184C6F"/>
    <w:rsid w:val="00190214"/>
    <w:rsid w:val="0019332D"/>
    <w:rsid w:val="001937A5"/>
    <w:rsid w:val="001A2434"/>
    <w:rsid w:val="001A5F27"/>
    <w:rsid w:val="001A7870"/>
    <w:rsid w:val="001B17B9"/>
    <w:rsid w:val="001B3279"/>
    <w:rsid w:val="001B4974"/>
    <w:rsid w:val="001B5F45"/>
    <w:rsid w:val="001C04BF"/>
    <w:rsid w:val="001C1B41"/>
    <w:rsid w:val="001C2003"/>
    <w:rsid w:val="001C38BC"/>
    <w:rsid w:val="001C4006"/>
    <w:rsid w:val="001C48AF"/>
    <w:rsid w:val="001C6E0E"/>
    <w:rsid w:val="001D1A17"/>
    <w:rsid w:val="001D1FC1"/>
    <w:rsid w:val="001D59B1"/>
    <w:rsid w:val="001E0270"/>
    <w:rsid w:val="001E10CA"/>
    <w:rsid w:val="001E2867"/>
    <w:rsid w:val="001E3060"/>
    <w:rsid w:val="001E3F3E"/>
    <w:rsid w:val="001E4D7D"/>
    <w:rsid w:val="001E5A1A"/>
    <w:rsid w:val="001E699E"/>
    <w:rsid w:val="001E6C37"/>
    <w:rsid w:val="001F0B72"/>
    <w:rsid w:val="001F3B00"/>
    <w:rsid w:val="001F62D9"/>
    <w:rsid w:val="001F7984"/>
    <w:rsid w:val="00202A19"/>
    <w:rsid w:val="002056C8"/>
    <w:rsid w:val="0021055A"/>
    <w:rsid w:val="00210E0E"/>
    <w:rsid w:val="0021591D"/>
    <w:rsid w:val="00215CE2"/>
    <w:rsid w:val="002226AA"/>
    <w:rsid w:val="00225375"/>
    <w:rsid w:val="002256AE"/>
    <w:rsid w:val="002277C3"/>
    <w:rsid w:val="0023061B"/>
    <w:rsid w:val="00231CD1"/>
    <w:rsid w:val="002351E7"/>
    <w:rsid w:val="0024070A"/>
    <w:rsid w:val="0024247E"/>
    <w:rsid w:val="00242B23"/>
    <w:rsid w:val="00246E7D"/>
    <w:rsid w:val="00247019"/>
    <w:rsid w:val="00247403"/>
    <w:rsid w:val="00247542"/>
    <w:rsid w:val="00250662"/>
    <w:rsid w:val="00250F42"/>
    <w:rsid w:val="002552DF"/>
    <w:rsid w:val="0025532E"/>
    <w:rsid w:val="00256D45"/>
    <w:rsid w:val="00257893"/>
    <w:rsid w:val="0026109F"/>
    <w:rsid w:val="00261687"/>
    <w:rsid w:val="002626A2"/>
    <w:rsid w:val="00262ECA"/>
    <w:rsid w:val="00263B2B"/>
    <w:rsid w:val="00264033"/>
    <w:rsid w:val="00266092"/>
    <w:rsid w:val="00266B61"/>
    <w:rsid w:val="0026712A"/>
    <w:rsid w:val="00267891"/>
    <w:rsid w:val="00267EF0"/>
    <w:rsid w:val="002704DB"/>
    <w:rsid w:val="002704E0"/>
    <w:rsid w:val="00270C7A"/>
    <w:rsid w:val="00272854"/>
    <w:rsid w:val="00272F7D"/>
    <w:rsid w:val="00274F86"/>
    <w:rsid w:val="00275FC9"/>
    <w:rsid w:val="00276646"/>
    <w:rsid w:val="00276C31"/>
    <w:rsid w:val="0028111A"/>
    <w:rsid w:val="002869C6"/>
    <w:rsid w:val="002913A6"/>
    <w:rsid w:val="00292239"/>
    <w:rsid w:val="00292CEC"/>
    <w:rsid w:val="00293B75"/>
    <w:rsid w:val="00297288"/>
    <w:rsid w:val="0029754B"/>
    <w:rsid w:val="002A05B1"/>
    <w:rsid w:val="002A1C6E"/>
    <w:rsid w:val="002A1D6A"/>
    <w:rsid w:val="002A24D4"/>
    <w:rsid w:val="002A2720"/>
    <w:rsid w:val="002B008D"/>
    <w:rsid w:val="002B0BE7"/>
    <w:rsid w:val="002B110C"/>
    <w:rsid w:val="002B30E6"/>
    <w:rsid w:val="002B4B61"/>
    <w:rsid w:val="002C1641"/>
    <w:rsid w:val="002C3312"/>
    <w:rsid w:val="002C58D2"/>
    <w:rsid w:val="002C5A89"/>
    <w:rsid w:val="002D033F"/>
    <w:rsid w:val="002D4CA0"/>
    <w:rsid w:val="002D628F"/>
    <w:rsid w:val="002D7DC4"/>
    <w:rsid w:val="002D7EA2"/>
    <w:rsid w:val="002E03A4"/>
    <w:rsid w:val="002E10DC"/>
    <w:rsid w:val="002E15DF"/>
    <w:rsid w:val="002E187C"/>
    <w:rsid w:val="002E1CDE"/>
    <w:rsid w:val="002E349E"/>
    <w:rsid w:val="002E35D7"/>
    <w:rsid w:val="002E3C15"/>
    <w:rsid w:val="002E432F"/>
    <w:rsid w:val="002E61E7"/>
    <w:rsid w:val="002E6E57"/>
    <w:rsid w:val="002F2D41"/>
    <w:rsid w:val="002F3376"/>
    <w:rsid w:val="002F3598"/>
    <w:rsid w:val="002F414B"/>
    <w:rsid w:val="002F443F"/>
    <w:rsid w:val="002F5E45"/>
    <w:rsid w:val="002F6201"/>
    <w:rsid w:val="00301075"/>
    <w:rsid w:val="0030197A"/>
    <w:rsid w:val="00301F71"/>
    <w:rsid w:val="00302733"/>
    <w:rsid w:val="00304EED"/>
    <w:rsid w:val="0030600F"/>
    <w:rsid w:val="003112C6"/>
    <w:rsid w:val="00311556"/>
    <w:rsid w:val="00311A4F"/>
    <w:rsid w:val="00314078"/>
    <w:rsid w:val="00315905"/>
    <w:rsid w:val="00316559"/>
    <w:rsid w:val="00317255"/>
    <w:rsid w:val="00317E8A"/>
    <w:rsid w:val="00320402"/>
    <w:rsid w:val="00322398"/>
    <w:rsid w:val="00322450"/>
    <w:rsid w:val="003227ED"/>
    <w:rsid w:val="003246B5"/>
    <w:rsid w:val="003249CF"/>
    <w:rsid w:val="00326763"/>
    <w:rsid w:val="003267B5"/>
    <w:rsid w:val="00327501"/>
    <w:rsid w:val="00330196"/>
    <w:rsid w:val="00330E0E"/>
    <w:rsid w:val="00331687"/>
    <w:rsid w:val="0033169F"/>
    <w:rsid w:val="00332152"/>
    <w:rsid w:val="003330D2"/>
    <w:rsid w:val="00336085"/>
    <w:rsid w:val="00337C43"/>
    <w:rsid w:val="003407E0"/>
    <w:rsid w:val="003410A6"/>
    <w:rsid w:val="003414AC"/>
    <w:rsid w:val="003414E6"/>
    <w:rsid w:val="00342070"/>
    <w:rsid w:val="0035485A"/>
    <w:rsid w:val="00356185"/>
    <w:rsid w:val="00357D78"/>
    <w:rsid w:val="00360380"/>
    <w:rsid w:val="00361EB7"/>
    <w:rsid w:val="0036346A"/>
    <w:rsid w:val="00365D52"/>
    <w:rsid w:val="00370DD4"/>
    <w:rsid w:val="00371EFD"/>
    <w:rsid w:val="00372F8E"/>
    <w:rsid w:val="00373790"/>
    <w:rsid w:val="00373D5A"/>
    <w:rsid w:val="003741EF"/>
    <w:rsid w:val="003745F9"/>
    <w:rsid w:val="00374940"/>
    <w:rsid w:val="003759D2"/>
    <w:rsid w:val="00377AD8"/>
    <w:rsid w:val="00380A1D"/>
    <w:rsid w:val="0038209A"/>
    <w:rsid w:val="00382598"/>
    <w:rsid w:val="0038330F"/>
    <w:rsid w:val="00386CF0"/>
    <w:rsid w:val="00386FEA"/>
    <w:rsid w:val="00392571"/>
    <w:rsid w:val="00393C8E"/>
    <w:rsid w:val="00394A5D"/>
    <w:rsid w:val="00396106"/>
    <w:rsid w:val="003964BF"/>
    <w:rsid w:val="003A3C43"/>
    <w:rsid w:val="003A4790"/>
    <w:rsid w:val="003A485E"/>
    <w:rsid w:val="003A4B42"/>
    <w:rsid w:val="003A527A"/>
    <w:rsid w:val="003A52C9"/>
    <w:rsid w:val="003A6019"/>
    <w:rsid w:val="003A632E"/>
    <w:rsid w:val="003A71F1"/>
    <w:rsid w:val="003B6423"/>
    <w:rsid w:val="003B66DC"/>
    <w:rsid w:val="003C32BC"/>
    <w:rsid w:val="003C4BC0"/>
    <w:rsid w:val="003C6480"/>
    <w:rsid w:val="003D0D3E"/>
    <w:rsid w:val="003D2871"/>
    <w:rsid w:val="003D2C7F"/>
    <w:rsid w:val="003D40A7"/>
    <w:rsid w:val="003D4A67"/>
    <w:rsid w:val="003D51A2"/>
    <w:rsid w:val="003D5A38"/>
    <w:rsid w:val="003D5CD7"/>
    <w:rsid w:val="003D5F18"/>
    <w:rsid w:val="003D79BC"/>
    <w:rsid w:val="003E06A3"/>
    <w:rsid w:val="003E0852"/>
    <w:rsid w:val="003E2564"/>
    <w:rsid w:val="003E4E8A"/>
    <w:rsid w:val="003E68BB"/>
    <w:rsid w:val="003F0153"/>
    <w:rsid w:val="003F0434"/>
    <w:rsid w:val="003F1230"/>
    <w:rsid w:val="003F1BBF"/>
    <w:rsid w:val="003F6707"/>
    <w:rsid w:val="003F7161"/>
    <w:rsid w:val="00400EA4"/>
    <w:rsid w:val="00402146"/>
    <w:rsid w:val="004022E4"/>
    <w:rsid w:val="00404333"/>
    <w:rsid w:val="00404EFC"/>
    <w:rsid w:val="00405991"/>
    <w:rsid w:val="00406721"/>
    <w:rsid w:val="00406CB6"/>
    <w:rsid w:val="0040735D"/>
    <w:rsid w:val="00407F3D"/>
    <w:rsid w:val="00413B37"/>
    <w:rsid w:val="00415BAE"/>
    <w:rsid w:val="004165C2"/>
    <w:rsid w:val="00416872"/>
    <w:rsid w:val="00417263"/>
    <w:rsid w:val="00417356"/>
    <w:rsid w:val="0041797E"/>
    <w:rsid w:val="00426DB7"/>
    <w:rsid w:val="00427406"/>
    <w:rsid w:val="0042749C"/>
    <w:rsid w:val="00432731"/>
    <w:rsid w:val="00436C66"/>
    <w:rsid w:val="004413C0"/>
    <w:rsid w:val="00441D48"/>
    <w:rsid w:val="00442F23"/>
    <w:rsid w:val="00444596"/>
    <w:rsid w:val="00445C74"/>
    <w:rsid w:val="0044706E"/>
    <w:rsid w:val="00447B8F"/>
    <w:rsid w:val="00450A4A"/>
    <w:rsid w:val="00450D96"/>
    <w:rsid w:val="00453466"/>
    <w:rsid w:val="0045481D"/>
    <w:rsid w:val="00457228"/>
    <w:rsid w:val="0045757F"/>
    <w:rsid w:val="00457B89"/>
    <w:rsid w:val="0046041C"/>
    <w:rsid w:val="0046072C"/>
    <w:rsid w:val="0046208F"/>
    <w:rsid w:val="00462248"/>
    <w:rsid w:val="00462F9A"/>
    <w:rsid w:val="004666FB"/>
    <w:rsid w:val="00467B7E"/>
    <w:rsid w:val="0047006D"/>
    <w:rsid w:val="00471BC8"/>
    <w:rsid w:val="004730AF"/>
    <w:rsid w:val="004815EB"/>
    <w:rsid w:val="00482208"/>
    <w:rsid w:val="00483146"/>
    <w:rsid w:val="00484B2F"/>
    <w:rsid w:val="00484F80"/>
    <w:rsid w:val="004850C2"/>
    <w:rsid w:val="004907E1"/>
    <w:rsid w:val="00490BE7"/>
    <w:rsid w:val="0049419D"/>
    <w:rsid w:val="00495029"/>
    <w:rsid w:val="00495396"/>
    <w:rsid w:val="00495CD7"/>
    <w:rsid w:val="004962B8"/>
    <w:rsid w:val="00496687"/>
    <w:rsid w:val="00496C69"/>
    <w:rsid w:val="00496DBC"/>
    <w:rsid w:val="0049749D"/>
    <w:rsid w:val="004977D3"/>
    <w:rsid w:val="00497D68"/>
    <w:rsid w:val="004A17A5"/>
    <w:rsid w:val="004A1EEA"/>
    <w:rsid w:val="004A2280"/>
    <w:rsid w:val="004A37A5"/>
    <w:rsid w:val="004A3806"/>
    <w:rsid w:val="004A3DC4"/>
    <w:rsid w:val="004A4DB0"/>
    <w:rsid w:val="004A514F"/>
    <w:rsid w:val="004B2762"/>
    <w:rsid w:val="004B388C"/>
    <w:rsid w:val="004B45B7"/>
    <w:rsid w:val="004B4C1B"/>
    <w:rsid w:val="004B4E6F"/>
    <w:rsid w:val="004B6B2E"/>
    <w:rsid w:val="004B7EB6"/>
    <w:rsid w:val="004C17B4"/>
    <w:rsid w:val="004C4B62"/>
    <w:rsid w:val="004C77DC"/>
    <w:rsid w:val="004D0229"/>
    <w:rsid w:val="004D4782"/>
    <w:rsid w:val="004D4A6A"/>
    <w:rsid w:val="004D6025"/>
    <w:rsid w:val="004D657F"/>
    <w:rsid w:val="004D72BC"/>
    <w:rsid w:val="004D78B4"/>
    <w:rsid w:val="004E2452"/>
    <w:rsid w:val="004F0842"/>
    <w:rsid w:val="004F16E8"/>
    <w:rsid w:val="004F2694"/>
    <w:rsid w:val="004F2FC4"/>
    <w:rsid w:val="004F3905"/>
    <w:rsid w:val="004F441A"/>
    <w:rsid w:val="004F4C1C"/>
    <w:rsid w:val="004F530D"/>
    <w:rsid w:val="004F69EA"/>
    <w:rsid w:val="005008C7"/>
    <w:rsid w:val="00501399"/>
    <w:rsid w:val="00501DFB"/>
    <w:rsid w:val="00503C4C"/>
    <w:rsid w:val="0050536C"/>
    <w:rsid w:val="005066A4"/>
    <w:rsid w:val="00507534"/>
    <w:rsid w:val="00507BC4"/>
    <w:rsid w:val="00510311"/>
    <w:rsid w:val="005128E4"/>
    <w:rsid w:val="00512A35"/>
    <w:rsid w:val="00513229"/>
    <w:rsid w:val="005223AF"/>
    <w:rsid w:val="00523977"/>
    <w:rsid w:val="00524268"/>
    <w:rsid w:val="00525278"/>
    <w:rsid w:val="00525560"/>
    <w:rsid w:val="00525F05"/>
    <w:rsid w:val="005267AC"/>
    <w:rsid w:val="00530B2B"/>
    <w:rsid w:val="00531008"/>
    <w:rsid w:val="005325F6"/>
    <w:rsid w:val="005346E1"/>
    <w:rsid w:val="005357A6"/>
    <w:rsid w:val="0053592E"/>
    <w:rsid w:val="00535FF9"/>
    <w:rsid w:val="005366E5"/>
    <w:rsid w:val="005367D0"/>
    <w:rsid w:val="00536B9E"/>
    <w:rsid w:val="005401F2"/>
    <w:rsid w:val="005439C3"/>
    <w:rsid w:val="00544C49"/>
    <w:rsid w:val="005456B2"/>
    <w:rsid w:val="0054591A"/>
    <w:rsid w:val="00547EB7"/>
    <w:rsid w:val="00550141"/>
    <w:rsid w:val="0055160C"/>
    <w:rsid w:val="005531BB"/>
    <w:rsid w:val="0055322F"/>
    <w:rsid w:val="00554BAB"/>
    <w:rsid w:val="005557F2"/>
    <w:rsid w:val="00557C07"/>
    <w:rsid w:val="00562E4A"/>
    <w:rsid w:val="005633E7"/>
    <w:rsid w:val="005706EF"/>
    <w:rsid w:val="0057402A"/>
    <w:rsid w:val="00574148"/>
    <w:rsid w:val="005764DD"/>
    <w:rsid w:val="00576832"/>
    <w:rsid w:val="00576EEB"/>
    <w:rsid w:val="005771D0"/>
    <w:rsid w:val="00584C28"/>
    <w:rsid w:val="00590C43"/>
    <w:rsid w:val="005910C0"/>
    <w:rsid w:val="0059191A"/>
    <w:rsid w:val="00591B96"/>
    <w:rsid w:val="005921FF"/>
    <w:rsid w:val="005937E2"/>
    <w:rsid w:val="00596514"/>
    <w:rsid w:val="00596AD3"/>
    <w:rsid w:val="0059770B"/>
    <w:rsid w:val="005A0410"/>
    <w:rsid w:val="005A2E9B"/>
    <w:rsid w:val="005A6D0E"/>
    <w:rsid w:val="005A734E"/>
    <w:rsid w:val="005B222D"/>
    <w:rsid w:val="005B4672"/>
    <w:rsid w:val="005B52B0"/>
    <w:rsid w:val="005B67DE"/>
    <w:rsid w:val="005B6806"/>
    <w:rsid w:val="005C00F9"/>
    <w:rsid w:val="005C05FA"/>
    <w:rsid w:val="005C164F"/>
    <w:rsid w:val="005C1853"/>
    <w:rsid w:val="005C1D8E"/>
    <w:rsid w:val="005C23BD"/>
    <w:rsid w:val="005C3149"/>
    <w:rsid w:val="005C4225"/>
    <w:rsid w:val="005C4AF4"/>
    <w:rsid w:val="005D0AC5"/>
    <w:rsid w:val="005D0FBF"/>
    <w:rsid w:val="005D50AD"/>
    <w:rsid w:val="005D6A03"/>
    <w:rsid w:val="005D6B2C"/>
    <w:rsid w:val="005D7280"/>
    <w:rsid w:val="005E2BDE"/>
    <w:rsid w:val="005E5258"/>
    <w:rsid w:val="005E5419"/>
    <w:rsid w:val="005E69EC"/>
    <w:rsid w:val="005E6C0C"/>
    <w:rsid w:val="005E6EE3"/>
    <w:rsid w:val="005E74C5"/>
    <w:rsid w:val="005F0F33"/>
    <w:rsid w:val="005F1C54"/>
    <w:rsid w:val="005F2A0D"/>
    <w:rsid w:val="005F32A0"/>
    <w:rsid w:val="005F5456"/>
    <w:rsid w:val="005F7C35"/>
    <w:rsid w:val="0060040E"/>
    <w:rsid w:val="006005C1"/>
    <w:rsid w:val="00600DEB"/>
    <w:rsid w:val="00602146"/>
    <w:rsid w:val="00604B83"/>
    <w:rsid w:val="006112EF"/>
    <w:rsid w:val="00613027"/>
    <w:rsid w:val="00613120"/>
    <w:rsid w:val="00613A08"/>
    <w:rsid w:val="0061412F"/>
    <w:rsid w:val="00614153"/>
    <w:rsid w:val="00614AE8"/>
    <w:rsid w:val="00615073"/>
    <w:rsid w:val="00616320"/>
    <w:rsid w:val="006225B7"/>
    <w:rsid w:val="00623324"/>
    <w:rsid w:val="006238CB"/>
    <w:rsid w:val="006247DB"/>
    <w:rsid w:val="00626360"/>
    <w:rsid w:val="006279E6"/>
    <w:rsid w:val="00627A51"/>
    <w:rsid w:val="00627C9F"/>
    <w:rsid w:val="006307DF"/>
    <w:rsid w:val="00630B42"/>
    <w:rsid w:val="006311DA"/>
    <w:rsid w:val="006311E9"/>
    <w:rsid w:val="00632354"/>
    <w:rsid w:val="00632429"/>
    <w:rsid w:val="00632BF2"/>
    <w:rsid w:val="00636406"/>
    <w:rsid w:val="00636E0C"/>
    <w:rsid w:val="00637539"/>
    <w:rsid w:val="00637B7B"/>
    <w:rsid w:val="00637E84"/>
    <w:rsid w:val="006418C1"/>
    <w:rsid w:val="006420B7"/>
    <w:rsid w:val="00642810"/>
    <w:rsid w:val="006458AD"/>
    <w:rsid w:val="0064712F"/>
    <w:rsid w:val="0064793C"/>
    <w:rsid w:val="00650FA3"/>
    <w:rsid w:val="00652333"/>
    <w:rsid w:val="006549A4"/>
    <w:rsid w:val="0065765B"/>
    <w:rsid w:val="00657A8A"/>
    <w:rsid w:val="006605AC"/>
    <w:rsid w:val="00662F5D"/>
    <w:rsid w:val="006634C1"/>
    <w:rsid w:val="00664DDE"/>
    <w:rsid w:val="00666536"/>
    <w:rsid w:val="0067472A"/>
    <w:rsid w:val="00677938"/>
    <w:rsid w:val="0068009E"/>
    <w:rsid w:val="00684434"/>
    <w:rsid w:val="006847BC"/>
    <w:rsid w:val="006849BF"/>
    <w:rsid w:val="00687725"/>
    <w:rsid w:val="0069244C"/>
    <w:rsid w:val="00692A55"/>
    <w:rsid w:val="0069578C"/>
    <w:rsid w:val="006A0548"/>
    <w:rsid w:val="006A0F00"/>
    <w:rsid w:val="006A0F77"/>
    <w:rsid w:val="006A17D2"/>
    <w:rsid w:val="006A508B"/>
    <w:rsid w:val="006A58D1"/>
    <w:rsid w:val="006A70B4"/>
    <w:rsid w:val="006A73E6"/>
    <w:rsid w:val="006B130C"/>
    <w:rsid w:val="006B17B3"/>
    <w:rsid w:val="006B248C"/>
    <w:rsid w:val="006B2623"/>
    <w:rsid w:val="006B295E"/>
    <w:rsid w:val="006B2D5C"/>
    <w:rsid w:val="006B4E2D"/>
    <w:rsid w:val="006B544B"/>
    <w:rsid w:val="006C0F5D"/>
    <w:rsid w:val="006C1815"/>
    <w:rsid w:val="006C2346"/>
    <w:rsid w:val="006C2B38"/>
    <w:rsid w:val="006C4EB1"/>
    <w:rsid w:val="006C6E31"/>
    <w:rsid w:val="006C7E62"/>
    <w:rsid w:val="006D0195"/>
    <w:rsid w:val="006D0424"/>
    <w:rsid w:val="006D1132"/>
    <w:rsid w:val="006D135C"/>
    <w:rsid w:val="006D33C2"/>
    <w:rsid w:val="006D48BB"/>
    <w:rsid w:val="006D6E36"/>
    <w:rsid w:val="006D7976"/>
    <w:rsid w:val="006E00AB"/>
    <w:rsid w:val="006E0166"/>
    <w:rsid w:val="006E35A0"/>
    <w:rsid w:val="006E3C05"/>
    <w:rsid w:val="006E3F74"/>
    <w:rsid w:val="006E4B61"/>
    <w:rsid w:val="006E4CCE"/>
    <w:rsid w:val="006E4DF5"/>
    <w:rsid w:val="006E6048"/>
    <w:rsid w:val="006E6C78"/>
    <w:rsid w:val="006E6F1E"/>
    <w:rsid w:val="006E7B34"/>
    <w:rsid w:val="006F6FCB"/>
    <w:rsid w:val="006F7488"/>
    <w:rsid w:val="0070045F"/>
    <w:rsid w:val="00700471"/>
    <w:rsid w:val="00700C65"/>
    <w:rsid w:val="00701610"/>
    <w:rsid w:val="00701B24"/>
    <w:rsid w:val="00702565"/>
    <w:rsid w:val="0070267B"/>
    <w:rsid w:val="00702A7C"/>
    <w:rsid w:val="00702EA5"/>
    <w:rsid w:val="0070404E"/>
    <w:rsid w:val="00704098"/>
    <w:rsid w:val="0070603C"/>
    <w:rsid w:val="00706698"/>
    <w:rsid w:val="00707486"/>
    <w:rsid w:val="00707651"/>
    <w:rsid w:val="00707E8E"/>
    <w:rsid w:val="00715928"/>
    <w:rsid w:val="00716BEC"/>
    <w:rsid w:val="00716D62"/>
    <w:rsid w:val="00717B70"/>
    <w:rsid w:val="0072130B"/>
    <w:rsid w:val="007237C3"/>
    <w:rsid w:val="007247E2"/>
    <w:rsid w:val="00727D80"/>
    <w:rsid w:val="00730731"/>
    <w:rsid w:val="007400D8"/>
    <w:rsid w:val="007433B0"/>
    <w:rsid w:val="0074535C"/>
    <w:rsid w:val="0074572F"/>
    <w:rsid w:val="00745899"/>
    <w:rsid w:val="00750078"/>
    <w:rsid w:val="00750BB6"/>
    <w:rsid w:val="007538FC"/>
    <w:rsid w:val="00754A2A"/>
    <w:rsid w:val="007570FA"/>
    <w:rsid w:val="00757F66"/>
    <w:rsid w:val="007607C4"/>
    <w:rsid w:val="007607EC"/>
    <w:rsid w:val="00761A58"/>
    <w:rsid w:val="00765584"/>
    <w:rsid w:val="0076643F"/>
    <w:rsid w:val="00771205"/>
    <w:rsid w:val="007744CC"/>
    <w:rsid w:val="007771C5"/>
    <w:rsid w:val="007776FF"/>
    <w:rsid w:val="0078069F"/>
    <w:rsid w:val="00781C89"/>
    <w:rsid w:val="007820BB"/>
    <w:rsid w:val="00784600"/>
    <w:rsid w:val="00784DE5"/>
    <w:rsid w:val="00784FEC"/>
    <w:rsid w:val="0078587E"/>
    <w:rsid w:val="0078595F"/>
    <w:rsid w:val="00785F8D"/>
    <w:rsid w:val="00795940"/>
    <w:rsid w:val="00795E01"/>
    <w:rsid w:val="007977A5"/>
    <w:rsid w:val="007A17C8"/>
    <w:rsid w:val="007A2EC7"/>
    <w:rsid w:val="007A2F70"/>
    <w:rsid w:val="007A3478"/>
    <w:rsid w:val="007A4980"/>
    <w:rsid w:val="007A57A6"/>
    <w:rsid w:val="007A7003"/>
    <w:rsid w:val="007A7F31"/>
    <w:rsid w:val="007B1B6A"/>
    <w:rsid w:val="007B2769"/>
    <w:rsid w:val="007B3C72"/>
    <w:rsid w:val="007B430B"/>
    <w:rsid w:val="007B4C00"/>
    <w:rsid w:val="007C10AC"/>
    <w:rsid w:val="007C16AB"/>
    <w:rsid w:val="007C3334"/>
    <w:rsid w:val="007C50F6"/>
    <w:rsid w:val="007C52BB"/>
    <w:rsid w:val="007C5476"/>
    <w:rsid w:val="007C58E8"/>
    <w:rsid w:val="007C7402"/>
    <w:rsid w:val="007C757E"/>
    <w:rsid w:val="007C798F"/>
    <w:rsid w:val="007D0207"/>
    <w:rsid w:val="007D2B98"/>
    <w:rsid w:val="007D2FEE"/>
    <w:rsid w:val="007D3E9B"/>
    <w:rsid w:val="007D4C93"/>
    <w:rsid w:val="007D4FA5"/>
    <w:rsid w:val="007E42C4"/>
    <w:rsid w:val="007E4368"/>
    <w:rsid w:val="007E6DAC"/>
    <w:rsid w:val="007F074A"/>
    <w:rsid w:val="007F410D"/>
    <w:rsid w:val="007F4B82"/>
    <w:rsid w:val="007F4F2C"/>
    <w:rsid w:val="007F4FE2"/>
    <w:rsid w:val="00803F1C"/>
    <w:rsid w:val="0080600E"/>
    <w:rsid w:val="00806F7E"/>
    <w:rsid w:val="0081181A"/>
    <w:rsid w:val="00817612"/>
    <w:rsid w:val="00817D2F"/>
    <w:rsid w:val="00820D73"/>
    <w:rsid w:val="008215C0"/>
    <w:rsid w:val="00823A91"/>
    <w:rsid w:val="00825B7F"/>
    <w:rsid w:val="00827DB7"/>
    <w:rsid w:val="00835F5A"/>
    <w:rsid w:val="00837C45"/>
    <w:rsid w:val="008414A3"/>
    <w:rsid w:val="008448F6"/>
    <w:rsid w:val="00845C1A"/>
    <w:rsid w:val="00846865"/>
    <w:rsid w:val="00847A8B"/>
    <w:rsid w:val="00853419"/>
    <w:rsid w:val="00860233"/>
    <w:rsid w:val="00861972"/>
    <w:rsid w:val="00861EC2"/>
    <w:rsid w:val="008628FD"/>
    <w:rsid w:val="00864785"/>
    <w:rsid w:val="008678EF"/>
    <w:rsid w:val="00871372"/>
    <w:rsid w:val="00871EBE"/>
    <w:rsid w:val="008741A2"/>
    <w:rsid w:val="00874BEE"/>
    <w:rsid w:val="00875ABB"/>
    <w:rsid w:val="00875EC6"/>
    <w:rsid w:val="00877E1B"/>
    <w:rsid w:val="00880B21"/>
    <w:rsid w:val="00880F95"/>
    <w:rsid w:val="0088385A"/>
    <w:rsid w:val="00883EA4"/>
    <w:rsid w:val="00884270"/>
    <w:rsid w:val="008869BA"/>
    <w:rsid w:val="008903D5"/>
    <w:rsid w:val="008917C2"/>
    <w:rsid w:val="008945B4"/>
    <w:rsid w:val="0089514B"/>
    <w:rsid w:val="008969D3"/>
    <w:rsid w:val="00897E12"/>
    <w:rsid w:val="008A065A"/>
    <w:rsid w:val="008A3434"/>
    <w:rsid w:val="008A36FA"/>
    <w:rsid w:val="008A6DA2"/>
    <w:rsid w:val="008A7F97"/>
    <w:rsid w:val="008A7FC7"/>
    <w:rsid w:val="008B25FC"/>
    <w:rsid w:val="008B2DA9"/>
    <w:rsid w:val="008B3466"/>
    <w:rsid w:val="008B5124"/>
    <w:rsid w:val="008C00EE"/>
    <w:rsid w:val="008C2789"/>
    <w:rsid w:val="008C606A"/>
    <w:rsid w:val="008C6FC4"/>
    <w:rsid w:val="008D307A"/>
    <w:rsid w:val="008D43BA"/>
    <w:rsid w:val="008D7317"/>
    <w:rsid w:val="008D7DF4"/>
    <w:rsid w:val="008E10AE"/>
    <w:rsid w:val="008E3759"/>
    <w:rsid w:val="008E53E4"/>
    <w:rsid w:val="008F2A35"/>
    <w:rsid w:val="008F2E1C"/>
    <w:rsid w:val="008F3BF9"/>
    <w:rsid w:val="008F4101"/>
    <w:rsid w:val="008F4522"/>
    <w:rsid w:val="008F559D"/>
    <w:rsid w:val="008F7B4C"/>
    <w:rsid w:val="009041DC"/>
    <w:rsid w:val="009047EE"/>
    <w:rsid w:val="00904B4B"/>
    <w:rsid w:val="0090668D"/>
    <w:rsid w:val="009104B4"/>
    <w:rsid w:val="00912642"/>
    <w:rsid w:val="00915CDE"/>
    <w:rsid w:val="00915FDE"/>
    <w:rsid w:val="0091677E"/>
    <w:rsid w:val="00922A9F"/>
    <w:rsid w:val="00923920"/>
    <w:rsid w:val="00924F0A"/>
    <w:rsid w:val="00925FCD"/>
    <w:rsid w:val="00927B0B"/>
    <w:rsid w:val="0093035E"/>
    <w:rsid w:val="0093441A"/>
    <w:rsid w:val="00934829"/>
    <w:rsid w:val="009356F2"/>
    <w:rsid w:val="00935735"/>
    <w:rsid w:val="009359E3"/>
    <w:rsid w:val="00935A29"/>
    <w:rsid w:val="0093673E"/>
    <w:rsid w:val="00936C4F"/>
    <w:rsid w:val="009412E0"/>
    <w:rsid w:val="0094199B"/>
    <w:rsid w:val="009435DC"/>
    <w:rsid w:val="0094702E"/>
    <w:rsid w:val="00950D77"/>
    <w:rsid w:val="00952CAA"/>
    <w:rsid w:val="0095466D"/>
    <w:rsid w:val="00954BF7"/>
    <w:rsid w:val="009554F0"/>
    <w:rsid w:val="00955EA3"/>
    <w:rsid w:val="0095641C"/>
    <w:rsid w:val="00957A32"/>
    <w:rsid w:val="009653A0"/>
    <w:rsid w:val="00965F42"/>
    <w:rsid w:val="009660BF"/>
    <w:rsid w:val="009668D9"/>
    <w:rsid w:val="0096706E"/>
    <w:rsid w:val="00967ECF"/>
    <w:rsid w:val="009714F6"/>
    <w:rsid w:val="00973675"/>
    <w:rsid w:val="009753D7"/>
    <w:rsid w:val="00981FBA"/>
    <w:rsid w:val="009843A2"/>
    <w:rsid w:val="00986129"/>
    <w:rsid w:val="00986662"/>
    <w:rsid w:val="00986AEE"/>
    <w:rsid w:val="009879D3"/>
    <w:rsid w:val="00987CEE"/>
    <w:rsid w:val="009937A7"/>
    <w:rsid w:val="009967AF"/>
    <w:rsid w:val="0099714E"/>
    <w:rsid w:val="00997E99"/>
    <w:rsid w:val="009A03E7"/>
    <w:rsid w:val="009A0816"/>
    <w:rsid w:val="009A0B09"/>
    <w:rsid w:val="009A0F04"/>
    <w:rsid w:val="009A1A5D"/>
    <w:rsid w:val="009A2A99"/>
    <w:rsid w:val="009A6130"/>
    <w:rsid w:val="009B1206"/>
    <w:rsid w:val="009B1525"/>
    <w:rsid w:val="009B2F9E"/>
    <w:rsid w:val="009B381B"/>
    <w:rsid w:val="009B5129"/>
    <w:rsid w:val="009B541A"/>
    <w:rsid w:val="009B61B2"/>
    <w:rsid w:val="009B74A4"/>
    <w:rsid w:val="009C1691"/>
    <w:rsid w:val="009C1D8B"/>
    <w:rsid w:val="009C6ECA"/>
    <w:rsid w:val="009C78F9"/>
    <w:rsid w:val="009D0946"/>
    <w:rsid w:val="009D0DEE"/>
    <w:rsid w:val="009D15C7"/>
    <w:rsid w:val="009D2342"/>
    <w:rsid w:val="009D280B"/>
    <w:rsid w:val="009D3728"/>
    <w:rsid w:val="009D6116"/>
    <w:rsid w:val="009D7611"/>
    <w:rsid w:val="009E3488"/>
    <w:rsid w:val="009E3847"/>
    <w:rsid w:val="009E3ABD"/>
    <w:rsid w:val="009E4906"/>
    <w:rsid w:val="009E53DE"/>
    <w:rsid w:val="009F114F"/>
    <w:rsid w:val="009F1ED5"/>
    <w:rsid w:val="009F24AF"/>
    <w:rsid w:val="009F297A"/>
    <w:rsid w:val="009F7113"/>
    <w:rsid w:val="009F76DF"/>
    <w:rsid w:val="009F7E8F"/>
    <w:rsid w:val="00A03B6C"/>
    <w:rsid w:val="00A03DA5"/>
    <w:rsid w:val="00A10246"/>
    <w:rsid w:val="00A10450"/>
    <w:rsid w:val="00A13A94"/>
    <w:rsid w:val="00A14D37"/>
    <w:rsid w:val="00A15A9B"/>
    <w:rsid w:val="00A163A4"/>
    <w:rsid w:val="00A1688B"/>
    <w:rsid w:val="00A17E82"/>
    <w:rsid w:val="00A20B65"/>
    <w:rsid w:val="00A20F5F"/>
    <w:rsid w:val="00A225F4"/>
    <w:rsid w:val="00A22B7B"/>
    <w:rsid w:val="00A23924"/>
    <w:rsid w:val="00A24331"/>
    <w:rsid w:val="00A2456A"/>
    <w:rsid w:val="00A34273"/>
    <w:rsid w:val="00A36E16"/>
    <w:rsid w:val="00A40CED"/>
    <w:rsid w:val="00A43458"/>
    <w:rsid w:val="00A438F6"/>
    <w:rsid w:val="00A445B3"/>
    <w:rsid w:val="00A46D01"/>
    <w:rsid w:val="00A50201"/>
    <w:rsid w:val="00A5028C"/>
    <w:rsid w:val="00A5251F"/>
    <w:rsid w:val="00A527E1"/>
    <w:rsid w:val="00A528D1"/>
    <w:rsid w:val="00A53D23"/>
    <w:rsid w:val="00A542D1"/>
    <w:rsid w:val="00A54E22"/>
    <w:rsid w:val="00A60093"/>
    <w:rsid w:val="00A63958"/>
    <w:rsid w:val="00A63F8A"/>
    <w:rsid w:val="00A64DA8"/>
    <w:rsid w:val="00A64F5F"/>
    <w:rsid w:val="00A650D1"/>
    <w:rsid w:val="00A66BE5"/>
    <w:rsid w:val="00A70FA6"/>
    <w:rsid w:val="00A774E2"/>
    <w:rsid w:val="00A83588"/>
    <w:rsid w:val="00A84B01"/>
    <w:rsid w:val="00A871CA"/>
    <w:rsid w:val="00A87FF5"/>
    <w:rsid w:val="00A91F89"/>
    <w:rsid w:val="00A92DCA"/>
    <w:rsid w:val="00A978E7"/>
    <w:rsid w:val="00A97CDE"/>
    <w:rsid w:val="00AA23D3"/>
    <w:rsid w:val="00AA427A"/>
    <w:rsid w:val="00AA5C88"/>
    <w:rsid w:val="00AB55B8"/>
    <w:rsid w:val="00AB6166"/>
    <w:rsid w:val="00AC388E"/>
    <w:rsid w:val="00AC4106"/>
    <w:rsid w:val="00AC4E50"/>
    <w:rsid w:val="00AC7F4D"/>
    <w:rsid w:val="00AD1E27"/>
    <w:rsid w:val="00AD34D9"/>
    <w:rsid w:val="00AD37C1"/>
    <w:rsid w:val="00AD38E9"/>
    <w:rsid w:val="00AD4435"/>
    <w:rsid w:val="00AD4E05"/>
    <w:rsid w:val="00AD7A33"/>
    <w:rsid w:val="00AE15A9"/>
    <w:rsid w:val="00AE66EC"/>
    <w:rsid w:val="00AE6AE5"/>
    <w:rsid w:val="00AE6F91"/>
    <w:rsid w:val="00AF5571"/>
    <w:rsid w:val="00AF79FA"/>
    <w:rsid w:val="00B016BF"/>
    <w:rsid w:val="00B033E8"/>
    <w:rsid w:val="00B06BF4"/>
    <w:rsid w:val="00B124E6"/>
    <w:rsid w:val="00B167E9"/>
    <w:rsid w:val="00B1724A"/>
    <w:rsid w:val="00B20B83"/>
    <w:rsid w:val="00B21BC5"/>
    <w:rsid w:val="00B2728E"/>
    <w:rsid w:val="00B30278"/>
    <w:rsid w:val="00B314DB"/>
    <w:rsid w:val="00B31EBE"/>
    <w:rsid w:val="00B3718B"/>
    <w:rsid w:val="00B41AAC"/>
    <w:rsid w:val="00B424CD"/>
    <w:rsid w:val="00B42ABC"/>
    <w:rsid w:val="00B43E7C"/>
    <w:rsid w:val="00B44F4C"/>
    <w:rsid w:val="00B45BE7"/>
    <w:rsid w:val="00B46313"/>
    <w:rsid w:val="00B4632A"/>
    <w:rsid w:val="00B478B1"/>
    <w:rsid w:val="00B515A8"/>
    <w:rsid w:val="00B574EE"/>
    <w:rsid w:val="00B575D6"/>
    <w:rsid w:val="00B62894"/>
    <w:rsid w:val="00B63572"/>
    <w:rsid w:val="00B63577"/>
    <w:rsid w:val="00B673F4"/>
    <w:rsid w:val="00B67517"/>
    <w:rsid w:val="00B70462"/>
    <w:rsid w:val="00B75D57"/>
    <w:rsid w:val="00B765F1"/>
    <w:rsid w:val="00B77B09"/>
    <w:rsid w:val="00B85B6B"/>
    <w:rsid w:val="00B868A4"/>
    <w:rsid w:val="00B86C8F"/>
    <w:rsid w:val="00B90178"/>
    <w:rsid w:val="00B926B1"/>
    <w:rsid w:val="00B933E4"/>
    <w:rsid w:val="00BA0E3E"/>
    <w:rsid w:val="00BA11D2"/>
    <w:rsid w:val="00BA198F"/>
    <w:rsid w:val="00BA276C"/>
    <w:rsid w:val="00BA3133"/>
    <w:rsid w:val="00BA5B71"/>
    <w:rsid w:val="00BA7984"/>
    <w:rsid w:val="00BB285D"/>
    <w:rsid w:val="00BB306F"/>
    <w:rsid w:val="00BB3466"/>
    <w:rsid w:val="00BB356D"/>
    <w:rsid w:val="00BB5A59"/>
    <w:rsid w:val="00BB6D96"/>
    <w:rsid w:val="00BB78FE"/>
    <w:rsid w:val="00BB7B0A"/>
    <w:rsid w:val="00BB7C52"/>
    <w:rsid w:val="00BC2154"/>
    <w:rsid w:val="00BC35EB"/>
    <w:rsid w:val="00BC6FB1"/>
    <w:rsid w:val="00BC73B5"/>
    <w:rsid w:val="00BD10AC"/>
    <w:rsid w:val="00BD232B"/>
    <w:rsid w:val="00BD2C5B"/>
    <w:rsid w:val="00BD4B89"/>
    <w:rsid w:val="00BD5B66"/>
    <w:rsid w:val="00BD7F14"/>
    <w:rsid w:val="00BE0098"/>
    <w:rsid w:val="00BE014C"/>
    <w:rsid w:val="00BE1438"/>
    <w:rsid w:val="00BE35D9"/>
    <w:rsid w:val="00BE4872"/>
    <w:rsid w:val="00BE6182"/>
    <w:rsid w:val="00BE6B74"/>
    <w:rsid w:val="00BE7E23"/>
    <w:rsid w:val="00BF0063"/>
    <w:rsid w:val="00BF08CB"/>
    <w:rsid w:val="00BF1F10"/>
    <w:rsid w:val="00BF4865"/>
    <w:rsid w:val="00BF4AF7"/>
    <w:rsid w:val="00C0028D"/>
    <w:rsid w:val="00C01451"/>
    <w:rsid w:val="00C03A29"/>
    <w:rsid w:val="00C04DFB"/>
    <w:rsid w:val="00C070BA"/>
    <w:rsid w:val="00C07884"/>
    <w:rsid w:val="00C101BC"/>
    <w:rsid w:val="00C14557"/>
    <w:rsid w:val="00C14701"/>
    <w:rsid w:val="00C14CE0"/>
    <w:rsid w:val="00C16D95"/>
    <w:rsid w:val="00C2142B"/>
    <w:rsid w:val="00C21762"/>
    <w:rsid w:val="00C23BA8"/>
    <w:rsid w:val="00C24543"/>
    <w:rsid w:val="00C256A2"/>
    <w:rsid w:val="00C31770"/>
    <w:rsid w:val="00C3238A"/>
    <w:rsid w:val="00C32A61"/>
    <w:rsid w:val="00C338B0"/>
    <w:rsid w:val="00C33EB0"/>
    <w:rsid w:val="00C3492D"/>
    <w:rsid w:val="00C36E35"/>
    <w:rsid w:val="00C41AB9"/>
    <w:rsid w:val="00C423E4"/>
    <w:rsid w:val="00C43FC7"/>
    <w:rsid w:val="00C443E8"/>
    <w:rsid w:val="00C44886"/>
    <w:rsid w:val="00C4696E"/>
    <w:rsid w:val="00C506EB"/>
    <w:rsid w:val="00C50C1E"/>
    <w:rsid w:val="00C546AB"/>
    <w:rsid w:val="00C548FA"/>
    <w:rsid w:val="00C55378"/>
    <w:rsid w:val="00C55560"/>
    <w:rsid w:val="00C66B72"/>
    <w:rsid w:val="00C674CD"/>
    <w:rsid w:val="00C67F18"/>
    <w:rsid w:val="00C714BB"/>
    <w:rsid w:val="00C7281A"/>
    <w:rsid w:val="00C7526E"/>
    <w:rsid w:val="00C75A4F"/>
    <w:rsid w:val="00C75E68"/>
    <w:rsid w:val="00C76135"/>
    <w:rsid w:val="00C768EA"/>
    <w:rsid w:val="00C81339"/>
    <w:rsid w:val="00C82B0B"/>
    <w:rsid w:val="00C84B0E"/>
    <w:rsid w:val="00C84E16"/>
    <w:rsid w:val="00C850FD"/>
    <w:rsid w:val="00C85CF6"/>
    <w:rsid w:val="00C85DDE"/>
    <w:rsid w:val="00C86C06"/>
    <w:rsid w:val="00C8737F"/>
    <w:rsid w:val="00C92CF7"/>
    <w:rsid w:val="00C94BF5"/>
    <w:rsid w:val="00C9567A"/>
    <w:rsid w:val="00C95BF6"/>
    <w:rsid w:val="00CA249C"/>
    <w:rsid w:val="00CA28C5"/>
    <w:rsid w:val="00CA44E8"/>
    <w:rsid w:val="00CA61E3"/>
    <w:rsid w:val="00CA6E49"/>
    <w:rsid w:val="00CB17C1"/>
    <w:rsid w:val="00CB2660"/>
    <w:rsid w:val="00CB3827"/>
    <w:rsid w:val="00CB3A1A"/>
    <w:rsid w:val="00CB712B"/>
    <w:rsid w:val="00CB7A42"/>
    <w:rsid w:val="00CC30E5"/>
    <w:rsid w:val="00CC5E90"/>
    <w:rsid w:val="00CD046C"/>
    <w:rsid w:val="00CD6BCF"/>
    <w:rsid w:val="00CD7D32"/>
    <w:rsid w:val="00CE1390"/>
    <w:rsid w:val="00CE4868"/>
    <w:rsid w:val="00CE5199"/>
    <w:rsid w:val="00CE66D5"/>
    <w:rsid w:val="00CF2824"/>
    <w:rsid w:val="00CF3EBB"/>
    <w:rsid w:val="00CF4138"/>
    <w:rsid w:val="00CF6D40"/>
    <w:rsid w:val="00D01A32"/>
    <w:rsid w:val="00D03633"/>
    <w:rsid w:val="00D03C39"/>
    <w:rsid w:val="00D04674"/>
    <w:rsid w:val="00D0799B"/>
    <w:rsid w:val="00D07A1B"/>
    <w:rsid w:val="00D11888"/>
    <w:rsid w:val="00D118E5"/>
    <w:rsid w:val="00D16C41"/>
    <w:rsid w:val="00D211D9"/>
    <w:rsid w:val="00D2131F"/>
    <w:rsid w:val="00D21D95"/>
    <w:rsid w:val="00D21DA2"/>
    <w:rsid w:val="00D2222C"/>
    <w:rsid w:val="00D2345D"/>
    <w:rsid w:val="00D25889"/>
    <w:rsid w:val="00D25C75"/>
    <w:rsid w:val="00D31A13"/>
    <w:rsid w:val="00D340AA"/>
    <w:rsid w:val="00D34786"/>
    <w:rsid w:val="00D35609"/>
    <w:rsid w:val="00D36696"/>
    <w:rsid w:val="00D4040F"/>
    <w:rsid w:val="00D40A1E"/>
    <w:rsid w:val="00D41308"/>
    <w:rsid w:val="00D42BAB"/>
    <w:rsid w:val="00D43C78"/>
    <w:rsid w:val="00D44B04"/>
    <w:rsid w:val="00D44BDF"/>
    <w:rsid w:val="00D45150"/>
    <w:rsid w:val="00D46CDC"/>
    <w:rsid w:val="00D5025B"/>
    <w:rsid w:val="00D50AFF"/>
    <w:rsid w:val="00D512DC"/>
    <w:rsid w:val="00D52B5B"/>
    <w:rsid w:val="00D537DA"/>
    <w:rsid w:val="00D53F3D"/>
    <w:rsid w:val="00D558C4"/>
    <w:rsid w:val="00D55D01"/>
    <w:rsid w:val="00D568A0"/>
    <w:rsid w:val="00D57833"/>
    <w:rsid w:val="00D61163"/>
    <w:rsid w:val="00D62BD0"/>
    <w:rsid w:val="00D63233"/>
    <w:rsid w:val="00D65E4F"/>
    <w:rsid w:val="00D712D3"/>
    <w:rsid w:val="00D71384"/>
    <w:rsid w:val="00D71422"/>
    <w:rsid w:val="00D7145E"/>
    <w:rsid w:val="00D73E27"/>
    <w:rsid w:val="00D74A1F"/>
    <w:rsid w:val="00D74C93"/>
    <w:rsid w:val="00D74F68"/>
    <w:rsid w:val="00D7558D"/>
    <w:rsid w:val="00D76232"/>
    <w:rsid w:val="00D7649A"/>
    <w:rsid w:val="00D811FF"/>
    <w:rsid w:val="00D81D92"/>
    <w:rsid w:val="00D826A0"/>
    <w:rsid w:val="00D826D9"/>
    <w:rsid w:val="00D82EA8"/>
    <w:rsid w:val="00D838BE"/>
    <w:rsid w:val="00D83DD3"/>
    <w:rsid w:val="00D83FFE"/>
    <w:rsid w:val="00D86569"/>
    <w:rsid w:val="00D87416"/>
    <w:rsid w:val="00D8763F"/>
    <w:rsid w:val="00D877E2"/>
    <w:rsid w:val="00D9087A"/>
    <w:rsid w:val="00D915AB"/>
    <w:rsid w:val="00D93446"/>
    <w:rsid w:val="00D9382D"/>
    <w:rsid w:val="00D94D1C"/>
    <w:rsid w:val="00D9539C"/>
    <w:rsid w:val="00D95402"/>
    <w:rsid w:val="00D96245"/>
    <w:rsid w:val="00DA1520"/>
    <w:rsid w:val="00DA2A7C"/>
    <w:rsid w:val="00DA3005"/>
    <w:rsid w:val="00DA300A"/>
    <w:rsid w:val="00DA7151"/>
    <w:rsid w:val="00DA77AA"/>
    <w:rsid w:val="00DA7B5F"/>
    <w:rsid w:val="00DB30EC"/>
    <w:rsid w:val="00DB3374"/>
    <w:rsid w:val="00DB4A1E"/>
    <w:rsid w:val="00DC174D"/>
    <w:rsid w:val="00DC28C0"/>
    <w:rsid w:val="00DC3121"/>
    <w:rsid w:val="00DC6D2C"/>
    <w:rsid w:val="00DC6F97"/>
    <w:rsid w:val="00DC7597"/>
    <w:rsid w:val="00DD045E"/>
    <w:rsid w:val="00DD1E65"/>
    <w:rsid w:val="00DD2BE4"/>
    <w:rsid w:val="00DD6DEF"/>
    <w:rsid w:val="00DD6F04"/>
    <w:rsid w:val="00DE26A2"/>
    <w:rsid w:val="00DE735D"/>
    <w:rsid w:val="00DE7417"/>
    <w:rsid w:val="00DE783D"/>
    <w:rsid w:val="00DE7D2E"/>
    <w:rsid w:val="00DF4BDE"/>
    <w:rsid w:val="00E067A6"/>
    <w:rsid w:val="00E06DDE"/>
    <w:rsid w:val="00E0734B"/>
    <w:rsid w:val="00E0740A"/>
    <w:rsid w:val="00E11392"/>
    <w:rsid w:val="00E1451D"/>
    <w:rsid w:val="00E15FBA"/>
    <w:rsid w:val="00E16A1B"/>
    <w:rsid w:val="00E16F9D"/>
    <w:rsid w:val="00E17683"/>
    <w:rsid w:val="00E22278"/>
    <w:rsid w:val="00E2284A"/>
    <w:rsid w:val="00E2398E"/>
    <w:rsid w:val="00E25A41"/>
    <w:rsid w:val="00E2673A"/>
    <w:rsid w:val="00E26FCD"/>
    <w:rsid w:val="00E27AA4"/>
    <w:rsid w:val="00E3317B"/>
    <w:rsid w:val="00E33E64"/>
    <w:rsid w:val="00E3757F"/>
    <w:rsid w:val="00E43157"/>
    <w:rsid w:val="00E4390D"/>
    <w:rsid w:val="00E43C54"/>
    <w:rsid w:val="00E43C96"/>
    <w:rsid w:val="00E46307"/>
    <w:rsid w:val="00E4781D"/>
    <w:rsid w:val="00E533FF"/>
    <w:rsid w:val="00E53E5E"/>
    <w:rsid w:val="00E54EF8"/>
    <w:rsid w:val="00E56477"/>
    <w:rsid w:val="00E57833"/>
    <w:rsid w:val="00E57B6B"/>
    <w:rsid w:val="00E57ECF"/>
    <w:rsid w:val="00E608CA"/>
    <w:rsid w:val="00E61067"/>
    <w:rsid w:val="00E62965"/>
    <w:rsid w:val="00E6356C"/>
    <w:rsid w:val="00E63B98"/>
    <w:rsid w:val="00E64645"/>
    <w:rsid w:val="00E64AF6"/>
    <w:rsid w:val="00E64E6F"/>
    <w:rsid w:val="00E654A2"/>
    <w:rsid w:val="00E65CB4"/>
    <w:rsid w:val="00E709B3"/>
    <w:rsid w:val="00E71E57"/>
    <w:rsid w:val="00E71FD7"/>
    <w:rsid w:val="00E74177"/>
    <w:rsid w:val="00E753FA"/>
    <w:rsid w:val="00E80E83"/>
    <w:rsid w:val="00E81771"/>
    <w:rsid w:val="00E86E84"/>
    <w:rsid w:val="00E86EAF"/>
    <w:rsid w:val="00E87515"/>
    <w:rsid w:val="00E8789F"/>
    <w:rsid w:val="00E908CF"/>
    <w:rsid w:val="00E91BE2"/>
    <w:rsid w:val="00E920D0"/>
    <w:rsid w:val="00E92993"/>
    <w:rsid w:val="00E96942"/>
    <w:rsid w:val="00E97B71"/>
    <w:rsid w:val="00EA01E7"/>
    <w:rsid w:val="00EA1283"/>
    <w:rsid w:val="00EA14E5"/>
    <w:rsid w:val="00EA5001"/>
    <w:rsid w:val="00EA5A04"/>
    <w:rsid w:val="00EA603E"/>
    <w:rsid w:val="00EA6A6E"/>
    <w:rsid w:val="00EA70E0"/>
    <w:rsid w:val="00EB24D7"/>
    <w:rsid w:val="00EB454D"/>
    <w:rsid w:val="00EB454F"/>
    <w:rsid w:val="00EB4B7E"/>
    <w:rsid w:val="00EB55C1"/>
    <w:rsid w:val="00EB62D9"/>
    <w:rsid w:val="00EC2AAD"/>
    <w:rsid w:val="00EC31F9"/>
    <w:rsid w:val="00EC5570"/>
    <w:rsid w:val="00EC74EB"/>
    <w:rsid w:val="00ED0E31"/>
    <w:rsid w:val="00ED1405"/>
    <w:rsid w:val="00ED147C"/>
    <w:rsid w:val="00ED3A8E"/>
    <w:rsid w:val="00ED3AB2"/>
    <w:rsid w:val="00ED56AB"/>
    <w:rsid w:val="00ED5BE1"/>
    <w:rsid w:val="00EE04C1"/>
    <w:rsid w:val="00EE0D3E"/>
    <w:rsid w:val="00EE3522"/>
    <w:rsid w:val="00EE39AD"/>
    <w:rsid w:val="00EE4E4B"/>
    <w:rsid w:val="00EE5C5E"/>
    <w:rsid w:val="00EE5E58"/>
    <w:rsid w:val="00EF2493"/>
    <w:rsid w:val="00EF4EC3"/>
    <w:rsid w:val="00EF5AA9"/>
    <w:rsid w:val="00EF619B"/>
    <w:rsid w:val="00EF6972"/>
    <w:rsid w:val="00F00B55"/>
    <w:rsid w:val="00F06961"/>
    <w:rsid w:val="00F12EAC"/>
    <w:rsid w:val="00F1380F"/>
    <w:rsid w:val="00F14F0E"/>
    <w:rsid w:val="00F14F98"/>
    <w:rsid w:val="00F15799"/>
    <w:rsid w:val="00F15B6A"/>
    <w:rsid w:val="00F1763D"/>
    <w:rsid w:val="00F20236"/>
    <w:rsid w:val="00F2059E"/>
    <w:rsid w:val="00F20D2B"/>
    <w:rsid w:val="00F21553"/>
    <w:rsid w:val="00F24C29"/>
    <w:rsid w:val="00F253CC"/>
    <w:rsid w:val="00F25C31"/>
    <w:rsid w:val="00F267BE"/>
    <w:rsid w:val="00F27458"/>
    <w:rsid w:val="00F35E2A"/>
    <w:rsid w:val="00F36D40"/>
    <w:rsid w:val="00F37F99"/>
    <w:rsid w:val="00F40B92"/>
    <w:rsid w:val="00F42761"/>
    <w:rsid w:val="00F438CD"/>
    <w:rsid w:val="00F45EBF"/>
    <w:rsid w:val="00F46498"/>
    <w:rsid w:val="00F503B5"/>
    <w:rsid w:val="00F545AC"/>
    <w:rsid w:val="00F56BA5"/>
    <w:rsid w:val="00F56D59"/>
    <w:rsid w:val="00F60E01"/>
    <w:rsid w:val="00F61379"/>
    <w:rsid w:val="00F61BE4"/>
    <w:rsid w:val="00F6255A"/>
    <w:rsid w:val="00F637BF"/>
    <w:rsid w:val="00F644E6"/>
    <w:rsid w:val="00F6589A"/>
    <w:rsid w:val="00F66BDC"/>
    <w:rsid w:val="00F70B55"/>
    <w:rsid w:val="00F71643"/>
    <w:rsid w:val="00F71F53"/>
    <w:rsid w:val="00F725D1"/>
    <w:rsid w:val="00F737D9"/>
    <w:rsid w:val="00F746CA"/>
    <w:rsid w:val="00F77BFA"/>
    <w:rsid w:val="00F82683"/>
    <w:rsid w:val="00F857F6"/>
    <w:rsid w:val="00F87A9A"/>
    <w:rsid w:val="00F916AC"/>
    <w:rsid w:val="00F93826"/>
    <w:rsid w:val="00F9653B"/>
    <w:rsid w:val="00F97B89"/>
    <w:rsid w:val="00F97D53"/>
    <w:rsid w:val="00FA1ADA"/>
    <w:rsid w:val="00FA2C02"/>
    <w:rsid w:val="00FA359A"/>
    <w:rsid w:val="00FA63CD"/>
    <w:rsid w:val="00FA7982"/>
    <w:rsid w:val="00FB0F94"/>
    <w:rsid w:val="00FB1A16"/>
    <w:rsid w:val="00FB1A3C"/>
    <w:rsid w:val="00FB4EE9"/>
    <w:rsid w:val="00FB62CF"/>
    <w:rsid w:val="00FC052E"/>
    <w:rsid w:val="00FC084F"/>
    <w:rsid w:val="00FC1C08"/>
    <w:rsid w:val="00FC3262"/>
    <w:rsid w:val="00FC3EB4"/>
    <w:rsid w:val="00FC544A"/>
    <w:rsid w:val="00FC6C58"/>
    <w:rsid w:val="00FD3BD1"/>
    <w:rsid w:val="00FD635E"/>
    <w:rsid w:val="00FD71F0"/>
    <w:rsid w:val="00FE128E"/>
    <w:rsid w:val="00FE144F"/>
    <w:rsid w:val="00FE157F"/>
    <w:rsid w:val="00FE1EAD"/>
    <w:rsid w:val="00FE21AB"/>
    <w:rsid w:val="00FE3CEC"/>
    <w:rsid w:val="00FE40DE"/>
    <w:rsid w:val="00FE6B45"/>
    <w:rsid w:val="00FE6B58"/>
    <w:rsid w:val="00FE6EBC"/>
    <w:rsid w:val="00FF05BC"/>
    <w:rsid w:val="00FF1C1C"/>
    <w:rsid w:val="00FF379A"/>
    <w:rsid w:val="00FF4B22"/>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58A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4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864785"/>
    <w:pPr>
      <w:tabs>
        <w:tab w:val="left" w:pos="1440"/>
        <w:tab w:val="right" w:leader="dot" w:pos="9350"/>
      </w:tabs>
      <w:spacing w:after="100"/>
      <w:ind w:left="1440" w:hanging="360"/>
    </w:pPr>
  </w:style>
  <w:style w:type="paragraph" w:styleId="TOC1">
    <w:name w:val="toc 1"/>
    <w:basedOn w:val="Normal"/>
    <w:next w:val="Normal"/>
    <w:autoRedefine/>
    <w:uiPriority w:val="39"/>
    <w:unhideWhenUsed/>
    <w:rsid w:val="00864785"/>
    <w:pPr>
      <w:tabs>
        <w:tab w:val="left" w:pos="1440"/>
        <w:tab w:val="right" w:leader="dot" w:pos="9350"/>
      </w:tabs>
      <w:spacing w:after="100"/>
      <w:ind w:left="720"/>
    </w:pPr>
    <w:rPr>
      <w:rFonts w:asciiTheme="minorHAnsi" w:hAnsiTheme="minorHAnsi"/>
      <w:sz w:val="22"/>
    </w:rPr>
  </w:style>
  <w:style w:type="paragraph" w:styleId="TOC3">
    <w:name w:val="toc 3"/>
    <w:basedOn w:val="Normal"/>
    <w:next w:val="Normal"/>
    <w:autoRedefine/>
    <w:uiPriority w:val="39"/>
    <w:unhideWhenUsed/>
    <w:rsid w:val="00864785"/>
    <w:pPr>
      <w:tabs>
        <w:tab w:val="left" w:pos="880"/>
        <w:tab w:val="left" w:pos="180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036A8A"/>
    <w:rPr>
      <w:rFonts w:ascii="Calibri" w:eastAsia="Calibri" w:hAnsi="Calibri" w:cs="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F45E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99"/>
    <w:locked/>
    <w:rsid w:val="00F45EBF"/>
    <w:rPr>
      <w:rFonts w:ascii="Cambria" w:eastAsia="Cambria" w:hAnsi="Cambria" w:cs="Cambria"/>
      <w:color w:val="000000"/>
      <w:sz w:val="24"/>
      <w:szCs w:val="24"/>
      <w:u w:color="000000"/>
      <w:lang w:val="en-US"/>
    </w:rPr>
  </w:style>
  <w:style w:type="paragraph" w:customStyle="1" w:styleId="indent">
    <w:name w:val="indent"/>
    <w:basedOn w:val="Normal"/>
    <w:rsid w:val="00D87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D87416"/>
  </w:style>
  <w:style w:type="paragraph" w:styleId="NormalWeb">
    <w:name w:val="Normal (Web)"/>
    <w:basedOn w:val="Normal"/>
    <w:uiPriority w:val="99"/>
    <w:unhideWhenUsed/>
    <w:rsid w:val="0050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7D2FEE"/>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7D2FE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D15C7"/>
    <w:rPr>
      <w:rFonts w:ascii="Calibri" w:hAnsi="Calibri"/>
      <w:color w:val="000000"/>
      <w:u w:color="000000"/>
    </w:rPr>
  </w:style>
  <w:style w:type="paragraph" w:customStyle="1" w:styleId="Footnotes">
    <w:name w:val="Footnotes"/>
    <w:basedOn w:val="FootnoteText"/>
    <w:qFormat/>
    <w:rsid w:val="000332F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937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7607EC"/>
  </w:style>
  <w:style w:type="character" w:customStyle="1" w:styleId="apple-style-span">
    <w:name w:val="apple-style-span"/>
    <w:basedOn w:val="DefaultParagraphFont"/>
    <w:uiPriority w:val="99"/>
    <w:rsid w:val="00095575"/>
    <w:rPr>
      <w:rFonts w:cs="Times New Roman"/>
    </w:rPr>
  </w:style>
  <w:style w:type="character" w:customStyle="1" w:styleId="Heading2Char">
    <w:name w:val="Heading 2 Char"/>
    <w:basedOn w:val="DefaultParagraphFont"/>
    <w:link w:val="Heading2"/>
    <w:uiPriority w:val="9"/>
    <w:rsid w:val="009B541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9B541A"/>
    <w:rPr>
      <w:rFonts w:asciiTheme="majorHAnsi" w:eastAsiaTheme="majorEastAsia" w:hAnsiTheme="majorHAnsi" w:cstheme="majorBidi"/>
      <w:b/>
      <w:bCs/>
      <w:color w:val="4F81BD" w:themeColor="accent1"/>
      <w:sz w:val="24"/>
      <w:szCs w:val="24"/>
      <w:lang w:val="en-US" w:eastAsia="en-US"/>
    </w:rPr>
  </w:style>
  <w:style w:type="paragraph" w:customStyle="1" w:styleId="Default">
    <w:name w:val="Default"/>
    <w:rsid w:val="009B5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val="en-GB" w:eastAsia="en-US"/>
    </w:rPr>
  </w:style>
  <w:style w:type="character" w:customStyle="1" w:styleId="sb8d990e2">
    <w:name w:val="sb8d990e2"/>
    <w:rsid w:val="00E43C54"/>
  </w:style>
  <w:style w:type="numbering" w:styleId="111111">
    <w:name w:val="Outline List 2"/>
    <w:basedOn w:val="NoList"/>
    <w:uiPriority w:val="99"/>
    <w:semiHidden/>
    <w:unhideWhenUsed/>
    <w:rsid w:val="00ED56AB"/>
    <w:pPr>
      <w:numPr>
        <w:numId w:val="60"/>
      </w:numPr>
    </w:pPr>
  </w:style>
  <w:style w:type="character" w:styleId="CommentReference">
    <w:name w:val="annotation reference"/>
    <w:basedOn w:val="DefaultParagraphFont"/>
    <w:uiPriority w:val="99"/>
    <w:semiHidden/>
    <w:unhideWhenUsed/>
    <w:rsid w:val="00EA6A6E"/>
    <w:rPr>
      <w:sz w:val="16"/>
      <w:szCs w:val="16"/>
    </w:rPr>
  </w:style>
  <w:style w:type="paragraph" w:styleId="CommentText">
    <w:name w:val="annotation text"/>
    <w:basedOn w:val="Normal"/>
    <w:link w:val="CommentTextChar"/>
    <w:uiPriority w:val="99"/>
    <w:semiHidden/>
    <w:unhideWhenUsed/>
    <w:rsid w:val="00EA6A6E"/>
    <w:rPr>
      <w:sz w:val="20"/>
      <w:szCs w:val="20"/>
    </w:rPr>
  </w:style>
  <w:style w:type="character" w:customStyle="1" w:styleId="CommentTextChar">
    <w:name w:val="Comment Text Char"/>
    <w:basedOn w:val="DefaultParagraphFont"/>
    <w:link w:val="CommentText"/>
    <w:uiPriority w:val="99"/>
    <w:semiHidden/>
    <w:rsid w:val="00EA6A6E"/>
    <w:rPr>
      <w:lang w:val="en-US" w:eastAsia="en-US"/>
    </w:rPr>
  </w:style>
  <w:style w:type="paragraph" w:styleId="CommentSubject">
    <w:name w:val="annotation subject"/>
    <w:basedOn w:val="CommentText"/>
    <w:next w:val="CommentText"/>
    <w:link w:val="CommentSubjectChar"/>
    <w:uiPriority w:val="99"/>
    <w:semiHidden/>
    <w:unhideWhenUsed/>
    <w:rsid w:val="00EA6A6E"/>
    <w:rPr>
      <w:b/>
      <w:bCs/>
    </w:rPr>
  </w:style>
  <w:style w:type="character" w:customStyle="1" w:styleId="CommentSubjectChar">
    <w:name w:val="Comment Subject Char"/>
    <w:basedOn w:val="CommentTextChar"/>
    <w:link w:val="CommentSubject"/>
    <w:uiPriority w:val="99"/>
    <w:semiHidden/>
    <w:rsid w:val="00EA6A6E"/>
    <w:rPr>
      <w:b/>
      <w:bCs/>
      <w:lang w:val="en-US" w:eastAsia="en-US"/>
    </w:rPr>
  </w:style>
  <w:style w:type="paragraph" w:styleId="Revision">
    <w:name w:val="Revision"/>
    <w:hidden/>
    <w:uiPriority w:val="99"/>
    <w:semiHidden/>
    <w:rsid w:val="006C181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631155">
      <w:bodyDiv w:val="1"/>
      <w:marLeft w:val="0"/>
      <w:marRight w:val="0"/>
      <w:marTop w:val="0"/>
      <w:marBottom w:val="0"/>
      <w:divBdr>
        <w:top w:val="none" w:sz="0" w:space="0" w:color="auto"/>
        <w:left w:val="none" w:sz="0" w:space="0" w:color="auto"/>
        <w:bottom w:val="none" w:sz="0" w:space="0" w:color="auto"/>
        <w:right w:val="none" w:sz="0" w:space="0" w:color="auto"/>
      </w:divBdr>
    </w:div>
    <w:div w:id="761800827">
      <w:bodyDiv w:val="1"/>
      <w:marLeft w:val="0"/>
      <w:marRight w:val="0"/>
      <w:marTop w:val="0"/>
      <w:marBottom w:val="0"/>
      <w:divBdr>
        <w:top w:val="none" w:sz="0" w:space="0" w:color="auto"/>
        <w:left w:val="none" w:sz="0" w:space="0" w:color="auto"/>
        <w:bottom w:val="none" w:sz="0" w:space="0" w:color="auto"/>
        <w:right w:val="none" w:sz="0" w:space="0" w:color="auto"/>
      </w:divBdr>
    </w:div>
    <w:div w:id="790439445">
      <w:bodyDiv w:val="1"/>
      <w:marLeft w:val="0"/>
      <w:marRight w:val="0"/>
      <w:marTop w:val="0"/>
      <w:marBottom w:val="0"/>
      <w:divBdr>
        <w:top w:val="none" w:sz="0" w:space="0" w:color="auto"/>
        <w:left w:val="none" w:sz="0" w:space="0" w:color="auto"/>
        <w:bottom w:val="none" w:sz="0" w:space="0" w:color="auto"/>
        <w:right w:val="none" w:sz="0" w:space="0" w:color="auto"/>
      </w:divBdr>
    </w:div>
    <w:div w:id="1002781278">
      <w:bodyDiv w:val="1"/>
      <w:marLeft w:val="0"/>
      <w:marRight w:val="0"/>
      <w:marTop w:val="0"/>
      <w:marBottom w:val="0"/>
      <w:divBdr>
        <w:top w:val="none" w:sz="0" w:space="0" w:color="auto"/>
        <w:left w:val="none" w:sz="0" w:space="0" w:color="auto"/>
        <w:bottom w:val="none" w:sz="0" w:space="0" w:color="auto"/>
        <w:right w:val="none" w:sz="0" w:space="0" w:color="auto"/>
      </w:divBdr>
    </w:div>
    <w:div w:id="1007027173">
      <w:bodyDiv w:val="1"/>
      <w:marLeft w:val="0"/>
      <w:marRight w:val="0"/>
      <w:marTop w:val="0"/>
      <w:marBottom w:val="0"/>
      <w:divBdr>
        <w:top w:val="none" w:sz="0" w:space="0" w:color="auto"/>
        <w:left w:val="none" w:sz="0" w:space="0" w:color="auto"/>
        <w:bottom w:val="none" w:sz="0" w:space="0" w:color="auto"/>
        <w:right w:val="none" w:sz="0" w:space="0" w:color="auto"/>
      </w:divBdr>
    </w:div>
    <w:div w:id="1017468732">
      <w:bodyDiv w:val="1"/>
      <w:marLeft w:val="0"/>
      <w:marRight w:val="0"/>
      <w:marTop w:val="0"/>
      <w:marBottom w:val="0"/>
      <w:divBdr>
        <w:top w:val="none" w:sz="0" w:space="0" w:color="auto"/>
        <w:left w:val="none" w:sz="0" w:space="0" w:color="auto"/>
        <w:bottom w:val="none" w:sz="0" w:space="0" w:color="auto"/>
        <w:right w:val="none" w:sz="0" w:space="0" w:color="auto"/>
      </w:divBdr>
    </w:div>
    <w:div w:id="1055667373">
      <w:bodyDiv w:val="1"/>
      <w:marLeft w:val="0"/>
      <w:marRight w:val="0"/>
      <w:marTop w:val="0"/>
      <w:marBottom w:val="0"/>
      <w:divBdr>
        <w:top w:val="none" w:sz="0" w:space="0" w:color="auto"/>
        <w:left w:val="none" w:sz="0" w:space="0" w:color="auto"/>
        <w:bottom w:val="none" w:sz="0" w:space="0" w:color="auto"/>
        <w:right w:val="none" w:sz="0" w:space="0" w:color="auto"/>
      </w:divBdr>
    </w:div>
    <w:div w:id="11727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014222">
          <w:marLeft w:val="0"/>
          <w:marRight w:val="0"/>
          <w:marTop w:val="0"/>
          <w:marBottom w:val="0"/>
          <w:divBdr>
            <w:top w:val="none" w:sz="0" w:space="0" w:color="auto"/>
            <w:left w:val="none" w:sz="0" w:space="0" w:color="auto"/>
            <w:bottom w:val="none" w:sz="0" w:space="0" w:color="auto"/>
            <w:right w:val="none" w:sz="0" w:space="0" w:color="auto"/>
          </w:divBdr>
        </w:div>
        <w:div w:id="1793983833">
          <w:marLeft w:val="0"/>
          <w:marRight w:val="0"/>
          <w:marTop w:val="0"/>
          <w:marBottom w:val="0"/>
          <w:divBdr>
            <w:top w:val="none" w:sz="0" w:space="0" w:color="auto"/>
            <w:left w:val="none" w:sz="0" w:space="0" w:color="auto"/>
            <w:bottom w:val="none" w:sz="0" w:space="0" w:color="auto"/>
            <w:right w:val="none" w:sz="0" w:space="0" w:color="auto"/>
          </w:divBdr>
        </w:div>
        <w:div w:id="806245953">
          <w:marLeft w:val="0"/>
          <w:marRight w:val="0"/>
          <w:marTop w:val="0"/>
          <w:marBottom w:val="0"/>
          <w:divBdr>
            <w:top w:val="none" w:sz="0" w:space="0" w:color="auto"/>
            <w:left w:val="none" w:sz="0" w:space="0" w:color="auto"/>
            <w:bottom w:val="none" w:sz="0" w:space="0" w:color="auto"/>
            <w:right w:val="none" w:sz="0" w:space="0" w:color="auto"/>
          </w:divBdr>
        </w:div>
        <w:div w:id="526989778">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003743">
      <w:bodyDiv w:val="1"/>
      <w:marLeft w:val="0"/>
      <w:marRight w:val="0"/>
      <w:marTop w:val="0"/>
      <w:marBottom w:val="0"/>
      <w:divBdr>
        <w:top w:val="none" w:sz="0" w:space="0" w:color="auto"/>
        <w:left w:val="none" w:sz="0" w:space="0" w:color="auto"/>
        <w:bottom w:val="none" w:sz="0" w:space="0" w:color="auto"/>
        <w:right w:val="none" w:sz="0" w:space="0" w:color="auto"/>
      </w:divBdr>
      <w:divsChild>
        <w:div w:id="767655073">
          <w:marLeft w:val="0"/>
          <w:marRight w:val="0"/>
          <w:marTop w:val="0"/>
          <w:marBottom w:val="0"/>
          <w:divBdr>
            <w:top w:val="none" w:sz="0" w:space="0" w:color="auto"/>
            <w:left w:val="none" w:sz="0" w:space="0" w:color="auto"/>
            <w:bottom w:val="none" w:sz="0" w:space="0" w:color="auto"/>
            <w:right w:val="none" w:sz="0" w:space="0" w:color="auto"/>
          </w:divBdr>
        </w:div>
        <w:div w:id="1626814703">
          <w:marLeft w:val="0"/>
          <w:marRight w:val="0"/>
          <w:marTop w:val="0"/>
          <w:marBottom w:val="0"/>
          <w:divBdr>
            <w:top w:val="none" w:sz="0" w:space="0" w:color="auto"/>
            <w:left w:val="none" w:sz="0" w:space="0" w:color="auto"/>
            <w:bottom w:val="none" w:sz="0" w:space="0" w:color="auto"/>
            <w:right w:val="none" w:sz="0" w:space="0" w:color="auto"/>
          </w:divBdr>
        </w:div>
        <w:div w:id="1134443401">
          <w:marLeft w:val="0"/>
          <w:marRight w:val="0"/>
          <w:marTop w:val="0"/>
          <w:marBottom w:val="0"/>
          <w:divBdr>
            <w:top w:val="none" w:sz="0" w:space="0" w:color="auto"/>
            <w:left w:val="none" w:sz="0" w:space="0" w:color="auto"/>
            <w:bottom w:val="none" w:sz="0" w:space="0" w:color="auto"/>
            <w:right w:val="none" w:sz="0" w:space="0" w:color="auto"/>
          </w:divBdr>
        </w:div>
        <w:div w:id="228153966">
          <w:marLeft w:val="0"/>
          <w:marRight w:val="0"/>
          <w:marTop w:val="0"/>
          <w:marBottom w:val="0"/>
          <w:divBdr>
            <w:top w:val="none" w:sz="0" w:space="0" w:color="auto"/>
            <w:left w:val="none" w:sz="0" w:space="0" w:color="auto"/>
            <w:bottom w:val="none" w:sz="0" w:space="0" w:color="auto"/>
            <w:right w:val="none" w:sz="0" w:space="0" w:color="auto"/>
          </w:divBdr>
        </w:div>
        <w:div w:id="1658072371">
          <w:marLeft w:val="0"/>
          <w:marRight w:val="0"/>
          <w:marTop w:val="0"/>
          <w:marBottom w:val="0"/>
          <w:divBdr>
            <w:top w:val="none" w:sz="0" w:space="0" w:color="auto"/>
            <w:left w:val="none" w:sz="0" w:space="0" w:color="auto"/>
            <w:bottom w:val="none" w:sz="0" w:space="0" w:color="auto"/>
            <w:right w:val="none" w:sz="0" w:space="0" w:color="auto"/>
          </w:divBdr>
        </w:div>
        <w:div w:id="6274733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tbinternet.ohchr.org/_layouts/treatybodyexternal/Download.aspx?symbolno=CERD%2fC%2fUSA%2fCO%2f7-9&amp;Lang=en" TargetMode="External"/><Relationship Id="rId7" Type="http://schemas.openxmlformats.org/officeDocument/2006/relationships/hyperlink" Target="http://www.oas.org/en/iachr/media_center/PReleases/2019/201.asp" TargetMode="External"/><Relationship Id="rId2" Type="http://schemas.openxmlformats.org/officeDocument/2006/relationships/hyperlink" Target="https://www.justice.gov/pardon/legal-authority-governing-executive-clemency" TargetMode="External"/><Relationship Id="rId1" Type="http://schemas.openxmlformats.org/officeDocument/2006/relationships/hyperlink" Target="https://www.justice.gov/pardon/legal-authority-governing-executive-clemency" TargetMode="External"/><Relationship Id="rId6" Type="http://schemas.openxmlformats.org/officeDocument/2006/relationships/hyperlink" Target="https://www.justice.gov/opa/pr/federal-government-resume-capital-punishment-after-nearly-two-decade-lapse" TargetMode="External"/><Relationship Id="rId5" Type="http://schemas.openxmlformats.org/officeDocument/2006/relationships/hyperlink" Target="http://www.consilium.europa.eu/uedocs/cmsUpload/10015.en08.pdf" TargetMode="External"/><Relationship Id="rId4" Type="http://schemas.openxmlformats.org/officeDocument/2006/relationships/hyperlink" Target="http://www.abanet.org/legalservices/downloads/%20sclaid/deathpenaltyguidelin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E52B4-0475-BD4B-B740-AD506A7B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14949</Words>
  <Characters>85212</Characters>
  <Application>Microsoft Office Word</Application>
  <DocSecurity>0</DocSecurity>
  <Lines>710</Lines>
  <Paragraphs>199</Paragraphs>
  <ScaleCrop>false</ScaleCrop>
  <Company/>
  <LinksUpToDate>false</LinksUpToDate>
  <CharactersWithSpaces>99962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2021-04-27T18:24:00Z</dcterms:created>
  <dcterms:modified xsi:type="dcterms:W3CDTF">2021-04-27T18:24:00Z</dcterms:modified>
</cp:coreProperties>
</file>