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80ED" w14:textId="77777777" w:rsidR="00040C3A" w:rsidRPr="00D2222C" w:rsidRDefault="006311DA" w:rsidP="001E4D7D">
      <w:pPr>
        <w:jc w:val="both"/>
        <w:rPr>
          <w:rFonts w:asciiTheme="majorHAnsi" w:hAnsiTheme="majorHAnsi" w:cs="Univers"/>
          <w:b/>
          <w:bCs/>
          <w:sz w:val="22"/>
          <w:szCs w:val="22"/>
          <w:lang w:val="es-ES_tradnl"/>
        </w:rPr>
      </w:pPr>
      <w:r w:rsidRPr="00D2222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0F0E2CA" wp14:editId="3439124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2CF6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2222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C7E54A2" wp14:editId="658183F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D89D8" w14:textId="77777777" w:rsidR="007E4368" w:rsidRDefault="007E4368">
                            <w:r>
                              <w:rPr>
                                <w:noProof/>
                              </w:rPr>
                              <w:drawing>
                                <wp:inline distT="0" distB="0" distL="0" distR="0" wp14:anchorId="523B4081" wp14:editId="462684B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E54A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3DD89D8" w14:textId="77777777" w:rsidR="007E4368" w:rsidRDefault="007E4368">
                      <w:r>
                        <w:rPr>
                          <w:noProof/>
                        </w:rPr>
                        <w:drawing>
                          <wp:inline distT="0" distB="0" distL="0" distR="0" wp14:anchorId="523B4081" wp14:editId="462684B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646D326" w14:textId="77777777" w:rsidR="00040C3A" w:rsidRPr="00D2222C" w:rsidRDefault="00040C3A" w:rsidP="00040C3A">
      <w:pPr>
        <w:tabs>
          <w:tab w:val="center" w:pos="5400"/>
        </w:tabs>
        <w:suppressAutoHyphens/>
        <w:jc w:val="both"/>
        <w:rPr>
          <w:rFonts w:asciiTheme="majorHAnsi" w:hAnsiTheme="majorHAnsi"/>
          <w:sz w:val="22"/>
          <w:szCs w:val="22"/>
          <w:lang w:val="es-ES"/>
        </w:rPr>
      </w:pPr>
    </w:p>
    <w:p w14:paraId="361F247C" w14:textId="77777777" w:rsidR="00040C3A" w:rsidRPr="00D2222C" w:rsidRDefault="00040C3A" w:rsidP="00040C3A">
      <w:pPr>
        <w:tabs>
          <w:tab w:val="center" w:pos="5400"/>
        </w:tabs>
        <w:suppressAutoHyphens/>
        <w:jc w:val="both"/>
        <w:rPr>
          <w:rFonts w:asciiTheme="majorHAnsi" w:hAnsiTheme="majorHAnsi"/>
          <w:sz w:val="22"/>
          <w:szCs w:val="22"/>
          <w:lang w:val="es-ES"/>
        </w:rPr>
      </w:pPr>
    </w:p>
    <w:p w14:paraId="63C76E0E" w14:textId="77777777" w:rsidR="005128E4" w:rsidRPr="00D2222C" w:rsidRDefault="005128E4" w:rsidP="00040C3A">
      <w:pPr>
        <w:tabs>
          <w:tab w:val="center" w:pos="5400"/>
        </w:tabs>
        <w:suppressAutoHyphens/>
        <w:rPr>
          <w:rFonts w:asciiTheme="majorHAnsi" w:hAnsiTheme="majorHAnsi"/>
          <w:sz w:val="22"/>
          <w:szCs w:val="22"/>
          <w:lang w:val="es-ES_tradnl"/>
        </w:rPr>
      </w:pPr>
    </w:p>
    <w:p w14:paraId="74D5F416" w14:textId="77777777" w:rsidR="005128E4" w:rsidRPr="00D2222C" w:rsidRDefault="005128E4" w:rsidP="00040C3A">
      <w:pPr>
        <w:tabs>
          <w:tab w:val="center" w:pos="5400"/>
        </w:tabs>
        <w:suppressAutoHyphens/>
        <w:rPr>
          <w:rFonts w:asciiTheme="majorHAnsi" w:hAnsiTheme="majorHAnsi"/>
          <w:sz w:val="22"/>
          <w:szCs w:val="22"/>
          <w:lang w:val="es-ES_tradnl"/>
        </w:rPr>
      </w:pPr>
    </w:p>
    <w:p w14:paraId="4F01EA80" w14:textId="77777777" w:rsidR="005128E4" w:rsidRPr="00D2222C" w:rsidRDefault="005128E4" w:rsidP="00040C3A">
      <w:pPr>
        <w:tabs>
          <w:tab w:val="center" w:pos="5400"/>
        </w:tabs>
        <w:suppressAutoHyphens/>
        <w:rPr>
          <w:rFonts w:asciiTheme="majorHAnsi" w:hAnsiTheme="majorHAnsi"/>
          <w:sz w:val="22"/>
          <w:szCs w:val="22"/>
          <w:lang w:val="es-ES_tradnl"/>
        </w:rPr>
      </w:pPr>
    </w:p>
    <w:p w14:paraId="178E09BE" w14:textId="77777777" w:rsidR="00040C3A" w:rsidRPr="00D2222C" w:rsidRDefault="00040C3A" w:rsidP="005128E4">
      <w:pPr>
        <w:tabs>
          <w:tab w:val="center" w:pos="5400"/>
        </w:tabs>
        <w:suppressAutoHyphens/>
        <w:jc w:val="center"/>
        <w:rPr>
          <w:rFonts w:asciiTheme="majorHAnsi" w:hAnsiTheme="majorHAnsi"/>
          <w:sz w:val="22"/>
          <w:szCs w:val="22"/>
          <w:lang w:val="es-ES_tradnl"/>
        </w:rPr>
      </w:pPr>
    </w:p>
    <w:p w14:paraId="3F187E50" w14:textId="77777777" w:rsidR="00040C3A" w:rsidRPr="00D2222C" w:rsidRDefault="00DA1520" w:rsidP="005128E4">
      <w:pPr>
        <w:tabs>
          <w:tab w:val="center" w:pos="5400"/>
        </w:tabs>
        <w:suppressAutoHyphens/>
        <w:jc w:val="center"/>
        <w:rPr>
          <w:rFonts w:asciiTheme="majorHAnsi" w:hAnsiTheme="majorHAnsi"/>
          <w:sz w:val="22"/>
          <w:szCs w:val="22"/>
          <w:lang w:val="es-ES_tradnl"/>
        </w:rPr>
      </w:pPr>
      <w:r w:rsidRPr="00D2222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34B1346D" wp14:editId="0D34FB8A">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6F5E6" w14:textId="77777777" w:rsidR="007E4368" w:rsidRDefault="007E4368" w:rsidP="004B7EB6">
                            <w:pPr>
                              <w:spacing w:line="276" w:lineRule="auto"/>
                              <w:rPr>
                                <w:rFonts w:asciiTheme="majorHAnsi" w:hAnsiTheme="majorHAnsi" w:cs="Arial"/>
                                <w:b/>
                                <w:bCs/>
                                <w:color w:val="0D0D0D" w:themeColor="text1" w:themeTint="F2"/>
                                <w:sz w:val="36"/>
                                <w:szCs w:val="40"/>
                              </w:rPr>
                            </w:pPr>
                          </w:p>
                          <w:p w14:paraId="2A9448CE" w14:textId="77777777" w:rsidR="007E4368" w:rsidRDefault="007E4368" w:rsidP="004B7EB6">
                            <w:pPr>
                              <w:spacing w:line="276" w:lineRule="auto"/>
                              <w:rPr>
                                <w:rFonts w:asciiTheme="majorHAnsi" w:hAnsiTheme="majorHAnsi" w:cs="Arial"/>
                                <w:b/>
                                <w:bCs/>
                                <w:color w:val="0D0D0D" w:themeColor="text1" w:themeTint="F2"/>
                                <w:sz w:val="36"/>
                                <w:szCs w:val="40"/>
                              </w:rPr>
                            </w:pPr>
                          </w:p>
                          <w:p w14:paraId="15B9CEEB" w14:textId="77777777" w:rsidR="007E4368" w:rsidRDefault="007E4368" w:rsidP="004B7EB6">
                            <w:pPr>
                              <w:spacing w:line="276" w:lineRule="auto"/>
                              <w:rPr>
                                <w:rFonts w:asciiTheme="majorHAnsi" w:hAnsiTheme="majorHAnsi" w:cs="Arial"/>
                                <w:b/>
                                <w:bCs/>
                                <w:color w:val="0D0D0D" w:themeColor="text1" w:themeTint="F2"/>
                                <w:sz w:val="36"/>
                                <w:szCs w:val="40"/>
                              </w:rPr>
                            </w:pPr>
                          </w:p>
                          <w:p w14:paraId="1443DD2C" w14:textId="77777777" w:rsidR="007E4368" w:rsidRPr="004B7EB6" w:rsidRDefault="007E436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61687">
                              <w:rPr>
                                <w:rFonts w:asciiTheme="majorHAnsi" w:hAnsiTheme="majorHAnsi" w:cs="Arial"/>
                                <w:b/>
                                <w:bCs/>
                                <w:color w:val="0D0D0D" w:themeColor="text1" w:themeTint="F2"/>
                                <w:sz w:val="36"/>
                                <w:szCs w:val="40"/>
                              </w:rPr>
                              <w:t>28/20</w:t>
                            </w:r>
                          </w:p>
                          <w:p w14:paraId="0A88A59F" w14:textId="77777777" w:rsidR="007E4368" w:rsidRPr="004B7EB6" w:rsidRDefault="007E436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719</w:t>
                            </w:r>
                          </w:p>
                          <w:p w14:paraId="374686ED" w14:textId="77777777" w:rsidR="007E4368" w:rsidRPr="004B7EB6" w:rsidRDefault="007E4368"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(PUBLICATION)</w:t>
                            </w:r>
                          </w:p>
                          <w:p w14:paraId="27B2F47C" w14:textId="77777777" w:rsidR="007E4368" w:rsidRPr="004B7EB6" w:rsidRDefault="007E4368" w:rsidP="004B7EB6">
                            <w:pPr>
                              <w:spacing w:line="276" w:lineRule="auto"/>
                              <w:rPr>
                                <w:rFonts w:asciiTheme="majorHAnsi" w:hAnsiTheme="majorHAnsi" w:cs="Arial"/>
                                <w:color w:val="0D0D0D" w:themeColor="text1" w:themeTint="F2"/>
                                <w:szCs w:val="22"/>
                              </w:rPr>
                            </w:pPr>
                          </w:p>
                          <w:p w14:paraId="175A1057" w14:textId="77777777" w:rsidR="007E4368" w:rsidRPr="00444596" w:rsidRDefault="007E4368" w:rsidP="004B7EB6">
                            <w:pPr>
                              <w:spacing w:line="276" w:lineRule="auto"/>
                              <w:rPr>
                                <w:rFonts w:asciiTheme="majorHAnsi" w:hAnsiTheme="majorHAnsi" w:cs="Arial"/>
                                <w:color w:val="0D0D0D" w:themeColor="text1" w:themeTint="F2"/>
                                <w:szCs w:val="22"/>
                              </w:rPr>
                            </w:pPr>
                            <w:r w:rsidRPr="00444596">
                              <w:rPr>
                                <w:rFonts w:asciiTheme="majorHAnsi" w:hAnsiTheme="majorHAnsi" w:cs="Arial"/>
                                <w:color w:val="0D0D0D" w:themeColor="text1" w:themeTint="F2"/>
                                <w:szCs w:val="22"/>
                              </w:rPr>
                              <w:t>ORLANDO CORDIA HALL</w:t>
                            </w:r>
                          </w:p>
                          <w:p w14:paraId="7531A488" w14:textId="77777777" w:rsidR="007E4368" w:rsidRPr="00E57833" w:rsidRDefault="007E436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1346D"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14:paraId="4E86F5E6" w14:textId="77777777" w:rsidR="007E4368" w:rsidRDefault="007E4368" w:rsidP="004B7EB6">
                      <w:pPr>
                        <w:spacing w:line="276" w:lineRule="auto"/>
                        <w:rPr>
                          <w:rFonts w:asciiTheme="majorHAnsi" w:hAnsiTheme="majorHAnsi" w:cs="Arial"/>
                          <w:b/>
                          <w:bCs/>
                          <w:color w:val="0D0D0D" w:themeColor="text1" w:themeTint="F2"/>
                          <w:sz w:val="36"/>
                          <w:szCs w:val="40"/>
                        </w:rPr>
                      </w:pPr>
                    </w:p>
                    <w:p w14:paraId="2A9448CE" w14:textId="77777777" w:rsidR="007E4368" w:rsidRDefault="007E4368" w:rsidP="004B7EB6">
                      <w:pPr>
                        <w:spacing w:line="276" w:lineRule="auto"/>
                        <w:rPr>
                          <w:rFonts w:asciiTheme="majorHAnsi" w:hAnsiTheme="majorHAnsi" w:cs="Arial"/>
                          <w:b/>
                          <w:bCs/>
                          <w:color w:val="0D0D0D" w:themeColor="text1" w:themeTint="F2"/>
                          <w:sz w:val="36"/>
                          <w:szCs w:val="40"/>
                        </w:rPr>
                      </w:pPr>
                    </w:p>
                    <w:p w14:paraId="15B9CEEB" w14:textId="77777777" w:rsidR="007E4368" w:rsidRDefault="007E4368" w:rsidP="004B7EB6">
                      <w:pPr>
                        <w:spacing w:line="276" w:lineRule="auto"/>
                        <w:rPr>
                          <w:rFonts w:asciiTheme="majorHAnsi" w:hAnsiTheme="majorHAnsi" w:cs="Arial"/>
                          <w:b/>
                          <w:bCs/>
                          <w:color w:val="0D0D0D" w:themeColor="text1" w:themeTint="F2"/>
                          <w:sz w:val="36"/>
                          <w:szCs w:val="40"/>
                        </w:rPr>
                      </w:pPr>
                    </w:p>
                    <w:p w14:paraId="1443DD2C" w14:textId="77777777" w:rsidR="007E4368" w:rsidRPr="004B7EB6" w:rsidRDefault="007E436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61687">
                        <w:rPr>
                          <w:rFonts w:asciiTheme="majorHAnsi" w:hAnsiTheme="majorHAnsi" w:cs="Arial"/>
                          <w:b/>
                          <w:bCs/>
                          <w:color w:val="0D0D0D" w:themeColor="text1" w:themeTint="F2"/>
                          <w:sz w:val="36"/>
                          <w:szCs w:val="40"/>
                        </w:rPr>
                        <w:t>28/20</w:t>
                      </w:r>
                    </w:p>
                    <w:p w14:paraId="0A88A59F" w14:textId="77777777" w:rsidR="007E4368" w:rsidRPr="004B7EB6" w:rsidRDefault="007E436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719</w:t>
                      </w:r>
                    </w:p>
                    <w:p w14:paraId="374686ED" w14:textId="77777777" w:rsidR="007E4368" w:rsidRPr="004B7EB6" w:rsidRDefault="007E4368"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(PUBLICATION)</w:t>
                      </w:r>
                    </w:p>
                    <w:p w14:paraId="27B2F47C" w14:textId="77777777" w:rsidR="007E4368" w:rsidRPr="004B7EB6" w:rsidRDefault="007E4368" w:rsidP="004B7EB6">
                      <w:pPr>
                        <w:spacing w:line="276" w:lineRule="auto"/>
                        <w:rPr>
                          <w:rFonts w:asciiTheme="majorHAnsi" w:hAnsiTheme="majorHAnsi" w:cs="Arial"/>
                          <w:color w:val="0D0D0D" w:themeColor="text1" w:themeTint="F2"/>
                          <w:szCs w:val="22"/>
                        </w:rPr>
                      </w:pPr>
                    </w:p>
                    <w:p w14:paraId="175A1057" w14:textId="77777777" w:rsidR="007E4368" w:rsidRPr="00444596" w:rsidRDefault="007E4368" w:rsidP="004B7EB6">
                      <w:pPr>
                        <w:spacing w:line="276" w:lineRule="auto"/>
                        <w:rPr>
                          <w:rFonts w:asciiTheme="majorHAnsi" w:hAnsiTheme="majorHAnsi" w:cs="Arial"/>
                          <w:color w:val="0D0D0D" w:themeColor="text1" w:themeTint="F2"/>
                          <w:szCs w:val="22"/>
                        </w:rPr>
                      </w:pPr>
                      <w:r w:rsidRPr="00444596">
                        <w:rPr>
                          <w:rFonts w:asciiTheme="majorHAnsi" w:hAnsiTheme="majorHAnsi" w:cs="Arial"/>
                          <w:color w:val="0D0D0D" w:themeColor="text1" w:themeTint="F2"/>
                          <w:szCs w:val="22"/>
                        </w:rPr>
                        <w:t>ORLANDO CORDIA HALL</w:t>
                      </w:r>
                    </w:p>
                    <w:p w14:paraId="7531A488" w14:textId="77777777" w:rsidR="007E4368" w:rsidRPr="00E57833" w:rsidRDefault="007E436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UNITED STATES OF AMERICA</w:t>
                      </w:r>
                    </w:p>
                  </w:txbxContent>
                </v:textbox>
              </v:shape>
            </w:pict>
          </mc:Fallback>
        </mc:AlternateContent>
      </w:r>
    </w:p>
    <w:p w14:paraId="29B2970F" w14:textId="77777777" w:rsidR="005B52B0" w:rsidRPr="00D2222C" w:rsidRDefault="005B52B0" w:rsidP="005128E4">
      <w:pPr>
        <w:tabs>
          <w:tab w:val="center" w:pos="5400"/>
        </w:tabs>
        <w:suppressAutoHyphens/>
        <w:jc w:val="center"/>
        <w:rPr>
          <w:rFonts w:asciiTheme="majorHAnsi" w:hAnsiTheme="majorHAnsi"/>
          <w:sz w:val="22"/>
          <w:szCs w:val="22"/>
          <w:lang w:val="es-ES_tradnl"/>
        </w:rPr>
      </w:pPr>
    </w:p>
    <w:p w14:paraId="4359E5AD" w14:textId="77777777" w:rsidR="005B52B0" w:rsidRPr="00D2222C" w:rsidRDefault="005B52B0" w:rsidP="005128E4">
      <w:pPr>
        <w:tabs>
          <w:tab w:val="center" w:pos="5400"/>
        </w:tabs>
        <w:suppressAutoHyphens/>
        <w:jc w:val="center"/>
        <w:rPr>
          <w:rFonts w:asciiTheme="majorHAnsi" w:hAnsiTheme="majorHAnsi"/>
          <w:sz w:val="22"/>
          <w:szCs w:val="22"/>
          <w:lang w:val="es-ES_tradnl"/>
        </w:rPr>
      </w:pPr>
    </w:p>
    <w:p w14:paraId="6ACD05C5" w14:textId="77777777" w:rsidR="005B52B0" w:rsidRPr="00D2222C" w:rsidRDefault="005B52B0" w:rsidP="005128E4">
      <w:pPr>
        <w:tabs>
          <w:tab w:val="center" w:pos="5400"/>
        </w:tabs>
        <w:suppressAutoHyphens/>
        <w:jc w:val="center"/>
        <w:rPr>
          <w:rFonts w:asciiTheme="majorHAnsi" w:hAnsiTheme="majorHAnsi"/>
          <w:sz w:val="22"/>
          <w:szCs w:val="22"/>
          <w:lang w:val="es-ES_tradnl"/>
        </w:rPr>
      </w:pPr>
    </w:p>
    <w:p w14:paraId="5663544C"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3BA5B9A8"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5FD037E6"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51FD5289" w14:textId="77777777" w:rsidR="00040C3A" w:rsidRPr="00D2222C" w:rsidRDefault="004B7EB6" w:rsidP="00040C3A">
      <w:pPr>
        <w:tabs>
          <w:tab w:val="center" w:pos="5400"/>
        </w:tabs>
        <w:suppressAutoHyphens/>
        <w:jc w:val="center"/>
        <w:rPr>
          <w:rFonts w:asciiTheme="majorHAnsi" w:hAnsiTheme="majorHAnsi"/>
          <w:sz w:val="22"/>
          <w:szCs w:val="22"/>
          <w:lang w:val="es-ES_tradnl"/>
        </w:rPr>
      </w:pPr>
      <w:r w:rsidRPr="00D2222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4A28A9D" wp14:editId="2AAC8CB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74B36" w14:textId="77777777" w:rsidR="007E4368" w:rsidRPr="00326763" w:rsidRDefault="00261687" w:rsidP="002C1641">
                            <w:pPr>
                              <w:jc w:val="right"/>
                              <w:rPr>
                                <w:rFonts w:asciiTheme="minorHAnsi" w:hAnsiTheme="minorHAnsi"/>
                                <w:color w:val="FFFFFF" w:themeColor="background1"/>
                                <w:sz w:val="22"/>
                              </w:rPr>
                            </w:pPr>
                            <w:r w:rsidRPr="00326763">
                              <w:rPr>
                                <w:rFonts w:asciiTheme="minorHAnsi" w:hAnsiTheme="minorHAnsi"/>
                                <w:color w:val="FFFFFF" w:themeColor="background1"/>
                                <w:sz w:val="22"/>
                              </w:rPr>
                              <w:t>OEA/Ser.L/V/II</w:t>
                            </w:r>
                          </w:p>
                          <w:p w14:paraId="22FD5459" w14:textId="77777777" w:rsidR="007E4368" w:rsidRPr="00326763" w:rsidRDefault="00261687" w:rsidP="002C1641">
                            <w:pPr>
                              <w:jc w:val="right"/>
                              <w:rPr>
                                <w:rFonts w:asciiTheme="minorHAnsi" w:hAnsiTheme="minorHAnsi"/>
                                <w:color w:val="FFFFFF" w:themeColor="background1"/>
                                <w:sz w:val="22"/>
                              </w:rPr>
                            </w:pPr>
                            <w:r w:rsidRPr="00326763">
                              <w:rPr>
                                <w:rFonts w:asciiTheme="minorHAnsi" w:hAnsiTheme="minorHAnsi"/>
                                <w:color w:val="FFFFFF" w:themeColor="background1"/>
                                <w:sz w:val="22"/>
                              </w:rPr>
                              <w:t>Doc. 38</w:t>
                            </w:r>
                          </w:p>
                          <w:p w14:paraId="6B99AC60" w14:textId="77777777" w:rsidR="007E4368" w:rsidRPr="004B7EB6" w:rsidRDefault="00261687" w:rsidP="002C1641">
                            <w:pPr>
                              <w:jc w:val="right"/>
                              <w:rPr>
                                <w:rFonts w:asciiTheme="minorHAnsi" w:hAnsiTheme="minorHAnsi"/>
                                <w:color w:val="FFFFFF" w:themeColor="background1"/>
                                <w:sz w:val="22"/>
                              </w:rPr>
                            </w:pPr>
                            <w:r>
                              <w:rPr>
                                <w:rFonts w:asciiTheme="minorHAnsi" w:hAnsiTheme="minorHAnsi"/>
                                <w:color w:val="FFFFFF" w:themeColor="background1"/>
                                <w:sz w:val="22"/>
                              </w:rPr>
                              <w:t>April 22, 2020</w:t>
                            </w:r>
                          </w:p>
                          <w:p w14:paraId="0176DB1C" w14:textId="77777777" w:rsidR="007E4368" w:rsidRPr="004B7EB6" w:rsidRDefault="007E436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8A9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EA74B36" w14:textId="77777777" w:rsidR="007E4368" w:rsidRPr="00326763" w:rsidRDefault="00261687" w:rsidP="002C1641">
                      <w:pPr>
                        <w:jc w:val="right"/>
                        <w:rPr>
                          <w:rFonts w:asciiTheme="minorHAnsi" w:hAnsiTheme="minorHAnsi"/>
                          <w:color w:val="FFFFFF" w:themeColor="background1"/>
                          <w:sz w:val="22"/>
                        </w:rPr>
                      </w:pPr>
                      <w:r w:rsidRPr="00326763">
                        <w:rPr>
                          <w:rFonts w:asciiTheme="minorHAnsi" w:hAnsiTheme="minorHAnsi"/>
                          <w:color w:val="FFFFFF" w:themeColor="background1"/>
                          <w:sz w:val="22"/>
                        </w:rPr>
                        <w:t>OEA/Ser.L/V/II</w:t>
                      </w:r>
                    </w:p>
                    <w:p w14:paraId="22FD5459" w14:textId="77777777" w:rsidR="007E4368" w:rsidRPr="00326763" w:rsidRDefault="00261687" w:rsidP="002C1641">
                      <w:pPr>
                        <w:jc w:val="right"/>
                        <w:rPr>
                          <w:rFonts w:asciiTheme="minorHAnsi" w:hAnsiTheme="minorHAnsi"/>
                          <w:color w:val="FFFFFF" w:themeColor="background1"/>
                          <w:sz w:val="22"/>
                        </w:rPr>
                      </w:pPr>
                      <w:r w:rsidRPr="00326763">
                        <w:rPr>
                          <w:rFonts w:asciiTheme="minorHAnsi" w:hAnsiTheme="minorHAnsi"/>
                          <w:color w:val="FFFFFF" w:themeColor="background1"/>
                          <w:sz w:val="22"/>
                        </w:rPr>
                        <w:t>Doc. 38</w:t>
                      </w:r>
                    </w:p>
                    <w:p w14:paraId="6B99AC60" w14:textId="77777777" w:rsidR="007E4368" w:rsidRPr="004B7EB6" w:rsidRDefault="00261687" w:rsidP="002C1641">
                      <w:pPr>
                        <w:jc w:val="right"/>
                        <w:rPr>
                          <w:rFonts w:asciiTheme="minorHAnsi" w:hAnsiTheme="minorHAnsi"/>
                          <w:color w:val="FFFFFF" w:themeColor="background1"/>
                          <w:sz w:val="22"/>
                        </w:rPr>
                      </w:pPr>
                      <w:r>
                        <w:rPr>
                          <w:rFonts w:asciiTheme="minorHAnsi" w:hAnsiTheme="minorHAnsi"/>
                          <w:color w:val="FFFFFF" w:themeColor="background1"/>
                          <w:sz w:val="22"/>
                        </w:rPr>
                        <w:t>April 22, 2020</w:t>
                      </w:r>
                    </w:p>
                    <w:p w14:paraId="0176DB1C" w14:textId="77777777" w:rsidR="007E4368" w:rsidRPr="004B7EB6" w:rsidRDefault="007E436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7E5445C1"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02050437" w14:textId="77777777" w:rsidR="00040C3A" w:rsidRPr="00D2222C" w:rsidRDefault="00040C3A" w:rsidP="00040C3A">
      <w:pPr>
        <w:tabs>
          <w:tab w:val="center" w:pos="5400"/>
        </w:tabs>
        <w:suppressAutoHyphens/>
        <w:jc w:val="center"/>
        <w:rPr>
          <w:rFonts w:asciiTheme="majorHAnsi" w:hAnsiTheme="majorHAnsi" w:cs="Arial"/>
          <w:sz w:val="22"/>
          <w:szCs w:val="22"/>
          <w:lang w:val="es-ES_tradnl"/>
        </w:rPr>
      </w:pPr>
    </w:p>
    <w:p w14:paraId="157F5247"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50842C49"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79A3C9BA"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1B7EE347"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6DE1D443" w14:textId="77777777" w:rsidR="005128E4" w:rsidRPr="00D2222C" w:rsidRDefault="005128E4" w:rsidP="00040C3A">
      <w:pPr>
        <w:tabs>
          <w:tab w:val="center" w:pos="5400"/>
        </w:tabs>
        <w:suppressAutoHyphens/>
        <w:jc w:val="center"/>
        <w:rPr>
          <w:rFonts w:asciiTheme="majorHAnsi" w:hAnsiTheme="majorHAnsi"/>
          <w:sz w:val="22"/>
          <w:szCs w:val="22"/>
          <w:lang w:val="es-ES_tradnl"/>
        </w:rPr>
      </w:pPr>
    </w:p>
    <w:p w14:paraId="0B98F465"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05E48975" w14:textId="77777777" w:rsidR="005128E4" w:rsidRPr="00D2222C" w:rsidRDefault="005128E4" w:rsidP="00040C3A">
      <w:pPr>
        <w:tabs>
          <w:tab w:val="center" w:pos="5400"/>
        </w:tabs>
        <w:suppressAutoHyphens/>
        <w:jc w:val="center"/>
        <w:rPr>
          <w:rFonts w:asciiTheme="majorHAnsi" w:hAnsiTheme="majorHAnsi"/>
          <w:sz w:val="22"/>
          <w:szCs w:val="22"/>
          <w:lang w:val="es-ES_tradnl"/>
        </w:rPr>
      </w:pPr>
    </w:p>
    <w:p w14:paraId="2B79FAE9" w14:textId="77777777" w:rsidR="005128E4" w:rsidRPr="00D2222C" w:rsidRDefault="005128E4" w:rsidP="00040C3A">
      <w:pPr>
        <w:tabs>
          <w:tab w:val="center" w:pos="5400"/>
        </w:tabs>
        <w:suppressAutoHyphens/>
        <w:jc w:val="center"/>
        <w:rPr>
          <w:rFonts w:asciiTheme="majorHAnsi" w:hAnsiTheme="majorHAnsi"/>
          <w:sz w:val="22"/>
          <w:szCs w:val="22"/>
          <w:lang w:val="es-ES_tradnl"/>
        </w:rPr>
      </w:pPr>
    </w:p>
    <w:p w14:paraId="019B9956" w14:textId="77777777" w:rsidR="005128E4" w:rsidRPr="00D2222C" w:rsidRDefault="005128E4" w:rsidP="00040C3A">
      <w:pPr>
        <w:tabs>
          <w:tab w:val="center" w:pos="5400"/>
        </w:tabs>
        <w:suppressAutoHyphens/>
        <w:jc w:val="center"/>
        <w:rPr>
          <w:rFonts w:asciiTheme="majorHAnsi" w:hAnsiTheme="majorHAnsi"/>
          <w:sz w:val="22"/>
          <w:szCs w:val="22"/>
          <w:lang w:val="es-ES_tradnl"/>
        </w:rPr>
      </w:pPr>
    </w:p>
    <w:p w14:paraId="49561FCE"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080EF815" w14:textId="77777777" w:rsidR="00040C3A" w:rsidRPr="00D2222C" w:rsidRDefault="00040C3A" w:rsidP="00040C3A">
      <w:pPr>
        <w:tabs>
          <w:tab w:val="center" w:pos="5400"/>
        </w:tabs>
        <w:suppressAutoHyphens/>
        <w:jc w:val="center"/>
        <w:rPr>
          <w:rFonts w:asciiTheme="majorHAnsi" w:hAnsiTheme="majorHAnsi"/>
          <w:sz w:val="22"/>
          <w:szCs w:val="22"/>
          <w:lang w:val="es-ES_tradnl"/>
        </w:rPr>
      </w:pPr>
    </w:p>
    <w:p w14:paraId="414FFF31"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34FDD22B"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08748D85"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7A65EF3F"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33982C1D"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6FE1217C"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2ACE80CB"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4F2FB134"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73AE0056"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754FEB62"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16061075"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01B203BE"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25463C15" w14:textId="77777777" w:rsidR="002C1641" w:rsidRPr="00D2222C" w:rsidRDefault="003C32BC" w:rsidP="00040C3A">
      <w:pPr>
        <w:tabs>
          <w:tab w:val="center" w:pos="5400"/>
        </w:tabs>
        <w:suppressAutoHyphens/>
        <w:jc w:val="center"/>
        <w:rPr>
          <w:rFonts w:asciiTheme="majorHAnsi" w:hAnsiTheme="majorHAnsi"/>
          <w:sz w:val="18"/>
          <w:szCs w:val="22"/>
          <w:lang w:val="es-ES_tradnl"/>
        </w:rPr>
      </w:pPr>
      <w:r w:rsidRPr="00D2222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89E2C1B" wp14:editId="270EDE6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94B1D" w14:textId="77777777" w:rsidR="007E4368" w:rsidRPr="003C32BC" w:rsidRDefault="007E436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w:t>
                            </w:r>
                            <w:r>
                              <w:rPr>
                                <w:rFonts w:asciiTheme="majorHAnsi" w:hAnsiTheme="majorHAnsi"/>
                                <w:color w:val="0D0D0D" w:themeColor="text1" w:themeTint="F2"/>
                                <w:sz w:val="18"/>
                                <w:szCs w:val="20"/>
                              </w:rPr>
                              <w:t>the</w:t>
                            </w:r>
                            <w:r w:rsidR="00261687">
                              <w:rPr>
                                <w:rFonts w:asciiTheme="majorHAnsi" w:hAnsiTheme="majorHAnsi"/>
                                <w:color w:val="0D0D0D" w:themeColor="text1" w:themeTint="F2"/>
                                <w:sz w:val="18"/>
                                <w:szCs w:val="20"/>
                              </w:rPr>
                              <w:t xml:space="preserve"> Inter-American Commission on April 22, 2020</w:t>
                            </w:r>
                            <w:r>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E2C1B"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3E394B1D" w14:textId="77777777" w:rsidR="007E4368" w:rsidRPr="003C32BC" w:rsidRDefault="007E436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w:t>
                      </w:r>
                      <w:r>
                        <w:rPr>
                          <w:rFonts w:asciiTheme="majorHAnsi" w:hAnsiTheme="majorHAnsi"/>
                          <w:color w:val="0D0D0D" w:themeColor="text1" w:themeTint="F2"/>
                          <w:sz w:val="18"/>
                          <w:szCs w:val="20"/>
                        </w:rPr>
                        <w:t>the</w:t>
                      </w:r>
                      <w:r w:rsidR="00261687">
                        <w:rPr>
                          <w:rFonts w:asciiTheme="majorHAnsi" w:hAnsiTheme="majorHAnsi"/>
                          <w:color w:val="0D0D0D" w:themeColor="text1" w:themeTint="F2"/>
                          <w:sz w:val="18"/>
                          <w:szCs w:val="20"/>
                        </w:rPr>
                        <w:t xml:space="preserve"> Inter-American Commission on April 22, 2020</w:t>
                      </w:r>
                      <w:r>
                        <w:rPr>
                          <w:rFonts w:asciiTheme="majorHAnsi" w:hAnsiTheme="majorHAnsi"/>
                          <w:color w:val="0D0D0D" w:themeColor="text1" w:themeTint="F2"/>
                          <w:sz w:val="18"/>
                          <w:szCs w:val="20"/>
                        </w:rPr>
                        <w:t>.</w:t>
                      </w:r>
                    </w:p>
                  </w:txbxContent>
                </v:textbox>
              </v:shape>
            </w:pict>
          </mc:Fallback>
        </mc:AlternateContent>
      </w:r>
    </w:p>
    <w:p w14:paraId="127BC3FB"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311A3034"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54B80153"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32179D1A"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4EF2C104" w14:textId="77777777" w:rsidR="002C1641" w:rsidRPr="00D2222C" w:rsidRDefault="003C32BC" w:rsidP="00040C3A">
      <w:pPr>
        <w:tabs>
          <w:tab w:val="center" w:pos="5400"/>
        </w:tabs>
        <w:suppressAutoHyphens/>
        <w:jc w:val="center"/>
        <w:rPr>
          <w:rFonts w:asciiTheme="majorHAnsi" w:hAnsiTheme="majorHAnsi"/>
          <w:sz w:val="18"/>
          <w:szCs w:val="22"/>
          <w:lang w:val="es-ES_tradnl"/>
        </w:rPr>
      </w:pPr>
      <w:r w:rsidRPr="00D2222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077D48B" wp14:editId="10217CE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5017" w14:textId="77777777" w:rsidR="007E4368" w:rsidRPr="003C32BC" w:rsidRDefault="007E4368"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61687">
                              <w:rPr>
                                <w:rFonts w:asciiTheme="majorHAnsi" w:hAnsiTheme="majorHAnsi"/>
                                <w:color w:val="595959" w:themeColor="text1" w:themeTint="A6"/>
                                <w:sz w:val="18"/>
                              </w:rPr>
                              <w:t>28/20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12.719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Orlando Cordia Hall. United States of America.</w:t>
                            </w:r>
                            <w:r w:rsidRPr="007607C4">
                              <w:rPr>
                                <w:rFonts w:asciiTheme="majorHAnsi" w:hAnsiTheme="majorHAnsi"/>
                                <w:color w:val="595959" w:themeColor="text1" w:themeTint="A6"/>
                                <w:sz w:val="18"/>
                              </w:rPr>
                              <w:t xml:space="preserve"> </w:t>
                            </w:r>
                            <w:r w:rsidR="00261687">
                              <w:rPr>
                                <w:rFonts w:asciiTheme="majorHAnsi" w:hAnsiTheme="majorHAnsi"/>
                                <w:color w:val="595959" w:themeColor="text1" w:themeTint="A6"/>
                                <w:sz w:val="18"/>
                              </w:rPr>
                              <w:t>April 22</w:t>
                            </w:r>
                            <w:r>
                              <w:rPr>
                                <w:rFonts w:asciiTheme="majorHAnsi" w:hAnsiTheme="majorHAnsi"/>
                                <w:color w:val="595959" w:themeColor="text1" w:themeTint="A6"/>
                                <w:sz w:val="18"/>
                              </w:rPr>
                              <w:t>,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D48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BA55017" w14:textId="77777777" w:rsidR="007E4368" w:rsidRPr="003C32BC" w:rsidRDefault="007E4368"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61687">
                        <w:rPr>
                          <w:rFonts w:asciiTheme="majorHAnsi" w:hAnsiTheme="majorHAnsi"/>
                          <w:color w:val="595959" w:themeColor="text1" w:themeTint="A6"/>
                          <w:sz w:val="18"/>
                        </w:rPr>
                        <w:t>28/20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12.719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Orlando Cordia Hall. United States of America.</w:t>
                      </w:r>
                      <w:r w:rsidRPr="007607C4">
                        <w:rPr>
                          <w:rFonts w:asciiTheme="majorHAnsi" w:hAnsiTheme="majorHAnsi"/>
                          <w:color w:val="595959" w:themeColor="text1" w:themeTint="A6"/>
                          <w:sz w:val="18"/>
                        </w:rPr>
                        <w:t xml:space="preserve"> </w:t>
                      </w:r>
                      <w:r w:rsidR="00261687">
                        <w:rPr>
                          <w:rFonts w:asciiTheme="majorHAnsi" w:hAnsiTheme="majorHAnsi"/>
                          <w:color w:val="595959" w:themeColor="text1" w:themeTint="A6"/>
                          <w:sz w:val="18"/>
                        </w:rPr>
                        <w:t>April 22</w:t>
                      </w:r>
                      <w:r>
                        <w:rPr>
                          <w:rFonts w:asciiTheme="majorHAnsi" w:hAnsiTheme="majorHAnsi"/>
                          <w:color w:val="595959" w:themeColor="text1" w:themeTint="A6"/>
                          <w:sz w:val="18"/>
                        </w:rPr>
                        <w:t>, 2019</w:t>
                      </w:r>
                      <w:r w:rsidRPr="007607C4">
                        <w:rPr>
                          <w:rFonts w:asciiTheme="majorHAnsi" w:hAnsiTheme="majorHAnsi"/>
                          <w:color w:val="595959" w:themeColor="text1" w:themeTint="A6"/>
                          <w:sz w:val="18"/>
                        </w:rPr>
                        <w:t>.</w:t>
                      </w:r>
                    </w:p>
                  </w:txbxContent>
                </v:textbox>
              </v:shape>
            </w:pict>
          </mc:Fallback>
        </mc:AlternateContent>
      </w:r>
    </w:p>
    <w:p w14:paraId="51E396BC"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231A93CC" w14:textId="77777777" w:rsidR="002C1641" w:rsidRPr="00D2222C" w:rsidRDefault="002C1641" w:rsidP="00040C3A">
      <w:pPr>
        <w:tabs>
          <w:tab w:val="center" w:pos="5400"/>
        </w:tabs>
        <w:suppressAutoHyphens/>
        <w:jc w:val="center"/>
        <w:rPr>
          <w:rFonts w:asciiTheme="majorHAnsi" w:hAnsiTheme="majorHAnsi"/>
          <w:sz w:val="18"/>
          <w:szCs w:val="22"/>
          <w:lang w:val="es-ES_tradnl"/>
        </w:rPr>
      </w:pPr>
    </w:p>
    <w:p w14:paraId="4DA4C95B" w14:textId="77777777" w:rsidR="003C32BC" w:rsidRPr="00D2222C" w:rsidRDefault="003C32BC" w:rsidP="003C32BC">
      <w:pPr>
        <w:tabs>
          <w:tab w:val="center" w:pos="5400"/>
        </w:tabs>
        <w:suppressAutoHyphens/>
        <w:jc w:val="center"/>
        <w:rPr>
          <w:rFonts w:asciiTheme="majorHAnsi" w:hAnsiTheme="majorHAnsi"/>
          <w:sz w:val="18"/>
          <w:szCs w:val="22"/>
        </w:rPr>
      </w:pPr>
    </w:p>
    <w:p w14:paraId="45CD9681" w14:textId="77777777" w:rsidR="003C32BC" w:rsidRPr="00D2222C" w:rsidRDefault="006311DA" w:rsidP="003C32BC">
      <w:pPr>
        <w:tabs>
          <w:tab w:val="center" w:pos="5400"/>
        </w:tabs>
        <w:suppressAutoHyphens/>
        <w:jc w:val="center"/>
        <w:rPr>
          <w:rFonts w:asciiTheme="majorHAnsi" w:hAnsiTheme="majorHAnsi"/>
          <w:sz w:val="18"/>
          <w:szCs w:val="22"/>
        </w:rPr>
      </w:pPr>
      <w:r w:rsidRPr="00D2222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FC1DB1F" wp14:editId="7B002FD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FBDD9" w14:textId="77777777" w:rsidR="007E4368" w:rsidRPr="004B7EB6" w:rsidRDefault="007E436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DB1F"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492FBDD9" w14:textId="77777777" w:rsidR="007E4368" w:rsidRPr="004B7EB6" w:rsidRDefault="007E436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2222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138C2E5" wp14:editId="0999990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B33F" w14:textId="77777777" w:rsidR="007E4368" w:rsidRDefault="007E4368">
                            <w:r>
                              <w:rPr>
                                <w:noProof/>
                              </w:rPr>
                              <w:drawing>
                                <wp:inline distT="0" distB="0" distL="0" distR="0" wp14:anchorId="4EBEDB0A" wp14:editId="0AE5F80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C2E5"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6FFBB33F" w14:textId="77777777" w:rsidR="007E4368" w:rsidRDefault="007E4368">
                      <w:r>
                        <w:rPr>
                          <w:noProof/>
                        </w:rPr>
                        <w:drawing>
                          <wp:inline distT="0" distB="0" distL="0" distR="0" wp14:anchorId="4EBEDB0A" wp14:editId="0AE5F80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7B13A2A9" w14:textId="77777777" w:rsidR="007607C4" w:rsidRPr="00D2222C" w:rsidRDefault="007607C4" w:rsidP="003C32BC">
      <w:pPr>
        <w:tabs>
          <w:tab w:val="center" w:pos="5400"/>
        </w:tabs>
        <w:suppressAutoHyphens/>
        <w:jc w:val="center"/>
        <w:rPr>
          <w:rFonts w:asciiTheme="majorHAnsi" w:hAnsiTheme="majorHAnsi"/>
          <w:sz w:val="18"/>
          <w:szCs w:val="22"/>
        </w:rPr>
        <w:sectPr w:rsidR="007607C4" w:rsidRPr="00D2222C"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B541865" w14:textId="77777777" w:rsidR="00FC3EB4" w:rsidRPr="00D2222C" w:rsidRDefault="00FC3EB4" w:rsidP="00FC3EB4">
      <w:pPr>
        <w:tabs>
          <w:tab w:val="center" w:pos="5400"/>
        </w:tabs>
        <w:suppressAutoHyphens/>
        <w:spacing w:line="276" w:lineRule="auto"/>
        <w:jc w:val="center"/>
        <w:rPr>
          <w:rFonts w:asciiTheme="majorHAnsi" w:hAnsiTheme="majorHAnsi"/>
          <w:b/>
          <w:szCs w:val="20"/>
        </w:rPr>
      </w:pPr>
      <w:r w:rsidRPr="00D2222C">
        <w:rPr>
          <w:rFonts w:asciiTheme="majorHAnsi" w:hAnsiTheme="majorHAnsi"/>
          <w:b/>
          <w:szCs w:val="20"/>
        </w:rPr>
        <w:lastRenderedPageBreak/>
        <w:t>INDEX</w:t>
      </w:r>
    </w:p>
    <w:p w14:paraId="24389CDB" w14:textId="77777777" w:rsidR="00150D3B" w:rsidRPr="00D2222C" w:rsidRDefault="00150D3B" w:rsidP="00FC3EB4">
      <w:pPr>
        <w:tabs>
          <w:tab w:val="center" w:pos="5400"/>
        </w:tabs>
        <w:suppressAutoHyphens/>
        <w:spacing w:line="276" w:lineRule="auto"/>
        <w:jc w:val="center"/>
        <w:rPr>
          <w:rFonts w:asciiTheme="majorHAnsi" w:hAnsiTheme="majorHAnsi"/>
          <w:b/>
          <w:szCs w:val="20"/>
        </w:rPr>
      </w:pPr>
    </w:p>
    <w:p w14:paraId="2AE63FF2" w14:textId="77777777" w:rsidR="007607C4" w:rsidRPr="00D2222C" w:rsidRDefault="007607C4" w:rsidP="00145EDC">
      <w:pPr>
        <w:tabs>
          <w:tab w:val="center" w:pos="5400"/>
        </w:tabs>
        <w:suppressAutoHyphens/>
        <w:spacing w:line="276" w:lineRule="auto"/>
        <w:rPr>
          <w:rFonts w:asciiTheme="majorHAnsi" w:hAnsiTheme="majorHAnsi"/>
          <w:sz w:val="18"/>
          <w:szCs w:val="18"/>
        </w:rPr>
      </w:pPr>
    </w:p>
    <w:p w14:paraId="5E2FFE34" w14:textId="7745D502" w:rsidR="001829D6" w:rsidRPr="00261687" w:rsidRDefault="00864785">
      <w:pPr>
        <w:pStyle w:val="TOC1"/>
        <w:rPr>
          <w:rFonts w:asciiTheme="majorHAnsi" w:eastAsiaTheme="minorEastAsia" w:hAnsiTheme="majorHAnsi" w:cstheme="minorBidi"/>
          <w:noProof/>
          <w:sz w:val="20"/>
          <w:szCs w:val="20"/>
          <w:bdr w:val="none" w:sz="0" w:space="0" w:color="auto"/>
        </w:rPr>
      </w:pPr>
      <w:r w:rsidRPr="001829D6">
        <w:rPr>
          <w:rFonts w:asciiTheme="majorHAnsi" w:hAnsiTheme="majorHAnsi"/>
          <w:sz w:val="20"/>
          <w:szCs w:val="20"/>
        </w:rPr>
        <w:fldChar w:fldCharType="begin"/>
      </w:r>
      <w:r w:rsidRPr="001829D6">
        <w:rPr>
          <w:rFonts w:asciiTheme="majorHAnsi" w:hAnsiTheme="majorHAnsi"/>
          <w:sz w:val="20"/>
          <w:szCs w:val="20"/>
        </w:rPr>
        <w:instrText xml:space="preserve"> TOC \o "1-3" \h \z \u </w:instrText>
      </w:r>
      <w:r w:rsidRPr="001829D6">
        <w:rPr>
          <w:rFonts w:asciiTheme="majorHAnsi" w:hAnsiTheme="majorHAnsi"/>
          <w:sz w:val="20"/>
          <w:szCs w:val="20"/>
        </w:rPr>
        <w:fldChar w:fldCharType="separate"/>
      </w:r>
      <w:hyperlink w:anchor="_Toc26550916" w:history="1">
        <w:r w:rsidR="001829D6" w:rsidRPr="00261687">
          <w:rPr>
            <w:rStyle w:val="Hyperlink"/>
            <w:rFonts w:asciiTheme="majorHAnsi" w:hAnsiTheme="majorHAnsi"/>
            <w:noProof/>
            <w:sz w:val="20"/>
            <w:szCs w:val="20"/>
            <w:lang w:val="es-ES_tradnl"/>
          </w:rPr>
          <w:t>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SUMMARY</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_Toc26550916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sidR="006E3F74">
          <w:rPr>
            <w:rFonts w:asciiTheme="majorHAnsi" w:hAnsiTheme="majorHAnsi"/>
            <w:noProof/>
            <w:webHidden/>
            <w:sz w:val="20"/>
            <w:szCs w:val="20"/>
          </w:rPr>
          <w:t>2</w:t>
        </w:r>
        <w:r w:rsidR="001829D6" w:rsidRPr="00261687">
          <w:rPr>
            <w:rFonts w:asciiTheme="majorHAnsi" w:hAnsiTheme="majorHAnsi"/>
            <w:noProof/>
            <w:webHidden/>
            <w:sz w:val="20"/>
            <w:szCs w:val="20"/>
          </w:rPr>
          <w:fldChar w:fldCharType="end"/>
        </w:r>
      </w:hyperlink>
    </w:p>
    <w:p w14:paraId="7238022E" w14:textId="736D70E6"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17" w:history="1">
        <w:r w:rsidR="001829D6" w:rsidRPr="00261687">
          <w:rPr>
            <w:rStyle w:val="Hyperlink"/>
            <w:rFonts w:asciiTheme="majorHAnsi" w:hAnsiTheme="majorHAnsi"/>
            <w:noProof/>
            <w:sz w:val="20"/>
            <w:szCs w:val="20"/>
            <w:lang w:val="es-ES_tradnl"/>
          </w:rPr>
          <w:t>II.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POSITIONS OF THE PARTIES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_Toc26550917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w:t>
        </w:r>
        <w:r w:rsidR="001829D6" w:rsidRPr="00261687">
          <w:rPr>
            <w:rFonts w:asciiTheme="majorHAnsi" w:hAnsiTheme="majorHAnsi"/>
            <w:noProof/>
            <w:webHidden/>
            <w:sz w:val="20"/>
            <w:szCs w:val="20"/>
          </w:rPr>
          <w:fldChar w:fldCharType="end"/>
        </w:r>
      </w:hyperlink>
    </w:p>
    <w:p w14:paraId="69B89120" w14:textId="0452E7C8"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18" w:history="1">
        <w:r w:rsidR="001829D6" w:rsidRPr="00261687">
          <w:rPr>
            <w:rStyle w:val="Hyperlink"/>
            <w:rFonts w:asciiTheme="majorHAnsi" w:hAnsiTheme="majorHAnsi"/>
            <w:noProof/>
            <w:sz w:val="20"/>
            <w:szCs w:val="20"/>
            <w:lang w:val="es-ES_tradnl"/>
          </w:rPr>
          <w:t>A.</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Petitioners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_Toc26550918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w:t>
        </w:r>
        <w:r w:rsidR="001829D6" w:rsidRPr="00261687">
          <w:rPr>
            <w:rFonts w:asciiTheme="majorHAnsi" w:hAnsiTheme="majorHAnsi"/>
            <w:noProof/>
            <w:webHidden/>
            <w:sz w:val="20"/>
            <w:szCs w:val="20"/>
          </w:rPr>
          <w:fldChar w:fldCharType="end"/>
        </w:r>
      </w:hyperlink>
    </w:p>
    <w:p w14:paraId="68A4608C" w14:textId="40F66DF2"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19" w:history="1">
        <w:r w:rsidR="001829D6" w:rsidRPr="00261687">
          <w:rPr>
            <w:rStyle w:val="Hyperlink"/>
            <w:rFonts w:asciiTheme="majorHAnsi" w:hAnsiTheme="majorHAnsi"/>
            <w:noProof/>
            <w:sz w:val="20"/>
            <w:szCs w:val="20"/>
            <w:lang w:val="es-ES_tradnl"/>
          </w:rPr>
          <w:t>B.</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State</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_Toc26550919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4</w:t>
        </w:r>
        <w:r w:rsidR="001829D6" w:rsidRPr="00261687">
          <w:rPr>
            <w:rFonts w:asciiTheme="majorHAnsi" w:hAnsiTheme="majorHAnsi"/>
            <w:noProof/>
            <w:webHidden/>
            <w:sz w:val="20"/>
            <w:szCs w:val="20"/>
          </w:rPr>
          <w:fldChar w:fldCharType="end"/>
        </w:r>
      </w:hyperlink>
    </w:p>
    <w:p w14:paraId="0518D898" w14:textId="0B940126"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20" w:history="1">
        <w:r w:rsidR="001829D6" w:rsidRPr="00261687">
          <w:rPr>
            <w:rStyle w:val="Hyperlink"/>
            <w:rFonts w:asciiTheme="majorHAnsi" w:hAnsiTheme="majorHAnsi"/>
            <w:noProof/>
            <w:sz w:val="20"/>
            <w:szCs w:val="20"/>
          </w:rPr>
          <w:t>III.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FINDINGS OF FACT</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_Toc26550920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5</w:t>
        </w:r>
        <w:r w:rsidR="001829D6" w:rsidRPr="00261687">
          <w:rPr>
            <w:rFonts w:asciiTheme="majorHAnsi" w:hAnsiTheme="majorHAnsi"/>
            <w:noProof/>
            <w:webHidden/>
            <w:sz w:val="20"/>
            <w:szCs w:val="20"/>
          </w:rPr>
          <w:fldChar w:fldCharType="end"/>
        </w:r>
      </w:hyperlink>
    </w:p>
    <w:p w14:paraId="2539EAC1" w14:textId="45E71F24"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1" w:history="1">
        <w:r w:rsidR="001829D6" w:rsidRPr="00261687">
          <w:rPr>
            <w:rStyle w:val="Hyperlink"/>
            <w:rFonts w:asciiTheme="majorHAnsi" w:hAnsiTheme="majorHAnsi"/>
            <w:noProof/>
            <w:sz w:val="20"/>
            <w:szCs w:val="20"/>
          </w:rPr>
          <w:t>A.</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The federal death penalty system</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_Toc26550921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5</w:t>
        </w:r>
        <w:r w:rsidR="001829D6" w:rsidRPr="00261687">
          <w:rPr>
            <w:rFonts w:asciiTheme="majorHAnsi" w:hAnsiTheme="majorHAnsi"/>
            <w:noProof/>
            <w:webHidden/>
            <w:sz w:val="20"/>
            <w:szCs w:val="20"/>
          </w:rPr>
          <w:fldChar w:fldCharType="end"/>
        </w:r>
      </w:hyperlink>
    </w:p>
    <w:p w14:paraId="39EFB60C" w14:textId="49C6B868"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2" w:history="1">
        <w:r w:rsidR="001829D6" w:rsidRPr="00261687">
          <w:rPr>
            <w:rStyle w:val="Hyperlink"/>
            <w:rFonts w:asciiTheme="majorHAnsi" w:hAnsiTheme="majorHAnsi"/>
            <w:noProof/>
            <w:sz w:val="20"/>
            <w:szCs w:val="20"/>
          </w:rPr>
          <w:t>B.</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Factual background, trial and death sentence</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_Toc26550922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7</w:t>
        </w:r>
        <w:r w:rsidR="001829D6" w:rsidRPr="00261687">
          <w:rPr>
            <w:rFonts w:asciiTheme="majorHAnsi" w:hAnsiTheme="majorHAnsi"/>
            <w:noProof/>
            <w:webHidden/>
            <w:sz w:val="20"/>
            <w:szCs w:val="20"/>
          </w:rPr>
          <w:fldChar w:fldCharType="end"/>
        </w:r>
      </w:hyperlink>
    </w:p>
    <w:p w14:paraId="3C27AC39" w14:textId="1935E066"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3" w:history="1">
        <w:r w:rsidR="001829D6" w:rsidRPr="00261687">
          <w:rPr>
            <w:rStyle w:val="Hyperlink"/>
            <w:rFonts w:asciiTheme="majorHAnsi" w:hAnsiTheme="majorHAnsi"/>
            <w:noProof/>
            <w:sz w:val="20"/>
            <w:szCs w:val="20"/>
          </w:rPr>
          <w:t>C.</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Post-conviction proceedings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_Toc26550923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9</w:t>
        </w:r>
        <w:r w:rsidR="001829D6" w:rsidRPr="00261687">
          <w:rPr>
            <w:rFonts w:asciiTheme="majorHAnsi" w:hAnsiTheme="majorHAnsi"/>
            <w:noProof/>
            <w:webHidden/>
            <w:sz w:val="20"/>
            <w:szCs w:val="20"/>
          </w:rPr>
          <w:fldChar w:fldCharType="end"/>
        </w:r>
      </w:hyperlink>
    </w:p>
    <w:p w14:paraId="5906D395" w14:textId="5137B2D9"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4" w:history="1">
        <w:r w:rsidR="001829D6" w:rsidRPr="00261687">
          <w:rPr>
            <w:rStyle w:val="Hyperlink"/>
            <w:rFonts w:asciiTheme="majorHAnsi" w:hAnsiTheme="majorHAnsi"/>
            <w:noProof/>
            <w:sz w:val="20"/>
            <w:szCs w:val="20"/>
          </w:rPr>
          <w:t>D.</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Cases of Miller-El and Reed</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_Toc26550924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11</w:t>
        </w:r>
        <w:r w:rsidR="001829D6" w:rsidRPr="00261687">
          <w:rPr>
            <w:rFonts w:asciiTheme="majorHAnsi" w:hAnsiTheme="majorHAnsi"/>
            <w:noProof/>
            <w:webHidden/>
            <w:sz w:val="20"/>
            <w:szCs w:val="20"/>
          </w:rPr>
          <w:fldChar w:fldCharType="end"/>
        </w:r>
      </w:hyperlink>
    </w:p>
    <w:p w14:paraId="75EFE2E7" w14:textId="692A6F9A"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5" w:history="1">
        <w:r w:rsidR="001829D6" w:rsidRPr="00261687">
          <w:rPr>
            <w:rStyle w:val="Hyperlink"/>
            <w:rFonts w:asciiTheme="majorHAnsi" w:hAnsiTheme="majorHAnsi"/>
            <w:noProof/>
            <w:sz w:val="20"/>
            <w:szCs w:val="20"/>
          </w:rPr>
          <w:t>E.</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Legal proceedings regarding the lethal injection protocol</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_Toc26550925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11</w:t>
        </w:r>
        <w:r w:rsidR="001829D6" w:rsidRPr="00261687">
          <w:rPr>
            <w:rFonts w:asciiTheme="majorHAnsi" w:hAnsiTheme="majorHAnsi"/>
            <w:noProof/>
            <w:webHidden/>
            <w:sz w:val="20"/>
            <w:szCs w:val="20"/>
          </w:rPr>
          <w:fldChar w:fldCharType="end"/>
        </w:r>
      </w:hyperlink>
    </w:p>
    <w:p w14:paraId="0EE0A7B7" w14:textId="0508E0EB"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26" w:history="1">
        <w:r w:rsidR="001829D6" w:rsidRPr="00261687">
          <w:rPr>
            <w:rStyle w:val="Hyperlink"/>
            <w:rFonts w:asciiTheme="majorHAnsi" w:hAnsiTheme="majorHAnsi"/>
            <w:noProof/>
            <w:sz w:val="20"/>
            <w:szCs w:val="20"/>
            <w:lang w:val="es-ES_tradnl"/>
          </w:rPr>
          <w:t>IV.</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ANALYSIS OF LAW</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_Toc26550926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11</w:t>
        </w:r>
        <w:r w:rsidR="001829D6" w:rsidRPr="00261687">
          <w:rPr>
            <w:rFonts w:asciiTheme="majorHAnsi" w:hAnsiTheme="majorHAnsi"/>
            <w:noProof/>
            <w:webHidden/>
            <w:sz w:val="20"/>
            <w:szCs w:val="20"/>
          </w:rPr>
          <w:fldChar w:fldCharType="end"/>
        </w:r>
      </w:hyperlink>
    </w:p>
    <w:p w14:paraId="5B8ECB41" w14:textId="38FCC044"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7" w:history="1">
        <w:r w:rsidR="001829D6" w:rsidRPr="00261687">
          <w:rPr>
            <w:rStyle w:val="Hyperlink"/>
            <w:rFonts w:asciiTheme="majorHAnsi" w:hAnsiTheme="majorHAnsi"/>
            <w:noProof/>
            <w:sz w:val="20"/>
            <w:szCs w:val="20"/>
          </w:rPr>
          <w:t>A.</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Preliminary considerations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_Toc26550927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11</w:t>
        </w:r>
        <w:r w:rsidR="001829D6" w:rsidRPr="00261687">
          <w:rPr>
            <w:rFonts w:asciiTheme="majorHAnsi" w:hAnsiTheme="majorHAnsi"/>
            <w:noProof/>
            <w:webHidden/>
            <w:sz w:val="20"/>
            <w:szCs w:val="20"/>
          </w:rPr>
          <w:fldChar w:fldCharType="end"/>
        </w:r>
      </w:hyperlink>
    </w:p>
    <w:p w14:paraId="10186A29" w14:textId="72ED6DAB"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28" w:history="1">
        <w:r w:rsidR="001829D6" w:rsidRPr="00261687">
          <w:rPr>
            <w:rStyle w:val="Hyperlink"/>
            <w:rFonts w:asciiTheme="majorHAnsi" w:hAnsiTheme="majorHAnsi"/>
            <w:noProof/>
            <w:sz w:val="20"/>
            <w:szCs w:val="20"/>
          </w:rPr>
          <w:t>A.</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eastAsia="Times New Roman" w:hAnsiTheme="majorHAnsi"/>
            <w:noProof/>
            <w:sz w:val="20"/>
            <w:szCs w:val="20"/>
          </w:rPr>
          <w:t>Right to equality before the law</w:t>
        </w:r>
        <w:r w:rsidR="001829D6" w:rsidRPr="00261687">
          <w:rPr>
            <w:rStyle w:val="Hyperlink"/>
            <w:rFonts w:asciiTheme="majorHAnsi" w:hAnsiTheme="majorHAnsi"/>
            <w:noProof/>
            <w:sz w:val="20"/>
            <w:szCs w:val="20"/>
          </w:rPr>
          <w:t xml:space="preserve"> and access to effective remedy</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_Toc26550928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12</w:t>
        </w:r>
        <w:r w:rsidR="001829D6" w:rsidRPr="00261687">
          <w:rPr>
            <w:rFonts w:asciiTheme="majorHAnsi" w:hAnsiTheme="majorHAnsi"/>
            <w:noProof/>
            <w:webHidden/>
            <w:sz w:val="20"/>
            <w:szCs w:val="20"/>
          </w:rPr>
          <w:fldChar w:fldCharType="end"/>
        </w:r>
      </w:hyperlink>
    </w:p>
    <w:p w14:paraId="13AD6FCE" w14:textId="0D93ED97"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29" w:history="1">
        <w:r w:rsidR="001829D6" w:rsidRPr="00261687">
          <w:rPr>
            <w:rStyle w:val="Hyperlink"/>
            <w:rFonts w:asciiTheme="majorHAnsi" w:hAnsiTheme="majorHAnsi"/>
            <w:noProof/>
            <w:sz w:val="20"/>
            <w:szCs w:val="20"/>
          </w:rPr>
          <w:t>1.</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General considerations regarding equality before the law</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_Toc26550929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12</w:t>
        </w:r>
        <w:r w:rsidR="001829D6" w:rsidRPr="00261687">
          <w:rPr>
            <w:rFonts w:asciiTheme="majorHAnsi" w:hAnsiTheme="majorHAnsi"/>
            <w:noProof/>
            <w:webHidden/>
            <w:sz w:val="20"/>
            <w:szCs w:val="20"/>
          </w:rPr>
          <w:fldChar w:fldCharType="end"/>
        </w:r>
      </w:hyperlink>
    </w:p>
    <w:p w14:paraId="7FA6DB31" w14:textId="6A062AB5"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0" w:history="1">
        <w:r w:rsidR="001829D6" w:rsidRPr="00261687">
          <w:rPr>
            <w:rStyle w:val="Hyperlink"/>
            <w:rFonts w:asciiTheme="majorHAnsi" w:hAnsiTheme="majorHAnsi"/>
            <w:noProof/>
            <w:sz w:val="20"/>
            <w:szCs w:val="20"/>
          </w:rPr>
          <w:t>2.</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Race and equality before the law in the United States’ criminal justice system</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_Toc26550930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13</w:t>
        </w:r>
        <w:r w:rsidR="001829D6" w:rsidRPr="00261687">
          <w:rPr>
            <w:rFonts w:asciiTheme="majorHAnsi" w:hAnsiTheme="majorHAnsi"/>
            <w:noProof/>
            <w:webHidden/>
            <w:sz w:val="20"/>
            <w:szCs w:val="20"/>
          </w:rPr>
          <w:fldChar w:fldCharType="end"/>
        </w:r>
      </w:hyperlink>
    </w:p>
    <w:p w14:paraId="3F33F132" w14:textId="0F6B835A"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1" w:history="1">
        <w:r w:rsidR="001829D6" w:rsidRPr="00261687">
          <w:rPr>
            <w:rStyle w:val="Hyperlink"/>
            <w:rFonts w:asciiTheme="majorHAnsi" w:hAnsiTheme="majorHAnsi"/>
            <w:noProof/>
            <w:sz w:val="20"/>
            <w:szCs w:val="20"/>
            <w:lang w:val="es-ES"/>
          </w:rPr>
          <w:t>3.</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
          </w:rPr>
          <w:t>Analysis of the case</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_Toc26550931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14</w:t>
        </w:r>
        <w:r w:rsidR="001829D6" w:rsidRPr="00261687">
          <w:rPr>
            <w:rFonts w:asciiTheme="majorHAnsi" w:hAnsiTheme="majorHAnsi"/>
            <w:noProof/>
            <w:webHidden/>
            <w:sz w:val="20"/>
            <w:szCs w:val="20"/>
          </w:rPr>
          <w:fldChar w:fldCharType="end"/>
        </w:r>
      </w:hyperlink>
    </w:p>
    <w:p w14:paraId="46B8D186" w14:textId="0F28310A"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32" w:history="1">
        <w:r w:rsidR="001829D6" w:rsidRPr="00261687">
          <w:rPr>
            <w:rStyle w:val="Hyperlink"/>
            <w:rFonts w:asciiTheme="majorHAnsi" w:hAnsiTheme="majorHAnsi"/>
            <w:noProof/>
            <w:sz w:val="20"/>
            <w:szCs w:val="20"/>
          </w:rPr>
          <w:t>B.</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Right to a fair trial and right to due process of law</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_Toc26550932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15</w:t>
        </w:r>
        <w:r w:rsidR="001829D6" w:rsidRPr="00261687">
          <w:rPr>
            <w:rFonts w:asciiTheme="majorHAnsi" w:hAnsiTheme="majorHAnsi"/>
            <w:noProof/>
            <w:webHidden/>
            <w:sz w:val="20"/>
            <w:szCs w:val="20"/>
          </w:rPr>
          <w:fldChar w:fldCharType="end"/>
        </w:r>
      </w:hyperlink>
    </w:p>
    <w:p w14:paraId="3B4ACAA9" w14:textId="2C6A4523"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3" w:history="1">
        <w:r w:rsidR="001829D6" w:rsidRPr="00261687">
          <w:rPr>
            <w:rStyle w:val="Hyperlink"/>
            <w:rFonts w:asciiTheme="majorHAnsi" w:hAnsiTheme="majorHAnsi"/>
            <w:noProof/>
            <w:sz w:val="20"/>
            <w:szCs w:val="20"/>
          </w:rPr>
          <w:t>1.</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General considerations regarding ineffective assistance of court-appointed counsel</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_Toc26550933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15</w:t>
        </w:r>
        <w:r w:rsidR="001829D6" w:rsidRPr="00261687">
          <w:rPr>
            <w:rFonts w:asciiTheme="majorHAnsi" w:hAnsiTheme="majorHAnsi"/>
            <w:noProof/>
            <w:webHidden/>
            <w:sz w:val="20"/>
            <w:szCs w:val="20"/>
          </w:rPr>
          <w:fldChar w:fldCharType="end"/>
        </w:r>
      </w:hyperlink>
    </w:p>
    <w:p w14:paraId="3F4D8C16" w14:textId="7001FA1E"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4" w:history="1">
        <w:r w:rsidR="001829D6" w:rsidRPr="00261687">
          <w:rPr>
            <w:rStyle w:val="Hyperlink"/>
            <w:rFonts w:asciiTheme="majorHAnsi" w:hAnsiTheme="majorHAnsi"/>
            <w:noProof/>
            <w:sz w:val="20"/>
            <w:szCs w:val="20"/>
            <w:lang w:val="es-ES"/>
          </w:rPr>
          <w:t>2.</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
          </w:rPr>
          <w:t>Analysis of the case</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_Toc26550934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16</w:t>
        </w:r>
        <w:r w:rsidR="001829D6" w:rsidRPr="00261687">
          <w:rPr>
            <w:rFonts w:asciiTheme="majorHAnsi" w:hAnsiTheme="majorHAnsi"/>
            <w:noProof/>
            <w:webHidden/>
            <w:sz w:val="20"/>
            <w:szCs w:val="20"/>
          </w:rPr>
          <w:fldChar w:fldCharType="end"/>
        </w:r>
      </w:hyperlink>
    </w:p>
    <w:p w14:paraId="1D0407E7" w14:textId="73D001EF"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5" w:history="1">
        <w:r w:rsidR="001829D6" w:rsidRPr="00261687">
          <w:rPr>
            <w:rStyle w:val="Hyperlink"/>
            <w:rFonts w:asciiTheme="majorHAnsi" w:hAnsiTheme="majorHAnsi" w:cs="Arial"/>
            <w:noProof/>
            <w:sz w:val="20"/>
            <w:szCs w:val="20"/>
          </w:rPr>
          <w:t>3.</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Access to effective remedies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_Toc26550935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17</w:t>
        </w:r>
        <w:r w:rsidR="001829D6" w:rsidRPr="00261687">
          <w:rPr>
            <w:rFonts w:asciiTheme="majorHAnsi" w:hAnsiTheme="majorHAnsi"/>
            <w:noProof/>
            <w:webHidden/>
            <w:sz w:val="20"/>
            <w:szCs w:val="20"/>
          </w:rPr>
          <w:fldChar w:fldCharType="end"/>
        </w:r>
      </w:hyperlink>
    </w:p>
    <w:p w14:paraId="3EAFEF93" w14:textId="78287C5C"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6" w:history="1">
        <w:r w:rsidR="001829D6" w:rsidRPr="00261687">
          <w:rPr>
            <w:rStyle w:val="Hyperlink"/>
            <w:rFonts w:asciiTheme="majorHAnsi" w:hAnsiTheme="majorHAnsi"/>
            <w:noProof/>
            <w:sz w:val="20"/>
            <w:szCs w:val="20"/>
          </w:rPr>
          <w:t>4.</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The executive clemency process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_Toc26550936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18</w:t>
        </w:r>
        <w:r w:rsidR="001829D6" w:rsidRPr="00261687">
          <w:rPr>
            <w:rFonts w:asciiTheme="majorHAnsi" w:hAnsiTheme="majorHAnsi"/>
            <w:noProof/>
            <w:webHidden/>
            <w:sz w:val="20"/>
            <w:szCs w:val="20"/>
          </w:rPr>
          <w:fldChar w:fldCharType="end"/>
        </w:r>
      </w:hyperlink>
    </w:p>
    <w:p w14:paraId="7E86BF41" w14:textId="2BA3DD1D"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37" w:history="1">
        <w:r w:rsidR="001829D6" w:rsidRPr="00261687">
          <w:rPr>
            <w:rStyle w:val="Hyperlink"/>
            <w:rFonts w:asciiTheme="majorHAnsi" w:hAnsiTheme="majorHAnsi" w:cs="Arial"/>
            <w:noProof/>
            <w:sz w:val="20"/>
            <w:szCs w:val="20"/>
          </w:rPr>
          <w:t>C.</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cs="Arial"/>
            <w:noProof/>
            <w:sz w:val="20"/>
            <w:szCs w:val="20"/>
          </w:rPr>
          <w:t>Right of protection against cruel, infamous or unusual punishment</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_Toc26550937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19</w:t>
        </w:r>
        <w:r w:rsidR="001829D6" w:rsidRPr="00261687">
          <w:rPr>
            <w:rFonts w:asciiTheme="majorHAnsi" w:hAnsiTheme="majorHAnsi"/>
            <w:noProof/>
            <w:webHidden/>
            <w:sz w:val="20"/>
            <w:szCs w:val="20"/>
          </w:rPr>
          <w:fldChar w:fldCharType="end"/>
        </w:r>
      </w:hyperlink>
    </w:p>
    <w:p w14:paraId="12640D30" w14:textId="1D53122A" w:rsidR="001829D6" w:rsidRPr="00261687" w:rsidRDefault="006E3F74">
      <w:pPr>
        <w:pStyle w:val="TOC3"/>
        <w:rPr>
          <w:rFonts w:asciiTheme="majorHAnsi" w:eastAsiaTheme="minorEastAsia" w:hAnsiTheme="majorHAnsi" w:cstheme="minorBidi"/>
          <w:noProof/>
          <w:sz w:val="20"/>
          <w:szCs w:val="20"/>
          <w:bdr w:val="none" w:sz="0" w:space="0" w:color="auto"/>
        </w:rPr>
      </w:pPr>
      <w:hyperlink w:anchor="_Toc26550938" w:history="1">
        <w:r w:rsidR="001829D6" w:rsidRPr="00261687">
          <w:rPr>
            <w:rStyle w:val="Hyperlink"/>
            <w:rFonts w:asciiTheme="majorHAnsi" w:eastAsia="Cambria" w:hAnsiTheme="majorHAnsi" w:cs="Arial"/>
            <w:noProof/>
            <w:sz w:val="20"/>
            <w:szCs w:val="20"/>
            <w:u w:color="000000"/>
            <w:lang w:eastAsia="es-ES"/>
          </w:rPr>
          <w:t>1.</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eastAsia="Cambria" w:hAnsiTheme="majorHAnsi" w:cs="Arial"/>
            <w:noProof/>
            <w:sz w:val="20"/>
            <w:szCs w:val="20"/>
            <w:u w:color="000000"/>
            <w:lang w:eastAsia="es-ES"/>
          </w:rPr>
          <w:t>The lethal injection protocol</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_Toc26550938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19</w:t>
        </w:r>
        <w:r w:rsidR="001829D6" w:rsidRPr="00261687">
          <w:rPr>
            <w:rFonts w:asciiTheme="majorHAnsi" w:hAnsiTheme="majorHAnsi"/>
            <w:noProof/>
            <w:webHidden/>
            <w:sz w:val="20"/>
            <w:szCs w:val="20"/>
          </w:rPr>
          <w:fldChar w:fldCharType="end"/>
        </w:r>
      </w:hyperlink>
    </w:p>
    <w:p w14:paraId="235AA58F" w14:textId="0C013D91"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39" w:history="1">
        <w:r w:rsidR="001829D6" w:rsidRPr="00261687">
          <w:rPr>
            <w:rStyle w:val="Hyperlink"/>
            <w:rFonts w:asciiTheme="majorHAnsi" w:eastAsia="Cambria" w:hAnsiTheme="majorHAnsi" w:cs="Arial"/>
            <w:noProof/>
            <w:sz w:val="20"/>
            <w:szCs w:val="20"/>
            <w:u w:color="000000"/>
            <w:lang w:eastAsia="es-ES"/>
          </w:rPr>
          <w:t>2.</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eastAsia="Cambria" w:hAnsiTheme="majorHAnsi" w:cs="Arial"/>
            <w:noProof/>
            <w:sz w:val="20"/>
            <w:szCs w:val="20"/>
            <w:u w:color="000000"/>
            <w:lang w:eastAsia="es-ES"/>
          </w:rPr>
          <w:t>The deprivation of liberty on death row</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_Toc26550939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20</w:t>
        </w:r>
        <w:r w:rsidR="001829D6" w:rsidRPr="00261687">
          <w:rPr>
            <w:rFonts w:asciiTheme="majorHAnsi" w:hAnsiTheme="majorHAnsi"/>
            <w:noProof/>
            <w:webHidden/>
            <w:sz w:val="20"/>
            <w:szCs w:val="20"/>
          </w:rPr>
          <w:fldChar w:fldCharType="end"/>
        </w:r>
      </w:hyperlink>
    </w:p>
    <w:p w14:paraId="678E1E7C" w14:textId="6CF32473"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40" w:history="1">
        <w:r w:rsidR="001829D6" w:rsidRPr="00261687">
          <w:rPr>
            <w:rStyle w:val="Hyperlink"/>
            <w:rFonts w:asciiTheme="majorHAnsi" w:hAnsiTheme="majorHAnsi"/>
            <w:noProof/>
            <w:sz w:val="20"/>
            <w:szCs w:val="20"/>
          </w:rPr>
          <w:t>D.</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The right to access to information with respect to the death penalty decision-making process and the lethal injection protocol</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_Toc26550940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20</w:t>
        </w:r>
        <w:r w:rsidR="001829D6" w:rsidRPr="00261687">
          <w:rPr>
            <w:rFonts w:asciiTheme="majorHAnsi" w:hAnsiTheme="majorHAnsi"/>
            <w:noProof/>
            <w:webHidden/>
            <w:sz w:val="20"/>
            <w:szCs w:val="20"/>
          </w:rPr>
          <w:fldChar w:fldCharType="end"/>
        </w:r>
      </w:hyperlink>
    </w:p>
    <w:p w14:paraId="52347C72" w14:textId="587F97F8" w:rsidR="001829D6" w:rsidRPr="00261687" w:rsidRDefault="006E3F74">
      <w:pPr>
        <w:pStyle w:val="TOC2"/>
        <w:rPr>
          <w:rFonts w:asciiTheme="majorHAnsi" w:eastAsiaTheme="minorEastAsia" w:hAnsiTheme="majorHAnsi" w:cstheme="minorBidi"/>
          <w:noProof/>
          <w:sz w:val="20"/>
          <w:szCs w:val="20"/>
          <w:bdr w:val="none" w:sz="0" w:space="0" w:color="auto"/>
        </w:rPr>
      </w:pPr>
      <w:hyperlink w:anchor="_Toc26550941" w:history="1">
        <w:r w:rsidR="001829D6" w:rsidRPr="00261687">
          <w:rPr>
            <w:rStyle w:val="Hyperlink"/>
            <w:rFonts w:asciiTheme="majorHAnsi" w:hAnsiTheme="majorHAnsi"/>
            <w:noProof/>
            <w:sz w:val="20"/>
            <w:szCs w:val="20"/>
          </w:rPr>
          <w:t>E.</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The right to life and the right to protection against cruel, infamous or unusual punishment with respect to the eventual execution of Orlando Cordia Hall</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_Toc26550941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21</w:t>
        </w:r>
        <w:r w:rsidR="001829D6" w:rsidRPr="00261687">
          <w:rPr>
            <w:rFonts w:asciiTheme="majorHAnsi" w:hAnsiTheme="majorHAnsi"/>
            <w:noProof/>
            <w:webHidden/>
            <w:sz w:val="20"/>
            <w:szCs w:val="20"/>
          </w:rPr>
          <w:fldChar w:fldCharType="end"/>
        </w:r>
      </w:hyperlink>
    </w:p>
    <w:p w14:paraId="429715DA" w14:textId="428450D4"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42" w:history="1">
        <w:r w:rsidR="001829D6" w:rsidRPr="00261687">
          <w:rPr>
            <w:rStyle w:val="Hyperlink"/>
            <w:rFonts w:asciiTheme="majorHAnsi" w:hAnsiTheme="majorHAnsi"/>
            <w:noProof/>
            <w:sz w:val="20"/>
            <w:szCs w:val="20"/>
          </w:rPr>
          <w:t>V.</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ACTIONS SUBSEQUENT TO REPORT No. 155/18</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_Toc26550942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22</w:t>
        </w:r>
        <w:r w:rsidR="001829D6" w:rsidRPr="00261687">
          <w:rPr>
            <w:rFonts w:asciiTheme="majorHAnsi" w:hAnsiTheme="majorHAnsi"/>
            <w:noProof/>
            <w:webHidden/>
            <w:sz w:val="20"/>
            <w:szCs w:val="20"/>
          </w:rPr>
          <w:fldChar w:fldCharType="end"/>
        </w:r>
      </w:hyperlink>
    </w:p>
    <w:p w14:paraId="392E3060" w14:textId="34AFA360"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43" w:history="1">
        <w:r w:rsidR="001829D6" w:rsidRPr="00261687">
          <w:rPr>
            <w:rStyle w:val="Hyperlink"/>
            <w:rFonts w:asciiTheme="majorHAnsi" w:hAnsiTheme="majorHAnsi"/>
            <w:noProof/>
            <w:sz w:val="20"/>
            <w:szCs w:val="20"/>
          </w:rPr>
          <w:t>VI.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rPr>
          <w:t>ACTIONS SUBSEQUENT TO REPORT No. 90/19</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_Toc26550943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23</w:t>
        </w:r>
        <w:r w:rsidR="001829D6" w:rsidRPr="00261687">
          <w:rPr>
            <w:rFonts w:asciiTheme="majorHAnsi" w:hAnsiTheme="majorHAnsi"/>
            <w:noProof/>
            <w:webHidden/>
            <w:sz w:val="20"/>
            <w:szCs w:val="20"/>
          </w:rPr>
          <w:fldChar w:fldCharType="end"/>
        </w:r>
      </w:hyperlink>
    </w:p>
    <w:p w14:paraId="3C02A718" w14:textId="243EB026" w:rsidR="001829D6" w:rsidRPr="00261687" w:rsidRDefault="006E3F74">
      <w:pPr>
        <w:pStyle w:val="TOC1"/>
        <w:rPr>
          <w:rFonts w:asciiTheme="majorHAnsi" w:eastAsiaTheme="minorEastAsia" w:hAnsiTheme="majorHAnsi" w:cstheme="minorBidi"/>
          <w:noProof/>
          <w:sz w:val="20"/>
          <w:szCs w:val="20"/>
          <w:bdr w:val="none" w:sz="0" w:space="0" w:color="auto"/>
        </w:rPr>
      </w:pPr>
      <w:hyperlink w:anchor="_Toc26550944" w:history="1">
        <w:r w:rsidR="001829D6" w:rsidRPr="00261687">
          <w:rPr>
            <w:rStyle w:val="Hyperlink"/>
            <w:rFonts w:asciiTheme="majorHAnsi" w:hAnsiTheme="majorHAnsi"/>
            <w:noProof/>
            <w:sz w:val="20"/>
            <w:szCs w:val="20"/>
            <w:lang w:val="es-ES_tradnl"/>
          </w:rPr>
          <w:t>VII.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FINAL CONCLUSIONS AND RECOMMENDATIONS</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_Toc26550944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25</w:t>
        </w:r>
        <w:r w:rsidR="001829D6" w:rsidRPr="00261687">
          <w:rPr>
            <w:rFonts w:asciiTheme="majorHAnsi" w:hAnsiTheme="majorHAnsi"/>
            <w:noProof/>
            <w:webHidden/>
            <w:sz w:val="20"/>
            <w:szCs w:val="20"/>
          </w:rPr>
          <w:fldChar w:fldCharType="end"/>
        </w:r>
      </w:hyperlink>
    </w:p>
    <w:p w14:paraId="4CD123DA" w14:textId="399BD4F1" w:rsidR="001829D6" w:rsidRPr="001829D6" w:rsidRDefault="006E3F74">
      <w:pPr>
        <w:pStyle w:val="TOC1"/>
        <w:rPr>
          <w:rFonts w:asciiTheme="majorHAnsi" w:eastAsiaTheme="minorEastAsia" w:hAnsiTheme="majorHAnsi" w:cstheme="minorBidi"/>
          <w:noProof/>
          <w:sz w:val="20"/>
          <w:szCs w:val="20"/>
          <w:bdr w:val="none" w:sz="0" w:space="0" w:color="auto"/>
        </w:rPr>
      </w:pPr>
      <w:hyperlink w:anchor="_Toc26550945" w:history="1">
        <w:r w:rsidR="001829D6" w:rsidRPr="00261687">
          <w:rPr>
            <w:rStyle w:val="Hyperlink"/>
            <w:rFonts w:asciiTheme="majorHAnsi" w:hAnsiTheme="majorHAnsi"/>
            <w:noProof/>
            <w:sz w:val="20"/>
            <w:szCs w:val="20"/>
            <w:lang w:val="es-ES_tradnl"/>
          </w:rPr>
          <w:t>VIII.</w:t>
        </w:r>
        <w:r w:rsidR="001829D6" w:rsidRPr="00261687">
          <w:rPr>
            <w:rFonts w:asciiTheme="majorHAnsi" w:eastAsiaTheme="minorEastAsia" w:hAnsiTheme="majorHAnsi" w:cstheme="minorBidi"/>
            <w:noProof/>
            <w:sz w:val="20"/>
            <w:szCs w:val="20"/>
            <w:bdr w:val="none" w:sz="0" w:space="0" w:color="auto"/>
          </w:rPr>
          <w:tab/>
        </w:r>
        <w:r w:rsidR="001829D6" w:rsidRPr="00261687">
          <w:rPr>
            <w:rStyle w:val="Hyperlink"/>
            <w:rFonts w:asciiTheme="majorHAnsi" w:hAnsiTheme="majorHAnsi"/>
            <w:noProof/>
            <w:sz w:val="20"/>
            <w:szCs w:val="20"/>
            <w:lang w:val="es-ES_tradnl"/>
          </w:rPr>
          <w:t>PUBLICATION</w:t>
        </w:r>
        <w:r w:rsidR="001829D6" w:rsidRPr="00261687">
          <w:rPr>
            <w:rFonts w:asciiTheme="majorHAnsi" w:hAnsiTheme="majorHAnsi"/>
            <w:noProof/>
            <w:webHidden/>
            <w:sz w:val="20"/>
            <w:szCs w:val="20"/>
          </w:rPr>
          <w:tab/>
        </w:r>
        <w:r w:rsidR="001829D6" w:rsidRPr="00261687">
          <w:rPr>
            <w:rFonts w:asciiTheme="majorHAnsi" w:hAnsiTheme="majorHAnsi"/>
            <w:noProof/>
            <w:webHidden/>
            <w:sz w:val="20"/>
            <w:szCs w:val="20"/>
          </w:rPr>
          <w:fldChar w:fldCharType="begin"/>
        </w:r>
        <w:r w:rsidR="001829D6" w:rsidRPr="00261687">
          <w:rPr>
            <w:rFonts w:asciiTheme="majorHAnsi" w:hAnsiTheme="majorHAnsi"/>
            <w:noProof/>
            <w:webHidden/>
            <w:sz w:val="20"/>
            <w:szCs w:val="20"/>
          </w:rPr>
          <w:instrText xml:space="preserve"> PAGEREF _Toc26550945 \h </w:instrText>
        </w:r>
        <w:r w:rsidR="001829D6" w:rsidRPr="00261687">
          <w:rPr>
            <w:rFonts w:asciiTheme="majorHAnsi" w:hAnsiTheme="majorHAnsi"/>
            <w:noProof/>
            <w:webHidden/>
            <w:sz w:val="20"/>
            <w:szCs w:val="20"/>
          </w:rPr>
        </w:r>
        <w:r w:rsidR="001829D6" w:rsidRPr="00261687">
          <w:rPr>
            <w:rFonts w:asciiTheme="majorHAnsi" w:hAnsiTheme="majorHAnsi"/>
            <w:noProof/>
            <w:webHidden/>
            <w:sz w:val="20"/>
            <w:szCs w:val="20"/>
          </w:rPr>
          <w:fldChar w:fldCharType="separate"/>
        </w:r>
        <w:r>
          <w:rPr>
            <w:rFonts w:asciiTheme="majorHAnsi" w:hAnsiTheme="majorHAnsi"/>
            <w:noProof/>
            <w:webHidden/>
            <w:sz w:val="20"/>
            <w:szCs w:val="20"/>
          </w:rPr>
          <w:t>26</w:t>
        </w:r>
        <w:r w:rsidR="001829D6" w:rsidRPr="00261687">
          <w:rPr>
            <w:rFonts w:asciiTheme="majorHAnsi" w:hAnsiTheme="majorHAnsi"/>
            <w:noProof/>
            <w:webHidden/>
            <w:sz w:val="20"/>
            <w:szCs w:val="20"/>
          </w:rPr>
          <w:fldChar w:fldCharType="end"/>
        </w:r>
      </w:hyperlink>
    </w:p>
    <w:p w14:paraId="0E593DC3" w14:textId="77777777" w:rsidR="007607C4" w:rsidRPr="00D2222C" w:rsidRDefault="00864785" w:rsidP="00145EDC">
      <w:pPr>
        <w:tabs>
          <w:tab w:val="center" w:pos="5400"/>
        </w:tabs>
        <w:suppressAutoHyphens/>
        <w:spacing w:line="276" w:lineRule="auto"/>
        <w:rPr>
          <w:rFonts w:asciiTheme="majorHAnsi" w:hAnsiTheme="majorHAnsi"/>
          <w:sz w:val="20"/>
          <w:szCs w:val="20"/>
        </w:rPr>
      </w:pPr>
      <w:r w:rsidRPr="001829D6">
        <w:rPr>
          <w:rFonts w:asciiTheme="majorHAnsi" w:hAnsiTheme="majorHAnsi"/>
          <w:sz w:val="20"/>
          <w:szCs w:val="20"/>
        </w:rPr>
        <w:fldChar w:fldCharType="end"/>
      </w:r>
    </w:p>
    <w:p w14:paraId="10A313F8" w14:textId="77777777" w:rsidR="00150D3B" w:rsidRPr="00D2222C" w:rsidRDefault="00150D3B">
      <w:pPr>
        <w:rPr>
          <w:rFonts w:asciiTheme="majorHAnsi" w:hAnsiTheme="majorHAnsi"/>
          <w:b/>
          <w:sz w:val="18"/>
          <w:szCs w:val="20"/>
        </w:rPr>
      </w:pPr>
      <w:r w:rsidRPr="00D2222C">
        <w:rPr>
          <w:rFonts w:asciiTheme="majorHAnsi" w:hAnsiTheme="majorHAnsi"/>
          <w:b/>
          <w:sz w:val="18"/>
          <w:szCs w:val="20"/>
        </w:rPr>
        <w:br w:type="page"/>
      </w:r>
    </w:p>
    <w:p w14:paraId="5B41D86D" w14:textId="77777777" w:rsidR="00444596" w:rsidRPr="00D2222C" w:rsidRDefault="00444596" w:rsidP="00444596">
      <w:pPr>
        <w:tabs>
          <w:tab w:val="center" w:pos="5400"/>
        </w:tabs>
        <w:suppressAutoHyphens/>
        <w:spacing w:line="276" w:lineRule="auto"/>
        <w:jc w:val="center"/>
        <w:rPr>
          <w:rFonts w:asciiTheme="majorHAnsi" w:hAnsiTheme="majorHAnsi"/>
          <w:b/>
          <w:sz w:val="18"/>
          <w:szCs w:val="20"/>
        </w:rPr>
      </w:pPr>
      <w:r w:rsidRPr="00D2222C">
        <w:rPr>
          <w:rFonts w:asciiTheme="majorHAnsi" w:hAnsiTheme="majorHAnsi"/>
          <w:b/>
          <w:sz w:val="18"/>
          <w:szCs w:val="20"/>
        </w:rPr>
        <w:lastRenderedPageBreak/>
        <w:t xml:space="preserve">REPORT No. </w:t>
      </w:r>
      <w:r w:rsidR="00261687">
        <w:rPr>
          <w:rFonts w:asciiTheme="majorHAnsi" w:hAnsiTheme="majorHAnsi"/>
          <w:b/>
          <w:sz w:val="18"/>
          <w:szCs w:val="20"/>
        </w:rPr>
        <w:t>28/20</w:t>
      </w:r>
    </w:p>
    <w:p w14:paraId="0818A471" w14:textId="77777777" w:rsidR="00444596" w:rsidRPr="00D2222C" w:rsidRDefault="00444596" w:rsidP="00444596">
      <w:pPr>
        <w:tabs>
          <w:tab w:val="center" w:pos="5400"/>
        </w:tabs>
        <w:suppressAutoHyphens/>
        <w:spacing w:line="276" w:lineRule="auto"/>
        <w:jc w:val="center"/>
        <w:rPr>
          <w:rFonts w:asciiTheme="majorHAnsi" w:hAnsiTheme="majorHAnsi"/>
          <w:b/>
          <w:sz w:val="18"/>
          <w:szCs w:val="20"/>
        </w:rPr>
      </w:pPr>
      <w:r w:rsidRPr="00D2222C">
        <w:rPr>
          <w:rFonts w:asciiTheme="majorHAnsi" w:hAnsiTheme="majorHAnsi"/>
          <w:b/>
          <w:sz w:val="18"/>
          <w:szCs w:val="20"/>
        </w:rPr>
        <w:t>CASE 12.719</w:t>
      </w:r>
    </w:p>
    <w:p w14:paraId="34694A89" w14:textId="77777777" w:rsidR="009660BF" w:rsidRPr="00D2222C" w:rsidRDefault="009660BF" w:rsidP="00444596">
      <w:pPr>
        <w:tabs>
          <w:tab w:val="center" w:pos="5400"/>
        </w:tabs>
        <w:suppressAutoHyphens/>
        <w:spacing w:line="276" w:lineRule="auto"/>
        <w:jc w:val="center"/>
        <w:rPr>
          <w:rFonts w:asciiTheme="majorHAnsi" w:hAnsiTheme="majorHAnsi"/>
          <w:sz w:val="18"/>
          <w:szCs w:val="20"/>
        </w:rPr>
      </w:pPr>
      <w:r w:rsidRPr="00D2222C">
        <w:rPr>
          <w:rFonts w:asciiTheme="majorHAnsi" w:hAnsiTheme="majorHAnsi"/>
          <w:sz w:val="18"/>
          <w:szCs w:val="20"/>
        </w:rPr>
        <w:t xml:space="preserve">REPORT ON </w:t>
      </w:r>
      <w:r w:rsidR="00444596" w:rsidRPr="00D2222C">
        <w:rPr>
          <w:rFonts w:asciiTheme="majorHAnsi" w:hAnsiTheme="majorHAnsi"/>
          <w:sz w:val="18"/>
          <w:szCs w:val="20"/>
        </w:rPr>
        <w:t>MERITS</w:t>
      </w:r>
    </w:p>
    <w:p w14:paraId="465D282F" w14:textId="77777777" w:rsidR="00444596" w:rsidRPr="00D2222C" w:rsidRDefault="009660BF" w:rsidP="00444596">
      <w:pPr>
        <w:tabs>
          <w:tab w:val="center" w:pos="5400"/>
        </w:tabs>
        <w:suppressAutoHyphens/>
        <w:spacing w:line="276" w:lineRule="auto"/>
        <w:jc w:val="center"/>
        <w:rPr>
          <w:rFonts w:asciiTheme="majorHAnsi" w:hAnsiTheme="majorHAnsi"/>
          <w:sz w:val="18"/>
          <w:szCs w:val="20"/>
        </w:rPr>
      </w:pPr>
      <w:r w:rsidRPr="00D2222C">
        <w:rPr>
          <w:rFonts w:asciiTheme="majorHAnsi" w:hAnsiTheme="majorHAnsi"/>
          <w:sz w:val="18"/>
          <w:szCs w:val="20"/>
        </w:rPr>
        <w:t>(</w:t>
      </w:r>
      <w:r w:rsidR="000B405D">
        <w:rPr>
          <w:rFonts w:asciiTheme="majorHAnsi" w:hAnsiTheme="majorHAnsi"/>
          <w:sz w:val="18"/>
          <w:szCs w:val="20"/>
        </w:rPr>
        <w:t>PUBLICATION</w:t>
      </w:r>
      <w:r w:rsidRPr="00D2222C">
        <w:rPr>
          <w:rFonts w:asciiTheme="majorHAnsi" w:hAnsiTheme="majorHAnsi"/>
          <w:sz w:val="18"/>
          <w:szCs w:val="20"/>
        </w:rPr>
        <w:t>)</w:t>
      </w:r>
      <w:r w:rsidR="00444596" w:rsidRPr="00D2222C">
        <w:rPr>
          <w:rFonts w:asciiTheme="majorHAnsi" w:hAnsiTheme="majorHAnsi"/>
          <w:sz w:val="18"/>
          <w:szCs w:val="20"/>
        </w:rPr>
        <w:t xml:space="preserve"> </w:t>
      </w:r>
    </w:p>
    <w:p w14:paraId="7EDB78AC" w14:textId="77777777" w:rsidR="00444596" w:rsidRPr="00D2222C" w:rsidRDefault="00444596" w:rsidP="00444596">
      <w:pPr>
        <w:tabs>
          <w:tab w:val="center" w:pos="5400"/>
        </w:tabs>
        <w:suppressAutoHyphens/>
        <w:spacing w:line="276" w:lineRule="auto"/>
        <w:jc w:val="center"/>
        <w:rPr>
          <w:rFonts w:asciiTheme="majorHAnsi" w:hAnsiTheme="majorHAnsi"/>
          <w:sz w:val="18"/>
          <w:szCs w:val="20"/>
        </w:rPr>
      </w:pPr>
      <w:r w:rsidRPr="00D2222C">
        <w:rPr>
          <w:rFonts w:asciiTheme="majorHAnsi" w:hAnsiTheme="majorHAnsi"/>
          <w:sz w:val="18"/>
          <w:szCs w:val="20"/>
        </w:rPr>
        <w:t>ORLANDO CORDIA HALL</w:t>
      </w:r>
    </w:p>
    <w:p w14:paraId="44B16A60" w14:textId="77777777" w:rsidR="00444596" w:rsidRPr="00D2222C" w:rsidRDefault="00444596" w:rsidP="00444596">
      <w:pPr>
        <w:tabs>
          <w:tab w:val="center" w:pos="5400"/>
        </w:tabs>
        <w:suppressAutoHyphens/>
        <w:spacing w:line="276" w:lineRule="auto"/>
        <w:jc w:val="center"/>
        <w:rPr>
          <w:rFonts w:asciiTheme="majorHAnsi" w:hAnsiTheme="majorHAnsi"/>
          <w:sz w:val="18"/>
          <w:szCs w:val="20"/>
        </w:rPr>
      </w:pPr>
      <w:r w:rsidRPr="00D2222C">
        <w:rPr>
          <w:rFonts w:asciiTheme="majorHAnsi" w:hAnsiTheme="majorHAnsi"/>
          <w:sz w:val="18"/>
          <w:szCs w:val="20"/>
        </w:rPr>
        <w:t>UNITED STATES</w:t>
      </w:r>
      <w:r w:rsidR="00E57833" w:rsidRPr="00D2222C">
        <w:rPr>
          <w:rFonts w:asciiTheme="majorHAnsi" w:hAnsiTheme="majorHAnsi"/>
          <w:sz w:val="18"/>
          <w:szCs w:val="20"/>
        </w:rPr>
        <w:t xml:space="preserve"> OF AMERICA</w:t>
      </w:r>
      <w:r w:rsidRPr="00D2222C">
        <w:rPr>
          <w:rFonts w:asciiTheme="majorHAnsi" w:hAnsiTheme="majorHAnsi"/>
          <w:sz w:val="18"/>
          <w:szCs w:val="20"/>
        </w:rPr>
        <w:br/>
      </w:r>
      <w:r w:rsidR="00261687">
        <w:rPr>
          <w:rFonts w:asciiTheme="majorHAnsi" w:hAnsiTheme="majorHAnsi"/>
          <w:sz w:val="18"/>
          <w:szCs w:val="20"/>
        </w:rPr>
        <w:t>APRIL 22</w:t>
      </w:r>
      <w:r w:rsidR="00D2222C">
        <w:rPr>
          <w:rFonts w:asciiTheme="majorHAnsi" w:hAnsiTheme="majorHAnsi"/>
          <w:sz w:val="18"/>
          <w:szCs w:val="20"/>
        </w:rPr>
        <w:t>, 20</w:t>
      </w:r>
      <w:r w:rsidR="00326763">
        <w:rPr>
          <w:rFonts w:asciiTheme="majorHAnsi" w:hAnsiTheme="majorHAnsi"/>
          <w:sz w:val="18"/>
          <w:szCs w:val="20"/>
        </w:rPr>
        <w:t>20</w:t>
      </w:r>
    </w:p>
    <w:p w14:paraId="654AC382" w14:textId="77777777" w:rsidR="007607C4" w:rsidRPr="00D2222C" w:rsidRDefault="007607C4" w:rsidP="00BB5A59">
      <w:pPr>
        <w:tabs>
          <w:tab w:val="center" w:pos="5400"/>
        </w:tabs>
        <w:suppressAutoHyphens/>
        <w:spacing w:line="276" w:lineRule="auto"/>
        <w:ind w:left="1440" w:hanging="720"/>
        <w:rPr>
          <w:rFonts w:asciiTheme="majorHAnsi" w:hAnsiTheme="majorHAnsi"/>
          <w:sz w:val="20"/>
          <w:szCs w:val="20"/>
        </w:rPr>
      </w:pPr>
    </w:p>
    <w:p w14:paraId="003B3BE1" w14:textId="77777777" w:rsidR="001C4006" w:rsidRPr="00D2222C" w:rsidRDefault="001C4006" w:rsidP="00BB5A59">
      <w:pPr>
        <w:pStyle w:val="Heading1"/>
        <w:spacing w:before="0"/>
        <w:ind w:left="1440" w:hanging="720"/>
        <w:rPr>
          <w:color w:val="auto"/>
          <w:sz w:val="20"/>
          <w:szCs w:val="20"/>
          <w:lang w:val="es-ES_tradnl"/>
        </w:rPr>
      </w:pPr>
      <w:bookmarkStart w:id="0" w:name="_Toc26550916"/>
      <w:r w:rsidRPr="00D2222C">
        <w:rPr>
          <w:color w:val="auto"/>
          <w:sz w:val="20"/>
          <w:szCs w:val="20"/>
          <w:lang w:val="es-ES_tradnl"/>
        </w:rPr>
        <w:t>SUMMARY</w:t>
      </w:r>
      <w:bookmarkEnd w:id="0"/>
      <w:r w:rsidRPr="00D2222C">
        <w:rPr>
          <w:color w:val="auto"/>
          <w:sz w:val="20"/>
          <w:szCs w:val="20"/>
          <w:lang w:val="es-ES_tradnl"/>
        </w:rPr>
        <w:t xml:space="preserve"> </w:t>
      </w:r>
    </w:p>
    <w:p w14:paraId="7B74DE8E" w14:textId="77777777" w:rsidR="001C4006" w:rsidRPr="00D2222C" w:rsidRDefault="001C4006" w:rsidP="00BB5A59">
      <w:pPr>
        <w:suppressAutoHyphens/>
        <w:ind w:left="1440" w:hanging="720"/>
        <w:rPr>
          <w:rFonts w:asciiTheme="majorHAnsi" w:hAnsiTheme="majorHAnsi"/>
          <w:b/>
          <w:sz w:val="20"/>
          <w:szCs w:val="20"/>
          <w:lang w:val="es-ES_tradnl"/>
        </w:rPr>
      </w:pPr>
    </w:p>
    <w:p w14:paraId="4D8AFA27" w14:textId="77777777" w:rsidR="001C4006" w:rsidRPr="00D2222C" w:rsidRDefault="001C40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D2222C">
        <w:rPr>
          <w:rFonts w:asciiTheme="majorHAnsi" w:hAnsiTheme="majorHAnsi"/>
          <w:color w:val="000000" w:themeColor="text1"/>
          <w:sz w:val="20"/>
          <w:szCs w:val="20"/>
        </w:rPr>
        <w:t xml:space="preserve">On </w:t>
      </w:r>
      <w:r w:rsidR="00444596" w:rsidRPr="00D2222C">
        <w:rPr>
          <w:rFonts w:asciiTheme="majorHAnsi" w:hAnsiTheme="majorHAnsi"/>
          <w:color w:val="000000" w:themeColor="text1"/>
          <w:sz w:val="20"/>
          <w:szCs w:val="20"/>
        </w:rPr>
        <w:t>October 16, 200</w:t>
      </w:r>
      <w:r w:rsidR="0046072C" w:rsidRPr="00D2222C">
        <w:rPr>
          <w:rFonts w:asciiTheme="majorHAnsi" w:hAnsiTheme="majorHAnsi"/>
          <w:color w:val="000000" w:themeColor="text1"/>
          <w:sz w:val="20"/>
          <w:szCs w:val="20"/>
        </w:rPr>
        <w:t>7</w:t>
      </w:r>
      <w:r w:rsidRPr="00D2222C">
        <w:rPr>
          <w:rFonts w:asciiTheme="majorHAnsi" w:hAnsiTheme="majorHAnsi"/>
          <w:color w:val="000000" w:themeColor="text1"/>
          <w:sz w:val="20"/>
          <w:szCs w:val="20"/>
        </w:rPr>
        <w:t>, the Inter-American Commission on Human Rights (the “Inter-American Commission” or “IACHR”) received a petition</w:t>
      </w:r>
      <w:r w:rsidR="00444596" w:rsidRPr="00D2222C">
        <w:rPr>
          <w:rFonts w:asciiTheme="majorHAnsi" w:hAnsiTheme="majorHAnsi"/>
          <w:color w:val="000000" w:themeColor="text1"/>
          <w:sz w:val="20"/>
          <w:szCs w:val="20"/>
        </w:rPr>
        <w:t xml:space="preserve"> submitted by Marica A. Widder and Robert C. Owen, from the University of Texas at Austin, and Owen Bonheimer from Steptoe &amp; Johnson LLP (the “petitioners”)</w:t>
      </w:r>
      <w:r w:rsidR="000B25FC" w:rsidRPr="00D2222C">
        <w:rPr>
          <w:rFonts w:asciiTheme="majorHAnsi" w:hAnsiTheme="majorHAnsi"/>
          <w:color w:val="000000" w:themeColor="text1"/>
          <w:sz w:val="20"/>
          <w:szCs w:val="20"/>
        </w:rPr>
        <w:t>,</w:t>
      </w:r>
      <w:r w:rsidR="00B42ABC" w:rsidRPr="00D2222C">
        <w:rPr>
          <w:rStyle w:val="FootnoteReference"/>
          <w:rFonts w:asciiTheme="majorHAnsi" w:hAnsiTheme="majorHAnsi"/>
          <w:color w:val="000000" w:themeColor="text1"/>
          <w:sz w:val="20"/>
          <w:szCs w:val="20"/>
        </w:rPr>
        <w:footnoteReference w:id="2"/>
      </w:r>
      <w:r w:rsidRPr="00D2222C">
        <w:rPr>
          <w:rFonts w:asciiTheme="majorHAnsi" w:hAnsiTheme="majorHAnsi"/>
          <w:color w:val="000000" w:themeColor="text1"/>
          <w:sz w:val="20"/>
          <w:szCs w:val="20"/>
        </w:rPr>
        <w:t xml:space="preserve"> alleg</w:t>
      </w:r>
      <w:r w:rsidR="00E86EAF" w:rsidRPr="00D2222C">
        <w:rPr>
          <w:rFonts w:asciiTheme="majorHAnsi" w:hAnsiTheme="majorHAnsi"/>
          <w:color w:val="000000" w:themeColor="text1"/>
          <w:sz w:val="20"/>
          <w:szCs w:val="20"/>
        </w:rPr>
        <w:t xml:space="preserve">ing </w:t>
      </w:r>
      <w:r w:rsidRPr="00D2222C">
        <w:rPr>
          <w:rFonts w:asciiTheme="majorHAnsi" w:hAnsiTheme="majorHAnsi"/>
          <w:color w:val="000000" w:themeColor="text1"/>
          <w:sz w:val="20"/>
          <w:szCs w:val="20"/>
        </w:rPr>
        <w:t xml:space="preserve">the international responsibility of </w:t>
      </w:r>
      <w:r w:rsidR="0046072C" w:rsidRPr="00D2222C">
        <w:rPr>
          <w:rFonts w:asciiTheme="majorHAnsi" w:hAnsiTheme="majorHAnsi"/>
          <w:color w:val="000000" w:themeColor="text1"/>
          <w:sz w:val="20"/>
          <w:szCs w:val="20"/>
        </w:rPr>
        <w:t>the United States of America</w:t>
      </w:r>
      <w:r w:rsidRPr="00D2222C">
        <w:rPr>
          <w:rFonts w:asciiTheme="majorHAnsi" w:hAnsiTheme="majorHAnsi"/>
          <w:color w:val="000000" w:themeColor="text1"/>
          <w:sz w:val="20"/>
          <w:szCs w:val="20"/>
        </w:rPr>
        <w:t xml:space="preserve"> (the “State” or “</w:t>
      </w:r>
      <w:r w:rsidR="0046072C" w:rsidRPr="00D2222C">
        <w:rPr>
          <w:rFonts w:asciiTheme="majorHAnsi" w:hAnsiTheme="majorHAnsi"/>
          <w:color w:val="000000" w:themeColor="text1"/>
          <w:sz w:val="20"/>
          <w:szCs w:val="20"/>
        </w:rPr>
        <w:t>the United States</w:t>
      </w:r>
      <w:r w:rsidRPr="00D2222C">
        <w:rPr>
          <w:rFonts w:asciiTheme="majorHAnsi" w:hAnsiTheme="majorHAnsi"/>
          <w:color w:val="000000" w:themeColor="text1"/>
          <w:sz w:val="20"/>
          <w:szCs w:val="20"/>
        </w:rPr>
        <w:t xml:space="preserve">”) for violations of the rights of </w:t>
      </w:r>
      <w:r w:rsidR="00E57833" w:rsidRPr="00D2222C">
        <w:rPr>
          <w:rFonts w:asciiTheme="majorHAnsi" w:hAnsiTheme="majorHAnsi"/>
          <w:color w:val="000000" w:themeColor="text1"/>
          <w:sz w:val="20"/>
          <w:szCs w:val="20"/>
        </w:rPr>
        <w:t>Orlando Cordia Hall</w:t>
      </w:r>
      <w:r w:rsidRPr="00D2222C">
        <w:rPr>
          <w:rFonts w:asciiTheme="majorHAnsi" w:hAnsiTheme="majorHAnsi"/>
          <w:color w:val="000000" w:themeColor="text1"/>
          <w:sz w:val="20"/>
          <w:szCs w:val="20"/>
        </w:rPr>
        <w:t xml:space="preserve">. </w:t>
      </w:r>
    </w:p>
    <w:p w14:paraId="67AB891A" w14:textId="77777777" w:rsidR="001C4006" w:rsidRPr="00D2222C" w:rsidRDefault="001C4006"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szCs w:val="20"/>
        </w:rPr>
      </w:pPr>
    </w:p>
    <w:p w14:paraId="3AB7899B" w14:textId="77777777" w:rsidR="001C4006" w:rsidRPr="00D2222C" w:rsidRDefault="001C40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D2222C">
        <w:rPr>
          <w:rFonts w:asciiTheme="majorHAnsi" w:hAnsiTheme="majorHAnsi"/>
          <w:color w:val="000000" w:themeColor="text1"/>
          <w:sz w:val="20"/>
          <w:szCs w:val="20"/>
        </w:rPr>
        <w:t xml:space="preserve">The Commission approved its admissibility report No. </w:t>
      </w:r>
      <w:r w:rsidR="000B25FC" w:rsidRPr="00D2222C">
        <w:rPr>
          <w:rFonts w:asciiTheme="majorHAnsi" w:hAnsiTheme="majorHAnsi"/>
          <w:color w:val="000000" w:themeColor="text1"/>
          <w:sz w:val="20"/>
          <w:szCs w:val="20"/>
        </w:rPr>
        <w:t>77</w:t>
      </w:r>
      <w:r w:rsidRPr="00D2222C">
        <w:rPr>
          <w:rFonts w:asciiTheme="majorHAnsi" w:hAnsiTheme="majorHAnsi"/>
          <w:color w:val="000000" w:themeColor="text1"/>
          <w:sz w:val="20"/>
          <w:szCs w:val="20"/>
        </w:rPr>
        <w:t>/</w:t>
      </w:r>
      <w:r w:rsidR="000B25FC" w:rsidRPr="00D2222C">
        <w:rPr>
          <w:rFonts w:asciiTheme="majorHAnsi" w:hAnsiTheme="majorHAnsi"/>
          <w:color w:val="000000" w:themeColor="text1"/>
          <w:sz w:val="20"/>
          <w:szCs w:val="20"/>
        </w:rPr>
        <w:t>09</w:t>
      </w:r>
      <w:r w:rsidRPr="00D2222C">
        <w:rPr>
          <w:rFonts w:asciiTheme="majorHAnsi" w:hAnsiTheme="majorHAnsi"/>
          <w:color w:val="000000" w:themeColor="text1"/>
          <w:sz w:val="20"/>
          <w:szCs w:val="20"/>
        </w:rPr>
        <w:t xml:space="preserve"> on </w:t>
      </w:r>
      <w:r w:rsidR="000B25FC" w:rsidRPr="00D2222C">
        <w:rPr>
          <w:rFonts w:asciiTheme="majorHAnsi" w:hAnsiTheme="majorHAnsi"/>
          <w:color w:val="000000" w:themeColor="text1"/>
          <w:sz w:val="20"/>
          <w:szCs w:val="20"/>
        </w:rPr>
        <w:t>August 5</w:t>
      </w:r>
      <w:r w:rsidR="0046072C" w:rsidRPr="00D2222C">
        <w:rPr>
          <w:rFonts w:asciiTheme="majorHAnsi" w:hAnsiTheme="majorHAnsi"/>
          <w:color w:val="000000" w:themeColor="text1"/>
          <w:sz w:val="20"/>
          <w:szCs w:val="20"/>
        </w:rPr>
        <w:t>, 20</w:t>
      </w:r>
      <w:r w:rsidR="000B25FC" w:rsidRPr="00D2222C">
        <w:rPr>
          <w:rFonts w:asciiTheme="majorHAnsi" w:hAnsiTheme="majorHAnsi"/>
          <w:color w:val="000000" w:themeColor="text1"/>
          <w:sz w:val="20"/>
          <w:szCs w:val="20"/>
        </w:rPr>
        <w:t>09</w:t>
      </w:r>
      <w:r w:rsidRPr="00D2222C">
        <w:rPr>
          <w:rFonts w:asciiTheme="majorHAnsi" w:hAnsiTheme="majorHAnsi"/>
          <w:color w:val="000000" w:themeColor="text1"/>
          <w:sz w:val="20"/>
          <w:szCs w:val="20"/>
        </w:rPr>
        <w:t>.</w:t>
      </w:r>
      <w:r w:rsidRPr="00D2222C">
        <w:rPr>
          <w:rStyle w:val="FootnoteReference"/>
          <w:rFonts w:asciiTheme="majorHAnsi" w:hAnsiTheme="majorHAnsi"/>
          <w:sz w:val="20"/>
          <w:szCs w:val="20"/>
          <w:lang w:val="es-ES_tradnl"/>
        </w:rPr>
        <w:footnoteReference w:id="3"/>
      </w:r>
      <w:r w:rsidRPr="00D2222C">
        <w:rPr>
          <w:rFonts w:asciiTheme="majorHAnsi" w:hAnsiTheme="majorHAnsi"/>
          <w:color w:val="000000" w:themeColor="text1"/>
          <w:sz w:val="20"/>
          <w:szCs w:val="20"/>
        </w:rPr>
        <w:t xml:space="preserve"> On </w:t>
      </w:r>
      <w:r w:rsidR="002B110C" w:rsidRPr="00D2222C">
        <w:rPr>
          <w:rFonts w:asciiTheme="majorHAnsi" w:hAnsiTheme="majorHAnsi"/>
          <w:color w:val="000000" w:themeColor="text1"/>
          <w:sz w:val="20"/>
          <w:szCs w:val="20"/>
        </w:rPr>
        <w:t>August 31</w:t>
      </w:r>
      <w:r w:rsidRPr="00D2222C">
        <w:rPr>
          <w:rFonts w:asciiTheme="majorHAnsi" w:hAnsiTheme="majorHAnsi"/>
          <w:color w:val="000000" w:themeColor="text1"/>
          <w:sz w:val="20"/>
          <w:szCs w:val="20"/>
        </w:rPr>
        <w:t>,</w:t>
      </w:r>
      <w:r w:rsidR="002B110C" w:rsidRPr="00D2222C">
        <w:rPr>
          <w:rFonts w:asciiTheme="majorHAnsi" w:hAnsiTheme="majorHAnsi"/>
          <w:color w:val="000000" w:themeColor="text1"/>
          <w:sz w:val="20"/>
          <w:szCs w:val="20"/>
        </w:rPr>
        <w:t xml:space="preserve"> 2009,</w:t>
      </w:r>
      <w:r w:rsidRPr="00D2222C">
        <w:rPr>
          <w:rFonts w:asciiTheme="majorHAnsi" w:hAnsiTheme="majorHAnsi"/>
          <w:color w:val="000000" w:themeColor="text1"/>
          <w:sz w:val="20"/>
          <w:szCs w:val="20"/>
        </w:rPr>
        <w:t xml:space="preserve"> the </w:t>
      </w:r>
      <w:r w:rsidR="00DA7151" w:rsidRPr="00D2222C">
        <w:rPr>
          <w:rFonts w:asciiTheme="majorHAnsi" w:hAnsiTheme="majorHAnsi"/>
          <w:color w:val="000000" w:themeColor="text1"/>
          <w:sz w:val="20"/>
          <w:szCs w:val="20"/>
        </w:rPr>
        <w:t>IACHR</w:t>
      </w:r>
      <w:r w:rsidRPr="00D2222C">
        <w:rPr>
          <w:rFonts w:asciiTheme="majorHAnsi" w:hAnsiTheme="majorHAnsi"/>
          <w:color w:val="000000" w:themeColor="text1"/>
          <w:sz w:val="20"/>
          <w:szCs w:val="20"/>
        </w:rPr>
        <w:t xml:space="preserve"> notified th</w:t>
      </w:r>
      <w:r w:rsidR="00DA7151" w:rsidRPr="00D2222C">
        <w:rPr>
          <w:rFonts w:asciiTheme="majorHAnsi" w:hAnsiTheme="majorHAnsi"/>
          <w:color w:val="000000" w:themeColor="text1"/>
          <w:sz w:val="20"/>
          <w:szCs w:val="20"/>
        </w:rPr>
        <w:t>e</w:t>
      </w:r>
      <w:r w:rsidRPr="00D2222C">
        <w:rPr>
          <w:rFonts w:asciiTheme="majorHAnsi" w:hAnsiTheme="majorHAnsi"/>
          <w:color w:val="000000" w:themeColor="text1"/>
          <w:sz w:val="20"/>
          <w:szCs w:val="20"/>
        </w:rPr>
        <w:t xml:space="preserve"> report to the parties and placed itself at the disposition of the parties to reach a friendly settlement. The parties enjoyed the time periods provided for in the IACHR’s Rules of Procedure to present additional observations on the merits. On </w:t>
      </w:r>
      <w:r w:rsidR="000B25FC" w:rsidRPr="00D2222C">
        <w:rPr>
          <w:rFonts w:asciiTheme="majorHAnsi" w:hAnsiTheme="majorHAnsi"/>
          <w:color w:val="000000" w:themeColor="text1"/>
          <w:sz w:val="20"/>
          <w:szCs w:val="20"/>
        </w:rPr>
        <w:t>October 29, 2010</w:t>
      </w:r>
      <w:r w:rsidRPr="00D2222C">
        <w:rPr>
          <w:rFonts w:asciiTheme="majorHAnsi" w:hAnsiTheme="majorHAnsi"/>
          <w:color w:val="000000" w:themeColor="text1"/>
          <w:sz w:val="20"/>
          <w:szCs w:val="20"/>
        </w:rPr>
        <w:t xml:space="preserve">, the </w:t>
      </w:r>
      <w:r w:rsidR="00DA7151" w:rsidRPr="00D2222C">
        <w:rPr>
          <w:rFonts w:asciiTheme="majorHAnsi" w:hAnsiTheme="majorHAnsi"/>
          <w:color w:val="000000" w:themeColor="text1"/>
          <w:sz w:val="20"/>
          <w:szCs w:val="20"/>
        </w:rPr>
        <w:t>IACHR</w:t>
      </w:r>
      <w:r w:rsidRPr="00D2222C">
        <w:rPr>
          <w:rFonts w:asciiTheme="majorHAnsi" w:hAnsiTheme="majorHAnsi"/>
          <w:color w:val="000000" w:themeColor="text1"/>
          <w:sz w:val="20"/>
          <w:szCs w:val="20"/>
        </w:rPr>
        <w:t xml:space="preserve"> held a hearing on the merits of the case. All the information received by the </w:t>
      </w:r>
      <w:r w:rsidR="00DA7151" w:rsidRPr="00D2222C">
        <w:rPr>
          <w:rFonts w:asciiTheme="majorHAnsi" w:hAnsiTheme="majorHAnsi"/>
          <w:color w:val="000000" w:themeColor="text1"/>
          <w:sz w:val="20"/>
          <w:szCs w:val="20"/>
        </w:rPr>
        <w:t>IACHR</w:t>
      </w:r>
      <w:r w:rsidRPr="00D2222C">
        <w:rPr>
          <w:rFonts w:asciiTheme="majorHAnsi" w:hAnsiTheme="majorHAnsi"/>
          <w:color w:val="000000" w:themeColor="text1"/>
          <w:sz w:val="20"/>
          <w:szCs w:val="20"/>
        </w:rPr>
        <w:t xml:space="preserve"> was duly transmitted to the parties.</w:t>
      </w:r>
      <w:r w:rsidR="00BA3133" w:rsidRPr="00D2222C">
        <w:rPr>
          <w:rStyle w:val="FootnoteReference"/>
          <w:rFonts w:asciiTheme="majorHAnsi" w:hAnsiTheme="majorHAnsi"/>
          <w:color w:val="000000" w:themeColor="text1"/>
          <w:sz w:val="20"/>
          <w:szCs w:val="20"/>
        </w:rPr>
        <w:footnoteReference w:id="4"/>
      </w:r>
      <w:r w:rsidRPr="00D2222C">
        <w:rPr>
          <w:rFonts w:asciiTheme="majorHAnsi" w:hAnsiTheme="majorHAnsi"/>
          <w:color w:val="000000" w:themeColor="text1"/>
          <w:sz w:val="20"/>
          <w:szCs w:val="20"/>
        </w:rPr>
        <w:t xml:space="preserve"> </w:t>
      </w:r>
    </w:p>
    <w:p w14:paraId="2E26CD03" w14:textId="77777777" w:rsidR="001C4006" w:rsidRPr="00D2222C" w:rsidRDefault="001C4006"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000000" w:themeColor="text1"/>
          <w:sz w:val="20"/>
          <w:szCs w:val="20"/>
        </w:rPr>
      </w:pPr>
    </w:p>
    <w:p w14:paraId="2193AD6E" w14:textId="77777777" w:rsidR="001C4006" w:rsidRPr="00D2222C" w:rsidRDefault="001C40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D2222C">
        <w:rPr>
          <w:rFonts w:asciiTheme="majorHAnsi" w:hAnsiTheme="majorHAnsi"/>
          <w:color w:val="000000" w:themeColor="text1"/>
          <w:sz w:val="20"/>
          <w:szCs w:val="20"/>
        </w:rPr>
        <w:t xml:space="preserve">The petitioners alleged that </w:t>
      </w:r>
      <w:r w:rsidR="00330E0E" w:rsidRPr="00D2222C">
        <w:rPr>
          <w:rFonts w:asciiTheme="majorHAnsi" w:hAnsiTheme="majorHAnsi"/>
          <w:color w:val="000000" w:themeColor="text1"/>
          <w:sz w:val="20"/>
          <w:szCs w:val="20"/>
        </w:rPr>
        <w:t>Mr</w:t>
      </w:r>
      <w:r w:rsidRPr="00D2222C">
        <w:rPr>
          <w:rFonts w:asciiTheme="majorHAnsi" w:hAnsiTheme="majorHAnsi"/>
          <w:color w:val="000000" w:themeColor="text1"/>
          <w:sz w:val="20"/>
          <w:szCs w:val="20"/>
        </w:rPr>
        <w:t>.</w:t>
      </w:r>
      <w:r w:rsidR="00330E0E" w:rsidRPr="00D2222C">
        <w:rPr>
          <w:rFonts w:asciiTheme="majorHAnsi" w:hAnsiTheme="majorHAnsi"/>
          <w:color w:val="000000" w:themeColor="text1"/>
          <w:sz w:val="20"/>
          <w:szCs w:val="20"/>
        </w:rPr>
        <w:t xml:space="preserve"> Hall </w:t>
      </w:r>
      <w:r w:rsidR="00E15FBA" w:rsidRPr="00D2222C">
        <w:rPr>
          <w:rFonts w:asciiTheme="majorHAnsi" w:hAnsiTheme="majorHAnsi"/>
          <w:color w:val="000000" w:themeColor="text1"/>
          <w:sz w:val="20"/>
          <w:szCs w:val="20"/>
        </w:rPr>
        <w:t>was tried, convicted and sentenced to death in circumstances amounting to racial discrimination; that he was deprived of effective legal representation during the penalty phase of his trial; that there was a lack of impartiality on the part of the trial jury; and that Mr. Hall was denied access to effective post-conviction remedies.</w:t>
      </w:r>
      <w:r w:rsidR="00784600" w:rsidRPr="00D2222C">
        <w:rPr>
          <w:rFonts w:asciiTheme="majorHAnsi" w:hAnsiTheme="majorHAnsi"/>
          <w:color w:val="000000" w:themeColor="text1"/>
          <w:sz w:val="20"/>
          <w:szCs w:val="20"/>
        </w:rPr>
        <w:t xml:space="preserve"> The petitioners also stated that </w:t>
      </w:r>
      <w:r w:rsidR="00D16C41" w:rsidRPr="00D2222C">
        <w:rPr>
          <w:rFonts w:asciiTheme="majorHAnsi" w:hAnsiTheme="majorHAnsi"/>
          <w:color w:val="000000" w:themeColor="text1"/>
          <w:sz w:val="20"/>
          <w:szCs w:val="20"/>
        </w:rPr>
        <w:t xml:space="preserve">the lethal injection protocol would not adequately protect Mr. Hall against inhuman pain and suffering and </w:t>
      </w:r>
      <w:r w:rsidR="005C1853" w:rsidRPr="00D2222C">
        <w:rPr>
          <w:rFonts w:asciiTheme="majorHAnsi" w:hAnsiTheme="majorHAnsi"/>
          <w:color w:val="000000" w:themeColor="text1"/>
          <w:sz w:val="20"/>
          <w:szCs w:val="20"/>
        </w:rPr>
        <w:t>that clemency proce</w:t>
      </w:r>
      <w:r w:rsidR="00382598" w:rsidRPr="00D2222C">
        <w:rPr>
          <w:rFonts w:asciiTheme="majorHAnsi" w:hAnsiTheme="majorHAnsi"/>
          <w:color w:val="000000" w:themeColor="text1"/>
          <w:sz w:val="20"/>
          <w:szCs w:val="20"/>
        </w:rPr>
        <w:t>eding</w:t>
      </w:r>
      <w:r w:rsidR="00B06BF4" w:rsidRPr="00D2222C">
        <w:rPr>
          <w:rFonts w:asciiTheme="majorHAnsi" w:hAnsiTheme="majorHAnsi"/>
          <w:color w:val="000000" w:themeColor="text1"/>
          <w:sz w:val="20"/>
          <w:szCs w:val="20"/>
        </w:rPr>
        <w:t>s</w:t>
      </w:r>
      <w:r w:rsidR="00382598" w:rsidRPr="00D2222C">
        <w:rPr>
          <w:rFonts w:asciiTheme="majorHAnsi" w:hAnsiTheme="majorHAnsi"/>
          <w:color w:val="000000" w:themeColor="text1"/>
          <w:sz w:val="20"/>
          <w:szCs w:val="20"/>
        </w:rPr>
        <w:t xml:space="preserve"> lack due process protections.</w:t>
      </w:r>
      <w:r w:rsidR="005C1853" w:rsidRPr="00D2222C">
        <w:rPr>
          <w:rFonts w:asciiTheme="majorHAnsi" w:hAnsiTheme="majorHAnsi"/>
          <w:color w:val="000000" w:themeColor="text1"/>
          <w:sz w:val="20"/>
          <w:szCs w:val="20"/>
        </w:rPr>
        <w:t xml:space="preserve"> </w:t>
      </w:r>
    </w:p>
    <w:p w14:paraId="3971176C" w14:textId="77777777" w:rsidR="001C4006" w:rsidRPr="00D2222C" w:rsidRDefault="001C4006"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szCs w:val="20"/>
        </w:rPr>
      </w:pPr>
    </w:p>
    <w:p w14:paraId="429C687F" w14:textId="77777777" w:rsidR="0046208F" w:rsidRPr="00D2222C" w:rsidRDefault="001C40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Theme="majorHAnsi" w:hAnsiTheme="majorHAnsi"/>
          <w:color w:val="000000" w:themeColor="text1"/>
          <w:sz w:val="20"/>
          <w:szCs w:val="20"/>
        </w:rPr>
        <w:t xml:space="preserve">The State </w:t>
      </w:r>
      <w:r w:rsidR="000C6FFD" w:rsidRPr="00D2222C">
        <w:rPr>
          <w:rFonts w:ascii="Cambria" w:hAnsi="Cambria"/>
          <w:sz w:val="20"/>
          <w:szCs w:val="20"/>
        </w:rPr>
        <w:t>alleged that the petitioners failed to establish any violation of the American Declaration</w:t>
      </w:r>
      <w:r w:rsidR="00F77BFA" w:rsidRPr="00D2222C">
        <w:rPr>
          <w:rFonts w:asciiTheme="majorHAnsi" w:hAnsiTheme="majorHAnsi"/>
          <w:color w:val="000000" w:themeColor="text1"/>
          <w:sz w:val="20"/>
          <w:szCs w:val="20"/>
        </w:rPr>
        <w:t xml:space="preserve"> on the Rights and Duties of Man (the “American Declaration”)</w:t>
      </w:r>
      <w:r w:rsidR="00C506EB" w:rsidRPr="00D2222C">
        <w:rPr>
          <w:rFonts w:ascii="Cambria" w:hAnsi="Cambria"/>
          <w:sz w:val="20"/>
          <w:szCs w:val="20"/>
        </w:rPr>
        <w:t>. It asserted</w:t>
      </w:r>
      <w:r w:rsidR="000C6FFD" w:rsidRPr="00D2222C">
        <w:rPr>
          <w:rFonts w:ascii="Cambria" w:hAnsi="Cambria"/>
          <w:sz w:val="20"/>
          <w:szCs w:val="20"/>
        </w:rPr>
        <w:t xml:space="preserve"> that Mr. Hall committed a heinous crime against a young girl</w:t>
      </w:r>
      <w:r w:rsidR="00E15FBA" w:rsidRPr="00D2222C">
        <w:rPr>
          <w:rFonts w:ascii="Cambria" w:hAnsi="Cambria"/>
          <w:sz w:val="20"/>
          <w:szCs w:val="20"/>
        </w:rPr>
        <w:t>;</w:t>
      </w:r>
      <w:r w:rsidR="000C6FFD" w:rsidRPr="00D2222C">
        <w:rPr>
          <w:rFonts w:ascii="Cambria" w:hAnsi="Cambria"/>
          <w:sz w:val="20"/>
          <w:szCs w:val="20"/>
        </w:rPr>
        <w:t xml:space="preserve"> that he </w:t>
      </w:r>
      <w:r w:rsidR="00C506EB" w:rsidRPr="00D2222C">
        <w:rPr>
          <w:rFonts w:ascii="Cambria" w:hAnsi="Cambria"/>
          <w:sz w:val="20"/>
          <w:szCs w:val="20"/>
        </w:rPr>
        <w:t>received effective assistance of</w:t>
      </w:r>
      <w:r w:rsidR="000C6FFD" w:rsidRPr="00D2222C">
        <w:rPr>
          <w:rFonts w:ascii="Cambria" w:hAnsi="Cambria"/>
          <w:sz w:val="20"/>
          <w:szCs w:val="20"/>
        </w:rPr>
        <w:t xml:space="preserve"> two competent attorneys</w:t>
      </w:r>
      <w:r w:rsidR="00B06BF4" w:rsidRPr="00D2222C">
        <w:rPr>
          <w:rFonts w:ascii="Cambria" w:hAnsi="Cambria"/>
          <w:sz w:val="20"/>
          <w:szCs w:val="20"/>
        </w:rPr>
        <w:t>;</w:t>
      </w:r>
      <w:r w:rsidR="000C6FFD" w:rsidRPr="00D2222C">
        <w:rPr>
          <w:rFonts w:ascii="Cambria" w:hAnsi="Cambria"/>
          <w:sz w:val="20"/>
          <w:szCs w:val="20"/>
        </w:rPr>
        <w:t xml:space="preserve"> and </w:t>
      </w:r>
      <w:r w:rsidR="00C506EB" w:rsidRPr="00D2222C">
        <w:rPr>
          <w:rFonts w:ascii="Cambria" w:hAnsi="Cambria"/>
          <w:sz w:val="20"/>
          <w:szCs w:val="20"/>
        </w:rPr>
        <w:t>that the United States criminal justice system provided him with a comprehensive and expansive system of review and protection of his rights</w:t>
      </w:r>
      <w:r w:rsidR="000C6FFD" w:rsidRPr="00D2222C">
        <w:rPr>
          <w:rFonts w:ascii="Cambria" w:hAnsi="Cambria"/>
          <w:sz w:val="20"/>
          <w:szCs w:val="20"/>
        </w:rPr>
        <w:t xml:space="preserve">. </w:t>
      </w:r>
      <w:r w:rsidR="007C798F" w:rsidRPr="00D2222C">
        <w:rPr>
          <w:rFonts w:ascii="Cambria" w:hAnsi="Cambria"/>
          <w:sz w:val="20"/>
          <w:szCs w:val="20"/>
        </w:rPr>
        <w:t xml:space="preserve">The State likewise alleged that </w:t>
      </w:r>
      <w:r w:rsidR="00EA01E7" w:rsidRPr="00D2222C">
        <w:rPr>
          <w:rFonts w:ascii="Cambria" w:hAnsi="Cambria"/>
          <w:sz w:val="20"/>
          <w:szCs w:val="20"/>
        </w:rPr>
        <w:t xml:space="preserve">the petitioners’ claims of racism are entirely speculative and unsubstantiated. </w:t>
      </w:r>
    </w:p>
    <w:p w14:paraId="056196F3" w14:textId="77777777" w:rsidR="0046208F" w:rsidRPr="00D2222C" w:rsidRDefault="0046208F" w:rsidP="009E3847">
      <w:pPr>
        <w:pStyle w:val="ListParagraph"/>
        <w:rPr>
          <w:rFonts w:asciiTheme="majorHAnsi" w:hAnsiTheme="majorHAnsi"/>
          <w:color w:val="000000" w:themeColor="text1"/>
          <w:sz w:val="20"/>
          <w:szCs w:val="20"/>
        </w:rPr>
      </w:pPr>
    </w:p>
    <w:p w14:paraId="0BE88E58" w14:textId="77777777" w:rsidR="001C4006" w:rsidRPr="00D2222C" w:rsidRDefault="001C40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Theme="majorHAnsi" w:hAnsiTheme="majorHAnsi"/>
          <w:color w:val="000000" w:themeColor="text1"/>
          <w:sz w:val="20"/>
          <w:szCs w:val="20"/>
        </w:rPr>
        <w:t>On the basis of determinations of fact and law, the Inter-American Commission concluded that the State is re</w:t>
      </w:r>
      <w:r w:rsidR="005633E7" w:rsidRPr="00D2222C">
        <w:rPr>
          <w:rFonts w:asciiTheme="majorHAnsi" w:hAnsiTheme="majorHAnsi"/>
          <w:color w:val="000000" w:themeColor="text1"/>
          <w:sz w:val="20"/>
          <w:szCs w:val="20"/>
        </w:rPr>
        <w:t>sponsible for the violation of A</w:t>
      </w:r>
      <w:r w:rsidRPr="00D2222C">
        <w:rPr>
          <w:rFonts w:asciiTheme="majorHAnsi" w:hAnsiTheme="majorHAnsi"/>
          <w:color w:val="000000" w:themeColor="text1"/>
          <w:sz w:val="20"/>
          <w:szCs w:val="20"/>
        </w:rPr>
        <w:t xml:space="preserve">rticles </w:t>
      </w:r>
      <w:r w:rsidR="0046208F" w:rsidRPr="00D2222C">
        <w:rPr>
          <w:rFonts w:asciiTheme="majorHAnsi" w:hAnsiTheme="majorHAnsi"/>
          <w:color w:val="000000" w:themeColor="text1"/>
          <w:sz w:val="20"/>
          <w:szCs w:val="20"/>
        </w:rPr>
        <w:t xml:space="preserve">I (life, liberty, and security), II (equality before the law), IV (freedom of expression), XVIII (fair trial), XXV (protection from arbitrary detention), and XXVI (due process) </w:t>
      </w:r>
      <w:r w:rsidRPr="00D2222C">
        <w:rPr>
          <w:rFonts w:asciiTheme="majorHAnsi" w:hAnsiTheme="majorHAnsi"/>
          <w:color w:val="000000" w:themeColor="text1"/>
          <w:sz w:val="20"/>
          <w:szCs w:val="20"/>
        </w:rPr>
        <w:t>of the American Declaration. The Commission formulated the corresponding recommendations to the State.</w:t>
      </w:r>
    </w:p>
    <w:p w14:paraId="73A983EE" w14:textId="77777777" w:rsidR="001C4006" w:rsidRPr="00D2222C" w:rsidRDefault="001C4006" w:rsidP="00BB5A59">
      <w:pPr>
        <w:pStyle w:val="ListParagraph"/>
        <w:rPr>
          <w:rFonts w:asciiTheme="majorHAnsi" w:hAnsiTheme="majorHAnsi"/>
          <w:color w:val="auto"/>
          <w:sz w:val="20"/>
          <w:szCs w:val="20"/>
        </w:rPr>
      </w:pPr>
    </w:p>
    <w:p w14:paraId="493749FB" w14:textId="77777777" w:rsidR="001C4006" w:rsidRPr="00D2222C" w:rsidRDefault="001C4006" w:rsidP="00BB5A59">
      <w:pPr>
        <w:pStyle w:val="Heading1"/>
        <w:spacing w:before="0"/>
        <w:ind w:left="1440" w:hanging="720"/>
        <w:rPr>
          <w:color w:val="auto"/>
          <w:sz w:val="20"/>
          <w:szCs w:val="20"/>
          <w:lang w:val="es-ES_tradnl"/>
        </w:rPr>
      </w:pPr>
      <w:bookmarkStart w:id="1" w:name="_Toc26550917"/>
      <w:r w:rsidRPr="00D2222C">
        <w:rPr>
          <w:color w:val="auto"/>
          <w:sz w:val="20"/>
          <w:szCs w:val="20"/>
          <w:lang w:val="es-ES_tradnl"/>
        </w:rPr>
        <w:t>POSITIONS OF THE PARTIES</w:t>
      </w:r>
      <w:bookmarkEnd w:id="1"/>
    </w:p>
    <w:p w14:paraId="691DFA39" w14:textId="77777777" w:rsidR="001C4006" w:rsidRPr="00D2222C" w:rsidRDefault="001C4006" w:rsidP="00BB5A59">
      <w:pPr>
        <w:suppressAutoHyphens/>
        <w:ind w:left="1440" w:hanging="720"/>
        <w:rPr>
          <w:rFonts w:asciiTheme="majorHAnsi" w:hAnsiTheme="majorHAnsi"/>
          <w:sz w:val="20"/>
          <w:szCs w:val="20"/>
          <w:lang w:val="es-ES_tradnl"/>
        </w:rPr>
      </w:pPr>
    </w:p>
    <w:p w14:paraId="3E1546F5" w14:textId="77777777" w:rsidR="005C164F" w:rsidRPr="00D2222C" w:rsidRDefault="005C164F" w:rsidP="00BB5A59">
      <w:pPr>
        <w:pStyle w:val="Heading2"/>
        <w:numPr>
          <w:ilvl w:val="0"/>
          <w:numId w:val="61"/>
        </w:numPr>
        <w:spacing w:before="0"/>
        <w:ind w:left="1440" w:hanging="720"/>
        <w:rPr>
          <w:color w:val="auto"/>
          <w:sz w:val="20"/>
          <w:szCs w:val="20"/>
          <w:lang w:val="es-ES_tradnl"/>
        </w:rPr>
      </w:pPr>
      <w:bookmarkStart w:id="2" w:name="_Toc26550918"/>
      <w:r w:rsidRPr="00D2222C">
        <w:rPr>
          <w:color w:val="auto"/>
          <w:sz w:val="20"/>
          <w:szCs w:val="20"/>
          <w:lang w:val="es-ES_tradnl"/>
        </w:rPr>
        <w:t>P</w:t>
      </w:r>
      <w:r w:rsidR="00262ECA" w:rsidRPr="00D2222C">
        <w:rPr>
          <w:color w:val="auto"/>
          <w:sz w:val="20"/>
          <w:szCs w:val="20"/>
          <w:lang w:val="es-ES_tradnl"/>
        </w:rPr>
        <w:t>etitioners</w:t>
      </w:r>
      <w:bookmarkEnd w:id="2"/>
    </w:p>
    <w:p w14:paraId="514FEE35" w14:textId="77777777" w:rsidR="005C164F" w:rsidRPr="00D2222C" w:rsidRDefault="005C164F" w:rsidP="00BB5A59">
      <w:pPr>
        <w:suppressAutoHyphens/>
        <w:ind w:left="1440" w:hanging="720"/>
        <w:rPr>
          <w:rFonts w:asciiTheme="majorHAnsi" w:hAnsiTheme="majorHAnsi"/>
          <w:sz w:val="20"/>
          <w:szCs w:val="20"/>
          <w:lang w:val="es-ES_tradnl"/>
        </w:rPr>
      </w:pPr>
    </w:p>
    <w:p w14:paraId="027252DB" w14:textId="77777777" w:rsidR="0042749C" w:rsidRPr="00D2222C" w:rsidRDefault="00267EF0"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Cambria" w:hAnsi="Cambria"/>
          <w:sz w:val="20"/>
          <w:szCs w:val="20"/>
        </w:rPr>
        <w:t>The petitioners state</w:t>
      </w:r>
      <w:r w:rsidR="005E6C0C" w:rsidRPr="00D2222C">
        <w:rPr>
          <w:rFonts w:ascii="Cambria" w:hAnsi="Cambria"/>
          <w:sz w:val="20"/>
          <w:szCs w:val="20"/>
        </w:rPr>
        <w:t>d</w:t>
      </w:r>
      <w:r w:rsidRPr="00D2222C">
        <w:rPr>
          <w:rFonts w:ascii="Cambria" w:hAnsi="Cambria"/>
          <w:sz w:val="20"/>
          <w:szCs w:val="20"/>
        </w:rPr>
        <w:t xml:space="preserve"> that Orlando Cordia Hall</w:t>
      </w:r>
      <w:r w:rsidR="0042749C" w:rsidRPr="00D2222C">
        <w:rPr>
          <w:rFonts w:ascii="Cambria" w:hAnsi="Cambria"/>
          <w:sz w:val="20"/>
          <w:szCs w:val="20"/>
        </w:rPr>
        <w:t>, an indigent African-American man,</w:t>
      </w:r>
      <w:r w:rsidRPr="00D2222C">
        <w:rPr>
          <w:rFonts w:ascii="Cambria" w:hAnsi="Cambria"/>
          <w:sz w:val="20"/>
          <w:szCs w:val="20"/>
        </w:rPr>
        <w:t xml:space="preserve"> was sentenced to death </w:t>
      </w:r>
      <w:r w:rsidR="00D4040F" w:rsidRPr="00D2222C">
        <w:rPr>
          <w:rFonts w:ascii="Cambria" w:hAnsi="Cambria"/>
          <w:sz w:val="20"/>
          <w:szCs w:val="20"/>
        </w:rPr>
        <w:t xml:space="preserve">in </w:t>
      </w:r>
      <w:r w:rsidR="000E44C7" w:rsidRPr="00D2222C">
        <w:rPr>
          <w:rFonts w:ascii="Cambria" w:hAnsi="Cambria"/>
          <w:sz w:val="20"/>
          <w:szCs w:val="20"/>
        </w:rPr>
        <w:t xml:space="preserve">federal proceedings held in </w:t>
      </w:r>
      <w:r w:rsidR="00D4040F" w:rsidRPr="00D2222C">
        <w:rPr>
          <w:rFonts w:ascii="Cambria" w:hAnsi="Cambria"/>
          <w:sz w:val="20"/>
          <w:szCs w:val="20"/>
        </w:rPr>
        <w:t>the state of Texas for his role in a 1994 kidnap</w:t>
      </w:r>
      <w:r w:rsidRPr="00D2222C">
        <w:rPr>
          <w:rFonts w:ascii="Cambria" w:hAnsi="Cambria"/>
          <w:sz w:val="20"/>
          <w:szCs w:val="20"/>
        </w:rPr>
        <w:t>ping</w:t>
      </w:r>
      <w:r w:rsidR="00D4040F" w:rsidRPr="00D2222C">
        <w:rPr>
          <w:rFonts w:ascii="Cambria" w:hAnsi="Cambria"/>
          <w:sz w:val="20"/>
          <w:szCs w:val="20"/>
        </w:rPr>
        <w:t xml:space="preserve"> that res</w:t>
      </w:r>
      <w:r w:rsidR="009F114F" w:rsidRPr="00D2222C">
        <w:rPr>
          <w:rFonts w:ascii="Cambria" w:hAnsi="Cambria"/>
          <w:sz w:val="20"/>
          <w:szCs w:val="20"/>
        </w:rPr>
        <w:t>ulted in the death of a 16 year-</w:t>
      </w:r>
      <w:r w:rsidR="00D4040F" w:rsidRPr="00D2222C">
        <w:rPr>
          <w:rFonts w:ascii="Cambria" w:hAnsi="Cambria"/>
          <w:sz w:val="20"/>
          <w:szCs w:val="20"/>
        </w:rPr>
        <w:t>old girl</w:t>
      </w:r>
      <w:r w:rsidRPr="00D2222C">
        <w:rPr>
          <w:rFonts w:ascii="Cambria" w:hAnsi="Cambria"/>
          <w:sz w:val="20"/>
          <w:szCs w:val="20"/>
        </w:rPr>
        <w:t>.</w:t>
      </w:r>
      <w:r w:rsidR="00D4040F" w:rsidRPr="00D2222C">
        <w:rPr>
          <w:rFonts w:ascii="Cambria" w:hAnsi="Cambria"/>
          <w:sz w:val="20"/>
          <w:szCs w:val="20"/>
        </w:rPr>
        <w:t xml:space="preserve"> </w:t>
      </w:r>
      <w:r w:rsidRPr="00D2222C">
        <w:rPr>
          <w:rFonts w:ascii="Cambria" w:hAnsi="Cambria"/>
          <w:sz w:val="20"/>
          <w:szCs w:val="20"/>
        </w:rPr>
        <w:t xml:space="preserve"> </w:t>
      </w:r>
    </w:p>
    <w:p w14:paraId="76E148BD" w14:textId="77777777" w:rsidR="009435DC" w:rsidRPr="00D2222C" w:rsidRDefault="009435DC"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3BB068CF" w14:textId="77777777" w:rsidR="00057D4F" w:rsidRPr="00D2222C" w:rsidRDefault="009435D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lastRenderedPageBreak/>
        <w:t>They allege</w:t>
      </w:r>
      <w:r w:rsidR="005E6C0C" w:rsidRPr="00D2222C">
        <w:rPr>
          <w:rFonts w:asciiTheme="majorHAnsi" w:hAnsiTheme="majorHAnsi"/>
          <w:sz w:val="20"/>
          <w:szCs w:val="20"/>
        </w:rPr>
        <w:t>d</w:t>
      </w:r>
      <w:r w:rsidRPr="00D2222C">
        <w:rPr>
          <w:rFonts w:asciiTheme="majorHAnsi" w:hAnsiTheme="majorHAnsi"/>
          <w:sz w:val="20"/>
          <w:szCs w:val="20"/>
        </w:rPr>
        <w:t xml:space="preserve"> that the federal death penalty is administered in a racially discriminatory fashion </w:t>
      </w:r>
      <w:r w:rsidR="00495396" w:rsidRPr="00D2222C">
        <w:rPr>
          <w:rFonts w:asciiTheme="majorHAnsi" w:hAnsiTheme="majorHAnsi"/>
          <w:sz w:val="20"/>
          <w:szCs w:val="20"/>
        </w:rPr>
        <w:t xml:space="preserve">in violation of the right to </w:t>
      </w:r>
      <w:r w:rsidR="00495396" w:rsidRPr="00D2222C">
        <w:rPr>
          <w:rFonts w:asciiTheme="majorHAnsi" w:hAnsiTheme="majorHAnsi"/>
          <w:b/>
          <w:sz w:val="20"/>
          <w:szCs w:val="20"/>
        </w:rPr>
        <w:t>equality before the law</w:t>
      </w:r>
      <w:r w:rsidR="00495396" w:rsidRPr="00D2222C">
        <w:rPr>
          <w:rFonts w:asciiTheme="majorHAnsi" w:hAnsiTheme="majorHAnsi"/>
          <w:sz w:val="20"/>
          <w:szCs w:val="20"/>
        </w:rPr>
        <w:t xml:space="preserve"> </w:t>
      </w:r>
      <w:r w:rsidRPr="00D2222C">
        <w:rPr>
          <w:rFonts w:asciiTheme="majorHAnsi" w:hAnsiTheme="majorHAnsi"/>
          <w:sz w:val="20"/>
          <w:szCs w:val="20"/>
        </w:rPr>
        <w:t xml:space="preserve">and that the authorization </w:t>
      </w:r>
      <w:r w:rsidR="005E6C0C" w:rsidRPr="00D2222C">
        <w:rPr>
          <w:rFonts w:asciiTheme="majorHAnsi" w:hAnsiTheme="majorHAnsi"/>
          <w:sz w:val="20"/>
          <w:szCs w:val="20"/>
        </w:rPr>
        <w:t>processes</w:t>
      </w:r>
      <w:r w:rsidRPr="00D2222C">
        <w:rPr>
          <w:rFonts w:asciiTheme="majorHAnsi" w:hAnsiTheme="majorHAnsi"/>
          <w:sz w:val="20"/>
          <w:szCs w:val="20"/>
        </w:rPr>
        <w:t xml:space="preserve"> by which the Department of Justice selects those defendants who will face the death penalty</w:t>
      </w:r>
      <w:r w:rsidR="005E6C0C" w:rsidRPr="00D2222C">
        <w:rPr>
          <w:rFonts w:asciiTheme="majorHAnsi" w:hAnsiTheme="majorHAnsi"/>
          <w:sz w:val="20"/>
          <w:szCs w:val="20"/>
        </w:rPr>
        <w:t xml:space="preserve"> are impermissibly influenced by the defendant’s race. </w:t>
      </w:r>
      <w:r w:rsidR="00535FF9" w:rsidRPr="00D2222C">
        <w:rPr>
          <w:rFonts w:asciiTheme="majorHAnsi" w:hAnsiTheme="majorHAnsi"/>
          <w:sz w:val="20"/>
          <w:szCs w:val="20"/>
        </w:rPr>
        <w:t>They submitted that</w:t>
      </w:r>
      <w:r w:rsidR="00272F7D" w:rsidRPr="00D2222C">
        <w:rPr>
          <w:rFonts w:asciiTheme="majorHAnsi" w:hAnsiTheme="majorHAnsi"/>
          <w:sz w:val="20"/>
          <w:szCs w:val="20"/>
        </w:rPr>
        <w:t xml:space="preserve"> the disparate impact of these decisions is clear – despite the fact that whites are arrested for homicide in roughly the same numbers as blacks, they occupy only twenty percent of those condemned to die under federal law, while blacks account for sixty percent of federal death row.</w:t>
      </w:r>
      <w:r w:rsidR="005E6C0C" w:rsidRPr="00D2222C">
        <w:rPr>
          <w:rFonts w:asciiTheme="majorHAnsi" w:hAnsiTheme="majorHAnsi"/>
          <w:sz w:val="20"/>
          <w:szCs w:val="20"/>
        </w:rPr>
        <w:t xml:space="preserve"> </w:t>
      </w:r>
      <w:r w:rsidR="00272F7D" w:rsidRPr="00D2222C">
        <w:rPr>
          <w:rFonts w:asciiTheme="majorHAnsi" w:hAnsiTheme="majorHAnsi"/>
          <w:sz w:val="20"/>
          <w:szCs w:val="20"/>
        </w:rPr>
        <w:t>Regarding federal death penalty cases arising in Texas, they claim</w:t>
      </w:r>
      <w:r w:rsidR="00B20B83" w:rsidRPr="00D2222C">
        <w:rPr>
          <w:rFonts w:asciiTheme="majorHAnsi" w:hAnsiTheme="majorHAnsi"/>
          <w:sz w:val="20"/>
          <w:szCs w:val="20"/>
        </w:rPr>
        <w:t>ed</w:t>
      </w:r>
      <w:r w:rsidR="00272F7D" w:rsidRPr="00D2222C">
        <w:rPr>
          <w:rFonts w:asciiTheme="majorHAnsi" w:hAnsiTheme="majorHAnsi"/>
          <w:sz w:val="20"/>
          <w:szCs w:val="20"/>
        </w:rPr>
        <w:t xml:space="preserve"> that black defendants are 5.3 times more likely than white defendants to face the death penalty, although they comprise</w:t>
      </w:r>
      <w:r w:rsidR="00B20B83" w:rsidRPr="00D2222C">
        <w:rPr>
          <w:rFonts w:asciiTheme="majorHAnsi" w:hAnsiTheme="majorHAnsi"/>
          <w:sz w:val="20"/>
          <w:szCs w:val="20"/>
        </w:rPr>
        <w:t xml:space="preserve"> less than twelve percent of the overall population. </w:t>
      </w:r>
    </w:p>
    <w:p w14:paraId="79B19833" w14:textId="77777777" w:rsidR="00057D4F" w:rsidRPr="00D2222C" w:rsidRDefault="00057D4F" w:rsidP="009E3847">
      <w:pPr>
        <w:pStyle w:val="ListParagraph"/>
        <w:rPr>
          <w:rFonts w:asciiTheme="majorHAnsi" w:hAnsiTheme="majorHAnsi"/>
          <w:sz w:val="20"/>
          <w:szCs w:val="20"/>
        </w:rPr>
      </w:pPr>
    </w:p>
    <w:p w14:paraId="2D28D5EA" w14:textId="77777777" w:rsidR="000E7ED0" w:rsidRPr="00D2222C" w:rsidRDefault="005E6C0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t xml:space="preserve">The petitioners </w:t>
      </w:r>
      <w:r w:rsidR="009554F0" w:rsidRPr="00D2222C">
        <w:rPr>
          <w:rFonts w:asciiTheme="majorHAnsi" w:hAnsiTheme="majorHAnsi"/>
          <w:sz w:val="20"/>
          <w:szCs w:val="20"/>
        </w:rPr>
        <w:t xml:space="preserve">argued that </w:t>
      </w:r>
      <w:r w:rsidR="00A14D37" w:rsidRPr="00D2222C">
        <w:rPr>
          <w:rFonts w:asciiTheme="majorHAnsi" w:hAnsiTheme="majorHAnsi"/>
          <w:sz w:val="20"/>
          <w:szCs w:val="20"/>
        </w:rPr>
        <w:t>when federal prosecutors requested authorization to seek the death penalty against Mr. Hall in 1994, the Department of Justice process was arbitrarily subjected to local influence, and reflected a grossly disproportionate number of requests involving African</w:t>
      </w:r>
      <w:r w:rsidR="00DC28C0" w:rsidRPr="00D2222C">
        <w:rPr>
          <w:rFonts w:asciiTheme="majorHAnsi" w:hAnsiTheme="majorHAnsi"/>
          <w:sz w:val="20"/>
          <w:szCs w:val="20"/>
        </w:rPr>
        <w:t>-</w:t>
      </w:r>
      <w:r w:rsidR="00A14D37" w:rsidRPr="00D2222C">
        <w:rPr>
          <w:rFonts w:asciiTheme="majorHAnsi" w:hAnsiTheme="majorHAnsi"/>
          <w:sz w:val="20"/>
          <w:szCs w:val="20"/>
        </w:rPr>
        <w:t xml:space="preserve">American defendants. They stated that </w:t>
      </w:r>
      <w:r w:rsidR="009554F0" w:rsidRPr="00D2222C">
        <w:rPr>
          <w:rFonts w:asciiTheme="majorHAnsi" w:hAnsiTheme="majorHAnsi"/>
          <w:sz w:val="20"/>
          <w:szCs w:val="20"/>
        </w:rPr>
        <w:t xml:space="preserve">Mr. Hall was tried by an all-white jury and that the federal government chose to prosecute his case in Texas, rather than Arkansas, </w:t>
      </w:r>
      <w:r w:rsidR="006D48BB" w:rsidRPr="00D2222C">
        <w:rPr>
          <w:rFonts w:asciiTheme="majorHAnsi" w:hAnsiTheme="majorHAnsi"/>
          <w:sz w:val="20"/>
          <w:szCs w:val="20"/>
        </w:rPr>
        <w:t>where the number of African-Americans in the jury pool was diluted</w:t>
      </w:r>
      <w:r w:rsidR="009554F0" w:rsidRPr="00D2222C">
        <w:rPr>
          <w:rFonts w:asciiTheme="majorHAnsi" w:hAnsiTheme="majorHAnsi"/>
          <w:sz w:val="20"/>
          <w:szCs w:val="20"/>
        </w:rPr>
        <w:t xml:space="preserve">. They </w:t>
      </w:r>
      <w:r w:rsidRPr="00D2222C">
        <w:rPr>
          <w:rFonts w:asciiTheme="majorHAnsi" w:hAnsiTheme="majorHAnsi"/>
          <w:sz w:val="20"/>
          <w:szCs w:val="20"/>
        </w:rPr>
        <w:t>stated that</w:t>
      </w:r>
      <w:r w:rsidR="005D0FBF" w:rsidRPr="00D2222C">
        <w:rPr>
          <w:rFonts w:asciiTheme="majorHAnsi" w:hAnsiTheme="majorHAnsi"/>
          <w:sz w:val="20"/>
          <w:szCs w:val="20"/>
        </w:rPr>
        <w:t>,</w:t>
      </w:r>
      <w:r w:rsidR="00936C4F" w:rsidRPr="00D2222C">
        <w:rPr>
          <w:rFonts w:asciiTheme="majorHAnsi" w:hAnsiTheme="majorHAnsi"/>
          <w:sz w:val="20"/>
          <w:szCs w:val="20"/>
        </w:rPr>
        <w:t xml:space="preserve"> </w:t>
      </w:r>
      <w:r w:rsidR="005D0FBF" w:rsidRPr="00D2222C">
        <w:rPr>
          <w:rFonts w:asciiTheme="majorHAnsi" w:hAnsiTheme="majorHAnsi"/>
          <w:sz w:val="20"/>
          <w:szCs w:val="20"/>
        </w:rPr>
        <w:t xml:space="preserve">in separate capital cases, </w:t>
      </w:r>
      <w:r w:rsidR="00936C4F" w:rsidRPr="00D2222C">
        <w:rPr>
          <w:rFonts w:asciiTheme="majorHAnsi" w:hAnsiTheme="majorHAnsi"/>
          <w:sz w:val="20"/>
          <w:szCs w:val="20"/>
        </w:rPr>
        <w:t xml:space="preserve">the prosecutor responsible for assembling the all-white jury in </w:t>
      </w:r>
      <w:r w:rsidR="00091707" w:rsidRPr="00D2222C">
        <w:rPr>
          <w:rFonts w:asciiTheme="majorHAnsi" w:hAnsiTheme="majorHAnsi"/>
          <w:sz w:val="20"/>
          <w:szCs w:val="20"/>
        </w:rPr>
        <w:t xml:space="preserve">Mr. </w:t>
      </w:r>
      <w:r w:rsidR="00936C4F" w:rsidRPr="00D2222C">
        <w:rPr>
          <w:rFonts w:asciiTheme="majorHAnsi" w:hAnsiTheme="majorHAnsi"/>
          <w:sz w:val="20"/>
          <w:szCs w:val="20"/>
        </w:rPr>
        <w:t>Hall’s prosecution was found by the U.S. Supreme Court to have engaged in racial discrimination in jury selection. They alleged that the prosecutor had denied under oath that he had struck minority jurors on account of their race, and in each case the reviewing court found his sworn denials of discrimination to be false, reversing the capital murder conviction.</w:t>
      </w:r>
      <w:r w:rsidR="0013403C" w:rsidRPr="00D2222C">
        <w:rPr>
          <w:rFonts w:asciiTheme="majorHAnsi" w:hAnsiTheme="majorHAnsi"/>
          <w:sz w:val="20"/>
          <w:szCs w:val="20"/>
        </w:rPr>
        <w:t xml:space="preserve"> </w:t>
      </w:r>
      <w:r w:rsidR="00D03C39" w:rsidRPr="00D2222C">
        <w:rPr>
          <w:rFonts w:asciiTheme="majorHAnsi" w:hAnsiTheme="majorHAnsi"/>
          <w:sz w:val="20"/>
          <w:szCs w:val="20"/>
        </w:rPr>
        <w:t xml:space="preserve">Given that Mr. Hall’s final round of appeals had already been decided, he could not use this new finding in his habeas petitions. </w:t>
      </w:r>
      <w:r w:rsidR="00C714BB" w:rsidRPr="00D2222C">
        <w:rPr>
          <w:rFonts w:asciiTheme="majorHAnsi" w:hAnsiTheme="majorHAnsi"/>
          <w:sz w:val="20"/>
          <w:szCs w:val="20"/>
        </w:rPr>
        <w:t>The</w:t>
      </w:r>
      <w:r w:rsidR="000E44C7" w:rsidRPr="00D2222C">
        <w:rPr>
          <w:rFonts w:asciiTheme="majorHAnsi" w:hAnsiTheme="majorHAnsi"/>
          <w:sz w:val="20"/>
          <w:szCs w:val="20"/>
        </w:rPr>
        <w:t>y</w:t>
      </w:r>
      <w:r w:rsidR="00C714BB" w:rsidRPr="00D2222C">
        <w:rPr>
          <w:rFonts w:asciiTheme="majorHAnsi" w:hAnsiTheme="majorHAnsi"/>
          <w:sz w:val="20"/>
          <w:szCs w:val="20"/>
        </w:rPr>
        <w:t xml:space="preserve"> also submitted that the State did not offer Mr. Hall the chance to plead guilty to the crime to which he had already voluntarily confessed, and thereby obtain a life sentence. They indicated that in federal death penalty cases almost twice as many white defendants as African</w:t>
      </w:r>
      <w:r w:rsidR="00DC28C0" w:rsidRPr="00D2222C">
        <w:rPr>
          <w:rFonts w:asciiTheme="majorHAnsi" w:hAnsiTheme="majorHAnsi"/>
          <w:sz w:val="20"/>
          <w:szCs w:val="20"/>
        </w:rPr>
        <w:t>-</w:t>
      </w:r>
      <w:r w:rsidR="00C714BB" w:rsidRPr="00D2222C">
        <w:rPr>
          <w:rFonts w:asciiTheme="majorHAnsi" w:hAnsiTheme="majorHAnsi"/>
          <w:sz w:val="20"/>
          <w:szCs w:val="20"/>
        </w:rPr>
        <w:t xml:space="preserve">American defendants obtained a plea deal. </w:t>
      </w:r>
      <w:r w:rsidR="00A14D37" w:rsidRPr="00D2222C">
        <w:rPr>
          <w:rFonts w:asciiTheme="majorHAnsi" w:hAnsiTheme="majorHAnsi"/>
          <w:sz w:val="20"/>
          <w:szCs w:val="20"/>
        </w:rPr>
        <w:t>According to t</w:t>
      </w:r>
      <w:r w:rsidR="0013403C" w:rsidRPr="00D2222C">
        <w:rPr>
          <w:rFonts w:asciiTheme="majorHAnsi" w:hAnsiTheme="majorHAnsi"/>
          <w:sz w:val="20"/>
          <w:szCs w:val="20"/>
        </w:rPr>
        <w:t>he petitioners</w:t>
      </w:r>
      <w:r w:rsidR="00A14D37" w:rsidRPr="00D2222C">
        <w:rPr>
          <w:rFonts w:asciiTheme="majorHAnsi" w:hAnsiTheme="majorHAnsi"/>
          <w:sz w:val="20"/>
          <w:szCs w:val="20"/>
        </w:rPr>
        <w:t>,</w:t>
      </w:r>
      <w:r w:rsidR="0013403C" w:rsidRPr="00D2222C">
        <w:rPr>
          <w:rFonts w:asciiTheme="majorHAnsi" w:hAnsiTheme="majorHAnsi"/>
          <w:sz w:val="20"/>
          <w:szCs w:val="20"/>
        </w:rPr>
        <w:t xml:space="preserve"> indirect discrimination by the State resulted in Mr. Hall being sentenced before an all-white jury.</w:t>
      </w:r>
      <w:r w:rsidR="004D78B4" w:rsidRPr="00D2222C">
        <w:rPr>
          <w:rFonts w:asciiTheme="majorHAnsi" w:hAnsiTheme="majorHAnsi"/>
          <w:sz w:val="20"/>
          <w:szCs w:val="20"/>
        </w:rPr>
        <w:t xml:space="preserve"> </w:t>
      </w:r>
    </w:p>
    <w:p w14:paraId="12A32F61" w14:textId="77777777" w:rsidR="000E7ED0" w:rsidRPr="00D2222C" w:rsidRDefault="000E7ED0" w:rsidP="009E3847">
      <w:pPr>
        <w:pStyle w:val="ListParagraph"/>
        <w:rPr>
          <w:rFonts w:asciiTheme="majorHAnsi" w:hAnsiTheme="majorHAnsi"/>
          <w:sz w:val="20"/>
          <w:szCs w:val="20"/>
        </w:rPr>
      </w:pPr>
    </w:p>
    <w:p w14:paraId="195D46A6" w14:textId="77777777" w:rsidR="009435DC" w:rsidRPr="00D2222C" w:rsidRDefault="000E7ED0"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t xml:space="preserve">The petitioners </w:t>
      </w:r>
      <w:r w:rsidR="00E57833" w:rsidRPr="00D2222C">
        <w:rPr>
          <w:rFonts w:asciiTheme="majorHAnsi" w:hAnsiTheme="majorHAnsi"/>
          <w:sz w:val="20"/>
          <w:szCs w:val="20"/>
        </w:rPr>
        <w:t>likewise</w:t>
      </w:r>
      <w:r w:rsidRPr="00D2222C">
        <w:rPr>
          <w:rFonts w:asciiTheme="majorHAnsi" w:hAnsiTheme="majorHAnsi"/>
          <w:sz w:val="20"/>
          <w:szCs w:val="20"/>
        </w:rPr>
        <w:t xml:space="preserve"> submitted that Mr. Hall was deprived of effective legal representation</w:t>
      </w:r>
      <w:r w:rsidR="00AB55B8" w:rsidRPr="00D2222C">
        <w:rPr>
          <w:rFonts w:asciiTheme="majorHAnsi" w:hAnsiTheme="majorHAnsi"/>
          <w:sz w:val="20"/>
          <w:szCs w:val="20"/>
        </w:rPr>
        <w:t xml:space="preserve"> </w:t>
      </w:r>
      <w:r w:rsidR="00AB55B8" w:rsidRPr="00D2222C">
        <w:rPr>
          <w:rFonts w:asciiTheme="majorHAnsi" w:hAnsiTheme="majorHAnsi"/>
          <w:color w:val="000000" w:themeColor="text1"/>
          <w:sz w:val="20"/>
          <w:szCs w:val="20"/>
        </w:rPr>
        <w:t>during the penalty phase of his trial</w:t>
      </w:r>
      <w:r w:rsidR="00495396" w:rsidRPr="00D2222C">
        <w:rPr>
          <w:rFonts w:asciiTheme="majorHAnsi" w:hAnsiTheme="majorHAnsi"/>
          <w:color w:val="000000" w:themeColor="text1"/>
          <w:sz w:val="20"/>
          <w:szCs w:val="20"/>
        </w:rPr>
        <w:t xml:space="preserve"> in violation of his rights to a </w:t>
      </w:r>
      <w:r w:rsidR="00495396" w:rsidRPr="00D2222C">
        <w:rPr>
          <w:rFonts w:asciiTheme="majorHAnsi" w:hAnsiTheme="majorHAnsi"/>
          <w:b/>
          <w:color w:val="000000" w:themeColor="text1"/>
          <w:sz w:val="20"/>
          <w:szCs w:val="20"/>
        </w:rPr>
        <w:t>fair trial</w:t>
      </w:r>
      <w:r w:rsidR="00495396" w:rsidRPr="00D2222C">
        <w:rPr>
          <w:rFonts w:asciiTheme="majorHAnsi" w:hAnsiTheme="majorHAnsi"/>
          <w:color w:val="000000" w:themeColor="text1"/>
          <w:sz w:val="20"/>
          <w:szCs w:val="20"/>
        </w:rPr>
        <w:t xml:space="preserve"> and to </w:t>
      </w:r>
      <w:r w:rsidR="00495396" w:rsidRPr="00D2222C">
        <w:rPr>
          <w:rFonts w:asciiTheme="majorHAnsi" w:hAnsiTheme="majorHAnsi"/>
          <w:b/>
          <w:color w:val="000000" w:themeColor="text1"/>
          <w:sz w:val="20"/>
          <w:szCs w:val="20"/>
        </w:rPr>
        <w:t>due process of law</w:t>
      </w:r>
      <w:r w:rsidRPr="00D2222C">
        <w:rPr>
          <w:rFonts w:asciiTheme="majorHAnsi" w:hAnsiTheme="majorHAnsi"/>
          <w:sz w:val="20"/>
          <w:szCs w:val="20"/>
        </w:rPr>
        <w:t xml:space="preserve">. They alleged that the two attorneys appointed to represent him were granted leave to withdraw a few months after appointment. </w:t>
      </w:r>
      <w:r w:rsidR="006A0F77" w:rsidRPr="00D2222C">
        <w:rPr>
          <w:rFonts w:asciiTheme="majorHAnsi" w:hAnsiTheme="majorHAnsi"/>
          <w:sz w:val="20"/>
          <w:szCs w:val="20"/>
        </w:rPr>
        <w:t>A</w:t>
      </w:r>
      <w:r w:rsidRPr="00D2222C">
        <w:rPr>
          <w:rFonts w:asciiTheme="majorHAnsi" w:hAnsiTheme="majorHAnsi"/>
          <w:sz w:val="20"/>
          <w:szCs w:val="20"/>
        </w:rPr>
        <w:t>lthough the two new attorneys were appointed more than six months before trial was scheduled to begin, they did not begin a penalty phase investigation until two and a half week</w:t>
      </w:r>
      <w:r w:rsidR="006A0F77" w:rsidRPr="00D2222C">
        <w:rPr>
          <w:rFonts w:asciiTheme="majorHAnsi" w:hAnsiTheme="majorHAnsi"/>
          <w:sz w:val="20"/>
          <w:szCs w:val="20"/>
        </w:rPr>
        <w:t xml:space="preserve">s </w:t>
      </w:r>
      <w:r w:rsidRPr="00D2222C">
        <w:rPr>
          <w:rFonts w:asciiTheme="majorHAnsi" w:hAnsiTheme="majorHAnsi"/>
          <w:sz w:val="20"/>
          <w:szCs w:val="20"/>
        </w:rPr>
        <w:t>before trial commenced.</w:t>
      </w:r>
      <w:r w:rsidR="00B20B83" w:rsidRPr="00D2222C">
        <w:rPr>
          <w:rFonts w:asciiTheme="majorHAnsi" w:hAnsiTheme="majorHAnsi"/>
          <w:sz w:val="20"/>
          <w:szCs w:val="20"/>
        </w:rPr>
        <w:t xml:space="preserve"> </w:t>
      </w:r>
      <w:r w:rsidR="007247E2" w:rsidRPr="00D2222C">
        <w:rPr>
          <w:rFonts w:asciiTheme="majorHAnsi" w:hAnsiTheme="majorHAnsi"/>
          <w:sz w:val="20"/>
          <w:szCs w:val="20"/>
        </w:rPr>
        <w:t xml:space="preserve">They </w:t>
      </w:r>
      <w:r w:rsidR="00091707" w:rsidRPr="00D2222C">
        <w:rPr>
          <w:rFonts w:asciiTheme="majorHAnsi" w:hAnsiTheme="majorHAnsi"/>
          <w:sz w:val="20"/>
          <w:szCs w:val="20"/>
        </w:rPr>
        <w:t>noted</w:t>
      </w:r>
      <w:r w:rsidR="007247E2" w:rsidRPr="00D2222C">
        <w:rPr>
          <w:rFonts w:asciiTheme="majorHAnsi" w:hAnsiTheme="majorHAnsi"/>
          <w:sz w:val="20"/>
          <w:szCs w:val="20"/>
        </w:rPr>
        <w:t xml:space="preserve"> that trial counsel called only two witnesses, Mr. Hall’s mother and sister, to testify briefly concerning his background and character, and unreasonably failed to develop or present extensive and powerful mitigating evidence.</w:t>
      </w:r>
      <w:r w:rsidR="00BA198F" w:rsidRPr="00D2222C">
        <w:rPr>
          <w:rFonts w:asciiTheme="majorHAnsi" w:hAnsiTheme="majorHAnsi"/>
          <w:sz w:val="20"/>
          <w:szCs w:val="20"/>
        </w:rPr>
        <w:t xml:space="preserve"> They alleged that, had trial counsel undertaken a timely, comprehensive investigation into available mitigating evidence, jurors would have heard that Mr. Hall was the target of severe and longstanding physical abuse from his father, suffered neuropsychological deficits that undermined his judgment, had many positive personality traits, was a “model prisoner” during his sole prior incarceration, and originally became involved in selling illegal drugs, in part, to support his younger brothers. </w:t>
      </w:r>
    </w:p>
    <w:p w14:paraId="2A6C20CD" w14:textId="77777777" w:rsidR="00012683" w:rsidRPr="00D2222C" w:rsidRDefault="00012683"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113331CA" w14:textId="77777777" w:rsidR="001503E0" w:rsidRPr="00D2222C" w:rsidRDefault="00860233"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t>According to the petitioners, trial counsel relied on the superficial and incomplete work of prior counsel who had withdrawn due to a conflict of interest. They alleged that trial counsel failed to present the testimony of several individuals – present in the courthouse at the time of the penalty hearing – who were familiar with the Hall family, the privations that Mr. Hall suffered throughout his childhood and youth, an</w:t>
      </w:r>
      <w:r w:rsidR="00D568A0" w:rsidRPr="00D2222C">
        <w:rPr>
          <w:rFonts w:asciiTheme="majorHAnsi" w:hAnsiTheme="majorHAnsi"/>
          <w:sz w:val="20"/>
          <w:szCs w:val="20"/>
        </w:rPr>
        <w:t>d</w:t>
      </w:r>
      <w:r w:rsidRPr="00D2222C">
        <w:rPr>
          <w:rFonts w:asciiTheme="majorHAnsi" w:hAnsiTheme="majorHAnsi"/>
          <w:sz w:val="20"/>
          <w:szCs w:val="20"/>
        </w:rPr>
        <w:t xml:space="preserve"> many of his positive attributes. </w:t>
      </w:r>
      <w:r w:rsidR="006D7976" w:rsidRPr="00D2222C">
        <w:rPr>
          <w:rFonts w:asciiTheme="majorHAnsi" w:hAnsiTheme="majorHAnsi"/>
          <w:sz w:val="20"/>
          <w:szCs w:val="20"/>
        </w:rPr>
        <w:t xml:space="preserve">They </w:t>
      </w:r>
      <w:r w:rsidR="00091707" w:rsidRPr="00D2222C">
        <w:rPr>
          <w:rFonts w:asciiTheme="majorHAnsi" w:hAnsiTheme="majorHAnsi"/>
          <w:sz w:val="20"/>
          <w:szCs w:val="20"/>
        </w:rPr>
        <w:t>likewise</w:t>
      </w:r>
      <w:r w:rsidR="006D7976" w:rsidRPr="00D2222C">
        <w:rPr>
          <w:rFonts w:asciiTheme="majorHAnsi" w:hAnsiTheme="majorHAnsi"/>
          <w:sz w:val="20"/>
          <w:szCs w:val="20"/>
        </w:rPr>
        <w:t xml:space="preserve"> stated that trial counsel arranged for the assistance of a neuropsychologist but unreasonably failed to ensure that their expert actually evaluated Mr. Hall. The petitioners claimed that, had appropriate neuropsychological testing been performed sufficiently in advance of trial, favorable results could have been incorporated into a meaningful case in mitigation. </w:t>
      </w:r>
      <w:r w:rsidR="00924F0A" w:rsidRPr="00D2222C">
        <w:rPr>
          <w:rFonts w:asciiTheme="majorHAnsi" w:hAnsiTheme="majorHAnsi"/>
          <w:sz w:val="20"/>
          <w:szCs w:val="20"/>
        </w:rPr>
        <w:t xml:space="preserve">They concluded in this regard that, had trial counsel performed according to the prevailing standards of practice, they would have developed and presented a richly detailed portrait that could have persuaded jurors to spare Mr. Hall’s life notwithstanding the seriousness of his crime. </w:t>
      </w:r>
      <w:r w:rsidR="00336085" w:rsidRPr="00D2222C">
        <w:rPr>
          <w:rFonts w:asciiTheme="majorHAnsi" w:hAnsiTheme="majorHAnsi"/>
          <w:sz w:val="20"/>
          <w:szCs w:val="20"/>
        </w:rPr>
        <w:t>The</w:t>
      </w:r>
      <w:r w:rsidR="00501DFB" w:rsidRPr="00D2222C">
        <w:rPr>
          <w:rFonts w:asciiTheme="majorHAnsi" w:hAnsiTheme="majorHAnsi"/>
          <w:sz w:val="20"/>
          <w:szCs w:val="20"/>
        </w:rPr>
        <w:t>y further</w:t>
      </w:r>
      <w:r w:rsidR="00336085" w:rsidRPr="00D2222C">
        <w:rPr>
          <w:rFonts w:asciiTheme="majorHAnsi" w:hAnsiTheme="majorHAnsi"/>
          <w:sz w:val="20"/>
          <w:szCs w:val="20"/>
        </w:rPr>
        <w:t xml:space="preserve"> submitted that at the penalty phase the prosecution</w:t>
      </w:r>
      <w:r w:rsidR="001503E0" w:rsidRPr="00D2222C">
        <w:rPr>
          <w:rFonts w:asciiTheme="majorHAnsi" w:hAnsiTheme="majorHAnsi"/>
          <w:sz w:val="20"/>
          <w:szCs w:val="20"/>
        </w:rPr>
        <w:t>, in support of its allegation that Mr. Hall “constitute[d] a future danger to the lives and safety of other persons,” introduced testimony concerning other offenses allegedly committed and/or planned by Mr. Hall, but for which he had never been prosecuted or convicted.</w:t>
      </w:r>
      <w:r w:rsidR="0070603C" w:rsidRPr="00D2222C">
        <w:rPr>
          <w:rFonts w:asciiTheme="majorHAnsi" w:hAnsiTheme="majorHAnsi"/>
          <w:sz w:val="20"/>
          <w:szCs w:val="20"/>
        </w:rPr>
        <w:t xml:space="preserve"> </w:t>
      </w:r>
    </w:p>
    <w:p w14:paraId="7409D9A3" w14:textId="77777777" w:rsidR="00336085" w:rsidRPr="00D2222C" w:rsidRDefault="00336085" w:rsidP="009E3847">
      <w:pPr>
        <w:pStyle w:val="ListParagraph"/>
        <w:rPr>
          <w:rFonts w:asciiTheme="majorHAnsi" w:hAnsiTheme="majorHAnsi"/>
          <w:sz w:val="20"/>
          <w:szCs w:val="20"/>
        </w:rPr>
      </w:pPr>
    </w:p>
    <w:p w14:paraId="38EF3874" w14:textId="77777777" w:rsidR="00336085" w:rsidRPr="00D2222C" w:rsidRDefault="0033608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lastRenderedPageBreak/>
        <w:t>The</w:t>
      </w:r>
      <w:r w:rsidR="00501DFB" w:rsidRPr="00D2222C">
        <w:rPr>
          <w:rFonts w:asciiTheme="majorHAnsi" w:hAnsiTheme="majorHAnsi"/>
          <w:sz w:val="20"/>
          <w:szCs w:val="20"/>
        </w:rPr>
        <w:t xml:space="preserve"> petitioners</w:t>
      </w:r>
      <w:r w:rsidRPr="00D2222C">
        <w:rPr>
          <w:rFonts w:asciiTheme="majorHAnsi" w:hAnsiTheme="majorHAnsi"/>
          <w:sz w:val="20"/>
          <w:szCs w:val="20"/>
        </w:rPr>
        <w:t xml:space="preserve"> argued that </w:t>
      </w:r>
      <w:r w:rsidR="00C36E35" w:rsidRPr="00D2222C">
        <w:rPr>
          <w:rFonts w:asciiTheme="majorHAnsi" w:hAnsiTheme="majorHAnsi"/>
          <w:sz w:val="20"/>
          <w:szCs w:val="20"/>
        </w:rPr>
        <w:t xml:space="preserve">Mr. Hall’s case received virtually no scrutiny at all in post-conviction proceedings. According to the petitioners, </w:t>
      </w:r>
      <w:r w:rsidRPr="00D2222C">
        <w:rPr>
          <w:rFonts w:asciiTheme="majorHAnsi" w:hAnsiTheme="majorHAnsi"/>
          <w:sz w:val="20"/>
          <w:szCs w:val="20"/>
        </w:rPr>
        <w:t>the domestic courts refused to conduct an evidentiary hearing during post-conviction proceedings to permit Mr. Hall to prove th</w:t>
      </w:r>
      <w:r w:rsidR="009937A7" w:rsidRPr="00D2222C">
        <w:rPr>
          <w:rFonts w:asciiTheme="majorHAnsi" w:hAnsiTheme="majorHAnsi"/>
          <w:sz w:val="20"/>
          <w:szCs w:val="20"/>
        </w:rPr>
        <w:t>e</w:t>
      </w:r>
      <w:r w:rsidRPr="00D2222C">
        <w:rPr>
          <w:rFonts w:asciiTheme="majorHAnsi" w:hAnsiTheme="majorHAnsi"/>
          <w:sz w:val="20"/>
          <w:szCs w:val="20"/>
        </w:rPr>
        <w:t xml:space="preserve"> facts he had alleged regarding his trial attorney’s deficient performance at the penalty phase and how their errors and omissions likely influenced the jury’s decision to impose a death sentence. </w:t>
      </w:r>
      <w:r w:rsidR="0072130B" w:rsidRPr="00D2222C">
        <w:rPr>
          <w:rFonts w:asciiTheme="majorHAnsi" w:hAnsiTheme="majorHAnsi"/>
          <w:sz w:val="20"/>
          <w:szCs w:val="20"/>
        </w:rPr>
        <w:t xml:space="preserve">They submitted that the domestic courts refused to conduct an evidentiary hearing into Mr. Hall’s charges that key parts of the penalty-phase testimony of </w:t>
      </w:r>
      <w:r w:rsidR="00875ABB" w:rsidRPr="00D2222C">
        <w:rPr>
          <w:rFonts w:asciiTheme="majorHAnsi" w:hAnsiTheme="majorHAnsi"/>
          <w:sz w:val="20"/>
          <w:szCs w:val="20"/>
        </w:rPr>
        <w:t xml:space="preserve">a </w:t>
      </w:r>
      <w:r w:rsidR="0072130B" w:rsidRPr="00D2222C">
        <w:rPr>
          <w:rFonts w:asciiTheme="majorHAnsi" w:hAnsiTheme="majorHAnsi"/>
          <w:sz w:val="20"/>
          <w:szCs w:val="20"/>
        </w:rPr>
        <w:t xml:space="preserve">prosecution witness were fabricated and/or intolerably unreliable, despite the fact that Mr. Hall submitted sworn affidavits </w:t>
      </w:r>
      <w:r w:rsidR="00875ABB" w:rsidRPr="00D2222C">
        <w:rPr>
          <w:rFonts w:asciiTheme="majorHAnsi" w:hAnsiTheme="majorHAnsi"/>
          <w:sz w:val="20"/>
          <w:szCs w:val="20"/>
        </w:rPr>
        <w:t xml:space="preserve">that contradicted </w:t>
      </w:r>
      <w:r w:rsidR="00D03633" w:rsidRPr="00D2222C">
        <w:rPr>
          <w:rFonts w:asciiTheme="majorHAnsi" w:hAnsiTheme="majorHAnsi"/>
          <w:sz w:val="20"/>
          <w:szCs w:val="20"/>
        </w:rPr>
        <w:t>the</w:t>
      </w:r>
      <w:r w:rsidR="00875ABB" w:rsidRPr="00D2222C">
        <w:rPr>
          <w:rFonts w:asciiTheme="majorHAnsi" w:hAnsiTheme="majorHAnsi"/>
          <w:sz w:val="20"/>
          <w:szCs w:val="20"/>
        </w:rPr>
        <w:t xml:space="preserve"> testimony. Nor did the domestic courts, according to the petitioners, permit a meaningful resolution of whether one or more jurors had committed misconduct. </w:t>
      </w:r>
    </w:p>
    <w:p w14:paraId="4C5585E5" w14:textId="77777777" w:rsidR="00B41AAC" w:rsidRPr="00D2222C" w:rsidRDefault="00B41AAC" w:rsidP="009E3847">
      <w:pPr>
        <w:pStyle w:val="ListParagraph"/>
        <w:rPr>
          <w:rFonts w:asciiTheme="majorHAnsi" w:hAnsiTheme="majorHAnsi"/>
          <w:sz w:val="20"/>
          <w:szCs w:val="20"/>
        </w:rPr>
      </w:pPr>
    </w:p>
    <w:p w14:paraId="07FE6E2C" w14:textId="77777777" w:rsidR="00BE014C" w:rsidRPr="00D2222C" w:rsidRDefault="00B41AA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D2222C">
        <w:rPr>
          <w:rFonts w:asciiTheme="majorHAnsi" w:hAnsiTheme="majorHAnsi"/>
          <w:sz w:val="20"/>
          <w:szCs w:val="20"/>
        </w:rPr>
        <w:t xml:space="preserve">The petitioners </w:t>
      </w:r>
      <w:r w:rsidR="006E35A0" w:rsidRPr="00D2222C">
        <w:rPr>
          <w:rFonts w:asciiTheme="majorHAnsi" w:hAnsiTheme="majorHAnsi"/>
          <w:sz w:val="20"/>
          <w:szCs w:val="20"/>
        </w:rPr>
        <w:t xml:space="preserve">also </w:t>
      </w:r>
      <w:r w:rsidRPr="00D2222C">
        <w:rPr>
          <w:rFonts w:asciiTheme="majorHAnsi" w:hAnsiTheme="majorHAnsi"/>
          <w:sz w:val="20"/>
          <w:szCs w:val="20"/>
        </w:rPr>
        <w:t xml:space="preserve">argued that the United States failed to develop a lethal injection protocol that would adequately protect Mr. Hall against </w:t>
      </w:r>
      <w:r w:rsidRPr="00D2222C">
        <w:rPr>
          <w:rFonts w:asciiTheme="majorHAnsi" w:hAnsiTheme="majorHAnsi"/>
          <w:b/>
          <w:sz w:val="20"/>
          <w:szCs w:val="20"/>
        </w:rPr>
        <w:t>inhumane pain and suffering</w:t>
      </w:r>
      <w:r w:rsidRPr="00D2222C">
        <w:rPr>
          <w:rFonts w:asciiTheme="majorHAnsi" w:hAnsiTheme="majorHAnsi"/>
          <w:sz w:val="20"/>
          <w:szCs w:val="20"/>
        </w:rPr>
        <w:t>. They stated in this regard that the United States Governmen</w:t>
      </w:r>
      <w:r w:rsidR="00E64E6F" w:rsidRPr="00D2222C">
        <w:rPr>
          <w:rFonts w:asciiTheme="majorHAnsi" w:hAnsiTheme="majorHAnsi"/>
          <w:sz w:val="20"/>
          <w:szCs w:val="20"/>
        </w:rPr>
        <w:t>t has designated</w:t>
      </w:r>
      <w:r w:rsidRPr="00D2222C">
        <w:rPr>
          <w:rFonts w:asciiTheme="majorHAnsi" w:hAnsiTheme="majorHAnsi"/>
          <w:sz w:val="20"/>
          <w:szCs w:val="20"/>
        </w:rPr>
        <w:t xml:space="preserve"> as “confidential” critical portions of deposition testimony revealing the qualifications, training, and procedures used by personnel involved in its lethal injection process. </w:t>
      </w:r>
      <w:r w:rsidR="00E64E6F" w:rsidRPr="00D2222C">
        <w:rPr>
          <w:rFonts w:asciiTheme="majorHAnsi" w:hAnsiTheme="majorHAnsi"/>
          <w:sz w:val="20"/>
          <w:szCs w:val="20"/>
        </w:rPr>
        <w:t xml:space="preserve">They claimed that this refusal to disclose vital information regarding the lethal injection protocol significantly impedes Mr. Hall’s ability to </w:t>
      </w:r>
      <w:r w:rsidR="00C75A4F" w:rsidRPr="00D2222C">
        <w:rPr>
          <w:rFonts w:asciiTheme="majorHAnsi" w:hAnsiTheme="majorHAnsi"/>
          <w:sz w:val="20"/>
          <w:szCs w:val="20"/>
        </w:rPr>
        <w:t xml:space="preserve">receive </w:t>
      </w:r>
      <w:r w:rsidR="00E64E6F" w:rsidRPr="00D2222C">
        <w:rPr>
          <w:rFonts w:asciiTheme="majorHAnsi" w:hAnsiTheme="majorHAnsi"/>
          <w:sz w:val="20"/>
          <w:szCs w:val="20"/>
        </w:rPr>
        <w:t xml:space="preserve">review and, at the appropriate time, to present evidence. </w:t>
      </w:r>
      <w:r w:rsidR="00BE014C" w:rsidRPr="00D2222C">
        <w:rPr>
          <w:rFonts w:asciiTheme="majorHAnsi" w:hAnsiTheme="majorHAnsi"/>
          <w:sz w:val="20"/>
          <w:szCs w:val="20"/>
        </w:rPr>
        <w:t>Finally, the</w:t>
      </w:r>
      <w:r w:rsidR="006E35A0" w:rsidRPr="00D2222C">
        <w:rPr>
          <w:rFonts w:asciiTheme="majorHAnsi" w:hAnsiTheme="majorHAnsi"/>
          <w:sz w:val="20"/>
          <w:szCs w:val="20"/>
        </w:rPr>
        <w:t>y</w:t>
      </w:r>
      <w:r w:rsidR="00BE014C" w:rsidRPr="00D2222C">
        <w:rPr>
          <w:rFonts w:asciiTheme="majorHAnsi" w:hAnsiTheme="majorHAnsi"/>
          <w:sz w:val="20"/>
          <w:szCs w:val="20"/>
        </w:rPr>
        <w:t xml:space="preserve"> alleged that the absence of a hearing in the clemency process means that there is no guarantee to view any evidence submitted in opposition to the clemency request</w:t>
      </w:r>
      <w:r w:rsidR="006E35A0" w:rsidRPr="00D2222C">
        <w:rPr>
          <w:rFonts w:asciiTheme="majorHAnsi" w:hAnsiTheme="majorHAnsi"/>
          <w:sz w:val="20"/>
          <w:szCs w:val="20"/>
        </w:rPr>
        <w:t xml:space="preserve">, </w:t>
      </w:r>
      <w:r w:rsidR="00A64F5F" w:rsidRPr="00D2222C">
        <w:rPr>
          <w:rFonts w:asciiTheme="majorHAnsi" w:hAnsiTheme="majorHAnsi"/>
          <w:sz w:val="20"/>
          <w:szCs w:val="20"/>
        </w:rPr>
        <w:t xml:space="preserve">that </w:t>
      </w:r>
      <w:r w:rsidR="00884270" w:rsidRPr="00D2222C">
        <w:rPr>
          <w:rFonts w:asciiTheme="majorHAnsi" w:hAnsiTheme="majorHAnsi"/>
          <w:sz w:val="20"/>
          <w:szCs w:val="20"/>
        </w:rPr>
        <w:t>the structure of the federal clemency process lacks independence</w:t>
      </w:r>
      <w:r w:rsidR="006E35A0" w:rsidRPr="00D2222C">
        <w:rPr>
          <w:rFonts w:asciiTheme="majorHAnsi" w:hAnsiTheme="majorHAnsi"/>
          <w:sz w:val="20"/>
          <w:szCs w:val="20"/>
        </w:rPr>
        <w:t>,</w:t>
      </w:r>
      <w:r w:rsidR="00884270" w:rsidRPr="00D2222C">
        <w:rPr>
          <w:rFonts w:asciiTheme="majorHAnsi" w:hAnsiTheme="majorHAnsi"/>
          <w:sz w:val="20"/>
          <w:szCs w:val="20"/>
        </w:rPr>
        <w:t xml:space="preserve"> and that </w:t>
      </w:r>
      <w:r w:rsidR="00A64F5F" w:rsidRPr="00D2222C">
        <w:rPr>
          <w:rFonts w:asciiTheme="majorHAnsi" w:hAnsiTheme="majorHAnsi"/>
          <w:sz w:val="20"/>
          <w:szCs w:val="20"/>
        </w:rPr>
        <w:t>no opportunity is afforded for appeal or reconsideration.</w:t>
      </w:r>
      <w:r w:rsidR="00BE014C" w:rsidRPr="00D2222C">
        <w:rPr>
          <w:rFonts w:asciiTheme="majorHAnsi" w:hAnsiTheme="majorHAnsi"/>
          <w:sz w:val="20"/>
          <w:szCs w:val="20"/>
        </w:rPr>
        <w:t xml:space="preserve"> </w:t>
      </w:r>
    </w:p>
    <w:p w14:paraId="46D54881" w14:textId="77777777" w:rsidR="001C4006" w:rsidRPr="00D2222C" w:rsidRDefault="001C4006" w:rsidP="00BB5A59">
      <w:pPr>
        <w:suppressAutoHyphens/>
        <w:ind w:left="1440" w:hanging="720"/>
        <w:rPr>
          <w:rFonts w:asciiTheme="majorHAnsi" w:hAnsiTheme="majorHAnsi"/>
          <w:sz w:val="20"/>
          <w:szCs w:val="20"/>
        </w:rPr>
      </w:pPr>
    </w:p>
    <w:p w14:paraId="7F4B5161" w14:textId="77777777" w:rsidR="001C4006" w:rsidRPr="00D2222C" w:rsidRDefault="001C4006" w:rsidP="00BB5A59">
      <w:pPr>
        <w:pStyle w:val="Heading2"/>
        <w:numPr>
          <w:ilvl w:val="0"/>
          <w:numId w:val="61"/>
        </w:numPr>
        <w:spacing w:before="0"/>
        <w:ind w:left="1440" w:hanging="720"/>
        <w:rPr>
          <w:color w:val="auto"/>
          <w:sz w:val="20"/>
          <w:szCs w:val="20"/>
          <w:lang w:val="es-ES_tradnl"/>
        </w:rPr>
      </w:pPr>
      <w:bookmarkStart w:id="3" w:name="_Toc26550919"/>
      <w:r w:rsidRPr="00D2222C">
        <w:rPr>
          <w:color w:val="auto"/>
          <w:sz w:val="20"/>
          <w:szCs w:val="20"/>
          <w:lang w:val="es-ES_tradnl"/>
        </w:rPr>
        <w:t>S</w:t>
      </w:r>
      <w:r w:rsidR="00262ECA" w:rsidRPr="00D2222C">
        <w:rPr>
          <w:color w:val="auto"/>
          <w:sz w:val="20"/>
          <w:szCs w:val="20"/>
          <w:lang w:val="es-ES_tradnl"/>
        </w:rPr>
        <w:t>tate</w:t>
      </w:r>
      <w:bookmarkEnd w:id="3"/>
    </w:p>
    <w:p w14:paraId="077DF240" w14:textId="77777777" w:rsidR="001C4006" w:rsidRPr="00D2222C" w:rsidRDefault="001C4006" w:rsidP="001C4006">
      <w:pPr>
        <w:suppressAutoHyphens/>
        <w:rPr>
          <w:rFonts w:asciiTheme="majorHAnsi" w:hAnsiTheme="majorHAnsi"/>
          <w:sz w:val="20"/>
          <w:szCs w:val="20"/>
          <w:lang w:val="es-ES_tradnl"/>
        </w:rPr>
      </w:pPr>
    </w:p>
    <w:p w14:paraId="05C3260B" w14:textId="77777777" w:rsidR="001C4006" w:rsidRPr="00D2222C" w:rsidRDefault="009B120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 xml:space="preserve">The United States submitted that </w:t>
      </w:r>
      <w:r w:rsidR="00D07A1B" w:rsidRPr="00D2222C">
        <w:rPr>
          <w:rFonts w:ascii="Cambria" w:hAnsi="Cambria"/>
          <w:sz w:val="20"/>
          <w:szCs w:val="20"/>
        </w:rPr>
        <w:t>the petitioners failed to demonstrate any facts that would constitute a violation of Mr. Hall’s rights under the American Declaration</w:t>
      </w:r>
      <w:r w:rsidRPr="00D2222C">
        <w:rPr>
          <w:rFonts w:ascii="Cambria" w:hAnsi="Cambria"/>
          <w:sz w:val="20"/>
          <w:szCs w:val="20"/>
        </w:rPr>
        <w:t>. I</w:t>
      </w:r>
      <w:r w:rsidR="000520FB" w:rsidRPr="00D2222C">
        <w:rPr>
          <w:rFonts w:ascii="Cambria" w:hAnsi="Cambria"/>
          <w:sz w:val="20"/>
          <w:szCs w:val="20"/>
        </w:rPr>
        <w:t>t</w:t>
      </w:r>
      <w:r w:rsidRPr="00D2222C">
        <w:rPr>
          <w:rFonts w:ascii="Cambria" w:hAnsi="Cambria"/>
          <w:sz w:val="20"/>
          <w:szCs w:val="20"/>
        </w:rPr>
        <w:t xml:space="preserve"> assert</w:t>
      </w:r>
      <w:r w:rsidR="0024070A" w:rsidRPr="00D2222C">
        <w:rPr>
          <w:rFonts w:ascii="Cambria" w:hAnsi="Cambria"/>
          <w:sz w:val="20"/>
          <w:szCs w:val="20"/>
        </w:rPr>
        <w:t>ed</w:t>
      </w:r>
      <w:r w:rsidRPr="00D2222C">
        <w:rPr>
          <w:rFonts w:ascii="Cambria" w:hAnsi="Cambria"/>
          <w:sz w:val="20"/>
          <w:szCs w:val="20"/>
        </w:rPr>
        <w:t xml:space="preserve"> that Article I of the Declaration</w:t>
      </w:r>
      <w:r w:rsidR="0024070A" w:rsidRPr="00D2222C">
        <w:rPr>
          <w:rFonts w:ascii="Cambria" w:hAnsi="Cambria"/>
          <w:sz w:val="20"/>
          <w:szCs w:val="20"/>
        </w:rPr>
        <w:t xml:space="preserve"> does not proscribe capital punishment when carried out in accordance with due process and when imposed for the most serious crimes such as the o</w:t>
      </w:r>
      <w:r w:rsidR="00D07A1B" w:rsidRPr="00D2222C">
        <w:rPr>
          <w:rFonts w:ascii="Cambria" w:hAnsi="Cambria"/>
          <w:sz w:val="20"/>
          <w:szCs w:val="20"/>
        </w:rPr>
        <w:t>ffense committed by Mr. Hall. The State</w:t>
      </w:r>
      <w:r w:rsidR="0024070A" w:rsidRPr="00D2222C">
        <w:rPr>
          <w:rFonts w:ascii="Cambria" w:hAnsi="Cambria"/>
          <w:sz w:val="20"/>
          <w:szCs w:val="20"/>
        </w:rPr>
        <w:t xml:space="preserve"> argue</w:t>
      </w:r>
      <w:r w:rsidR="000520FB" w:rsidRPr="00D2222C">
        <w:rPr>
          <w:rFonts w:ascii="Cambria" w:hAnsi="Cambria"/>
          <w:sz w:val="20"/>
          <w:szCs w:val="20"/>
        </w:rPr>
        <w:t>d</w:t>
      </w:r>
      <w:r w:rsidR="0024070A" w:rsidRPr="00D2222C">
        <w:rPr>
          <w:rFonts w:ascii="Cambria" w:hAnsi="Cambria"/>
          <w:sz w:val="20"/>
          <w:szCs w:val="20"/>
        </w:rPr>
        <w:t xml:space="preserve"> that the petitioner</w:t>
      </w:r>
      <w:r w:rsidR="000520FB" w:rsidRPr="00D2222C">
        <w:rPr>
          <w:rFonts w:ascii="Cambria" w:hAnsi="Cambria"/>
          <w:sz w:val="20"/>
          <w:szCs w:val="20"/>
        </w:rPr>
        <w:t>s</w:t>
      </w:r>
      <w:r w:rsidR="0024070A" w:rsidRPr="00D2222C">
        <w:rPr>
          <w:rFonts w:ascii="Cambria" w:hAnsi="Cambria"/>
          <w:sz w:val="20"/>
          <w:szCs w:val="20"/>
        </w:rPr>
        <w:t xml:space="preserve"> </w:t>
      </w:r>
      <w:r w:rsidR="000520FB" w:rsidRPr="00D2222C">
        <w:rPr>
          <w:rFonts w:ascii="Cambria" w:hAnsi="Cambria"/>
          <w:sz w:val="20"/>
          <w:szCs w:val="20"/>
        </w:rPr>
        <w:t>did</w:t>
      </w:r>
      <w:r w:rsidR="0024070A" w:rsidRPr="00D2222C">
        <w:rPr>
          <w:rFonts w:ascii="Cambria" w:hAnsi="Cambria"/>
          <w:sz w:val="20"/>
          <w:szCs w:val="20"/>
        </w:rPr>
        <w:t xml:space="preserve"> not demonstrat</w:t>
      </w:r>
      <w:r w:rsidR="000520FB" w:rsidRPr="00D2222C">
        <w:rPr>
          <w:rFonts w:ascii="Cambria" w:hAnsi="Cambria"/>
          <w:sz w:val="20"/>
          <w:szCs w:val="20"/>
        </w:rPr>
        <w:t>e</w:t>
      </w:r>
      <w:r w:rsidR="0024070A" w:rsidRPr="00D2222C">
        <w:rPr>
          <w:rFonts w:ascii="Cambria" w:hAnsi="Cambria"/>
          <w:sz w:val="20"/>
          <w:szCs w:val="20"/>
        </w:rPr>
        <w:t xml:space="preserve"> evidence of discriminatory intent regarding the death penalty against African-American individuals and that statistical evidence is not sufficient.</w:t>
      </w:r>
      <w:r w:rsidR="000520FB" w:rsidRPr="00D2222C">
        <w:rPr>
          <w:rFonts w:ascii="Cambria" w:hAnsi="Cambria"/>
          <w:sz w:val="20"/>
          <w:szCs w:val="20"/>
        </w:rPr>
        <w:t xml:space="preserve"> It also claimed that attorneys conducted reasonable investigations and that Mr. Hall received constitutionally effective assistance of counsel.</w:t>
      </w:r>
      <w:r w:rsidR="00FA359A" w:rsidRPr="00D2222C">
        <w:rPr>
          <w:rFonts w:ascii="Cambria" w:hAnsi="Cambria"/>
          <w:sz w:val="20"/>
          <w:szCs w:val="20"/>
        </w:rPr>
        <w:t xml:space="preserve"> </w:t>
      </w:r>
      <w:r w:rsidR="00D07A1B" w:rsidRPr="00D2222C">
        <w:rPr>
          <w:rFonts w:ascii="Cambria" w:hAnsi="Cambria"/>
          <w:sz w:val="20"/>
          <w:szCs w:val="20"/>
        </w:rPr>
        <w:t xml:space="preserve">It further </w:t>
      </w:r>
      <w:r w:rsidR="000520FB" w:rsidRPr="00D2222C">
        <w:rPr>
          <w:rFonts w:ascii="Cambria" w:hAnsi="Cambria"/>
          <w:sz w:val="20"/>
          <w:szCs w:val="20"/>
        </w:rPr>
        <w:t xml:space="preserve">indicated that U.S. law provides special protections for those accused of capital offenses. </w:t>
      </w:r>
    </w:p>
    <w:p w14:paraId="2A972E97" w14:textId="77777777" w:rsidR="00FA359A" w:rsidRPr="00D2222C" w:rsidRDefault="00FA359A"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04E33259" w14:textId="77777777" w:rsidR="00EC74EB" w:rsidRPr="00D2222C" w:rsidRDefault="004F390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 xml:space="preserve">Regarding the right to </w:t>
      </w:r>
      <w:r w:rsidRPr="00D2222C">
        <w:rPr>
          <w:rFonts w:ascii="Cambria" w:hAnsi="Cambria"/>
          <w:b/>
          <w:sz w:val="20"/>
          <w:szCs w:val="20"/>
        </w:rPr>
        <w:t>equality before the law</w:t>
      </w:r>
      <w:r w:rsidRPr="00D2222C">
        <w:rPr>
          <w:rFonts w:ascii="Cambria" w:hAnsi="Cambria"/>
          <w:sz w:val="20"/>
          <w:szCs w:val="20"/>
        </w:rPr>
        <w:t>, t</w:t>
      </w:r>
      <w:r w:rsidR="00FA359A" w:rsidRPr="00D2222C">
        <w:rPr>
          <w:rFonts w:ascii="Cambria" w:hAnsi="Cambria"/>
          <w:sz w:val="20"/>
          <w:szCs w:val="20"/>
        </w:rPr>
        <w:t xml:space="preserve">he State </w:t>
      </w:r>
      <w:r w:rsidR="00664DDE" w:rsidRPr="00D2222C">
        <w:rPr>
          <w:rFonts w:ascii="Cambria" w:hAnsi="Cambria"/>
          <w:sz w:val="20"/>
          <w:szCs w:val="20"/>
        </w:rPr>
        <w:t xml:space="preserve">noted that the Department of Justice’s procedures on prosecuting capital offenses include significant protections to guard against any sort of racial bias. It further </w:t>
      </w:r>
      <w:r w:rsidR="00FA359A" w:rsidRPr="00D2222C">
        <w:rPr>
          <w:rFonts w:ascii="Cambria" w:hAnsi="Cambria"/>
          <w:sz w:val="20"/>
          <w:szCs w:val="20"/>
        </w:rPr>
        <w:t xml:space="preserve">argued that the petitioners did not effectively demonstrate </w:t>
      </w:r>
      <w:r w:rsidR="00DB30EC" w:rsidRPr="00D2222C">
        <w:rPr>
          <w:rFonts w:ascii="Cambria" w:hAnsi="Cambria"/>
          <w:sz w:val="20"/>
          <w:szCs w:val="20"/>
        </w:rPr>
        <w:t xml:space="preserve">the existence of </w:t>
      </w:r>
      <w:r w:rsidR="00FA359A" w:rsidRPr="00D2222C">
        <w:rPr>
          <w:rFonts w:ascii="Cambria" w:hAnsi="Cambria"/>
          <w:sz w:val="20"/>
          <w:szCs w:val="20"/>
        </w:rPr>
        <w:t>racially-discriminatory conduct</w:t>
      </w:r>
      <w:r w:rsidR="00EC74EB" w:rsidRPr="00D2222C">
        <w:rPr>
          <w:rFonts w:ascii="Cambria" w:hAnsi="Cambria"/>
          <w:sz w:val="20"/>
          <w:szCs w:val="20"/>
        </w:rPr>
        <w:t xml:space="preserve"> and, based on two studies, claimed that there is no evidence of systemic racial bias in the federal death penalty system. According to a Department of Justice report released in 2001, “given that organized trafficking is largely carried out by gangs whose membership is drawn from minority groups, [there is a higher proportion of minority defendants] in potential capital cases arising from the lethal violence associated with the drug trade.”  </w:t>
      </w:r>
      <w:r w:rsidR="001B3279" w:rsidRPr="00D2222C">
        <w:rPr>
          <w:rFonts w:ascii="Cambria" w:hAnsi="Cambria"/>
          <w:sz w:val="20"/>
          <w:szCs w:val="20"/>
        </w:rPr>
        <w:t>A</w:t>
      </w:r>
      <w:r w:rsidR="00EC74EB" w:rsidRPr="00D2222C">
        <w:rPr>
          <w:rFonts w:ascii="Cambria" w:hAnsi="Cambria"/>
          <w:sz w:val="20"/>
          <w:szCs w:val="20"/>
        </w:rPr>
        <w:t xml:space="preserve"> 2006 report by the RAND Corporation also cited by the State concluded that the US Attorney’s Office’s recommendations and the Attorney General’s final charging decisions “were driven by heinousness of crime rather than race.”</w:t>
      </w:r>
    </w:p>
    <w:p w14:paraId="1B0F2B7E" w14:textId="77777777" w:rsidR="00EC74EB" w:rsidRPr="00D2222C" w:rsidRDefault="00EC74EB"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30044C3A" w14:textId="77777777" w:rsidR="001C4006" w:rsidRPr="00D2222C" w:rsidRDefault="00664DDE"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With regard to Mr. Hall’s case, the State</w:t>
      </w:r>
      <w:r w:rsidR="000D5691" w:rsidRPr="00D2222C">
        <w:rPr>
          <w:rFonts w:ascii="Cambria" w:hAnsi="Cambria"/>
          <w:sz w:val="20"/>
          <w:szCs w:val="20"/>
        </w:rPr>
        <w:t xml:space="preserve"> </w:t>
      </w:r>
      <w:r w:rsidRPr="00D2222C">
        <w:rPr>
          <w:rFonts w:ascii="Cambria" w:hAnsi="Cambria"/>
          <w:sz w:val="20"/>
          <w:szCs w:val="20"/>
        </w:rPr>
        <w:t>submitted that</w:t>
      </w:r>
      <w:r w:rsidR="00706698" w:rsidRPr="00D2222C">
        <w:rPr>
          <w:rFonts w:ascii="Cambria" w:hAnsi="Cambria"/>
          <w:sz w:val="20"/>
          <w:szCs w:val="20"/>
        </w:rPr>
        <w:t xml:space="preserve">, on January 24, 1995, </w:t>
      </w:r>
      <w:r w:rsidRPr="00D2222C">
        <w:rPr>
          <w:rFonts w:ascii="Cambria" w:hAnsi="Cambria"/>
          <w:sz w:val="20"/>
          <w:szCs w:val="20"/>
        </w:rPr>
        <w:t>defense</w:t>
      </w:r>
      <w:r w:rsidR="00706698" w:rsidRPr="00D2222C">
        <w:rPr>
          <w:rFonts w:ascii="Cambria" w:hAnsi="Cambria"/>
          <w:sz w:val="20"/>
          <w:szCs w:val="20"/>
        </w:rPr>
        <w:t xml:space="preserve"> attorneys were invited to meet with the capital case review committee to present arguments as to why the government should not seek the death penalty</w:t>
      </w:r>
      <w:r w:rsidR="00091707" w:rsidRPr="00D2222C">
        <w:rPr>
          <w:rFonts w:ascii="Cambria" w:hAnsi="Cambria"/>
          <w:sz w:val="20"/>
          <w:szCs w:val="20"/>
        </w:rPr>
        <w:t xml:space="preserve"> and, a</w:t>
      </w:r>
      <w:r w:rsidR="00706698" w:rsidRPr="00D2222C">
        <w:rPr>
          <w:rFonts w:ascii="Cambria" w:hAnsi="Cambria"/>
          <w:sz w:val="20"/>
          <w:szCs w:val="20"/>
        </w:rPr>
        <w:t>fter reviewing all the evidence, the Attorney General decided to seek the death penalty. Th</w:t>
      </w:r>
      <w:r w:rsidR="00DB30EC" w:rsidRPr="00D2222C">
        <w:rPr>
          <w:rFonts w:ascii="Cambria" w:hAnsi="Cambria"/>
          <w:sz w:val="20"/>
          <w:szCs w:val="20"/>
        </w:rPr>
        <w:t>erefore</w:t>
      </w:r>
      <w:r w:rsidR="00706698" w:rsidRPr="00D2222C">
        <w:rPr>
          <w:rFonts w:ascii="Cambria" w:hAnsi="Cambria"/>
          <w:sz w:val="20"/>
          <w:szCs w:val="20"/>
        </w:rPr>
        <w:t>, the State</w:t>
      </w:r>
      <w:r w:rsidR="00F21553" w:rsidRPr="00D2222C">
        <w:rPr>
          <w:rFonts w:ascii="Cambria" w:hAnsi="Cambria"/>
          <w:sz w:val="20"/>
          <w:szCs w:val="20"/>
        </w:rPr>
        <w:t xml:space="preserve"> asserted</w:t>
      </w:r>
      <w:r w:rsidR="00706698" w:rsidRPr="00D2222C">
        <w:rPr>
          <w:rFonts w:ascii="Cambria" w:hAnsi="Cambria"/>
          <w:sz w:val="20"/>
          <w:szCs w:val="20"/>
        </w:rPr>
        <w:t xml:space="preserve"> </w:t>
      </w:r>
      <w:r w:rsidRPr="00D2222C">
        <w:rPr>
          <w:rFonts w:ascii="Cambria" w:hAnsi="Cambria"/>
          <w:sz w:val="20"/>
          <w:szCs w:val="20"/>
        </w:rPr>
        <w:t xml:space="preserve">that </w:t>
      </w:r>
      <w:r w:rsidR="00706698" w:rsidRPr="00D2222C">
        <w:rPr>
          <w:rFonts w:ascii="Cambria" w:hAnsi="Cambria"/>
          <w:sz w:val="20"/>
          <w:szCs w:val="20"/>
        </w:rPr>
        <w:t xml:space="preserve">the decision to seek the death penalty </w:t>
      </w:r>
      <w:r w:rsidR="001B3279" w:rsidRPr="00D2222C">
        <w:rPr>
          <w:rFonts w:ascii="Cambria" w:hAnsi="Cambria"/>
          <w:sz w:val="20"/>
          <w:szCs w:val="20"/>
        </w:rPr>
        <w:t>wa</w:t>
      </w:r>
      <w:r w:rsidR="00706698" w:rsidRPr="00D2222C">
        <w:rPr>
          <w:rFonts w:ascii="Cambria" w:hAnsi="Cambria"/>
          <w:sz w:val="20"/>
          <w:szCs w:val="20"/>
        </w:rPr>
        <w:t xml:space="preserve">s not made by the prosecuting attorney. </w:t>
      </w:r>
      <w:r w:rsidR="00F21553" w:rsidRPr="00D2222C">
        <w:rPr>
          <w:rFonts w:ascii="Cambria" w:hAnsi="Cambria"/>
          <w:sz w:val="20"/>
          <w:szCs w:val="20"/>
        </w:rPr>
        <w:t xml:space="preserve">The State also alleged that the Northern District of Texas was the most logical venue for the trial given that the kidnapping and much of the investigation took place in Texas. </w:t>
      </w:r>
      <w:r w:rsidR="00496DBC" w:rsidRPr="00D2222C">
        <w:rPr>
          <w:rFonts w:ascii="Cambria" w:hAnsi="Cambria"/>
          <w:sz w:val="20"/>
          <w:szCs w:val="20"/>
        </w:rPr>
        <w:t>Likewise</w:t>
      </w:r>
      <w:r w:rsidR="00F21553" w:rsidRPr="00D2222C">
        <w:rPr>
          <w:rFonts w:ascii="Cambria" w:hAnsi="Cambria"/>
          <w:sz w:val="20"/>
          <w:szCs w:val="20"/>
        </w:rPr>
        <w:t xml:space="preserve">, many of the witnesses and the victim were from Texas. Therefore, the State concludes that the decision to prosecute the case in Texas was not based on the race of potential jury members. </w:t>
      </w:r>
      <w:r w:rsidR="00662F5D" w:rsidRPr="00D2222C">
        <w:rPr>
          <w:rFonts w:ascii="Cambria" w:hAnsi="Cambria"/>
          <w:sz w:val="20"/>
          <w:szCs w:val="20"/>
        </w:rPr>
        <w:t xml:space="preserve">Regarding the </w:t>
      </w:r>
      <w:r w:rsidR="00535FF9" w:rsidRPr="00D2222C">
        <w:rPr>
          <w:rFonts w:ascii="Cambria" w:hAnsi="Cambria"/>
          <w:sz w:val="20"/>
          <w:szCs w:val="20"/>
        </w:rPr>
        <w:t>alleged</w:t>
      </w:r>
      <w:r w:rsidR="00C75A4F" w:rsidRPr="00D2222C">
        <w:rPr>
          <w:rFonts w:ascii="Cambria" w:hAnsi="Cambria"/>
          <w:sz w:val="20"/>
          <w:szCs w:val="20"/>
        </w:rPr>
        <w:t xml:space="preserve"> failure of the</w:t>
      </w:r>
      <w:r w:rsidR="00535FF9" w:rsidRPr="00D2222C">
        <w:rPr>
          <w:rFonts w:ascii="Cambria" w:hAnsi="Cambria"/>
          <w:sz w:val="20"/>
          <w:szCs w:val="20"/>
        </w:rPr>
        <w:t xml:space="preserve"> </w:t>
      </w:r>
      <w:r w:rsidR="00662F5D" w:rsidRPr="00D2222C">
        <w:rPr>
          <w:rFonts w:ascii="Cambria" w:hAnsi="Cambria"/>
          <w:sz w:val="20"/>
          <w:szCs w:val="20"/>
        </w:rPr>
        <w:t xml:space="preserve">judicial system to permit adequate discovery or </w:t>
      </w:r>
      <w:r w:rsidR="00535FF9" w:rsidRPr="00D2222C">
        <w:rPr>
          <w:rFonts w:ascii="Cambria" w:hAnsi="Cambria"/>
          <w:sz w:val="20"/>
          <w:szCs w:val="20"/>
        </w:rPr>
        <w:t xml:space="preserve">to </w:t>
      </w:r>
      <w:r w:rsidR="00662F5D" w:rsidRPr="00D2222C">
        <w:rPr>
          <w:rFonts w:ascii="Cambria" w:hAnsi="Cambria"/>
          <w:sz w:val="20"/>
          <w:szCs w:val="20"/>
        </w:rPr>
        <w:t xml:space="preserve">fairly resolve factual disputes, the State argued that the District Court of the Northern District of Texas found the statistical evidence </w:t>
      </w:r>
      <w:r w:rsidR="00C75A4F" w:rsidRPr="00D2222C">
        <w:rPr>
          <w:rFonts w:ascii="Cambria" w:hAnsi="Cambria"/>
          <w:sz w:val="20"/>
          <w:szCs w:val="20"/>
        </w:rPr>
        <w:t>in</w:t>
      </w:r>
      <w:r w:rsidR="00C23BA8" w:rsidRPr="00D2222C">
        <w:rPr>
          <w:rFonts w:ascii="Cambria" w:hAnsi="Cambria"/>
          <w:sz w:val="20"/>
          <w:szCs w:val="20"/>
        </w:rPr>
        <w:t>sufficient</w:t>
      </w:r>
      <w:r w:rsidR="00662F5D" w:rsidRPr="00D2222C">
        <w:rPr>
          <w:rFonts w:ascii="Cambria" w:hAnsi="Cambria"/>
          <w:sz w:val="20"/>
          <w:szCs w:val="20"/>
        </w:rPr>
        <w:t xml:space="preserve"> to establish the elements of </w:t>
      </w:r>
      <w:r w:rsidR="00D07A1B" w:rsidRPr="00D2222C">
        <w:rPr>
          <w:rFonts w:ascii="Cambria" w:hAnsi="Cambria"/>
          <w:sz w:val="20"/>
          <w:szCs w:val="20"/>
        </w:rPr>
        <w:t>Mr. Hall’s</w:t>
      </w:r>
      <w:r w:rsidR="00662F5D" w:rsidRPr="00D2222C">
        <w:rPr>
          <w:rFonts w:ascii="Cambria" w:hAnsi="Cambria"/>
          <w:sz w:val="20"/>
          <w:szCs w:val="20"/>
        </w:rPr>
        <w:t xml:space="preserve"> claim. </w:t>
      </w:r>
      <w:r w:rsidR="00FE6B58" w:rsidRPr="00D2222C">
        <w:rPr>
          <w:rFonts w:ascii="Cambria" w:hAnsi="Cambria"/>
          <w:sz w:val="20"/>
          <w:szCs w:val="20"/>
        </w:rPr>
        <w:t xml:space="preserve">Therefore, according to the State, neither petitioner’s statistical evidence, nor </w:t>
      </w:r>
      <w:r w:rsidR="00DA2A7C" w:rsidRPr="00D2222C">
        <w:rPr>
          <w:rFonts w:ascii="Cambria" w:hAnsi="Cambria"/>
          <w:sz w:val="20"/>
          <w:szCs w:val="20"/>
        </w:rPr>
        <w:t>t</w:t>
      </w:r>
      <w:r w:rsidR="00D07A1B" w:rsidRPr="00D2222C">
        <w:rPr>
          <w:rFonts w:ascii="Cambria" w:hAnsi="Cambria"/>
          <w:sz w:val="20"/>
          <w:szCs w:val="20"/>
        </w:rPr>
        <w:t>he alleged</w:t>
      </w:r>
      <w:r w:rsidR="00FE6B58" w:rsidRPr="00D2222C">
        <w:rPr>
          <w:rFonts w:ascii="Cambria" w:hAnsi="Cambria"/>
          <w:sz w:val="20"/>
          <w:szCs w:val="20"/>
        </w:rPr>
        <w:t xml:space="preserve"> lack of access to discovery, is sufficient to establish either the element of </w:t>
      </w:r>
      <w:r w:rsidR="00F637BF" w:rsidRPr="00D2222C">
        <w:rPr>
          <w:rFonts w:ascii="Cambria" w:hAnsi="Cambria"/>
          <w:sz w:val="20"/>
          <w:szCs w:val="20"/>
        </w:rPr>
        <w:t>Mr. Hall’s</w:t>
      </w:r>
      <w:r w:rsidR="00FE6B58" w:rsidRPr="00D2222C">
        <w:rPr>
          <w:rFonts w:ascii="Cambria" w:hAnsi="Cambria"/>
          <w:sz w:val="20"/>
          <w:szCs w:val="20"/>
        </w:rPr>
        <w:t xml:space="preserve"> claim of selective prosecution or racial discriminatory practice.</w:t>
      </w:r>
      <w:r w:rsidR="00293B75" w:rsidRPr="00D2222C">
        <w:rPr>
          <w:rFonts w:ascii="Cambria" w:hAnsi="Cambria"/>
          <w:sz w:val="20"/>
          <w:szCs w:val="20"/>
        </w:rPr>
        <w:t xml:space="preserve"> </w:t>
      </w:r>
    </w:p>
    <w:p w14:paraId="2FED238A" w14:textId="77777777" w:rsidR="007D0207" w:rsidRPr="00D2222C" w:rsidRDefault="007D0207" w:rsidP="009E3847">
      <w:pPr>
        <w:pStyle w:val="ListParagraph"/>
        <w:rPr>
          <w:sz w:val="20"/>
          <w:szCs w:val="20"/>
        </w:rPr>
      </w:pPr>
    </w:p>
    <w:p w14:paraId="37793023" w14:textId="77777777" w:rsidR="007D0207" w:rsidRPr="00D2222C" w:rsidRDefault="007D0207"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According to the State, the petitioners did not demonstrate a violation of Mr. Hall’s right to</w:t>
      </w:r>
      <w:r w:rsidRPr="00D2222C">
        <w:rPr>
          <w:rFonts w:ascii="Cambria" w:hAnsi="Cambria"/>
          <w:b/>
          <w:sz w:val="20"/>
          <w:szCs w:val="20"/>
        </w:rPr>
        <w:t xml:space="preserve"> due process</w:t>
      </w:r>
      <w:r w:rsidRPr="00D2222C">
        <w:rPr>
          <w:rFonts w:ascii="Cambria" w:hAnsi="Cambria"/>
          <w:sz w:val="20"/>
          <w:szCs w:val="20"/>
        </w:rPr>
        <w:t xml:space="preserve"> nor demonstrated </w:t>
      </w:r>
      <w:r w:rsidRPr="00D2222C">
        <w:rPr>
          <w:rFonts w:ascii="Cambria" w:hAnsi="Cambria"/>
          <w:b/>
          <w:sz w:val="20"/>
          <w:szCs w:val="20"/>
        </w:rPr>
        <w:t>cruel, infamous, or unusual punishment</w:t>
      </w:r>
      <w:r w:rsidRPr="00D2222C">
        <w:rPr>
          <w:rFonts w:ascii="Cambria" w:hAnsi="Cambria"/>
          <w:sz w:val="20"/>
          <w:szCs w:val="20"/>
        </w:rPr>
        <w:t xml:space="preserve">. </w:t>
      </w:r>
      <w:r w:rsidR="00091707" w:rsidRPr="00D2222C">
        <w:rPr>
          <w:rFonts w:ascii="Cambria" w:hAnsi="Cambria"/>
          <w:sz w:val="20"/>
          <w:szCs w:val="20"/>
        </w:rPr>
        <w:t>It</w:t>
      </w:r>
      <w:r w:rsidR="00F637BF" w:rsidRPr="00D2222C">
        <w:rPr>
          <w:rFonts w:ascii="Cambria" w:hAnsi="Cambria"/>
          <w:sz w:val="20"/>
          <w:szCs w:val="20"/>
        </w:rPr>
        <w:t xml:space="preserve"> indicated that the United States </w:t>
      </w:r>
      <w:r w:rsidR="002552DF" w:rsidRPr="00D2222C">
        <w:rPr>
          <w:rFonts w:ascii="Cambria" w:hAnsi="Cambria"/>
          <w:sz w:val="20"/>
          <w:szCs w:val="20"/>
        </w:rPr>
        <w:t xml:space="preserve">provided Mr. Hall with a comprehensive and expansive system of review and protection of his rights and that his claims received review by the Federal District Court for the Northern District of Texas, the Fifth Circuit Court of Appeals and the United States Supreme Court. </w:t>
      </w:r>
      <w:r w:rsidR="00C85DDE" w:rsidRPr="00D2222C">
        <w:rPr>
          <w:rFonts w:ascii="Cambria" w:hAnsi="Cambria"/>
          <w:sz w:val="20"/>
          <w:szCs w:val="20"/>
        </w:rPr>
        <w:t xml:space="preserve">The State further stated that the protections afforded to individuals in the U.S. criminal justice system are among the strongest and most expansive in the world. </w:t>
      </w:r>
      <w:r w:rsidR="008A065A" w:rsidRPr="00D2222C">
        <w:rPr>
          <w:rFonts w:ascii="Cambria" w:hAnsi="Cambria"/>
          <w:sz w:val="20"/>
          <w:szCs w:val="20"/>
        </w:rPr>
        <w:t xml:space="preserve">It </w:t>
      </w:r>
      <w:r w:rsidR="00AE15A9" w:rsidRPr="00D2222C">
        <w:rPr>
          <w:rFonts w:ascii="Cambria" w:hAnsi="Cambria"/>
          <w:sz w:val="20"/>
          <w:szCs w:val="20"/>
        </w:rPr>
        <w:t>added</w:t>
      </w:r>
      <w:r w:rsidR="008A065A" w:rsidRPr="00D2222C">
        <w:rPr>
          <w:rFonts w:ascii="Cambria" w:hAnsi="Cambria"/>
          <w:sz w:val="20"/>
          <w:szCs w:val="20"/>
        </w:rPr>
        <w:t xml:space="preserve"> that, beyond the procedural protections afforded by the Constitution and federal law, Mr. Hall received specific protections at trial under the Federal Death Penalty Act of 1994. </w:t>
      </w:r>
    </w:p>
    <w:p w14:paraId="3F3881BC" w14:textId="77777777" w:rsidR="002552DF" w:rsidRPr="00D2222C" w:rsidRDefault="002552DF" w:rsidP="009E3847">
      <w:pPr>
        <w:pStyle w:val="ListParagraph"/>
        <w:rPr>
          <w:sz w:val="20"/>
          <w:szCs w:val="20"/>
        </w:rPr>
      </w:pPr>
    </w:p>
    <w:p w14:paraId="75D5ED06" w14:textId="77777777" w:rsidR="00001132" w:rsidRPr="00D2222C" w:rsidRDefault="00AE15A9"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The State submitted that Mr. Hall’s ineffective assistance of counsel claim raised during the habeas proceedings was carefully and exhaustively addressed by the district court before being rejected. It stated</w:t>
      </w:r>
      <w:r w:rsidR="00A527E1" w:rsidRPr="00D2222C">
        <w:rPr>
          <w:rFonts w:ascii="Cambria" w:hAnsi="Cambria"/>
          <w:sz w:val="20"/>
          <w:szCs w:val="20"/>
        </w:rPr>
        <w:t xml:space="preserve"> that, under U.S. law, the defendant must demonstrate both that counsel’s performance was deficient and that such deficit in performance actually prejudiced the final judgment. </w:t>
      </w:r>
      <w:r w:rsidR="003D5A38" w:rsidRPr="00D2222C">
        <w:rPr>
          <w:rFonts w:ascii="Cambria" w:hAnsi="Cambria"/>
          <w:sz w:val="20"/>
          <w:szCs w:val="20"/>
        </w:rPr>
        <w:t xml:space="preserve">The State </w:t>
      </w:r>
      <w:r w:rsidR="00091707" w:rsidRPr="00D2222C">
        <w:rPr>
          <w:rFonts w:ascii="Cambria" w:hAnsi="Cambria"/>
          <w:sz w:val="20"/>
          <w:szCs w:val="20"/>
        </w:rPr>
        <w:t>noted</w:t>
      </w:r>
      <w:r w:rsidR="003D5A38" w:rsidRPr="00D2222C">
        <w:rPr>
          <w:rFonts w:ascii="Cambria" w:hAnsi="Cambria"/>
          <w:sz w:val="20"/>
          <w:szCs w:val="20"/>
        </w:rPr>
        <w:t xml:space="preserve"> that the District Court </w:t>
      </w:r>
      <w:r w:rsidR="00FE21AB" w:rsidRPr="00D2222C">
        <w:rPr>
          <w:rFonts w:ascii="Cambria" w:hAnsi="Cambria"/>
          <w:sz w:val="20"/>
          <w:szCs w:val="20"/>
        </w:rPr>
        <w:t xml:space="preserve">unanimously </w:t>
      </w:r>
      <w:r w:rsidR="003D5A38" w:rsidRPr="00D2222C">
        <w:rPr>
          <w:rFonts w:ascii="Cambria" w:hAnsi="Cambria"/>
          <w:sz w:val="20"/>
          <w:szCs w:val="20"/>
        </w:rPr>
        <w:t>concluded that Mr. Hall’s legal counsel had not been incompetent.</w:t>
      </w:r>
      <w:r w:rsidR="00761A58" w:rsidRPr="00D2222C">
        <w:rPr>
          <w:rFonts w:ascii="Cambria" w:hAnsi="Cambria"/>
          <w:sz w:val="20"/>
          <w:szCs w:val="20"/>
        </w:rPr>
        <w:t xml:space="preserve"> According to the State, trial counsel reviewed Mr. Hall’s responses to a questionnaire which provided extensive information about his background. It also hired a mitigation specialist who had over six weeks to conduct an investigation and develop mitigating evidence. </w:t>
      </w:r>
      <w:r w:rsidR="00091707" w:rsidRPr="00D2222C">
        <w:rPr>
          <w:rFonts w:ascii="Cambria" w:hAnsi="Cambria"/>
          <w:sz w:val="20"/>
          <w:szCs w:val="20"/>
        </w:rPr>
        <w:t>It likewise argued</w:t>
      </w:r>
      <w:r w:rsidR="00761A58" w:rsidRPr="00D2222C">
        <w:rPr>
          <w:rFonts w:ascii="Cambria" w:hAnsi="Cambria"/>
          <w:sz w:val="20"/>
          <w:szCs w:val="20"/>
        </w:rPr>
        <w:t xml:space="preserve"> that the specialist traveled to Mr. Hall’s home town and interviewed numerous people, including Mr. Hall’s family, neighbors and minister.</w:t>
      </w:r>
      <w:r w:rsidR="00C03A29" w:rsidRPr="00D2222C">
        <w:rPr>
          <w:rFonts w:ascii="Cambria" w:hAnsi="Cambria"/>
          <w:sz w:val="20"/>
          <w:szCs w:val="20"/>
        </w:rPr>
        <w:t xml:space="preserve"> It also stated that, besides Mr. Hall’s mother and sister, a prison official testified to his good behavior during his previous incarceration. </w:t>
      </w:r>
    </w:p>
    <w:p w14:paraId="2AF2F651" w14:textId="77777777" w:rsidR="00001132" w:rsidRPr="00D2222C" w:rsidRDefault="00001132" w:rsidP="009E3847">
      <w:pPr>
        <w:pStyle w:val="ListParagraph"/>
        <w:rPr>
          <w:sz w:val="20"/>
          <w:szCs w:val="20"/>
        </w:rPr>
      </w:pPr>
    </w:p>
    <w:p w14:paraId="45E05412" w14:textId="77777777" w:rsidR="002552DF" w:rsidRPr="00D2222C" w:rsidRDefault="00091707"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The State</w:t>
      </w:r>
      <w:r w:rsidR="009843A2" w:rsidRPr="00D2222C">
        <w:rPr>
          <w:rFonts w:ascii="Cambria" w:hAnsi="Cambria"/>
          <w:sz w:val="20"/>
          <w:szCs w:val="20"/>
        </w:rPr>
        <w:t xml:space="preserve"> further submitted that defense counsel made the strategic decision not to call several potential witnesses to testify at the sentencing hearing for fear that they would have to disclose damaging information about Mr. Hall on cross-examination. According to the State, while defense counsel presented evidence as to his troubled childhood, they placed even greater emphasis on the equal culpability of the co-defendants who were not given the death </w:t>
      </w:r>
      <w:r w:rsidR="009D0946" w:rsidRPr="00D2222C">
        <w:rPr>
          <w:rFonts w:ascii="Cambria" w:hAnsi="Cambria"/>
          <w:sz w:val="20"/>
          <w:szCs w:val="20"/>
        </w:rPr>
        <w:t>penalty;</w:t>
      </w:r>
      <w:r w:rsidR="009843A2" w:rsidRPr="00D2222C">
        <w:rPr>
          <w:rFonts w:ascii="Cambria" w:hAnsi="Cambria"/>
          <w:sz w:val="20"/>
          <w:szCs w:val="20"/>
        </w:rPr>
        <w:t xml:space="preserve"> </w:t>
      </w:r>
      <w:r w:rsidR="00C75A4F" w:rsidRPr="00D2222C">
        <w:rPr>
          <w:rFonts w:ascii="Cambria" w:hAnsi="Cambria"/>
          <w:sz w:val="20"/>
          <w:szCs w:val="20"/>
        </w:rPr>
        <w:t xml:space="preserve">a </w:t>
      </w:r>
      <w:r w:rsidR="009843A2" w:rsidRPr="00D2222C">
        <w:rPr>
          <w:rFonts w:ascii="Cambria" w:hAnsi="Cambria"/>
          <w:sz w:val="20"/>
          <w:szCs w:val="20"/>
        </w:rPr>
        <w:t xml:space="preserve">mitigating factor that they believed had the best chance of success. </w:t>
      </w:r>
    </w:p>
    <w:p w14:paraId="4A061DCA" w14:textId="77777777" w:rsidR="000A3E84" w:rsidRPr="00D2222C" w:rsidRDefault="000A3E84"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67B1B3C2" w14:textId="77777777" w:rsidR="0004390C" w:rsidRPr="00D2222C" w:rsidRDefault="0078587E"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With regard to</w:t>
      </w:r>
      <w:r w:rsidR="000A3E84" w:rsidRPr="00D2222C">
        <w:rPr>
          <w:rFonts w:ascii="Cambria" w:hAnsi="Cambria"/>
          <w:sz w:val="20"/>
          <w:szCs w:val="20"/>
        </w:rPr>
        <w:t xml:space="preserve"> </w:t>
      </w:r>
      <w:r w:rsidR="003D2C7F" w:rsidRPr="00D2222C">
        <w:rPr>
          <w:rFonts w:ascii="Cambria" w:hAnsi="Cambria"/>
          <w:sz w:val="20"/>
          <w:szCs w:val="20"/>
        </w:rPr>
        <w:t>the alleged introduction of the unreliable testimony of one of Mr. Hall’s cell-mates</w:t>
      </w:r>
      <w:r w:rsidR="00C75A4F" w:rsidRPr="00D2222C">
        <w:rPr>
          <w:rFonts w:ascii="Cambria" w:hAnsi="Cambria"/>
          <w:sz w:val="20"/>
          <w:szCs w:val="20"/>
        </w:rPr>
        <w:t xml:space="preserve"> at the penalty phase</w:t>
      </w:r>
      <w:r w:rsidRPr="00D2222C">
        <w:rPr>
          <w:rFonts w:ascii="Cambria" w:hAnsi="Cambria"/>
          <w:sz w:val="20"/>
          <w:szCs w:val="20"/>
        </w:rPr>
        <w:t>, the State indicate</w:t>
      </w:r>
      <w:r w:rsidR="00FC084F" w:rsidRPr="00D2222C">
        <w:rPr>
          <w:rFonts w:ascii="Cambria" w:hAnsi="Cambria"/>
          <w:sz w:val="20"/>
          <w:szCs w:val="20"/>
        </w:rPr>
        <w:t>d</w:t>
      </w:r>
      <w:r w:rsidRPr="00D2222C">
        <w:rPr>
          <w:rFonts w:ascii="Cambria" w:hAnsi="Cambria"/>
          <w:sz w:val="20"/>
          <w:szCs w:val="20"/>
        </w:rPr>
        <w:t xml:space="preserve"> that during the thorough cross-examination performed by Mr. Hall’s attorneys, the witness disclosed a number of facts that had the potential to impeach his credibility. According to the State, after listening to this cross-examination, the jury had discretion to reject the testimony in its entirety. </w:t>
      </w:r>
      <w:r w:rsidR="00DA77AA" w:rsidRPr="00D2222C">
        <w:rPr>
          <w:rFonts w:ascii="Cambria" w:hAnsi="Cambria"/>
          <w:sz w:val="20"/>
          <w:szCs w:val="20"/>
        </w:rPr>
        <w:t xml:space="preserve">In relation to the trial judge’s refusal to hold a full evidentiary hearing on </w:t>
      </w:r>
      <w:r w:rsidR="003A485E" w:rsidRPr="00D2222C">
        <w:rPr>
          <w:rFonts w:ascii="Cambria" w:hAnsi="Cambria"/>
          <w:sz w:val="20"/>
          <w:szCs w:val="20"/>
        </w:rPr>
        <w:t>Mr. Hall’s</w:t>
      </w:r>
      <w:r w:rsidR="00DA77AA" w:rsidRPr="00D2222C">
        <w:rPr>
          <w:rFonts w:ascii="Cambria" w:hAnsi="Cambria"/>
          <w:sz w:val="20"/>
          <w:szCs w:val="20"/>
        </w:rPr>
        <w:t xml:space="preserve"> claim of juror misconduct, the State </w:t>
      </w:r>
      <w:r w:rsidR="003A485E" w:rsidRPr="00D2222C">
        <w:rPr>
          <w:rFonts w:ascii="Cambria" w:hAnsi="Cambria"/>
          <w:sz w:val="20"/>
          <w:szCs w:val="20"/>
        </w:rPr>
        <w:t>claim</w:t>
      </w:r>
      <w:r w:rsidR="00131B01" w:rsidRPr="00D2222C">
        <w:rPr>
          <w:rFonts w:ascii="Cambria" w:hAnsi="Cambria"/>
          <w:sz w:val="20"/>
          <w:szCs w:val="20"/>
        </w:rPr>
        <w:t>ed</w:t>
      </w:r>
      <w:r w:rsidR="003A485E" w:rsidRPr="00D2222C">
        <w:rPr>
          <w:rFonts w:ascii="Cambria" w:hAnsi="Cambria"/>
          <w:sz w:val="20"/>
          <w:szCs w:val="20"/>
        </w:rPr>
        <w:t xml:space="preserve"> that the judge took reasonable and appropriate measures to determine if there was any truth to the allegation and determined that there was no evidence that the jury deliberations had been tainted by extraneous outside influence.</w:t>
      </w:r>
    </w:p>
    <w:p w14:paraId="274A1077" w14:textId="77777777" w:rsidR="0004390C" w:rsidRPr="00D2222C" w:rsidRDefault="0004390C" w:rsidP="00BB5A59">
      <w:pPr>
        <w:pStyle w:val="ListParagraph"/>
        <w:rPr>
          <w:rFonts w:asciiTheme="majorHAnsi" w:hAnsiTheme="majorHAnsi"/>
          <w:color w:val="auto"/>
          <w:sz w:val="20"/>
          <w:szCs w:val="20"/>
        </w:rPr>
      </w:pPr>
    </w:p>
    <w:p w14:paraId="5F6669CA" w14:textId="77777777" w:rsidR="001C4006" w:rsidRPr="00D2222C" w:rsidRDefault="001C4006" w:rsidP="00BB5A59">
      <w:pPr>
        <w:pStyle w:val="Heading1"/>
        <w:spacing w:before="0"/>
        <w:ind w:left="1440" w:hanging="720"/>
        <w:rPr>
          <w:color w:val="auto"/>
          <w:sz w:val="20"/>
          <w:szCs w:val="20"/>
        </w:rPr>
      </w:pPr>
      <w:bookmarkStart w:id="4" w:name="_Toc26550920"/>
      <w:r w:rsidRPr="00D2222C">
        <w:rPr>
          <w:color w:val="auto"/>
          <w:sz w:val="20"/>
          <w:szCs w:val="20"/>
        </w:rPr>
        <w:t>FINDINGS OF FACT</w:t>
      </w:r>
      <w:bookmarkEnd w:id="4"/>
    </w:p>
    <w:p w14:paraId="76F54BF0" w14:textId="77777777" w:rsidR="001C4006" w:rsidRPr="00D2222C" w:rsidRDefault="001C4006" w:rsidP="00BB5A59">
      <w:pPr>
        <w:rPr>
          <w:rFonts w:asciiTheme="majorHAnsi" w:hAnsiTheme="majorHAnsi"/>
          <w:b/>
          <w:sz w:val="20"/>
          <w:szCs w:val="20"/>
        </w:rPr>
      </w:pPr>
    </w:p>
    <w:p w14:paraId="3B6F230F" w14:textId="77777777" w:rsidR="0004390C" w:rsidRPr="00D2222C" w:rsidRDefault="0004390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In application of Article 43(1) of its Rules of Procedure, the IACHR will examine the arguments and evidence provided by the petitioners and the State. Likewise, the Commission will take into account publicly available information that may be relevant for the analysis and decision of the instant case.</w:t>
      </w:r>
    </w:p>
    <w:p w14:paraId="31A0CD71" w14:textId="77777777" w:rsidR="00D811FF" w:rsidRPr="00D2222C" w:rsidRDefault="00D811FF" w:rsidP="00BB5A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00F63D79" w14:textId="77777777" w:rsidR="002F414B" w:rsidRPr="00D2222C" w:rsidRDefault="002F414B" w:rsidP="00BB5A59">
      <w:pPr>
        <w:pStyle w:val="Heading2"/>
        <w:numPr>
          <w:ilvl w:val="0"/>
          <w:numId w:val="62"/>
        </w:numPr>
        <w:spacing w:before="0"/>
        <w:ind w:left="1440" w:hanging="720"/>
        <w:rPr>
          <w:color w:val="auto"/>
          <w:sz w:val="20"/>
          <w:szCs w:val="20"/>
        </w:rPr>
      </w:pPr>
      <w:bookmarkStart w:id="5" w:name="_Toc26550921"/>
      <w:r w:rsidRPr="00D2222C">
        <w:rPr>
          <w:color w:val="auto"/>
          <w:sz w:val="20"/>
          <w:szCs w:val="20"/>
        </w:rPr>
        <w:t>The federal death penalty system</w:t>
      </w:r>
      <w:bookmarkEnd w:id="5"/>
    </w:p>
    <w:p w14:paraId="01A10122" w14:textId="77777777" w:rsidR="002F414B" w:rsidRPr="00D2222C" w:rsidRDefault="002F414B" w:rsidP="00BB5A59">
      <w:pPr>
        <w:jc w:val="both"/>
        <w:rPr>
          <w:rFonts w:asciiTheme="majorHAnsi" w:hAnsiTheme="majorHAnsi"/>
          <w:b/>
          <w:sz w:val="20"/>
          <w:szCs w:val="20"/>
        </w:rPr>
      </w:pPr>
    </w:p>
    <w:p w14:paraId="18B53558" w14:textId="77777777" w:rsidR="00AD4435" w:rsidRPr="00D2222C" w:rsidRDefault="00012ADD"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D2222C">
        <w:rPr>
          <w:rFonts w:ascii="Cambria" w:hAnsi="Cambria"/>
          <w:sz w:val="20"/>
          <w:szCs w:val="20"/>
        </w:rPr>
        <w:t>In 2000</w:t>
      </w:r>
      <w:r w:rsidR="00CF3EBB" w:rsidRPr="00D2222C">
        <w:rPr>
          <w:rFonts w:ascii="Cambria" w:hAnsi="Cambria"/>
          <w:sz w:val="20"/>
          <w:szCs w:val="20"/>
        </w:rPr>
        <w:t>,</w:t>
      </w:r>
      <w:r w:rsidRPr="00D2222C">
        <w:rPr>
          <w:rFonts w:ascii="Cambria" w:hAnsi="Cambria"/>
          <w:sz w:val="20"/>
          <w:szCs w:val="20"/>
        </w:rPr>
        <w:t xml:space="preserve"> the United States Departm</w:t>
      </w:r>
      <w:r w:rsidR="00D45150" w:rsidRPr="00D2222C">
        <w:rPr>
          <w:rFonts w:ascii="Cambria" w:hAnsi="Cambria"/>
          <w:sz w:val="20"/>
          <w:szCs w:val="20"/>
        </w:rPr>
        <w:t xml:space="preserve">ent of Justice </w:t>
      </w:r>
      <w:r w:rsidR="008628FD" w:rsidRPr="00D2222C">
        <w:rPr>
          <w:rFonts w:ascii="Cambria" w:hAnsi="Cambria"/>
          <w:sz w:val="20"/>
          <w:szCs w:val="20"/>
        </w:rPr>
        <w:t xml:space="preserve">(“DoJ”) </w:t>
      </w:r>
      <w:r w:rsidR="00D45150" w:rsidRPr="00D2222C">
        <w:rPr>
          <w:rFonts w:ascii="Cambria" w:hAnsi="Cambria"/>
          <w:sz w:val="20"/>
          <w:szCs w:val="20"/>
        </w:rPr>
        <w:t>issue</w:t>
      </w:r>
      <w:r w:rsidR="008628FD" w:rsidRPr="00D2222C">
        <w:rPr>
          <w:rFonts w:ascii="Cambria" w:hAnsi="Cambria"/>
          <w:sz w:val="20"/>
          <w:szCs w:val="20"/>
        </w:rPr>
        <w:t>d</w:t>
      </w:r>
      <w:r w:rsidR="00D45150" w:rsidRPr="00D2222C">
        <w:rPr>
          <w:rFonts w:ascii="Cambria" w:hAnsi="Cambria"/>
          <w:sz w:val="20"/>
          <w:szCs w:val="20"/>
        </w:rPr>
        <w:t xml:space="preserve"> the report</w:t>
      </w:r>
      <w:r w:rsidRPr="00D2222C">
        <w:rPr>
          <w:rFonts w:ascii="Cambria" w:hAnsi="Cambria"/>
          <w:sz w:val="20"/>
          <w:szCs w:val="20"/>
        </w:rPr>
        <w:t xml:space="preserve"> “The federal death penalty system: a statistical</w:t>
      </w:r>
      <w:r w:rsidR="00D45150" w:rsidRPr="00D2222C">
        <w:rPr>
          <w:rFonts w:ascii="Cambria" w:hAnsi="Cambria"/>
          <w:sz w:val="20"/>
          <w:szCs w:val="20"/>
        </w:rPr>
        <w:t xml:space="preserve"> survey (1988-2000)</w:t>
      </w:r>
      <w:r w:rsidRPr="00D2222C">
        <w:rPr>
          <w:rFonts w:ascii="Cambria" w:hAnsi="Cambria"/>
          <w:sz w:val="20"/>
          <w:szCs w:val="20"/>
        </w:rPr>
        <w:t>”</w:t>
      </w:r>
      <w:r w:rsidR="00D45150" w:rsidRPr="00D2222C">
        <w:rPr>
          <w:rFonts w:ascii="Cambria" w:hAnsi="Cambria"/>
          <w:sz w:val="20"/>
          <w:szCs w:val="20"/>
        </w:rPr>
        <w:t>.</w:t>
      </w:r>
      <w:r w:rsidRPr="00D2222C">
        <w:rPr>
          <w:rStyle w:val="FootnoteReference"/>
          <w:rFonts w:ascii="Cambria" w:hAnsi="Cambria"/>
          <w:sz w:val="20"/>
          <w:szCs w:val="20"/>
        </w:rPr>
        <w:footnoteReference w:id="5"/>
      </w:r>
      <w:r w:rsidRPr="00D2222C">
        <w:rPr>
          <w:rFonts w:ascii="Cambria" w:hAnsi="Cambria"/>
          <w:sz w:val="20"/>
          <w:szCs w:val="20"/>
        </w:rPr>
        <w:t xml:space="preserve"> </w:t>
      </w:r>
      <w:r w:rsidR="002869C6" w:rsidRPr="00D2222C">
        <w:rPr>
          <w:rFonts w:ascii="Cambria" w:hAnsi="Cambria"/>
          <w:sz w:val="20"/>
          <w:szCs w:val="20"/>
        </w:rPr>
        <w:t>The Commission will reproduce bellow parts of</w:t>
      </w:r>
      <w:r w:rsidR="002B008D" w:rsidRPr="00D2222C">
        <w:rPr>
          <w:rFonts w:ascii="Cambria" w:hAnsi="Cambria"/>
          <w:sz w:val="20"/>
          <w:szCs w:val="20"/>
        </w:rPr>
        <w:t xml:space="preserve"> the report pertaining to the structure of the federal death penalty system and some statistics on race and the federal death penalty</w:t>
      </w:r>
      <w:r w:rsidR="00AD4435" w:rsidRPr="00D2222C">
        <w:rPr>
          <w:rFonts w:ascii="Cambria" w:hAnsi="Cambria"/>
          <w:sz w:val="20"/>
          <w:szCs w:val="20"/>
        </w:rPr>
        <w:t>:</w:t>
      </w:r>
    </w:p>
    <w:p w14:paraId="7ACC3496" w14:textId="77777777" w:rsidR="00AD4435" w:rsidRPr="00D2222C" w:rsidRDefault="00AD4435" w:rsidP="00AD443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070A5838" w14:textId="77777777" w:rsidR="00D811FF" w:rsidRPr="00D2222C" w:rsidRDefault="00231CD1"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 xml:space="preserve">In </w:t>
      </w:r>
      <w:r w:rsidR="00DC28C0" w:rsidRPr="00D2222C">
        <w:rPr>
          <w:sz w:val="20"/>
          <w:szCs w:val="20"/>
        </w:rPr>
        <w:t>1972</w:t>
      </w:r>
      <w:r w:rsidR="00CF3EBB" w:rsidRPr="00D2222C">
        <w:rPr>
          <w:sz w:val="20"/>
          <w:szCs w:val="20"/>
        </w:rPr>
        <w:t>,</w:t>
      </w:r>
      <w:r w:rsidR="00DC28C0" w:rsidRPr="00D2222C">
        <w:rPr>
          <w:sz w:val="20"/>
          <w:szCs w:val="20"/>
        </w:rPr>
        <w:t xml:space="preserve"> </w:t>
      </w:r>
      <w:r w:rsidRPr="00D2222C">
        <w:rPr>
          <w:sz w:val="20"/>
          <w:szCs w:val="20"/>
        </w:rPr>
        <w:t>t</w:t>
      </w:r>
      <w:r w:rsidR="00D811FF" w:rsidRPr="00D2222C">
        <w:rPr>
          <w:sz w:val="20"/>
          <w:szCs w:val="20"/>
        </w:rPr>
        <w:t>he</w:t>
      </w:r>
      <w:r w:rsidR="00C338B0" w:rsidRPr="00D2222C">
        <w:rPr>
          <w:sz w:val="20"/>
          <w:szCs w:val="20"/>
        </w:rPr>
        <w:t xml:space="preserve"> </w:t>
      </w:r>
      <w:r w:rsidR="00D811FF" w:rsidRPr="00D2222C">
        <w:rPr>
          <w:sz w:val="20"/>
          <w:szCs w:val="20"/>
        </w:rPr>
        <w:t>Supreme Court invalidat</w:t>
      </w:r>
      <w:r w:rsidRPr="00D2222C">
        <w:rPr>
          <w:sz w:val="20"/>
          <w:szCs w:val="20"/>
        </w:rPr>
        <w:t>ed</w:t>
      </w:r>
      <w:r w:rsidR="00D811FF" w:rsidRPr="00D2222C">
        <w:rPr>
          <w:sz w:val="20"/>
          <w:szCs w:val="20"/>
        </w:rPr>
        <w:t xml:space="preserve"> capital punishment throughout the United States</w:t>
      </w:r>
      <w:r w:rsidR="00986662" w:rsidRPr="00D2222C">
        <w:rPr>
          <w:sz w:val="20"/>
          <w:szCs w:val="20"/>
        </w:rPr>
        <w:t xml:space="preserve"> – both in the federal criminal justice system and in all of the states that then provided for the death penalty. The </w:t>
      </w:r>
      <w:r w:rsidR="00986662" w:rsidRPr="00D2222C">
        <w:rPr>
          <w:sz w:val="20"/>
          <w:szCs w:val="20"/>
        </w:rPr>
        <w:lastRenderedPageBreak/>
        <w:t xml:space="preserve">federal government revised </w:t>
      </w:r>
      <w:r w:rsidR="0081181A" w:rsidRPr="00D2222C">
        <w:rPr>
          <w:sz w:val="20"/>
          <w:szCs w:val="20"/>
        </w:rPr>
        <w:t xml:space="preserve">its procedures to withstand constitutional scrutiny on November 18, 1988, when the President signed the Anti-Drug Abuse Act of 1988. A part of this law made the death penalty available as a possible punishment for certain drug-related offenses. The availability of </w:t>
      </w:r>
      <w:r w:rsidR="009E3488" w:rsidRPr="00D2222C">
        <w:rPr>
          <w:sz w:val="20"/>
          <w:szCs w:val="20"/>
        </w:rPr>
        <w:t xml:space="preserve">capital punishment in federal criminal cases expanded significantly further on September 13, 1994, </w:t>
      </w:r>
      <w:r w:rsidRPr="00D2222C">
        <w:rPr>
          <w:sz w:val="20"/>
          <w:szCs w:val="20"/>
        </w:rPr>
        <w:t>with the passage of</w:t>
      </w:r>
      <w:r w:rsidR="009E3488" w:rsidRPr="00D2222C">
        <w:rPr>
          <w:sz w:val="20"/>
          <w:szCs w:val="20"/>
        </w:rPr>
        <w:t xml:space="preserve"> the Violent Crime Control and Law Enforcement Act. A part of this law, known as the Federal Death Penalty Act (FDPA), provided that over 40 federal offenses could be punished as capital crimes. The Antiterrorism and Effective Death Penalty Act of 1996 (AEDPA) added another four federal offenses to the list of capital crimes.</w:t>
      </w:r>
    </w:p>
    <w:p w14:paraId="32E6FFA3" w14:textId="77777777" w:rsidR="00D45150" w:rsidRPr="00D2222C" w:rsidRDefault="00D45150" w:rsidP="00D451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62E9D8E5" w14:textId="77777777" w:rsidR="00D45150" w:rsidRPr="00D2222C" w:rsidRDefault="00231CD1"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I</w:t>
      </w:r>
      <w:r w:rsidR="00D45150" w:rsidRPr="00D2222C">
        <w:rPr>
          <w:sz w:val="20"/>
          <w:szCs w:val="20"/>
        </w:rPr>
        <w:t>n 1988</w:t>
      </w:r>
      <w:r w:rsidR="00CF3EBB" w:rsidRPr="00D2222C">
        <w:rPr>
          <w:sz w:val="20"/>
          <w:szCs w:val="20"/>
        </w:rPr>
        <w:t>,</w:t>
      </w:r>
      <w:r w:rsidR="00D45150" w:rsidRPr="00D2222C">
        <w:rPr>
          <w:sz w:val="20"/>
          <w:szCs w:val="20"/>
        </w:rPr>
        <w:t xml:space="preserve"> the D</w:t>
      </w:r>
      <w:r w:rsidR="00702EA5" w:rsidRPr="00D2222C">
        <w:rPr>
          <w:sz w:val="20"/>
          <w:szCs w:val="20"/>
        </w:rPr>
        <w:t>o</w:t>
      </w:r>
      <w:r w:rsidR="00D45150" w:rsidRPr="00D2222C">
        <w:rPr>
          <w:sz w:val="20"/>
          <w:szCs w:val="20"/>
        </w:rPr>
        <w:t>J instituted a policy that required</w:t>
      </w:r>
      <w:r w:rsidR="008628FD" w:rsidRPr="00D2222C">
        <w:rPr>
          <w:sz w:val="20"/>
          <w:szCs w:val="20"/>
        </w:rPr>
        <w:t xml:space="preserve"> United States Attorneys in all the federal districts to submit to the Attorney General for review and approval any case in which the U</w:t>
      </w:r>
      <w:r w:rsidR="00702EA5" w:rsidRPr="00D2222C">
        <w:rPr>
          <w:sz w:val="20"/>
          <w:szCs w:val="20"/>
        </w:rPr>
        <w:t>.</w:t>
      </w:r>
      <w:r w:rsidR="008628FD" w:rsidRPr="00D2222C">
        <w:rPr>
          <w:sz w:val="20"/>
          <w:szCs w:val="20"/>
        </w:rPr>
        <w:t>S</w:t>
      </w:r>
      <w:r w:rsidR="00702EA5" w:rsidRPr="00D2222C">
        <w:rPr>
          <w:sz w:val="20"/>
          <w:szCs w:val="20"/>
        </w:rPr>
        <w:t>. Attorney affirmatively wis</w:t>
      </w:r>
      <w:r w:rsidR="008628FD" w:rsidRPr="00D2222C">
        <w:rPr>
          <w:sz w:val="20"/>
          <w:szCs w:val="20"/>
        </w:rPr>
        <w:t xml:space="preserve">hed to </w:t>
      </w:r>
      <w:r w:rsidR="00702EA5" w:rsidRPr="00D2222C">
        <w:rPr>
          <w:sz w:val="20"/>
          <w:szCs w:val="20"/>
        </w:rPr>
        <w:t>seek</w:t>
      </w:r>
      <w:r w:rsidR="008628FD" w:rsidRPr="00D2222C">
        <w:rPr>
          <w:sz w:val="20"/>
          <w:szCs w:val="20"/>
        </w:rPr>
        <w:t xml:space="preserve"> the death penalty. From 198</w:t>
      </w:r>
      <w:r w:rsidR="00702EA5" w:rsidRPr="00D2222C">
        <w:rPr>
          <w:sz w:val="20"/>
          <w:szCs w:val="20"/>
        </w:rPr>
        <w:t>8 until the end of 1994, U.</w:t>
      </w:r>
      <w:r w:rsidR="008628FD" w:rsidRPr="00D2222C">
        <w:rPr>
          <w:sz w:val="20"/>
          <w:szCs w:val="20"/>
        </w:rPr>
        <w:t>S</w:t>
      </w:r>
      <w:r w:rsidR="00702EA5" w:rsidRPr="00D2222C">
        <w:rPr>
          <w:sz w:val="20"/>
          <w:szCs w:val="20"/>
        </w:rPr>
        <w:t>.</w:t>
      </w:r>
      <w:r w:rsidR="008628FD" w:rsidRPr="00D2222C">
        <w:rPr>
          <w:sz w:val="20"/>
          <w:szCs w:val="20"/>
        </w:rPr>
        <w:t xml:space="preserve"> Attorneys sought approval from Attorneys General to seek the death penalty 52 times and received it 47 times.</w:t>
      </w:r>
    </w:p>
    <w:p w14:paraId="4032AA60" w14:textId="77777777" w:rsidR="008628FD" w:rsidRPr="00D2222C" w:rsidRDefault="008628FD" w:rsidP="008628FD">
      <w:pPr>
        <w:pStyle w:val="ListParagraph"/>
        <w:rPr>
          <w:sz w:val="20"/>
          <w:szCs w:val="20"/>
        </w:rPr>
      </w:pPr>
    </w:p>
    <w:p w14:paraId="72BEEEE7" w14:textId="77777777" w:rsidR="008628FD" w:rsidRPr="00D2222C" w:rsidRDefault="008628FD"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On January 27, 1995, the D</w:t>
      </w:r>
      <w:r w:rsidR="00702EA5" w:rsidRPr="00D2222C">
        <w:rPr>
          <w:sz w:val="20"/>
          <w:szCs w:val="20"/>
        </w:rPr>
        <w:t>oJ</w:t>
      </w:r>
      <w:r w:rsidRPr="00D2222C">
        <w:rPr>
          <w:sz w:val="20"/>
          <w:szCs w:val="20"/>
        </w:rPr>
        <w:t xml:space="preserve"> adopted the policy still in effect today </w:t>
      </w:r>
      <w:r w:rsidR="00702EA5" w:rsidRPr="00D2222C">
        <w:rPr>
          <w:sz w:val="20"/>
          <w:szCs w:val="20"/>
        </w:rPr>
        <w:t>– known as the death penalty “protocol” – under which U.S. Attorneys are required to submit for review all cases in which a defendant is charged with a capital-eligible offense, regardless whether the U.S. Attorney actually desires to seek the death penalty in that case. The U.S. Attorney’s submissions are initially considered by the Attorney General’s Review Committee on Capital Cases, a committee of senior DoJ attorneys</w:t>
      </w:r>
      <w:r w:rsidR="00231CD1" w:rsidRPr="00D2222C">
        <w:rPr>
          <w:sz w:val="20"/>
          <w:szCs w:val="20"/>
        </w:rPr>
        <w:t>,</w:t>
      </w:r>
      <w:r w:rsidR="00702EA5" w:rsidRPr="00D2222C">
        <w:rPr>
          <w:sz w:val="20"/>
          <w:szCs w:val="20"/>
        </w:rPr>
        <w:t xml:space="preserve"> which makes an independent recommendation to the Attorney General. From January 27, 1995 to July 20, 2000, U.S. Attorneys submitted a total of 682 cases for review and the Attorney General ultimately authorized</w:t>
      </w:r>
      <w:r w:rsidR="002C58D2" w:rsidRPr="00D2222C">
        <w:rPr>
          <w:sz w:val="20"/>
          <w:szCs w:val="20"/>
        </w:rPr>
        <w:t xml:space="preserve"> s</w:t>
      </w:r>
      <w:r w:rsidR="00702EA5" w:rsidRPr="00D2222C">
        <w:rPr>
          <w:sz w:val="20"/>
          <w:szCs w:val="20"/>
        </w:rPr>
        <w:t xml:space="preserve">eeking the death penalty for 159 of those defendants. </w:t>
      </w:r>
    </w:p>
    <w:p w14:paraId="21DFFF71" w14:textId="77777777" w:rsidR="0099714E" w:rsidRPr="00D2222C" w:rsidRDefault="0099714E" w:rsidP="0099714E">
      <w:pPr>
        <w:pStyle w:val="ListParagraph"/>
        <w:rPr>
          <w:sz w:val="20"/>
          <w:szCs w:val="20"/>
        </w:rPr>
      </w:pPr>
    </w:p>
    <w:p w14:paraId="29575EB4" w14:textId="77777777" w:rsidR="0099714E" w:rsidRPr="00D2222C" w:rsidRDefault="0099714E"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 xml:space="preserve">Current DoJ policy provides that bias based on characteristics such as an individual’s race/ethnicity must play no role in a U.S. Attorney’s decision to recommend the death penalty. Moreover, the U.S. Attorney’s Office may not provide information about the race/ethnicity of the defendant to Review Committee members, to attorneys from the Criminal Division’s Capital Case Unit who assist the Review Committee, or to the Attorney General. </w:t>
      </w:r>
    </w:p>
    <w:p w14:paraId="17D8F244" w14:textId="77777777" w:rsidR="00AD4435" w:rsidRPr="00D2222C" w:rsidRDefault="00AD4435" w:rsidP="00AD443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mbria" w:hAnsi="Cambria" w:cs="Cambria"/>
          <w:color w:val="000000"/>
          <w:sz w:val="20"/>
          <w:szCs w:val="20"/>
          <w:u w:color="000000"/>
          <w:lang w:eastAsia="es-ES"/>
        </w:rPr>
      </w:pPr>
    </w:p>
    <w:p w14:paraId="78D2CA21" w14:textId="77777777" w:rsidR="0090668D" w:rsidRPr="00D2222C" w:rsidRDefault="00AD4435"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F</w:t>
      </w:r>
      <w:r w:rsidR="00E46307" w:rsidRPr="00D2222C">
        <w:rPr>
          <w:sz w:val="20"/>
          <w:szCs w:val="20"/>
        </w:rPr>
        <w:t>rom 1995 to 2000</w:t>
      </w:r>
      <w:r w:rsidR="00CF3EBB" w:rsidRPr="00D2222C">
        <w:rPr>
          <w:sz w:val="20"/>
          <w:szCs w:val="20"/>
        </w:rPr>
        <w:t>,</w:t>
      </w:r>
      <w:r w:rsidR="00E46307" w:rsidRPr="00D2222C">
        <w:rPr>
          <w:sz w:val="20"/>
          <w:szCs w:val="20"/>
        </w:rPr>
        <w:t xml:space="preserve"> the DoJ sought the death penalty against 23% of the defendants charged with crimes punishable by death. Of these, 44.65% were black and 27.67% were white</w:t>
      </w:r>
      <w:r w:rsidR="00361EB7" w:rsidRPr="00D2222C">
        <w:rPr>
          <w:sz w:val="20"/>
          <w:szCs w:val="20"/>
        </w:rPr>
        <w:t>.</w:t>
      </w:r>
      <w:r w:rsidR="00361EB7" w:rsidRPr="00D2222C">
        <w:rPr>
          <w:rStyle w:val="FootnoteReference"/>
          <w:sz w:val="20"/>
          <w:szCs w:val="20"/>
        </w:rPr>
        <w:footnoteReference w:id="6"/>
      </w:r>
    </w:p>
    <w:p w14:paraId="49A1535E" w14:textId="77777777" w:rsidR="00F97D53" w:rsidRPr="00D2222C" w:rsidRDefault="00F97D53" w:rsidP="00F97D53">
      <w:pPr>
        <w:pStyle w:val="ListParagraph"/>
        <w:rPr>
          <w:sz w:val="20"/>
          <w:szCs w:val="20"/>
        </w:rPr>
      </w:pPr>
    </w:p>
    <w:p w14:paraId="4D080EE5" w14:textId="77777777" w:rsidR="007A3478" w:rsidRPr="00D2222C" w:rsidRDefault="00F97D53"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 xml:space="preserve">The Review Committee meets with defense counsel along with attorneys from the United States Attorney’s Office and the Criminal Division’s Capital Case Unit, and </w:t>
      </w:r>
      <w:r w:rsidR="007A3478" w:rsidRPr="00D2222C">
        <w:rPr>
          <w:sz w:val="20"/>
          <w:szCs w:val="20"/>
        </w:rPr>
        <w:t>is</w:t>
      </w:r>
      <w:r w:rsidRPr="00D2222C">
        <w:rPr>
          <w:sz w:val="20"/>
          <w:szCs w:val="20"/>
        </w:rPr>
        <w:t xml:space="preserve"> invited to make an oral presentation as to why the Attorney General should not authorize the U.S. Attorney to seek the death penalty. </w:t>
      </w:r>
      <w:r w:rsidR="007A3478" w:rsidRPr="00D2222C">
        <w:rPr>
          <w:sz w:val="20"/>
          <w:szCs w:val="20"/>
        </w:rPr>
        <w:t>Before considering the case, the Attorney General receives the recommendation of the U.S. Attorney, the recommendation of the Review Committee, and all of the underlying materials that have been submitted.</w:t>
      </w:r>
      <w:r w:rsidR="00E17683" w:rsidRPr="00D2222C">
        <w:rPr>
          <w:sz w:val="20"/>
          <w:szCs w:val="20"/>
        </w:rPr>
        <w:t xml:space="preserve"> The Attorney General’s decision to authorize the seeking of the death penalty can be changed, among others, by means of a plea agreement. </w:t>
      </w:r>
      <w:r w:rsidR="00B90178" w:rsidRPr="00D2222C">
        <w:rPr>
          <w:sz w:val="20"/>
          <w:szCs w:val="20"/>
        </w:rPr>
        <w:t xml:space="preserve">From 1995 to 2000, 32% of the defendants in which the Attorney General authorized the death penalty entered into plea agreements as a result of which the government withdrew the notice of intent to seek the death penalty; 41% of these defendants were white and 35% black. </w:t>
      </w:r>
    </w:p>
    <w:p w14:paraId="4930478D" w14:textId="77777777" w:rsidR="007A3478" w:rsidRPr="00D2222C" w:rsidRDefault="007A3478" w:rsidP="007A3478">
      <w:pPr>
        <w:pStyle w:val="ListParagraph"/>
        <w:rPr>
          <w:sz w:val="20"/>
          <w:szCs w:val="20"/>
        </w:rPr>
      </w:pPr>
    </w:p>
    <w:p w14:paraId="5C35B653" w14:textId="77777777" w:rsidR="007A3478" w:rsidRPr="00D2222C" w:rsidRDefault="007A3478"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 xml:space="preserve">At the sentencing phase, the prosecution must prove beyond a reasonable doubt that the defendant committed the capital offense with a certain level of intent. In addition, the prosecution must prove any aggravating factors beyond a reasonable doubt, and must prove at least one from a list of specific factors set out in the applicable statute. In recommending a sentence, the jury may only consider aggravating factors that it unanimously finds to have been proven beyond a reasonable doubt. </w:t>
      </w:r>
      <w:r w:rsidR="000A5B0F" w:rsidRPr="00D2222C">
        <w:rPr>
          <w:sz w:val="20"/>
          <w:szCs w:val="20"/>
        </w:rPr>
        <w:t xml:space="preserve">Mitigating factors need only be proven by a preponderance of the evidence, and each juror can make an individual decision as to which factors have been proven to his or her satisfaction. </w:t>
      </w:r>
      <w:r w:rsidR="00AA5C88" w:rsidRPr="00D2222C">
        <w:rPr>
          <w:sz w:val="20"/>
          <w:szCs w:val="20"/>
        </w:rPr>
        <w:t xml:space="preserve">In reaching a verdict, which must be unanimous, each juror must certify that he or she did not consider the race, </w:t>
      </w:r>
      <w:r w:rsidR="00AA5C88" w:rsidRPr="00D2222C">
        <w:rPr>
          <w:sz w:val="20"/>
          <w:szCs w:val="20"/>
        </w:rPr>
        <w:lastRenderedPageBreak/>
        <w:t xml:space="preserve">national origin, sex, or religious beliefs of the defendant or the victim in reaching his or her determination. </w:t>
      </w:r>
    </w:p>
    <w:p w14:paraId="13A080A5" w14:textId="77777777" w:rsidR="009B74A4" w:rsidRPr="00D2222C" w:rsidRDefault="009B74A4" w:rsidP="009B74A4">
      <w:pPr>
        <w:pStyle w:val="ListParagraph"/>
        <w:rPr>
          <w:sz w:val="20"/>
          <w:szCs w:val="20"/>
        </w:rPr>
      </w:pPr>
    </w:p>
    <w:p w14:paraId="0F740266" w14:textId="77777777" w:rsidR="009B74A4" w:rsidRPr="00D2222C" w:rsidRDefault="009B74A4"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In capital cases, federal law explicitly requires the appellate court, in reviewing the case, to review the entire record. If the Court of Appeals affirms the conviction and sentence, the defendant may seek review in the United States Suprem</w:t>
      </w:r>
      <w:r w:rsidR="00FC3262" w:rsidRPr="00D2222C">
        <w:rPr>
          <w:sz w:val="20"/>
          <w:szCs w:val="20"/>
        </w:rPr>
        <w:t>e</w:t>
      </w:r>
      <w:r w:rsidRPr="00D2222C">
        <w:rPr>
          <w:sz w:val="20"/>
          <w:szCs w:val="20"/>
        </w:rPr>
        <w:t xml:space="preserve"> Court by filing a petition for a writ of certiorari.</w:t>
      </w:r>
    </w:p>
    <w:p w14:paraId="708CCF54" w14:textId="77777777" w:rsidR="009B74A4" w:rsidRPr="00D2222C" w:rsidRDefault="009B74A4" w:rsidP="009B74A4">
      <w:pPr>
        <w:pStyle w:val="ListParagraph"/>
        <w:rPr>
          <w:sz w:val="20"/>
          <w:szCs w:val="20"/>
        </w:rPr>
      </w:pPr>
    </w:p>
    <w:p w14:paraId="64FAC645" w14:textId="77777777" w:rsidR="009B74A4" w:rsidRPr="00D2222C" w:rsidRDefault="009B74A4"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 xml:space="preserve">If the defendant fails to obtain relief on direct appeal, he or she may also seek collateral review by filing a motion to vacate, set aside or correct the sentence pursuant to 28 U.S.C. § 2255. Such collateral review goes through three levels of the federal judiciary: the motion is made in the district court in which the defendant was convicted; the district court’s resolution of the § 2255 motion is subject to direct appeal by the losing party; the judgment by the Court of Appeals concerning the § 2255 motion is subject to discretionary review by the Supreme Court. </w:t>
      </w:r>
    </w:p>
    <w:p w14:paraId="03952F8B" w14:textId="77777777" w:rsidR="009B74A4" w:rsidRPr="00D2222C" w:rsidRDefault="009B74A4" w:rsidP="009B74A4">
      <w:pPr>
        <w:pStyle w:val="ListParagraph"/>
        <w:rPr>
          <w:sz w:val="20"/>
          <w:szCs w:val="20"/>
        </w:rPr>
      </w:pPr>
    </w:p>
    <w:p w14:paraId="0D4D9F3F" w14:textId="77777777" w:rsidR="009B74A4" w:rsidRPr="00D2222C" w:rsidRDefault="009B74A4" w:rsidP="00BB5A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r w:rsidRPr="00D2222C">
        <w:rPr>
          <w:sz w:val="20"/>
          <w:szCs w:val="20"/>
        </w:rPr>
        <w:t>If the defendant’</w:t>
      </w:r>
      <w:r w:rsidR="002C5A89" w:rsidRPr="00D2222C">
        <w:rPr>
          <w:sz w:val="20"/>
          <w:szCs w:val="20"/>
        </w:rPr>
        <w:t>s sentence</w:t>
      </w:r>
      <w:r w:rsidRPr="00D2222C">
        <w:rPr>
          <w:sz w:val="20"/>
          <w:szCs w:val="20"/>
        </w:rPr>
        <w:t xml:space="preserve"> of death is upheld on both direct and collateral review, an execution date is set. Once the defendant has received notification of the scheduled execution date, he or she may petition the President for a grant of exe</w:t>
      </w:r>
      <w:r w:rsidR="002C5A89" w:rsidRPr="00D2222C">
        <w:rPr>
          <w:sz w:val="20"/>
          <w:szCs w:val="20"/>
        </w:rPr>
        <w:t>cutive clemency.</w:t>
      </w:r>
    </w:p>
    <w:p w14:paraId="75E2ECC1" w14:textId="77777777" w:rsidR="00D811FF" w:rsidRPr="00D2222C" w:rsidRDefault="00D811FF" w:rsidP="00D811FF">
      <w:pPr>
        <w:rPr>
          <w:rFonts w:ascii="Cambria" w:hAnsi="Cambria"/>
          <w:sz w:val="20"/>
          <w:szCs w:val="20"/>
        </w:rPr>
      </w:pPr>
    </w:p>
    <w:p w14:paraId="1DA1A326" w14:textId="77777777" w:rsidR="00DC28C0" w:rsidRPr="00D2222C" w:rsidRDefault="00DC28C0"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Official information published by the </w:t>
      </w:r>
      <w:r w:rsidR="00CF3EBB" w:rsidRPr="00D2222C">
        <w:rPr>
          <w:rFonts w:ascii="Cambria" w:eastAsia="Arial Unicode MS" w:hAnsi="Cambria"/>
          <w:sz w:val="20"/>
          <w:szCs w:val="20"/>
          <w:bdr w:val="nil"/>
        </w:rPr>
        <w:t>DoJ</w:t>
      </w:r>
      <w:r w:rsidRPr="00D2222C">
        <w:rPr>
          <w:rFonts w:ascii="Cambria" w:eastAsia="Arial Unicode MS" w:hAnsi="Cambria"/>
          <w:sz w:val="20"/>
          <w:szCs w:val="20"/>
          <w:bdr w:val="nil"/>
        </w:rPr>
        <w:t xml:space="preserve"> indicates that the President of the United States relies on the DoJ, and particularly the Office of the Pardon Attorney, for assistance in the exercise of the executive clemency power granted to the President by Article II, Section 2 of the United States Constitution.</w:t>
      </w:r>
      <w:r w:rsidRPr="00D2222C">
        <w:rPr>
          <w:rStyle w:val="FootnoteReference"/>
          <w:rFonts w:ascii="Cambria" w:eastAsia="Arial Unicode MS" w:hAnsi="Cambria"/>
          <w:sz w:val="20"/>
          <w:szCs w:val="20"/>
          <w:bdr w:val="nil"/>
        </w:rPr>
        <w:footnoteReference w:id="7"/>
      </w:r>
      <w:r w:rsidRPr="00D2222C">
        <w:rPr>
          <w:rFonts w:ascii="Cambria" w:eastAsia="Arial Unicode MS" w:hAnsi="Cambria"/>
          <w:sz w:val="20"/>
          <w:szCs w:val="20"/>
          <w:bdr w:val="nil"/>
        </w:rPr>
        <w:t xml:space="preserve"> Under the Constitution, the President’s clemency power extends only to federal criminal offenses. </w:t>
      </w:r>
    </w:p>
    <w:p w14:paraId="5CFCA62B" w14:textId="77777777" w:rsidR="00DC28C0" w:rsidRPr="00D2222C" w:rsidRDefault="00DC28C0" w:rsidP="009E3847">
      <w:pPr>
        <w:pStyle w:val="NormalWeb"/>
        <w:shd w:val="clear" w:color="auto" w:fill="FFFFFF"/>
        <w:spacing w:before="0" w:beforeAutospacing="0" w:after="0" w:afterAutospacing="0"/>
        <w:ind w:left="720"/>
        <w:jc w:val="both"/>
        <w:rPr>
          <w:rFonts w:ascii="Cambria" w:eastAsia="Arial Unicode MS" w:hAnsi="Cambria"/>
          <w:sz w:val="20"/>
          <w:szCs w:val="20"/>
          <w:bdr w:val="nil"/>
        </w:rPr>
      </w:pPr>
    </w:p>
    <w:p w14:paraId="637FB6C1" w14:textId="77777777" w:rsidR="00DC28C0" w:rsidRPr="00D2222C" w:rsidRDefault="00DC28C0"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According to the procedures currently in place, all requests for executive clemency are directed to the Pardon Attorney for review, investigation, and preparation of the Department’s recommendation to the President, which is signed by the Deputy Attorney General. Any person under a sentence of death for whom an execution date is set on or after August 1, 2000, may request to make an oral presentation of reasonable duration to the Office of the Pardon Attorney in support of the clemency petition.</w:t>
      </w:r>
      <w:r w:rsidRPr="00D2222C">
        <w:rPr>
          <w:rStyle w:val="FootnoteReference"/>
          <w:rFonts w:ascii="Cambria" w:eastAsia="Arial Unicode MS" w:hAnsi="Cambria"/>
          <w:sz w:val="20"/>
          <w:szCs w:val="20"/>
          <w:bdr w:val="nil"/>
        </w:rPr>
        <w:footnoteReference w:id="8"/>
      </w:r>
      <w:r w:rsidRPr="00D2222C">
        <w:rPr>
          <w:rFonts w:ascii="Cambria" w:eastAsia="Arial Unicode MS" w:hAnsi="Cambria"/>
          <w:sz w:val="20"/>
          <w:szCs w:val="20"/>
          <w:bdr w:val="nil"/>
        </w:rPr>
        <w:t xml:space="preserve"> </w:t>
      </w:r>
    </w:p>
    <w:p w14:paraId="359302F9" w14:textId="77777777" w:rsidR="001C4006" w:rsidRPr="00D2222C" w:rsidRDefault="00D04674" w:rsidP="00090720">
      <w:pPr>
        <w:pStyle w:val="Heading2"/>
        <w:numPr>
          <w:ilvl w:val="0"/>
          <w:numId w:val="62"/>
        </w:numPr>
        <w:ind w:left="1440" w:hanging="720"/>
        <w:rPr>
          <w:color w:val="auto"/>
          <w:sz w:val="20"/>
          <w:szCs w:val="20"/>
        </w:rPr>
      </w:pPr>
      <w:bookmarkStart w:id="6" w:name="_Toc26550922"/>
      <w:r w:rsidRPr="00D2222C">
        <w:rPr>
          <w:color w:val="auto"/>
          <w:sz w:val="20"/>
          <w:szCs w:val="20"/>
        </w:rPr>
        <w:t>Factual background, t</w:t>
      </w:r>
      <w:r w:rsidR="00E91BE2" w:rsidRPr="00D2222C">
        <w:rPr>
          <w:color w:val="auto"/>
          <w:sz w:val="20"/>
          <w:szCs w:val="20"/>
        </w:rPr>
        <w:t>rial and death sentence</w:t>
      </w:r>
      <w:bookmarkEnd w:id="6"/>
    </w:p>
    <w:p w14:paraId="63E5E3C5" w14:textId="77777777" w:rsidR="001C4006" w:rsidRPr="00D2222C" w:rsidRDefault="001C4006" w:rsidP="001C4006">
      <w:pPr>
        <w:pStyle w:val="ListParagraph"/>
        <w:rPr>
          <w:rFonts w:asciiTheme="majorHAnsi" w:hAnsiTheme="majorHAnsi"/>
          <w:b/>
          <w:color w:val="auto"/>
          <w:sz w:val="20"/>
          <w:szCs w:val="20"/>
        </w:rPr>
      </w:pPr>
    </w:p>
    <w:p w14:paraId="055FEA31" w14:textId="77777777" w:rsidR="006A70B4" w:rsidRPr="00D2222C" w:rsidRDefault="006A70B4"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The facts described below were established by domestic courts and have not been disputed by the petitioners.</w:t>
      </w:r>
    </w:p>
    <w:p w14:paraId="4BA80350" w14:textId="77777777" w:rsidR="006A70B4" w:rsidRPr="00D2222C" w:rsidRDefault="006A70B4" w:rsidP="009E38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rPr>
      </w:pPr>
    </w:p>
    <w:p w14:paraId="0793DFAB" w14:textId="77777777" w:rsidR="002E35D7" w:rsidRPr="00D2222C" w:rsidRDefault="00D8741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Orlando Cordia Hall, along with Bruce Webster and Marvin Holloway, ran a marijuana trafficking enterprise in Pine Bluff, Arkansas. They purchased marijuana in varying amounts in the Dallas/Fort Worth area with the assistance of Steven Beckley, who lived in Irving, Texas. On September 21, 1994, Vitalis and N. Rene, allegedly robbed</w:t>
      </w:r>
      <w:r w:rsidR="00704098" w:rsidRPr="00D2222C">
        <w:rPr>
          <w:rFonts w:ascii="Cambria" w:hAnsi="Cambria"/>
          <w:sz w:val="20"/>
          <w:szCs w:val="20"/>
        </w:rPr>
        <w:t xml:space="preserve"> them</w:t>
      </w:r>
      <w:r w:rsidRPr="00D2222C">
        <w:rPr>
          <w:rFonts w:ascii="Cambria" w:hAnsi="Cambria"/>
          <w:sz w:val="20"/>
          <w:szCs w:val="20"/>
        </w:rPr>
        <w:t xml:space="preserve"> $4700</w:t>
      </w:r>
      <w:r w:rsidR="00704098" w:rsidRPr="00D2222C">
        <w:rPr>
          <w:rFonts w:ascii="Cambria" w:hAnsi="Cambria"/>
          <w:sz w:val="20"/>
          <w:szCs w:val="20"/>
        </w:rPr>
        <w:t xml:space="preserve"> in a mari</w:t>
      </w:r>
      <w:r w:rsidR="008414A3" w:rsidRPr="00D2222C">
        <w:rPr>
          <w:rFonts w:ascii="Cambria" w:hAnsi="Cambria"/>
          <w:sz w:val="20"/>
          <w:szCs w:val="20"/>
        </w:rPr>
        <w:t>j</w:t>
      </w:r>
      <w:r w:rsidR="00704098" w:rsidRPr="00D2222C">
        <w:rPr>
          <w:rFonts w:ascii="Cambria" w:hAnsi="Cambria"/>
          <w:sz w:val="20"/>
          <w:szCs w:val="20"/>
        </w:rPr>
        <w:t>uana deal</w:t>
      </w:r>
      <w:r w:rsidRPr="00D2222C">
        <w:rPr>
          <w:rFonts w:ascii="Cambria" w:hAnsi="Cambria"/>
          <w:sz w:val="20"/>
          <w:szCs w:val="20"/>
        </w:rPr>
        <w:t xml:space="preserve">. On </w:t>
      </w:r>
      <w:r w:rsidR="000A3276" w:rsidRPr="00D2222C">
        <w:rPr>
          <w:rFonts w:ascii="Cambria" w:hAnsi="Cambria"/>
          <w:sz w:val="20"/>
          <w:szCs w:val="20"/>
        </w:rPr>
        <w:t xml:space="preserve">the evening of </w:t>
      </w:r>
      <w:r w:rsidRPr="00D2222C">
        <w:rPr>
          <w:rFonts w:ascii="Cambria" w:hAnsi="Cambria"/>
          <w:sz w:val="20"/>
          <w:szCs w:val="20"/>
        </w:rPr>
        <w:t>September 24, 1994, Hall, Beckley, Webster</w:t>
      </w:r>
      <w:r w:rsidR="000A3276" w:rsidRPr="00D2222C">
        <w:rPr>
          <w:rFonts w:ascii="Cambria" w:hAnsi="Cambria"/>
          <w:sz w:val="20"/>
          <w:szCs w:val="20"/>
        </w:rPr>
        <w:t xml:space="preserve"> and D. Hall</w:t>
      </w:r>
      <w:r w:rsidR="00A36E16" w:rsidRPr="00D2222C">
        <w:rPr>
          <w:rFonts w:ascii="Cambria" w:hAnsi="Cambria"/>
          <w:sz w:val="20"/>
          <w:szCs w:val="20"/>
        </w:rPr>
        <w:t xml:space="preserve"> (Orland</w:t>
      </w:r>
      <w:r w:rsidR="000A3276" w:rsidRPr="00D2222C">
        <w:rPr>
          <w:rFonts w:ascii="Cambria" w:hAnsi="Cambria"/>
          <w:sz w:val="20"/>
          <w:szCs w:val="20"/>
        </w:rPr>
        <w:t>o Cordia Hall’s brother)</w:t>
      </w:r>
      <w:r w:rsidRPr="00D2222C">
        <w:rPr>
          <w:rFonts w:ascii="Cambria" w:hAnsi="Cambria"/>
          <w:sz w:val="20"/>
          <w:szCs w:val="20"/>
        </w:rPr>
        <w:t xml:space="preserve"> approached </w:t>
      </w:r>
      <w:r w:rsidR="00E753FA" w:rsidRPr="00D2222C">
        <w:rPr>
          <w:rFonts w:ascii="Cambria" w:hAnsi="Cambria"/>
          <w:sz w:val="20"/>
          <w:szCs w:val="20"/>
        </w:rPr>
        <w:t>Vitalis and N. Rene’s</w:t>
      </w:r>
      <w:r w:rsidRPr="00D2222C">
        <w:rPr>
          <w:rFonts w:ascii="Cambria" w:hAnsi="Cambria"/>
          <w:sz w:val="20"/>
          <w:szCs w:val="20"/>
        </w:rPr>
        <w:t xml:space="preserve"> apartment </w:t>
      </w:r>
      <w:r w:rsidR="00A36E16" w:rsidRPr="00D2222C">
        <w:rPr>
          <w:rFonts w:ascii="Cambria" w:hAnsi="Cambria"/>
          <w:sz w:val="20"/>
          <w:szCs w:val="20"/>
        </w:rPr>
        <w:t>in Arlington, Texas</w:t>
      </w:r>
      <w:r w:rsidRPr="00D2222C">
        <w:rPr>
          <w:rFonts w:ascii="Cambria" w:hAnsi="Cambria"/>
          <w:sz w:val="20"/>
          <w:szCs w:val="20"/>
        </w:rPr>
        <w:t xml:space="preserve">. The occupant of the apartment, Lisa Rene, N. Rene's sixteen-year-old sister, refused to let them in and called her sister and 911. Webster and D. Hall </w:t>
      </w:r>
      <w:r w:rsidR="000A3276" w:rsidRPr="00D2222C">
        <w:rPr>
          <w:rFonts w:ascii="Cambria" w:hAnsi="Cambria"/>
          <w:sz w:val="20"/>
          <w:szCs w:val="20"/>
        </w:rPr>
        <w:t xml:space="preserve">shattered </w:t>
      </w:r>
      <w:r w:rsidRPr="00D2222C">
        <w:rPr>
          <w:rFonts w:ascii="Cambria" w:hAnsi="Cambria"/>
          <w:sz w:val="20"/>
          <w:szCs w:val="20"/>
        </w:rPr>
        <w:t xml:space="preserve">a sliding glass door on the patio with his baseball bat, tackled Lisa Rene, and dragged her to the car. </w:t>
      </w:r>
      <w:r w:rsidR="00A36E16" w:rsidRPr="00D2222C">
        <w:rPr>
          <w:rFonts w:ascii="Cambria" w:hAnsi="Cambria"/>
          <w:sz w:val="20"/>
          <w:szCs w:val="20"/>
        </w:rPr>
        <w:t xml:space="preserve">She was taken to a motel in Arkansas </w:t>
      </w:r>
      <w:r w:rsidR="00C14557" w:rsidRPr="00D2222C">
        <w:rPr>
          <w:rFonts w:ascii="Cambria" w:hAnsi="Cambria"/>
          <w:sz w:val="20"/>
          <w:szCs w:val="20"/>
        </w:rPr>
        <w:t xml:space="preserve">were she was repeatedly gang raped. </w:t>
      </w:r>
      <w:r w:rsidR="000517B2" w:rsidRPr="00D2222C">
        <w:rPr>
          <w:rFonts w:ascii="Cambria" w:hAnsi="Cambria"/>
          <w:sz w:val="20"/>
          <w:szCs w:val="20"/>
        </w:rPr>
        <w:t>On September 26, 1994, they drove Lisa Rene to Byrd Lake Park, took turns hitting her with a shovel in the head</w:t>
      </w:r>
      <w:r w:rsidR="00E753FA" w:rsidRPr="00D2222C">
        <w:rPr>
          <w:rFonts w:ascii="Cambria" w:hAnsi="Cambria"/>
          <w:sz w:val="20"/>
          <w:szCs w:val="20"/>
        </w:rPr>
        <w:t xml:space="preserve"> and</w:t>
      </w:r>
      <w:r w:rsidR="000517B2" w:rsidRPr="00D2222C">
        <w:rPr>
          <w:rFonts w:ascii="Cambria" w:hAnsi="Cambria"/>
          <w:sz w:val="20"/>
          <w:szCs w:val="20"/>
        </w:rPr>
        <w:t xml:space="preserve"> dragged her into a grave</w:t>
      </w:r>
      <w:r w:rsidR="002E35D7" w:rsidRPr="00D2222C">
        <w:rPr>
          <w:rFonts w:ascii="Cambria" w:hAnsi="Cambria"/>
          <w:sz w:val="20"/>
          <w:szCs w:val="20"/>
        </w:rPr>
        <w:t xml:space="preserve"> they had previously dug</w:t>
      </w:r>
      <w:r w:rsidR="00E753FA" w:rsidRPr="00D2222C">
        <w:rPr>
          <w:rFonts w:ascii="Cambria" w:hAnsi="Cambria"/>
          <w:sz w:val="20"/>
          <w:szCs w:val="20"/>
        </w:rPr>
        <w:t>. Then they</w:t>
      </w:r>
      <w:r w:rsidR="002E35D7" w:rsidRPr="00D2222C">
        <w:rPr>
          <w:rFonts w:ascii="Cambria" w:hAnsi="Cambria"/>
          <w:sz w:val="20"/>
          <w:szCs w:val="20"/>
        </w:rPr>
        <w:t xml:space="preserve"> </w:t>
      </w:r>
      <w:r w:rsidR="000517B2" w:rsidRPr="00D2222C">
        <w:rPr>
          <w:rFonts w:ascii="Cambria" w:hAnsi="Cambria"/>
          <w:sz w:val="20"/>
          <w:szCs w:val="20"/>
        </w:rPr>
        <w:t>covered her with gasoline and shoveled dirt back into the grave.</w:t>
      </w:r>
      <w:r w:rsidR="002E35D7" w:rsidRPr="00D2222C">
        <w:rPr>
          <w:rStyle w:val="FootnoteReference"/>
          <w:rFonts w:ascii="Cambria" w:hAnsi="Cambria"/>
          <w:sz w:val="20"/>
          <w:szCs w:val="20"/>
        </w:rPr>
        <w:footnoteReference w:id="9"/>
      </w:r>
      <w:r w:rsidR="000517B2" w:rsidRPr="00D2222C">
        <w:rPr>
          <w:rFonts w:ascii="Cambria" w:hAnsi="Cambria"/>
          <w:sz w:val="20"/>
          <w:szCs w:val="20"/>
        </w:rPr>
        <w:t xml:space="preserve"> </w:t>
      </w:r>
    </w:p>
    <w:p w14:paraId="4EF86129" w14:textId="77777777" w:rsidR="002E35D7" w:rsidRPr="00D2222C" w:rsidRDefault="002E35D7" w:rsidP="009E38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rPr>
      </w:pPr>
    </w:p>
    <w:p w14:paraId="29B44B05" w14:textId="77777777" w:rsidR="00E753FA" w:rsidRPr="00D2222C" w:rsidRDefault="000517B2"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 xml:space="preserve">On September 29, 1994, D. Hall, Beckley, and Webster were arrested. On September 30, 1994, </w:t>
      </w:r>
      <w:r w:rsidR="000764E3" w:rsidRPr="00D2222C">
        <w:rPr>
          <w:rFonts w:ascii="Cambria" w:hAnsi="Cambria"/>
          <w:sz w:val="20"/>
          <w:szCs w:val="20"/>
        </w:rPr>
        <w:t xml:space="preserve">Mr. </w:t>
      </w:r>
      <w:r w:rsidRPr="00D2222C">
        <w:rPr>
          <w:rFonts w:ascii="Cambria" w:hAnsi="Cambria"/>
          <w:sz w:val="20"/>
          <w:szCs w:val="20"/>
        </w:rPr>
        <w:t xml:space="preserve">Hall surrendered to Pine Bluff authorities. On the advice of counsel, he did not give a statement at the time of his arrest, but indicated that he would talk with law enforcement agents after he was transported to Texas. On </w:t>
      </w:r>
      <w:r w:rsidRPr="00D2222C">
        <w:rPr>
          <w:rFonts w:ascii="Cambria" w:hAnsi="Cambria"/>
          <w:sz w:val="20"/>
          <w:szCs w:val="20"/>
        </w:rPr>
        <w:lastRenderedPageBreak/>
        <w:t xml:space="preserve">October 5, 1994, following his transfer to the Arlington County jail, </w:t>
      </w:r>
      <w:r w:rsidR="000764E3" w:rsidRPr="00D2222C">
        <w:rPr>
          <w:rFonts w:ascii="Cambria" w:hAnsi="Cambria"/>
          <w:sz w:val="20"/>
          <w:szCs w:val="20"/>
        </w:rPr>
        <w:t xml:space="preserve">Mr. </w:t>
      </w:r>
      <w:r w:rsidRPr="00D2222C">
        <w:rPr>
          <w:rFonts w:ascii="Cambria" w:hAnsi="Cambria"/>
          <w:sz w:val="20"/>
          <w:szCs w:val="20"/>
        </w:rPr>
        <w:t>Hall gave a written statement in which he substantially implicated himself in the kidnapping and murder.</w:t>
      </w:r>
      <w:r w:rsidR="00BE0098" w:rsidRPr="00D2222C">
        <w:rPr>
          <w:rStyle w:val="FootnoteReference"/>
          <w:rFonts w:ascii="Cambria" w:hAnsi="Cambria"/>
          <w:sz w:val="20"/>
          <w:szCs w:val="20"/>
        </w:rPr>
        <w:footnoteReference w:id="10"/>
      </w:r>
      <w:r w:rsidR="000764E3" w:rsidRPr="00D2222C">
        <w:rPr>
          <w:rFonts w:ascii="Cambria" w:hAnsi="Cambria"/>
          <w:sz w:val="20"/>
          <w:szCs w:val="20"/>
        </w:rPr>
        <w:t xml:space="preserve"> </w:t>
      </w:r>
    </w:p>
    <w:p w14:paraId="04AED297" w14:textId="77777777" w:rsidR="00E753FA" w:rsidRPr="00D2222C" w:rsidRDefault="00E753FA" w:rsidP="009E3847">
      <w:pPr>
        <w:pStyle w:val="ListParagraph"/>
        <w:rPr>
          <w:sz w:val="20"/>
          <w:szCs w:val="20"/>
        </w:rPr>
      </w:pPr>
    </w:p>
    <w:p w14:paraId="41D1A12E" w14:textId="77777777" w:rsidR="00315905" w:rsidRPr="00D2222C" w:rsidRDefault="000517B2"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 xml:space="preserve">On October 26, 1994, the United States District Court for the Northern District of Texas </w:t>
      </w:r>
      <w:r w:rsidR="00D63233" w:rsidRPr="00D2222C">
        <w:rPr>
          <w:rFonts w:ascii="Cambria" w:hAnsi="Cambria"/>
          <w:sz w:val="20"/>
          <w:szCs w:val="20"/>
        </w:rPr>
        <w:t xml:space="preserve">(“the district court”) </w:t>
      </w:r>
      <w:r w:rsidR="000764E3" w:rsidRPr="00D2222C">
        <w:rPr>
          <w:rFonts w:ascii="Cambria" w:hAnsi="Cambria"/>
          <w:sz w:val="20"/>
          <w:szCs w:val="20"/>
        </w:rPr>
        <w:t xml:space="preserve">charged </w:t>
      </w:r>
      <w:r w:rsidR="00E753FA" w:rsidRPr="00D2222C">
        <w:rPr>
          <w:rFonts w:ascii="Cambria" w:hAnsi="Cambria"/>
          <w:sz w:val="20"/>
          <w:szCs w:val="20"/>
        </w:rPr>
        <w:t>Mr. Hall and the four other persons involved</w:t>
      </w:r>
      <w:r w:rsidR="000764E3" w:rsidRPr="00D2222C">
        <w:rPr>
          <w:rFonts w:ascii="Cambria" w:hAnsi="Cambria"/>
          <w:sz w:val="20"/>
          <w:szCs w:val="20"/>
        </w:rPr>
        <w:t xml:space="preserve"> with</w:t>
      </w:r>
      <w:r w:rsidRPr="00D2222C">
        <w:rPr>
          <w:rFonts w:ascii="Cambria" w:hAnsi="Cambria"/>
          <w:sz w:val="20"/>
          <w:szCs w:val="20"/>
        </w:rPr>
        <w:t xml:space="preserve"> kidnapping.</w:t>
      </w:r>
      <w:r w:rsidR="000764E3" w:rsidRPr="00D2222C">
        <w:rPr>
          <w:rStyle w:val="FootnoteReference"/>
          <w:rFonts w:ascii="Cambria" w:hAnsi="Cambria"/>
          <w:sz w:val="20"/>
          <w:szCs w:val="20"/>
        </w:rPr>
        <w:footnoteReference w:id="11"/>
      </w:r>
      <w:r w:rsidRPr="00D2222C">
        <w:rPr>
          <w:rFonts w:ascii="Cambria" w:hAnsi="Cambria"/>
          <w:sz w:val="20"/>
          <w:szCs w:val="20"/>
        </w:rPr>
        <w:t xml:space="preserve"> </w:t>
      </w:r>
      <w:r w:rsidR="00315905" w:rsidRPr="00D2222C">
        <w:rPr>
          <w:rFonts w:ascii="Cambria" w:hAnsi="Cambria"/>
          <w:sz w:val="20"/>
          <w:szCs w:val="20"/>
        </w:rPr>
        <w:t xml:space="preserve">On November 4, 1994, a six-count superseding indictment was returned, charging Mr. Hall and the other four co-defendants with kidnapping in which a death occurred, conspiracy to commit kidnapping, traveling in interstate commerce with intent to promote the possession of marijuana with intent to distribute, using a telephone to promote the unlawful activity of extortion, traveling in interstate commerce with intent to promote extortion, and using and carrying a firearm during a crime of violence. </w:t>
      </w:r>
    </w:p>
    <w:p w14:paraId="22212FA3" w14:textId="77777777" w:rsidR="00315905" w:rsidRPr="00D2222C" w:rsidRDefault="00315905" w:rsidP="009E3847">
      <w:pPr>
        <w:pStyle w:val="ListParagraph"/>
        <w:rPr>
          <w:sz w:val="20"/>
          <w:szCs w:val="20"/>
        </w:rPr>
      </w:pPr>
    </w:p>
    <w:p w14:paraId="6E2D5674" w14:textId="77777777" w:rsidR="00E53E5E" w:rsidRPr="00D2222C" w:rsidRDefault="00E53E5E"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 xml:space="preserve">On October 28, 1994, Mark Daniel was appointed to represent Mr. Hall and on January 6, 1995, Michael Heiskell was appointed as co-counsel. </w:t>
      </w:r>
      <w:r w:rsidR="001577B2" w:rsidRPr="00D2222C">
        <w:rPr>
          <w:rFonts w:ascii="Cambria" w:hAnsi="Cambria"/>
          <w:sz w:val="20"/>
          <w:szCs w:val="20"/>
        </w:rPr>
        <w:t xml:space="preserve">On February 23, 1995, the government filed its notice of intent to seek the death penalty against Mr. Hall pursuant to the Federal Death Penalty Act of 1994 (FDPA). </w:t>
      </w:r>
      <w:r w:rsidRPr="00D2222C">
        <w:rPr>
          <w:rFonts w:ascii="Cambria" w:hAnsi="Cambria"/>
          <w:sz w:val="20"/>
          <w:szCs w:val="20"/>
        </w:rPr>
        <w:t>On March 8, 1995, the</w:t>
      </w:r>
      <w:r w:rsidR="001577B2" w:rsidRPr="00D2222C">
        <w:rPr>
          <w:rFonts w:ascii="Cambria" w:hAnsi="Cambria"/>
          <w:sz w:val="20"/>
          <w:szCs w:val="20"/>
        </w:rPr>
        <w:t xml:space="preserve"> defense</w:t>
      </w:r>
      <w:r w:rsidRPr="00D2222C">
        <w:rPr>
          <w:rFonts w:ascii="Cambria" w:hAnsi="Cambria"/>
          <w:sz w:val="20"/>
          <w:szCs w:val="20"/>
        </w:rPr>
        <w:t xml:space="preserve"> attorneys filed a motion to withdraw from their representation, </w:t>
      </w:r>
      <w:r w:rsidR="008414A3" w:rsidRPr="00D2222C">
        <w:rPr>
          <w:rFonts w:ascii="Cambria" w:hAnsi="Cambria"/>
          <w:sz w:val="20"/>
          <w:szCs w:val="20"/>
        </w:rPr>
        <w:t>which</w:t>
      </w:r>
      <w:r w:rsidRPr="00D2222C">
        <w:rPr>
          <w:rFonts w:ascii="Cambria" w:hAnsi="Cambria"/>
          <w:sz w:val="20"/>
          <w:szCs w:val="20"/>
        </w:rPr>
        <w:t xml:space="preserve"> was granted by the </w:t>
      </w:r>
      <w:r w:rsidR="00F267BE" w:rsidRPr="00D2222C">
        <w:rPr>
          <w:rFonts w:ascii="Cambria" w:hAnsi="Cambria"/>
          <w:sz w:val="20"/>
          <w:szCs w:val="20"/>
        </w:rPr>
        <w:t>Court. Jeff</w:t>
      </w:r>
      <w:r w:rsidR="00315905" w:rsidRPr="00D2222C">
        <w:rPr>
          <w:rFonts w:ascii="Cambria" w:hAnsi="Cambria"/>
          <w:sz w:val="20"/>
          <w:szCs w:val="20"/>
        </w:rPr>
        <w:t xml:space="preserve"> Kearney and Michael Ware were </w:t>
      </w:r>
      <w:r w:rsidR="00F267BE" w:rsidRPr="00D2222C">
        <w:rPr>
          <w:rFonts w:ascii="Cambria" w:hAnsi="Cambria"/>
          <w:sz w:val="20"/>
          <w:szCs w:val="20"/>
        </w:rPr>
        <w:t>appointed as new counsel</w:t>
      </w:r>
      <w:r w:rsidR="00315905" w:rsidRPr="00D2222C">
        <w:rPr>
          <w:rFonts w:ascii="Cambria" w:hAnsi="Cambria"/>
          <w:sz w:val="20"/>
          <w:szCs w:val="20"/>
        </w:rPr>
        <w:t xml:space="preserve"> on March 21, 1995</w:t>
      </w:r>
      <w:r w:rsidR="00F267BE" w:rsidRPr="00D2222C">
        <w:rPr>
          <w:rFonts w:ascii="Cambria" w:hAnsi="Cambria"/>
          <w:sz w:val="20"/>
          <w:szCs w:val="20"/>
        </w:rPr>
        <w:t>.</w:t>
      </w:r>
      <w:r w:rsidR="00F267BE" w:rsidRPr="00D2222C">
        <w:rPr>
          <w:rStyle w:val="FootnoteReference"/>
          <w:rFonts w:ascii="Cambria" w:hAnsi="Cambria"/>
          <w:sz w:val="20"/>
          <w:szCs w:val="20"/>
        </w:rPr>
        <w:footnoteReference w:id="12"/>
      </w:r>
      <w:r w:rsidR="004F16E8" w:rsidRPr="00D2222C">
        <w:rPr>
          <w:rFonts w:ascii="Cambria" w:hAnsi="Cambria"/>
          <w:sz w:val="20"/>
          <w:szCs w:val="20"/>
        </w:rPr>
        <w:t xml:space="preserve"> </w:t>
      </w:r>
      <w:r w:rsidR="00E753FA" w:rsidRPr="00D2222C">
        <w:rPr>
          <w:rFonts w:ascii="Cambria" w:hAnsi="Cambria"/>
          <w:sz w:val="20"/>
          <w:szCs w:val="20"/>
        </w:rPr>
        <w:t>T</w:t>
      </w:r>
      <w:r w:rsidR="004F16E8" w:rsidRPr="00D2222C">
        <w:rPr>
          <w:rFonts w:ascii="Cambria" w:hAnsi="Cambria"/>
          <w:sz w:val="20"/>
          <w:szCs w:val="20"/>
        </w:rPr>
        <w:t xml:space="preserve">he defense attorneys made a pre-trial motion to dismiss the government’s notice to seek the death penalty because of racial discrimination, along with a </w:t>
      </w:r>
      <w:r w:rsidR="008414A3" w:rsidRPr="00D2222C">
        <w:rPr>
          <w:rFonts w:ascii="Cambria" w:hAnsi="Cambria"/>
          <w:sz w:val="20"/>
          <w:szCs w:val="20"/>
        </w:rPr>
        <w:t xml:space="preserve">discovery </w:t>
      </w:r>
      <w:r w:rsidR="004F16E8" w:rsidRPr="00D2222C">
        <w:rPr>
          <w:rFonts w:ascii="Cambria" w:hAnsi="Cambria"/>
          <w:sz w:val="20"/>
          <w:szCs w:val="20"/>
        </w:rPr>
        <w:t xml:space="preserve">request for information regarding the government’s decision-making in death-penalty cases. The </w:t>
      </w:r>
      <w:r w:rsidR="00D63233" w:rsidRPr="00D2222C">
        <w:rPr>
          <w:rFonts w:ascii="Cambria" w:hAnsi="Cambria"/>
          <w:sz w:val="20"/>
          <w:szCs w:val="20"/>
        </w:rPr>
        <w:t>district court</w:t>
      </w:r>
      <w:r w:rsidR="004F16E8" w:rsidRPr="00D2222C">
        <w:rPr>
          <w:rFonts w:ascii="Cambria" w:hAnsi="Cambria"/>
          <w:sz w:val="20"/>
          <w:szCs w:val="20"/>
        </w:rPr>
        <w:t xml:space="preserve"> denied the motion and the discovery request.</w:t>
      </w:r>
      <w:r w:rsidR="004F16E8" w:rsidRPr="00D2222C">
        <w:rPr>
          <w:rStyle w:val="FootnoteReference"/>
          <w:rFonts w:ascii="Cambria" w:hAnsi="Cambria"/>
          <w:sz w:val="20"/>
          <w:szCs w:val="20"/>
        </w:rPr>
        <w:footnoteReference w:id="13"/>
      </w:r>
    </w:p>
    <w:p w14:paraId="5C5AA2F7" w14:textId="77777777" w:rsidR="000764E3" w:rsidRPr="00D2222C" w:rsidRDefault="000764E3" w:rsidP="009E3847">
      <w:pPr>
        <w:pStyle w:val="ListParagraph"/>
        <w:rPr>
          <w:sz w:val="20"/>
          <w:szCs w:val="20"/>
        </w:rPr>
      </w:pPr>
    </w:p>
    <w:p w14:paraId="1C2ABD44" w14:textId="77777777" w:rsidR="0023061B" w:rsidRPr="00D2222C" w:rsidRDefault="000764E3"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 xml:space="preserve">On April 6, 1995, the district court granted </w:t>
      </w:r>
      <w:r w:rsidR="00D31A13" w:rsidRPr="00D2222C">
        <w:rPr>
          <w:rFonts w:ascii="Cambria" w:hAnsi="Cambria"/>
          <w:sz w:val="20"/>
          <w:szCs w:val="20"/>
        </w:rPr>
        <w:t xml:space="preserve">Mr. </w:t>
      </w:r>
      <w:r w:rsidRPr="00D2222C">
        <w:rPr>
          <w:rFonts w:ascii="Cambria" w:hAnsi="Cambria"/>
          <w:sz w:val="20"/>
          <w:szCs w:val="20"/>
        </w:rPr>
        <w:t>Hall's motion to sever his trial from that of his co</w:t>
      </w:r>
      <w:r w:rsidR="00E753FA" w:rsidRPr="00D2222C">
        <w:rPr>
          <w:rFonts w:ascii="Cambria" w:hAnsi="Cambria"/>
          <w:sz w:val="20"/>
          <w:szCs w:val="20"/>
        </w:rPr>
        <w:t>-</w:t>
      </w:r>
      <w:r w:rsidRPr="00D2222C">
        <w:rPr>
          <w:rFonts w:ascii="Cambria" w:hAnsi="Cambria"/>
          <w:sz w:val="20"/>
          <w:szCs w:val="20"/>
        </w:rPr>
        <w:t>defendants, and trial commenced on October 2, 1995.</w:t>
      </w:r>
      <w:r w:rsidRPr="00D2222C">
        <w:rPr>
          <w:rStyle w:val="FootnoteReference"/>
          <w:rFonts w:ascii="Cambria" w:hAnsi="Cambria"/>
          <w:sz w:val="20"/>
          <w:szCs w:val="20"/>
        </w:rPr>
        <w:footnoteReference w:id="14"/>
      </w:r>
      <w:r w:rsidR="00315905" w:rsidRPr="00D2222C">
        <w:rPr>
          <w:rFonts w:ascii="Cambria" w:hAnsi="Cambria"/>
          <w:sz w:val="20"/>
          <w:szCs w:val="20"/>
        </w:rPr>
        <w:t xml:space="preserve"> </w:t>
      </w:r>
      <w:r w:rsidR="00EB55C1" w:rsidRPr="00D2222C">
        <w:rPr>
          <w:rFonts w:ascii="Cambria" w:hAnsi="Cambria"/>
          <w:sz w:val="20"/>
          <w:szCs w:val="20"/>
        </w:rPr>
        <w:t xml:space="preserve">In a memorandum sent </w:t>
      </w:r>
      <w:r w:rsidR="00EB55C1" w:rsidRPr="00D2222C">
        <w:rPr>
          <w:rFonts w:asciiTheme="majorHAnsi" w:hAnsiTheme="majorHAnsi" w:cs="Arial"/>
          <w:sz w:val="20"/>
          <w:szCs w:val="20"/>
        </w:rPr>
        <w:t>to trial counsel o</w:t>
      </w:r>
      <w:r w:rsidR="00EB55C1" w:rsidRPr="00D2222C">
        <w:rPr>
          <w:rFonts w:ascii="Cambria" w:hAnsi="Cambria"/>
          <w:sz w:val="20"/>
          <w:szCs w:val="20"/>
        </w:rPr>
        <w:t xml:space="preserve">n October 6, 1995, Tena Francis, </w:t>
      </w:r>
      <w:r w:rsidR="00EB55C1" w:rsidRPr="00D2222C">
        <w:rPr>
          <w:rFonts w:asciiTheme="majorHAnsi" w:hAnsiTheme="majorHAnsi" w:cs="Arial"/>
          <w:sz w:val="20"/>
          <w:szCs w:val="20"/>
        </w:rPr>
        <w:t>mitigati</w:t>
      </w:r>
      <w:r w:rsidR="00C674CD" w:rsidRPr="00D2222C">
        <w:rPr>
          <w:rFonts w:asciiTheme="majorHAnsi" w:hAnsiTheme="majorHAnsi" w:cs="Arial"/>
          <w:sz w:val="20"/>
          <w:szCs w:val="20"/>
        </w:rPr>
        <w:t>on specialist appointed by the c</w:t>
      </w:r>
      <w:r w:rsidR="00EB55C1" w:rsidRPr="00D2222C">
        <w:rPr>
          <w:rFonts w:asciiTheme="majorHAnsi" w:hAnsiTheme="majorHAnsi" w:cs="Arial"/>
          <w:sz w:val="20"/>
          <w:szCs w:val="20"/>
        </w:rPr>
        <w:t>ourt, stated th</w:t>
      </w:r>
      <w:r w:rsidR="0023061B" w:rsidRPr="00D2222C">
        <w:rPr>
          <w:rFonts w:asciiTheme="majorHAnsi" w:hAnsiTheme="majorHAnsi" w:cs="Arial"/>
          <w:sz w:val="20"/>
          <w:szCs w:val="20"/>
        </w:rPr>
        <w:t>e following:</w:t>
      </w:r>
    </w:p>
    <w:p w14:paraId="2EABA3E2" w14:textId="77777777" w:rsidR="0023061B" w:rsidRPr="00D2222C" w:rsidRDefault="0023061B" w:rsidP="00090720">
      <w:pPr>
        <w:pStyle w:val="ListParagraph"/>
        <w:ind w:firstLine="720"/>
        <w:rPr>
          <w:sz w:val="20"/>
          <w:szCs w:val="20"/>
        </w:rPr>
      </w:pPr>
    </w:p>
    <w:p w14:paraId="09BAE833" w14:textId="77777777" w:rsidR="0023061B" w:rsidRPr="00D2222C" w:rsidRDefault="0023061B"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firstLine="720"/>
        <w:jc w:val="both"/>
        <w:textAlignment w:val="baseline"/>
        <w:rPr>
          <w:rFonts w:ascii="Cambria" w:hAnsi="Cambria"/>
          <w:sz w:val="20"/>
          <w:szCs w:val="20"/>
        </w:rPr>
      </w:pPr>
      <w:r w:rsidRPr="00D2222C">
        <w:rPr>
          <w:rFonts w:ascii="Cambria" w:hAnsi="Cambria"/>
          <w:sz w:val="20"/>
          <w:szCs w:val="20"/>
        </w:rPr>
        <w:t>“Little or no investigation has been conducted concerning the four co-defendants […] The two jailhouse informants […] must be investigated […] this[…] will be a critical aspect of the government’s punishment phase […] The government has listed 15 “reputation” witnesses to date. Each witnesses must be interviewed [</w:t>
      </w:r>
      <w:r w:rsidR="005456B2" w:rsidRPr="00D2222C">
        <w:rPr>
          <w:rFonts w:ascii="Cambria" w:hAnsi="Cambria"/>
          <w:sz w:val="20"/>
          <w:szCs w:val="20"/>
        </w:rPr>
        <w:t>…]</w:t>
      </w:r>
    </w:p>
    <w:p w14:paraId="626AB0DC" w14:textId="77777777" w:rsidR="005456B2" w:rsidRPr="00D2222C" w:rsidRDefault="005456B2"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firstLine="720"/>
        <w:jc w:val="both"/>
        <w:textAlignment w:val="baseline"/>
        <w:rPr>
          <w:rFonts w:ascii="Cambria" w:hAnsi="Cambria"/>
          <w:sz w:val="20"/>
          <w:szCs w:val="20"/>
        </w:rPr>
      </w:pPr>
    </w:p>
    <w:p w14:paraId="320FDAF0" w14:textId="77777777" w:rsidR="005456B2" w:rsidRPr="00D2222C" w:rsidRDefault="005456B2"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firstLine="720"/>
        <w:jc w:val="both"/>
        <w:textAlignment w:val="baseline"/>
        <w:rPr>
          <w:rFonts w:ascii="Cambria" w:hAnsi="Cambria"/>
          <w:sz w:val="20"/>
          <w:szCs w:val="20"/>
        </w:rPr>
      </w:pPr>
      <w:r w:rsidRPr="00D2222C">
        <w:rPr>
          <w:rFonts w:ascii="Cambria" w:hAnsi="Cambria"/>
          <w:sz w:val="20"/>
          <w:szCs w:val="20"/>
        </w:rPr>
        <w:t>The mitigation/social history investigation into the life of Orlando Hall is not complete […] This type of investigation takes time, though, as we […] are dealing with very private and sensitive issues. Gathering the information is only half the job, as the complete social history will then be used by your expert witnesses to complete their evaluation process.</w:t>
      </w:r>
    </w:p>
    <w:p w14:paraId="254EFC0F" w14:textId="77777777" w:rsidR="0023061B" w:rsidRPr="00D2222C" w:rsidRDefault="0023061B"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firstLine="720"/>
        <w:jc w:val="both"/>
        <w:textAlignment w:val="baseline"/>
        <w:rPr>
          <w:rFonts w:asciiTheme="majorHAnsi" w:hAnsiTheme="majorHAnsi" w:cs="Arial"/>
          <w:sz w:val="20"/>
          <w:szCs w:val="20"/>
        </w:rPr>
      </w:pPr>
    </w:p>
    <w:p w14:paraId="6228A13E" w14:textId="77777777" w:rsidR="00547EB7" w:rsidRPr="00D2222C" w:rsidRDefault="00372F8E"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firstLine="720"/>
        <w:jc w:val="both"/>
        <w:textAlignment w:val="baseline"/>
        <w:rPr>
          <w:rFonts w:ascii="Cambria" w:hAnsi="Cambria"/>
          <w:sz w:val="20"/>
          <w:szCs w:val="20"/>
        </w:rPr>
      </w:pPr>
      <w:r w:rsidRPr="00D2222C">
        <w:rPr>
          <w:rFonts w:asciiTheme="majorHAnsi" w:hAnsiTheme="majorHAnsi" w:cs="Arial"/>
          <w:sz w:val="20"/>
          <w:szCs w:val="20"/>
        </w:rPr>
        <w:t>T</w:t>
      </w:r>
      <w:r w:rsidR="00EB55C1" w:rsidRPr="00D2222C">
        <w:rPr>
          <w:rFonts w:asciiTheme="majorHAnsi" w:hAnsiTheme="majorHAnsi" w:cs="Arial"/>
          <w:sz w:val="20"/>
          <w:szCs w:val="20"/>
        </w:rPr>
        <w:t>he initial investigation has led to information that serious domestic violence existed in the family.</w:t>
      </w:r>
      <w:r w:rsidR="004850C2" w:rsidRPr="00D2222C">
        <w:rPr>
          <w:rFonts w:asciiTheme="majorHAnsi" w:hAnsiTheme="majorHAnsi" w:cs="Arial"/>
          <w:sz w:val="20"/>
          <w:szCs w:val="20"/>
        </w:rPr>
        <w:t xml:space="preserve"> The violence between Mr. Hall’s parents often extended to the children</w:t>
      </w:r>
      <w:r w:rsidRPr="00D2222C">
        <w:rPr>
          <w:rFonts w:asciiTheme="majorHAnsi" w:hAnsiTheme="majorHAnsi" w:cs="Arial"/>
          <w:sz w:val="20"/>
          <w:szCs w:val="20"/>
        </w:rPr>
        <w:t xml:space="preserve"> […] </w:t>
      </w:r>
      <w:r w:rsidR="00547EB7" w:rsidRPr="00D2222C">
        <w:rPr>
          <w:rFonts w:ascii="Cambria" w:hAnsi="Cambria"/>
          <w:sz w:val="20"/>
          <w:szCs w:val="20"/>
        </w:rPr>
        <w:t>The extent and effects of this trauma is not yet realized and more information needs to be developed. For the most part, the victims of, and witnesses to, and perpetrators of this abuse have never discussed it outside their family and there has been no counseling for any persons involved. For these reasons, the process of gathering information about Mr. Hall’s childhood is a slow one, as the investigator must first deal with a variety of emotions from the witnesses</w:t>
      </w:r>
      <w:r w:rsidR="00FF05BC" w:rsidRPr="00D2222C">
        <w:rPr>
          <w:rFonts w:ascii="Cambria" w:hAnsi="Cambria"/>
          <w:sz w:val="20"/>
          <w:szCs w:val="20"/>
        </w:rPr>
        <w:t xml:space="preserve"> [</w:t>
      </w:r>
      <w:r w:rsidR="00547EB7" w:rsidRPr="00D2222C">
        <w:rPr>
          <w:rFonts w:ascii="Cambria" w:hAnsi="Cambria"/>
          <w:sz w:val="20"/>
          <w:szCs w:val="20"/>
        </w:rPr>
        <w:t>…</w:t>
      </w:r>
      <w:r w:rsidR="00FF05BC" w:rsidRPr="00D2222C">
        <w:rPr>
          <w:rFonts w:ascii="Cambria" w:hAnsi="Cambria"/>
          <w:sz w:val="20"/>
          <w:szCs w:val="20"/>
        </w:rPr>
        <w:t>]</w:t>
      </w:r>
      <w:r w:rsidR="00547EB7" w:rsidRPr="00D2222C">
        <w:rPr>
          <w:rFonts w:ascii="Cambria" w:hAnsi="Cambria"/>
          <w:sz w:val="20"/>
          <w:szCs w:val="20"/>
        </w:rPr>
        <w:t xml:space="preserve"> in order to elicit the needed information.</w:t>
      </w:r>
      <w:r w:rsidR="00332152" w:rsidRPr="00D2222C">
        <w:rPr>
          <w:rFonts w:ascii="Cambria" w:hAnsi="Cambria"/>
          <w:sz w:val="20"/>
          <w:szCs w:val="20"/>
        </w:rPr>
        <w:t>”</w:t>
      </w:r>
      <w:r w:rsidR="00332152" w:rsidRPr="00D2222C">
        <w:rPr>
          <w:rStyle w:val="FootnoteReference"/>
          <w:rFonts w:ascii="Cambria" w:hAnsi="Cambria"/>
          <w:sz w:val="20"/>
          <w:szCs w:val="20"/>
        </w:rPr>
        <w:footnoteReference w:id="15"/>
      </w:r>
      <w:r w:rsidR="00547EB7" w:rsidRPr="00D2222C">
        <w:rPr>
          <w:rFonts w:ascii="Cambria" w:hAnsi="Cambria"/>
          <w:sz w:val="20"/>
          <w:szCs w:val="20"/>
        </w:rPr>
        <w:t xml:space="preserve"> </w:t>
      </w:r>
    </w:p>
    <w:p w14:paraId="4BBEA08A" w14:textId="77777777" w:rsidR="00EB55C1" w:rsidRPr="00D2222C" w:rsidRDefault="00EB55C1" w:rsidP="00090720">
      <w:pPr>
        <w:pStyle w:val="ListParagraph"/>
        <w:ind w:firstLine="720"/>
        <w:rPr>
          <w:sz w:val="20"/>
          <w:szCs w:val="20"/>
        </w:rPr>
      </w:pPr>
    </w:p>
    <w:p w14:paraId="6B219FE1" w14:textId="77777777" w:rsidR="00AC388E" w:rsidRPr="00D2222C" w:rsidRDefault="00184C6F"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D2222C">
        <w:rPr>
          <w:rFonts w:ascii="Cambria" w:hAnsi="Cambria"/>
          <w:sz w:val="20"/>
          <w:szCs w:val="20"/>
        </w:rPr>
        <w:t>On October 31, 19</w:t>
      </w:r>
      <w:r w:rsidR="009F24AF" w:rsidRPr="00D2222C">
        <w:rPr>
          <w:rFonts w:ascii="Cambria" w:hAnsi="Cambria"/>
          <w:sz w:val="20"/>
          <w:szCs w:val="20"/>
        </w:rPr>
        <w:t xml:space="preserve">95, a jury convicted Mr. Hall of kidnapping in which a death occurred, conspiracy to commit kidnapping, traveling in interstate commerce to promote possession of marijuana with intent to distribute, and carrying a firearm during a crime of violence. After a subsequent punishment hearing, the jury recommended that Mr. Hall receive the death penalty. On February 12, 1996, the </w:t>
      </w:r>
      <w:r w:rsidR="00D63233" w:rsidRPr="00D2222C">
        <w:rPr>
          <w:rFonts w:ascii="Cambria" w:hAnsi="Cambria"/>
          <w:sz w:val="20"/>
          <w:szCs w:val="20"/>
        </w:rPr>
        <w:t>district court</w:t>
      </w:r>
      <w:r w:rsidR="009F24AF" w:rsidRPr="00D2222C">
        <w:rPr>
          <w:rFonts w:ascii="Cambria" w:hAnsi="Cambria"/>
          <w:sz w:val="20"/>
          <w:szCs w:val="20"/>
        </w:rPr>
        <w:t xml:space="preserve"> imposed the death penalty.</w:t>
      </w:r>
      <w:r w:rsidRPr="00D2222C">
        <w:rPr>
          <w:rFonts w:ascii="Cambria" w:hAnsi="Cambria"/>
          <w:sz w:val="20"/>
          <w:szCs w:val="20"/>
        </w:rPr>
        <w:t xml:space="preserve"> The case was appealed to the Fifth Circuit Court of Appeals</w:t>
      </w:r>
      <w:r w:rsidR="003C6480" w:rsidRPr="00D2222C">
        <w:rPr>
          <w:rFonts w:ascii="Cambria" w:hAnsi="Cambria"/>
          <w:sz w:val="20"/>
          <w:szCs w:val="20"/>
        </w:rPr>
        <w:t xml:space="preserve"> (“Fifth Circuit”)</w:t>
      </w:r>
      <w:r w:rsidRPr="00D2222C">
        <w:rPr>
          <w:rFonts w:ascii="Cambria" w:hAnsi="Cambria"/>
          <w:sz w:val="20"/>
          <w:szCs w:val="20"/>
        </w:rPr>
        <w:t>, which</w:t>
      </w:r>
      <w:r w:rsidR="00D5025B" w:rsidRPr="00D2222C">
        <w:rPr>
          <w:rFonts w:ascii="Cambria" w:hAnsi="Cambria"/>
          <w:sz w:val="20"/>
          <w:szCs w:val="20"/>
        </w:rPr>
        <w:t xml:space="preserve"> on August 21, 1998,</w:t>
      </w:r>
      <w:r w:rsidRPr="00D2222C">
        <w:rPr>
          <w:rFonts w:ascii="Cambria" w:hAnsi="Cambria"/>
          <w:sz w:val="20"/>
          <w:szCs w:val="20"/>
        </w:rPr>
        <w:t xml:space="preserve"> affirmed Mr. Hall’s conviction and sentence.</w:t>
      </w:r>
      <w:r w:rsidR="00AC388E" w:rsidRPr="00D2222C">
        <w:rPr>
          <w:rStyle w:val="FootnoteReference"/>
          <w:rFonts w:ascii="Cambria" w:hAnsi="Cambria"/>
          <w:sz w:val="20"/>
          <w:szCs w:val="20"/>
        </w:rPr>
        <w:footnoteReference w:id="16"/>
      </w:r>
      <w:r w:rsidRPr="00D2222C">
        <w:rPr>
          <w:rFonts w:ascii="Cambria" w:hAnsi="Cambria"/>
          <w:sz w:val="20"/>
          <w:szCs w:val="20"/>
        </w:rPr>
        <w:t xml:space="preserve"> </w:t>
      </w:r>
      <w:r w:rsidR="0036346A" w:rsidRPr="00D2222C">
        <w:rPr>
          <w:rFonts w:ascii="Cambria" w:hAnsi="Cambria"/>
          <w:sz w:val="20"/>
          <w:szCs w:val="20"/>
        </w:rPr>
        <w:t xml:space="preserve">Mr. Hall filed a petition for rehearing, which was denied on </w:t>
      </w:r>
      <w:r w:rsidR="0036346A" w:rsidRPr="00D2222C">
        <w:rPr>
          <w:rFonts w:ascii="Cambria" w:hAnsi="Cambria"/>
          <w:sz w:val="20"/>
          <w:szCs w:val="20"/>
        </w:rPr>
        <w:lastRenderedPageBreak/>
        <w:t>October 1, 1998. H</w:t>
      </w:r>
      <w:r w:rsidR="009C1691" w:rsidRPr="00D2222C">
        <w:rPr>
          <w:rFonts w:ascii="Cambria" w:hAnsi="Cambria"/>
          <w:sz w:val="20"/>
          <w:szCs w:val="20"/>
        </w:rPr>
        <w:t>e</w:t>
      </w:r>
      <w:r w:rsidR="0036346A" w:rsidRPr="00D2222C">
        <w:rPr>
          <w:rFonts w:ascii="Cambria" w:hAnsi="Cambria"/>
          <w:sz w:val="20"/>
          <w:szCs w:val="20"/>
        </w:rPr>
        <w:t xml:space="preserve"> then petitioned the </w:t>
      </w:r>
      <w:r w:rsidR="00D63233" w:rsidRPr="00D2222C">
        <w:rPr>
          <w:rFonts w:ascii="Cambria" w:hAnsi="Cambria"/>
          <w:sz w:val="20"/>
          <w:szCs w:val="20"/>
        </w:rPr>
        <w:t xml:space="preserve">United States </w:t>
      </w:r>
      <w:r w:rsidR="0036346A" w:rsidRPr="00D2222C">
        <w:rPr>
          <w:rFonts w:ascii="Cambria" w:hAnsi="Cambria"/>
          <w:sz w:val="20"/>
          <w:szCs w:val="20"/>
        </w:rPr>
        <w:t xml:space="preserve">Supreme Court for a writ of </w:t>
      </w:r>
      <w:r w:rsidR="0036346A" w:rsidRPr="00D2222C">
        <w:rPr>
          <w:rFonts w:ascii="Cambria" w:hAnsi="Cambria"/>
          <w:i/>
          <w:sz w:val="20"/>
          <w:szCs w:val="20"/>
        </w:rPr>
        <w:t>certiorari</w:t>
      </w:r>
      <w:r w:rsidR="0036346A" w:rsidRPr="00D2222C">
        <w:rPr>
          <w:rFonts w:ascii="Cambria" w:hAnsi="Cambria"/>
          <w:sz w:val="20"/>
          <w:szCs w:val="20"/>
        </w:rPr>
        <w:t>, which was denied on May 17, 1999.</w:t>
      </w:r>
      <w:r w:rsidR="009C1691" w:rsidRPr="00D2222C">
        <w:rPr>
          <w:rStyle w:val="FootnoteReference"/>
          <w:rFonts w:ascii="Cambria" w:hAnsi="Cambria"/>
          <w:sz w:val="20"/>
          <w:szCs w:val="20"/>
        </w:rPr>
        <w:footnoteReference w:id="17"/>
      </w:r>
      <w:r w:rsidR="0036346A" w:rsidRPr="00D2222C">
        <w:rPr>
          <w:rFonts w:ascii="Cambria" w:hAnsi="Cambria"/>
          <w:sz w:val="20"/>
          <w:szCs w:val="20"/>
        </w:rPr>
        <w:t xml:space="preserve"> </w:t>
      </w:r>
    </w:p>
    <w:p w14:paraId="03FF5B1A" w14:textId="77777777" w:rsidR="009F24AF" w:rsidRPr="00D2222C" w:rsidRDefault="009F24AF" w:rsidP="00090720">
      <w:pPr>
        <w:pStyle w:val="ListParagraph"/>
        <w:ind w:left="1440" w:hanging="720"/>
        <w:rPr>
          <w:rFonts w:asciiTheme="majorHAnsi" w:hAnsiTheme="majorHAnsi"/>
          <w:b/>
          <w:color w:val="auto"/>
          <w:sz w:val="20"/>
          <w:szCs w:val="20"/>
        </w:rPr>
      </w:pPr>
    </w:p>
    <w:p w14:paraId="76569855" w14:textId="77777777" w:rsidR="00912642" w:rsidRPr="00D2222C" w:rsidRDefault="00912642" w:rsidP="00090720">
      <w:pPr>
        <w:pStyle w:val="Heading2"/>
        <w:numPr>
          <w:ilvl w:val="0"/>
          <w:numId w:val="62"/>
        </w:numPr>
        <w:spacing w:before="0"/>
        <w:ind w:left="1440" w:hanging="720"/>
        <w:rPr>
          <w:color w:val="auto"/>
          <w:sz w:val="20"/>
          <w:szCs w:val="20"/>
        </w:rPr>
      </w:pPr>
      <w:bookmarkStart w:id="7" w:name="_Toc26550923"/>
      <w:r w:rsidRPr="00D2222C">
        <w:rPr>
          <w:color w:val="auto"/>
          <w:sz w:val="20"/>
          <w:szCs w:val="20"/>
        </w:rPr>
        <w:t>Post-conviction proceedings</w:t>
      </w:r>
      <w:bookmarkEnd w:id="7"/>
    </w:p>
    <w:p w14:paraId="731EF54E" w14:textId="77777777" w:rsidR="00E4390D" w:rsidRPr="00D2222C" w:rsidRDefault="00E4390D"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1440" w:hanging="720"/>
        <w:jc w:val="both"/>
        <w:rPr>
          <w:rFonts w:asciiTheme="majorHAnsi" w:hAnsiTheme="majorHAnsi"/>
          <w:sz w:val="20"/>
          <w:szCs w:val="20"/>
        </w:rPr>
      </w:pPr>
    </w:p>
    <w:p w14:paraId="05B59811" w14:textId="77777777" w:rsidR="008A3434" w:rsidRPr="00D2222C" w:rsidRDefault="00507534"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rPr>
          <w:rFonts w:asciiTheme="majorHAnsi" w:hAnsiTheme="majorHAnsi"/>
          <w:sz w:val="20"/>
          <w:szCs w:val="20"/>
        </w:rPr>
      </w:pPr>
      <w:r w:rsidRPr="00D2222C">
        <w:rPr>
          <w:rFonts w:ascii="Cambria" w:hAnsi="Cambria"/>
          <w:sz w:val="20"/>
          <w:szCs w:val="20"/>
        </w:rPr>
        <w:t>Mr. Hall filed an initial motion to vacate his conviction and sentence, pursuant to 28 U.S.C. §</w:t>
      </w:r>
      <w:r w:rsidRPr="00D2222C">
        <w:rPr>
          <w:rFonts w:ascii="Cambria" w:hAnsi="Cambria"/>
          <w:sz w:val="20"/>
          <w:szCs w:val="20"/>
        </w:rPr>
        <w:t> </w:t>
      </w:r>
      <w:r w:rsidRPr="00D2222C">
        <w:rPr>
          <w:rFonts w:ascii="Cambria" w:hAnsi="Cambria"/>
          <w:sz w:val="20"/>
          <w:szCs w:val="20"/>
        </w:rPr>
        <w:t xml:space="preserve">2255, in May 2000. In June 2000, the district court granted </w:t>
      </w:r>
      <w:r w:rsidR="008A3434" w:rsidRPr="00D2222C">
        <w:rPr>
          <w:rFonts w:ascii="Cambria" w:hAnsi="Cambria"/>
          <w:sz w:val="20"/>
          <w:szCs w:val="20"/>
        </w:rPr>
        <w:t>the request</w:t>
      </w:r>
      <w:r w:rsidRPr="00D2222C">
        <w:rPr>
          <w:rFonts w:ascii="Cambria" w:hAnsi="Cambria"/>
          <w:sz w:val="20"/>
          <w:szCs w:val="20"/>
        </w:rPr>
        <w:t xml:space="preserve"> to file a discovery motion. </w:t>
      </w:r>
      <w:r w:rsidR="008A3434" w:rsidRPr="00D2222C">
        <w:rPr>
          <w:rFonts w:ascii="Cambria" w:hAnsi="Cambria"/>
          <w:sz w:val="20"/>
          <w:szCs w:val="20"/>
        </w:rPr>
        <w:t xml:space="preserve">Mr. </w:t>
      </w:r>
      <w:r w:rsidRPr="00D2222C">
        <w:rPr>
          <w:rFonts w:ascii="Cambria" w:hAnsi="Cambria"/>
          <w:sz w:val="20"/>
          <w:szCs w:val="20"/>
        </w:rPr>
        <w:t xml:space="preserve">Hall filed an initial discovery motion in August 2000 and a supplemental discovery motion in May 2001. The district court denied both motions in April 2002. </w:t>
      </w:r>
      <w:r w:rsidR="008A3434" w:rsidRPr="00D2222C">
        <w:rPr>
          <w:rFonts w:ascii="Cambria" w:hAnsi="Cambria"/>
          <w:sz w:val="20"/>
          <w:szCs w:val="20"/>
        </w:rPr>
        <w:t xml:space="preserve">Mr. </w:t>
      </w:r>
      <w:r w:rsidRPr="00D2222C">
        <w:rPr>
          <w:rFonts w:ascii="Cambria" w:hAnsi="Cambria"/>
          <w:sz w:val="20"/>
          <w:szCs w:val="20"/>
        </w:rPr>
        <w:t>Hall then filed a</w:t>
      </w:r>
      <w:r w:rsidR="006112EF" w:rsidRPr="00D2222C">
        <w:rPr>
          <w:rFonts w:ascii="Cambria" w:hAnsi="Cambria"/>
          <w:sz w:val="20"/>
          <w:szCs w:val="20"/>
        </w:rPr>
        <w:t>n amended</w:t>
      </w:r>
      <w:r w:rsidRPr="00D2222C">
        <w:rPr>
          <w:rFonts w:ascii="Cambria" w:hAnsi="Cambria"/>
          <w:sz w:val="20"/>
          <w:szCs w:val="20"/>
        </w:rPr>
        <w:t xml:space="preserve"> motion to vacate in June 2002, and an amended version of this motion to vacate in September 2002. In this second amended motion</w:t>
      </w:r>
      <w:r w:rsidR="008A3434" w:rsidRPr="00D2222C">
        <w:rPr>
          <w:rFonts w:ascii="Cambria" w:hAnsi="Cambria"/>
          <w:sz w:val="20"/>
          <w:szCs w:val="20"/>
        </w:rPr>
        <w:t xml:space="preserve"> he</w:t>
      </w:r>
      <w:r w:rsidRPr="00D2222C">
        <w:rPr>
          <w:rFonts w:ascii="Cambria" w:hAnsi="Cambria"/>
          <w:sz w:val="20"/>
          <w:szCs w:val="20"/>
        </w:rPr>
        <w:t xml:space="preserve"> raised twelve claims for relief from his conviction and sentence. </w:t>
      </w:r>
      <w:r w:rsidR="00180D3C" w:rsidRPr="00D2222C">
        <w:rPr>
          <w:rFonts w:ascii="Cambria" w:hAnsi="Cambria"/>
          <w:sz w:val="20"/>
          <w:szCs w:val="20"/>
        </w:rPr>
        <w:t xml:space="preserve">Mr. Hall </w:t>
      </w:r>
      <w:r w:rsidR="004A3DC4" w:rsidRPr="00D2222C">
        <w:rPr>
          <w:rFonts w:ascii="Cambria" w:hAnsi="Cambria"/>
          <w:sz w:val="20"/>
          <w:szCs w:val="20"/>
        </w:rPr>
        <w:t>claimed</w:t>
      </w:r>
      <w:r w:rsidR="00180D3C" w:rsidRPr="00D2222C">
        <w:rPr>
          <w:rFonts w:ascii="Cambria" w:hAnsi="Cambria"/>
          <w:sz w:val="20"/>
          <w:szCs w:val="20"/>
        </w:rPr>
        <w:t>, among other</w:t>
      </w:r>
      <w:r w:rsidR="008414A3" w:rsidRPr="00D2222C">
        <w:rPr>
          <w:rFonts w:ascii="Cambria" w:hAnsi="Cambria"/>
          <w:sz w:val="20"/>
          <w:szCs w:val="20"/>
        </w:rPr>
        <w:t>s</w:t>
      </w:r>
      <w:r w:rsidR="00180D3C" w:rsidRPr="00D2222C">
        <w:rPr>
          <w:rFonts w:ascii="Cambria" w:hAnsi="Cambria"/>
          <w:sz w:val="20"/>
          <w:szCs w:val="20"/>
        </w:rPr>
        <w:t>, ineffective</w:t>
      </w:r>
      <w:r w:rsidR="008A3434" w:rsidRPr="00D2222C">
        <w:rPr>
          <w:rFonts w:asciiTheme="majorHAnsi" w:hAnsiTheme="majorHAnsi"/>
          <w:sz w:val="20"/>
          <w:szCs w:val="20"/>
        </w:rPr>
        <w:t xml:space="preserve"> assistance of counsel</w:t>
      </w:r>
      <w:r w:rsidR="00180D3C" w:rsidRPr="00D2222C">
        <w:rPr>
          <w:rFonts w:asciiTheme="majorHAnsi" w:hAnsiTheme="majorHAnsi"/>
          <w:sz w:val="20"/>
          <w:szCs w:val="20"/>
        </w:rPr>
        <w:t>; failure</w:t>
      </w:r>
      <w:r w:rsidR="008A3434" w:rsidRPr="00D2222C">
        <w:rPr>
          <w:rFonts w:asciiTheme="majorHAnsi" w:hAnsiTheme="majorHAnsi"/>
          <w:sz w:val="20"/>
          <w:szCs w:val="20"/>
        </w:rPr>
        <w:t xml:space="preserve"> to disclose exculpatory and mitigating information concerning g</w:t>
      </w:r>
      <w:r w:rsidR="00180D3C" w:rsidRPr="00D2222C">
        <w:rPr>
          <w:rFonts w:asciiTheme="majorHAnsi" w:hAnsiTheme="majorHAnsi"/>
          <w:sz w:val="20"/>
          <w:szCs w:val="20"/>
        </w:rPr>
        <w:t>overnment witness Larry Nichols;</w:t>
      </w:r>
      <w:r w:rsidR="008A3434" w:rsidRPr="00D2222C">
        <w:rPr>
          <w:rFonts w:asciiTheme="majorHAnsi" w:hAnsiTheme="majorHAnsi"/>
          <w:sz w:val="20"/>
          <w:szCs w:val="20"/>
        </w:rPr>
        <w:t xml:space="preserve"> </w:t>
      </w:r>
      <w:r w:rsidR="004F2694" w:rsidRPr="00D2222C">
        <w:rPr>
          <w:rFonts w:asciiTheme="majorHAnsi" w:hAnsiTheme="majorHAnsi"/>
          <w:sz w:val="20"/>
          <w:szCs w:val="20"/>
        </w:rPr>
        <w:t xml:space="preserve">and </w:t>
      </w:r>
      <w:r w:rsidR="008A3434" w:rsidRPr="00D2222C">
        <w:rPr>
          <w:rFonts w:asciiTheme="majorHAnsi" w:hAnsiTheme="majorHAnsi"/>
          <w:sz w:val="20"/>
          <w:szCs w:val="20"/>
        </w:rPr>
        <w:t>racially discriminatory effects of the federal capital sentence scheme.</w:t>
      </w:r>
      <w:r w:rsidR="00AC4106" w:rsidRPr="00D2222C">
        <w:rPr>
          <w:rStyle w:val="FootnoteReference"/>
          <w:rFonts w:asciiTheme="majorHAnsi" w:hAnsiTheme="majorHAnsi"/>
          <w:sz w:val="20"/>
          <w:szCs w:val="20"/>
        </w:rPr>
        <w:footnoteReference w:id="18"/>
      </w:r>
    </w:p>
    <w:p w14:paraId="229778DA" w14:textId="77777777" w:rsidR="00C101BC" w:rsidRPr="00D2222C" w:rsidRDefault="00C101BC" w:rsidP="009E38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jc w:val="both"/>
        <w:rPr>
          <w:rFonts w:ascii="Cambria" w:hAnsi="Cambria"/>
          <w:sz w:val="20"/>
          <w:szCs w:val="20"/>
        </w:rPr>
      </w:pPr>
    </w:p>
    <w:p w14:paraId="28041146" w14:textId="77777777" w:rsidR="005008C7" w:rsidRPr="00D2222C" w:rsidRDefault="008414A3"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hAnsi="Cambria"/>
          <w:sz w:val="20"/>
          <w:szCs w:val="20"/>
        </w:rPr>
        <w:t>The government argued</w:t>
      </w:r>
      <w:r w:rsidR="002A05B1" w:rsidRPr="00D2222C">
        <w:rPr>
          <w:rFonts w:ascii="Cambria" w:hAnsi="Cambria"/>
          <w:sz w:val="20"/>
          <w:szCs w:val="20"/>
        </w:rPr>
        <w:t xml:space="preserve"> that most of the claims were procedural</w:t>
      </w:r>
      <w:r w:rsidRPr="00D2222C">
        <w:rPr>
          <w:rFonts w:ascii="Cambria" w:hAnsi="Cambria"/>
          <w:sz w:val="20"/>
          <w:szCs w:val="20"/>
        </w:rPr>
        <w:t>ly</w:t>
      </w:r>
      <w:r w:rsidR="002A05B1" w:rsidRPr="00D2222C">
        <w:rPr>
          <w:rFonts w:ascii="Cambria" w:hAnsi="Cambria"/>
          <w:sz w:val="20"/>
          <w:szCs w:val="20"/>
        </w:rPr>
        <w:t xml:space="preserve"> barred because they were not raised in direct appeal,</w:t>
      </w:r>
      <w:r w:rsidRPr="00D2222C">
        <w:rPr>
          <w:rFonts w:ascii="Cambria" w:hAnsi="Cambria"/>
          <w:sz w:val="20"/>
          <w:szCs w:val="20"/>
        </w:rPr>
        <w:t xml:space="preserve"> and</w:t>
      </w:r>
      <w:r w:rsidR="002A05B1" w:rsidRPr="00D2222C">
        <w:rPr>
          <w:rFonts w:ascii="Cambria" w:hAnsi="Cambria"/>
          <w:sz w:val="20"/>
          <w:szCs w:val="20"/>
        </w:rPr>
        <w:t xml:space="preserve"> the district court found that six claims were based on new facts</w:t>
      </w:r>
      <w:r w:rsidR="007771C5" w:rsidRPr="00D2222C">
        <w:rPr>
          <w:rFonts w:ascii="Cambria" w:hAnsi="Cambria"/>
          <w:sz w:val="20"/>
          <w:szCs w:val="20"/>
        </w:rPr>
        <w:t>. A</w:t>
      </w:r>
      <w:r w:rsidR="004A3DC4" w:rsidRPr="00D2222C">
        <w:rPr>
          <w:rFonts w:ascii="Cambria" w:hAnsi="Cambria"/>
          <w:sz w:val="20"/>
          <w:szCs w:val="20"/>
        </w:rPr>
        <w:t xml:space="preserve">lthough the </w:t>
      </w:r>
      <w:r w:rsidRPr="00D2222C">
        <w:rPr>
          <w:rFonts w:ascii="Cambria" w:hAnsi="Cambria"/>
          <w:sz w:val="20"/>
          <w:szCs w:val="20"/>
        </w:rPr>
        <w:t>remaining</w:t>
      </w:r>
      <w:r w:rsidR="007771C5" w:rsidRPr="00D2222C">
        <w:rPr>
          <w:rFonts w:ascii="Cambria" w:hAnsi="Cambria"/>
          <w:sz w:val="20"/>
          <w:szCs w:val="20"/>
        </w:rPr>
        <w:t xml:space="preserve"> claims </w:t>
      </w:r>
      <w:r w:rsidR="004A3DC4" w:rsidRPr="00D2222C">
        <w:rPr>
          <w:rFonts w:ascii="Cambria" w:hAnsi="Cambria"/>
          <w:sz w:val="20"/>
          <w:szCs w:val="20"/>
        </w:rPr>
        <w:t xml:space="preserve">were not raised on direct appeal and were not based on new law or facts, </w:t>
      </w:r>
      <w:r w:rsidR="007771C5" w:rsidRPr="00D2222C">
        <w:rPr>
          <w:rFonts w:ascii="Cambria" w:hAnsi="Cambria"/>
          <w:sz w:val="20"/>
          <w:szCs w:val="20"/>
        </w:rPr>
        <w:t>the court</w:t>
      </w:r>
      <w:r w:rsidR="002A05B1" w:rsidRPr="00D2222C">
        <w:rPr>
          <w:rFonts w:ascii="Cambria" w:hAnsi="Cambria"/>
          <w:sz w:val="20"/>
          <w:szCs w:val="20"/>
        </w:rPr>
        <w:t xml:space="preserve"> decided </w:t>
      </w:r>
      <w:r w:rsidR="00E71FD7" w:rsidRPr="00D2222C">
        <w:rPr>
          <w:rFonts w:ascii="Cambria" w:hAnsi="Cambria"/>
          <w:sz w:val="20"/>
          <w:szCs w:val="20"/>
        </w:rPr>
        <w:t xml:space="preserve">to address </w:t>
      </w:r>
      <w:r w:rsidR="004A3DC4" w:rsidRPr="00D2222C">
        <w:rPr>
          <w:rFonts w:ascii="Cambria" w:hAnsi="Cambria"/>
          <w:sz w:val="20"/>
          <w:szCs w:val="20"/>
        </w:rPr>
        <w:t>them</w:t>
      </w:r>
      <w:r w:rsidR="00E71FD7" w:rsidRPr="00D2222C">
        <w:rPr>
          <w:rFonts w:ascii="Cambria" w:hAnsi="Cambria"/>
          <w:sz w:val="20"/>
          <w:szCs w:val="20"/>
        </w:rPr>
        <w:t xml:space="preserve"> as Mr. Hall had alleged </w:t>
      </w:r>
      <w:r w:rsidR="00A5251F" w:rsidRPr="00D2222C">
        <w:rPr>
          <w:rFonts w:ascii="Cambria" w:hAnsi="Cambria"/>
          <w:sz w:val="20"/>
          <w:szCs w:val="20"/>
        </w:rPr>
        <w:t>ineffective assistance of</w:t>
      </w:r>
      <w:r w:rsidR="00E71FD7" w:rsidRPr="00D2222C">
        <w:rPr>
          <w:rFonts w:ascii="Cambria" w:hAnsi="Cambria"/>
          <w:sz w:val="20"/>
          <w:szCs w:val="20"/>
        </w:rPr>
        <w:t xml:space="preserve"> his appellate counsel. </w:t>
      </w:r>
      <w:r w:rsidR="005008C7" w:rsidRPr="00D2222C">
        <w:rPr>
          <w:rFonts w:ascii="Cambria" w:eastAsia="Arial Unicode MS" w:hAnsi="Cambria"/>
          <w:sz w:val="20"/>
          <w:szCs w:val="20"/>
          <w:bdr w:val="nil"/>
        </w:rPr>
        <w:t>On June 7, 2004, the district court conducted an evidentiary hearing limited to the issue of the extraneous influence on the jury raised by Mr. Hall and o</w:t>
      </w:r>
      <w:r w:rsidR="00E71FD7" w:rsidRPr="00D2222C">
        <w:rPr>
          <w:rFonts w:ascii="Cambria" w:eastAsia="Arial Unicode MS" w:hAnsi="Cambria"/>
          <w:sz w:val="20"/>
          <w:szCs w:val="20"/>
          <w:bdr w:val="nil"/>
        </w:rPr>
        <w:t xml:space="preserve">n August 24, 2004, </w:t>
      </w:r>
      <w:r w:rsidR="005008C7" w:rsidRPr="00D2222C">
        <w:rPr>
          <w:rFonts w:ascii="Cambria" w:eastAsia="Arial Unicode MS" w:hAnsi="Cambria"/>
          <w:sz w:val="20"/>
          <w:szCs w:val="20"/>
          <w:bdr w:val="nil"/>
        </w:rPr>
        <w:t>it</w:t>
      </w:r>
      <w:r w:rsidR="00E71FD7" w:rsidRPr="00D2222C">
        <w:rPr>
          <w:rFonts w:ascii="Cambria" w:eastAsia="Arial Unicode MS" w:hAnsi="Cambria"/>
          <w:sz w:val="20"/>
          <w:szCs w:val="20"/>
          <w:bdr w:val="nil"/>
        </w:rPr>
        <w:t xml:space="preserve"> issued a</w:t>
      </w:r>
      <w:r w:rsidR="004D4A6A" w:rsidRPr="00D2222C">
        <w:rPr>
          <w:rFonts w:ascii="Cambria" w:eastAsia="Arial Unicode MS" w:hAnsi="Cambria"/>
          <w:sz w:val="20"/>
          <w:szCs w:val="20"/>
          <w:bdr w:val="nil"/>
        </w:rPr>
        <w:t xml:space="preserve"> memorandum</w:t>
      </w:r>
      <w:r w:rsidR="00E71FD7" w:rsidRPr="00D2222C">
        <w:rPr>
          <w:rFonts w:ascii="Cambria" w:eastAsia="Arial Unicode MS" w:hAnsi="Cambria"/>
          <w:sz w:val="20"/>
          <w:szCs w:val="20"/>
          <w:bdr w:val="nil"/>
        </w:rPr>
        <w:t xml:space="preserve"> opinion and order, denying all of the claims presented in Mr. Hall's §</w:t>
      </w:r>
      <w:r w:rsidR="00E71FD7" w:rsidRPr="00D2222C">
        <w:rPr>
          <w:rFonts w:ascii="Cambria" w:eastAsia="Arial Unicode MS" w:hAnsi="Cambria"/>
          <w:sz w:val="20"/>
          <w:szCs w:val="20"/>
          <w:bdr w:val="nil"/>
        </w:rPr>
        <w:t> </w:t>
      </w:r>
      <w:r w:rsidR="00E71FD7" w:rsidRPr="00D2222C">
        <w:rPr>
          <w:rFonts w:ascii="Cambria" w:eastAsia="Arial Unicode MS" w:hAnsi="Cambria"/>
          <w:sz w:val="20"/>
          <w:szCs w:val="20"/>
          <w:bdr w:val="nil"/>
        </w:rPr>
        <w:t>2255 motion for relief.</w:t>
      </w:r>
      <w:r w:rsidR="00717B70" w:rsidRPr="00D2222C">
        <w:rPr>
          <w:rFonts w:ascii="Cambria" w:eastAsia="Arial Unicode MS" w:hAnsi="Cambria"/>
          <w:sz w:val="20"/>
          <w:szCs w:val="20"/>
          <w:bdr w:val="nil"/>
        </w:rPr>
        <w:t xml:space="preserve"> </w:t>
      </w:r>
    </w:p>
    <w:p w14:paraId="3F17683F" w14:textId="77777777" w:rsidR="005008C7" w:rsidRPr="00D2222C" w:rsidRDefault="005008C7" w:rsidP="009E3847">
      <w:pPr>
        <w:pStyle w:val="ListParagraph"/>
        <w:rPr>
          <w:rFonts w:eastAsia="Arial Unicode MS"/>
          <w:sz w:val="20"/>
          <w:szCs w:val="20"/>
        </w:rPr>
      </w:pPr>
    </w:p>
    <w:p w14:paraId="00070D1C" w14:textId="77777777" w:rsidR="004A3DC4" w:rsidRPr="00D2222C" w:rsidRDefault="008414A3"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Regarding the claim of</w:t>
      </w:r>
      <w:r w:rsidR="00717B70" w:rsidRPr="00D2222C">
        <w:rPr>
          <w:rFonts w:ascii="Cambria" w:eastAsia="Arial Unicode MS" w:hAnsi="Cambria"/>
          <w:sz w:val="20"/>
          <w:szCs w:val="20"/>
          <w:bdr w:val="nil"/>
        </w:rPr>
        <w:t xml:space="preserve"> ineffective assistance of counsel, the court rule</w:t>
      </w:r>
      <w:r w:rsidR="005008C7" w:rsidRPr="00D2222C">
        <w:rPr>
          <w:rFonts w:ascii="Cambria" w:eastAsia="Arial Unicode MS" w:hAnsi="Cambria"/>
          <w:sz w:val="20"/>
          <w:szCs w:val="20"/>
          <w:bdr w:val="nil"/>
        </w:rPr>
        <w:t>d</w:t>
      </w:r>
      <w:r w:rsidR="00717B70" w:rsidRPr="00D2222C">
        <w:rPr>
          <w:rFonts w:ascii="Cambria" w:eastAsia="Arial Unicode MS" w:hAnsi="Cambria"/>
          <w:sz w:val="20"/>
          <w:szCs w:val="20"/>
          <w:bdr w:val="nil"/>
        </w:rPr>
        <w:t>, among others:</w:t>
      </w:r>
      <w:r w:rsidR="00717B70" w:rsidRPr="00D2222C">
        <w:rPr>
          <w:rStyle w:val="FootnoteReference"/>
          <w:rFonts w:ascii="Cambria" w:eastAsia="Arial Unicode MS" w:hAnsi="Cambria"/>
          <w:sz w:val="20"/>
          <w:szCs w:val="20"/>
          <w:bdr w:val="nil"/>
        </w:rPr>
        <w:t xml:space="preserve"> </w:t>
      </w:r>
      <w:r w:rsidR="00717B70" w:rsidRPr="00D2222C">
        <w:rPr>
          <w:rStyle w:val="FootnoteReference"/>
          <w:rFonts w:ascii="Cambria" w:eastAsia="Arial Unicode MS" w:hAnsi="Cambria"/>
          <w:sz w:val="20"/>
          <w:szCs w:val="20"/>
          <w:bdr w:val="nil"/>
        </w:rPr>
        <w:footnoteReference w:id="19"/>
      </w:r>
    </w:p>
    <w:p w14:paraId="298EA4F1" w14:textId="77777777" w:rsidR="004A3DC4" w:rsidRPr="00D2222C" w:rsidRDefault="004A3DC4" w:rsidP="004A3DC4">
      <w:pPr>
        <w:pStyle w:val="ListParagraph"/>
        <w:rPr>
          <w:rFonts w:eastAsia="Arial Unicode MS"/>
          <w:sz w:val="20"/>
          <w:szCs w:val="20"/>
        </w:rPr>
      </w:pPr>
    </w:p>
    <w:p w14:paraId="605A8D1D" w14:textId="77777777" w:rsidR="00054E1B" w:rsidRPr="00D2222C" w:rsidRDefault="005E6EE3" w:rsidP="00BB5A59">
      <w:pPr>
        <w:pStyle w:val="NormalWeb"/>
        <w:numPr>
          <w:ilvl w:val="0"/>
          <w:numId w:val="58"/>
        </w:numPr>
        <w:shd w:val="clear" w:color="auto" w:fill="FFFFFF"/>
        <w:spacing w:before="0" w:beforeAutospacing="0" w:after="0" w:afterAutospacing="0"/>
        <w:jc w:val="both"/>
        <w:rPr>
          <w:rFonts w:ascii="Cambria" w:eastAsia="Arial Unicode MS" w:hAnsi="Cambria"/>
          <w:sz w:val="20"/>
          <w:szCs w:val="20"/>
          <w:bdr w:val="nil"/>
        </w:rPr>
      </w:pPr>
      <w:r w:rsidRPr="00D2222C">
        <w:rPr>
          <w:rFonts w:ascii="Cambria" w:eastAsia="Arial Unicode MS" w:hAnsi="Cambria"/>
          <w:sz w:val="20"/>
          <w:szCs w:val="20"/>
          <w:bdr w:val="nil"/>
        </w:rPr>
        <w:t>Mr. Hall contended that his trial counsel</w:t>
      </w:r>
      <w:r w:rsidR="00525278" w:rsidRPr="00D2222C">
        <w:rPr>
          <w:rFonts w:ascii="Cambria" w:eastAsia="Arial Unicode MS" w:hAnsi="Cambria"/>
          <w:sz w:val="20"/>
          <w:szCs w:val="20"/>
          <w:bdr w:val="nil"/>
        </w:rPr>
        <w:t>s</w:t>
      </w:r>
      <w:r w:rsidRPr="00D2222C">
        <w:rPr>
          <w:rFonts w:ascii="Cambria" w:eastAsia="Arial Unicode MS" w:hAnsi="Cambria"/>
          <w:sz w:val="20"/>
          <w:szCs w:val="20"/>
          <w:bdr w:val="nil"/>
        </w:rPr>
        <w:t xml:space="preserve"> were ineffective for failing to conduct a timely investigation </w:t>
      </w:r>
      <w:r w:rsidR="008414A3" w:rsidRPr="00D2222C">
        <w:rPr>
          <w:rFonts w:ascii="Cambria" w:eastAsia="Arial Unicode MS" w:hAnsi="Cambria"/>
          <w:sz w:val="20"/>
          <w:szCs w:val="20"/>
          <w:bdr w:val="nil"/>
        </w:rPr>
        <w:t xml:space="preserve">of </w:t>
      </w:r>
      <w:r w:rsidRPr="00D2222C">
        <w:rPr>
          <w:rFonts w:ascii="Cambria" w:eastAsia="Arial Unicode MS" w:hAnsi="Cambria"/>
          <w:sz w:val="20"/>
          <w:szCs w:val="20"/>
          <w:bdr w:val="nil"/>
        </w:rPr>
        <w:t>potential mitigating evidence. Specifically, he faulted counsel for not conducting adequate investigation on their own between the time they were appointed on March 21, 1995, and the beginning of the trial</w:t>
      </w:r>
      <w:r w:rsidR="008414A3" w:rsidRPr="00D2222C">
        <w:rPr>
          <w:rFonts w:ascii="Cambria" w:eastAsia="Arial Unicode MS" w:hAnsi="Cambria"/>
          <w:sz w:val="20"/>
          <w:szCs w:val="20"/>
          <w:bdr w:val="nil"/>
        </w:rPr>
        <w:t>;</w:t>
      </w:r>
      <w:r w:rsidRPr="00D2222C">
        <w:rPr>
          <w:rFonts w:ascii="Cambria" w:eastAsia="Arial Unicode MS" w:hAnsi="Cambria"/>
          <w:sz w:val="20"/>
          <w:szCs w:val="20"/>
          <w:bdr w:val="nil"/>
        </w:rPr>
        <w:t xml:space="preserve"> failing to seek the assistance of a mitigation expert until September 7, 1995</w:t>
      </w:r>
      <w:r w:rsidR="008414A3" w:rsidRPr="00D2222C">
        <w:rPr>
          <w:rFonts w:ascii="Cambria" w:eastAsia="Arial Unicode MS" w:hAnsi="Cambria"/>
          <w:sz w:val="20"/>
          <w:szCs w:val="20"/>
          <w:bdr w:val="nil"/>
        </w:rPr>
        <w:t>;</w:t>
      </w:r>
      <w:r w:rsidRPr="00D2222C">
        <w:rPr>
          <w:rFonts w:ascii="Cambria" w:eastAsia="Arial Unicode MS" w:hAnsi="Cambria"/>
          <w:sz w:val="20"/>
          <w:szCs w:val="20"/>
          <w:bdr w:val="nil"/>
        </w:rPr>
        <w:t xml:space="preserve"> and not meeting with the appointed mitigation expert until September 15, 1995, when the voir-dire portion of the trial began on October 1, 1995.</w:t>
      </w:r>
      <w:r w:rsidR="007977A5" w:rsidRPr="00D2222C">
        <w:rPr>
          <w:rFonts w:ascii="Cambria" w:eastAsia="Arial Unicode MS" w:hAnsi="Cambria"/>
          <w:sz w:val="20"/>
          <w:szCs w:val="20"/>
          <w:bdr w:val="nil"/>
        </w:rPr>
        <w:t xml:space="preserve"> The district court </w:t>
      </w:r>
      <w:r w:rsidR="008414A3" w:rsidRPr="00D2222C">
        <w:rPr>
          <w:rFonts w:ascii="Cambria" w:eastAsia="Arial Unicode MS" w:hAnsi="Cambria"/>
          <w:sz w:val="20"/>
          <w:szCs w:val="20"/>
          <w:bdr w:val="nil"/>
        </w:rPr>
        <w:t xml:space="preserve">found </w:t>
      </w:r>
      <w:r w:rsidR="007977A5" w:rsidRPr="00D2222C">
        <w:rPr>
          <w:rFonts w:ascii="Cambria" w:eastAsia="Arial Unicode MS" w:hAnsi="Cambria"/>
          <w:sz w:val="20"/>
          <w:szCs w:val="20"/>
          <w:bdr w:val="nil"/>
        </w:rPr>
        <w:t xml:space="preserve">that prior counsel in Mr. Hall’s case had </w:t>
      </w:r>
      <w:r w:rsidR="00DD1E65" w:rsidRPr="00D2222C">
        <w:rPr>
          <w:rFonts w:ascii="Cambria" w:eastAsia="Arial Unicode MS" w:hAnsi="Cambria"/>
          <w:sz w:val="20"/>
          <w:szCs w:val="20"/>
          <w:bdr w:val="nil"/>
        </w:rPr>
        <w:t>required</w:t>
      </w:r>
      <w:r w:rsidR="007977A5" w:rsidRPr="00D2222C">
        <w:rPr>
          <w:rFonts w:ascii="Cambria" w:eastAsia="Arial Unicode MS" w:hAnsi="Cambria"/>
          <w:sz w:val="20"/>
          <w:szCs w:val="20"/>
          <w:bdr w:val="nil"/>
        </w:rPr>
        <w:t xml:space="preserve"> him </w:t>
      </w:r>
      <w:r w:rsidR="00DD1E65" w:rsidRPr="00D2222C">
        <w:rPr>
          <w:rFonts w:ascii="Cambria" w:eastAsia="Arial Unicode MS" w:hAnsi="Cambria"/>
          <w:sz w:val="20"/>
          <w:szCs w:val="20"/>
          <w:bdr w:val="nil"/>
        </w:rPr>
        <w:t xml:space="preserve">to complete a nineteen-page questionnaire entitled “Client Background Information” and traveled to Mr. Hall’s hometown of El Dorado, in Arkansas, where he interviewed family members and other persons familiar with Mr. Hall. </w:t>
      </w:r>
      <w:r w:rsidR="00835F5A" w:rsidRPr="00D2222C">
        <w:rPr>
          <w:rFonts w:ascii="Cambria" w:eastAsia="Arial Unicode MS" w:hAnsi="Cambria"/>
          <w:sz w:val="20"/>
          <w:szCs w:val="20"/>
          <w:bdr w:val="nil"/>
        </w:rPr>
        <w:t xml:space="preserve">It </w:t>
      </w:r>
      <w:r w:rsidR="003D79BC" w:rsidRPr="00D2222C">
        <w:rPr>
          <w:rFonts w:ascii="Cambria" w:eastAsia="Arial Unicode MS" w:hAnsi="Cambria"/>
          <w:sz w:val="20"/>
          <w:szCs w:val="20"/>
          <w:bdr w:val="nil"/>
        </w:rPr>
        <w:t xml:space="preserve">also indicated that prior counsel turned over to trial counsel both his notes of the interviews and the questionnaire. </w:t>
      </w:r>
      <w:r w:rsidR="00835F5A" w:rsidRPr="00D2222C">
        <w:rPr>
          <w:rFonts w:ascii="Cambria" w:eastAsia="Arial Unicode MS" w:hAnsi="Cambria"/>
          <w:sz w:val="20"/>
          <w:szCs w:val="20"/>
          <w:bdr w:val="nil"/>
        </w:rPr>
        <w:t xml:space="preserve">The court </w:t>
      </w:r>
      <w:r w:rsidR="003D79BC" w:rsidRPr="00D2222C">
        <w:rPr>
          <w:rFonts w:ascii="Cambria" w:eastAsia="Arial Unicode MS" w:hAnsi="Cambria"/>
          <w:sz w:val="20"/>
          <w:szCs w:val="20"/>
          <w:bdr w:val="nil"/>
        </w:rPr>
        <w:t xml:space="preserve">further noted that a mitigation specialist was officially appointed by the court on September 14, 1995, and first met with defense counsel and Mr. Hall the following day. </w:t>
      </w:r>
      <w:r w:rsidR="0095641C" w:rsidRPr="00D2222C">
        <w:rPr>
          <w:rFonts w:ascii="Cambria" w:eastAsia="Arial Unicode MS" w:hAnsi="Cambria"/>
          <w:sz w:val="20"/>
          <w:szCs w:val="20"/>
          <w:bdr w:val="nil"/>
        </w:rPr>
        <w:t>The court stated that, prior to the punishment phase of trial which began on November 1, 1995, the mitigation specialist submitted two investigative memoranda to trial counsel dated October 23 and 25, 1995.</w:t>
      </w:r>
      <w:r w:rsidR="00374940" w:rsidRPr="00D2222C">
        <w:rPr>
          <w:rFonts w:ascii="Cambria" w:eastAsia="Arial Unicode MS" w:hAnsi="Cambria"/>
          <w:sz w:val="20"/>
          <w:szCs w:val="20"/>
          <w:bdr w:val="nil"/>
        </w:rPr>
        <w:t xml:space="preserve"> It also noted that, at the punishment phase, defense counsel presented testimony, among others, from an operations manager from the federal detention center where Mr. Hall was </w:t>
      </w:r>
      <w:r w:rsidR="007B2769" w:rsidRPr="00D2222C">
        <w:rPr>
          <w:rFonts w:ascii="Cambria" w:eastAsia="Arial Unicode MS" w:hAnsi="Cambria"/>
          <w:sz w:val="20"/>
          <w:szCs w:val="20"/>
          <w:bdr w:val="nil"/>
        </w:rPr>
        <w:t>housed,</w:t>
      </w:r>
      <w:r w:rsidR="00374940" w:rsidRPr="00D2222C">
        <w:rPr>
          <w:rFonts w:ascii="Cambria" w:eastAsia="Arial Unicode MS" w:hAnsi="Cambria"/>
          <w:sz w:val="20"/>
          <w:szCs w:val="20"/>
          <w:bdr w:val="nil"/>
        </w:rPr>
        <w:t xml:space="preserve"> who testified</w:t>
      </w:r>
      <w:r w:rsidR="007B2769" w:rsidRPr="00D2222C">
        <w:rPr>
          <w:rFonts w:ascii="Cambria" w:eastAsia="Arial Unicode MS" w:hAnsi="Cambria"/>
          <w:sz w:val="20"/>
          <w:szCs w:val="20"/>
          <w:bdr w:val="nil"/>
        </w:rPr>
        <w:t xml:space="preserve"> that he had no record of any disciplinary problems with Mr. Hall, and Mr. Hall’s mother and sister.</w:t>
      </w:r>
      <w:r w:rsidR="0030600F" w:rsidRPr="00D2222C">
        <w:rPr>
          <w:rFonts w:ascii="Cambria" w:eastAsia="Arial Unicode MS" w:hAnsi="Cambria"/>
          <w:sz w:val="20"/>
          <w:szCs w:val="20"/>
          <w:bdr w:val="nil"/>
        </w:rPr>
        <w:t xml:space="preserve"> The court concluded that counsel performed a reasonably substantial and independent investigation into potential mitigating circumstances and therefore did not provide ineffective assistance.</w:t>
      </w:r>
    </w:p>
    <w:p w14:paraId="0CE477AA" w14:textId="77777777" w:rsidR="00BE6182" w:rsidRPr="00D2222C" w:rsidRDefault="00BE6182" w:rsidP="00BE6182">
      <w:pPr>
        <w:pStyle w:val="ListParagraph"/>
        <w:rPr>
          <w:rFonts w:eastAsia="Arial Unicode MS"/>
          <w:sz w:val="20"/>
          <w:szCs w:val="20"/>
        </w:rPr>
      </w:pPr>
    </w:p>
    <w:p w14:paraId="33CF7E57" w14:textId="77777777" w:rsidR="0094702E" w:rsidRPr="00D2222C" w:rsidRDefault="00BE6182" w:rsidP="00BB5A59">
      <w:pPr>
        <w:pStyle w:val="NormalWeb"/>
        <w:numPr>
          <w:ilvl w:val="0"/>
          <w:numId w:val="58"/>
        </w:numPr>
        <w:shd w:val="clear" w:color="auto" w:fill="FFFFFF"/>
        <w:spacing w:before="0" w:beforeAutospacing="0" w:after="0" w:afterAutospacing="0"/>
        <w:jc w:val="both"/>
        <w:rPr>
          <w:rFonts w:ascii="Cambria" w:eastAsia="Arial Unicode MS" w:hAnsi="Cambria"/>
          <w:sz w:val="20"/>
          <w:szCs w:val="20"/>
          <w:bdr w:val="nil"/>
        </w:rPr>
      </w:pPr>
      <w:r w:rsidRPr="00D2222C">
        <w:rPr>
          <w:rFonts w:ascii="Cambria" w:eastAsia="Arial Unicode MS" w:hAnsi="Cambria"/>
          <w:sz w:val="20"/>
          <w:szCs w:val="20"/>
          <w:bdr w:val="nil"/>
        </w:rPr>
        <w:t xml:space="preserve">Mr. Hall also contended that trial counsel were ineffective in first requesting a psychiatrist and psychologist rather than a mitigation specialist, in requesting a mitigation specialist too late in the process, </w:t>
      </w:r>
      <w:r w:rsidR="008414A3" w:rsidRPr="00D2222C">
        <w:rPr>
          <w:rFonts w:ascii="Cambria" w:eastAsia="Arial Unicode MS" w:hAnsi="Cambria"/>
          <w:sz w:val="20"/>
          <w:szCs w:val="20"/>
          <w:bdr w:val="nil"/>
        </w:rPr>
        <w:t xml:space="preserve">in </w:t>
      </w:r>
      <w:r w:rsidRPr="00D2222C">
        <w:rPr>
          <w:rFonts w:ascii="Cambria" w:eastAsia="Arial Unicode MS" w:hAnsi="Cambria"/>
          <w:sz w:val="20"/>
          <w:szCs w:val="20"/>
          <w:bdr w:val="nil"/>
        </w:rPr>
        <w:t xml:space="preserve">not having him examined by a neuropsychologist, and </w:t>
      </w:r>
      <w:r w:rsidR="008414A3" w:rsidRPr="00D2222C">
        <w:rPr>
          <w:rFonts w:ascii="Cambria" w:eastAsia="Arial Unicode MS" w:hAnsi="Cambria"/>
          <w:sz w:val="20"/>
          <w:szCs w:val="20"/>
          <w:bdr w:val="nil"/>
        </w:rPr>
        <w:t xml:space="preserve">in </w:t>
      </w:r>
      <w:r w:rsidRPr="00D2222C">
        <w:rPr>
          <w:rFonts w:ascii="Cambria" w:eastAsia="Arial Unicode MS" w:hAnsi="Cambria"/>
          <w:sz w:val="20"/>
          <w:szCs w:val="20"/>
          <w:bdr w:val="nil"/>
        </w:rPr>
        <w:t xml:space="preserve">failing to have someone testify about the impact that Mr. Hall’s upbringing had on this behavior. The court noted that on July 14, 1995, defense counsel sought and obtained funds to hire a psychiatrist and a neuropsychologist, and </w:t>
      </w:r>
      <w:r w:rsidR="008414A3" w:rsidRPr="00D2222C">
        <w:rPr>
          <w:rFonts w:ascii="Cambria" w:eastAsia="Arial Unicode MS" w:hAnsi="Cambria"/>
          <w:sz w:val="20"/>
          <w:szCs w:val="20"/>
          <w:bdr w:val="nil"/>
        </w:rPr>
        <w:t xml:space="preserve">in </w:t>
      </w:r>
      <w:r w:rsidRPr="00D2222C">
        <w:rPr>
          <w:rFonts w:ascii="Cambria" w:eastAsia="Arial Unicode MS" w:hAnsi="Cambria"/>
          <w:sz w:val="20"/>
          <w:szCs w:val="20"/>
          <w:bdr w:val="nil"/>
        </w:rPr>
        <w:t xml:space="preserve">September 1995 </w:t>
      </w:r>
      <w:r w:rsidR="005F5456" w:rsidRPr="00D2222C">
        <w:rPr>
          <w:rFonts w:ascii="Cambria" w:eastAsia="Arial Unicode MS" w:hAnsi="Cambria"/>
          <w:sz w:val="20"/>
          <w:szCs w:val="20"/>
          <w:bdr w:val="nil"/>
        </w:rPr>
        <w:t>ob</w:t>
      </w:r>
      <w:r w:rsidRPr="00D2222C">
        <w:rPr>
          <w:rFonts w:ascii="Cambria" w:eastAsia="Arial Unicode MS" w:hAnsi="Cambria"/>
          <w:sz w:val="20"/>
          <w:szCs w:val="20"/>
          <w:bdr w:val="nil"/>
        </w:rPr>
        <w:t xml:space="preserve">tained funds to hire a mitigation specialist. According to the court, the psychiatrist examined Mr. Hall and was prepared to testify but the defense opted not to have her testify </w:t>
      </w:r>
      <w:r w:rsidR="005F5456" w:rsidRPr="00D2222C">
        <w:rPr>
          <w:rFonts w:ascii="Cambria" w:eastAsia="Arial Unicode MS" w:hAnsi="Cambria"/>
          <w:sz w:val="20"/>
          <w:szCs w:val="20"/>
          <w:bdr w:val="nil"/>
        </w:rPr>
        <w:t>because</w:t>
      </w:r>
      <w:r w:rsidRPr="00D2222C">
        <w:rPr>
          <w:rFonts w:ascii="Cambria" w:eastAsia="Arial Unicode MS" w:hAnsi="Cambria"/>
          <w:sz w:val="20"/>
          <w:szCs w:val="20"/>
          <w:bdr w:val="nil"/>
        </w:rPr>
        <w:t xml:space="preserve"> the court had ordered that, were she to do so, the government had the right to have Mr. Hall examined </w:t>
      </w:r>
      <w:r w:rsidRPr="00D2222C">
        <w:rPr>
          <w:rFonts w:ascii="Cambria" w:eastAsia="Arial Unicode MS" w:hAnsi="Cambria"/>
          <w:sz w:val="20"/>
          <w:szCs w:val="20"/>
          <w:bdr w:val="nil"/>
        </w:rPr>
        <w:lastRenderedPageBreak/>
        <w:t xml:space="preserve">by its own expert. </w:t>
      </w:r>
      <w:r w:rsidR="005F5456" w:rsidRPr="00D2222C">
        <w:rPr>
          <w:rFonts w:ascii="Cambria" w:eastAsia="Arial Unicode MS" w:hAnsi="Cambria"/>
          <w:sz w:val="20"/>
          <w:szCs w:val="20"/>
          <w:bdr w:val="nil"/>
        </w:rPr>
        <w:t xml:space="preserve">The court also </w:t>
      </w:r>
      <w:r w:rsidR="008414A3" w:rsidRPr="00D2222C">
        <w:rPr>
          <w:rFonts w:ascii="Cambria" w:eastAsia="Arial Unicode MS" w:hAnsi="Cambria"/>
          <w:sz w:val="20"/>
          <w:szCs w:val="20"/>
          <w:bdr w:val="nil"/>
        </w:rPr>
        <w:t xml:space="preserve">found </w:t>
      </w:r>
      <w:r w:rsidR="005F5456" w:rsidRPr="00D2222C">
        <w:rPr>
          <w:rFonts w:ascii="Cambria" w:eastAsia="Arial Unicode MS" w:hAnsi="Cambria"/>
          <w:sz w:val="20"/>
          <w:szCs w:val="20"/>
          <w:bdr w:val="nil"/>
        </w:rPr>
        <w:t xml:space="preserve">that defense counsel did hire a neuropsychologist. </w:t>
      </w:r>
      <w:r w:rsidR="00BD5B66" w:rsidRPr="00D2222C">
        <w:rPr>
          <w:rFonts w:ascii="Cambria" w:eastAsia="Arial Unicode MS" w:hAnsi="Cambria"/>
          <w:sz w:val="20"/>
          <w:szCs w:val="20"/>
          <w:bdr w:val="nil"/>
        </w:rPr>
        <w:t xml:space="preserve">The court concluded that Mr. Hall failed to establish that his trial counsel were ineffective in their use of experts. </w:t>
      </w:r>
      <w:r w:rsidR="00510311" w:rsidRPr="00D2222C">
        <w:rPr>
          <w:rFonts w:ascii="Cambria" w:eastAsia="Arial Unicode MS" w:hAnsi="Cambria"/>
          <w:sz w:val="20"/>
          <w:szCs w:val="20"/>
          <w:bdr w:val="nil"/>
        </w:rPr>
        <w:t>Further, the court pointed out that the psychologist did not state that Mr. Hall suffered from any mental disorder or was mentally retarded. The court conclude</w:t>
      </w:r>
      <w:r w:rsidR="003C6480" w:rsidRPr="00D2222C">
        <w:rPr>
          <w:rFonts w:ascii="Cambria" w:eastAsia="Arial Unicode MS" w:hAnsi="Cambria"/>
          <w:sz w:val="20"/>
          <w:szCs w:val="20"/>
          <w:bdr w:val="nil"/>
        </w:rPr>
        <w:t>d</w:t>
      </w:r>
      <w:r w:rsidR="00510311" w:rsidRPr="00D2222C">
        <w:rPr>
          <w:rFonts w:ascii="Cambria" w:eastAsia="Arial Unicode MS" w:hAnsi="Cambria"/>
          <w:sz w:val="20"/>
          <w:szCs w:val="20"/>
          <w:bdr w:val="nil"/>
        </w:rPr>
        <w:t xml:space="preserve"> that, even had the psychologist and social worker testified about the information contained in their declarations, there was no reasonable probability that the result would have been different. </w:t>
      </w:r>
    </w:p>
    <w:p w14:paraId="3A2E9151" w14:textId="77777777" w:rsidR="0094702E" w:rsidRPr="00D2222C" w:rsidRDefault="0094702E" w:rsidP="0094702E">
      <w:pPr>
        <w:pStyle w:val="ListParagraph"/>
        <w:rPr>
          <w:rFonts w:asciiTheme="majorHAnsi" w:hAnsiTheme="majorHAnsi"/>
          <w:sz w:val="20"/>
          <w:szCs w:val="20"/>
        </w:rPr>
      </w:pPr>
    </w:p>
    <w:p w14:paraId="2789B5BB" w14:textId="77777777" w:rsidR="0029754B" w:rsidRPr="00D2222C" w:rsidRDefault="0094702E" w:rsidP="00BB5A59">
      <w:pPr>
        <w:pStyle w:val="NormalWeb"/>
        <w:numPr>
          <w:ilvl w:val="0"/>
          <w:numId w:val="58"/>
        </w:numPr>
        <w:shd w:val="clear" w:color="auto" w:fill="FFFFFF"/>
        <w:spacing w:before="0" w:beforeAutospacing="0" w:after="0" w:afterAutospacing="0"/>
        <w:jc w:val="both"/>
        <w:rPr>
          <w:rFonts w:ascii="Cambria" w:eastAsia="Arial Unicode MS" w:hAnsi="Cambria"/>
          <w:sz w:val="20"/>
          <w:szCs w:val="20"/>
          <w:bdr w:val="nil"/>
        </w:rPr>
      </w:pPr>
      <w:r w:rsidRPr="00D2222C">
        <w:rPr>
          <w:rFonts w:asciiTheme="majorHAnsi" w:hAnsiTheme="majorHAnsi"/>
          <w:sz w:val="20"/>
          <w:szCs w:val="20"/>
        </w:rPr>
        <w:t xml:space="preserve">With regard to </w:t>
      </w:r>
      <w:r w:rsidR="00054E1B" w:rsidRPr="00D2222C">
        <w:rPr>
          <w:rFonts w:asciiTheme="majorHAnsi" w:hAnsiTheme="majorHAnsi"/>
          <w:sz w:val="20"/>
          <w:szCs w:val="20"/>
        </w:rPr>
        <w:t>Mr. Hall</w:t>
      </w:r>
      <w:r w:rsidR="003C6480" w:rsidRPr="00D2222C">
        <w:rPr>
          <w:rFonts w:asciiTheme="majorHAnsi" w:hAnsiTheme="majorHAnsi"/>
          <w:sz w:val="20"/>
          <w:szCs w:val="20"/>
        </w:rPr>
        <w:t>’s</w:t>
      </w:r>
      <w:r w:rsidR="00054E1B" w:rsidRPr="00D2222C">
        <w:rPr>
          <w:rFonts w:asciiTheme="majorHAnsi" w:hAnsiTheme="majorHAnsi"/>
          <w:sz w:val="20"/>
          <w:szCs w:val="20"/>
        </w:rPr>
        <w:t xml:space="preserve"> </w:t>
      </w:r>
      <w:r w:rsidRPr="00D2222C">
        <w:rPr>
          <w:rFonts w:asciiTheme="majorHAnsi" w:hAnsiTheme="majorHAnsi"/>
          <w:sz w:val="20"/>
          <w:szCs w:val="20"/>
        </w:rPr>
        <w:t xml:space="preserve">allegation that </w:t>
      </w:r>
      <w:r w:rsidR="00054E1B" w:rsidRPr="00D2222C">
        <w:rPr>
          <w:rFonts w:asciiTheme="majorHAnsi" w:hAnsiTheme="majorHAnsi"/>
          <w:sz w:val="20"/>
          <w:szCs w:val="20"/>
        </w:rPr>
        <w:t xml:space="preserve">trial counsel was ineffective in his cross-examination of </w:t>
      </w:r>
      <w:r w:rsidRPr="00D2222C">
        <w:rPr>
          <w:rFonts w:asciiTheme="majorHAnsi" w:hAnsiTheme="majorHAnsi"/>
          <w:sz w:val="20"/>
          <w:szCs w:val="20"/>
        </w:rPr>
        <w:t xml:space="preserve">government witness Larry </w:t>
      </w:r>
      <w:r w:rsidR="00054E1B" w:rsidRPr="00D2222C">
        <w:rPr>
          <w:rFonts w:asciiTheme="majorHAnsi" w:hAnsiTheme="majorHAnsi"/>
          <w:sz w:val="20"/>
          <w:szCs w:val="20"/>
        </w:rPr>
        <w:t xml:space="preserve">Nichols about </w:t>
      </w:r>
      <w:r w:rsidR="00357D78" w:rsidRPr="00D2222C">
        <w:rPr>
          <w:rFonts w:asciiTheme="majorHAnsi" w:hAnsiTheme="majorHAnsi"/>
          <w:sz w:val="20"/>
          <w:szCs w:val="20"/>
        </w:rPr>
        <w:t xml:space="preserve">differences between the original statements he gave the FBI </w:t>
      </w:r>
      <w:r w:rsidR="00923920" w:rsidRPr="00D2222C">
        <w:rPr>
          <w:rFonts w:asciiTheme="majorHAnsi" w:hAnsiTheme="majorHAnsi"/>
          <w:sz w:val="20"/>
          <w:szCs w:val="20"/>
        </w:rPr>
        <w:t>and his trial testimony</w:t>
      </w:r>
      <w:r w:rsidRPr="00D2222C">
        <w:rPr>
          <w:rFonts w:asciiTheme="majorHAnsi" w:hAnsiTheme="majorHAnsi"/>
          <w:sz w:val="20"/>
          <w:szCs w:val="20"/>
        </w:rPr>
        <w:t>, t</w:t>
      </w:r>
      <w:r w:rsidR="00923920" w:rsidRPr="00D2222C">
        <w:rPr>
          <w:rFonts w:asciiTheme="majorHAnsi" w:hAnsiTheme="majorHAnsi"/>
          <w:sz w:val="20"/>
          <w:szCs w:val="20"/>
        </w:rPr>
        <w:t>he court found that</w:t>
      </w:r>
      <w:r w:rsidR="00DE7D2E" w:rsidRPr="00D2222C">
        <w:rPr>
          <w:rFonts w:asciiTheme="majorHAnsi" w:hAnsiTheme="majorHAnsi"/>
          <w:sz w:val="20"/>
          <w:szCs w:val="20"/>
        </w:rPr>
        <w:t xml:space="preserve"> </w:t>
      </w:r>
      <w:r w:rsidR="00923920" w:rsidRPr="00D2222C">
        <w:rPr>
          <w:rFonts w:asciiTheme="majorHAnsi" w:hAnsiTheme="majorHAnsi"/>
          <w:sz w:val="20"/>
          <w:szCs w:val="20"/>
        </w:rPr>
        <w:t>defense attorney made a reasonable strategic decision not to impeach Nichols on every difference between his prior testimony and his testimony at Mr. Hall’s trial.</w:t>
      </w:r>
      <w:r w:rsidR="00DE7D2E" w:rsidRPr="00D2222C">
        <w:rPr>
          <w:rFonts w:asciiTheme="majorHAnsi" w:hAnsiTheme="majorHAnsi"/>
          <w:sz w:val="20"/>
          <w:szCs w:val="20"/>
        </w:rPr>
        <w:t xml:space="preserve"> It further noted that counsel did elicit from Nichols his substantial criminal history, his previous attempt to have a co-defendant perjure himself in an affidavit, and his admitted desire to improve his own situation in life by testifying against Mr. Hall. </w:t>
      </w:r>
    </w:p>
    <w:p w14:paraId="690D9096" w14:textId="77777777" w:rsidR="003A71F1" w:rsidRPr="00D2222C" w:rsidRDefault="003A71F1" w:rsidP="003A71F1">
      <w:pPr>
        <w:pStyle w:val="NormalWeb"/>
        <w:shd w:val="clear" w:color="auto" w:fill="FFFFFF"/>
        <w:spacing w:before="0" w:beforeAutospacing="0" w:after="0" w:afterAutospacing="0"/>
        <w:jc w:val="both"/>
        <w:rPr>
          <w:rFonts w:ascii="Cambria" w:eastAsia="Arial Unicode MS" w:hAnsi="Cambria"/>
          <w:sz w:val="20"/>
          <w:szCs w:val="20"/>
          <w:bdr w:val="nil"/>
        </w:rPr>
      </w:pPr>
    </w:p>
    <w:p w14:paraId="4870B989" w14:textId="77777777" w:rsidR="005008C7" w:rsidRPr="00D2222C" w:rsidRDefault="005008C7"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In relation to </w:t>
      </w:r>
      <w:r w:rsidR="000D6EEF" w:rsidRPr="00D2222C">
        <w:rPr>
          <w:rFonts w:ascii="Cambria" w:eastAsia="Arial Unicode MS" w:hAnsi="Cambria"/>
          <w:sz w:val="20"/>
          <w:szCs w:val="20"/>
          <w:bdr w:val="nil"/>
        </w:rPr>
        <w:t xml:space="preserve">the allegation of juror misconduct, the district court concluded that Mr. Hall did not establish that any inappropriate </w:t>
      </w:r>
      <w:r w:rsidR="000D6EEF" w:rsidRPr="00D2222C">
        <w:rPr>
          <w:rFonts w:ascii="Cambria" w:eastAsia="Arial Unicode MS" w:hAnsi="Cambria"/>
          <w:i/>
          <w:sz w:val="20"/>
          <w:szCs w:val="20"/>
          <w:bdr w:val="nil"/>
        </w:rPr>
        <w:t>ex parte</w:t>
      </w:r>
      <w:r w:rsidR="000D6EEF" w:rsidRPr="00D2222C">
        <w:rPr>
          <w:rFonts w:ascii="Cambria" w:eastAsia="Arial Unicode MS" w:hAnsi="Cambria"/>
          <w:sz w:val="20"/>
          <w:szCs w:val="20"/>
          <w:bdr w:val="nil"/>
        </w:rPr>
        <w:t xml:space="preserve"> contact occurred. </w:t>
      </w:r>
      <w:r w:rsidR="00C0028D" w:rsidRPr="00D2222C">
        <w:rPr>
          <w:rFonts w:ascii="Cambria" w:eastAsia="Arial Unicode MS" w:hAnsi="Cambria"/>
          <w:sz w:val="20"/>
          <w:szCs w:val="20"/>
          <w:bdr w:val="nil"/>
        </w:rPr>
        <w:t xml:space="preserve">Mr. Hall based his claim on two incidents that allegedly occurred during the trial. First, his sister stated that she saw a television newscast during which one of the female jurors was interviewed </w:t>
      </w:r>
      <w:r w:rsidR="003C6480" w:rsidRPr="00D2222C">
        <w:rPr>
          <w:rFonts w:ascii="Cambria" w:eastAsia="Arial Unicode MS" w:hAnsi="Cambria"/>
          <w:sz w:val="20"/>
          <w:szCs w:val="20"/>
          <w:bdr w:val="nil"/>
        </w:rPr>
        <w:t xml:space="preserve">and stated </w:t>
      </w:r>
      <w:r w:rsidR="00C0028D" w:rsidRPr="00D2222C">
        <w:rPr>
          <w:rFonts w:ascii="Cambria" w:eastAsia="Arial Unicode MS" w:hAnsi="Cambria"/>
          <w:sz w:val="20"/>
          <w:szCs w:val="20"/>
          <w:bdr w:val="nil"/>
        </w:rPr>
        <w:t xml:space="preserve">that, during the weekend break in punishment deliberations, she had a birthday party for her daughter and that she placed a candle on the cake in Lisa Rene’s memory and she and the guests said a prayer for Lisa Rene. Second, one of the jurors sent a letter to Mr. Hall after the trial saying that she had met the victim’s mother in the hallway during the trial. </w:t>
      </w:r>
      <w:r w:rsidR="002A2720" w:rsidRPr="00D2222C">
        <w:rPr>
          <w:rFonts w:ascii="Cambria" w:eastAsia="Arial Unicode MS" w:hAnsi="Cambria"/>
          <w:sz w:val="20"/>
          <w:szCs w:val="20"/>
          <w:bdr w:val="nil"/>
        </w:rPr>
        <w:t xml:space="preserve">The </w:t>
      </w:r>
      <w:r w:rsidR="0046041C" w:rsidRPr="00D2222C">
        <w:rPr>
          <w:rFonts w:ascii="Cambria" w:eastAsia="Arial Unicode MS" w:hAnsi="Cambria"/>
          <w:sz w:val="20"/>
          <w:szCs w:val="20"/>
          <w:bdr w:val="nil"/>
        </w:rPr>
        <w:t xml:space="preserve">district court </w:t>
      </w:r>
      <w:r w:rsidR="003C6480" w:rsidRPr="00D2222C">
        <w:rPr>
          <w:rFonts w:ascii="Cambria" w:eastAsia="Arial Unicode MS" w:hAnsi="Cambria"/>
          <w:sz w:val="20"/>
          <w:szCs w:val="20"/>
          <w:bdr w:val="nil"/>
        </w:rPr>
        <w:t xml:space="preserve">stated </w:t>
      </w:r>
      <w:r w:rsidR="0046041C" w:rsidRPr="00D2222C">
        <w:rPr>
          <w:rFonts w:ascii="Cambria" w:eastAsia="Arial Unicode MS" w:hAnsi="Cambria"/>
          <w:sz w:val="20"/>
          <w:szCs w:val="20"/>
          <w:bdr w:val="nil"/>
        </w:rPr>
        <w:t>that</w:t>
      </w:r>
      <w:r w:rsidR="002A2720" w:rsidRPr="00D2222C">
        <w:rPr>
          <w:rFonts w:ascii="Cambria" w:eastAsia="Arial Unicode MS" w:hAnsi="Cambria"/>
          <w:sz w:val="20"/>
          <w:szCs w:val="20"/>
          <w:bdr w:val="nil"/>
        </w:rPr>
        <w:t xml:space="preserve"> </w:t>
      </w:r>
      <w:r w:rsidR="0046041C" w:rsidRPr="00D2222C">
        <w:rPr>
          <w:rFonts w:ascii="Cambria" w:eastAsia="Arial Unicode MS" w:hAnsi="Cambria"/>
          <w:sz w:val="20"/>
          <w:szCs w:val="20"/>
          <w:bdr w:val="nil"/>
        </w:rPr>
        <w:t xml:space="preserve">in the </w:t>
      </w:r>
      <w:r w:rsidR="002A2720" w:rsidRPr="00D2222C">
        <w:rPr>
          <w:rFonts w:ascii="Cambria" w:eastAsia="Arial Unicode MS" w:hAnsi="Cambria"/>
          <w:sz w:val="20"/>
          <w:szCs w:val="20"/>
          <w:bdr w:val="nil"/>
        </w:rPr>
        <w:t xml:space="preserve">hearing on these issues </w:t>
      </w:r>
      <w:r w:rsidR="0046041C" w:rsidRPr="00D2222C">
        <w:rPr>
          <w:rFonts w:ascii="Cambria" w:eastAsia="Arial Unicode MS" w:hAnsi="Cambria"/>
          <w:sz w:val="20"/>
          <w:szCs w:val="20"/>
          <w:bdr w:val="nil"/>
        </w:rPr>
        <w:t xml:space="preserve">conducted </w:t>
      </w:r>
      <w:r w:rsidR="002A2720" w:rsidRPr="00D2222C">
        <w:rPr>
          <w:rFonts w:ascii="Cambria" w:eastAsia="Arial Unicode MS" w:hAnsi="Cambria"/>
          <w:sz w:val="20"/>
          <w:szCs w:val="20"/>
          <w:bdr w:val="nil"/>
        </w:rPr>
        <w:t xml:space="preserve">on June 7, 2004, </w:t>
      </w:r>
      <w:r w:rsidR="00BF0063" w:rsidRPr="00D2222C">
        <w:rPr>
          <w:rFonts w:ascii="Cambria" w:eastAsia="Arial Unicode MS" w:hAnsi="Cambria"/>
          <w:sz w:val="20"/>
          <w:szCs w:val="20"/>
          <w:bdr w:val="nil"/>
        </w:rPr>
        <w:t>the juror testified</w:t>
      </w:r>
      <w:r w:rsidR="00BB78FE" w:rsidRPr="00D2222C">
        <w:rPr>
          <w:rFonts w:ascii="Cambria" w:eastAsia="Arial Unicode MS" w:hAnsi="Cambria"/>
          <w:sz w:val="20"/>
          <w:szCs w:val="20"/>
          <w:bdr w:val="nil"/>
        </w:rPr>
        <w:t xml:space="preserve"> that the statement she made in the letter was not true. </w:t>
      </w:r>
      <w:r w:rsidR="0046041C" w:rsidRPr="00D2222C">
        <w:rPr>
          <w:rFonts w:ascii="Cambria" w:eastAsia="Arial Unicode MS" w:hAnsi="Cambria"/>
          <w:sz w:val="20"/>
          <w:szCs w:val="20"/>
          <w:bdr w:val="nil"/>
        </w:rPr>
        <w:t>Regarding the first issue, the court concluded that “mere speculation that some discussion between a juror and an unknown person occurred does not establish that extrinsic evidence entered the jury deliberations, especially where [the juror’s] sworn testimony is that she does not recall any juror discussing a birthday party, much less any prayer offered on behalf of the victim.”</w:t>
      </w:r>
    </w:p>
    <w:p w14:paraId="278A9DF4" w14:textId="77777777" w:rsidR="005008C7" w:rsidRPr="00D2222C" w:rsidRDefault="005008C7" w:rsidP="009E3847">
      <w:pPr>
        <w:pStyle w:val="NormalWeb"/>
        <w:shd w:val="clear" w:color="auto" w:fill="FFFFFF"/>
        <w:spacing w:before="0" w:beforeAutospacing="0" w:after="0" w:afterAutospacing="0"/>
        <w:ind w:left="720"/>
        <w:jc w:val="both"/>
        <w:rPr>
          <w:rFonts w:ascii="Cambria" w:eastAsia="Arial Unicode MS" w:hAnsi="Cambria"/>
          <w:sz w:val="20"/>
          <w:szCs w:val="20"/>
          <w:bdr w:val="nil"/>
        </w:rPr>
      </w:pPr>
    </w:p>
    <w:p w14:paraId="0BDA63AC" w14:textId="77777777" w:rsidR="00507534" w:rsidRPr="00D2222C" w:rsidRDefault="00604B83"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On November 9, 2004, </w:t>
      </w:r>
      <w:r w:rsidR="00C32A61" w:rsidRPr="00D2222C">
        <w:rPr>
          <w:rFonts w:ascii="Cambria" w:eastAsia="Arial Unicode MS" w:hAnsi="Cambria"/>
          <w:sz w:val="20"/>
          <w:szCs w:val="20"/>
          <w:bdr w:val="nil"/>
        </w:rPr>
        <w:t xml:space="preserve">Mr. </w:t>
      </w:r>
      <w:r w:rsidR="00507534" w:rsidRPr="00D2222C">
        <w:rPr>
          <w:rFonts w:ascii="Cambria" w:eastAsia="Arial Unicode MS" w:hAnsi="Cambria"/>
          <w:sz w:val="20"/>
          <w:szCs w:val="20"/>
          <w:bdr w:val="nil"/>
        </w:rPr>
        <w:t>Hall filed a notice of appeal from the district court's order and applied for a certificate of appealability (“COA”)</w:t>
      </w:r>
      <w:r w:rsidR="00D83FFE" w:rsidRPr="00D2222C">
        <w:rPr>
          <w:rFonts w:ascii="Cambria" w:eastAsia="Arial Unicode MS" w:hAnsi="Cambria"/>
          <w:sz w:val="20"/>
          <w:szCs w:val="20"/>
          <w:bdr w:val="nil"/>
        </w:rPr>
        <w:t xml:space="preserve"> </w:t>
      </w:r>
      <w:r w:rsidR="00007B4D" w:rsidRPr="00D2222C">
        <w:rPr>
          <w:rFonts w:ascii="Cambria" w:eastAsia="Arial Unicode MS" w:hAnsi="Cambria"/>
          <w:sz w:val="20"/>
          <w:szCs w:val="20"/>
          <w:bdr w:val="nil"/>
        </w:rPr>
        <w:t>raising</w:t>
      </w:r>
      <w:r w:rsidR="00D83FFE" w:rsidRPr="00D2222C">
        <w:rPr>
          <w:rFonts w:ascii="Cambria" w:eastAsia="Arial Unicode MS" w:hAnsi="Cambria"/>
          <w:sz w:val="20"/>
          <w:szCs w:val="20"/>
          <w:bdr w:val="nil"/>
        </w:rPr>
        <w:t xml:space="preserve">, as one of the main issues, the alleged </w:t>
      </w:r>
      <w:r w:rsidR="00BF4865" w:rsidRPr="00D2222C">
        <w:rPr>
          <w:rFonts w:ascii="Cambria" w:eastAsia="Arial Unicode MS" w:hAnsi="Cambria"/>
          <w:sz w:val="20"/>
          <w:szCs w:val="20"/>
          <w:bdr w:val="nil"/>
        </w:rPr>
        <w:t xml:space="preserve">penalty-phase </w:t>
      </w:r>
      <w:r w:rsidR="00D83FFE" w:rsidRPr="00D2222C">
        <w:rPr>
          <w:rFonts w:ascii="Cambria" w:eastAsia="Arial Unicode MS" w:hAnsi="Cambria"/>
          <w:sz w:val="20"/>
          <w:szCs w:val="20"/>
          <w:bdr w:val="nil"/>
        </w:rPr>
        <w:t>ineffective assistance of counsel</w:t>
      </w:r>
      <w:r w:rsidR="00507534" w:rsidRPr="00D2222C">
        <w:rPr>
          <w:rFonts w:ascii="Cambria" w:eastAsia="Arial Unicode MS" w:hAnsi="Cambria"/>
          <w:sz w:val="20"/>
          <w:szCs w:val="20"/>
          <w:bdr w:val="nil"/>
        </w:rPr>
        <w:t xml:space="preserve">. The district court denied </w:t>
      </w:r>
      <w:r w:rsidR="008E53E4" w:rsidRPr="00D2222C">
        <w:rPr>
          <w:rFonts w:ascii="Cambria" w:eastAsia="Arial Unicode MS" w:hAnsi="Cambria"/>
          <w:sz w:val="20"/>
          <w:szCs w:val="20"/>
          <w:bdr w:val="nil"/>
        </w:rPr>
        <w:t xml:space="preserve">Mr. </w:t>
      </w:r>
      <w:r w:rsidR="00507534" w:rsidRPr="00D2222C">
        <w:rPr>
          <w:rFonts w:ascii="Cambria" w:eastAsia="Arial Unicode MS" w:hAnsi="Cambria"/>
          <w:sz w:val="20"/>
          <w:szCs w:val="20"/>
          <w:bdr w:val="nil"/>
        </w:rPr>
        <w:t xml:space="preserve">Hall's COA application on December 6, 2004, finding that </w:t>
      </w:r>
      <w:r w:rsidR="00C32A61" w:rsidRPr="00D2222C">
        <w:rPr>
          <w:rFonts w:ascii="Cambria" w:eastAsia="Arial Unicode MS" w:hAnsi="Cambria"/>
          <w:sz w:val="20"/>
          <w:szCs w:val="20"/>
          <w:bdr w:val="nil"/>
        </w:rPr>
        <w:t xml:space="preserve">Mr. </w:t>
      </w:r>
      <w:r w:rsidR="00507534" w:rsidRPr="00D2222C">
        <w:rPr>
          <w:rFonts w:ascii="Cambria" w:eastAsia="Arial Unicode MS" w:hAnsi="Cambria"/>
          <w:sz w:val="20"/>
          <w:szCs w:val="20"/>
          <w:bdr w:val="nil"/>
        </w:rPr>
        <w:t xml:space="preserve">Hall had failed to make a substantial showing of the denial of a federal constitutional right. On July 18, 2005, </w:t>
      </w:r>
      <w:r w:rsidRPr="00D2222C">
        <w:rPr>
          <w:rFonts w:ascii="Cambria" w:eastAsia="Arial Unicode MS" w:hAnsi="Cambria"/>
          <w:sz w:val="20"/>
          <w:szCs w:val="20"/>
          <w:bdr w:val="nil"/>
        </w:rPr>
        <w:t>he</w:t>
      </w:r>
      <w:r w:rsidR="00507534" w:rsidRPr="00D2222C">
        <w:rPr>
          <w:rFonts w:ascii="Cambria" w:eastAsia="Arial Unicode MS" w:hAnsi="Cambria"/>
          <w:sz w:val="20"/>
          <w:szCs w:val="20"/>
          <w:bdr w:val="nil"/>
        </w:rPr>
        <w:t xml:space="preserve"> filed </w:t>
      </w:r>
      <w:r w:rsidR="00C32A61" w:rsidRPr="00D2222C">
        <w:rPr>
          <w:rFonts w:ascii="Cambria" w:eastAsia="Arial Unicode MS" w:hAnsi="Cambria"/>
          <w:sz w:val="20"/>
          <w:szCs w:val="20"/>
          <w:bdr w:val="nil"/>
        </w:rPr>
        <w:t>an</w:t>
      </w:r>
      <w:r w:rsidR="00507534" w:rsidRPr="00D2222C">
        <w:rPr>
          <w:rFonts w:ascii="Cambria" w:eastAsia="Arial Unicode MS" w:hAnsi="Cambria"/>
          <w:sz w:val="20"/>
          <w:szCs w:val="20"/>
          <w:bdr w:val="nil"/>
        </w:rPr>
        <w:t xml:space="preserve"> application for a COA with </w:t>
      </w:r>
      <w:r w:rsidR="00C32A61" w:rsidRPr="00D2222C">
        <w:rPr>
          <w:rFonts w:ascii="Cambria" w:eastAsia="Arial Unicode MS" w:hAnsi="Cambria"/>
          <w:sz w:val="20"/>
          <w:szCs w:val="20"/>
          <w:bdr w:val="nil"/>
        </w:rPr>
        <w:t xml:space="preserve">the </w:t>
      </w:r>
      <w:r w:rsidR="00C32A61" w:rsidRPr="00D2222C">
        <w:rPr>
          <w:rFonts w:ascii="Cambria" w:hAnsi="Cambria"/>
          <w:sz w:val="20"/>
          <w:szCs w:val="20"/>
        </w:rPr>
        <w:t>Fifth Circuit Court of Appeals</w:t>
      </w:r>
      <w:r w:rsidRPr="00D2222C">
        <w:rPr>
          <w:rFonts w:ascii="Cambria" w:eastAsia="Arial Unicode MS" w:hAnsi="Cambria"/>
          <w:sz w:val="20"/>
          <w:szCs w:val="20"/>
          <w:bdr w:val="nil"/>
        </w:rPr>
        <w:t xml:space="preserve">, which was denied on July </w:t>
      </w:r>
      <w:r w:rsidR="00623324" w:rsidRPr="00D2222C">
        <w:rPr>
          <w:rFonts w:ascii="Cambria" w:eastAsia="Arial Unicode MS" w:hAnsi="Cambria"/>
          <w:sz w:val="20"/>
          <w:szCs w:val="20"/>
          <w:bdr w:val="nil"/>
        </w:rPr>
        <w:t>5</w:t>
      </w:r>
      <w:r w:rsidRPr="00D2222C">
        <w:rPr>
          <w:rFonts w:ascii="Cambria" w:eastAsia="Arial Unicode MS" w:hAnsi="Cambria"/>
          <w:sz w:val="20"/>
          <w:szCs w:val="20"/>
          <w:bdr w:val="nil"/>
        </w:rPr>
        <w:t>, 2006.</w:t>
      </w:r>
      <w:r w:rsidR="00D83FFE" w:rsidRPr="00D2222C">
        <w:rPr>
          <w:rFonts w:ascii="Cambria" w:eastAsia="Arial Unicode MS" w:hAnsi="Cambria"/>
          <w:sz w:val="20"/>
          <w:szCs w:val="20"/>
          <w:bdr w:val="nil"/>
        </w:rPr>
        <w:t xml:space="preserve"> </w:t>
      </w:r>
      <w:r w:rsidR="004A37A5" w:rsidRPr="00D2222C">
        <w:rPr>
          <w:rFonts w:ascii="Cambria" w:eastAsia="Arial Unicode MS" w:hAnsi="Cambria"/>
          <w:sz w:val="20"/>
          <w:szCs w:val="20"/>
          <w:bdr w:val="nil"/>
        </w:rPr>
        <w:t>Regarding the denial of an evidentiary hearing to address the ineffective assistance of counsel claim, the Fifth Circuit established that, because Mr. Hall's “expert declarations failed to create a contested fact issue about the objective reasonableness of his trial counsel's mitigation investigation, no reasonable jurist could debate the district court's decision not to provide an evidentiary hearing to address this issue.”</w:t>
      </w:r>
      <w:r w:rsidR="004A37A5" w:rsidRPr="00D2222C">
        <w:rPr>
          <w:rStyle w:val="FootnoteReference"/>
          <w:rFonts w:ascii="Cambria" w:eastAsia="Arial Unicode MS" w:hAnsi="Cambria"/>
          <w:sz w:val="20"/>
          <w:szCs w:val="20"/>
          <w:bdr w:val="nil"/>
        </w:rPr>
        <w:footnoteReference w:id="20"/>
      </w:r>
      <w:r w:rsidR="004A37A5" w:rsidRPr="00D2222C">
        <w:rPr>
          <w:rFonts w:ascii="Cambria" w:eastAsia="Arial Unicode MS" w:hAnsi="Cambria"/>
          <w:sz w:val="20"/>
          <w:szCs w:val="20"/>
          <w:bdr w:val="nil"/>
        </w:rPr>
        <w:t xml:space="preserve">  </w:t>
      </w:r>
      <w:r w:rsidR="00623324" w:rsidRPr="00D2222C">
        <w:rPr>
          <w:rFonts w:ascii="Cambria" w:eastAsia="Arial Unicode MS" w:hAnsi="Cambria"/>
          <w:sz w:val="20"/>
          <w:szCs w:val="20"/>
          <w:bdr w:val="nil"/>
        </w:rPr>
        <w:t>On September 1, 2006, the Fifth C</w:t>
      </w:r>
      <w:r w:rsidR="004A37A5" w:rsidRPr="00D2222C">
        <w:rPr>
          <w:rFonts w:ascii="Cambria" w:eastAsia="Arial Unicode MS" w:hAnsi="Cambria"/>
          <w:sz w:val="20"/>
          <w:szCs w:val="20"/>
          <w:bdr w:val="nil"/>
        </w:rPr>
        <w:t>ircuit</w:t>
      </w:r>
      <w:r w:rsidR="00623324" w:rsidRPr="00D2222C">
        <w:rPr>
          <w:rFonts w:ascii="Cambria" w:eastAsia="Arial Unicode MS" w:hAnsi="Cambria"/>
          <w:sz w:val="20"/>
          <w:szCs w:val="20"/>
          <w:bdr w:val="nil"/>
        </w:rPr>
        <w:t xml:space="preserve"> denied a</w:t>
      </w:r>
      <w:r w:rsidR="00D83FFE" w:rsidRPr="00D2222C">
        <w:rPr>
          <w:rFonts w:ascii="Cambria" w:eastAsia="Arial Unicode MS" w:hAnsi="Cambria"/>
          <w:sz w:val="20"/>
          <w:szCs w:val="20"/>
          <w:bdr w:val="nil"/>
        </w:rPr>
        <w:t xml:space="preserve"> petition for rehearing </w:t>
      </w:r>
      <w:r w:rsidR="00D83FFE" w:rsidRPr="00D2222C">
        <w:rPr>
          <w:rFonts w:ascii="Cambria" w:eastAsia="Arial Unicode MS" w:hAnsi="Cambria"/>
          <w:i/>
          <w:sz w:val="20"/>
          <w:szCs w:val="20"/>
          <w:bdr w:val="nil"/>
        </w:rPr>
        <w:t>en banc</w:t>
      </w:r>
      <w:r w:rsidR="00D83FFE" w:rsidRPr="00D2222C">
        <w:rPr>
          <w:rFonts w:ascii="Cambria" w:eastAsia="Arial Unicode MS" w:hAnsi="Cambria"/>
          <w:sz w:val="20"/>
          <w:szCs w:val="20"/>
          <w:bdr w:val="nil"/>
        </w:rPr>
        <w:t>.</w:t>
      </w:r>
      <w:r w:rsidR="00623324" w:rsidRPr="00D2222C">
        <w:rPr>
          <w:rStyle w:val="FootnoteReference"/>
          <w:rFonts w:ascii="Cambria" w:eastAsia="Arial Unicode MS" w:hAnsi="Cambria"/>
          <w:sz w:val="20"/>
          <w:szCs w:val="20"/>
          <w:bdr w:val="nil"/>
        </w:rPr>
        <w:footnoteReference w:id="21"/>
      </w:r>
      <w:r w:rsidR="00D83FFE" w:rsidRPr="00D2222C">
        <w:rPr>
          <w:rFonts w:ascii="Cambria" w:eastAsia="Arial Unicode MS" w:hAnsi="Cambria"/>
          <w:sz w:val="20"/>
          <w:szCs w:val="20"/>
          <w:bdr w:val="nil"/>
        </w:rPr>
        <w:t xml:space="preserve"> </w:t>
      </w:r>
    </w:p>
    <w:p w14:paraId="542E82A4" w14:textId="77777777" w:rsidR="00623324" w:rsidRPr="00D2222C" w:rsidRDefault="00623324" w:rsidP="009E3847">
      <w:pPr>
        <w:pStyle w:val="ListParagraph"/>
        <w:rPr>
          <w:rFonts w:eastAsia="Arial Unicode MS"/>
          <w:sz w:val="20"/>
          <w:szCs w:val="20"/>
        </w:rPr>
      </w:pPr>
    </w:p>
    <w:p w14:paraId="1756C085" w14:textId="77777777" w:rsidR="00623324" w:rsidRPr="00D2222C" w:rsidRDefault="002F3598"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Mr. Hall filed a petition for writ of </w:t>
      </w:r>
      <w:r w:rsidRPr="00D2222C">
        <w:rPr>
          <w:rFonts w:ascii="Cambria" w:eastAsia="Arial Unicode MS" w:hAnsi="Cambria"/>
          <w:i/>
          <w:sz w:val="20"/>
          <w:szCs w:val="20"/>
          <w:bdr w:val="nil"/>
        </w:rPr>
        <w:t>certiorari</w:t>
      </w:r>
      <w:r w:rsidRPr="00D2222C">
        <w:rPr>
          <w:rFonts w:ascii="Cambria" w:eastAsia="Arial Unicode MS" w:hAnsi="Cambria"/>
          <w:sz w:val="20"/>
          <w:szCs w:val="20"/>
          <w:bdr w:val="nil"/>
        </w:rPr>
        <w:t xml:space="preserve"> to the United States Supreme Court</w:t>
      </w:r>
      <w:r w:rsidR="00DC7597" w:rsidRPr="00D2222C">
        <w:rPr>
          <w:rFonts w:ascii="Cambria" w:eastAsia="Arial Unicode MS" w:hAnsi="Cambria"/>
          <w:sz w:val="20"/>
          <w:szCs w:val="20"/>
          <w:bdr w:val="nil"/>
        </w:rPr>
        <w:t xml:space="preserve"> on November 30, 2006</w:t>
      </w:r>
      <w:r w:rsidR="00BC2154" w:rsidRPr="00D2222C">
        <w:rPr>
          <w:rFonts w:ascii="Cambria" w:eastAsia="Arial Unicode MS" w:hAnsi="Cambria"/>
          <w:sz w:val="20"/>
          <w:szCs w:val="20"/>
          <w:bdr w:val="nil"/>
        </w:rPr>
        <w:t>. H</w:t>
      </w:r>
      <w:r w:rsidR="00215CE2" w:rsidRPr="00D2222C">
        <w:rPr>
          <w:rFonts w:ascii="Cambria" w:eastAsia="Arial Unicode MS" w:hAnsi="Cambria"/>
          <w:sz w:val="20"/>
          <w:szCs w:val="20"/>
          <w:bdr w:val="nil"/>
        </w:rPr>
        <w:t>e</w:t>
      </w:r>
      <w:r w:rsidR="00BC2154" w:rsidRPr="00D2222C">
        <w:rPr>
          <w:rFonts w:ascii="Cambria" w:eastAsia="Arial Unicode MS" w:hAnsi="Cambria"/>
          <w:sz w:val="20"/>
          <w:szCs w:val="20"/>
          <w:bdr w:val="nil"/>
        </w:rPr>
        <w:t xml:space="preserve"> alleged, among other claims, that the district </w:t>
      </w:r>
      <w:r w:rsidR="00215CE2" w:rsidRPr="00D2222C">
        <w:rPr>
          <w:rFonts w:ascii="Cambria" w:eastAsia="Arial Unicode MS" w:hAnsi="Cambria"/>
          <w:sz w:val="20"/>
          <w:szCs w:val="20"/>
          <w:bdr w:val="nil"/>
        </w:rPr>
        <w:t>c</w:t>
      </w:r>
      <w:r w:rsidR="00BC2154" w:rsidRPr="00D2222C">
        <w:rPr>
          <w:rFonts w:ascii="Cambria" w:eastAsia="Arial Unicode MS" w:hAnsi="Cambria"/>
          <w:sz w:val="20"/>
          <w:szCs w:val="20"/>
          <w:bdr w:val="nil"/>
        </w:rPr>
        <w:t>ourt rejected his claim of penalty-phase ineffective assistance of counsel without conducting an evidentiary hearing</w:t>
      </w:r>
      <w:r w:rsidR="00DB3374" w:rsidRPr="00D2222C">
        <w:rPr>
          <w:rFonts w:ascii="Cambria" w:eastAsia="Arial Unicode MS" w:hAnsi="Cambria"/>
          <w:sz w:val="20"/>
          <w:szCs w:val="20"/>
          <w:bdr w:val="nil"/>
        </w:rPr>
        <w:t>,</w:t>
      </w:r>
      <w:r w:rsidR="00BC2154" w:rsidRPr="00D2222C">
        <w:rPr>
          <w:rFonts w:ascii="Cambria" w:eastAsia="Arial Unicode MS" w:hAnsi="Cambria"/>
          <w:sz w:val="20"/>
          <w:szCs w:val="20"/>
          <w:bdr w:val="nil"/>
        </w:rPr>
        <w:t xml:space="preserve"> crediting instead trial counsels’ own affidavits, which broadly disputed his factual allegations, and despite his submission of additional evidence refuting many of trial counsels’ claims.</w:t>
      </w:r>
      <w:r w:rsidR="003B6423" w:rsidRPr="00D2222C">
        <w:rPr>
          <w:rStyle w:val="FootnoteReference"/>
          <w:rFonts w:ascii="Cambria" w:eastAsia="Arial Unicode MS" w:hAnsi="Cambria"/>
          <w:sz w:val="20"/>
          <w:szCs w:val="20"/>
          <w:bdr w:val="nil"/>
        </w:rPr>
        <w:footnoteReference w:id="22"/>
      </w:r>
      <w:r w:rsidR="00BC2154" w:rsidRPr="00D2222C">
        <w:rPr>
          <w:rFonts w:ascii="Cambria" w:eastAsia="Arial Unicode MS" w:hAnsi="Cambria"/>
          <w:sz w:val="20"/>
          <w:szCs w:val="20"/>
          <w:bdr w:val="nil"/>
        </w:rPr>
        <w:t xml:space="preserve">  </w:t>
      </w:r>
      <w:r w:rsidR="00DC7597" w:rsidRPr="00D2222C">
        <w:rPr>
          <w:rFonts w:ascii="Cambria" w:eastAsia="Arial Unicode MS" w:hAnsi="Cambria"/>
          <w:sz w:val="20"/>
          <w:szCs w:val="20"/>
          <w:bdr w:val="nil"/>
        </w:rPr>
        <w:t>The petition was denied on April 16, 2007.</w:t>
      </w:r>
      <w:r w:rsidR="00377AD8" w:rsidRPr="00D2222C">
        <w:rPr>
          <w:rStyle w:val="FootnoteReference"/>
          <w:rFonts w:ascii="Cambria" w:eastAsia="Arial Unicode MS" w:hAnsi="Cambria"/>
          <w:sz w:val="20"/>
          <w:szCs w:val="20"/>
          <w:bdr w:val="nil"/>
        </w:rPr>
        <w:footnoteReference w:id="23"/>
      </w:r>
      <w:r w:rsidRPr="00D2222C">
        <w:rPr>
          <w:rFonts w:ascii="Cambria" w:eastAsia="Arial Unicode MS" w:hAnsi="Cambria"/>
          <w:sz w:val="20"/>
          <w:szCs w:val="20"/>
          <w:bdr w:val="nil"/>
        </w:rPr>
        <w:t xml:space="preserve"> </w:t>
      </w:r>
    </w:p>
    <w:p w14:paraId="76247A37" w14:textId="77777777" w:rsidR="00562E4A" w:rsidRPr="00D2222C" w:rsidRDefault="00562E4A" w:rsidP="009E3847">
      <w:pPr>
        <w:pStyle w:val="ListParagraph"/>
        <w:rPr>
          <w:rFonts w:eastAsia="Arial Unicode MS"/>
          <w:sz w:val="20"/>
          <w:szCs w:val="20"/>
        </w:rPr>
      </w:pPr>
    </w:p>
    <w:p w14:paraId="70719041" w14:textId="77777777" w:rsidR="00562E4A" w:rsidRPr="00D2222C" w:rsidRDefault="006A70B4"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Mr. Hall has been </w:t>
      </w:r>
      <w:r w:rsidR="003C6480" w:rsidRPr="00D2222C">
        <w:rPr>
          <w:rFonts w:ascii="Cambria" w:eastAsia="Arial Unicode MS" w:hAnsi="Cambria"/>
          <w:sz w:val="20"/>
          <w:szCs w:val="20"/>
          <w:bdr w:val="nil"/>
        </w:rPr>
        <w:t xml:space="preserve">incarcerated </w:t>
      </w:r>
      <w:r w:rsidRPr="00D2222C">
        <w:rPr>
          <w:rFonts w:ascii="Cambria" w:eastAsia="Arial Unicode MS" w:hAnsi="Cambria"/>
          <w:sz w:val="20"/>
          <w:szCs w:val="20"/>
          <w:bdr w:val="nil"/>
        </w:rPr>
        <w:t xml:space="preserve">on federal death row in </w:t>
      </w:r>
      <w:r w:rsidRPr="00D2222C">
        <w:rPr>
          <w:rFonts w:asciiTheme="majorHAnsi" w:eastAsia="Arial Unicode MS" w:hAnsiTheme="majorHAnsi"/>
          <w:sz w:val="20"/>
          <w:szCs w:val="20"/>
        </w:rPr>
        <w:t>the U.S. Penitentiary Terre Haute,</w:t>
      </w:r>
      <w:r w:rsidR="00562E4A" w:rsidRPr="00D2222C">
        <w:rPr>
          <w:rFonts w:ascii="Cambria" w:eastAsia="Arial Unicode MS" w:hAnsi="Cambria"/>
          <w:sz w:val="20"/>
          <w:szCs w:val="20"/>
          <w:bdr w:val="nil"/>
        </w:rPr>
        <w:t xml:space="preserve"> Indiana</w:t>
      </w:r>
      <w:r w:rsidRPr="00D2222C">
        <w:rPr>
          <w:rFonts w:ascii="Cambria" w:eastAsia="Arial Unicode MS" w:hAnsi="Cambria"/>
          <w:sz w:val="20"/>
          <w:szCs w:val="20"/>
          <w:bdr w:val="nil"/>
        </w:rPr>
        <w:t>, for</w:t>
      </w:r>
      <w:r w:rsidR="00562E4A" w:rsidRPr="00D2222C">
        <w:rPr>
          <w:rFonts w:ascii="Cambria" w:eastAsia="Arial Unicode MS" w:hAnsi="Cambria"/>
          <w:sz w:val="20"/>
          <w:szCs w:val="20"/>
          <w:bdr w:val="nil"/>
        </w:rPr>
        <w:t xml:space="preserve"> </w:t>
      </w:r>
      <w:r w:rsidRPr="00D2222C">
        <w:rPr>
          <w:rFonts w:ascii="Cambria" w:eastAsia="Arial Unicode MS" w:hAnsi="Cambria"/>
          <w:sz w:val="20"/>
          <w:szCs w:val="20"/>
          <w:bdr w:val="nil"/>
        </w:rPr>
        <w:t xml:space="preserve">approximately </w:t>
      </w:r>
      <w:r w:rsidR="00562E4A" w:rsidRPr="00D2222C">
        <w:rPr>
          <w:rFonts w:ascii="Cambria" w:eastAsia="Arial Unicode MS" w:hAnsi="Cambria"/>
          <w:sz w:val="20"/>
          <w:szCs w:val="20"/>
          <w:bdr w:val="nil"/>
        </w:rPr>
        <w:t xml:space="preserve">23 </w:t>
      </w:r>
      <w:r w:rsidRPr="00D2222C">
        <w:rPr>
          <w:rFonts w:ascii="Cambria" w:eastAsia="Arial Unicode MS" w:hAnsi="Cambria"/>
          <w:sz w:val="20"/>
          <w:szCs w:val="20"/>
          <w:bdr w:val="nil"/>
        </w:rPr>
        <w:t>years.</w:t>
      </w:r>
    </w:p>
    <w:p w14:paraId="4FB80C9E" w14:textId="77777777" w:rsidR="00880F95" w:rsidRPr="00D2222C" w:rsidRDefault="00880F95" w:rsidP="00880F95">
      <w:pPr>
        <w:pStyle w:val="ListParagraph"/>
        <w:rPr>
          <w:rFonts w:eastAsia="Arial Unicode MS"/>
          <w:sz w:val="20"/>
          <w:szCs w:val="20"/>
        </w:rPr>
      </w:pPr>
    </w:p>
    <w:p w14:paraId="62C8DEBD" w14:textId="77777777" w:rsidR="00F87A9A" w:rsidRPr="00D2222C" w:rsidRDefault="003741EF" w:rsidP="00090720">
      <w:pPr>
        <w:pStyle w:val="Heading2"/>
        <w:numPr>
          <w:ilvl w:val="0"/>
          <w:numId w:val="62"/>
        </w:numPr>
        <w:ind w:left="1440" w:hanging="720"/>
        <w:rPr>
          <w:color w:val="auto"/>
          <w:sz w:val="20"/>
          <w:szCs w:val="20"/>
        </w:rPr>
      </w:pPr>
      <w:bookmarkStart w:id="8" w:name="_Toc26550924"/>
      <w:r w:rsidRPr="00D2222C">
        <w:rPr>
          <w:color w:val="auto"/>
          <w:sz w:val="20"/>
          <w:szCs w:val="20"/>
        </w:rPr>
        <w:lastRenderedPageBreak/>
        <w:t xml:space="preserve">Cases of </w:t>
      </w:r>
      <w:r w:rsidR="00F87A9A" w:rsidRPr="00D2222C">
        <w:rPr>
          <w:color w:val="auto"/>
          <w:sz w:val="20"/>
          <w:szCs w:val="20"/>
        </w:rPr>
        <w:t>Miller</w:t>
      </w:r>
      <w:r w:rsidR="009356F2" w:rsidRPr="00D2222C">
        <w:rPr>
          <w:color w:val="auto"/>
          <w:sz w:val="20"/>
          <w:szCs w:val="20"/>
        </w:rPr>
        <w:t>-El</w:t>
      </w:r>
      <w:r w:rsidR="00F87A9A" w:rsidRPr="00D2222C">
        <w:rPr>
          <w:color w:val="auto"/>
          <w:sz w:val="20"/>
          <w:szCs w:val="20"/>
        </w:rPr>
        <w:t xml:space="preserve"> and Reed</w:t>
      </w:r>
      <w:bookmarkEnd w:id="8"/>
    </w:p>
    <w:p w14:paraId="4F15F497" w14:textId="77777777" w:rsidR="00F87A9A" w:rsidRPr="00D2222C" w:rsidRDefault="00F87A9A" w:rsidP="00F87A9A">
      <w:pPr>
        <w:pStyle w:val="ListParagraph"/>
        <w:ind w:left="1440"/>
        <w:jc w:val="both"/>
        <w:rPr>
          <w:rFonts w:asciiTheme="majorHAnsi" w:hAnsiTheme="majorHAnsi"/>
          <w:b/>
          <w:color w:val="auto"/>
          <w:sz w:val="20"/>
          <w:szCs w:val="20"/>
        </w:rPr>
      </w:pPr>
    </w:p>
    <w:p w14:paraId="18552F55" w14:textId="77777777" w:rsidR="00880F95" w:rsidRPr="00D2222C" w:rsidRDefault="00880F95"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In </w:t>
      </w:r>
      <w:r w:rsidR="003C6480" w:rsidRPr="00D2222C">
        <w:rPr>
          <w:rFonts w:ascii="Cambria" w:eastAsia="Arial Unicode MS" w:hAnsi="Cambria"/>
          <w:sz w:val="20"/>
          <w:szCs w:val="20"/>
          <w:bdr w:val="nil"/>
        </w:rPr>
        <w:t xml:space="preserve">the </w:t>
      </w:r>
      <w:r w:rsidRPr="00D2222C">
        <w:rPr>
          <w:rFonts w:ascii="Cambria" w:eastAsia="Arial Unicode MS" w:hAnsi="Cambria"/>
          <w:sz w:val="20"/>
          <w:szCs w:val="20"/>
          <w:bdr w:val="nil"/>
        </w:rPr>
        <w:t>2005</w:t>
      </w:r>
      <w:r w:rsidR="0053592E" w:rsidRPr="00D2222C">
        <w:rPr>
          <w:rFonts w:ascii="Cambria" w:eastAsia="Arial Unicode MS" w:hAnsi="Cambria"/>
          <w:sz w:val="20"/>
          <w:szCs w:val="20"/>
          <w:bdr w:val="nil"/>
        </w:rPr>
        <w:t xml:space="preserve"> </w:t>
      </w:r>
      <w:r w:rsidR="003C6480" w:rsidRPr="00D2222C">
        <w:rPr>
          <w:rFonts w:ascii="Cambria" w:eastAsia="Arial Unicode MS" w:hAnsi="Cambria"/>
          <w:sz w:val="20"/>
          <w:szCs w:val="20"/>
          <w:bdr w:val="nil"/>
        </w:rPr>
        <w:t>case</w:t>
      </w:r>
      <w:r w:rsidR="00AD1E27" w:rsidRPr="00D2222C">
        <w:rPr>
          <w:rFonts w:ascii="Cambria" w:eastAsia="Arial Unicode MS" w:hAnsi="Cambria"/>
          <w:sz w:val="20"/>
          <w:szCs w:val="20"/>
          <w:bdr w:val="nil"/>
        </w:rPr>
        <w:t xml:space="preserve"> </w:t>
      </w:r>
      <w:r w:rsidR="00FC052E" w:rsidRPr="00D2222C">
        <w:rPr>
          <w:rFonts w:ascii="Cambria" w:eastAsia="Arial Unicode MS" w:hAnsi="Cambria"/>
          <w:i/>
          <w:sz w:val="20"/>
          <w:szCs w:val="20"/>
          <w:bdr w:val="nil"/>
        </w:rPr>
        <w:t>Miller-El v. Dretke</w:t>
      </w:r>
      <w:r w:rsidR="00FC052E" w:rsidRPr="00D2222C">
        <w:rPr>
          <w:rFonts w:ascii="Cambria" w:eastAsia="Arial Unicode MS" w:hAnsi="Cambria"/>
          <w:sz w:val="20"/>
          <w:szCs w:val="20"/>
          <w:bdr w:val="nil"/>
        </w:rPr>
        <w:t>, a separate capital case,</w:t>
      </w:r>
      <w:r w:rsidR="003C6480" w:rsidRPr="00D2222C">
        <w:rPr>
          <w:rFonts w:ascii="Cambria" w:eastAsia="Arial Unicode MS" w:hAnsi="Cambria"/>
          <w:sz w:val="20"/>
          <w:szCs w:val="20"/>
          <w:bdr w:val="nil"/>
        </w:rPr>
        <w:t xml:space="preserve"> the Supreme Court</w:t>
      </w:r>
      <w:r w:rsidR="00FC052E" w:rsidRPr="00D2222C">
        <w:rPr>
          <w:rFonts w:ascii="Cambria" w:eastAsia="Arial Unicode MS" w:hAnsi="Cambria"/>
          <w:sz w:val="20"/>
          <w:szCs w:val="20"/>
          <w:bdr w:val="nil"/>
        </w:rPr>
        <w:t xml:space="preserve"> </w:t>
      </w:r>
      <w:r w:rsidR="00B016BF" w:rsidRPr="00D2222C">
        <w:rPr>
          <w:rFonts w:ascii="Cambria" w:eastAsia="Arial Unicode MS" w:hAnsi="Cambria"/>
          <w:sz w:val="20"/>
          <w:szCs w:val="20"/>
          <w:bdr w:val="nil"/>
        </w:rPr>
        <w:t xml:space="preserve">overturned the </w:t>
      </w:r>
      <w:r w:rsidR="003C6480" w:rsidRPr="00D2222C">
        <w:rPr>
          <w:rFonts w:ascii="Cambria" w:eastAsia="Arial Unicode MS" w:hAnsi="Cambria"/>
          <w:sz w:val="20"/>
          <w:szCs w:val="20"/>
          <w:bdr w:val="nil"/>
        </w:rPr>
        <w:t xml:space="preserve">defendant’s </w:t>
      </w:r>
      <w:r w:rsidR="00B016BF" w:rsidRPr="00D2222C">
        <w:rPr>
          <w:rFonts w:ascii="Cambria" w:eastAsia="Arial Unicode MS" w:hAnsi="Cambria"/>
          <w:sz w:val="20"/>
          <w:szCs w:val="20"/>
          <w:bdr w:val="nil"/>
        </w:rPr>
        <w:t>death sentence</w:t>
      </w:r>
      <w:r w:rsidR="003C6480" w:rsidRPr="00D2222C">
        <w:rPr>
          <w:rFonts w:ascii="Cambria" w:eastAsia="Arial Unicode MS" w:hAnsi="Cambria"/>
          <w:sz w:val="20"/>
          <w:szCs w:val="20"/>
          <w:bdr w:val="nil"/>
        </w:rPr>
        <w:t>,</w:t>
      </w:r>
      <w:r w:rsidR="00B016BF" w:rsidRPr="00D2222C">
        <w:rPr>
          <w:rFonts w:ascii="Cambria" w:eastAsia="Arial Unicode MS" w:hAnsi="Cambria"/>
          <w:sz w:val="20"/>
          <w:szCs w:val="20"/>
          <w:bdr w:val="nil"/>
        </w:rPr>
        <w:t xml:space="preserve"> finding </w:t>
      </w:r>
      <w:r w:rsidR="00FC052E" w:rsidRPr="00D2222C">
        <w:rPr>
          <w:rFonts w:ascii="Cambria" w:eastAsia="Arial Unicode MS" w:hAnsi="Cambria"/>
          <w:sz w:val="20"/>
          <w:szCs w:val="20"/>
          <w:bdr w:val="nil"/>
        </w:rPr>
        <w:t xml:space="preserve">that prosecutors </w:t>
      </w:r>
      <w:r w:rsidR="00B016BF" w:rsidRPr="00D2222C">
        <w:rPr>
          <w:rFonts w:ascii="Cambria" w:eastAsia="Arial Unicode MS" w:hAnsi="Cambria"/>
          <w:sz w:val="20"/>
          <w:szCs w:val="20"/>
          <w:bdr w:val="nil"/>
        </w:rPr>
        <w:t>had made</w:t>
      </w:r>
      <w:r w:rsidR="00FC052E" w:rsidRPr="00D2222C">
        <w:rPr>
          <w:rFonts w:ascii="Cambria" w:eastAsia="Arial Unicode MS" w:hAnsi="Cambria"/>
          <w:sz w:val="20"/>
          <w:szCs w:val="20"/>
          <w:bdr w:val="nil"/>
        </w:rPr>
        <w:t xml:space="preserve"> peremptory strikes of potential jurors based on race</w:t>
      </w:r>
      <w:r w:rsidR="00E16F9D" w:rsidRPr="00D2222C">
        <w:rPr>
          <w:rFonts w:ascii="Cambria" w:eastAsia="Arial Unicode MS" w:hAnsi="Cambria"/>
          <w:sz w:val="20"/>
          <w:szCs w:val="20"/>
          <w:bdr w:val="nil"/>
        </w:rPr>
        <w:t xml:space="preserve"> and therefore the jury selection process had been tainted by racial bias</w:t>
      </w:r>
      <w:r w:rsidR="00FC052E" w:rsidRPr="00D2222C">
        <w:rPr>
          <w:rFonts w:ascii="Cambria" w:eastAsia="Arial Unicode MS" w:hAnsi="Cambria"/>
          <w:sz w:val="20"/>
          <w:szCs w:val="20"/>
          <w:bdr w:val="nil"/>
        </w:rPr>
        <w:t>.</w:t>
      </w:r>
      <w:r w:rsidR="004C17B4" w:rsidRPr="00D2222C">
        <w:rPr>
          <w:rStyle w:val="FootnoteReference"/>
          <w:rFonts w:ascii="Cambria" w:eastAsia="Arial Unicode MS" w:hAnsi="Cambria"/>
          <w:sz w:val="20"/>
          <w:szCs w:val="20"/>
          <w:bdr w:val="nil"/>
        </w:rPr>
        <w:footnoteReference w:id="24"/>
      </w:r>
      <w:r w:rsidR="00FC052E" w:rsidRPr="00D2222C">
        <w:rPr>
          <w:rFonts w:ascii="Cambria" w:eastAsia="Arial Unicode MS" w:hAnsi="Cambria"/>
          <w:sz w:val="20"/>
          <w:szCs w:val="20"/>
          <w:bdr w:val="nil"/>
        </w:rPr>
        <w:t xml:space="preserve"> </w:t>
      </w:r>
      <w:r w:rsidR="00080249" w:rsidRPr="00D2222C">
        <w:rPr>
          <w:rFonts w:ascii="Cambria" w:eastAsia="Arial Unicode MS" w:hAnsi="Cambria"/>
          <w:sz w:val="20"/>
          <w:szCs w:val="20"/>
          <w:bdr w:val="nil"/>
        </w:rPr>
        <w:t>Paul Ma</w:t>
      </w:r>
      <w:r w:rsidR="00B21BC5" w:rsidRPr="00D2222C">
        <w:rPr>
          <w:rFonts w:ascii="Cambria" w:eastAsia="Arial Unicode MS" w:hAnsi="Cambria"/>
          <w:sz w:val="20"/>
          <w:szCs w:val="20"/>
          <w:bdr w:val="nil"/>
        </w:rPr>
        <w:t xml:space="preserve">caluso, </w:t>
      </w:r>
      <w:r w:rsidR="00E16F9D" w:rsidRPr="00D2222C">
        <w:rPr>
          <w:rFonts w:ascii="Cambria" w:eastAsia="Arial Unicode MS" w:hAnsi="Cambria"/>
          <w:sz w:val="20"/>
          <w:szCs w:val="20"/>
          <w:bdr w:val="nil"/>
        </w:rPr>
        <w:t xml:space="preserve">the assistant district attorney who selected the jury in Mr. Miller-El’s case, was </w:t>
      </w:r>
      <w:r w:rsidR="00080249" w:rsidRPr="00D2222C">
        <w:rPr>
          <w:rFonts w:ascii="Cambria" w:eastAsia="Arial Unicode MS" w:hAnsi="Cambria"/>
          <w:sz w:val="20"/>
          <w:szCs w:val="20"/>
          <w:bdr w:val="nil"/>
        </w:rPr>
        <w:t>A</w:t>
      </w:r>
      <w:r w:rsidR="00B21BC5" w:rsidRPr="00D2222C">
        <w:rPr>
          <w:rFonts w:ascii="Cambria" w:eastAsia="Arial Unicode MS" w:hAnsi="Cambria"/>
          <w:sz w:val="20"/>
          <w:szCs w:val="20"/>
          <w:bdr w:val="nil"/>
        </w:rPr>
        <w:t>ssistant U</w:t>
      </w:r>
      <w:r w:rsidR="00080249" w:rsidRPr="00D2222C">
        <w:rPr>
          <w:rFonts w:ascii="Cambria" w:eastAsia="Arial Unicode MS" w:hAnsi="Cambria"/>
          <w:sz w:val="20"/>
          <w:szCs w:val="20"/>
          <w:bdr w:val="nil"/>
        </w:rPr>
        <w:t xml:space="preserve">nited </w:t>
      </w:r>
      <w:r w:rsidR="00B21BC5" w:rsidRPr="00D2222C">
        <w:rPr>
          <w:rFonts w:ascii="Cambria" w:eastAsia="Arial Unicode MS" w:hAnsi="Cambria"/>
          <w:sz w:val="20"/>
          <w:szCs w:val="20"/>
          <w:bdr w:val="nil"/>
        </w:rPr>
        <w:t>S</w:t>
      </w:r>
      <w:r w:rsidR="00080249" w:rsidRPr="00D2222C">
        <w:rPr>
          <w:rFonts w:ascii="Cambria" w:eastAsia="Arial Unicode MS" w:hAnsi="Cambria"/>
          <w:sz w:val="20"/>
          <w:szCs w:val="20"/>
          <w:bdr w:val="nil"/>
        </w:rPr>
        <w:t>tates</w:t>
      </w:r>
      <w:r w:rsidR="00B21BC5" w:rsidRPr="00D2222C">
        <w:rPr>
          <w:rFonts w:ascii="Cambria" w:eastAsia="Arial Unicode MS" w:hAnsi="Cambria"/>
          <w:sz w:val="20"/>
          <w:szCs w:val="20"/>
          <w:bdr w:val="nil"/>
        </w:rPr>
        <w:t xml:space="preserve"> attorney in Mr. Hall’s trial. </w:t>
      </w:r>
    </w:p>
    <w:p w14:paraId="170587A1" w14:textId="77777777" w:rsidR="00316559" w:rsidRPr="00D2222C" w:rsidRDefault="00316559" w:rsidP="009E3847">
      <w:pPr>
        <w:pStyle w:val="NormalWeb"/>
        <w:shd w:val="clear" w:color="auto" w:fill="FFFFFF"/>
        <w:spacing w:before="0" w:beforeAutospacing="0" w:after="0" w:afterAutospacing="0"/>
        <w:ind w:left="720"/>
        <w:jc w:val="both"/>
        <w:rPr>
          <w:rFonts w:ascii="Cambria" w:eastAsia="Arial Unicode MS" w:hAnsi="Cambria"/>
          <w:sz w:val="20"/>
          <w:szCs w:val="20"/>
          <w:bdr w:val="nil"/>
        </w:rPr>
      </w:pPr>
    </w:p>
    <w:p w14:paraId="4A30E45C" w14:textId="77777777" w:rsidR="00316559" w:rsidRPr="00D2222C" w:rsidRDefault="00D96245"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In 2009</w:t>
      </w:r>
      <w:r w:rsidR="003C6480" w:rsidRPr="00D2222C">
        <w:rPr>
          <w:rFonts w:ascii="Cambria" w:eastAsia="Arial Unicode MS" w:hAnsi="Cambria"/>
          <w:sz w:val="20"/>
          <w:szCs w:val="20"/>
          <w:bdr w:val="nil"/>
        </w:rPr>
        <w:t>,</w:t>
      </w:r>
      <w:r w:rsidRPr="00D2222C">
        <w:rPr>
          <w:rFonts w:ascii="Cambria" w:eastAsia="Arial Unicode MS" w:hAnsi="Cambria"/>
          <w:sz w:val="20"/>
          <w:szCs w:val="20"/>
          <w:bdr w:val="nil"/>
        </w:rPr>
        <w:t xml:space="preserve"> in another</w:t>
      </w:r>
      <w:r w:rsidR="00316559" w:rsidRPr="00D2222C">
        <w:rPr>
          <w:rFonts w:ascii="Cambria" w:eastAsia="Arial Unicode MS" w:hAnsi="Cambria"/>
          <w:sz w:val="20"/>
          <w:szCs w:val="20"/>
          <w:bdr w:val="nil"/>
        </w:rPr>
        <w:t xml:space="preserve"> capital case, the Fifth Circuit</w:t>
      </w:r>
      <w:r w:rsidRPr="00D2222C">
        <w:rPr>
          <w:rFonts w:ascii="Cambria" w:eastAsia="Arial Unicode MS" w:hAnsi="Cambria"/>
          <w:sz w:val="20"/>
          <w:szCs w:val="20"/>
          <w:bdr w:val="nil"/>
        </w:rPr>
        <w:t xml:space="preserve"> </w:t>
      </w:r>
      <w:r w:rsidR="0035485A" w:rsidRPr="00D2222C">
        <w:rPr>
          <w:rFonts w:ascii="Cambria" w:eastAsia="Arial Unicode MS" w:hAnsi="Cambria"/>
          <w:sz w:val="20"/>
          <w:szCs w:val="20"/>
          <w:bdr w:val="nil"/>
        </w:rPr>
        <w:t>established that</w:t>
      </w:r>
      <w:r w:rsidR="003C6480" w:rsidRPr="00D2222C">
        <w:rPr>
          <w:rFonts w:ascii="Cambria" w:eastAsia="Arial Unicode MS" w:hAnsi="Cambria"/>
          <w:sz w:val="20"/>
          <w:szCs w:val="20"/>
          <w:bdr w:val="nil"/>
        </w:rPr>
        <w:t xml:space="preserve"> defendant</w:t>
      </w:r>
      <w:r w:rsidR="0035485A" w:rsidRPr="00D2222C">
        <w:rPr>
          <w:rFonts w:ascii="Cambria" w:eastAsia="Arial Unicode MS" w:hAnsi="Cambria"/>
          <w:sz w:val="20"/>
          <w:szCs w:val="20"/>
          <w:bdr w:val="nil"/>
        </w:rPr>
        <w:t xml:space="preserve"> Mr. Reed was entitled to habeas corpus relief </w:t>
      </w:r>
      <w:r w:rsidR="00AD1E27" w:rsidRPr="00D2222C">
        <w:rPr>
          <w:rFonts w:ascii="Cambria" w:eastAsia="Arial Unicode MS" w:hAnsi="Cambria"/>
          <w:sz w:val="20"/>
          <w:szCs w:val="20"/>
          <w:bdr w:val="nil"/>
        </w:rPr>
        <w:t>given the</w:t>
      </w:r>
      <w:r w:rsidR="0065765B" w:rsidRPr="00D2222C">
        <w:rPr>
          <w:rFonts w:ascii="Cambria" w:eastAsia="Arial Unicode MS" w:hAnsi="Cambria"/>
          <w:sz w:val="20"/>
          <w:szCs w:val="20"/>
          <w:bdr w:val="nil"/>
        </w:rPr>
        <w:t xml:space="preserve"> peremptory strikes o</w:t>
      </w:r>
      <w:r w:rsidR="0035485A" w:rsidRPr="00D2222C">
        <w:rPr>
          <w:rFonts w:ascii="Cambria" w:eastAsia="Arial Unicode MS" w:hAnsi="Cambria"/>
          <w:sz w:val="20"/>
          <w:szCs w:val="20"/>
          <w:bdr w:val="nil"/>
        </w:rPr>
        <w:t>f potential jurors based on race made by the same prosecutor.</w:t>
      </w:r>
      <w:r w:rsidR="0035485A" w:rsidRPr="00D2222C">
        <w:rPr>
          <w:rStyle w:val="FootnoteReference"/>
          <w:rFonts w:ascii="Cambria" w:eastAsia="Arial Unicode MS" w:hAnsi="Cambria"/>
          <w:sz w:val="20"/>
          <w:szCs w:val="20"/>
          <w:bdr w:val="nil"/>
        </w:rPr>
        <w:footnoteReference w:id="25"/>
      </w:r>
      <w:r w:rsidR="0035485A" w:rsidRPr="00D2222C">
        <w:rPr>
          <w:rFonts w:ascii="Cambria" w:eastAsia="Arial Unicode MS" w:hAnsi="Cambria"/>
          <w:sz w:val="20"/>
          <w:szCs w:val="20"/>
          <w:bdr w:val="nil"/>
        </w:rPr>
        <w:t xml:space="preserve"> </w:t>
      </w:r>
    </w:p>
    <w:p w14:paraId="50B57217" w14:textId="77777777" w:rsidR="001C4006" w:rsidRPr="00D2222C" w:rsidRDefault="001C4006" w:rsidP="00090720">
      <w:pPr>
        <w:pStyle w:val="Heading2"/>
        <w:numPr>
          <w:ilvl w:val="0"/>
          <w:numId w:val="62"/>
        </w:numPr>
        <w:ind w:left="1440" w:hanging="720"/>
        <w:rPr>
          <w:color w:val="auto"/>
          <w:sz w:val="20"/>
          <w:szCs w:val="20"/>
        </w:rPr>
      </w:pPr>
      <w:bookmarkStart w:id="9" w:name="_Toc26550925"/>
      <w:r w:rsidRPr="00D2222C">
        <w:rPr>
          <w:color w:val="auto"/>
          <w:sz w:val="20"/>
          <w:szCs w:val="20"/>
        </w:rPr>
        <w:t xml:space="preserve">Legal proceedings </w:t>
      </w:r>
      <w:r w:rsidR="00DD6F04" w:rsidRPr="00D2222C">
        <w:rPr>
          <w:color w:val="auto"/>
          <w:sz w:val="20"/>
          <w:szCs w:val="20"/>
        </w:rPr>
        <w:t xml:space="preserve">regarding </w:t>
      </w:r>
      <w:r w:rsidR="00D65E4F" w:rsidRPr="00D2222C">
        <w:rPr>
          <w:color w:val="auto"/>
          <w:sz w:val="20"/>
          <w:szCs w:val="20"/>
        </w:rPr>
        <w:t xml:space="preserve">the </w:t>
      </w:r>
      <w:r w:rsidR="00DD6F04" w:rsidRPr="00D2222C">
        <w:rPr>
          <w:color w:val="auto"/>
          <w:sz w:val="20"/>
          <w:szCs w:val="20"/>
        </w:rPr>
        <w:t>lethal injection protocol</w:t>
      </w:r>
      <w:bookmarkEnd w:id="9"/>
    </w:p>
    <w:p w14:paraId="5BE6BFEF" w14:textId="77777777" w:rsidR="00DD6F04" w:rsidRPr="00D2222C" w:rsidRDefault="00DD6F04" w:rsidP="00090720">
      <w:pPr>
        <w:pStyle w:val="ListParagraph"/>
        <w:ind w:left="1440" w:hanging="720"/>
        <w:jc w:val="both"/>
        <w:rPr>
          <w:rFonts w:asciiTheme="majorHAnsi" w:hAnsiTheme="majorHAnsi"/>
          <w:b/>
          <w:color w:val="auto"/>
          <w:sz w:val="20"/>
          <w:szCs w:val="20"/>
        </w:rPr>
      </w:pPr>
    </w:p>
    <w:p w14:paraId="3E5E1D06" w14:textId="77777777" w:rsidR="002D4CA0" w:rsidRPr="00D2222C" w:rsidRDefault="002D4CA0" w:rsidP="009E3847">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rPr>
      </w:pPr>
      <w:r w:rsidRPr="00D2222C">
        <w:rPr>
          <w:rFonts w:asciiTheme="majorHAnsi" w:eastAsia="Arial Unicode MS" w:hAnsiTheme="majorHAnsi"/>
          <w:sz w:val="20"/>
          <w:szCs w:val="20"/>
        </w:rPr>
        <w:t xml:space="preserve">Mr. Hall filed a complaint with the U.S. Penitentiary Terre Haute challenging the lethal injection protocol as a violation of his rights to be free from cruel and unusual punishment and requesting information about the process that would be used for his execution. </w:t>
      </w:r>
      <w:r w:rsidR="0049749D" w:rsidRPr="00D2222C">
        <w:rPr>
          <w:rFonts w:asciiTheme="majorHAnsi" w:eastAsia="Arial Unicode MS" w:hAnsiTheme="majorHAnsi"/>
          <w:sz w:val="20"/>
          <w:szCs w:val="20"/>
        </w:rPr>
        <w:t>The Warden and the Bureau of Prisons Regional Administrator summarily denied his challenge and his request. In November 2006, the Bureau of Prisons Central (National) Administration similarly denied his challenge and request.</w:t>
      </w:r>
      <w:r w:rsidR="0049749D" w:rsidRPr="00D2222C">
        <w:rPr>
          <w:rStyle w:val="FootnoteReference"/>
          <w:rFonts w:asciiTheme="majorHAnsi" w:eastAsia="Arial Unicode MS" w:hAnsiTheme="majorHAnsi"/>
          <w:sz w:val="20"/>
          <w:szCs w:val="20"/>
        </w:rPr>
        <w:footnoteReference w:id="26"/>
      </w:r>
    </w:p>
    <w:p w14:paraId="3B8C49EB" w14:textId="77777777" w:rsidR="000E56C3" w:rsidRPr="00D2222C" w:rsidRDefault="000E56C3" w:rsidP="009E3847">
      <w:pPr>
        <w:pStyle w:val="NormalWeb"/>
        <w:shd w:val="clear" w:color="auto" w:fill="FFFFFF"/>
        <w:spacing w:before="0" w:beforeAutospacing="0" w:after="0" w:afterAutospacing="0"/>
        <w:ind w:left="720"/>
        <w:jc w:val="both"/>
        <w:rPr>
          <w:rFonts w:asciiTheme="majorHAnsi" w:eastAsia="Arial Unicode MS" w:hAnsiTheme="majorHAnsi"/>
          <w:sz w:val="20"/>
          <w:szCs w:val="20"/>
        </w:rPr>
      </w:pPr>
    </w:p>
    <w:p w14:paraId="0FFC94F1" w14:textId="77777777" w:rsidR="000E56C3" w:rsidRPr="00D2222C" w:rsidRDefault="000E56C3" w:rsidP="009E3847">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rPr>
      </w:pPr>
      <w:r w:rsidRPr="00D2222C">
        <w:rPr>
          <w:rFonts w:asciiTheme="majorHAnsi" w:eastAsia="Arial Unicode MS" w:hAnsiTheme="majorHAnsi"/>
          <w:sz w:val="20"/>
          <w:szCs w:val="20"/>
        </w:rPr>
        <w:t>After exhaust</w:t>
      </w:r>
      <w:r w:rsidR="006247DB" w:rsidRPr="00D2222C">
        <w:rPr>
          <w:rFonts w:asciiTheme="majorHAnsi" w:eastAsia="Arial Unicode MS" w:hAnsiTheme="majorHAnsi"/>
          <w:sz w:val="20"/>
          <w:szCs w:val="20"/>
        </w:rPr>
        <w:t>ing</w:t>
      </w:r>
      <w:r w:rsidRPr="00D2222C">
        <w:rPr>
          <w:rFonts w:asciiTheme="majorHAnsi" w:eastAsia="Arial Unicode MS" w:hAnsiTheme="majorHAnsi"/>
          <w:sz w:val="20"/>
          <w:szCs w:val="20"/>
        </w:rPr>
        <w:t xml:space="preserve"> his administrative appeals, Mr. Hall </w:t>
      </w:r>
      <w:r w:rsidR="00BC6FB1" w:rsidRPr="00D2222C">
        <w:rPr>
          <w:rFonts w:asciiTheme="majorHAnsi" w:eastAsia="Arial Unicode MS" w:hAnsiTheme="majorHAnsi"/>
          <w:sz w:val="20"/>
          <w:szCs w:val="20"/>
        </w:rPr>
        <w:t xml:space="preserve">filed a civil action before the United States District Court for the District of Columbia on June 4, 2007. </w:t>
      </w:r>
      <w:r w:rsidR="00F06961" w:rsidRPr="00D2222C">
        <w:rPr>
          <w:rFonts w:asciiTheme="majorHAnsi" w:eastAsia="Arial Unicode MS" w:hAnsiTheme="majorHAnsi"/>
          <w:sz w:val="20"/>
          <w:szCs w:val="20"/>
        </w:rPr>
        <w:t>Mr. Hall alleged that the three-drug protocol threatened to subject him to consciously experiencing asphyxiation and cardiac arrest and that, by refusing to provide adequate information about the protocol, the government violated his right to due process of law.</w:t>
      </w:r>
      <w:r w:rsidR="003E4E8A" w:rsidRPr="00D2222C">
        <w:rPr>
          <w:rStyle w:val="FootnoteReference"/>
          <w:rFonts w:asciiTheme="majorHAnsi" w:eastAsia="Arial Unicode MS" w:hAnsiTheme="majorHAnsi"/>
          <w:sz w:val="20"/>
          <w:szCs w:val="20"/>
        </w:rPr>
        <w:footnoteReference w:id="27"/>
      </w:r>
    </w:p>
    <w:p w14:paraId="67EA897C" w14:textId="77777777" w:rsidR="00DD6F04" w:rsidRPr="00D2222C" w:rsidRDefault="00DD6F04" w:rsidP="009E3847">
      <w:pPr>
        <w:pStyle w:val="ListParagraph"/>
        <w:ind w:left="1440"/>
        <w:jc w:val="both"/>
        <w:rPr>
          <w:rFonts w:asciiTheme="majorHAnsi" w:hAnsiTheme="majorHAnsi"/>
          <w:b/>
          <w:color w:val="auto"/>
          <w:sz w:val="20"/>
          <w:szCs w:val="20"/>
        </w:rPr>
      </w:pPr>
    </w:p>
    <w:p w14:paraId="2BA95322" w14:textId="77777777" w:rsidR="000D3921" w:rsidRPr="00D2222C" w:rsidRDefault="0049749D" w:rsidP="009E3847">
      <w:pPr>
        <w:pStyle w:val="NormalWeb"/>
        <w:numPr>
          <w:ilvl w:val="0"/>
          <w:numId w:val="55"/>
        </w:numPr>
        <w:shd w:val="clear" w:color="auto" w:fill="FFFFFF"/>
        <w:spacing w:before="0" w:beforeAutospacing="0" w:after="0" w:afterAutospacing="0"/>
        <w:ind w:left="0" w:firstLine="0"/>
        <w:jc w:val="both"/>
        <w:rPr>
          <w:rFonts w:eastAsia="Arial Unicode MS"/>
          <w:sz w:val="20"/>
          <w:szCs w:val="20"/>
        </w:rPr>
      </w:pPr>
      <w:r w:rsidRPr="00D2222C">
        <w:rPr>
          <w:rFonts w:ascii="Cambria" w:eastAsia="Arial Unicode MS" w:hAnsi="Cambria"/>
          <w:sz w:val="20"/>
          <w:szCs w:val="20"/>
          <w:bdr w:val="nil"/>
        </w:rPr>
        <w:t>In 2007</w:t>
      </w:r>
      <w:r w:rsidR="003C6480" w:rsidRPr="00D2222C">
        <w:rPr>
          <w:rFonts w:ascii="Cambria" w:eastAsia="Arial Unicode MS" w:hAnsi="Cambria"/>
          <w:sz w:val="20"/>
          <w:szCs w:val="20"/>
          <w:bdr w:val="nil"/>
        </w:rPr>
        <w:t>,</w:t>
      </w:r>
      <w:r w:rsidRPr="00D2222C">
        <w:rPr>
          <w:rFonts w:ascii="Cambria" w:eastAsia="Arial Unicode MS" w:hAnsi="Cambria"/>
          <w:sz w:val="20"/>
          <w:szCs w:val="20"/>
          <w:bdr w:val="nil"/>
        </w:rPr>
        <w:t xml:space="preserve"> Mr. Hall joined federal death row inmates</w:t>
      </w:r>
      <w:r w:rsidR="00636E0C" w:rsidRPr="00D2222C">
        <w:rPr>
          <w:rFonts w:ascii="Cambria" w:eastAsia="Arial Unicode MS" w:hAnsi="Cambria"/>
          <w:sz w:val="20"/>
          <w:szCs w:val="20"/>
          <w:bdr w:val="nil"/>
        </w:rPr>
        <w:t xml:space="preserve"> Roane, Tipton and Johnson</w:t>
      </w:r>
      <w:r w:rsidRPr="00D2222C">
        <w:rPr>
          <w:rFonts w:ascii="Cambria" w:eastAsia="Arial Unicode MS" w:hAnsi="Cambria"/>
          <w:sz w:val="20"/>
          <w:szCs w:val="20"/>
          <w:bdr w:val="nil"/>
        </w:rPr>
        <w:t xml:space="preserve"> in a federal lawsuit </w:t>
      </w:r>
      <w:r w:rsidR="00636E0C" w:rsidRPr="00D2222C">
        <w:rPr>
          <w:rFonts w:ascii="Cambria" w:eastAsia="Arial Unicode MS" w:hAnsi="Cambria"/>
          <w:sz w:val="20"/>
          <w:szCs w:val="20"/>
          <w:bdr w:val="nil"/>
        </w:rPr>
        <w:t xml:space="preserve">before the District of Columbia Circuit Court originally </w:t>
      </w:r>
      <w:r w:rsidRPr="00D2222C">
        <w:rPr>
          <w:rFonts w:ascii="Cambria" w:eastAsia="Arial Unicode MS" w:hAnsi="Cambria"/>
          <w:sz w:val="20"/>
          <w:szCs w:val="20"/>
          <w:bdr w:val="nil"/>
        </w:rPr>
        <w:t>filed</w:t>
      </w:r>
      <w:r w:rsidR="00636E0C" w:rsidRPr="00D2222C">
        <w:rPr>
          <w:rFonts w:ascii="Cambria" w:eastAsia="Arial Unicode MS" w:hAnsi="Cambria"/>
          <w:sz w:val="20"/>
          <w:szCs w:val="20"/>
          <w:bdr w:val="nil"/>
        </w:rPr>
        <w:t xml:space="preserve"> on December 6, 2005,</w:t>
      </w:r>
      <w:r w:rsidRPr="00D2222C">
        <w:rPr>
          <w:rFonts w:ascii="Cambria" w:eastAsia="Arial Unicode MS" w:hAnsi="Cambria"/>
          <w:sz w:val="20"/>
          <w:szCs w:val="20"/>
          <w:bdr w:val="nil"/>
        </w:rPr>
        <w:t xml:space="preserve"> challenging the execution procedures. In April 2011, the government notified the district court that sodium thiopental, one of the three drugs used to carry out executions as called for by the federal protocol, was no longer available. In July 2011, the government informed the court that in light of the unavailability of sodium thiopental it had decided to alter the drug mixture used in its executions. Since then, activity in the case has been limited to the government filing</w:t>
      </w:r>
      <w:r w:rsidR="00012470" w:rsidRPr="00D2222C">
        <w:rPr>
          <w:rFonts w:ascii="Cambria" w:eastAsia="Arial Unicode MS" w:hAnsi="Cambria"/>
          <w:sz w:val="20"/>
          <w:szCs w:val="20"/>
          <w:bdr w:val="nil"/>
        </w:rPr>
        <w:t xml:space="preserve"> status reports every four months</w:t>
      </w:r>
      <w:r w:rsidRPr="00D2222C">
        <w:rPr>
          <w:rFonts w:ascii="Cambria" w:eastAsia="Arial Unicode MS" w:hAnsi="Cambria"/>
          <w:sz w:val="20"/>
          <w:szCs w:val="20"/>
          <w:bdr w:val="nil"/>
        </w:rPr>
        <w:t xml:space="preserve"> as it continues the process to determine what drug combination will be used. In the meantime, the inmates’ claims remain unresolved.</w:t>
      </w:r>
      <w:r w:rsidRPr="00D2222C">
        <w:rPr>
          <w:rStyle w:val="FootnoteReference"/>
          <w:rFonts w:ascii="Cambria" w:eastAsia="Arial Unicode MS" w:hAnsi="Cambria"/>
          <w:sz w:val="20"/>
          <w:szCs w:val="20"/>
          <w:bdr w:val="nil"/>
        </w:rPr>
        <w:footnoteReference w:id="28"/>
      </w:r>
      <w:r w:rsidRPr="00D2222C">
        <w:rPr>
          <w:rFonts w:ascii="Cambria" w:eastAsia="Arial Unicode MS" w:hAnsi="Cambria"/>
          <w:sz w:val="20"/>
          <w:szCs w:val="20"/>
          <w:bdr w:val="nil"/>
        </w:rPr>
        <w:t xml:space="preserve"> </w:t>
      </w:r>
    </w:p>
    <w:p w14:paraId="19E70736" w14:textId="77777777" w:rsidR="007D4C93" w:rsidRPr="00D2222C" w:rsidRDefault="007D4C93" w:rsidP="007D2FEE">
      <w:pPr>
        <w:pStyle w:val="ListParagraph"/>
        <w:rPr>
          <w:sz w:val="20"/>
          <w:szCs w:val="20"/>
        </w:rPr>
      </w:pPr>
    </w:p>
    <w:p w14:paraId="4F0C5D83" w14:textId="77777777" w:rsidR="001C4006" w:rsidRPr="00D2222C" w:rsidRDefault="001C4006" w:rsidP="00090720">
      <w:pPr>
        <w:pStyle w:val="Heading1"/>
        <w:spacing w:before="0"/>
        <w:ind w:left="1440" w:hanging="720"/>
        <w:rPr>
          <w:color w:val="auto"/>
          <w:sz w:val="20"/>
          <w:szCs w:val="20"/>
          <w:lang w:val="es-ES_tradnl"/>
        </w:rPr>
      </w:pPr>
      <w:bookmarkStart w:id="10" w:name="_Toc26550926"/>
      <w:r w:rsidRPr="00D2222C">
        <w:rPr>
          <w:color w:val="auto"/>
          <w:sz w:val="20"/>
          <w:szCs w:val="20"/>
          <w:lang w:val="es-ES_tradnl"/>
        </w:rPr>
        <w:t>ANALYSIS OF LAW</w:t>
      </w:r>
      <w:bookmarkEnd w:id="10"/>
    </w:p>
    <w:p w14:paraId="286C3B97" w14:textId="77777777" w:rsidR="001C4006" w:rsidRPr="00D2222C" w:rsidRDefault="001C4006" w:rsidP="00090720">
      <w:pPr>
        <w:suppressAutoHyphens/>
        <w:rPr>
          <w:rFonts w:asciiTheme="majorHAnsi" w:hAnsiTheme="majorHAnsi"/>
          <w:b/>
          <w:sz w:val="20"/>
          <w:szCs w:val="20"/>
          <w:lang w:val="es-ES_tradnl"/>
        </w:rPr>
      </w:pPr>
    </w:p>
    <w:p w14:paraId="5B36D0E4" w14:textId="77777777" w:rsidR="007D2FEE" w:rsidRPr="00D2222C" w:rsidRDefault="007D2FEE" w:rsidP="00090720">
      <w:pPr>
        <w:pStyle w:val="Heading2"/>
        <w:spacing w:before="0"/>
        <w:ind w:left="1440" w:hanging="720"/>
        <w:rPr>
          <w:color w:val="auto"/>
          <w:sz w:val="20"/>
          <w:szCs w:val="20"/>
        </w:rPr>
      </w:pPr>
      <w:bookmarkStart w:id="11" w:name="_Toc412815742"/>
      <w:bookmarkStart w:id="12" w:name="_Toc26550927"/>
      <w:r w:rsidRPr="00D2222C">
        <w:rPr>
          <w:color w:val="auto"/>
          <w:sz w:val="20"/>
          <w:szCs w:val="20"/>
        </w:rPr>
        <w:t>A.</w:t>
      </w:r>
      <w:r w:rsidRPr="00D2222C">
        <w:rPr>
          <w:color w:val="auto"/>
          <w:sz w:val="20"/>
          <w:szCs w:val="20"/>
        </w:rPr>
        <w:tab/>
        <w:t xml:space="preserve">Preliminary </w:t>
      </w:r>
      <w:bookmarkEnd w:id="11"/>
      <w:r w:rsidRPr="00D2222C">
        <w:rPr>
          <w:color w:val="auto"/>
          <w:sz w:val="20"/>
          <w:szCs w:val="20"/>
        </w:rPr>
        <w:t>considerations</w:t>
      </w:r>
      <w:bookmarkEnd w:id="12"/>
    </w:p>
    <w:p w14:paraId="60F8AE24" w14:textId="77777777" w:rsidR="007D2FEE" w:rsidRPr="00D2222C" w:rsidRDefault="007D2FEE" w:rsidP="00090720">
      <w:pPr>
        <w:ind w:left="720"/>
        <w:jc w:val="both"/>
        <w:rPr>
          <w:rFonts w:ascii="Cambria" w:hAnsi="Cambria"/>
          <w:sz w:val="20"/>
          <w:szCs w:val="20"/>
        </w:rPr>
      </w:pPr>
    </w:p>
    <w:p w14:paraId="3F3D89D3" w14:textId="77777777" w:rsidR="007D2FEE" w:rsidRPr="00D2222C" w:rsidRDefault="007D2FEE"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hAnsi="Cambria"/>
          <w:sz w:val="20"/>
          <w:szCs w:val="20"/>
        </w:rPr>
        <w:t xml:space="preserve">Before embarking on its analysis of the merits in the case of Orlando Cordia Hall, the Inter-American Commission believes it should reiterate its previous rulings regarding the heightened scrutiny to be used in cases involving the death penalty. The right to life has received broad recognition as the supreme human right and as a </w:t>
      </w:r>
      <w:r w:rsidRPr="00D2222C">
        <w:rPr>
          <w:rFonts w:ascii="Cambria" w:hAnsi="Cambria"/>
          <w:i/>
          <w:iCs/>
          <w:sz w:val="20"/>
          <w:szCs w:val="20"/>
        </w:rPr>
        <w:t>sine qua non</w:t>
      </w:r>
      <w:r w:rsidRPr="00D2222C">
        <w:rPr>
          <w:rFonts w:ascii="Cambria" w:hAnsi="Cambria"/>
          <w:sz w:val="20"/>
          <w:szCs w:val="20"/>
        </w:rPr>
        <w:t xml:space="preserve"> for the enjoyment of all other rights. </w:t>
      </w:r>
    </w:p>
    <w:p w14:paraId="36DD28F6" w14:textId="77777777" w:rsidR="007D2FEE" w:rsidRPr="00D2222C" w:rsidRDefault="007D2FEE" w:rsidP="009E3847">
      <w:pPr>
        <w:pStyle w:val="NormalWeb"/>
        <w:shd w:val="clear" w:color="auto" w:fill="FFFFFF"/>
        <w:spacing w:before="0" w:beforeAutospacing="0" w:after="0" w:afterAutospacing="0"/>
        <w:ind w:left="720"/>
        <w:jc w:val="both"/>
        <w:rPr>
          <w:rFonts w:ascii="Cambria" w:eastAsia="Arial Unicode MS" w:hAnsi="Cambria"/>
          <w:sz w:val="20"/>
          <w:szCs w:val="20"/>
          <w:bdr w:val="nil"/>
        </w:rPr>
      </w:pPr>
    </w:p>
    <w:p w14:paraId="5D793FE1" w14:textId="77777777" w:rsidR="007D2FEE" w:rsidRPr="00D2222C" w:rsidRDefault="007D2FEE"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hAnsi="Cambria"/>
          <w:sz w:val="20"/>
          <w:szCs w:val="20"/>
        </w:rPr>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D2222C">
        <w:rPr>
          <w:rStyle w:val="FootnoteReference"/>
          <w:rFonts w:ascii="Cambria" w:eastAsia="Trebuchet MS" w:hAnsi="Cambria"/>
          <w:sz w:val="20"/>
          <w:szCs w:val="20"/>
        </w:rPr>
        <w:footnoteReference w:id="29"/>
      </w:r>
      <w:r w:rsidRPr="00D2222C">
        <w:rPr>
          <w:rFonts w:ascii="Cambria" w:hAnsi="Cambria"/>
          <w:sz w:val="20"/>
          <w:szCs w:val="20"/>
        </w:rPr>
        <w:t xml:space="preserve"> and it has been set out and applied by the Inter-</w:t>
      </w:r>
      <w:r w:rsidRPr="00D2222C">
        <w:rPr>
          <w:rFonts w:ascii="Cambria" w:hAnsi="Cambria"/>
          <w:sz w:val="20"/>
          <w:szCs w:val="20"/>
        </w:rPr>
        <w:lastRenderedPageBreak/>
        <w:t>American Commission in previous capital cases brought before it.</w:t>
      </w:r>
      <w:r w:rsidRPr="00D2222C">
        <w:rPr>
          <w:rStyle w:val="FootnoteReference"/>
          <w:rFonts w:ascii="Cambria" w:eastAsia="Trebuchet MS" w:hAnsi="Cambria"/>
          <w:sz w:val="20"/>
          <w:szCs w:val="20"/>
        </w:rPr>
        <w:t xml:space="preserve"> </w:t>
      </w:r>
      <w:r w:rsidRPr="00D2222C">
        <w:rPr>
          <w:rStyle w:val="FootnoteReference"/>
          <w:rFonts w:ascii="Cambria" w:eastAsia="Trebuchet MS" w:hAnsi="Cambria"/>
          <w:sz w:val="20"/>
          <w:szCs w:val="20"/>
        </w:rPr>
        <w:footnoteReference w:id="30"/>
      </w:r>
      <w:r w:rsidR="00C01451" w:rsidRPr="00D2222C">
        <w:rPr>
          <w:rStyle w:val="FootnoteReference"/>
          <w:rFonts w:ascii="Cambria" w:eastAsia="Arial Unicode MS" w:hAnsi="Cambria"/>
          <w:sz w:val="20"/>
          <w:szCs w:val="20"/>
          <w:bdr w:val="nil"/>
          <w:vertAlign w:val="baseline"/>
        </w:rPr>
        <w:t xml:space="preserve"> </w:t>
      </w:r>
      <w:r w:rsidRPr="00D2222C">
        <w:rPr>
          <w:rFonts w:ascii="Cambria" w:hAnsi="Cambria"/>
          <w:sz w:val="20"/>
          <w:szCs w:val="20"/>
        </w:rPr>
        <w:t>As the Inter-American Commission has explained, this standard of review is the necessary consequence of the specific penalty at issue and the right to a fair trial and all attendant due process guarantees, among others.</w:t>
      </w:r>
      <w:r w:rsidRPr="00D2222C">
        <w:rPr>
          <w:rStyle w:val="FootnoteReference"/>
          <w:rFonts w:ascii="Cambria" w:eastAsia="Trebuchet MS" w:hAnsi="Cambria"/>
          <w:sz w:val="20"/>
          <w:szCs w:val="20"/>
        </w:rPr>
        <w:footnoteReference w:id="31"/>
      </w:r>
      <w:r w:rsidRPr="00D2222C">
        <w:rPr>
          <w:rFonts w:ascii="Cambria" w:hAnsi="Cambria"/>
          <w:sz w:val="20"/>
          <w:szCs w:val="20"/>
        </w:rPr>
        <w:t xml:space="preserve"> In the words of the Commission:</w:t>
      </w:r>
    </w:p>
    <w:p w14:paraId="0F9484C4" w14:textId="77777777" w:rsidR="007D2FEE" w:rsidRPr="00D2222C" w:rsidRDefault="007D2FEE" w:rsidP="007D2FEE">
      <w:pPr>
        <w:pStyle w:val="ListParagraph"/>
        <w:rPr>
          <w:sz w:val="20"/>
          <w:szCs w:val="20"/>
        </w:rPr>
      </w:pPr>
    </w:p>
    <w:p w14:paraId="4FB60781" w14:textId="77777777" w:rsidR="007D2FEE" w:rsidRPr="00D2222C" w:rsidRDefault="007D2FEE" w:rsidP="007D2FEE">
      <w:pPr>
        <w:autoSpaceDE w:val="0"/>
        <w:autoSpaceDN w:val="0"/>
        <w:adjustRightInd w:val="0"/>
        <w:ind w:left="720" w:right="720"/>
        <w:jc w:val="both"/>
        <w:rPr>
          <w:rFonts w:ascii="Cambria" w:hAnsi="Cambria" w:cs="Calibri"/>
          <w:sz w:val="20"/>
          <w:szCs w:val="20"/>
        </w:rPr>
      </w:pPr>
      <w:r w:rsidRPr="00D2222C">
        <w:rPr>
          <w:rFonts w:ascii="Cambria" w:hAnsi="Cambria" w:cs="Calibr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D2222C">
        <w:rPr>
          <w:rStyle w:val="FootnoteReference"/>
          <w:rFonts w:ascii="Cambria" w:hAnsi="Cambria"/>
          <w:sz w:val="20"/>
          <w:szCs w:val="20"/>
        </w:rPr>
        <w:footnoteReference w:id="32"/>
      </w:r>
    </w:p>
    <w:p w14:paraId="154AB177" w14:textId="77777777" w:rsidR="007D2FEE" w:rsidRPr="00D2222C" w:rsidRDefault="007D2FEE" w:rsidP="007D2FEE">
      <w:pPr>
        <w:jc w:val="both"/>
        <w:rPr>
          <w:rFonts w:ascii="Cambria" w:hAnsi="Cambria"/>
          <w:sz w:val="20"/>
          <w:szCs w:val="20"/>
        </w:rPr>
      </w:pPr>
    </w:p>
    <w:p w14:paraId="6D86CE49" w14:textId="77777777" w:rsidR="009D15C7" w:rsidRPr="00D2222C" w:rsidRDefault="007D2FEE"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hAnsi="Cambria" w:cs="Calibri"/>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w:t>
      </w:r>
      <w:r w:rsidR="009D15C7" w:rsidRPr="00D2222C">
        <w:rPr>
          <w:rFonts w:ascii="Cambria" w:hAnsi="Cambria" w:cs="Calibri"/>
          <w:sz w:val="20"/>
          <w:szCs w:val="20"/>
        </w:rPr>
        <w:t xml:space="preserve"> </w:t>
      </w:r>
      <w:r w:rsidR="009D15C7" w:rsidRPr="00D2222C">
        <w:rPr>
          <w:rFonts w:ascii="Cambria" w:hAnsi="Cambria"/>
          <w:sz w:val="20"/>
        </w:rPr>
        <w:t>With regard to the legal status of the American Declaration, the IACHR reiterates that:</w:t>
      </w:r>
      <w:r w:rsidR="009D15C7" w:rsidRPr="00D2222C">
        <w:rPr>
          <w:rFonts w:ascii="Cambria" w:hAnsi="Cambria" w:cs="Tahoma"/>
          <w:color w:val="262626"/>
          <w:sz w:val="20"/>
          <w:szCs w:val="20"/>
        </w:rPr>
        <w:t xml:space="preserve"> </w:t>
      </w:r>
    </w:p>
    <w:p w14:paraId="67A4BF3A" w14:textId="77777777" w:rsidR="009D15C7" w:rsidRPr="00D2222C" w:rsidRDefault="009D15C7" w:rsidP="009D15C7">
      <w:pPr>
        <w:tabs>
          <w:tab w:val="left" w:pos="630"/>
          <w:tab w:val="left" w:pos="810"/>
        </w:tabs>
        <w:autoSpaceDE w:val="0"/>
        <w:autoSpaceDN w:val="0"/>
        <w:adjustRightInd w:val="0"/>
        <w:jc w:val="both"/>
        <w:rPr>
          <w:rFonts w:ascii="Cambria" w:hAnsi="Cambria" w:cs="Calibri"/>
          <w:sz w:val="20"/>
          <w:szCs w:val="20"/>
        </w:rPr>
      </w:pPr>
    </w:p>
    <w:p w14:paraId="364905E3" w14:textId="77777777" w:rsidR="009D15C7" w:rsidRPr="00D2222C" w:rsidRDefault="009D15C7" w:rsidP="009D15C7">
      <w:pPr>
        <w:tabs>
          <w:tab w:val="left" w:pos="630"/>
          <w:tab w:val="left" w:pos="810"/>
        </w:tabs>
        <w:autoSpaceDE w:val="0"/>
        <w:autoSpaceDN w:val="0"/>
        <w:adjustRightInd w:val="0"/>
        <w:ind w:left="720" w:right="720"/>
        <w:jc w:val="both"/>
        <w:rPr>
          <w:rFonts w:ascii="Cambria" w:hAnsi="Cambria" w:cs="Calibri"/>
          <w:sz w:val="20"/>
          <w:szCs w:val="20"/>
        </w:rPr>
      </w:pPr>
      <w:r w:rsidRPr="00D2222C">
        <w:rPr>
          <w:rFonts w:ascii="Cambria" w:hAnsi="Cambria"/>
          <w:sz w:val="20"/>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D2222C">
        <w:rPr>
          <w:rStyle w:val="FootnoteReference"/>
          <w:rFonts w:ascii="Cambria" w:hAnsi="Cambria"/>
          <w:sz w:val="20"/>
        </w:rPr>
        <w:footnoteReference w:id="33"/>
      </w:r>
    </w:p>
    <w:p w14:paraId="2A73ABEF" w14:textId="77777777" w:rsidR="007D2FEE" w:rsidRPr="00D2222C" w:rsidRDefault="007D2FEE" w:rsidP="007D2FEE">
      <w:pPr>
        <w:pStyle w:val="ListParagraph"/>
        <w:rPr>
          <w:sz w:val="20"/>
          <w:szCs w:val="20"/>
        </w:rPr>
      </w:pPr>
    </w:p>
    <w:p w14:paraId="3297BAD4" w14:textId="77777777" w:rsidR="000332F4" w:rsidRPr="00D2222C" w:rsidRDefault="00C423E4" w:rsidP="009E38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D2222C">
        <w:rPr>
          <w:rFonts w:ascii="Cambria" w:hAnsi="Cambria"/>
          <w:sz w:val="20"/>
        </w:rPr>
        <w:t>Finally, the Commission recalls that its review does not consist of determining that the death penalty and of itself violates the American Declaration. What this section addresses is the standard of review of the alleged human rights violations in the context of a trial culminating in the death penalty.</w:t>
      </w:r>
    </w:p>
    <w:p w14:paraId="01E72A0A" w14:textId="77777777" w:rsidR="000332F4" w:rsidRPr="00D2222C" w:rsidRDefault="000332F4" w:rsidP="00090720">
      <w:pPr>
        <w:pStyle w:val="NormalWeb"/>
        <w:shd w:val="clear" w:color="auto" w:fill="FFFFFF"/>
        <w:spacing w:before="0" w:beforeAutospacing="0" w:after="0" w:afterAutospacing="0"/>
        <w:ind w:left="720"/>
        <w:jc w:val="both"/>
        <w:rPr>
          <w:rFonts w:asciiTheme="majorHAnsi" w:eastAsia="Arial Unicode MS" w:hAnsiTheme="majorHAnsi"/>
          <w:sz w:val="20"/>
          <w:szCs w:val="20"/>
          <w:bdr w:val="nil"/>
        </w:rPr>
      </w:pPr>
    </w:p>
    <w:p w14:paraId="1C447F00" w14:textId="77777777" w:rsidR="001C4006" w:rsidRPr="00D2222C" w:rsidRDefault="00C546AB" w:rsidP="00090720">
      <w:pPr>
        <w:pStyle w:val="Heading2"/>
        <w:numPr>
          <w:ilvl w:val="0"/>
          <w:numId w:val="56"/>
        </w:numPr>
        <w:spacing w:before="0"/>
        <w:ind w:left="1440" w:hanging="720"/>
        <w:rPr>
          <w:color w:val="auto"/>
          <w:sz w:val="20"/>
          <w:szCs w:val="20"/>
        </w:rPr>
      </w:pPr>
      <w:bookmarkStart w:id="13" w:name="_Toc485650798"/>
      <w:bookmarkStart w:id="14" w:name="_Toc26550928"/>
      <w:r w:rsidRPr="00D2222C">
        <w:rPr>
          <w:rFonts w:eastAsia="Times New Roman"/>
          <w:color w:val="auto"/>
          <w:sz w:val="20"/>
          <w:szCs w:val="20"/>
          <w:bdr w:val="none" w:sz="0" w:space="0" w:color="auto"/>
        </w:rPr>
        <w:t>Right to</w:t>
      </w:r>
      <w:r w:rsidR="00922A9F" w:rsidRPr="00D2222C">
        <w:rPr>
          <w:rFonts w:eastAsia="Times New Roman"/>
          <w:color w:val="auto"/>
          <w:sz w:val="20"/>
          <w:szCs w:val="20"/>
          <w:bdr w:val="none" w:sz="0" w:space="0" w:color="auto"/>
        </w:rPr>
        <w:t xml:space="preserve"> equality before the law</w:t>
      </w:r>
      <w:r w:rsidR="00922A9F" w:rsidRPr="00D2222C">
        <w:rPr>
          <w:rStyle w:val="FootnoteReference"/>
          <w:color w:val="auto"/>
          <w:sz w:val="20"/>
          <w:szCs w:val="20"/>
          <w:lang w:val="es-ES"/>
        </w:rPr>
        <w:footnoteReference w:id="34"/>
      </w:r>
      <w:r w:rsidR="001C4006" w:rsidRPr="00D2222C">
        <w:rPr>
          <w:color w:val="auto"/>
          <w:sz w:val="20"/>
          <w:szCs w:val="20"/>
        </w:rPr>
        <w:t xml:space="preserve"> </w:t>
      </w:r>
      <w:bookmarkEnd w:id="13"/>
      <w:r w:rsidR="00047F35" w:rsidRPr="00D2222C">
        <w:rPr>
          <w:color w:val="auto"/>
          <w:sz w:val="20"/>
          <w:szCs w:val="20"/>
        </w:rPr>
        <w:t>and access to effective remedy</w:t>
      </w:r>
      <w:r w:rsidR="00047F35" w:rsidRPr="00D2222C">
        <w:rPr>
          <w:rStyle w:val="FootnoteReference"/>
          <w:color w:val="auto"/>
          <w:sz w:val="20"/>
          <w:szCs w:val="20"/>
        </w:rPr>
        <w:footnoteReference w:id="35"/>
      </w:r>
      <w:bookmarkEnd w:id="14"/>
    </w:p>
    <w:p w14:paraId="0AC8F3C7" w14:textId="77777777" w:rsidR="001C4006" w:rsidRPr="00D2222C" w:rsidRDefault="001C4006" w:rsidP="00090720">
      <w:pPr>
        <w:pStyle w:val="ListParagraph"/>
        <w:ind w:left="1440" w:hanging="720"/>
        <w:jc w:val="both"/>
        <w:rPr>
          <w:rFonts w:asciiTheme="majorHAnsi" w:hAnsiTheme="majorHAnsi"/>
          <w:b/>
          <w:color w:val="auto"/>
          <w:sz w:val="20"/>
          <w:szCs w:val="20"/>
        </w:rPr>
      </w:pPr>
    </w:p>
    <w:p w14:paraId="5A3CDC6D" w14:textId="77777777" w:rsidR="001C4006" w:rsidRPr="00D2222C" w:rsidRDefault="001C4006" w:rsidP="00090720">
      <w:pPr>
        <w:pStyle w:val="Heading3"/>
        <w:numPr>
          <w:ilvl w:val="0"/>
          <w:numId w:val="63"/>
        </w:numPr>
        <w:spacing w:before="0"/>
        <w:ind w:left="1440" w:hanging="720"/>
        <w:rPr>
          <w:color w:val="auto"/>
          <w:sz w:val="20"/>
          <w:szCs w:val="20"/>
        </w:rPr>
      </w:pPr>
      <w:bookmarkStart w:id="15" w:name="_Toc26550929"/>
      <w:r w:rsidRPr="00D2222C">
        <w:rPr>
          <w:color w:val="auto"/>
          <w:sz w:val="20"/>
          <w:szCs w:val="20"/>
        </w:rPr>
        <w:t xml:space="preserve">General considerations regarding </w:t>
      </w:r>
      <w:r w:rsidR="000332F4" w:rsidRPr="00D2222C">
        <w:rPr>
          <w:color w:val="auto"/>
          <w:sz w:val="20"/>
          <w:szCs w:val="20"/>
        </w:rPr>
        <w:t>equality before the law</w:t>
      </w:r>
      <w:bookmarkEnd w:id="15"/>
      <w:r w:rsidR="003C4BC0" w:rsidRPr="00D2222C">
        <w:rPr>
          <w:color w:val="auto"/>
          <w:sz w:val="20"/>
          <w:szCs w:val="20"/>
        </w:rPr>
        <w:t xml:space="preserve"> </w:t>
      </w:r>
    </w:p>
    <w:p w14:paraId="6BE13835" w14:textId="77777777" w:rsidR="000332F4" w:rsidRPr="00D2222C" w:rsidRDefault="000332F4" w:rsidP="00090720">
      <w:pPr>
        <w:pStyle w:val="ListParagraph"/>
        <w:ind w:left="1440" w:hanging="720"/>
        <w:jc w:val="both"/>
        <w:rPr>
          <w:rFonts w:asciiTheme="majorHAnsi" w:hAnsiTheme="majorHAnsi"/>
          <w:b/>
          <w:color w:val="auto"/>
          <w:sz w:val="20"/>
          <w:szCs w:val="20"/>
        </w:rPr>
      </w:pPr>
    </w:p>
    <w:p w14:paraId="3A3637B3" w14:textId="77777777" w:rsidR="000332F4" w:rsidRPr="00D2222C" w:rsidRDefault="000332F4" w:rsidP="009E3847">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bdr w:val="nil"/>
        </w:rPr>
      </w:pPr>
      <w:r w:rsidRPr="00D2222C">
        <w:rPr>
          <w:rFonts w:asciiTheme="majorHAnsi" w:hAnsiTheme="majorHAnsi"/>
          <w:sz w:val="20"/>
          <w:szCs w:val="20"/>
        </w:rPr>
        <w:t xml:space="preserve">The principles of equality before the law, equal protection, and non-discrimination are among the most basic human rights, and are in fact recognized by the Inter-American Court as </w:t>
      </w:r>
      <w:r w:rsidRPr="00D2222C">
        <w:rPr>
          <w:rFonts w:asciiTheme="majorHAnsi" w:hAnsiTheme="majorHAnsi"/>
          <w:i/>
          <w:sz w:val="20"/>
          <w:szCs w:val="20"/>
        </w:rPr>
        <w:t>jus cogens</w:t>
      </w:r>
      <w:r w:rsidRPr="00D2222C">
        <w:rPr>
          <w:rFonts w:asciiTheme="majorHAnsi" w:hAnsiTheme="majorHAnsi"/>
          <w:sz w:val="20"/>
          <w:szCs w:val="20"/>
        </w:rPr>
        <w:t xml:space="preserve"> norms, “because the whole legal structure of national and international public order rests on it.”</w:t>
      </w:r>
      <w:r w:rsidRPr="00D2222C">
        <w:rPr>
          <w:rFonts w:asciiTheme="majorHAnsi" w:hAnsiTheme="majorHAnsi"/>
          <w:sz w:val="20"/>
          <w:szCs w:val="20"/>
          <w:vertAlign w:val="superscript"/>
        </w:rPr>
        <w:footnoteReference w:id="36"/>
      </w:r>
      <w:r w:rsidRPr="00D2222C">
        <w:rPr>
          <w:rFonts w:asciiTheme="majorHAnsi" w:hAnsiTheme="majorHAnsi"/>
          <w:sz w:val="20"/>
          <w:szCs w:val="20"/>
        </w:rPr>
        <w:t xml:space="preserve"> In line with the Human Rights Committee, the Commission has further </w:t>
      </w:r>
      <w:r w:rsidRPr="00D2222C">
        <w:rPr>
          <w:rFonts w:asciiTheme="majorHAnsi" w:hAnsiTheme="majorHAnsi"/>
          <w:bCs/>
          <w:sz w:val="20"/>
          <w:szCs w:val="20"/>
        </w:rPr>
        <w:t>understood “discrimination” to mean</w:t>
      </w:r>
      <w:r w:rsidRPr="00D2222C">
        <w:rPr>
          <w:rFonts w:asciiTheme="majorHAnsi" w:hAnsiTheme="majorHAnsi"/>
          <w:sz w:val="20"/>
          <w:szCs w:val="20"/>
        </w:rPr>
        <w:t xml:space="preserve"> “</w:t>
      </w:r>
      <w:r w:rsidRPr="00D2222C">
        <w:rPr>
          <w:rFonts w:asciiTheme="majorHAnsi" w:hAnsiTheme="majorHAnsi"/>
          <w:bCs/>
          <w:sz w:val="20"/>
          <w:szCs w:val="20"/>
        </w:rPr>
        <w:t xml:space="preserve">any distinction, exclusion, restriction, or preference which is based on any ground such as race, colour, sex, language, religion, political or other opinion, national or social origin, property, birth or other status, and which has the purpose or effect of </w:t>
      </w:r>
      <w:r w:rsidRPr="00D2222C">
        <w:rPr>
          <w:rFonts w:asciiTheme="majorHAnsi" w:hAnsiTheme="majorHAnsi"/>
          <w:bCs/>
          <w:sz w:val="20"/>
          <w:szCs w:val="20"/>
        </w:rPr>
        <w:lastRenderedPageBreak/>
        <w:t>nullifying or impairing the recognition, enjoyment or exercise by all persons, on an equal footing, of all rights and freedoms.”</w:t>
      </w:r>
      <w:r w:rsidRPr="00D2222C">
        <w:rPr>
          <w:rStyle w:val="FootnoteReference"/>
          <w:rFonts w:asciiTheme="majorHAnsi" w:hAnsiTheme="majorHAnsi"/>
          <w:bCs/>
          <w:sz w:val="20"/>
          <w:szCs w:val="20"/>
        </w:rPr>
        <w:footnoteReference w:id="37"/>
      </w:r>
    </w:p>
    <w:p w14:paraId="4D039DFA" w14:textId="77777777" w:rsidR="000332F4" w:rsidRPr="00D2222C" w:rsidRDefault="000332F4" w:rsidP="009E3847">
      <w:pPr>
        <w:pStyle w:val="ListParagraph"/>
        <w:ind w:left="0"/>
        <w:rPr>
          <w:rFonts w:asciiTheme="majorHAnsi" w:hAnsiTheme="majorHAnsi"/>
          <w:sz w:val="20"/>
          <w:szCs w:val="20"/>
        </w:rPr>
      </w:pPr>
    </w:p>
    <w:p w14:paraId="1ED05265" w14:textId="77777777" w:rsidR="007D3E9B" w:rsidRPr="00D2222C" w:rsidRDefault="000332F4" w:rsidP="009E3847">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bdr w:val="nil"/>
        </w:rPr>
      </w:pPr>
      <w:r w:rsidRPr="00D2222C">
        <w:rPr>
          <w:rFonts w:asciiTheme="majorHAnsi" w:hAnsiTheme="majorHAnsi"/>
          <w:sz w:val="20"/>
          <w:szCs w:val="20"/>
        </w:rPr>
        <w:t>The principle of equality and non-discrimination incorporate</w:t>
      </w:r>
      <w:r w:rsidR="00ED0E31" w:rsidRPr="00D2222C">
        <w:rPr>
          <w:rFonts w:asciiTheme="majorHAnsi" w:hAnsiTheme="majorHAnsi"/>
          <w:sz w:val="20"/>
          <w:szCs w:val="20"/>
        </w:rPr>
        <w:t>s</w:t>
      </w:r>
      <w:r w:rsidRPr="00D2222C">
        <w:rPr>
          <w:rFonts w:asciiTheme="majorHAnsi" w:hAnsiTheme="majorHAnsi"/>
          <w:sz w:val="20"/>
          <w:szCs w:val="20"/>
        </w:rPr>
        <w:t xml:space="preserve"> both “the prohibition of arbitrary differences of treatment,” and “the obligation of States to create conditions of real equality for groups that have been historically excluded or that are at greater risk of being discriminated against.</w:t>
      </w:r>
      <w:r w:rsidR="00C67F18" w:rsidRPr="00D2222C">
        <w:rPr>
          <w:rFonts w:asciiTheme="majorHAnsi" w:hAnsiTheme="majorHAnsi"/>
          <w:sz w:val="20"/>
          <w:szCs w:val="20"/>
        </w:rPr>
        <w:t>”</w:t>
      </w:r>
      <w:r w:rsidRPr="00D2222C">
        <w:rPr>
          <w:rStyle w:val="FootnoteReference"/>
          <w:rFonts w:asciiTheme="majorHAnsi" w:hAnsiTheme="majorHAnsi"/>
          <w:sz w:val="20"/>
          <w:szCs w:val="20"/>
        </w:rPr>
        <w:footnoteReference w:id="38"/>
      </w:r>
      <w:r w:rsidRPr="00D2222C">
        <w:rPr>
          <w:rFonts w:asciiTheme="majorHAnsi" w:hAnsiTheme="majorHAnsi"/>
          <w:sz w:val="20"/>
          <w:szCs w:val="20"/>
        </w:rPr>
        <w:t xml:space="preserve"> </w:t>
      </w:r>
      <w:r w:rsidRPr="00D2222C">
        <w:rPr>
          <w:rFonts w:asciiTheme="majorHAnsi" w:hAnsiTheme="majorHAnsi"/>
          <w:bCs/>
          <w:sz w:val="20"/>
          <w:szCs w:val="20"/>
        </w:rPr>
        <w:t>With regard to the former, while Article II of the American Declaration does not prohibit all distinctions in treatment in the enjoyment of protected rights and freedoms, it does require that any permissible distinctions be based on an objective and reasonable justification, that they further a legitimate objective, “regard being had to the principles which normally prevail in democratic societies, and that the means are reasonable and proportionate to the end sought.”</w:t>
      </w:r>
      <w:r w:rsidRPr="00D2222C">
        <w:rPr>
          <w:rStyle w:val="FootnoteReference"/>
          <w:rFonts w:asciiTheme="majorHAnsi" w:hAnsiTheme="majorHAnsi"/>
          <w:bCs/>
          <w:sz w:val="20"/>
          <w:szCs w:val="20"/>
        </w:rPr>
        <w:footnoteReference w:id="39"/>
      </w:r>
      <w:r w:rsidRPr="00D2222C">
        <w:rPr>
          <w:rFonts w:asciiTheme="majorHAnsi" w:hAnsiTheme="majorHAnsi"/>
          <w:bCs/>
          <w:sz w:val="20"/>
          <w:szCs w:val="20"/>
        </w:rPr>
        <w:t xml:space="preserve"> </w:t>
      </w:r>
      <w:r w:rsidRPr="00D2222C">
        <w:rPr>
          <w:rFonts w:asciiTheme="majorHAnsi" w:hAnsiTheme="majorHAnsi"/>
          <w:sz w:val="20"/>
          <w:szCs w:val="20"/>
        </w:rPr>
        <w:t>Further, distinctions based on grounds explicitly enumerated under pertinent articles of international human rights instruments are subject to a particularly strict level of scrutiny whereby States must provide an especially weighty interest and compelling justification for the distinction.</w:t>
      </w:r>
      <w:r w:rsidRPr="00D2222C">
        <w:rPr>
          <w:rStyle w:val="FootnoteReference"/>
          <w:rFonts w:asciiTheme="majorHAnsi" w:hAnsiTheme="majorHAnsi"/>
          <w:sz w:val="20"/>
          <w:szCs w:val="20"/>
        </w:rPr>
        <w:footnoteReference w:id="40"/>
      </w:r>
      <w:r w:rsidRPr="00D2222C">
        <w:rPr>
          <w:rFonts w:asciiTheme="majorHAnsi" w:hAnsiTheme="majorHAnsi"/>
          <w:sz w:val="20"/>
          <w:szCs w:val="20"/>
        </w:rPr>
        <w:t xml:space="preserve"> </w:t>
      </w:r>
    </w:p>
    <w:p w14:paraId="38F5A69D" w14:textId="77777777" w:rsidR="007D3E9B" w:rsidRPr="00D2222C" w:rsidRDefault="007D3E9B" w:rsidP="00090720">
      <w:pPr>
        <w:pStyle w:val="ListParagraph"/>
        <w:ind w:left="1440" w:hanging="720"/>
        <w:jc w:val="both"/>
        <w:rPr>
          <w:rFonts w:asciiTheme="majorHAnsi" w:hAnsiTheme="majorHAnsi"/>
          <w:b/>
          <w:color w:val="auto"/>
          <w:sz w:val="20"/>
          <w:szCs w:val="20"/>
        </w:rPr>
      </w:pPr>
    </w:p>
    <w:p w14:paraId="4305982C" w14:textId="77777777" w:rsidR="00FA2C02" w:rsidRPr="00D2222C" w:rsidRDefault="00B77B09" w:rsidP="00090720">
      <w:pPr>
        <w:pStyle w:val="Heading3"/>
        <w:numPr>
          <w:ilvl w:val="0"/>
          <w:numId w:val="63"/>
        </w:numPr>
        <w:spacing w:before="0"/>
        <w:ind w:left="1440" w:hanging="720"/>
        <w:rPr>
          <w:color w:val="auto"/>
          <w:sz w:val="20"/>
          <w:szCs w:val="20"/>
        </w:rPr>
      </w:pPr>
      <w:bookmarkStart w:id="16" w:name="_Toc26550930"/>
      <w:r w:rsidRPr="00D2222C">
        <w:rPr>
          <w:color w:val="auto"/>
          <w:sz w:val="20"/>
          <w:szCs w:val="20"/>
        </w:rPr>
        <w:t>Race and e</w:t>
      </w:r>
      <w:r w:rsidR="00FA2C02" w:rsidRPr="00D2222C">
        <w:rPr>
          <w:color w:val="auto"/>
          <w:sz w:val="20"/>
          <w:szCs w:val="20"/>
        </w:rPr>
        <w:t xml:space="preserve">quality before the law in the </w:t>
      </w:r>
      <w:r w:rsidR="00871EBE" w:rsidRPr="00D2222C">
        <w:rPr>
          <w:color w:val="auto"/>
          <w:sz w:val="20"/>
          <w:szCs w:val="20"/>
        </w:rPr>
        <w:t xml:space="preserve">United States’ </w:t>
      </w:r>
      <w:r w:rsidR="00FA2C02" w:rsidRPr="00D2222C">
        <w:rPr>
          <w:color w:val="auto"/>
          <w:sz w:val="20"/>
          <w:szCs w:val="20"/>
        </w:rPr>
        <w:t>criminal justice system</w:t>
      </w:r>
      <w:bookmarkEnd w:id="16"/>
      <w:r w:rsidR="00FA2C02" w:rsidRPr="00D2222C">
        <w:rPr>
          <w:color w:val="auto"/>
          <w:sz w:val="20"/>
          <w:szCs w:val="20"/>
        </w:rPr>
        <w:t xml:space="preserve"> </w:t>
      </w:r>
    </w:p>
    <w:p w14:paraId="48ABA03B" w14:textId="77777777" w:rsidR="00FA2C02" w:rsidRPr="00D2222C" w:rsidRDefault="00FA2C02" w:rsidP="00090720">
      <w:pPr>
        <w:pStyle w:val="ListParagraph"/>
        <w:ind w:left="1440" w:hanging="720"/>
        <w:jc w:val="both"/>
        <w:rPr>
          <w:rFonts w:asciiTheme="majorHAnsi" w:hAnsiTheme="majorHAnsi"/>
          <w:b/>
          <w:color w:val="auto"/>
          <w:sz w:val="20"/>
          <w:szCs w:val="20"/>
        </w:rPr>
      </w:pPr>
    </w:p>
    <w:p w14:paraId="7B2EE5E0" w14:textId="77777777" w:rsidR="00DC28C0" w:rsidRPr="00D2222C" w:rsidRDefault="00DC28C0" w:rsidP="009E38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0"/>
        <w:jc w:val="both"/>
        <w:rPr>
          <w:rFonts w:asciiTheme="majorHAnsi" w:hAnsiTheme="majorHAnsi"/>
          <w:bCs/>
          <w:color w:val="auto"/>
          <w:sz w:val="20"/>
          <w:szCs w:val="20"/>
        </w:rPr>
      </w:pPr>
      <w:r w:rsidRPr="00D2222C">
        <w:rPr>
          <w:rFonts w:asciiTheme="majorHAnsi" w:hAnsiTheme="majorHAnsi"/>
          <w:bCs/>
          <w:color w:val="auto"/>
          <w:sz w:val="20"/>
          <w:szCs w:val="20"/>
        </w:rPr>
        <w:t>In its report on The Situation of People of African Descent in the Americas, the IACHR, based on the General Recommendation No. XXXI issued by the United Nations Committee on the Elimination of Racial Discrimination (“CERD”),</w:t>
      </w:r>
      <w:r w:rsidRPr="00D2222C">
        <w:rPr>
          <w:rStyle w:val="FootnoteReference"/>
          <w:rFonts w:asciiTheme="majorHAnsi" w:hAnsiTheme="majorHAnsi"/>
          <w:bCs/>
          <w:color w:val="auto"/>
          <w:sz w:val="20"/>
          <w:szCs w:val="20"/>
        </w:rPr>
        <w:footnoteReference w:id="41"/>
      </w:r>
      <w:r w:rsidRPr="00D2222C">
        <w:rPr>
          <w:rFonts w:asciiTheme="majorHAnsi" w:hAnsiTheme="majorHAnsi"/>
          <w:bCs/>
          <w:color w:val="auto"/>
          <w:sz w:val="20"/>
          <w:szCs w:val="20"/>
        </w:rPr>
        <w:t xml:space="preserve"> indicated that “offences involving members of stigmatized or marginalized groups are more severely punished and that whatever the legal and procedural system in force in a given country, the structural inequalities, stereotypes and prejudices are mirrored in the criminal justice system.”</w:t>
      </w:r>
      <w:r w:rsidRPr="00D2222C">
        <w:rPr>
          <w:rStyle w:val="FootnoteReference"/>
          <w:rFonts w:asciiTheme="majorHAnsi" w:hAnsiTheme="majorHAnsi"/>
          <w:bCs/>
          <w:color w:val="auto"/>
          <w:sz w:val="20"/>
          <w:szCs w:val="20"/>
        </w:rPr>
        <w:footnoteReference w:id="42"/>
      </w:r>
      <w:r w:rsidRPr="00D2222C">
        <w:rPr>
          <w:rFonts w:asciiTheme="majorHAnsi" w:hAnsiTheme="majorHAnsi"/>
          <w:bCs/>
          <w:color w:val="auto"/>
          <w:sz w:val="20"/>
          <w:szCs w:val="20"/>
        </w:rPr>
        <w:t xml:space="preserve">  The Commission also observed “the impact of racism in the criminal justice systems in the region” and reiterated that “the use of race and skin color as grounds to set and adjust a criminal sentence are banned by the inter‐American system of human rights protection.”</w:t>
      </w:r>
      <w:r w:rsidRPr="00D2222C">
        <w:rPr>
          <w:rStyle w:val="FootnoteReference"/>
          <w:rFonts w:asciiTheme="majorHAnsi" w:hAnsiTheme="majorHAnsi"/>
          <w:bCs/>
          <w:color w:val="auto"/>
          <w:sz w:val="20"/>
          <w:szCs w:val="20"/>
        </w:rPr>
        <w:footnoteReference w:id="43"/>
      </w:r>
    </w:p>
    <w:p w14:paraId="5135B889" w14:textId="77777777" w:rsidR="00DC28C0" w:rsidRPr="00D2222C" w:rsidRDefault="00DC28C0" w:rsidP="009E384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color w:val="auto"/>
          <w:sz w:val="20"/>
          <w:szCs w:val="20"/>
        </w:rPr>
      </w:pPr>
    </w:p>
    <w:p w14:paraId="14F54AD8" w14:textId="77777777" w:rsidR="000265CB" w:rsidRPr="00D2222C" w:rsidRDefault="00FA2C02" w:rsidP="009E38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ajorHAnsi" w:hAnsiTheme="majorHAnsi"/>
          <w:bCs/>
          <w:color w:val="auto"/>
          <w:sz w:val="20"/>
          <w:szCs w:val="20"/>
        </w:rPr>
      </w:pPr>
      <w:r w:rsidRPr="00D2222C">
        <w:rPr>
          <w:rFonts w:asciiTheme="majorHAnsi" w:hAnsiTheme="majorHAnsi"/>
          <w:bCs/>
          <w:color w:val="auto"/>
          <w:sz w:val="20"/>
          <w:szCs w:val="20"/>
        </w:rPr>
        <w:t>As a result of its growing concern over the treatment of African-Americans by the United States criminal justice system and, particularly, by law enforcement officers, on October 27, 2014, the IACHR convened, on its own initiative, a public hearing on Reports o</w:t>
      </w:r>
      <w:r w:rsidR="005D0AC5" w:rsidRPr="00D2222C">
        <w:rPr>
          <w:rFonts w:asciiTheme="majorHAnsi" w:hAnsiTheme="majorHAnsi"/>
          <w:bCs/>
          <w:color w:val="auto"/>
          <w:sz w:val="20"/>
          <w:szCs w:val="20"/>
        </w:rPr>
        <w:t>f</w:t>
      </w:r>
      <w:r w:rsidRPr="00D2222C">
        <w:rPr>
          <w:rFonts w:asciiTheme="majorHAnsi" w:hAnsiTheme="majorHAnsi"/>
          <w:bCs/>
          <w:color w:val="auto"/>
          <w:sz w:val="20"/>
          <w:szCs w:val="20"/>
        </w:rPr>
        <w:t xml:space="preserve"> Racism in the United States Justice System.  The IACHR received troubling information regarding the problem of racial profiling by law enforcement officials at the local, state, and federal levels. </w:t>
      </w:r>
      <w:r w:rsidR="00626360" w:rsidRPr="00D2222C">
        <w:rPr>
          <w:rFonts w:asciiTheme="majorHAnsi" w:hAnsiTheme="majorHAnsi"/>
          <w:bCs/>
          <w:color w:val="auto"/>
          <w:sz w:val="20"/>
          <w:szCs w:val="20"/>
        </w:rPr>
        <w:t>On March 16, 2015</w:t>
      </w:r>
      <w:r w:rsidR="007C10AC" w:rsidRPr="00D2222C">
        <w:rPr>
          <w:rFonts w:asciiTheme="majorHAnsi" w:hAnsiTheme="majorHAnsi"/>
          <w:bCs/>
          <w:color w:val="auto"/>
          <w:sz w:val="20"/>
          <w:szCs w:val="20"/>
        </w:rPr>
        <w:t>, the IACHR held a public hearing on Criminal Justice and Race in the United States</w:t>
      </w:r>
      <w:r w:rsidR="00A60093" w:rsidRPr="00D2222C">
        <w:rPr>
          <w:rFonts w:asciiTheme="majorHAnsi" w:hAnsiTheme="majorHAnsi"/>
          <w:bCs/>
          <w:color w:val="auto"/>
          <w:sz w:val="20"/>
          <w:szCs w:val="20"/>
        </w:rPr>
        <w:t xml:space="preserve"> </w:t>
      </w:r>
      <w:r w:rsidR="008678EF" w:rsidRPr="00D2222C">
        <w:rPr>
          <w:rFonts w:asciiTheme="majorHAnsi" w:hAnsiTheme="majorHAnsi"/>
          <w:bCs/>
          <w:color w:val="auto"/>
          <w:sz w:val="20"/>
          <w:szCs w:val="20"/>
        </w:rPr>
        <w:t xml:space="preserve">in which it received </w:t>
      </w:r>
      <w:r w:rsidR="004D4782" w:rsidRPr="00D2222C">
        <w:rPr>
          <w:rFonts w:asciiTheme="majorHAnsi" w:hAnsiTheme="majorHAnsi"/>
          <w:bCs/>
          <w:color w:val="auto"/>
          <w:sz w:val="20"/>
          <w:szCs w:val="20"/>
        </w:rPr>
        <w:t xml:space="preserve">concerning </w:t>
      </w:r>
      <w:r w:rsidR="009A1A5D" w:rsidRPr="00D2222C">
        <w:rPr>
          <w:rFonts w:asciiTheme="majorHAnsi" w:hAnsiTheme="majorHAnsi"/>
          <w:bCs/>
          <w:color w:val="auto"/>
          <w:sz w:val="20"/>
          <w:szCs w:val="20"/>
        </w:rPr>
        <w:t>information indicating that many police departments engage in discriminatory practices toward racial minorities, including the use of racial profiling.</w:t>
      </w:r>
    </w:p>
    <w:p w14:paraId="2145099A" w14:textId="77777777" w:rsidR="000265CB" w:rsidRPr="00D2222C" w:rsidRDefault="000265CB" w:rsidP="009E38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sz w:val="20"/>
          <w:szCs w:val="20"/>
        </w:rPr>
      </w:pPr>
    </w:p>
    <w:p w14:paraId="708E1735" w14:textId="77777777" w:rsidR="001937A5" w:rsidRPr="00D2222C" w:rsidRDefault="00FA2C02" w:rsidP="009E38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0"/>
        <w:jc w:val="both"/>
        <w:rPr>
          <w:rFonts w:asciiTheme="majorHAnsi" w:hAnsiTheme="majorHAnsi"/>
          <w:bCs/>
          <w:color w:val="auto"/>
          <w:sz w:val="20"/>
          <w:szCs w:val="20"/>
        </w:rPr>
      </w:pPr>
      <w:r w:rsidRPr="00D2222C">
        <w:rPr>
          <w:rFonts w:asciiTheme="majorHAnsi" w:hAnsiTheme="majorHAnsi"/>
          <w:bCs/>
          <w:color w:val="auto"/>
          <w:sz w:val="20"/>
          <w:szCs w:val="20"/>
        </w:rPr>
        <w:t xml:space="preserve">The Commission </w:t>
      </w:r>
      <w:r w:rsidR="00BC73B5" w:rsidRPr="00D2222C">
        <w:rPr>
          <w:rFonts w:asciiTheme="majorHAnsi" w:hAnsiTheme="majorHAnsi"/>
          <w:bCs/>
          <w:color w:val="auto"/>
          <w:sz w:val="20"/>
          <w:szCs w:val="20"/>
        </w:rPr>
        <w:t xml:space="preserve">has </w:t>
      </w:r>
      <w:r w:rsidRPr="00D2222C">
        <w:rPr>
          <w:rFonts w:asciiTheme="majorHAnsi" w:hAnsiTheme="majorHAnsi"/>
          <w:bCs/>
          <w:color w:val="auto"/>
          <w:sz w:val="20"/>
          <w:szCs w:val="20"/>
        </w:rPr>
        <w:t>also note</w:t>
      </w:r>
      <w:r w:rsidR="00BC73B5" w:rsidRPr="00D2222C">
        <w:rPr>
          <w:rFonts w:asciiTheme="majorHAnsi" w:hAnsiTheme="majorHAnsi"/>
          <w:bCs/>
          <w:color w:val="auto"/>
          <w:sz w:val="20"/>
          <w:szCs w:val="20"/>
        </w:rPr>
        <w:t>d</w:t>
      </w:r>
      <w:r w:rsidRPr="00D2222C">
        <w:rPr>
          <w:rFonts w:asciiTheme="majorHAnsi" w:hAnsiTheme="majorHAnsi"/>
          <w:bCs/>
          <w:color w:val="auto"/>
          <w:sz w:val="20"/>
          <w:szCs w:val="20"/>
        </w:rPr>
        <w:t xml:space="preserve"> the special seriousness of the fact that the </w:t>
      </w:r>
      <w:r w:rsidR="00550141" w:rsidRPr="00D2222C">
        <w:rPr>
          <w:rFonts w:asciiTheme="majorHAnsi" w:hAnsiTheme="majorHAnsi"/>
          <w:bCs/>
          <w:color w:val="auto"/>
          <w:sz w:val="20"/>
          <w:szCs w:val="20"/>
        </w:rPr>
        <w:t>United States Government</w:t>
      </w:r>
      <w:r w:rsidR="00ED0E31" w:rsidRPr="00D2222C">
        <w:rPr>
          <w:rFonts w:asciiTheme="majorHAnsi" w:hAnsiTheme="majorHAnsi"/>
          <w:bCs/>
          <w:color w:val="auto"/>
          <w:sz w:val="20"/>
          <w:szCs w:val="20"/>
        </w:rPr>
        <w:t>’s</w:t>
      </w:r>
      <w:r w:rsidRPr="00D2222C">
        <w:rPr>
          <w:rFonts w:asciiTheme="majorHAnsi" w:hAnsiTheme="majorHAnsi"/>
          <w:bCs/>
          <w:color w:val="auto"/>
          <w:sz w:val="20"/>
          <w:szCs w:val="20"/>
        </w:rPr>
        <w:t xml:space="preserve"> own studies demonstrate that the race of defendants and the race of victims of crimes has an undeniable influence on conviction and sentencing patterns</w:t>
      </w:r>
      <w:r w:rsidR="00CB17C1" w:rsidRPr="00D2222C">
        <w:rPr>
          <w:rFonts w:asciiTheme="majorHAnsi" w:hAnsiTheme="majorHAnsi"/>
          <w:bCs/>
          <w:color w:val="auto"/>
          <w:sz w:val="20"/>
          <w:szCs w:val="20"/>
        </w:rPr>
        <w:t xml:space="preserve"> and that t</w:t>
      </w:r>
      <w:r w:rsidRPr="00D2222C">
        <w:rPr>
          <w:rFonts w:asciiTheme="majorHAnsi" w:hAnsiTheme="majorHAnsi"/>
          <w:bCs/>
          <w:color w:val="auto"/>
          <w:sz w:val="20"/>
          <w:szCs w:val="20"/>
        </w:rPr>
        <w:t>his is not a recent finding.</w:t>
      </w:r>
      <w:r w:rsidR="00CB17C1" w:rsidRPr="00D2222C">
        <w:rPr>
          <w:rStyle w:val="FootnoteReference"/>
          <w:rFonts w:asciiTheme="majorHAnsi" w:hAnsiTheme="majorHAnsi"/>
          <w:bCs/>
          <w:color w:val="auto"/>
          <w:sz w:val="20"/>
          <w:szCs w:val="20"/>
        </w:rPr>
        <w:footnoteReference w:id="44"/>
      </w:r>
      <w:r w:rsidRPr="00D2222C">
        <w:rPr>
          <w:rFonts w:asciiTheme="majorHAnsi" w:hAnsiTheme="majorHAnsi"/>
          <w:bCs/>
          <w:color w:val="auto"/>
          <w:sz w:val="20"/>
          <w:szCs w:val="20"/>
        </w:rPr>
        <w:t xml:space="preserve"> </w:t>
      </w:r>
      <w:r w:rsidR="0091677E" w:rsidRPr="00D2222C">
        <w:rPr>
          <w:rFonts w:asciiTheme="majorHAnsi" w:hAnsiTheme="majorHAnsi"/>
          <w:bCs/>
          <w:color w:val="auto"/>
          <w:sz w:val="20"/>
          <w:szCs w:val="20"/>
        </w:rPr>
        <w:t>Fu</w:t>
      </w:r>
      <w:r w:rsidR="00550141" w:rsidRPr="00D2222C">
        <w:rPr>
          <w:rFonts w:asciiTheme="majorHAnsi" w:hAnsiTheme="majorHAnsi"/>
          <w:bCs/>
          <w:color w:val="auto"/>
          <w:sz w:val="20"/>
          <w:szCs w:val="20"/>
        </w:rPr>
        <w:t>rther, t</w:t>
      </w:r>
      <w:r w:rsidR="0091677E" w:rsidRPr="00D2222C">
        <w:rPr>
          <w:rFonts w:asciiTheme="majorHAnsi" w:eastAsia="Times New Roman" w:hAnsiTheme="majorHAnsi"/>
          <w:sz w:val="20"/>
          <w:szCs w:val="20"/>
        </w:rPr>
        <w:t>h</w:t>
      </w:r>
      <w:r w:rsidR="001937A5" w:rsidRPr="00D2222C">
        <w:rPr>
          <w:rFonts w:asciiTheme="majorHAnsi" w:eastAsia="Times New Roman" w:hAnsiTheme="majorHAnsi"/>
          <w:sz w:val="20"/>
          <w:szCs w:val="20"/>
        </w:rPr>
        <w:t>e CERD</w:t>
      </w:r>
      <w:r w:rsidR="00550141" w:rsidRPr="00D2222C">
        <w:rPr>
          <w:rFonts w:asciiTheme="majorHAnsi" w:eastAsia="Times New Roman" w:hAnsiTheme="majorHAnsi"/>
          <w:sz w:val="20"/>
          <w:szCs w:val="20"/>
        </w:rPr>
        <w:t xml:space="preserve"> has established that</w:t>
      </w:r>
      <w:r w:rsidR="001937A5" w:rsidRPr="00D2222C">
        <w:rPr>
          <w:rFonts w:asciiTheme="majorHAnsi" w:eastAsia="Times New Roman" w:hAnsiTheme="majorHAnsi"/>
          <w:sz w:val="20"/>
          <w:szCs w:val="20"/>
        </w:rPr>
        <w:t xml:space="preserve"> </w:t>
      </w:r>
      <w:r w:rsidR="00550141" w:rsidRPr="00D2222C">
        <w:rPr>
          <w:rFonts w:asciiTheme="majorHAnsi" w:eastAsia="Times New Roman" w:hAnsiTheme="majorHAnsi"/>
          <w:sz w:val="20"/>
          <w:szCs w:val="20"/>
        </w:rPr>
        <w:t>in the United States</w:t>
      </w:r>
      <w:r w:rsidR="00ED0E31" w:rsidRPr="00D2222C">
        <w:rPr>
          <w:rFonts w:asciiTheme="majorHAnsi" w:eastAsia="Times New Roman" w:hAnsiTheme="majorHAnsi"/>
          <w:sz w:val="20"/>
          <w:szCs w:val="20"/>
        </w:rPr>
        <w:t>,</w:t>
      </w:r>
      <w:r w:rsidR="00550141" w:rsidRPr="00D2222C">
        <w:rPr>
          <w:rFonts w:asciiTheme="majorHAnsi" w:eastAsia="Times New Roman" w:hAnsiTheme="majorHAnsi"/>
          <w:sz w:val="20"/>
          <w:szCs w:val="20"/>
        </w:rPr>
        <w:t xml:space="preserve"> </w:t>
      </w:r>
      <w:r w:rsidR="001937A5" w:rsidRPr="00D2222C">
        <w:rPr>
          <w:rFonts w:asciiTheme="majorHAnsi" w:eastAsia="Times New Roman" w:hAnsiTheme="majorHAnsi"/>
          <w:sz w:val="20"/>
          <w:szCs w:val="20"/>
        </w:rPr>
        <w:t>African Americans continue to be disproportionately arrested, incarcerated, and subjected to harsher sentences, including life imprisonment without parole and the death penalty, and that this situation is exacerbated by the exercise of prosecutorial discretion.</w:t>
      </w:r>
      <w:r w:rsidR="001937A5" w:rsidRPr="00D2222C">
        <w:rPr>
          <w:rStyle w:val="FootnoteReference"/>
          <w:rFonts w:asciiTheme="majorHAnsi" w:eastAsia="Times New Roman" w:hAnsiTheme="majorHAnsi"/>
          <w:sz w:val="20"/>
          <w:szCs w:val="20"/>
        </w:rPr>
        <w:footnoteReference w:id="45"/>
      </w:r>
      <w:r w:rsidR="001937A5" w:rsidRPr="00D2222C">
        <w:rPr>
          <w:rFonts w:asciiTheme="minorHAnsi" w:eastAsia="Times New Roman" w:hAnsiTheme="minorHAnsi"/>
        </w:rPr>
        <w:t xml:space="preserve"> </w:t>
      </w:r>
    </w:p>
    <w:p w14:paraId="161D4A49" w14:textId="77777777" w:rsidR="0028111A" w:rsidRPr="00D2222C" w:rsidRDefault="0028111A" w:rsidP="009E3847">
      <w:pPr>
        <w:pStyle w:val="ListParagraph"/>
        <w:rPr>
          <w:rFonts w:asciiTheme="majorHAnsi" w:hAnsiTheme="majorHAnsi"/>
          <w:bCs/>
          <w:color w:val="auto"/>
          <w:sz w:val="20"/>
          <w:szCs w:val="20"/>
        </w:rPr>
      </w:pPr>
    </w:p>
    <w:p w14:paraId="7CB79A13" w14:textId="77777777" w:rsidR="00FA2C02" w:rsidRPr="00D2222C" w:rsidRDefault="0028111A" w:rsidP="009E38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0"/>
        <w:jc w:val="both"/>
        <w:rPr>
          <w:rFonts w:asciiTheme="majorHAnsi" w:hAnsiTheme="majorHAnsi"/>
          <w:bCs/>
          <w:color w:val="auto"/>
          <w:sz w:val="20"/>
          <w:szCs w:val="20"/>
        </w:rPr>
      </w:pPr>
      <w:r w:rsidRPr="00D2222C">
        <w:rPr>
          <w:rFonts w:asciiTheme="majorHAnsi" w:hAnsiTheme="majorHAnsi"/>
          <w:bCs/>
          <w:color w:val="auto"/>
          <w:sz w:val="20"/>
          <w:szCs w:val="20"/>
        </w:rPr>
        <w:t xml:space="preserve">With regard to the death penalty applied to African-Americans in the United States, in the case of William Andrews </w:t>
      </w:r>
      <w:r w:rsidR="00FA2C02" w:rsidRPr="00D2222C">
        <w:rPr>
          <w:rFonts w:asciiTheme="majorHAnsi" w:hAnsiTheme="majorHAnsi"/>
          <w:bCs/>
          <w:color w:val="auto"/>
          <w:sz w:val="20"/>
          <w:szCs w:val="20"/>
        </w:rPr>
        <w:t xml:space="preserve">the </w:t>
      </w:r>
      <w:r w:rsidRPr="00D2222C">
        <w:rPr>
          <w:rFonts w:asciiTheme="majorHAnsi" w:hAnsiTheme="majorHAnsi"/>
          <w:bCs/>
          <w:color w:val="auto"/>
          <w:sz w:val="20"/>
          <w:szCs w:val="20"/>
        </w:rPr>
        <w:t xml:space="preserve">IACHR </w:t>
      </w:r>
      <w:r w:rsidR="00FA2C02" w:rsidRPr="00D2222C">
        <w:rPr>
          <w:rFonts w:asciiTheme="majorHAnsi" w:hAnsiTheme="majorHAnsi"/>
          <w:bCs/>
          <w:color w:val="auto"/>
          <w:sz w:val="20"/>
          <w:szCs w:val="20"/>
        </w:rPr>
        <w:t>found that the existence of “a reasonable appearance of “racial bias” by some members of the jury” that tainted the trial and resulted in the death sentence, constituted a violation of the right to an impartial trial and to equality before the law.</w:t>
      </w:r>
      <w:r w:rsidR="00FA2C02" w:rsidRPr="00D2222C">
        <w:rPr>
          <w:rStyle w:val="FootnoteReference"/>
          <w:rFonts w:asciiTheme="majorHAnsi" w:hAnsiTheme="majorHAnsi"/>
          <w:bCs/>
          <w:color w:val="auto"/>
          <w:sz w:val="20"/>
          <w:szCs w:val="20"/>
        </w:rPr>
        <w:footnoteReference w:id="46"/>
      </w:r>
      <w:r w:rsidR="00FA2C02" w:rsidRPr="00D2222C">
        <w:rPr>
          <w:rFonts w:asciiTheme="majorHAnsi" w:hAnsiTheme="majorHAnsi"/>
          <w:bCs/>
          <w:color w:val="auto"/>
          <w:sz w:val="20"/>
          <w:szCs w:val="20"/>
        </w:rPr>
        <w:t xml:space="preserve">  </w:t>
      </w:r>
      <w:r w:rsidRPr="00D2222C">
        <w:rPr>
          <w:rFonts w:asciiTheme="majorHAnsi" w:hAnsiTheme="majorHAnsi"/>
          <w:bCs/>
          <w:color w:val="auto"/>
          <w:sz w:val="20"/>
          <w:szCs w:val="20"/>
        </w:rPr>
        <w:t>T</w:t>
      </w:r>
      <w:r w:rsidR="00FA2C02" w:rsidRPr="00D2222C">
        <w:rPr>
          <w:rFonts w:asciiTheme="majorHAnsi" w:hAnsiTheme="majorHAnsi"/>
          <w:bCs/>
          <w:color w:val="auto"/>
          <w:sz w:val="20"/>
          <w:szCs w:val="20"/>
        </w:rPr>
        <w:t xml:space="preserve">he </w:t>
      </w:r>
      <w:r w:rsidRPr="00D2222C">
        <w:rPr>
          <w:rFonts w:asciiTheme="majorHAnsi" w:hAnsiTheme="majorHAnsi"/>
          <w:bCs/>
          <w:color w:val="auto"/>
          <w:sz w:val="20"/>
          <w:szCs w:val="20"/>
        </w:rPr>
        <w:t>Commission ruled that</w:t>
      </w:r>
      <w:r w:rsidR="00FA2C02" w:rsidRPr="00D2222C">
        <w:rPr>
          <w:rFonts w:asciiTheme="majorHAnsi" w:hAnsiTheme="majorHAnsi"/>
          <w:bCs/>
          <w:color w:val="auto"/>
          <w:sz w:val="20"/>
          <w:szCs w:val="20"/>
        </w:rPr>
        <w:t xml:space="preserve"> “the international </w:t>
      </w:r>
      <w:r w:rsidR="00FA2C02" w:rsidRPr="00D2222C">
        <w:rPr>
          <w:rFonts w:asciiTheme="majorHAnsi" w:hAnsiTheme="majorHAnsi"/>
          <w:bCs/>
          <w:color w:val="auto"/>
          <w:sz w:val="20"/>
          <w:szCs w:val="20"/>
        </w:rPr>
        <w:lastRenderedPageBreak/>
        <w:t>standard on the issue of “judge and juror impartiality” employs an objective test based on “reasonableness, and the appearance of impartiality”</w:t>
      </w:r>
      <w:r w:rsidR="00D95402" w:rsidRPr="00D2222C">
        <w:rPr>
          <w:rFonts w:asciiTheme="majorHAnsi" w:hAnsiTheme="majorHAnsi"/>
          <w:bCs/>
          <w:color w:val="auto"/>
          <w:sz w:val="20"/>
          <w:szCs w:val="20"/>
        </w:rPr>
        <w:t xml:space="preserve"> and</w:t>
      </w:r>
      <w:r w:rsidR="00FA2C02" w:rsidRPr="00D2222C">
        <w:rPr>
          <w:rFonts w:asciiTheme="majorHAnsi" w:hAnsiTheme="majorHAnsi"/>
          <w:bCs/>
          <w:color w:val="auto"/>
          <w:sz w:val="20"/>
          <w:szCs w:val="20"/>
        </w:rPr>
        <w:t xml:space="preserve"> that a reasonable suspicion of bias is sufficient for juror disqualification.</w:t>
      </w:r>
      <w:r w:rsidR="00FA2C02" w:rsidRPr="00D2222C">
        <w:rPr>
          <w:rStyle w:val="FootnoteReference"/>
          <w:rFonts w:asciiTheme="majorHAnsi" w:hAnsiTheme="majorHAnsi"/>
          <w:bCs/>
          <w:color w:val="auto"/>
          <w:sz w:val="20"/>
          <w:szCs w:val="20"/>
        </w:rPr>
        <w:footnoteReference w:id="47"/>
      </w:r>
    </w:p>
    <w:p w14:paraId="2A9EB6A7" w14:textId="77777777" w:rsidR="00FA2C02" w:rsidRPr="00D2222C" w:rsidRDefault="00FA2C02" w:rsidP="00090720">
      <w:pPr>
        <w:pStyle w:val="ListParagraph"/>
        <w:ind w:left="1440" w:hanging="720"/>
        <w:jc w:val="both"/>
        <w:rPr>
          <w:rFonts w:asciiTheme="majorHAnsi" w:hAnsiTheme="majorHAnsi"/>
          <w:b/>
          <w:color w:val="auto"/>
          <w:sz w:val="20"/>
          <w:szCs w:val="20"/>
        </w:rPr>
      </w:pPr>
    </w:p>
    <w:p w14:paraId="25D1DFF0" w14:textId="77777777" w:rsidR="001C4006" w:rsidRPr="00D2222C" w:rsidRDefault="001C4006" w:rsidP="00090720">
      <w:pPr>
        <w:pStyle w:val="Heading3"/>
        <w:numPr>
          <w:ilvl w:val="0"/>
          <w:numId w:val="63"/>
        </w:numPr>
        <w:spacing w:before="0"/>
        <w:ind w:left="1440" w:hanging="720"/>
        <w:rPr>
          <w:color w:val="auto"/>
          <w:sz w:val="20"/>
          <w:szCs w:val="20"/>
          <w:lang w:val="es-ES"/>
        </w:rPr>
      </w:pPr>
      <w:bookmarkStart w:id="17" w:name="_Toc26550931"/>
      <w:r w:rsidRPr="00D2222C">
        <w:rPr>
          <w:color w:val="auto"/>
          <w:sz w:val="20"/>
          <w:szCs w:val="20"/>
          <w:lang w:val="es-ES"/>
        </w:rPr>
        <w:t>Analysis of the case</w:t>
      </w:r>
      <w:bookmarkEnd w:id="17"/>
    </w:p>
    <w:p w14:paraId="7F88C7A9" w14:textId="77777777" w:rsidR="001C4006" w:rsidRPr="00D2222C" w:rsidRDefault="001C4006" w:rsidP="00090720">
      <w:pPr>
        <w:ind w:left="1440" w:hanging="720"/>
        <w:rPr>
          <w:rFonts w:asciiTheme="majorHAnsi" w:hAnsiTheme="majorHAnsi"/>
          <w:sz w:val="20"/>
          <w:szCs w:val="20"/>
          <w:lang w:val="es-ES"/>
        </w:rPr>
      </w:pPr>
    </w:p>
    <w:p w14:paraId="3D60978E" w14:textId="77777777" w:rsidR="005A0410" w:rsidRPr="00D2222C" w:rsidRDefault="00A542D1"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sz w:val="20"/>
        </w:rPr>
        <w:t xml:space="preserve">The Commission observes that the distinction </w:t>
      </w:r>
      <w:r w:rsidR="002F2D41" w:rsidRPr="00D2222C">
        <w:rPr>
          <w:rFonts w:asciiTheme="majorHAnsi" w:hAnsiTheme="majorHAnsi"/>
          <w:sz w:val="20"/>
        </w:rPr>
        <w:t xml:space="preserve">alleged </w:t>
      </w:r>
      <w:r w:rsidRPr="00D2222C">
        <w:rPr>
          <w:rFonts w:asciiTheme="majorHAnsi" w:hAnsiTheme="majorHAnsi"/>
          <w:sz w:val="20"/>
        </w:rPr>
        <w:t>in this case is race, which is subject to a particularly strict level of scrutiny and thus triggers a “reversal of the burden of proof” and a “presumption of invalidity.”</w:t>
      </w:r>
      <w:r w:rsidRPr="00D2222C">
        <w:rPr>
          <w:rStyle w:val="FootnoteReference"/>
          <w:rFonts w:asciiTheme="majorHAnsi" w:hAnsiTheme="majorHAnsi"/>
          <w:sz w:val="20"/>
        </w:rPr>
        <w:footnoteReference w:id="48"/>
      </w:r>
      <w:r w:rsidRPr="00D2222C">
        <w:rPr>
          <w:rFonts w:asciiTheme="majorHAnsi" w:hAnsiTheme="majorHAnsi"/>
          <w:sz w:val="20"/>
        </w:rPr>
        <w:t xml:space="preserve"> The purpose of applying strict scrutiny is to guarantee that the distinction is not based on the prejudices and/or stereotypes that generally surround suspect categories of distinction.</w:t>
      </w:r>
      <w:r w:rsidRPr="00D2222C">
        <w:rPr>
          <w:rStyle w:val="FootnoteReference"/>
          <w:rFonts w:asciiTheme="majorHAnsi" w:hAnsiTheme="majorHAnsi"/>
          <w:sz w:val="20"/>
        </w:rPr>
        <w:footnoteReference w:id="49"/>
      </w:r>
      <w:r w:rsidRPr="00D2222C">
        <w:rPr>
          <w:rFonts w:asciiTheme="majorHAnsi" w:hAnsiTheme="majorHAnsi"/>
          <w:sz w:val="20"/>
        </w:rPr>
        <w:t xml:space="preserve"> </w:t>
      </w:r>
      <w:r w:rsidR="00A03B6C" w:rsidRPr="00D2222C">
        <w:rPr>
          <w:rFonts w:ascii="Cambria" w:hAnsi="Cambria"/>
          <w:sz w:val="20"/>
        </w:rPr>
        <w:t>The IACHR has indicated that where this bias may relate to a prohibited ground of discrimination, such as race, it may also implicate a violation of the principle of equality and non-discrimination.</w:t>
      </w:r>
      <w:r w:rsidR="00A03B6C" w:rsidRPr="00D2222C">
        <w:rPr>
          <w:rFonts w:ascii="Cambria" w:hAnsi="Cambria"/>
          <w:sz w:val="20"/>
          <w:vertAlign w:val="superscript"/>
        </w:rPr>
        <w:footnoteReference w:id="50"/>
      </w:r>
    </w:p>
    <w:p w14:paraId="3DA2F17C" w14:textId="77777777" w:rsidR="005A0410" w:rsidRPr="00D2222C" w:rsidRDefault="005A0410"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rPr>
      </w:pPr>
    </w:p>
    <w:p w14:paraId="2F170627" w14:textId="77777777" w:rsidR="007D3E9B" w:rsidRPr="00D2222C" w:rsidRDefault="007D3E9B"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Cambria" w:hAnsi="Cambria"/>
          <w:sz w:val="20"/>
        </w:rPr>
        <w:t xml:space="preserve">The Commission has </w:t>
      </w:r>
      <w:r w:rsidR="005A0410" w:rsidRPr="00D2222C">
        <w:rPr>
          <w:rFonts w:ascii="Cambria" w:hAnsi="Cambria"/>
          <w:sz w:val="20"/>
        </w:rPr>
        <w:t>found</w:t>
      </w:r>
      <w:r w:rsidRPr="00D2222C">
        <w:rPr>
          <w:rFonts w:ascii="Cambria" w:hAnsi="Cambria"/>
          <w:sz w:val="20"/>
        </w:rPr>
        <w:t xml:space="preserve"> that allegations relating to the right to equality in the context of a criminal process </w:t>
      </w:r>
      <w:r w:rsidR="00ED0E31" w:rsidRPr="00D2222C">
        <w:rPr>
          <w:rFonts w:ascii="Cambria" w:hAnsi="Cambria"/>
          <w:sz w:val="20"/>
        </w:rPr>
        <w:t xml:space="preserve">require </w:t>
      </w:r>
      <w:r w:rsidRPr="00D2222C">
        <w:rPr>
          <w:rFonts w:ascii="Cambria" w:hAnsi="Cambria"/>
          <w:sz w:val="20"/>
        </w:rPr>
        <w:t xml:space="preserve">an analysis of the fair trial requirements which include the requirement that the tribunal concerned is impartial and affords a party equal protection of the law, without discrimination of any kind. </w:t>
      </w:r>
      <w:r w:rsidRPr="00D2222C">
        <w:rPr>
          <w:rFonts w:ascii="Cambria" w:hAnsi="Cambria"/>
          <w:sz w:val="20"/>
          <w:vertAlign w:val="superscript"/>
        </w:rPr>
        <w:footnoteReference w:id="51"/>
      </w:r>
      <w:r w:rsidRPr="00D2222C">
        <w:rPr>
          <w:rFonts w:ascii="Cambria" w:hAnsi="Cambria"/>
          <w:b/>
          <w:sz w:val="20"/>
        </w:rPr>
        <w:t xml:space="preserve"> </w:t>
      </w:r>
      <w:r w:rsidRPr="00D2222C">
        <w:rPr>
          <w:rFonts w:ascii="Cambria" w:hAnsi="Cambria"/>
          <w:sz w:val="20"/>
        </w:rPr>
        <w:t>In systems that employ a jury system, these requirements apply both to judges and to juries. In this regard, the Commission has recognized that the international standard on the issue of “judge and juror impartiality” employs an objective test based on “reasonableness and appearance of impartiality.”</w:t>
      </w:r>
      <w:r w:rsidRPr="00D2222C">
        <w:rPr>
          <w:rFonts w:ascii="Cambria" w:hAnsi="Cambria"/>
          <w:sz w:val="20"/>
          <w:vertAlign w:val="superscript"/>
        </w:rPr>
        <w:footnoteReference w:id="52"/>
      </w:r>
      <w:r w:rsidRPr="00D2222C">
        <w:rPr>
          <w:rFonts w:ascii="Cambria" w:hAnsi="Cambria"/>
          <w:sz w:val="20"/>
        </w:rPr>
        <w:t xml:space="preserve"> According to this standard, “it must be determined whether there is a real danger of bias affecting the mind of the relevant juror or jurors.”</w:t>
      </w:r>
      <w:r w:rsidRPr="00D2222C">
        <w:rPr>
          <w:rFonts w:ascii="Cambria" w:hAnsi="Cambria"/>
          <w:sz w:val="20"/>
          <w:vertAlign w:val="superscript"/>
        </w:rPr>
        <w:footnoteReference w:id="53"/>
      </w:r>
      <w:r w:rsidRPr="00D2222C">
        <w:rPr>
          <w:rFonts w:ascii="Cambria" w:hAnsi="Cambria"/>
          <w:b/>
          <w:sz w:val="20"/>
        </w:rPr>
        <w:t xml:space="preserve"> </w:t>
      </w:r>
    </w:p>
    <w:p w14:paraId="2153D36C" w14:textId="77777777" w:rsidR="007D3E9B" w:rsidRPr="00D2222C" w:rsidRDefault="007D3E9B"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rPr>
      </w:pPr>
    </w:p>
    <w:p w14:paraId="27E29420" w14:textId="77777777" w:rsidR="001C48AF" w:rsidRPr="00D2222C" w:rsidRDefault="005267A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In the instant case</w:t>
      </w:r>
      <w:r w:rsidR="00E63B98" w:rsidRPr="00D2222C">
        <w:rPr>
          <w:rFonts w:asciiTheme="majorHAnsi" w:hAnsiTheme="majorHAnsi"/>
          <w:bCs/>
          <w:sz w:val="20"/>
          <w:szCs w:val="20"/>
        </w:rPr>
        <w:t>,</w:t>
      </w:r>
      <w:r w:rsidRPr="00D2222C">
        <w:rPr>
          <w:rFonts w:asciiTheme="majorHAnsi" w:hAnsiTheme="majorHAnsi"/>
          <w:bCs/>
          <w:sz w:val="20"/>
          <w:szCs w:val="20"/>
        </w:rPr>
        <w:t xml:space="preserve"> the petitioners </w:t>
      </w:r>
      <w:r w:rsidR="006C2B38" w:rsidRPr="00D2222C">
        <w:rPr>
          <w:rFonts w:asciiTheme="majorHAnsi" w:hAnsiTheme="majorHAnsi"/>
          <w:bCs/>
          <w:sz w:val="20"/>
          <w:szCs w:val="20"/>
        </w:rPr>
        <w:t xml:space="preserve">allege that the federal </w:t>
      </w:r>
      <w:r w:rsidR="00E63B98" w:rsidRPr="00D2222C">
        <w:rPr>
          <w:rFonts w:asciiTheme="majorHAnsi" w:hAnsiTheme="majorHAnsi"/>
          <w:bCs/>
          <w:sz w:val="20"/>
          <w:szCs w:val="20"/>
        </w:rPr>
        <w:t xml:space="preserve">death </w:t>
      </w:r>
      <w:r w:rsidR="006C2B38" w:rsidRPr="00D2222C">
        <w:rPr>
          <w:rFonts w:asciiTheme="majorHAnsi" w:hAnsiTheme="majorHAnsi"/>
          <w:bCs/>
          <w:sz w:val="20"/>
          <w:szCs w:val="20"/>
        </w:rPr>
        <w:t xml:space="preserve">penalty was administered in a racially discriminatory fashion. In particular, they </w:t>
      </w:r>
      <w:r w:rsidRPr="00D2222C">
        <w:rPr>
          <w:rFonts w:asciiTheme="majorHAnsi" w:hAnsiTheme="majorHAnsi"/>
          <w:bCs/>
          <w:sz w:val="20"/>
          <w:szCs w:val="20"/>
        </w:rPr>
        <w:t xml:space="preserve">question the </w:t>
      </w:r>
      <w:r w:rsidR="006C2B38" w:rsidRPr="00D2222C">
        <w:rPr>
          <w:rFonts w:asciiTheme="majorHAnsi" w:hAnsiTheme="majorHAnsi"/>
          <w:bCs/>
          <w:sz w:val="20"/>
          <w:szCs w:val="20"/>
        </w:rPr>
        <w:t>venue of the trial, the authorization process by which the DoJ select</w:t>
      </w:r>
      <w:r w:rsidR="00BE1438" w:rsidRPr="00D2222C">
        <w:rPr>
          <w:rFonts w:asciiTheme="majorHAnsi" w:hAnsiTheme="majorHAnsi"/>
          <w:bCs/>
          <w:sz w:val="20"/>
          <w:szCs w:val="20"/>
        </w:rPr>
        <w:t>s</w:t>
      </w:r>
      <w:r w:rsidR="006C2B38" w:rsidRPr="00D2222C">
        <w:rPr>
          <w:rFonts w:asciiTheme="majorHAnsi" w:hAnsiTheme="majorHAnsi"/>
          <w:bCs/>
          <w:sz w:val="20"/>
          <w:szCs w:val="20"/>
        </w:rPr>
        <w:t xml:space="preserve"> those defendants who will face the death penalty, the </w:t>
      </w:r>
      <w:r w:rsidRPr="00D2222C">
        <w:rPr>
          <w:rFonts w:asciiTheme="majorHAnsi" w:hAnsiTheme="majorHAnsi"/>
          <w:bCs/>
          <w:sz w:val="20"/>
          <w:szCs w:val="20"/>
        </w:rPr>
        <w:t>composition of the jury, the manner in which the members of the jury were chosen</w:t>
      </w:r>
      <w:r w:rsidR="00C50C1E" w:rsidRPr="00D2222C">
        <w:rPr>
          <w:rFonts w:asciiTheme="majorHAnsi" w:hAnsiTheme="majorHAnsi"/>
          <w:bCs/>
          <w:sz w:val="20"/>
          <w:szCs w:val="20"/>
        </w:rPr>
        <w:t>, and the fact that the State did not offer Mr. Hall the chance to plead guilty</w:t>
      </w:r>
      <w:r w:rsidRPr="00D2222C">
        <w:rPr>
          <w:rFonts w:asciiTheme="majorHAnsi" w:hAnsiTheme="majorHAnsi"/>
          <w:bCs/>
          <w:sz w:val="20"/>
          <w:szCs w:val="20"/>
        </w:rPr>
        <w:t xml:space="preserve">.  </w:t>
      </w:r>
    </w:p>
    <w:p w14:paraId="3A596AD0" w14:textId="77777777" w:rsidR="001C48AF" w:rsidRPr="00D2222C" w:rsidRDefault="001C48AF" w:rsidP="009E3847">
      <w:pPr>
        <w:pStyle w:val="ListParagraph"/>
        <w:rPr>
          <w:rFonts w:asciiTheme="majorHAnsi" w:hAnsiTheme="majorHAnsi"/>
          <w:bCs/>
          <w:sz w:val="20"/>
          <w:szCs w:val="20"/>
        </w:rPr>
      </w:pPr>
    </w:p>
    <w:p w14:paraId="13638994" w14:textId="77777777" w:rsidR="001C48AF" w:rsidRPr="00D2222C" w:rsidRDefault="00371EFD"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 xml:space="preserve">According to </w:t>
      </w:r>
      <w:r w:rsidR="00FA63CD" w:rsidRPr="00D2222C">
        <w:rPr>
          <w:rFonts w:asciiTheme="majorHAnsi" w:hAnsiTheme="majorHAnsi"/>
          <w:bCs/>
          <w:sz w:val="20"/>
          <w:szCs w:val="20"/>
        </w:rPr>
        <w:t>the facts established in this report</w:t>
      </w:r>
      <w:r w:rsidR="00BE1438" w:rsidRPr="00D2222C">
        <w:rPr>
          <w:rFonts w:asciiTheme="majorHAnsi" w:hAnsiTheme="majorHAnsi"/>
          <w:bCs/>
          <w:sz w:val="20"/>
          <w:szCs w:val="20"/>
        </w:rPr>
        <w:t>,</w:t>
      </w:r>
      <w:r w:rsidRPr="00D2222C">
        <w:rPr>
          <w:rFonts w:asciiTheme="majorHAnsi" w:hAnsiTheme="majorHAnsi"/>
          <w:bCs/>
          <w:sz w:val="20"/>
          <w:szCs w:val="20"/>
        </w:rPr>
        <w:t xml:space="preserve"> at the time of Mr. Hall’s trial </w:t>
      </w:r>
      <w:r w:rsidR="004F441A" w:rsidRPr="00D2222C">
        <w:rPr>
          <w:rFonts w:asciiTheme="majorHAnsi" w:hAnsiTheme="majorHAnsi"/>
          <w:bCs/>
          <w:sz w:val="20"/>
          <w:szCs w:val="20"/>
        </w:rPr>
        <w:t>t</w:t>
      </w:r>
      <w:r w:rsidR="006B17B3" w:rsidRPr="00D2222C">
        <w:rPr>
          <w:rFonts w:asciiTheme="majorHAnsi" w:hAnsiTheme="majorHAnsi"/>
          <w:bCs/>
          <w:sz w:val="20"/>
          <w:szCs w:val="20"/>
        </w:rPr>
        <w:t>he rate of black defendants against whom the DoJ sought the death penalty was more than 60% higher than white defendants</w:t>
      </w:r>
      <w:r w:rsidR="00496C69" w:rsidRPr="00D2222C">
        <w:rPr>
          <w:rFonts w:asciiTheme="majorHAnsi" w:hAnsiTheme="majorHAnsi"/>
          <w:bCs/>
          <w:sz w:val="20"/>
          <w:szCs w:val="20"/>
        </w:rPr>
        <w:t>; and</w:t>
      </w:r>
      <w:r w:rsidR="00795E01" w:rsidRPr="00D2222C">
        <w:rPr>
          <w:rFonts w:asciiTheme="majorHAnsi" w:hAnsiTheme="majorHAnsi"/>
          <w:bCs/>
          <w:sz w:val="20"/>
          <w:szCs w:val="20"/>
        </w:rPr>
        <w:t xml:space="preserve"> </w:t>
      </w:r>
      <w:r w:rsidR="00134FF0" w:rsidRPr="00D2222C">
        <w:rPr>
          <w:rFonts w:asciiTheme="majorHAnsi" w:hAnsiTheme="majorHAnsi"/>
          <w:bCs/>
          <w:sz w:val="20"/>
          <w:szCs w:val="20"/>
        </w:rPr>
        <w:t>of the defendants who entered into plea agreements after the Attorney General had authorized the death penalty, 41% were white and 35% black.</w:t>
      </w:r>
      <w:r w:rsidR="001C48AF" w:rsidRPr="00D2222C">
        <w:rPr>
          <w:rFonts w:asciiTheme="majorHAnsi" w:hAnsiTheme="majorHAnsi"/>
          <w:bCs/>
          <w:sz w:val="20"/>
          <w:szCs w:val="20"/>
        </w:rPr>
        <w:t xml:space="preserve"> </w:t>
      </w:r>
      <w:r w:rsidR="00955EA3" w:rsidRPr="00D2222C">
        <w:rPr>
          <w:rFonts w:asciiTheme="majorHAnsi" w:hAnsiTheme="majorHAnsi"/>
          <w:bCs/>
          <w:sz w:val="20"/>
          <w:szCs w:val="20"/>
        </w:rPr>
        <w:t>I</w:t>
      </w:r>
      <w:r w:rsidR="001C48AF" w:rsidRPr="00D2222C">
        <w:rPr>
          <w:rFonts w:asciiTheme="majorHAnsi" w:hAnsiTheme="majorHAnsi"/>
          <w:bCs/>
          <w:sz w:val="20"/>
          <w:szCs w:val="20"/>
        </w:rPr>
        <w:t>t has</w:t>
      </w:r>
      <w:r w:rsidR="00955EA3" w:rsidRPr="00D2222C">
        <w:rPr>
          <w:rFonts w:asciiTheme="majorHAnsi" w:hAnsiTheme="majorHAnsi"/>
          <w:bCs/>
          <w:sz w:val="20"/>
          <w:szCs w:val="20"/>
        </w:rPr>
        <w:t xml:space="preserve"> also</w:t>
      </w:r>
      <w:r w:rsidR="001C48AF" w:rsidRPr="00D2222C">
        <w:rPr>
          <w:rFonts w:asciiTheme="majorHAnsi" w:hAnsiTheme="majorHAnsi"/>
          <w:bCs/>
          <w:sz w:val="20"/>
          <w:szCs w:val="20"/>
        </w:rPr>
        <w:t xml:space="preserve"> been proven that, b</w:t>
      </w:r>
      <w:r w:rsidR="001C48AF" w:rsidRPr="00D2222C">
        <w:rPr>
          <w:rFonts w:asciiTheme="majorHAnsi" w:hAnsiTheme="majorHAnsi"/>
          <w:sz w:val="20"/>
          <w:szCs w:val="20"/>
        </w:rPr>
        <w:t>efore the commencement of trial</w:t>
      </w:r>
      <w:r w:rsidR="00955EA3" w:rsidRPr="00D2222C">
        <w:rPr>
          <w:rFonts w:asciiTheme="majorHAnsi" w:hAnsiTheme="majorHAnsi"/>
          <w:sz w:val="20"/>
          <w:szCs w:val="20"/>
        </w:rPr>
        <w:t>,</w:t>
      </w:r>
      <w:r w:rsidR="001C48AF" w:rsidRPr="00D2222C">
        <w:rPr>
          <w:rFonts w:asciiTheme="majorHAnsi" w:hAnsiTheme="majorHAnsi"/>
          <w:sz w:val="20"/>
          <w:szCs w:val="20"/>
        </w:rPr>
        <w:t xml:space="preserve"> </w:t>
      </w:r>
      <w:r w:rsidR="007A17C8" w:rsidRPr="00D2222C">
        <w:rPr>
          <w:rFonts w:asciiTheme="majorHAnsi" w:hAnsiTheme="majorHAnsi"/>
          <w:sz w:val="20"/>
          <w:szCs w:val="20"/>
        </w:rPr>
        <w:t xml:space="preserve">the district court denied a discovery request made by </w:t>
      </w:r>
      <w:r w:rsidR="00E26FCD" w:rsidRPr="00D2222C">
        <w:rPr>
          <w:rFonts w:asciiTheme="majorHAnsi" w:hAnsiTheme="majorHAnsi"/>
          <w:sz w:val="20"/>
          <w:szCs w:val="20"/>
        </w:rPr>
        <w:t xml:space="preserve">Mr. Hall’s </w:t>
      </w:r>
      <w:r w:rsidR="007A17C8" w:rsidRPr="00D2222C">
        <w:rPr>
          <w:rFonts w:asciiTheme="majorHAnsi" w:hAnsiTheme="majorHAnsi"/>
          <w:sz w:val="20"/>
          <w:szCs w:val="20"/>
        </w:rPr>
        <w:t>defense counsel regarding the government’s decision-making in death-penalty cases</w:t>
      </w:r>
      <w:r w:rsidR="001C48AF" w:rsidRPr="00D2222C">
        <w:rPr>
          <w:rFonts w:asciiTheme="majorHAnsi" w:hAnsiTheme="majorHAnsi"/>
          <w:sz w:val="20"/>
          <w:szCs w:val="20"/>
        </w:rPr>
        <w:t xml:space="preserve">. </w:t>
      </w:r>
    </w:p>
    <w:p w14:paraId="6CA1A856" w14:textId="77777777" w:rsidR="00E1451D" w:rsidRPr="00D2222C" w:rsidRDefault="00E1451D" w:rsidP="009E3847">
      <w:pPr>
        <w:pStyle w:val="ListParagraph"/>
        <w:rPr>
          <w:rFonts w:asciiTheme="majorHAnsi" w:hAnsiTheme="majorHAnsi"/>
          <w:bCs/>
          <w:sz w:val="20"/>
          <w:szCs w:val="20"/>
        </w:rPr>
      </w:pPr>
    </w:p>
    <w:p w14:paraId="10C3E694" w14:textId="77777777" w:rsidR="00D74A1F" w:rsidRPr="00D2222C" w:rsidRDefault="00E6356C"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After an</w:t>
      </w:r>
      <w:r w:rsidR="00E1451D" w:rsidRPr="00D2222C">
        <w:rPr>
          <w:rFonts w:asciiTheme="majorHAnsi" w:hAnsiTheme="majorHAnsi"/>
          <w:bCs/>
          <w:sz w:val="20"/>
          <w:szCs w:val="20"/>
        </w:rPr>
        <w:t xml:space="preserve"> all-white jury </w:t>
      </w:r>
      <w:r w:rsidRPr="00D2222C">
        <w:rPr>
          <w:rFonts w:asciiTheme="majorHAnsi" w:hAnsiTheme="majorHAnsi"/>
          <w:bCs/>
          <w:sz w:val="20"/>
          <w:szCs w:val="20"/>
        </w:rPr>
        <w:t xml:space="preserve">recommended that Mr. Hall receive the death penalty, </w:t>
      </w:r>
      <w:r w:rsidR="00A438F6" w:rsidRPr="00D2222C">
        <w:rPr>
          <w:rFonts w:asciiTheme="majorHAnsi" w:hAnsiTheme="majorHAnsi"/>
          <w:bCs/>
          <w:sz w:val="20"/>
          <w:szCs w:val="20"/>
        </w:rPr>
        <w:t xml:space="preserve">Mr. Hall was convicted and sentenced to the </w:t>
      </w:r>
      <w:r w:rsidRPr="00D2222C">
        <w:rPr>
          <w:rFonts w:asciiTheme="majorHAnsi" w:hAnsiTheme="majorHAnsi"/>
          <w:bCs/>
          <w:sz w:val="20"/>
          <w:szCs w:val="20"/>
        </w:rPr>
        <w:t xml:space="preserve">death penalty on February 12, 1996. </w:t>
      </w:r>
      <w:r w:rsidR="00B46313" w:rsidRPr="00D2222C">
        <w:rPr>
          <w:rFonts w:asciiTheme="majorHAnsi" w:hAnsiTheme="majorHAnsi"/>
          <w:bCs/>
          <w:sz w:val="20"/>
          <w:szCs w:val="20"/>
        </w:rPr>
        <w:t xml:space="preserve">It is uncontested that the Assistant U.S. Attorney </w:t>
      </w:r>
      <w:r w:rsidR="00D25C75" w:rsidRPr="00D2222C">
        <w:rPr>
          <w:rFonts w:asciiTheme="majorHAnsi" w:hAnsiTheme="majorHAnsi"/>
          <w:bCs/>
          <w:sz w:val="20"/>
          <w:szCs w:val="20"/>
        </w:rPr>
        <w:t xml:space="preserve">responsible for assembling the jury in Mr. Hall’s prosecution was </w:t>
      </w:r>
      <w:r w:rsidR="00A438F6" w:rsidRPr="00D2222C">
        <w:rPr>
          <w:rFonts w:asciiTheme="majorHAnsi" w:hAnsiTheme="majorHAnsi"/>
          <w:bCs/>
          <w:sz w:val="20"/>
          <w:szCs w:val="20"/>
        </w:rPr>
        <w:t xml:space="preserve">later </w:t>
      </w:r>
      <w:r w:rsidR="00D25C75" w:rsidRPr="00D2222C">
        <w:rPr>
          <w:rFonts w:asciiTheme="majorHAnsi" w:hAnsiTheme="majorHAnsi"/>
          <w:bCs/>
          <w:sz w:val="20"/>
          <w:szCs w:val="20"/>
        </w:rPr>
        <w:t>found by the U.S. Supreme Court</w:t>
      </w:r>
      <w:r w:rsidR="00ED0E31" w:rsidRPr="00D2222C">
        <w:rPr>
          <w:rFonts w:asciiTheme="majorHAnsi" w:hAnsiTheme="majorHAnsi"/>
          <w:bCs/>
          <w:sz w:val="20"/>
          <w:szCs w:val="20"/>
        </w:rPr>
        <w:t xml:space="preserve"> and Fifth Circuit</w:t>
      </w:r>
      <w:r w:rsidR="00D25C75" w:rsidRPr="00D2222C">
        <w:rPr>
          <w:rFonts w:asciiTheme="majorHAnsi" w:hAnsiTheme="majorHAnsi"/>
          <w:bCs/>
          <w:sz w:val="20"/>
          <w:szCs w:val="20"/>
        </w:rPr>
        <w:t xml:space="preserve">, in two separate capital cases decided in 2005 and 2009, to have engaged in racial discrimination in jury selection. According to the petitioners, given that Mr. Hall’s final round of appeals had already been decided, he could not use this new finding in his habeas petition. This allegation has not been disputed by the State. </w:t>
      </w:r>
      <w:r w:rsidR="00B46313" w:rsidRPr="00D2222C">
        <w:rPr>
          <w:rFonts w:asciiTheme="majorHAnsi" w:hAnsiTheme="majorHAnsi"/>
          <w:bCs/>
          <w:sz w:val="20"/>
          <w:szCs w:val="20"/>
        </w:rPr>
        <w:t xml:space="preserve"> </w:t>
      </w:r>
      <w:r w:rsidRPr="00D2222C">
        <w:rPr>
          <w:rFonts w:asciiTheme="majorHAnsi" w:hAnsiTheme="majorHAnsi"/>
          <w:bCs/>
          <w:sz w:val="20"/>
          <w:szCs w:val="20"/>
        </w:rPr>
        <w:t xml:space="preserve"> </w:t>
      </w:r>
      <w:r w:rsidR="00A91F89" w:rsidRPr="00D2222C">
        <w:rPr>
          <w:rFonts w:asciiTheme="majorHAnsi" w:hAnsiTheme="majorHAnsi"/>
          <w:bCs/>
          <w:sz w:val="20"/>
          <w:szCs w:val="20"/>
        </w:rPr>
        <w:t xml:space="preserve"> </w:t>
      </w:r>
    </w:p>
    <w:p w14:paraId="46716EA4" w14:textId="77777777" w:rsidR="00E26FCD" w:rsidRPr="00D2222C" w:rsidRDefault="00E26FCD" w:rsidP="009E3847">
      <w:pPr>
        <w:pStyle w:val="ListParagraph"/>
        <w:rPr>
          <w:rFonts w:asciiTheme="majorHAnsi" w:hAnsiTheme="majorHAnsi"/>
          <w:bCs/>
          <w:sz w:val="20"/>
          <w:szCs w:val="20"/>
        </w:rPr>
      </w:pPr>
    </w:p>
    <w:p w14:paraId="08AE703C" w14:textId="77777777" w:rsidR="00F82683" w:rsidRPr="00D2222C" w:rsidRDefault="00E26FCD"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 xml:space="preserve">The fact that Mr. Hall, an African-American, had been tried by an all-white jury does not constitute </w:t>
      </w:r>
      <w:r w:rsidRPr="00D2222C">
        <w:rPr>
          <w:rFonts w:asciiTheme="majorHAnsi" w:hAnsiTheme="majorHAnsi"/>
          <w:bCs/>
          <w:i/>
          <w:sz w:val="20"/>
          <w:szCs w:val="20"/>
        </w:rPr>
        <w:t>per se</w:t>
      </w:r>
      <w:r w:rsidRPr="00D2222C">
        <w:rPr>
          <w:rFonts w:asciiTheme="majorHAnsi" w:hAnsiTheme="majorHAnsi"/>
          <w:bCs/>
          <w:sz w:val="20"/>
          <w:szCs w:val="20"/>
        </w:rPr>
        <w:t xml:space="preserve"> a violation to the right of equality before the law. </w:t>
      </w:r>
      <w:r w:rsidR="006A508B" w:rsidRPr="00D2222C">
        <w:rPr>
          <w:rFonts w:asciiTheme="majorHAnsi" w:hAnsiTheme="majorHAnsi"/>
          <w:bCs/>
          <w:sz w:val="20"/>
          <w:szCs w:val="20"/>
        </w:rPr>
        <w:t xml:space="preserve">However, </w:t>
      </w:r>
      <w:r w:rsidR="00047F35" w:rsidRPr="00D2222C">
        <w:rPr>
          <w:rFonts w:asciiTheme="majorHAnsi" w:hAnsiTheme="majorHAnsi"/>
          <w:bCs/>
          <w:sz w:val="20"/>
          <w:szCs w:val="20"/>
        </w:rPr>
        <w:t>the facts established above</w:t>
      </w:r>
      <w:r w:rsidR="00404333" w:rsidRPr="00D2222C">
        <w:rPr>
          <w:rFonts w:asciiTheme="majorHAnsi" w:hAnsiTheme="majorHAnsi"/>
          <w:bCs/>
          <w:sz w:val="20"/>
          <w:szCs w:val="20"/>
        </w:rPr>
        <w:t xml:space="preserve"> and the context of disparate impact</w:t>
      </w:r>
      <w:r w:rsidR="00047F35" w:rsidRPr="00D2222C">
        <w:rPr>
          <w:rFonts w:asciiTheme="majorHAnsi" w:hAnsiTheme="majorHAnsi"/>
          <w:bCs/>
          <w:sz w:val="20"/>
          <w:szCs w:val="20"/>
        </w:rPr>
        <w:t>, when considered as a whole,</w:t>
      </w:r>
      <w:r w:rsidR="00084C5B" w:rsidRPr="00D2222C">
        <w:rPr>
          <w:rFonts w:asciiTheme="majorHAnsi" w:hAnsiTheme="majorHAnsi"/>
          <w:bCs/>
          <w:sz w:val="20"/>
          <w:szCs w:val="20"/>
        </w:rPr>
        <w:t xml:space="preserve"> raise a sufficient suspicion on the possible consideration of race in the application of the death penalty </w:t>
      </w:r>
      <w:r w:rsidR="001C38BC" w:rsidRPr="00D2222C">
        <w:rPr>
          <w:rFonts w:asciiTheme="majorHAnsi" w:hAnsiTheme="majorHAnsi"/>
          <w:bCs/>
          <w:sz w:val="20"/>
          <w:szCs w:val="20"/>
        </w:rPr>
        <w:t xml:space="preserve">in </w:t>
      </w:r>
      <w:r w:rsidR="00084C5B" w:rsidRPr="00D2222C">
        <w:rPr>
          <w:rFonts w:asciiTheme="majorHAnsi" w:hAnsiTheme="majorHAnsi"/>
          <w:bCs/>
          <w:sz w:val="20"/>
          <w:szCs w:val="20"/>
        </w:rPr>
        <w:t>Mr. Hall</w:t>
      </w:r>
      <w:r w:rsidR="001C38BC" w:rsidRPr="00D2222C">
        <w:rPr>
          <w:rFonts w:asciiTheme="majorHAnsi" w:hAnsiTheme="majorHAnsi"/>
          <w:bCs/>
          <w:sz w:val="20"/>
          <w:szCs w:val="20"/>
        </w:rPr>
        <w:t>’s case</w:t>
      </w:r>
      <w:r w:rsidR="00084C5B" w:rsidRPr="00D2222C">
        <w:rPr>
          <w:rFonts w:asciiTheme="majorHAnsi" w:hAnsiTheme="majorHAnsi"/>
          <w:bCs/>
          <w:sz w:val="20"/>
          <w:szCs w:val="20"/>
        </w:rPr>
        <w:t>. G</w:t>
      </w:r>
      <w:r w:rsidR="006A508B" w:rsidRPr="00D2222C">
        <w:rPr>
          <w:rFonts w:asciiTheme="majorHAnsi" w:hAnsiTheme="majorHAnsi"/>
          <w:bCs/>
          <w:sz w:val="20"/>
          <w:szCs w:val="20"/>
        </w:rPr>
        <w:t xml:space="preserve">iven </w:t>
      </w:r>
      <w:r w:rsidR="002D628F" w:rsidRPr="00D2222C">
        <w:rPr>
          <w:rFonts w:asciiTheme="majorHAnsi" w:hAnsiTheme="majorHAnsi"/>
          <w:bCs/>
          <w:sz w:val="20"/>
          <w:szCs w:val="20"/>
        </w:rPr>
        <w:t xml:space="preserve">the </w:t>
      </w:r>
      <w:r w:rsidR="00084C5B" w:rsidRPr="00D2222C">
        <w:rPr>
          <w:rFonts w:asciiTheme="majorHAnsi" w:hAnsiTheme="majorHAnsi"/>
          <w:bCs/>
          <w:sz w:val="20"/>
          <w:szCs w:val="20"/>
        </w:rPr>
        <w:t>seriousness of a suspicion of racial discrimination and the fact that in this specific case</w:t>
      </w:r>
      <w:r w:rsidR="00ED0E31" w:rsidRPr="00D2222C">
        <w:rPr>
          <w:rFonts w:asciiTheme="majorHAnsi" w:hAnsiTheme="majorHAnsi"/>
          <w:bCs/>
          <w:sz w:val="20"/>
          <w:szCs w:val="20"/>
        </w:rPr>
        <w:t>,</w:t>
      </w:r>
      <w:r w:rsidR="00084C5B" w:rsidRPr="00D2222C">
        <w:rPr>
          <w:rFonts w:asciiTheme="majorHAnsi" w:hAnsiTheme="majorHAnsi"/>
          <w:bCs/>
          <w:sz w:val="20"/>
          <w:szCs w:val="20"/>
        </w:rPr>
        <w:t xml:space="preserve"> the State had the means to prove that </w:t>
      </w:r>
      <w:r w:rsidR="001C38BC" w:rsidRPr="00D2222C">
        <w:rPr>
          <w:rFonts w:asciiTheme="majorHAnsi" w:hAnsiTheme="majorHAnsi"/>
          <w:bCs/>
          <w:sz w:val="20"/>
          <w:szCs w:val="20"/>
        </w:rPr>
        <w:t xml:space="preserve">the </w:t>
      </w:r>
      <w:r w:rsidR="00084C5B" w:rsidRPr="00D2222C">
        <w:rPr>
          <w:rFonts w:asciiTheme="majorHAnsi" w:hAnsiTheme="majorHAnsi"/>
          <w:bCs/>
          <w:sz w:val="20"/>
          <w:szCs w:val="20"/>
        </w:rPr>
        <w:t xml:space="preserve">death penalty was administered in an objective manner, </w:t>
      </w:r>
      <w:r w:rsidR="005439C3" w:rsidRPr="00D2222C">
        <w:rPr>
          <w:rFonts w:asciiTheme="majorHAnsi" w:hAnsiTheme="majorHAnsi"/>
          <w:bCs/>
          <w:sz w:val="20"/>
          <w:szCs w:val="20"/>
        </w:rPr>
        <w:t xml:space="preserve">such suspicion </w:t>
      </w:r>
      <w:r w:rsidR="009C1D8B" w:rsidRPr="00D2222C">
        <w:rPr>
          <w:rFonts w:asciiTheme="majorHAnsi" w:hAnsiTheme="majorHAnsi"/>
          <w:bCs/>
          <w:sz w:val="20"/>
          <w:szCs w:val="20"/>
        </w:rPr>
        <w:t xml:space="preserve">triggers a strict level of scrutiny and a presumption </w:t>
      </w:r>
      <w:r w:rsidR="009C1D8B" w:rsidRPr="00D2222C">
        <w:rPr>
          <w:rFonts w:asciiTheme="majorHAnsi" w:hAnsiTheme="majorHAnsi"/>
          <w:bCs/>
          <w:sz w:val="20"/>
          <w:szCs w:val="20"/>
        </w:rPr>
        <w:lastRenderedPageBreak/>
        <w:t>of invalidity</w:t>
      </w:r>
      <w:r w:rsidR="003D5CD7" w:rsidRPr="00D2222C">
        <w:rPr>
          <w:rFonts w:asciiTheme="majorHAnsi" w:hAnsiTheme="majorHAnsi"/>
          <w:bCs/>
          <w:sz w:val="20"/>
          <w:szCs w:val="20"/>
        </w:rPr>
        <w:t xml:space="preserve">, </w:t>
      </w:r>
      <w:r w:rsidR="006E6C78" w:rsidRPr="00D2222C">
        <w:rPr>
          <w:rFonts w:asciiTheme="majorHAnsi" w:hAnsiTheme="majorHAnsi"/>
          <w:bCs/>
          <w:sz w:val="20"/>
          <w:szCs w:val="20"/>
        </w:rPr>
        <w:t xml:space="preserve">and </w:t>
      </w:r>
      <w:r w:rsidR="003D5CD7" w:rsidRPr="00D2222C">
        <w:rPr>
          <w:rFonts w:asciiTheme="majorHAnsi" w:hAnsiTheme="majorHAnsi"/>
          <w:bCs/>
          <w:sz w:val="20"/>
          <w:szCs w:val="20"/>
        </w:rPr>
        <w:t xml:space="preserve">the State has the burden </w:t>
      </w:r>
      <w:r w:rsidR="009C1D8B" w:rsidRPr="00D2222C">
        <w:rPr>
          <w:rFonts w:asciiTheme="majorHAnsi" w:hAnsiTheme="majorHAnsi"/>
          <w:bCs/>
          <w:sz w:val="20"/>
          <w:szCs w:val="20"/>
        </w:rPr>
        <w:t>of proving</w:t>
      </w:r>
      <w:r w:rsidR="003D5CD7" w:rsidRPr="00D2222C">
        <w:rPr>
          <w:rFonts w:asciiTheme="majorHAnsi" w:hAnsiTheme="majorHAnsi"/>
          <w:bCs/>
          <w:sz w:val="20"/>
          <w:szCs w:val="20"/>
        </w:rPr>
        <w:t xml:space="preserve"> </w:t>
      </w:r>
      <w:r w:rsidR="00BB6D96" w:rsidRPr="00D2222C">
        <w:rPr>
          <w:rFonts w:asciiTheme="majorHAnsi" w:hAnsiTheme="majorHAnsi"/>
          <w:bCs/>
          <w:sz w:val="20"/>
          <w:szCs w:val="20"/>
        </w:rPr>
        <w:t>t</w:t>
      </w:r>
      <w:r w:rsidR="00182F27" w:rsidRPr="00D2222C">
        <w:rPr>
          <w:rFonts w:asciiTheme="majorHAnsi" w:hAnsiTheme="majorHAnsi"/>
          <w:bCs/>
          <w:sz w:val="20"/>
          <w:szCs w:val="20"/>
        </w:rPr>
        <w:t>hat</w:t>
      </w:r>
      <w:r w:rsidR="00BB6D96" w:rsidRPr="00D2222C">
        <w:rPr>
          <w:rFonts w:asciiTheme="majorHAnsi" w:hAnsiTheme="majorHAnsi"/>
          <w:bCs/>
          <w:sz w:val="20"/>
          <w:szCs w:val="20"/>
        </w:rPr>
        <w:t xml:space="preserve"> criminal proceedings </w:t>
      </w:r>
      <w:r w:rsidR="00182F27" w:rsidRPr="00D2222C">
        <w:rPr>
          <w:rFonts w:asciiTheme="majorHAnsi" w:hAnsiTheme="majorHAnsi"/>
          <w:bCs/>
          <w:sz w:val="20"/>
          <w:szCs w:val="20"/>
        </w:rPr>
        <w:t>had</w:t>
      </w:r>
      <w:r w:rsidR="00BB6D96" w:rsidRPr="00D2222C">
        <w:rPr>
          <w:rFonts w:asciiTheme="majorHAnsi" w:hAnsiTheme="majorHAnsi"/>
          <w:bCs/>
          <w:sz w:val="20"/>
          <w:szCs w:val="20"/>
        </w:rPr>
        <w:t xml:space="preserve"> not</w:t>
      </w:r>
      <w:r w:rsidR="00182F27" w:rsidRPr="00D2222C">
        <w:rPr>
          <w:rFonts w:asciiTheme="majorHAnsi" w:hAnsiTheme="majorHAnsi"/>
          <w:bCs/>
          <w:sz w:val="20"/>
          <w:szCs w:val="20"/>
        </w:rPr>
        <w:t xml:space="preserve"> been</w:t>
      </w:r>
      <w:r w:rsidR="00BB6D96" w:rsidRPr="00D2222C">
        <w:rPr>
          <w:rFonts w:asciiTheme="majorHAnsi" w:hAnsiTheme="majorHAnsi"/>
          <w:bCs/>
          <w:sz w:val="20"/>
          <w:szCs w:val="20"/>
        </w:rPr>
        <w:t xml:space="preserve"> tainted </w:t>
      </w:r>
      <w:r w:rsidR="00182F27" w:rsidRPr="00D2222C">
        <w:rPr>
          <w:rFonts w:asciiTheme="majorHAnsi" w:hAnsiTheme="majorHAnsi"/>
          <w:bCs/>
          <w:sz w:val="20"/>
          <w:szCs w:val="20"/>
        </w:rPr>
        <w:t>by racial bias at any stage</w:t>
      </w:r>
      <w:r w:rsidR="00081EC3" w:rsidRPr="00D2222C">
        <w:rPr>
          <w:rFonts w:asciiTheme="majorHAnsi" w:hAnsiTheme="majorHAnsi"/>
          <w:bCs/>
          <w:sz w:val="20"/>
          <w:szCs w:val="20"/>
        </w:rPr>
        <w:t>.</w:t>
      </w:r>
      <w:r w:rsidR="00182F27" w:rsidRPr="00D2222C">
        <w:rPr>
          <w:rFonts w:asciiTheme="majorHAnsi" w:hAnsiTheme="majorHAnsi"/>
          <w:bCs/>
          <w:sz w:val="20"/>
          <w:szCs w:val="20"/>
        </w:rPr>
        <w:t xml:space="preserve"> The State argued that </w:t>
      </w:r>
      <w:r w:rsidR="00D8763F" w:rsidRPr="00D2222C">
        <w:rPr>
          <w:rFonts w:asciiTheme="majorHAnsi" w:hAnsiTheme="majorHAnsi"/>
          <w:bCs/>
          <w:sz w:val="20"/>
          <w:szCs w:val="20"/>
        </w:rPr>
        <w:t>statistical evidence is not sufficient to demonstrate evidence of discriminatory intent regarding the death penalty against African-American individuals. With regard to the instant case, it asserted that defense attorneys met with the capital case review committee</w:t>
      </w:r>
      <w:r w:rsidR="00180E3B" w:rsidRPr="00D2222C">
        <w:rPr>
          <w:rFonts w:asciiTheme="majorHAnsi" w:hAnsiTheme="majorHAnsi"/>
          <w:bCs/>
          <w:sz w:val="20"/>
          <w:szCs w:val="20"/>
        </w:rPr>
        <w:t xml:space="preserve"> to present arguments as to why the government should not seek the death penalty</w:t>
      </w:r>
      <w:r w:rsidR="00D8763F" w:rsidRPr="00D2222C">
        <w:rPr>
          <w:rFonts w:asciiTheme="majorHAnsi" w:hAnsiTheme="majorHAnsi"/>
          <w:bCs/>
          <w:sz w:val="20"/>
          <w:szCs w:val="20"/>
        </w:rPr>
        <w:t xml:space="preserve">, that the decision to seek </w:t>
      </w:r>
      <w:r w:rsidR="00180E3B" w:rsidRPr="00D2222C">
        <w:rPr>
          <w:rFonts w:asciiTheme="majorHAnsi" w:hAnsiTheme="majorHAnsi"/>
          <w:bCs/>
          <w:sz w:val="20"/>
          <w:szCs w:val="20"/>
        </w:rPr>
        <w:t>it</w:t>
      </w:r>
      <w:r w:rsidR="00D8763F" w:rsidRPr="00D2222C">
        <w:rPr>
          <w:rFonts w:asciiTheme="majorHAnsi" w:hAnsiTheme="majorHAnsi"/>
          <w:bCs/>
          <w:sz w:val="20"/>
          <w:szCs w:val="20"/>
        </w:rPr>
        <w:t xml:space="preserve"> was made by the Attorney General and not by the prosecuting attorney, </w:t>
      </w:r>
      <w:r w:rsidR="00180E3B" w:rsidRPr="00D2222C">
        <w:rPr>
          <w:rFonts w:asciiTheme="majorHAnsi" w:hAnsiTheme="majorHAnsi"/>
          <w:bCs/>
          <w:sz w:val="20"/>
          <w:szCs w:val="20"/>
        </w:rPr>
        <w:t xml:space="preserve">that Texas was the most logical venue for the trial, </w:t>
      </w:r>
      <w:r w:rsidR="00D8763F" w:rsidRPr="00D2222C">
        <w:rPr>
          <w:rFonts w:asciiTheme="majorHAnsi" w:hAnsiTheme="majorHAnsi"/>
          <w:bCs/>
          <w:sz w:val="20"/>
          <w:szCs w:val="20"/>
        </w:rPr>
        <w:t xml:space="preserve">and that the lack of access to discovery is not sufficient to establish </w:t>
      </w:r>
      <w:r w:rsidR="00F545AC" w:rsidRPr="00D2222C">
        <w:rPr>
          <w:rFonts w:asciiTheme="majorHAnsi" w:hAnsiTheme="majorHAnsi"/>
          <w:bCs/>
          <w:sz w:val="20"/>
          <w:szCs w:val="20"/>
        </w:rPr>
        <w:t>a</w:t>
      </w:r>
      <w:r w:rsidR="00D8763F" w:rsidRPr="00D2222C">
        <w:rPr>
          <w:rFonts w:asciiTheme="majorHAnsi" w:hAnsiTheme="majorHAnsi"/>
          <w:bCs/>
          <w:sz w:val="20"/>
          <w:szCs w:val="20"/>
        </w:rPr>
        <w:t xml:space="preserve"> claim of selective prosecution. </w:t>
      </w:r>
    </w:p>
    <w:p w14:paraId="27145B6E" w14:textId="77777777" w:rsidR="00F82683" w:rsidRPr="00D2222C" w:rsidRDefault="00F82683" w:rsidP="009E3847">
      <w:pPr>
        <w:pStyle w:val="ListParagraph"/>
        <w:rPr>
          <w:rFonts w:asciiTheme="majorHAnsi" w:hAnsiTheme="majorHAnsi"/>
          <w:bCs/>
          <w:sz w:val="20"/>
          <w:szCs w:val="20"/>
        </w:rPr>
      </w:pPr>
    </w:p>
    <w:p w14:paraId="53045630" w14:textId="77777777" w:rsidR="009653A0" w:rsidRPr="00D2222C" w:rsidRDefault="00081EC3"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 xml:space="preserve"> </w:t>
      </w:r>
      <w:r w:rsidR="003D5CD7" w:rsidRPr="00D2222C">
        <w:rPr>
          <w:rFonts w:asciiTheme="majorHAnsi" w:hAnsiTheme="majorHAnsi"/>
          <w:bCs/>
          <w:sz w:val="20"/>
          <w:szCs w:val="20"/>
        </w:rPr>
        <w:t xml:space="preserve"> </w:t>
      </w:r>
      <w:r w:rsidR="004B388C" w:rsidRPr="00D2222C">
        <w:rPr>
          <w:rFonts w:asciiTheme="majorHAnsi" w:hAnsiTheme="majorHAnsi"/>
          <w:bCs/>
          <w:sz w:val="20"/>
          <w:szCs w:val="20"/>
        </w:rPr>
        <w:t xml:space="preserve">The Commission notes that </w:t>
      </w:r>
      <w:r w:rsidR="00A40CED" w:rsidRPr="00D2222C">
        <w:rPr>
          <w:rFonts w:asciiTheme="majorHAnsi" w:hAnsiTheme="majorHAnsi"/>
          <w:bCs/>
          <w:sz w:val="20"/>
          <w:szCs w:val="20"/>
        </w:rPr>
        <w:t xml:space="preserve">the State does not dispute the fact that the district </w:t>
      </w:r>
      <w:r w:rsidR="00483146" w:rsidRPr="00D2222C">
        <w:rPr>
          <w:rFonts w:asciiTheme="majorHAnsi" w:hAnsiTheme="majorHAnsi"/>
          <w:bCs/>
          <w:sz w:val="20"/>
          <w:szCs w:val="20"/>
        </w:rPr>
        <w:t xml:space="preserve">court dismissed defense counsel’s </w:t>
      </w:r>
      <w:r w:rsidR="000657E1" w:rsidRPr="00D2222C">
        <w:rPr>
          <w:rFonts w:asciiTheme="majorHAnsi" w:hAnsiTheme="majorHAnsi"/>
          <w:sz w:val="20"/>
          <w:szCs w:val="20"/>
        </w:rPr>
        <w:t xml:space="preserve">discovery request regarding the </w:t>
      </w:r>
      <w:r w:rsidR="00A10450" w:rsidRPr="00D2222C">
        <w:rPr>
          <w:rFonts w:asciiTheme="majorHAnsi" w:hAnsiTheme="majorHAnsi"/>
          <w:sz w:val="20"/>
          <w:szCs w:val="20"/>
        </w:rPr>
        <w:t xml:space="preserve">death penalty </w:t>
      </w:r>
      <w:r w:rsidR="000657E1" w:rsidRPr="00D2222C">
        <w:rPr>
          <w:rFonts w:asciiTheme="majorHAnsi" w:hAnsiTheme="majorHAnsi"/>
          <w:sz w:val="20"/>
          <w:szCs w:val="20"/>
        </w:rPr>
        <w:t>decision-making process</w:t>
      </w:r>
      <w:r w:rsidR="00A10450" w:rsidRPr="00D2222C">
        <w:rPr>
          <w:rFonts w:asciiTheme="majorHAnsi" w:hAnsiTheme="majorHAnsi"/>
          <w:sz w:val="20"/>
          <w:szCs w:val="20"/>
        </w:rPr>
        <w:t xml:space="preserve">. </w:t>
      </w:r>
      <w:r w:rsidR="009653A0" w:rsidRPr="00D2222C">
        <w:rPr>
          <w:rFonts w:asciiTheme="majorHAnsi" w:hAnsiTheme="majorHAnsi"/>
          <w:bCs/>
          <w:sz w:val="20"/>
          <w:szCs w:val="20"/>
        </w:rPr>
        <w:t>The State has also failed to provide information to the IACHR</w:t>
      </w:r>
      <w:r w:rsidR="009653A0" w:rsidRPr="00D2222C">
        <w:rPr>
          <w:rFonts w:asciiTheme="majorHAnsi" w:hAnsiTheme="majorHAnsi"/>
          <w:sz w:val="20"/>
          <w:szCs w:val="20"/>
        </w:rPr>
        <w:t xml:space="preserve"> </w:t>
      </w:r>
      <w:r w:rsidR="00A10450" w:rsidRPr="00D2222C">
        <w:rPr>
          <w:rFonts w:asciiTheme="majorHAnsi" w:hAnsiTheme="majorHAnsi"/>
          <w:sz w:val="20"/>
          <w:szCs w:val="20"/>
        </w:rPr>
        <w:t xml:space="preserve">regarding the basis of the prosecution’s recommendation to apply the death penalty. </w:t>
      </w:r>
      <w:r w:rsidR="00A10450" w:rsidRPr="00D2222C">
        <w:rPr>
          <w:rFonts w:asciiTheme="majorHAnsi" w:hAnsiTheme="majorHAnsi"/>
          <w:bCs/>
          <w:sz w:val="20"/>
          <w:szCs w:val="20"/>
        </w:rPr>
        <w:t xml:space="preserve">When a judicial authority encounters an allegation of covert discrimination, the duty of due diligence requires it </w:t>
      </w:r>
      <w:r w:rsidR="009653A0" w:rsidRPr="00D2222C">
        <w:rPr>
          <w:rFonts w:asciiTheme="majorHAnsi" w:hAnsiTheme="majorHAnsi"/>
          <w:bCs/>
          <w:sz w:val="20"/>
          <w:szCs w:val="20"/>
        </w:rPr>
        <w:t xml:space="preserve">not only to investigate, but </w:t>
      </w:r>
      <w:r w:rsidR="00A10450" w:rsidRPr="00D2222C">
        <w:rPr>
          <w:rFonts w:asciiTheme="majorHAnsi" w:hAnsiTheme="majorHAnsi"/>
          <w:bCs/>
          <w:sz w:val="20"/>
          <w:szCs w:val="20"/>
        </w:rPr>
        <w:t>to investigate beyond the formally stated motivation and to take into consideration all indicia, circumstantial evidence and other elements.</w:t>
      </w:r>
      <w:r w:rsidR="00A10450" w:rsidRPr="00D2222C">
        <w:rPr>
          <w:rStyle w:val="FootnoteReference"/>
          <w:rFonts w:asciiTheme="majorHAnsi" w:hAnsiTheme="majorHAnsi"/>
          <w:bCs/>
          <w:sz w:val="20"/>
          <w:szCs w:val="20"/>
        </w:rPr>
        <w:footnoteReference w:id="54"/>
      </w:r>
      <w:r w:rsidR="00A10450" w:rsidRPr="00D2222C">
        <w:rPr>
          <w:rFonts w:asciiTheme="majorHAnsi" w:hAnsiTheme="majorHAnsi"/>
          <w:bCs/>
          <w:sz w:val="20"/>
          <w:szCs w:val="20"/>
        </w:rPr>
        <w:t xml:space="preserve"> </w:t>
      </w:r>
      <w:r w:rsidR="003E06A3" w:rsidRPr="00D2222C">
        <w:rPr>
          <w:rFonts w:asciiTheme="majorHAnsi" w:hAnsiTheme="majorHAnsi"/>
          <w:bCs/>
          <w:sz w:val="20"/>
          <w:szCs w:val="20"/>
        </w:rPr>
        <w:t xml:space="preserve">This duty is reinforced </w:t>
      </w:r>
      <w:r w:rsidR="006418C1" w:rsidRPr="00D2222C">
        <w:rPr>
          <w:rFonts w:asciiTheme="majorHAnsi" w:hAnsiTheme="majorHAnsi"/>
          <w:bCs/>
          <w:sz w:val="20"/>
          <w:szCs w:val="20"/>
        </w:rPr>
        <w:t>in a case such as this, since the d</w:t>
      </w:r>
      <w:r w:rsidR="00E43C96" w:rsidRPr="00D2222C">
        <w:rPr>
          <w:rFonts w:asciiTheme="majorHAnsi" w:hAnsiTheme="majorHAnsi"/>
          <w:bCs/>
          <w:sz w:val="20"/>
          <w:szCs w:val="20"/>
        </w:rPr>
        <w:t xml:space="preserve">efendant’s life is at stake. </w:t>
      </w:r>
      <w:r w:rsidR="00A10450" w:rsidRPr="00D2222C">
        <w:rPr>
          <w:rFonts w:asciiTheme="majorHAnsi" w:hAnsiTheme="majorHAnsi"/>
          <w:bCs/>
          <w:sz w:val="20"/>
          <w:szCs w:val="20"/>
        </w:rPr>
        <w:t xml:space="preserve">In </w:t>
      </w:r>
      <w:r w:rsidR="006418C1" w:rsidRPr="00D2222C">
        <w:rPr>
          <w:rFonts w:asciiTheme="majorHAnsi" w:hAnsiTheme="majorHAnsi"/>
          <w:bCs/>
          <w:sz w:val="20"/>
          <w:szCs w:val="20"/>
        </w:rPr>
        <w:t>Mr. Hall’s</w:t>
      </w:r>
      <w:r w:rsidR="00A10450" w:rsidRPr="00D2222C">
        <w:rPr>
          <w:rFonts w:asciiTheme="majorHAnsi" w:hAnsiTheme="majorHAnsi"/>
          <w:bCs/>
          <w:sz w:val="20"/>
          <w:szCs w:val="20"/>
        </w:rPr>
        <w:t xml:space="preserve"> case, </w:t>
      </w:r>
      <w:r w:rsidR="006418C1" w:rsidRPr="00D2222C">
        <w:rPr>
          <w:rFonts w:asciiTheme="majorHAnsi" w:hAnsiTheme="majorHAnsi"/>
          <w:bCs/>
          <w:sz w:val="20"/>
          <w:szCs w:val="20"/>
        </w:rPr>
        <w:t>th</w:t>
      </w:r>
      <w:r w:rsidR="009653A0" w:rsidRPr="00D2222C">
        <w:rPr>
          <w:rFonts w:asciiTheme="majorHAnsi" w:hAnsiTheme="majorHAnsi"/>
          <w:bCs/>
          <w:sz w:val="20"/>
          <w:szCs w:val="20"/>
        </w:rPr>
        <w:t>e discovery request</w:t>
      </w:r>
      <w:r w:rsidR="006418C1" w:rsidRPr="00D2222C">
        <w:rPr>
          <w:rFonts w:asciiTheme="majorHAnsi" w:hAnsiTheme="majorHAnsi"/>
          <w:bCs/>
          <w:sz w:val="20"/>
          <w:szCs w:val="20"/>
        </w:rPr>
        <w:t xml:space="preserve"> was the only </w:t>
      </w:r>
      <w:r w:rsidR="009653A0" w:rsidRPr="00D2222C">
        <w:rPr>
          <w:rFonts w:asciiTheme="majorHAnsi" w:hAnsiTheme="majorHAnsi"/>
          <w:bCs/>
          <w:sz w:val="20"/>
          <w:szCs w:val="20"/>
        </w:rPr>
        <w:t xml:space="preserve">way to obtain key information to establish whether or not race had any influence on the decision to recommend the death penalty. </w:t>
      </w:r>
      <w:r w:rsidR="006418C1" w:rsidRPr="00D2222C">
        <w:rPr>
          <w:rFonts w:asciiTheme="majorHAnsi" w:hAnsiTheme="majorHAnsi"/>
          <w:bCs/>
          <w:sz w:val="20"/>
          <w:szCs w:val="20"/>
        </w:rPr>
        <w:t>T</w:t>
      </w:r>
      <w:r w:rsidR="00A10450" w:rsidRPr="00D2222C">
        <w:rPr>
          <w:rFonts w:asciiTheme="majorHAnsi" w:hAnsiTheme="majorHAnsi"/>
          <w:bCs/>
          <w:sz w:val="20"/>
          <w:szCs w:val="20"/>
        </w:rPr>
        <w:t>he district court</w:t>
      </w:r>
      <w:r w:rsidR="006418C1" w:rsidRPr="00D2222C">
        <w:rPr>
          <w:rFonts w:asciiTheme="majorHAnsi" w:hAnsiTheme="majorHAnsi"/>
          <w:bCs/>
          <w:sz w:val="20"/>
          <w:szCs w:val="20"/>
        </w:rPr>
        <w:t>,</w:t>
      </w:r>
      <w:r w:rsidR="00A10450" w:rsidRPr="00D2222C">
        <w:rPr>
          <w:rFonts w:asciiTheme="majorHAnsi" w:hAnsiTheme="majorHAnsi"/>
          <w:bCs/>
          <w:sz w:val="20"/>
          <w:szCs w:val="20"/>
        </w:rPr>
        <w:t xml:space="preserve"> </w:t>
      </w:r>
      <w:r w:rsidR="006418C1" w:rsidRPr="00D2222C">
        <w:rPr>
          <w:rFonts w:asciiTheme="majorHAnsi" w:hAnsiTheme="majorHAnsi"/>
          <w:bCs/>
          <w:sz w:val="20"/>
          <w:szCs w:val="20"/>
        </w:rPr>
        <w:t xml:space="preserve">however, </w:t>
      </w:r>
      <w:r w:rsidR="00A10450" w:rsidRPr="00D2222C">
        <w:rPr>
          <w:rFonts w:asciiTheme="majorHAnsi" w:hAnsiTheme="majorHAnsi"/>
          <w:bCs/>
          <w:sz w:val="20"/>
          <w:szCs w:val="20"/>
        </w:rPr>
        <w:t xml:space="preserve">dismissed the pre-trial motion.  </w:t>
      </w:r>
    </w:p>
    <w:p w14:paraId="686B575C" w14:textId="77777777" w:rsidR="009653A0" w:rsidRPr="00D2222C" w:rsidRDefault="009653A0" w:rsidP="009E3847">
      <w:pPr>
        <w:pStyle w:val="ListParagraph"/>
        <w:rPr>
          <w:rFonts w:asciiTheme="majorHAnsi" w:hAnsiTheme="majorHAnsi"/>
          <w:bCs/>
          <w:sz w:val="20"/>
          <w:szCs w:val="20"/>
        </w:rPr>
      </w:pPr>
    </w:p>
    <w:p w14:paraId="79036226" w14:textId="77777777" w:rsidR="00D21D95" w:rsidRPr="00D2222C" w:rsidRDefault="00C14701"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Cs/>
          <w:sz w:val="20"/>
          <w:szCs w:val="20"/>
        </w:rPr>
      </w:pPr>
      <w:r w:rsidRPr="00D2222C">
        <w:rPr>
          <w:rFonts w:asciiTheme="majorHAnsi" w:hAnsiTheme="majorHAnsi"/>
          <w:bCs/>
          <w:sz w:val="20"/>
          <w:szCs w:val="20"/>
        </w:rPr>
        <w:t xml:space="preserve">Although </w:t>
      </w:r>
      <w:r w:rsidR="004F69EA" w:rsidRPr="00D2222C">
        <w:rPr>
          <w:rFonts w:asciiTheme="majorHAnsi" w:hAnsiTheme="majorHAnsi"/>
          <w:bCs/>
          <w:sz w:val="20"/>
          <w:szCs w:val="20"/>
        </w:rPr>
        <w:t xml:space="preserve">in the present case </w:t>
      </w:r>
      <w:r w:rsidRPr="00D2222C">
        <w:rPr>
          <w:rFonts w:asciiTheme="majorHAnsi" w:hAnsiTheme="majorHAnsi"/>
          <w:bCs/>
          <w:sz w:val="20"/>
          <w:szCs w:val="20"/>
        </w:rPr>
        <w:t xml:space="preserve">there is no direct evidence of the presence of a prohibited criterion of discrimination, in this case </w:t>
      </w:r>
      <w:r w:rsidR="00A2456A" w:rsidRPr="00D2222C">
        <w:rPr>
          <w:rFonts w:asciiTheme="majorHAnsi" w:hAnsiTheme="majorHAnsi"/>
          <w:bCs/>
          <w:sz w:val="20"/>
          <w:szCs w:val="20"/>
        </w:rPr>
        <w:t>race</w:t>
      </w:r>
      <w:r w:rsidRPr="00D2222C">
        <w:rPr>
          <w:rFonts w:asciiTheme="majorHAnsi" w:hAnsiTheme="majorHAnsi"/>
          <w:bCs/>
          <w:sz w:val="20"/>
          <w:szCs w:val="20"/>
        </w:rPr>
        <w:t>, t</w:t>
      </w:r>
      <w:r w:rsidR="00BF1F10" w:rsidRPr="00D2222C">
        <w:rPr>
          <w:rFonts w:asciiTheme="majorHAnsi" w:hAnsiTheme="majorHAnsi"/>
          <w:bCs/>
          <w:sz w:val="20"/>
          <w:szCs w:val="20"/>
        </w:rPr>
        <w:t>he IACHR is faced with indicia</w:t>
      </w:r>
      <w:r w:rsidR="001F3B00" w:rsidRPr="00D2222C">
        <w:rPr>
          <w:rFonts w:asciiTheme="majorHAnsi" w:hAnsiTheme="majorHAnsi"/>
          <w:bCs/>
          <w:sz w:val="20"/>
          <w:szCs w:val="20"/>
        </w:rPr>
        <w:t xml:space="preserve"> of suspected use of race in the application of the death penalty. </w:t>
      </w:r>
      <w:r w:rsidR="002F6201" w:rsidRPr="00D2222C">
        <w:rPr>
          <w:rFonts w:asciiTheme="majorHAnsi" w:hAnsiTheme="majorHAnsi"/>
          <w:bCs/>
          <w:sz w:val="20"/>
          <w:szCs w:val="20"/>
        </w:rPr>
        <w:t>To this is added the aforementioned lack of information and the fact that the prosecuting attorney responsible for assembling the all-white jury was later found to have engaged in racial discrimination in jury selection</w:t>
      </w:r>
      <w:r w:rsidR="009D280B" w:rsidRPr="00D2222C">
        <w:rPr>
          <w:rFonts w:asciiTheme="majorHAnsi" w:hAnsiTheme="majorHAnsi"/>
          <w:bCs/>
          <w:sz w:val="20"/>
          <w:szCs w:val="20"/>
        </w:rPr>
        <w:t xml:space="preserve"> in two separate cases</w:t>
      </w:r>
      <w:r w:rsidR="002F6201" w:rsidRPr="00D2222C">
        <w:rPr>
          <w:rFonts w:asciiTheme="majorHAnsi" w:hAnsiTheme="majorHAnsi"/>
          <w:bCs/>
          <w:sz w:val="20"/>
          <w:szCs w:val="20"/>
        </w:rPr>
        <w:t xml:space="preserve">. </w:t>
      </w:r>
      <w:r w:rsidR="0038330F" w:rsidRPr="00D2222C">
        <w:rPr>
          <w:rFonts w:asciiTheme="majorHAnsi" w:hAnsiTheme="majorHAnsi"/>
          <w:bCs/>
          <w:sz w:val="20"/>
          <w:szCs w:val="20"/>
        </w:rPr>
        <w:t>Therefore,</w:t>
      </w:r>
      <w:r w:rsidR="009A0B09" w:rsidRPr="00D2222C">
        <w:rPr>
          <w:rFonts w:asciiTheme="majorHAnsi" w:hAnsiTheme="majorHAnsi"/>
          <w:bCs/>
          <w:sz w:val="20"/>
          <w:szCs w:val="20"/>
        </w:rPr>
        <w:t xml:space="preserve"> </w:t>
      </w:r>
      <w:r w:rsidR="00C3238A" w:rsidRPr="00D2222C">
        <w:rPr>
          <w:rFonts w:asciiTheme="majorHAnsi" w:hAnsiTheme="majorHAnsi"/>
          <w:bCs/>
          <w:sz w:val="20"/>
          <w:szCs w:val="20"/>
        </w:rPr>
        <w:t xml:space="preserve">the IACHR </w:t>
      </w:r>
      <w:r w:rsidR="008A7FC7" w:rsidRPr="00D2222C">
        <w:rPr>
          <w:rFonts w:asciiTheme="majorHAnsi" w:hAnsiTheme="majorHAnsi"/>
          <w:bCs/>
          <w:sz w:val="20"/>
          <w:szCs w:val="20"/>
        </w:rPr>
        <w:t>finds</w:t>
      </w:r>
      <w:r w:rsidR="00C3238A" w:rsidRPr="00D2222C">
        <w:rPr>
          <w:rFonts w:asciiTheme="majorHAnsi" w:hAnsiTheme="majorHAnsi"/>
          <w:bCs/>
          <w:sz w:val="20"/>
          <w:szCs w:val="20"/>
        </w:rPr>
        <w:t xml:space="preserve"> that the </w:t>
      </w:r>
      <w:r w:rsidR="00590C43" w:rsidRPr="00D2222C">
        <w:rPr>
          <w:rFonts w:asciiTheme="majorHAnsi" w:hAnsiTheme="majorHAnsi"/>
          <w:bCs/>
          <w:sz w:val="20"/>
          <w:szCs w:val="20"/>
        </w:rPr>
        <w:t xml:space="preserve">United </w:t>
      </w:r>
      <w:r w:rsidR="00C3238A" w:rsidRPr="00D2222C">
        <w:rPr>
          <w:rFonts w:asciiTheme="majorHAnsi" w:hAnsiTheme="majorHAnsi"/>
          <w:bCs/>
          <w:sz w:val="20"/>
          <w:szCs w:val="20"/>
        </w:rPr>
        <w:t>State</w:t>
      </w:r>
      <w:r w:rsidR="00590C43" w:rsidRPr="00D2222C">
        <w:rPr>
          <w:rFonts w:asciiTheme="majorHAnsi" w:hAnsiTheme="majorHAnsi"/>
          <w:bCs/>
          <w:sz w:val="20"/>
          <w:szCs w:val="20"/>
        </w:rPr>
        <w:t>s</w:t>
      </w:r>
      <w:r w:rsidR="00C3238A" w:rsidRPr="00D2222C">
        <w:rPr>
          <w:rFonts w:asciiTheme="majorHAnsi" w:hAnsiTheme="majorHAnsi"/>
          <w:bCs/>
          <w:sz w:val="20"/>
          <w:szCs w:val="20"/>
        </w:rPr>
        <w:t xml:space="preserve"> </w:t>
      </w:r>
      <w:r w:rsidR="00484F80" w:rsidRPr="00D2222C">
        <w:rPr>
          <w:rFonts w:asciiTheme="majorHAnsi" w:hAnsiTheme="majorHAnsi"/>
          <w:bCs/>
          <w:sz w:val="20"/>
          <w:szCs w:val="20"/>
        </w:rPr>
        <w:t>is responsible for failing to fully respond to the allegations concerning possible racial discrimination raised throughout this process pursuant to its obligations under Article II of the American Declaration.</w:t>
      </w:r>
      <w:r w:rsidR="00415BAE" w:rsidRPr="00D2222C">
        <w:rPr>
          <w:rFonts w:asciiTheme="majorHAnsi" w:hAnsiTheme="majorHAnsi"/>
          <w:sz w:val="20"/>
          <w:szCs w:val="20"/>
        </w:rPr>
        <w:t xml:space="preserve"> </w:t>
      </w:r>
      <w:r w:rsidR="00E81771" w:rsidRPr="00D2222C">
        <w:rPr>
          <w:rFonts w:asciiTheme="majorHAnsi" w:hAnsiTheme="majorHAnsi"/>
          <w:sz w:val="20"/>
          <w:szCs w:val="20"/>
        </w:rPr>
        <w:t>In this respect</w:t>
      </w:r>
      <w:r w:rsidR="001C38BC" w:rsidRPr="00D2222C">
        <w:rPr>
          <w:rFonts w:asciiTheme="majorHAnsi" w:hAnsiTheme="majorHAnsi"/>
          <w:sz w:val="20"/>
          <w:szCs w:val="20"/>
        </w:rPr>
        <w:t>, the IACHR also finds that Mr. Hall</w:t>
      </w:r>
      <w:r w:rsidR="00E81771" w:rsidRPr="00D2222C">
        <w:rPr>
          <w:rFonts w:asciiTheme="majorHAnsi" w:hAnsiTheme="majorHAnsi"/>
          <w:sz w:val="20"/>
          <w:szCs w:val="20"/>
        </w:rPr>
        <w:t xml:space="preserve">’s lack of </w:t>
      </w:r>
      <w:r w:rsidR="001C38BC" w:rsidRPr="00D2222C">
        <w:rPr>
          <w:rFonts w:asciiTheme="majorHAnsi" w:hAnsiTheme="majorHAnsi"/>
          <w:sz w:val="20"/>
          <w:szCs w:val="20"/>
        </w:rPr>
        <w:t xml:space="preserve">access to an effective remedy </w:t>
      </w:r>
      <w:r w:rsidR="00E81771" w:rsidRPr="00D2222C">
        <w:rPr>
          <w:rFonts w:asciiTheme="majorHAnsi" w:hAnsiTheme="majorHAnsi"/>
          <w:sz w:val="20"/>
          <w:szCs w:val="20"/>
        </w:rPr>
        <w:t>with regard to</w:t>
      </w:r>
      <w:r w:rsidR="001C38BC" w:rsidRPr="00D2222C">
        <w:rPr>
          <w:rFonts w:asciiTheme="majorHAnsi" w:hAnsiTheme="majorHAnsi"/>
          <w:sz w:val="20"/>
          <w:szCs w:val="20"/>
        </w:rPr>
        <w:t xml:space="preserve"> the allegation of racial discrimination</w:t>
      </w:r>
      <w:r w:rsidR="00E81771" w:rsidRPr="00D2222C">
        <w:rPr>
          <w:rFonts w:asciiTheme="majorHAnsi" w:hAnsiTheme="majorHAnsi"/>
          <w:sz w:val="20"/>
          <w:szCs w:val="20"/>
        </w:rPr>
        <w:t xml:space="preserve"> amounts to a violation of Article XVIII of the American Declaration.</w:t>
      </w:r>
      <w:r w:rsidR="001C38BC" w:rsidRPr="00D2222C">
        <w:rPr>
          <w:rFonts w:asciiTheme="majorHAnsi" w:hAnsiTheme="majorHAnsi"/>
          <w:sz w:val="20"/>
          <w:szCs w:val="20"/>
        </w:rPr>
        <w:t xml:space="preserve"> </w:t>
      </w:r>
      <w:r w:rsidR="00415BAE" w:rsidRPr="00D2222C">
        <w:rPr>
          <w:rFonts w:asciiTheme="majorHAnsi" w:hAnsiTheme="majorHAnsi"/>
          <w:sz w:val="20"/>
          <w:szCs w:val="20"/>
        </w:rPr>
        <w:t xml:space="preserve">The effects of the violation of the right to equality before the law on Mr. Hall’s due process guarantees </w:t>
      </w:r>
      <w:r w:rsidR="001C04BF" w:rsidRPr="00D2222C">
        <w:rPr>
          <w:rFonts w:asciiTheme="majorHAnsi" w:hAnsiTheme="majorHAnsi"/>
          <w:sz w:val="20"/>
          <w:szCs w:val="20"/>
        </w:rPr>
        <w:t xml:space="preserve">and right to access to information </w:t>
      </w:r>
      <w:r w:rsidR="00415BAE" w:rsidRPr="00D2222C">
        <w:rPr>
          <w:rFonts w:asciiTheme="majorHAnsi" w:hAnsiTheme="majorHAnsi"/>
          <w:sz w:val="20"/>
          <w:szCs w:val="20"/>
        </w:rPr>
        <w:t>will be analyzed below.</w:t>
      </w:r>
    </w:p>
    <w:p w14:paraId="11D94411" w14:textId="77777777" w:rsidR="00D21D95" w:rsidRPr="00D2222C" w:rsidRDefault="00D21D95" w:rsidP="000907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Theme="majorHAnsi" w:hAnsiTheme="majorHAnsi"/>
          <w:bCs/>
          <w:sz w:val="20"/>
          <w:szCs w:val="20"/>
        </w:rPr>
      </w:pPr>
    </w:p>
    <w:p w14:paraId="5715082E" w14:textId="77777777" w:rsidR="001F3B00" w:rsidRPr="00D2222C" w:rsidRDefault="00FE144F" w:rsidP="00090720">
      <w:pPr>
        <w:pStyle w:val="Heading2"/>
        <w:numPr>
          <w:ilvl w:val="0"/>
          <w:numId w:val="56"/>
        </w:numPr>
        <w:spacing w:before="0"/>
        <w:ind w:left="1440" w:hanging="720"/>
        <w:rPr>
          <w:color w:val="auto"/>
          <w:sz w:val="20"/>
          <w:szCs w:val="20"/>
        </w:rPr>
      </w:pPr>
      <w:bookmarkStart w:id="18" w:name="_Toc26550932"/>
      <w:r w:rsidRPr="00D2222C">
        <w:rPr>
          <w:color w:val="auto"/>
          <w:sz w:val="20"/>
          <w:szCs w:val="20"/>
        </w:rPr>
        <w:t>Right to a fair trial</w:t>
      </w:r>
      <w:r w:rsidR="00496687" w:rsidRPr="00D2222C">
        <w:rPr>
          <w:rStyle w:val="FootnoteReference"/>
          <w:color w:val="auto"/>
          <w:sz w:val="20"/>
          <w:szCs w:val="20"/>
        </w:rPr>
        <w:footnoteReference w:id="55"/>
      </w:r>
      <w:r w:rsidRPr="00D2222C">
        <w:rPr>
          <w:color w:val="auto"/>
          <w:sz w:val="20"/>
          <w:szCs w:val="20"/>
        </w:rPr>
        <w:t xml:space="preserve"> and right to due process of law</w:t>
      </w:r>
      <w:r w:rsidR="00496687" w:rsidRPr="00D2222C">
        <w:rPr>
          <w:rStyle w:val="FootnoteReference"/>
          <w:color w:val="auto"/>
          <w:sz w:val="20"/>
          <w:szCs w:val="20"/>
        </w:rPr>
        <w:footnoteReference w:id="56"/>
      </w:r>
      <w:bookmarkEnd w:id="18"/>
      <w:r w:rsidRPr="00D2222C">
        <w:rPr>
          <w:color w:val="auto"/>
          <w:sz w:val="20"/>
          <w:szCs w:val="20"/>
        </w:rPr>
        <w:t xml:space="preserve"> </w:t>
      </w:r>
    </w:p>
    <w:p w14:paraId="5CE7BBE7" w14:textId="77777777" w:rsidR="006A0F00" w:rsidRPr="00D2222C" w:rsidRDefault="006A0F00" w:rsidP="00090720">
      <w:pPr>
        <w:pStyle w:val="ListParagraph"/>
        <w:ind w:left="1440" w:hanging="720"/>
        <w:rPr>
          <w:rFonts w:asciiTheme="majorHAnsi" w:hAnsiTheme="majorHAnsi"/>
          <w:bCs/>
          <w:color w:val="auto"/>
          <w:sz w:val="20"/>
          <w:szCs w:val="20"/>
        </w:rPr>
      </w:pPr>
    </w:p>
    <w:p w14:paraId="41207C09" w14:textId="77777777" w:rsidR="00FE40DE" w:rsidRPr="00D2222C" w:rsidRDefault="00FE40DE" w:rsidP="00090720">
      <w:pPr>
        <w:pStyle w:val="Heading3"/>
        <w:numPr>
          <w:ilvl w:val="0"/>
          <w:numId w:val="64"/>
        </w:numPr>
        <w:spacing w:before="0"/>
        <w:ind w:left="1440" w:hanging="720"/>
        <w:rPr>
          <w:color w:val="auto"/>
          <w:sz w:val="20"/>
          <w:szCs w:val="20"/>
        </w:rPr>
      </w:pPr>
      <w:bookmarkStart w:id="19" w:name="_Toc26550933"/>
      <w:r w:rsidRPr="00D2222C">
        <w:rPr>
          <w:color w:val="auto"/>
          <w:sz w:val="20"/>
          <w:szCs w:val="20"/>
        </w:rPr>
        <w:t xml:space="preserve">General considerations regarding </w:t>
      </w:r>
      <w:r w:rsidR="00D21D95" w:rsidRPr="00D2222C">
        <w:rPr>
          <w:color w:val="auto"/>
          <w:sz w:val="20"/>
          <w:szCs w:val="20"/>
        </w:rPr>
        <w:t>ineffective assistance of court-appointed counsel</w:t>
      </w:r>
      <w:bookmarkEnd w:id="19"/>
    </w:p>
    <w:p w14:paraId="16434D6C" w14:textId="77777777" w:rsidR="006C2B38" w:rsidRPr="00D2222C" w:rsidRDefault="006C2B38" w:rsidP="00090720">
      <w:pPr>
        <w:pStyle w:val="ListParagraph"/>
        <w:ind w:left="1440" w:hanging="720"/>
        <w:rPr>
          <w:rFonts w:asciiTheme="majorHAnsi" w:hAnsiTheme="majorHAnsi"/>
          <w:bCs/>
          <w:color w:val="auto"/>
          <w:sz w:val="20"/>
          <w:szCs w:val="20"/>
        </w:rPr>
      </w:pPr>
    </w:p>
    <w:p w14:paraId="2EFDEE25" w14:textId="77777777" w:rsidR="007607EC" w:rsidRPr="00D2222C" w:rsidRDefault="00D21D95" w:rsidP="00A46D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sz w:val="20"/>
          <w:szCs w:val="20"/>
        </w:rPr>
      </w:pPr>
      <w:r w:rsidRPr="00D2222C">
        <w:rPr>
          <w:rFonts w:asciiTheme="majorHAnsi" w:hAnsiTheme="majorHAnsi" w:cs="Arial"/>
          <w:sz w:val="20"/>
          <w:szCs w:val="20"/>
        </w:rPr>
        <w:t xml:space="preserve">Adequate legal representation is a fundamental component of the right to a fair trial. </w:t>
      </w:r>
      <w:r w:rsidRPr="00D2222C">
        <w:rPr>
          <w:rFonts w:asciiTheme="majorHAnsi" w:hAnsiTheme="majorHAnsi"/>
          <w:sz w:val="20"/>
          <w:szCs w:val="20"/>
        </w:rPr>
        <w:t xml:space="preserve">The IACHR has found that </w:t>
      </w:r>
      <w:r w:rsidRPr="00D2222C">
        <w:rPr>
          <w:rFonts w:asciiTheme="majorHAnsi" w:hAnsiTheme="majorHAnsi" w:cs="Arial"/>
          <w:sz w:val="20"/>
          <w:szCs w:val="20"/>
        </w:rPr>
        <w:t>“[t]he right to due process and to a fair trial includes the right to adequate means for the preparation of a defense, assisted by adequate legal counsel.”</w:t>
      </w:r>
      <w:r w:rsidR="00771205" w:rsidRPr="00D2222C">
        <w:rPr>
          <w:rStyle w:val="FootnoteReference"/>
          <w:rFonts w:asciiTheme="majorHAnsi" w:hAnsiTheme="majorHAnsi"/>
          <w:sz w:val="20"/>
          <w:szCs w:val="20"/>
        </w:rPr>
        <w:footnoteReference w:id="57"/>
      </w:r>
      <w:r w:rsidRPr="00D2222C">
        <w:rPr>
          <w:rFonts w:asciiTheme="majorHAnsi" w:hAnsiTheme="majorHAnsi" w:cs="Arial"/>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D2222C">
        <w:rPr>
          <w:rStyle w:val="FootnoteReference"/>
          <w:rFonts w:asciiTheme="majorHAnsi" w:hAnsiTheme="majorHAnsi"/>
          <w:sz w:val="20"/>
          <w:szCs w:val="20"/>
        </w:rPr>
        <w:footnoteReference w:id="58"/>
      </w:r>
    </w:p>
    <w:p w14:paraId="5EA5C6F9" w14:textId="77777777" w:rsidR="007607EC" w:rsidRPr="00D2222C" w:rsidRDefault="007607EC"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hAnsiTheme="majorHAnsi"/>
          <w:sz w:val="20"/>
          <w:szCs w:val="20"/>
        </w:rPr>
      </w:pPr>
    </w:p>
    <w:p w14:paraId="18CF2DE1" w14:textId="77777777" w:rsidR="00FA7982" w:rsidRPr="00D2222C" w:rsidRDefault="00D21D95" w:rsidP="00A46D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sz w:val="20"/>
          <w:szCs w:val="20"/>
        </w:rPr>
      </w:pPr>
      <w:r w:rsidRPr="00D2222C">
        <w:rPr>
          <w:rFonts w:asciiTheme="majorHAnsi" w:hAnsiTheme="majorHAnsi"/>
          <w:sz w:val="20"/>
          <w:szCs w:val="20"/>
        </w:rPr>
        <w:t xml:space="preserve">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w:t>
      </w:r>
      <w:r w:rsidRPr="00D2222C">
        <w:rPr>
          <w:rFonts w:asciiTheme="majorHAnsi" w:hAnsiTheme="majorHAnsi"/>
          <w:sz w:val="20"/>
          <w:szCs w:val="20"/>
        </w:rPr>
        <w:lastRenderedPageBreak/>
        <w:t>the Commission must evaluate whether the assistance of counsel was effective in the overall context of the process and taking into account the specific interests at stake.  In the present case, the interests at stake included the potential application of the death penalty, and the assistance of counsel must be evaluated in that context.</w:t>
      </w:r>
      <w:r w:rsidR="007607EC" w:rsidRPr="00D2222C">
        <w:rPr>
          <w:rFonts w:asciiTheme="majorHAnsi" w:hAnsiTheme="majorHAnsi"/>
          <w:sz w:val="20"/>
          <w:szCs w:val="20"/>
        </w:rPr>
        <w:t xml:space="preserve"> </w:t>
      </w:r>
    </w:p>
    <w:p w14:paraId="5F1FC809" w14:textId="77777777" w:rsidR="00FA7982" w:rsidRPr="00D2222C" w:rsidRDefault="00FA7982" w:rsidP="009E3847">
      <w:pPr>
        <w:pStyle w:val="ListParagraph"/>
        <w:rPr>
          <w:rFonts w:asciiTheme="majorHAnsi" w:hAnsiTheme="majorHAnsi"/>
          <w:sz w:val="20"/>
          <w:szCs w:val="20"/>
        </w:rPr>
      </w:pPr>
    </w:p>
    <w:p w14:paraId="6149DD0E" w14:textId="77777777" w:rsidR="007607EC" w:rsidRPr="00D2222C" w:rsidRDefault="00FA7982" w:rsidP="00A46D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sz w:val="20"/>
          <w:szCs w:val="20"/>
        </w:rPr>
      </w:pPr>
      <w:r w:rsidRPr="00D2222C">
        <w:rPr>
          <w:rFonts w:ascii="Cambria" w:hAnsi="Cambria"/>
          <w:sz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D2222C">
        <w:rPr>
          <w:rStyle w:val="FootnoteReference"/>
          <w:rFonts w:ascii="Cambria" w:hAnsi="Cambria"/>
          <w:sz w:val="20"/>
        </w:rPr>
        <w:footnoteReference w:id="59"/>
      </w:r>
      <w:r w:rsidRPr="00D2222C">
        <w:rPr>
          <w:rFonts w:ascii="Cambria" w:hAnsi="Cambria"/>
          <w:sz w:val="20"/>
        </w:rPr>
        <w:t xml:space="preserve"> </w:t>
      </w:r>
      <w:r w:rsidR="007607EC" w:rsidRPr="00D2222C">
        <w:rPr>
          <w:rFonts w:asciiTheme="majorHAnsi" w:hAnsiTheme="majorHAnsi"/>
          <w:sz w:val="20"/>
          <w:szCs w:val="20"/>
        </w:rPr>
        <w:t xml:space="preserve">The Commission </w:t>
      </w:r>
      <w:r w:rsidR="007607EC" w:rsidRPr="00D2222C">
        <w:rPr>
          <w:rFonts w:ascii="Cambria" w:hAnsi="Cambria"/>
          <w:sz w:val="20"/>
        </w:rPr>
        <w:t xml:space="preserve">has also indicated that due process protections, under the Declaration: </w:t>
      </w:r>
    </w:p>
    <w:p w14:paraId="69B24F7B" w14:textId="77777777" w:rsidR="007607EC" w:rsidRPr="00D2222C" w:rsidRDefault="007607EC" w:rsidP="007607EC">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78A00303" w14:textId="77777777" w:rsidR="00D21D95" w:rsidRPr="00D2222C" w:rsidRDefault="007607EC" w:rsidP="007607EC">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2222C">
        <w:rPr>
          <w:rFonts w:ascii="Cambria" w:hAnsi="Cambria"/>
          <w:sz w:val="20"/>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D2222C">
        <w:rPr>
          <w:rStyle w:val="FootnoteReference"/>
          <w:rFonts w:ascii="Cambria" w:hAnsi="Cambria"/>
          <w:sz w:val="20"/>
        </w:rPr>
        <w:footnoteReference w:id="60"/>
      </w:r>
    </w:p>
    <w:p w14:paraId="2DA0886C" w14:textId="77777777" w:rsidR="00D21D95" w:rsidRPr="00D2222C" w:rsidRDefault="00D21D95" w:rsidP="00D21D9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rPr>
      </w:pPr>
    </w:p>
    <w:p w14:paraId="029E544E" w14:textId="77777777" w:rsidR="00D21D95" w:rsidRPr="00D2222C" w:rsidRDefault="00D21D9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cs="Arial"/>
          <w:sz w:val="20"/>
          <w:szCs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D2222C">
        <w:rPr>
          <w:rStyle w:val="FootnoteReference"/>
          <w:rFonts w:asciiTheme="majorHAnsi" w:hAnsiTheme="majorHAnsi" w:cs="Arial"/>
          <w:sz w:val="20"/>
          <w:szCs w:val="20"/>
        </w:rPr>
        <w:footnoteReference w:id="61"/>
      </w:r>
      <w:r w:rsidRPr="00D2222C">
        <w:rPr>
          <w:rFonts w:asciiTheme="majorHAnsi" w:hAnsiTheme="majorHAnsi" w:cs="Arial"/>
          <w:sz w:val="20"/>
          <w:szCs w:val="20"/>
        </w:rPr>
        <w:t xml:space="preserve"> According to these guidelines, the duty of counsel in the United States to investigate and present mitigating evidence is n</w:t>
      </w:r>
      <w:r w:rsidR="00406721" w:rsidRPr="00D2222C">
        <w:rPr>
          <w:rFonts w:asciiTheme="majorHAnsi" w:hAnsiTheme="majorHAnsi" w:cs="Arial"/>
          <w:sz w:val="20"/>
          <w:szCs w:val="20"/>
        </w:rPr>
        <w:t xml:space="preserve">ow “well-established” and </w:t>
      </w:r>
      <w:r w:rsidRPr="00D2222C">
        <w:rPr>
          <w:rFonts w:asciiTheme="majorHAnsi" w:hAnsiTheme="majorHAnsi" w:cs="Arial"/>
          <w:sz w:val="20"/>
          <w:szCs w:val="20"/>
        </w:rPr>
        <w:t>“[b]ecause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D2222C">
        <w:rPr>
          <w:rStyle w:val="FootnoteReference"/>
          <w:rFonts w:asciiTheme="majorHAnsi" w:hAnsiTheme="majorHAnsi" w:cs="Arial"/>
          <w:sz w:val="20"/>
          <w:szCs w:val="20"/>
        </w:rPr>
        <w:footnoteReference w:id="62"/>
      </w:r>
      <w:r w:rsidRPr="00D2222C">
        <w:rPr>
          <w:rFonts w:asciiTheme="majorHAnsi" w:hAnsiTheme="majorHAnsi" w:cs="Arial"/>
          <w:sz w:val="20"/>
          <w:szCs w:val="20"/>
        </w:rPr>
        <w:t xml:space="preserve"> 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D2222C">
        <w:rPr>
          <w:rStyle w:val="FootnoteReference"/>
          <w:rFonts w:asciiTheme="majorHAnsi" w:hAnsiTheme="majorHAnsi" w:cs="Arial"/>
          <w:sz w:val="20"/>
          <w:szCs w:val="20"/>
        </w:rPr>
        <w:footnoteReference w:id="63"/>
      </w:r>
      <w:r w:rsidRPr="00D2222C">
        <w:rPr>
          <w:rFonts w:asciiTheme="majorHAnsi" w:hAnsiTheme="majorHAnsi" w:cs="Arial"/>
          <w:sz w:val="20"/>
          <w:szCs w:val="20"/>
        </w:rPr>
        <w:t xml:space="preserve"> </w:t>
      </w:r>
    </w:p>
    <w:p w14:paraId="0F14E93D" w14:textId="77777777" w:rsidR="006C2B38" w:rsidRPr="00D2222C" w:rsidRDefault="006C2B38" w:rsidP="006C2B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rPr>
      </w:pPr>
    </w:p>
    <w:p w14:paraId="304485C8" w14:textId="77777777" w:rsidR="00F66BDC" w:rsidRPr="00D2222C" w:rsidRDefault="00F66BDC" w:rsidP="009412E0">
      <w:pPr>
        <w:pStyle w:val="Heading3"/>
        <w:numPr>
          <w:ilvl w:val="0"/>
          <w:numId w:val="64"/>
        </w:numPr>
        <w:spacing w:before="0"/>
        <w:ind w:left="1440" w:hanging="720"/>
        <w:rPr>
          <w:color w:val="auto"/>
          <w:sz w:val="20"/>
          <w:szCs w:val="20"/>
          <w:lang w:val="es-ES"/>
        </w:rPr>
      </w:pPr>
      <w:bookmarkStart w:id="20" w:name="_Toc26550934"/>
      <w:r w:rsidRPr="00D2222C">
        <w:rPr>
          <w:color w:val="auto"/>
          <w:sz w:val="20"/>
          <w:szCs w:val="20"/>
          <w:lang w:val="es-ES"/>
        </w:rPr>
        <w:t>Analysis of the case</w:t>
      </w:r>
      <w:bookmarkEnd w:id="20"/>
    </w:p>
    <w:p w14:paraId="4FCD121C" w14:textId="77777777" w:rsidR="00B868A4" w:rsidRPr="00D2222C" w:rsidRDefault="00B868A4"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Theme="majorHAnsi" w:hAnsiTheme="majorHAnsi"/>
          <w:bCs/>
          <w:sz w:val="20"/>
          <w:szCs w:val="20"/>
        </w:rPr>
      </w:pPr>
    </w:p>
    <w:p w14:paraId="093CAED1" w14:textId="77777777" w:rsidR="003D51A2" w:rsidRPr="00D2222C" w:rsidRDefault="003D51A2"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sz w:val="20"/>
          <w:szCs w:val="20"/>
        </w:rPr>
        <w:t xml:space="preserve">The Commission will </w:t>
      </w:r>
      <w:r w:rsidR="00614153" w:rsidRPr="00D2222C">
        <w:rPr>
          <w:rFonts w:asciiTheme="majorHAnsi" w:hAnsiTheme="majorHAnsi"/>
          <w:sz w:val="20"/>
          <w:szCs w:val="20"/>
        </w:rPr>
        <w:t>analyze</w:t>
      </w:r>
      <w:r w:rsidRPr="00D2222C">
        <w:rPr>
          <w:rFonts w:asciiTheme="majorHAnsi" w:hAnsiTheme="majorHAnsi"/>
          <w:sz w:val="20"/>
          <w:szCs w:val="20"/>
        </w:rPr>
        <w:t xml:space="preserve"> whether the assistance of counsel was effective in the overall context of Mr. Hall’s case and taking into account the specific interests at stake. </w:t>
      </w:r>
    </w:p>
    <w:p w14:paraId="780B37F4" w14:textId="77777777" w:rsidR="003D51A2" w:rsidRPr="00D2222C" w:rsidRDefault="003D51A2"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Fonts w:asciiTheme="majorHAnsi" w:hAnsiTheme="majorHAnsi" w:cs="Arial"/>
          <w:sz w:val="20"/>
          <w:szCs w:val="20"/>
        </w:rPr>
      </w:pPr>
    </w:p>
    <w:p w14:paraId="616E7609" w14:textId="77777777" w:rsidR="000516F4" w:rsidRPr="00D2222C" w:rsidRDefault="00115009"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cs="Arial"/>
          <w:sz w:val="20"/>
          <w:szCs w:val="20"/>
        </w:rPr>
        <w:t xml:space="preserve">As established in the </w:t>
      </w:r>
      <w:r w:rsidR="00D86569" w:rsidRPr="00D2222C">
        <w:rPr>
          <w:rFonts w:asciiTheme="majorHAnsi" w:hAnsiTheme="majorHAnsi" w:cs="Arial"/>
          <w:sz w:val="20"/>
          <w:szCs w:val="20"/>
        </w:rPr>
        <w:t>findings of</w:t>
      </w:r>
      <w:r w:rsidRPr="00D2222C">
        <w:rPr>
          <w:rFonts w:asciiTheme="majorHAnsi" w:hAnsiTheme="majorHAnsi" w:cs="Arial"/>
          <w:sz w:val="20"/>
          <w:szCs w:val="20"/>
        </w:rPr>
        <w:t xml:space="preserve"> fact,</w:t>
      </w:r>
      <w:r w:rsidR="00D86569" w:rsidRPr="00D2222C">
        <w:rPr>
          <w:rFonts w:asciiTheme="majorHAnsi" w:hAnsiTheme="majorHAnsi" w:cs="Arial"/>
          <w:sz w:val="20"/>
          <w:szCs w:val="20"/>
        </w:rPr>
        <w:t xml:space="preserve"> on October 28, 1994, two days after Mr. Hall was charged, Mark Daniel was appointed to represent </w:t>
      </w:r>
      <w:r w:rsidR="006847BC" w:rsidRPr="00D2222C">
        <w:rPr>
          <w:rFonts w:asciiTheme="majorHAnsi" w:hAnsiTheme="majorHAnsi" w:cs="Arial"/>
          <w:sz w:val="20"/>
          <w:szCs w:val="20"/>
        </w:rPr>
        <w:t>him</w:t>
      </w:r>
      <w:r w:rsidR="00D86569" w:rsidRPr="00D2222C">
        <w:rPr>
          <w:rFonts w:asciiTheme="majorHAnsi" w:hAnsiTheme="majorHAnsi" w:cs="Arial"/>
          <w:sz w:val="20"/>
          <w:szCs w:val="20"/>
        </w:rPr>
        <w:t xml:space="preserve"> and</w:t>
      </w:r>
      <w:r w:rsidR="00B45BE7" w:rsidRPr="00D2222C">
        <w:rPr>
          <w:rFonts w:asciiTheme="majorHAnsi" w:hAnsiTheme="majorHAnsi" w:cs="Arial"/>
          <w:sz w:val="20"/>
          <w:szCs w:val="20"/>
        </w:rPr>
        <w:t>,</w:t>
      </w:r>
      <w:r w:rsidR="00D86569" w:rsidRPr="00D2222C">
        <w:rPr>
          <w:rFonts w:asciiTheme="majorHAnsi" w:hAnsiTheme="majorHAnsi" w:cs="Arial"/>
          <w:sz w:val="20"/>
          <w:szCs w:val="20"/>
        </w:rPr>
        <w:t xml:space="preserve"> on January 6, 1995, Michael Heiskell was appointed as co-counsel. </w:t>
      </w:r>
      <w:r w:rsidR="006847BC" w:rsidRPr="00D2222C">
        <w:rPr>
          <w:rFonts w:asciiTheme="majorHAnsi" w:hAnsiTheme="majorHAnsi" w:cs="Arial"/>
          <w:sz w:val="20"/>
          <w:szCs w:val="20"/>
        </w:rPr>
        <w:t>It has further been established that counsel required Mr. Hall to complete a nineteen-page questionnaire and travel</w:t>
      </w:r>
      <w:r w:rsidR="0050536C" w:rsidRPr="00D2222C">
        <w:rPr>
          <w:rFonts w:asciiTheme="majorHAnsi" w:hAnsiTheme="majorHAnsi" w:cs="Arial"/>
          <w:sz w:val="20"/>
          <w:szCs w:val="20"/>
        </w:rPr>
        <w:t>ed</w:t>
      </w:r>
      <w:r w:rsidR="006847BC" w:rsidRPr="00D2222C">
        <w:rPr>
          <w:rFonts w:asciiTheme="majorHAnsi" w:hAnsiTheme="majorHAnsi" w:cs="Arial"/>
          <w:sz w:val="20"/>
          <w:szCs w:val="20"/>
        </w:rPr>
        <w:t xml:space="preserve"> to his hometown to interview family members and other persons familiar with Mr. Hall. This information was turned over to the new defense attorneys appointed </w:t>
      </w:r>
      <w:r w:rsidR="00D86569" w:rsidRPr="00D2222C">
        <w:rPr>
          <w:rFonts w:asciiTheme="majorHAnsi" w:hAnsiTheme="majorHAnsi" w:cs="Arial"/>
          <w:sz w:val="20"/>
          <w:szCs w:val="20"/>
        </w:rPr>
        <w:t>on March 21, 1995</w:t>
      </w:r>
      <w:r w:rsidR="006847BC" w:rsidRPr="00D2222C">
        <w:rPr>
          <w:rFonts w:asciiTheme="majorHAnsi" w:hAnsiTheme="majorHAnsi" w:cs="Arial"/>
          <w:sz w:val="20"/>
          <w:szCs w:val="20"/>
        </w:rPr>
        <w:t>, after prior counsel withdrew from their representation</w:t>
      </w:r>
      <w:r w:rsidR="00D86569" w:rsidRPr="00D2222C">
        <w:rPr>
          <w:rFonts w:asciiTheme="majorHAnsi" w:hAnsiTheme="majorHAnsi" w:cs="Arial"/>
          <w:sz w:val="20"/>
          <w:szCs w:val="20"/>
        </w:rPr>
        <w:t xml:space="preserve">. </w:t>
      </w:r>
    </w:p>
    <w:p w14:paraId="65B334C6" w14:textId="77777777" w:rsidR="000516F4" w:rsidRPr="00D2222C" w:rsidRDefault="000516F4"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Fonts w:asciiTheme="majorHAnsi" w:hAnsiTheme="majorHAnsi" w:cs="Arial"/>
          <w:sz w:val="20"/>
          <w:szCs w:val="20"/>
        </w:rPr>
      </w:pPr>
    </w:p>
    <w:p w14:paraId="26FC7349" w14:textId="77777777" w:rsidR="00115009" w:rsidRPr="00D2222C" w:rsidRDefault="00D86569"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cs="Arial"/>
          <w:sz w:val="20"/>
          <w:szCs w:val="20"/>
        </w:rPr>
        <w:t xml:space="preserve">With </w:t>
      </w:r>
      <w:r w:rsidR="009D6116" w:rsidRPr="00D2222C">
        <w:rPr>
          <w:rFonts w:asciiTheme="majorHAnsi" w:hAnsiTheme="majorHAnsi" w:cs="Arial"/>
          <w:sz w:val="20"/>
          <w:szCs w:val="20"/>
        </w:rPr>
        <w:t xml:space="preserve">regard to the investigation </w:t>
      </w:r>
      <w:r w:rsidR="000516F4" w:rsidRPr="00D2222C">
        <w:rPr>
          <w:rFonts w:asciiTheme="majorHAnsi" w:hAnsiTheme="majorHAnsi" w:cs="Arial"/>
          <w:sz w:val="20"/>
          <w:szCs w:val="20"/>
        </w:rPr>
        <w:t xml:space="preserve">concerning potential mitigating evidence </w:t>
      </w:r>
      <w:r w:rsidR="009D6116" w:rsidRPr="00D2222C">
        <w:rPr>
          <w:rFonts w:asciiTheme="majorHAnsi" w:hAnsiTheme="majorHAnsi" w:cs="Arial"/>
          <w:sz w:val="20"/>
          <w:szCs w:val="20"/>
        </w:rPr>
        <w:t xml:space="preserve">conducted by defense counsel </w:t>
      </w:r>
      <w:r w:rsidR="000A650D" w:rsidRPr="00D2222C">
        <w:rPr>
          <w:rFonts w:asciiTheme="majorHAnsi" w:hAnsiTheme="majorHAnsi" w:cs="Arial"/>
          <w:sz w:val="20"/>
          <w:szCs w:val="20"/>
        </w:rPr>
        <w:t xml:space="preserve">between their appointment </w:t>
      </w:r>
      <w:r w:rsidR="000516F4" w:rsidRPr="00D2222C">
        <w:rPr>
          <w:rFonts w:asciiTheme="majorHAnsi" w:hAnsiTheme="majorHAnsi" w:cs="Arial"/>
          <w:sz w:val="20"/>
          <w:szCs w:val="20"/>
        </w:rPr>
        <w:t xml:space="preserve">on March 21, 1995, </w:t>
      </w:r>
      <w:r w:rsidR="000A650D" w:rsidRPr="00D2222C">
        <w:rPr>
          <w:rFonts w:asciiTheme="majorHAnsi" w:hAnsiTheme="majorHAnsi" w:cs="Arial"/>
          <w:sz w:val="20"/>
          <w:szCs w:val="20"/>
        </w:rPr>
        <w:t xml:space="preserve">and </w:t>
      </w:r>
      <w:r w:rsidR="009D6116" w:rsidRPr="00D2222C">
        <w:rPr>
          <w:rFonts w:asciiTheme="majorHAnsi" w:hAnsiTheme="majorHAnsi" w:cs="Arial"/>
          <w:sz w:val="20"/>
          <w:szCs w:val="20"/>
        </w:rPr>
        <w:t>the commencement of trial on October 2, 1995,</w:t>
      </w:r>
      <w:r w:rsidR="002D033F" w:rsidRPr="00D2222C">
        <w:rPr>
          <w:rFonts w:asciiTheme="majorHAnsi" w:hAnsiTheme="majorHAnsi" w:cs="Arial"/>
          <w:sz w:val="20"/>
          <w:szCs w:val="20"/>
        </w:rPr>
        <w:t xml:space="preserve"> the IACHR observes the following: on July 14 counsel sought and obtained funds to hire a psychiatrist and a neuropsychologist; on September 7 counsel sought the assistance of a mitigation specialist who was appointed </w:t>
      </w:r>
      <w:r w:rsidR="002D033F" w:rsidRPr="00D2222C">
        <w:rPr>
          <w:rFonts w:asciiTheme="majorHAnsi" w:hAnsiTheme="majorHAnsi" w:cs="Arial"/>
          <w:sz w:val="20"/>
          <w:szCs w:val="20"/>
        </w:rPr>
        <w:lastRenderedPageBreak/>
        <w:t>by the court on September 14</w:t>
      </w:r>
      <w:r w:rsidR="00B45BE7" w:rsidRPr="00D2222C">
        <w:rPr>
          <w:rFonts w:asciiTheme="majorHAnsi" w:hAnsiTheme="majorHAnsi" w:cs="Arial"/>
          <w:sz w:val="20"/>
          <w:szCs w:val="20"/>
        </w:rPr>
        <w:t>,</w:t>
      </w:r>
      <w:r w:rsidR="002D033F" w:rsidRPr="00D2222C">
        <w:rPr>
          <w:rFonts w:asciiTheme="majorHAnsi" w:hAnsiTheme="majorHAnsi" w:cs="Arial"/>
          <w:sz w:val="20"/>
          <w:szCs w:val="20"/>
        </w:rPr>
        <w:t xml:space="preserve"> </w:t>
      </w:r>
      <w:r w:rsidR="008C00EE" w:rsidRPr="00D2222C">
        <w:rPr>
          <w:rFonts w:asciiTheme="majorHAnsi" w:hAnsiTheme="majorHAnsi" w:cs="Arial"/>
          <w:sz w:val="20"/>
          <w:szCs w:val="20"/>
        </w:rPr>
        <w:t xml:space="preserve">and </w:t>
      </w:r>
      <w:r w:rsidR="00E27AA4" w:rsidRPr="00D2222C">
        <w:rPr>
          <w:rFonts w:asciiTheme="majorHAnsi" w:hAnsiTheme="majorHAnsi" w:cs="Arial"/>
          <w:sz w:val="20"/>
          <w:szCs w:val="20"/>
        </w:rPr>
        <w:t>on September 15</w:t>
      </w:r>
      <w:r w:rsidR="002D033F" w:rsidRPr="00D2222C">
        <w:rPr>
          <w:rFonts w:asciiTheme="majorHAnsi" w:hAnsiTheme="majorHAnsi" w:cs="Arial"/>
          <w:sz w:val="20"/>
          <w:szCs w:val="20"/>
        </w:rPr>
        <w:t xml:space="preserve"> counsel and Mr. Hall met with her</w:t>
      </w:r>
      <w:r w:rsidR="008C00EE" w:rsidRPr="00D2222C">
        <w:rPr>
          <w:rFonts w:asciiTheme="majorHAnsi" w:hAnsiTheme="majorHAnsi" w:cs="Arial"/>
          <w:sz w:val="20"/>
          <w:szCs w:val="20"/>
        </w:rPr>
        <w:t xml:space="preserve">. </w:t>
      </w:r>
      <w:r w:rsidR="00795940" w:rsidRPr="00D2222C">
        <w:rPr>
          <w:rFonts w:asciiTheme="majorHAnsi" w:hAnsiTheme="majorHAnsi" w:cs="Arial"/>
          <w:sz w:val="20"/>
          <w:szCs w:val="20"/>
        </w:rPr>
        <w:t xml:space="preserve">On October 6, after the trial had begun, </w:t>
      </w:r>
      <w:r w:rsidR="00317255" w:rsidRPr="00D2222C">
        <w:rPr>
          <w:rFonts w:asciiTheme="majorHAnsi" w:hAnsiTheme="majorHAnsi" w:cs="Arial"/>
          <w:sz w:val="20"/>
          <w:szCs w:val="20"/>
        </w:rPr>
        <w:t>the specialist</w:t>
      </w:r>
      <w:r w:rsidR="00DE783D" w:rsidRPr="00D2222C">
        <w:rPr>
          <w:rFonts w:asciiTheme="majorHAnsi" w:hAnsiTheme="majorHAnsi" w:cs="Arial"/>
          <w:sz w:val="20"/>
          <w:szCs w:val="20"/>
        </w:rPr>
        <w:t xml:space="preserve"> sent a memorandum to trial counsel </w:t>
      </w:r>
      <w:r w:rsidR="00EF6972" w:rsidRPr="00D2222C">
        <w:rPr>
          <w:rFonts w:asciiTheme="majorHAnsi" w:hAnsiTheme="majorHAnsi" w:cs="Arial"/>
          <w:sz w:val="20"/>
          <w:szCs w:val="20"/>
        </w:rPr>
        <w:t xml:space="preserve">pointing out to critically important mitigating information that would take additional time to fully develop. </w:t>
      </w:r>
      <w:r w:rsidR="008C00EE" w:rsidRPr="00D2222C">
        <w:rPr>
          <w:rFonts w:asciiTheme="majorHAnsi" w:hAnsiTheme="majorHAnsi" w:cs="Arial"/>
          <w:sz w:val="20"/>
          <w:szCs w:val="20"/>
        </w:rPr>
        <w:t>T</w:t>
      </w:r>
      <w:r w:rsidR="002D033F" w:rsidRPr="00D2222C">
        <w:rPr>
          <w:rFonts w:asciiTheme="majorHAnsi" w:hAnsiTheme="majorHAnsi" w:cs="Arial"/>
          <w:sz w:val="20"/>
          <w:szCs w:val="20"/>
        </w:rPr>
        <w:t>he specialist submitted two investigative memor</w:t>
      </w:r>
      <w:r w:rsidR="00820D73" w:rsidRPr="00D2222C">
        <w:rPr>
          <w:rFonts w:asciiTheme="majorHAnsi" w:hAnsiTheme="majorHAnsi" w:cs="Arial"/>
          <w:sz w:val="20"/>
          <w:szCs w:val="20"/>
        </w:rPr>
        <w:t>anda to counsel dated October 2</w:t>
      </w:r>
      <w:r w:rsidR="002D033F" w:rsidRPr="00D2222C">
        <w:rPr>
          <w:rFonts w:asciiTheme="majorHAnsi" w:hAnsiTheme="majorHAnsi" w:cs="Arial"/>
          <w:sz w:val="20"/>
          <w:szCs w:val="20"/>
        </w:rPr>
        <w:t>3 and 25</w:t>
      </w:r>
      <w:r w:rsidR="00DD2BE4" w:rsidRPr="00D2222C">
        <w:rPr>
          <w:rFonts w:asciiTheme="majorHAnsi" w:hAnsiTheme="majorHAnsi" w:cs="Arial"/>
          <w:sz w:val="20"/>
          <w:szCs w:val="20"/>
        </w:rPr>
        <w:t>, and</w:t>
      </w:r>
      <w:r w:rsidR="00231CD1" w:rsidRPr="00D2222C">
        <w:rPr>
          <w:rFonts w:asciiTheme="majorHAnsi" w:hAnsiTheme="majorHAnsi" w:cs="Arial"/>
          <w:sz w:val="20"/>
          <w:szCs w:val="20"/>
        </w:rPr>
        <w:t>,</w:t>
      </w:r>
      <w:r w:rsidR="00DD2BE4" w:rsidRPr="00D2222C">
        <w:rPr>
          <w:rFonts w:asciiTheme="majorHAnsi" w:hAnsiTheme="majorHAnsi" w:cs="Arial"/>
          <w:sz w:val="20"/>
          <w:szCs w:val="20"/>
        </w:rPr>
        <w:t xml:space="preserve"> on November 1, 1995, the punishment phase of trial began. </w:t>
      </w:r>
    </w:p>
    <w:p w14:paraId="3DDF8BD0" w14:textId="77777777" w:rsidR="002256AE" w:rsidRPr="00D2222C" w:rsidRDefault="002256AE"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Fonts w:asciiTheme="majorHAnsi" w:hAnsiTheme="majorHAnsi" w:cs="Arial"/>
          <w:sz w:val="20"/>
          <w:szCs w:val="20"/>
        </w:rPr>
      </w:pPr>
    </w:p>
    <w:p w14:paraId="440391AA" w14:textId="77777777" w:rsidR="003D51A2" w:rsidRPr="00D2222C" w:rsidRDefault="003964BF"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cs="Arial"/>
          <w:sz w:val="20"/>
          <w:szCs w:val="20"/>
        </w:rPr>
        <w:t xml:space="preserve">The Commission </w:t>
      </w:r>
      <w:r w:rsidR="00154179" w:rsidRPr="00D2222C">
        <w:rPr>
          <w:rFonts w:asciiTheme="majorHAnsi" w:hAnsiTheme="majorHAnsi" w:cs="Arial"/>
          <w:sz w:val="20"/>
          <w:szCs w:val="20"/>
        </w:rPr>
        <w:t xml:space="preserve">notes that </w:t>
      </w:r>
      <w:r w:rsidR="004730AF" w:rsidRPr="00D2222C">
        <w:rPr>
          <w:rFonts w:asciiTheme="majorHAnsi" w:hAnsiTheme="majorHAnsi" w:cs="Arial"/>
          <w:sz w:val="20"/>
          <w:szCs w:val="20"/>
        </w:rPr>
        <w:t xml:space="preserve">it took </w:t>
      </w:r>
      <w:r w:rsidR="00154179" w:rsidRPr="00D2222C">
        <w:rPr>
          <w:rFonts w:asciiTheme="majorHAnsi" w:hAnsiTheme="majorHAnsi" w:cs="Arial"/>
          <w:sz w:val="20"/>
          <w:szCs w:val="20"/>
        </w:rPr>
        <w:t>t</w:t>
      </w:r>
      <w:r w:rsidRPr="00D2222C">
        <w:rPr>
          <w:rFonts w:asciiTheme="majorHAnsi" w:hAnsiTheme="majorHAnsi" w:cs="Arial"/>
          <w:sz w:val="20"/>
          <w:szCs w:val="20"/>
        </w:rPr>
        <w:t>rial counsel</w:t>
      </w:r>
      <w:r w:rsidR="00154179" w:rsidRPr="00D2222C">
        <w:rPr>
          <w:rFonts w:asciiTheme="majorHAnsi" w:hAnsiTheme="majorHAnsi" w:cs="Arial"/>
          <w:sz w:val="20"/>
          <w:szCs w:val="20"/>
        </w:rPr>
        <w:t xml:space="preserve"> almost four month</w:t>
      </w:r>
      <w:r w:rsidR="004730AF" w:rsidRPr="00D2222C">
        <w:rPr>
          <w:rFonts w:asciiTheme="majorHAnsi" w:hAnsiTheme="majorHAnsi" w:cs="Arial"/>
          <w:sz w:val="20"/>
          <w:szCs w:val="20"/>
        </w:rPr>
        <w:t>s</w:t>
      </w:r>
      <w:r w:rsidR="00154179" w:rsidRPr="00D2222C">
        <w:rPr>
          <w:rFonts w:asciiTheme="majorHAnsi" w:hAnsiTheme="majorHAnsi" w:cs="Arial"/>
          <w:sz w:val="20"/>
          <w:szCs w:val="20"/>
        </w:rPr>
        <w:t xml:space="preserve"> from their appointment to seek funds to hire</w:t>
      </w:r>
      <w:r w:rsidR="004730AF" w:rsidRPr="00D2222C">
        <w:rPr>
          <w:rFonts w:asciiTheme="majorHAnsi" w:hAnsiTheme="majorHAnsi" w:cs="Arial"/>
          <w:sz w:val="20"/>
          <w:szCs w:val="20"/>
        </w:rPr>
        <w:t xml:space="preserve"> a psychiatrist and a neuropsychologist, and almost six months to obtain the assistance of a mitigation specialist. </w:t>
      </w:r>
      <w:r w:rsidR="009E3ABD" w:rsidRPr="00D2222C">
        <w:rPr>
          <w:rFonts w:asciiTheme="majorHAnsi" w:hAnsiTheme="majorHAnsi" w:cs="Arial"/>
          <w:sz w:val="20"/>
          <w:szCs w:val="20"/>
        </w:rPr>
        <w:t xml:space="preserve">Accordingly, the mitigation specialist had only </w:t>
      </w:r>
      <w:r w:rsidR="00715928" w:rsidRPr="00D2222C">
        <w:rPr>
          <w:rFonts w:asciiTheme="majorHAnsi" w:hAnsiTheme="majorHAnsi" w:cs="Arial"/>
          <w:sz w:val="20"/>
          <w:szCs w:val="20"/>
        </w:rPr>
        <w:t xml:space="preserve">two weeks and three days before the start of the trial and less than seven weeks before the </w:t>
      </w:r>
      <w:r w:rsidR="00231CD1" w:rsidRPr="00D2222C">
        <w:rPr>
          <w:rFonts w:asciiTheme="majorHAnsi" w:hAnsiTheme="majorHAnsi" w:cs="Arial"/>
          <w:sz w:val="20"/>
          <w:szCs w:val="20"/>
        </w:rPr>
        <w:t xml:space="preserve">start of the </w:t>
      </w:r>
      <w:r w:rsidR="00715928" w:rsidRPr="00D2222C">
        <w:rPr>
          <w:rFonts w:asciiTheme="majorHAnsi" w:hAnsiTheme="majorHAnsi" w:cs="Arial"/>
          <w:sz w:val="20"/>
          <w:szCs w:val="20"/>
        </w:rPr>
        <w:t xml:space="preserve">punishment phase. </w:t>
      </w:r>
      <w:r w:rsidR="00A53D23" w:rsidRPr="00D2222C">
        <w:rPr>
          <w:rFonts w:asciiTheme="majorHAnsi" w:hAnsiTheme="majorHAnsi" w:cs="Arial"/>
          <w:sz w:val="20"/>
          <w:szCs w:val="20"/>
        </w:rPr>
        <w:t xml:space="preserve">After </w:t>
      </w:r>
      <w:r w:rsidR="00B70462" w:rsidRPr="00D2222C">
        <w:rPr>
          <w:rFonts w:asciiTheme="majorHAnsi" w:hAnsiTheme="majorHAnsi" w:cs="Arial"/>
          <w:sz w:val="20"/>
          <w:szCs w:val="20"/>
        </w:rPr>
        <w:t xml:space="preserve">the beginning of </w:t>
      </w:r>
      <w:r w:rsidR="00A53D23" w:rsidRPr="00D2222C">
        <w:rPr>
          <w:rFonts w:asciiTheme="majorHAnsi" w:hAnsiTheme="majorHAnsi" w:cs="Arial"/>
          <w:sz w:val="20"/>
          <w:szCs w:val="20"/>
        </w:rPr>
        <w:t>trial, the specialist indicated that critical aspects had not yet been investigated: “little or no investigation ha[d] been conducted concerning the four co-defendants,” the “mitigation/social history investigation into the life of Orlando Hall</w:t>
      </w:r>
      <w:r w:rsidR="00275FC9" w:rsidRPr="00D2222C">
        <w:rPr>
          <w:rFonts w:asciiTheme="majorHAnsi" w:hAnsiTheme="majorHAnsi" w:cs="Arial"/>
          <w:sz w:val="20"/>
          <w:szCs w:val="20"/>
        </w:rPr>
        <w:t xml:space="preserve"> [which takes time]</w:t>
      </w:r>
      <w:r w:rsidR="00A53D23" w:rsidRPr="00D2222C">
        <w:rPr>
          <w:rFonts w:asciiTheme="majorHAnsi" w:hAnsiTheme="majorHAnsi" w:cs="Arial"/>
          <w:sz w:val="20"/>
          <w:szCs w:val="20"/>
        </w:rPr>
        <w:t xml:space="preserve"> [wa]s not complete,”</w:t>
      </w:r>
      <w:r w:rsidR="004907E1" w:rsidRPr="00D2222C">
        <w:rPr>
          <w:rFonts w:asciiTheme="majorHAnsi" w:hAnsiTheme="majorHAnsi" w:cs="Arial"/>
          <w:sz w:val="20"/>
          <w:szCs w:val="20"/>
        </w:rPr>
        <w:t xml:space="preserve"> and</w:t>
      </w:r>
      <w:r w:rsidR="00A53D23" w:rsidRPr="00D2222C">
        <w:rPr>
          <w:rFonts w:asciiTheme="majorHAnsi" w:hAnsiTheme="majorHAnsi" w:cs="Arial"/>
          <w:sz w:val="20"/>
          <w:szCs w:val="20"/>
        </w:rPr>
        <w:t xml:space="preserve"> </w:t>
      </w:r>
      <w:r w:rsidR="00275FC9" w:rsidRPr="00D2222C">
        <w:rPr>
          <w:rFonts w:asciiTheme="majorHAnsi" w:hAnsiTheme="majorHAnsi" w:cs="Arial"/>
          <w:sz w:val="20"/>
          <w:szCs w:val="20"/>
        </w:rPr>
        <w:t>“more information need[ed] to be developed [regarding] the extent and effects” of serious domestic violence</w:t>
      </w:r>
      <w:r w:rsidR="00074669" w:rsidRPr="00D2222C">
        <w:rPr>
          <w:rFonts w:asciiTheme="majorHAnsi" w:hAnsiTheme="majorHAnsi" w:cs="Arial"/>
          <w:sz w:val="20"/>
          <w:szCs w:val="20"/>
        </w:rPr>
        <w:t xml:space="preserve">. The mitigation specialist </w:t>
      </w:r>
      <w:r w:rsidR="004907E1" w:rsidRPr="00D2222C">
        <w:rPr>
          <w:rFonts w:asciiTheme="majorHAnsi" w:hAnsiTheme="majorHAnsi" w:cs="Arial"/>
          <w:sz w:val="20"/>
          <w:szCs w:val="20"/>
        </w:rPr>
        <w:t xml:space="preserve">also </w:t>
      </w:r>
      <w:r w:rsidR="00074669" w:rsidRPr="00D2222C">
        <w:rPr>
          <w:rFonts w:asciiTheme="majorHAnsi" w:hAnsiTheme="majorHAnsi" w:cs="Arial"/>
          <w:sz w:val="20"/>
          <w:szCs w:val="20"/>
        </w:rPr>
        <w:t>highlighted that</w:t>
      </w:r>
      <w:r w:rsidR="00275FC9" w:rsidRPr="00D2222C">
        <w:rPr>
          <w:rFonts w:asciiTheme="majorHAnsi" w:hAnsiTheme="majorHAnsi" w:cs="Arial"/>
          <w:sz w:val="20"/>
          <w:szCs w:val="20"/>
        </w:rPr>
        <w:t xml:space="preserve"> </w:t>
      </w:r>
      <w:r w:rsidR="00074669" w:rsidRPr="00D2222C">
        <w:rPr>
          <w:rFonts w:asciiTheme="majorHAnsi" w:hAnsiTheme="majorHAnsi" w:cs="Arial"/>
          <w:sz w:val="20"/>
          <w:szCs w:val="20"/>
        </w:rPr>
        <w:t>“</w:t>
      </w:r>
      <w:r w:rsidR="00275FC9" w:rsidRPr="00D2222C">
        <w:rPr>
          <w:rFonts w:ascii="Cambria" w:hAnsi="Cambria"/>
          <w:sz w:val="20"/>
          <w:szCs w:val="20"/>
        </w:rPr>
        <w:t>the process of gathering information about Mr. Hall’</w:t>
      </w:r>
      <w:r w:rsidR="00074669" w:rsidRPr="00D2222C">
        <w:rPr>
          <w:rFonts w:ascii="Cambria" w:hAnsi="Cambria"/>
          <w:sz w:val="20"/>
          <w:szCs w:val="20"/>
        </w:rPr>
        <w:t>s childhood [wa]</w:t>
      </w:r>
      <w:r w:rsidR="00275FC9" w:rsidRPr="00D2222C">
        <w:rPr>
          <w:rFonts w:ascii="Cambria" w:hAnsi="Cambria"/>
          <w:sz w:val="20"/>
          <w:szCs w:val="20"/>
        </w:rPr>
        <w:t>s a slow one</w:t>
      </w:r>
      <w:r w:rsidR="00074669" w:rsidRPr="00D2222C">
        <w:rPr>
          <w:rFonts w:ascii="Cambria" w:hAnsi="Cambria"/>
          <w:sz w:val="20"/>
          <w:szCs w:val="20"/>
        </w:rPr>
        <w:t>.”</w:t>
      </w:r>
    </w:p>
    <w:p w14:paraId="57F7FE33" w14:textId="77777777" w:rsidR="003D51A2" w:rsidRPr="00D2222C" w:rsidRDefault="003D51A2" w:rsidP="009E3847">
      <w:pPr>
        <w:pStyle w:val="ListParagraph"/>
        <w:tabs>
          <w:tab w:val="left" w:pos="720"/>
        </w:tabs>
        <w:rPr>
          <w:rFonts w:asciiTheme="majorHAnsi" w:hAnsiTheme="majorHAnsi"/>
          <w:sz w:val="20"/>
          <w:szCs w:val="20"/>
        </w:rPr>
      </w:pPr>
    </w:p>
    <w:p w14:paraId="5FDFC364" w14:textId="77777777" w:rsidR="00536B9E" w:rsidRPr="00D2222C" w:rsidRDefault="003D51A2"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sz w:val="20"/>
          <w:szCs w:val="20"/>
        </w:rPr>
        <w:t>The IACHR finds that</w:t>
      </w:r>
      <w:r w:rsidR="008D7DF4" w:rsidRPr="00D2222C">
        <w:rPr>
          <w:rFonts w:asciiTheme="majorHAnsi" w:hAnsiTheme="majorHAnsi"/>
          <w:sz w:val="20"/>
          <w:szCs w:val="20"/>
        </w:rPr>
        <w:t xml:space="preserve"> the inaction of </w:t>
      </w:r>
      <w:r w:rsidRPr="00D2222C">
        <w:rPr>
          <w:rFonts w:asciiTheme="majorHAnsi" w:hAnsiTheme="majorHAnsi"/>
          <w:sz w:val="20"/>
          <w:szCs w:val="20"/>
        </w:rPr>
        <w:t>defense</w:t>
      </w:r>
      <w:r w:rsidR="008D7DF4" w:rsidRPr="00D2222C">
        <w:rPr>
          <w:rFonts w:asciiTheme="majorHAnsi" w:hAnsiTheme="majorHAnsi"/>
          <w:sz w:val="20"/>
          <w:szCs w:val="20"/>
        </w:rPr>
        <w:t xml:space="preserve"> counsel</w:t>
      </w:r>
      <w:r w:rsidRPr="00D2222C">
        <w:rPr>
          <w:rFonts w:asciiTheme="majorHAnsi" w:hAnsiTheme="majorHAnsi"/>
          <w:sz w:val="20"/>
          <w:szCs w:val="20"/>
        </w:rPr>
        <w:t xml:space="preserve"> at decisive moments in the proceedings cannot be understood as a </w:t>
      </w:r>
      <w:r w:rsidR="00C85CF6" w:rsidRPr="00D2222C">
        <w:rPr>
          <w:rFonts w:asciiTheme="majorHAnsi" w:hAnsiTheme="majorHAnsi"/>
          <w:sz w:val="20"/>
          <w:szCs w:val="20"/>
        </w:rPr>
        <w:t>decision of</w:t>
      </w:r>
      <w:r w:rsidRPr="00D2222C">
        <w:rPr>
          <w:rFonts w:asciiTheme="majorHAnsi" w:hAnsiTheme="majorHAnsi"/>
          <w:sz w:val="20"/>
          <w:szCs w:val="20"/>
        </w:rPr>
        <w:t xml:space="preserve"> strategy. </w:t>
      </w:r>
      <w:r w:rsidR="004730AF" w:rsidRPr="00D2222C">
        <w:rPr>
          <w:rFonts w:asciiTheme="majorHAnsi" w:hAnsiTheme="majorHAnsi" w:cs="Arial"/>
          <w:sz w:val="20"/>
          <w:szCs w:val="20"/>
        </w:rPr>
        <w:t xml:space="preserve">In a </w:t>
      </w:r>
      <w:r w:rsidR="006B248C" w:rsidRPr="00D2222C">
        <w:rPr>
          <w:rFonts w:asciiTheme="majorHAnsi" w:hAnsiTheme="majorHAnsi" w:cs="Arial"/>
          <w:sz w:val="20"/>
          <w:szCs w:val="20"/>
        </w:rPr>
        <w:t>death penalty case</w:t>
      </w:r>
      <w:r w:rsidR="00CF2824" w:rsidRPr="00D2222C">
        <w:rPr>
          <w:rFonts w:asciiTheme="majorHAnsi" w:hAnsiTheme="majorHAnsi" w:cs="Arial"/>
          <w:sz w:val="20"/>
          <w:szCs w:val="20"/>
        </w:rPr>
        <w:t xml:space="preserve"> in which the most rigorous enforcement of judicial guarantees is required, </w:t>
      </w:r>
      <w:r w:rsidR="00702565" w:rsidRPr="00D2222C">
        <w:rPr>
          <w:rFonts w:asciiTheme="majorHAnsi" w:hAnsiTheme="majorHAnsi" w:cs="Arial"/>
          <w:sz w:val="20"/>
          <w:szCs w:val="20"/>
        </w:rPr>
        <w:t xml:space="preserve">the </w:t>
      </w:r>
      <w:r w:rsidR="00F438CD" w:rsidRPr="00D2222C">
        <w:rPr>
          <w:rFonts w:asciiTheme="majorHAnsi" w:hAnsiTheme="majorHAnsi" w:cs="Arial"/>
          <w:sz w:val="20"/>
          <w:szCs w:val="20"/>
        </w:rPr>
        <w:t xml:space="preserve">defense counsels’ </w:t>
      </w:r>
      <w:r w:rsidR="004022E4" w:rsidRPr="00D2222C">
        <w:rPr>
          <w:rFonts w:asciiTheme="majorHAnsi" w:hAnsiTheme="majorHAnsi" w:cs="Arial"/>
          <w:sz w:val="20"/>
          <w:szCs w:val="20"/>
        </w:rPr>
        <w:t xml:space="preserve">immediate action </w:t>
      </w:r>
      <w:r w:rsidR="00F438CD" w:rsidRPr="00D2222C">
        <w:rPr>
          <w:rFonts w:asciiTheme="majorHAnsi" w:hAnsiTheme="majorHAnsi" w:cs="Arial"/>
          <w:sz w:val="20"/>
          <w:szCs w:val="20"/>
        </w:rPr>
        <w:t xml:space="preserve">to thoroughly investigate every possible mitigating factor is a basic component of the right to </w:t>
      </w:r>
      <w:r w:rsidR="00C95BF6" w:rsidRPr="00D2222C">
        <w:rPr>
          <w:rFonts w:asciiTheme="majorHAnsi" w:hAnsiTheme="majorHAnsi" w:cs="Arial"/>
          <w:sz w:val="20"/>
          <w:szCs w:val="20"/>
        </w:rPr>
        <w:t xml:space="preserve">an </w:t>
      </w:r>
      <w:r w:rsidR="00F438CD" w:rsidRPr="00D2222C">
        <w:rPr>
          <w:rFonts w:asciiTheme="majorHAnsi" w:hAnsiTheme="majorHAnsi" w:cs="Arial"/>
          <w:sz w:val="20"/>
          <w:szCs w:val="20"/>
        </w:rPr>
        <w:t xml:space="preserve">effective legal representation. </w:t>
      </w:r>
      <w:r w:rsidR="006420B7" w:rsidRPr="00D2222C">
        <w:rPr>
          <w:rFonts w:asciiTheme="majorHAnsi" w:hAnsiTheme="majorHAnsi" w:cs="Arial"/>
          <w:sz w:val="20"/>
          <w:szCs w:val="20"/>
        </w:rPr>
        <w:t>As emphasized in the ABA Guidelines,</w:t>
      </w:r>
      <w:r w:rsidRPr="00D2222C">
        <w:rPr>
          <w:rFonts w:asciiTheme="majorHAnsi" w:hAnsiTheme="majorHAnsi" w:cs="Arial"/>
          <w:sz w:val="20"/>
          <w:szCs w:val="20"/>
        </w:rPr>
        <w:t xml:space="preserve"> </w:t>
      </w:r>
      <w:r w:rsidR="006B248C" w:rsidRPr="00D2222C">
        <w:rPr>
          <w:rFonts w:asciiTheme="majorHAnsi" w:hAnsiTheme="majorHAnsi" w:cs="Arial"/>
          <w:sz w:val="20"/>
          <w:szCs w:val="20"/>
        </w:rPr>
        <w:t>“penalty phase preparation requires extensive and generally unparalleled investigation into personal and family history.”</w:t>
      </w:r>
      <w:r w:rsidR="006420B7" w:rsidRPr="00D2222C">
        <w:rPr>
          <w:rFonts w:asciiTheme="majorHAnsi" w:hAnsiTheme="majorHAnsi" w:cs="Arial"/>
          <w:sz w:val="20"/>
          <w:szCs w:val="20"/>
        </w:rPr>
        <w:t xml:space="preserve"> </w:t>
      </w:r>
      <w:r w:rsidR="00E22278" w:rsidRPr="00D2222C">
        <w:rPr>
          <w:rFonts w:asciiTheme="majorHAnsi" w:hAnsiTheme="majorHAnsi" w:cs="Arial"/>
          <w:sz w:val="20"/>
          <w:szCs w:val="20"/>
        </w:rPr>
        <w:t xml:space="preserve">The mitigation specialist cautioned that the process of gathering information was a slow one, </w:t>
      </w:r>
      <w:r w:rsidR="002056C8" w:rsidRPr="00D2222C">
        <w:rPr>
          <w:rFonts w:asciiTheme="majorHAnsi" w:hAnsiTheme="majorHAnsi" w:cs="Arial"/>
          <w:sz w:val="20"/>
          <w:szCs w:val="20"/>
        </w:rPr>
        <w:t>since</w:t>
      </w:r>
      <w:r w:rsidR="00E22278" w:rsidRPr="00D2222C">
        <w:rPr>
          <w:rFonts w:asciiTheme="majorHAnsi" w:hAnsiTheme="majorHAnsi" w:cs="Arial"/>
          <w:sz w:val="20"/>
          <w:szCs w:val="20"/>
        </w:rPr>
        <w:t xml:space="preserve"> the investigator must first deal with a variety of emotions from the witnesses in order to elicit the needed information.</w:t>
      </w:r>
      <w:r w:rsidR="002E10DC" w:rsidRPr="00D2222C">
        <w:rPr>
          <w:rFonts w:asciiTheme="majorHAnsi" w:hAnsiTheme="majorHAnsi" w:cs="Arial"/>
          <w:sz w:val="20"/>
          <w:szCs w:val="20"/>
        </w:rPr>
        <w:t xml:space="preserve"> It is not reasonable to </w:t>
      </w:r>
      <w:r w:rsidR="00267891" w:rsidRPr="00D2222C">
        <w:rPr>
          <w:rFonts w:asciiTheme="majorHAnsi" w:hAnsiTheme="majorHAnsi" w:cs="Arial"/>
          <w:sz w:val="20"/>
          <w:szCs w:val="20"/>
        </w:rPr>
        <w:t xml:space="preserve">have </w:t>
      </w:r>
      <w:r w:rsidR="002E10DC" w:rsidRPr="00D2222C">
        <w:rPr>
          <w:rFonts w:asciiTheme="majorHAnsi" w:hAnsiTheme="majorHAnsi" w:cs="Arial"/>
          <w:sz w:val="20"/>
          <w:szCs w:val="20"/>
        </w:rPr>
        <w:t>consider</w:t>
      </w:r>
      <w:r w:rsidR="00267891" w:rsidRPr="00D2222C">
        <w:rPr>
          <w:rFonts w:asciiTheme="majorHAnsi" w:hAnsiTheme="majorHAnsi" w:cs="Arial"/>
          <w:sz w:val="20"/>
          <w:szCs w:val="20"/>
        </w:rPr>
        <w:t>ed</w:t>
      </w:r>
      <w:r w:rsidR="002E10DC" w:rsidRPr="00D2222C">
        <w:rPr>
          <w:rFonts w:asciiTheme="majorHAnsi" w:hAnsiTheme="majorHAnsi" w:cs="Arial"/>
          <w:sz w:val="20"/>
          <w:szCs w:val="20"/>
        </w:rPr>
        <w:t xml:space="preserve"> that</w:t>
      </w:r>
      <w:r w:rsidR="002056C8" w:rsidRPr="00D2222C">
        <w:rPr>
          <w:rFonts w:asciiTheme="majorHAnsi" w:hAnsiTheme="majorHAnsi" w:cs="Arial"/>
          <w:sz w:val="20"/>
          <w:szCs w:val="20"/>
        </w:rPr>
        <w:t>, in just a few weeks,</w:t>
      </w:r>
      <w:r w:rsidR="002E10DC" w:rsidRPr="00D2222C">
        <w:rPr>
          <w:rFonts w:asciiTheme="majorHAnsi" w:hAnsiTheme="majorHAnsi" w:cs="Arial"/>
          <w:sz w:val="20"/>
          <w:szCs w:val="20"/>
        </w:rPr>
        <w:t xml:space="preserve"> a serious and thorough investigation</w:t>
      </w:r>
      <w:r w:rsidR="001D59B1" w:rsidRPr="00D2222C">
        <w:rPr>
          <w:rFonts w:asciiTheme="majorHAnsi" w:hAnsiTheme="majorHAnsi" w:cs="Arial"/>
          <w:sz w:val="20"/>
          <w:szCs w:val="20"/>
        </w:rPr>
        <w:t xml:space="preserve"> could have been undertaken</w:t>
      </w:r>
      <w:r w:rsidR="002E10DC" w:rsidRPr="00D2222C">
        <w:rPr>
          <w:rFonts w:asciiTheme="majorHAnsi" w:hAnsiTheme="majorHAnsi" w:cs="Arial"/>
          <w:sz w:val="20"/>
          <w:szCs w:val="20"/>
        </w:rPr>
        <w:t>.</w:t>
      </w:r>
    </w:p>
    <w:p w14:paraId="2657BD81" w14:textId="77777777" w:rsidR="00536B9E" w:rsidRPr="00D2222C" w:rsidRDefault="00536B9E" w:rsidP="009E3847">
      <w:pPr>
        <w:pStyle w:val="ListParagraph"/>
        <w:tabs>
          <w:tab w:val="left" w:pos="720"/>
        </w:tabs>
        <w:rPr>
          <w:rFonts w:asciiTheme="majorHAnsi" w:hAnsiTheme="majorHAnsi"/>
          <w:bCs/>
          <w:sz w:val="20"/>
          <w:szCs w:val="20"/>
        </w:rPr>
      </w:pPr>
    </w:p>
    <w:p w14:paraId="0F0DC01A" w14:textId="77777777" w:rsidR="00095575" w:rsidRPr="00D2222C" w:rsidRDefault="00967ECF"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Theme="majorHAnsi" w:hAnsiTheme="majorHAnsi"/>
          <w:bCs/>
          <w:sz w:val="20"/>
          <w:szCs w:val="20"/>
        </w:rPr>
        <w:t xml:space="preserve">As previously established, </w:t>
      </w:r>
      <w:r w:rsidR="0002681D" w:rsidRPr="00D2222C">
        <w:rPr>
          <w:rFonts w:asciiTheme="majorHAnsi" w:hAnsiTheme="majorHAnsi"/>
          <w:bCs/>
          <w:sz w:val="20"/>
          <w:szCs w:val="20"/>
        </w:rPr>
        <w:t xml:space="preserve">in federal death penalty cases, </w:t>
      </w:r>
      <w:r w:rsidR="0002681D" w:rsidRPr="00D2222C">
        <w:rPr>
          <w:rFonts w:asciiTheme="majorHAnsi" w:hAnsiTheme="majorHAnsi"/>
          <w:sz w:val="20"/>
          <w:szCs w:val="20"/>
        </w:rPr>
        <w:t>m</w:t>
      </w:r>
      <w:r w:rsidR="00536B9E" w:rsidRPr="00D2222C">
        <w:rPr>
          <w:rFonts w:asciiTheme="majorHAnsi" w:hAnsiTheme="majorHAnsi"/>
          <w:sz w:val="20"/>
          <w:szCs w:val="20"/>
        </w:rPr>
        <w:t>itigating factors need only be proven by a preponderance of the evidence and each juror can make an individual decision as to which factors have been proven to his or her satisfaction.</w:t>
      </w:r>
      <w:r w:rsidR="0002681D" w:rsidRPr="00D2222C">
        <w:rPr>
          <w:rFonts w:asciiTheme="majorHAnsi" w:hAnsiTheme="majorHAnsi"/>
          <w:sz w:val="20"/>
          <w:szCs w:val="20"/>
        </w:rPr>
        <w:t xml:space="preserve"> Therefore, with only one mitigating factor</w:t>
      </w:r>
      <w:r w:rsidR="006B130C" w:rsidRPr="00D2222C">
        <w:rPr>
          <w:rFonts w:asciiTheme="majorHAnsi" w:hAnsiTheme="majorHAnsi"/>
          <w:sz w:val="20"/>
          <w:szCs w:val="20"/>
        </w:rPr>
        <w:t>,</w:t>
      </w:r>
      <w:r w:rsidR="0002681D" w:rsidRPr="00D2222C">
        <w:rPr>
          <w:rFonts w:asciiTheme="majorHAnsi" w:hAnsiTheme="majorHAnsi"/>
          <w:sz w:val="20"/>
          <w:szCs w:val="20"/>
        </w:rPr>
        <w:t xml:space="preserve"> a juror could have voted to spare Mr. Hall’s life. </w:t>
      </w:r>
      <w:r w:rsidR="002056C8" w:rsidRPr="00D2222C">
        <w:rPr>
          <w:rFonts w:asciiTheme="majorHAnsi" w:hAnsiTheme="majorHAnsi"/>
          <w:sz w:val="20"/>
          <w:szCs w:val="20"/>
        </w:rPr>
        <w:t xml:space="preserve">A timely, diligent and thorough mitigation investigation could </w:t>
      </w:r>
      <w:r w:rsidR="00F15799" w:rsidRPr="00D2222C">
        <w:rPr>
          <w:rFonts w:asciiTheme="majorHAnsi" w:hAnsiTheme="majorHAnsi"/>
          <w:sz w:val="20"/>
          <w:szCs w:val="20"/>
        </w:rPr>
        <w:t>thus</w:t>
      </w:r>
      <w:r w:rsidR="002056C8" w:rsidRPr="00D2222C">
        <w:rPr>
          <w:rFonts w:asciiTheme="majorHAnsi" w:hAnsiTheme="majorHAnsi"/>
          <w:sz w:val="20"/>
          <w:szCs w:val="20"/>
        </w:rPr>
        <w:t xml:space="preserve"> mean the difference between life and death. </w:t>
      </w:r>
      <w:r w:rsidR="0078595F" w:rsidRPr="00D2222C">
        <w:rPr>
          <w:rFonts w:ascii="Cambria" w:hAnsi="Cambria"/>
          <w:sz w:val="20"/>
        </w:rPr>
        <w:t xml:space="preserve">The IACHR </w:t>
      </w:r>
      <w:r w:rsidR="00FA7982" w:rsidRPr="00D2222C">
        <w:rPr>
          <w:rFonts w:ascii="Cambria" w:hAnsi="Cambria"/>
          <w:sz w:val="20"/>
        </w:rPr>
        <w:t>concludes that this failure to meet fundamental due process requirements in a capital trial</w:t>
      </w:r>
      <w:r w:rsidR="0078595F" w:rsidRPr="00D2222C">
        <w:rPr>
          <w:rFonts w:ascii="Cambria" w:hAnsi="Cambria"/>
          <w:sz w:val="20"/>
        </w:rPr>
        <w:t xml:space="preserve"> amounted to a violation of the right to a fair trial and </w:t>
      </w:r>
      <w:r w:rsidR="0021055A" w:rsidRPr="00D2222C">
        <w:rPr>
          <w:rFonts w:ascii="Cambria" w:hAnsi="Cambria"/>
          <w:sz w:val="20"/>
        </w:rPr>
        <w:t xml:space="preserve">to </w:t>
      </w:r>
      <w:r w:rsidR="0078595F" w:rsidRPr="00D2222C">
        <w:rPr>
          <w:rFonts w:ascii="Cambria" w:hAnsi="Cambria"/>
          <w:sz w:val="20"/>
        </w:rPr>
        <w:t>due process of law.</w:t>
      </w:r>
    </w:p>
    <w:p w14:paraId="1D8F6ECD" w14:textId="77777777" w:rsidR="00095575" w:rsidRPr="00D2222C" w:rsidRDefault="00095575" w:rsidP="009412E0">
      <w:pPr>
        <w:pStyle w:val="ListParagraph"/>
        <w:ind w:left="1440" w:hanging="720"/>
        <w:rPr>
          <w:rFonts w:asciiTheme="majorHAnsi" w:hAnsiTheme="majorHAnsi"/>
          <w:color w:val="auto"/>
          <w:sz w:val="20"/>
          <w:szCs w:val="20"/>
        </w:rPr>
      </w:pPr>
    </w:p>
    <w:p w14:paraId="229A81A5" w14:textId="77777777" w:rsidR="00095575" w:rsidRPr="00D2222C" w:rsidRDefault="008F4101" w:rsidP="009412E0">
      <w:pPr>
        <w:pStyle w:val="Heading3"/>
        <w:numPr>
          <w:ilvl w:val="0"/>
          <w:numId w:val="64"/>
        </w:numPr>
        <w:spacing w:before="0"/>
        <w:ind w:left="1440" w:hanging="720"/>
        <w:rPr>
          <w:rFonts w:cs="Arial"/>
          <w:color w:val="auto"/>
          <w:sz w:val="20"/>
          <w:szCs w:val="20"/>
        </w:rPr>
      </w:pPr>
      <w:bookmarkStart w:id="21" w:name="_Toc26550935"/>
      <w:r w:rsidRPr="00D2222C">
        <w:rPr>
          <w:color w:val="auto"/>
          <w:sz w:val="20"/>
          <w:szCs w:val="20"/>
        </w:rPr>
        <w:t>A</w:t>
      </w:r>
      <w:r w:rsidR="003E0852" w:rsidRPr="00D2222C">
        <w:rPr>
          <w:color w:val="auto"/>
          <w:sz w:val="20"/>
          <w:szCs w:val="20"/>
        </w:rPr>
        <w:t>ccess to effective remedies</w:t>
      </w:r>
      <w:bookmarkEnd w:id="21"/>
    </w:p>
    <w:p w14:paraId="1C6C623F" w14:textId="77777777" w:rsidR="00095575" w:rsidRPr="00D2222C" w:rsidRDefault="00095575" w:rsidP="009412E0">
      <w:pPr>
        <w:pStyle w:val="ListParagraph"/>
        <w:ind w:left="1440" w:hanging="720"/>
        <w:rPr>
          <w:rFonts w:asciiTheme="majorHAnsi" w:hAnsiTheme="majorHAnsi"/>
          <w:color w:val="auto"/>
          <w:sz w:val="20"/>
          <w:szCs w:val="20"/>
        </w:rPr>
      </w:pPr>
    </w:p>
    <w:p w14:paraId="0501D36C" w14:textId="77777777" w:rsidR="00095575" w:rsidRPr="00D2222C" w:rsidRDefault="0009557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Cambria" w:hAnsi="Cambria"/>
          <w:sz w:val="20"/>
        </w:rPr>
        <w:t>The right to appeal a sentence is a fundamental guarantee of due process for avoiding the consolidation of an injustice.  In that regard, the IACHR has stated that “due process guarantees should also be interpreted to include a right of effective review or appeal from a determination that the death penalty is an appropriate sentence in a given case.”</w:t>
      </w:r>
      <w:r w:rsidRPr="00D2222C">
        <w:rPr>
          <w:rStyle w:val="FootnoteReference"/>
          <w:rFonts w:ascii="Cambria" w:hAnsi="Cambria"/>
          <w:sz w:val="20"/>
        </w:rPr>
        <w:footnoteReference w:id="64"/>
      </w:r>
      <w:r w:rsidRPr="00D2222C">
        <w:rPr>
          <w:rFonts w:ascii="Cambria" w:hAnsi="Cambria"/>
          <w:sz w:val="20"/>
        </w:rPr>
        <w:t xml:space="preserve"> </w:t>
      </w:r>
    </w:p>
    <w:p w14:paraId="3218831E" w14:textId="77777777" w:rsidR="00095575" w:rsidRPr="00D2222C" w:rsidRDefault="00095575" w:rsidP="009E3847">
      <w:pPr>
        <w:pStyle w:val="ListParagraph"/>
        <w:tabs>
          <w:tab w:val="left" w:pos="720"/>
        </w:tabs>
        <w:rPr>
          <w:sz w:val="20"/>
        </w:rPr>
      </w:pPr>
    </w:p>
    <w:p w14:paraId="716AE82B" w14:textId="77777777" w:rsidR="00095575" w:rsidRPr="00D2222C" w:rsidRDefault="0009557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Cambria" w:hAnsi="Cambria"/>
          <w:sz w:val="20"/>
        </w:rPr>
        <w:t>According to the standards developed by the Inter-American human rights system, a remedy must be effective, i.e., it must provide results or responses consistent with the objectives that it was intended to serve, which is to avoid the consolidation of an unjust situation.</w:t>
      </w:r>
      <w:r w:rsidRPr="00D2222C">
        <w:rPr>
          <w:rStyle w:val="FootnoteReference"/>
          <w:rFonts w:ascii="Cambria" w:hAnsi="Cambria"/>
          <w:sz w:val="20"/>
        </w:rPr>
        <w:footnoteReference w:id="65"/>
      </w:r>
      <w:r w:rsidR="00C070BA" w:rsidRPr="00D2222C">
        <w:rPr>
          <w:rFonts w:ascii="Cambria" w:hAnsi="Cambria"/>
          <w:sz w:val="20"/>
        </w:rPr>
        <w:t xml:space="preserve"> </w:t>
      </w:r>
      <w:r w:rsidRPr="00D2222C">
        <w:rPr>
          <w:rFonts w:ascii="Cambria" w:hAnsi="Cambria"/>
          <w:sz w:val="20"/>
        </w:rPr>
        <w:t>The efficacy of a remedy is closely linked to the scope of the review. Judicial error is not confined to the application of the law, but may occur in other aspects of the process such as the determination of the facts or the weighing of evidence.</w:t>
      </w:r>
      <w:r w:rsidRPr="00D2222C">
        <w:rPr>
          <w:rStyle w:val="FootnoteReference"/>
          <w:rFonts w:ascii="Cambria" w:hAnsi="Cambria"/>
          <w:sz w:val="20"/>
        </w:rPr>
        <w:footnoteReference w:id="66"/>
      </w:r>
      <w:r w:rsidRPr="00D2222C">
        <w:rPr>
          <w:rFonts w:ascii="Cambria" w:hAnsi="Cambria"/>
          <w:sz w:val="20"/>
        </w:rPr>
        <w:t xml:space="preserve"> Hence, the remedy of appeal will be effective in accomplishing the purpose for which it was conceived if it makes a review of such issues possible without </w:t>
      </w:r>
      <w:r w:rsidRPr="00D2222C">
        <w:rPr>
          <w:rFonts w:ascii="Cambria" w:hAnsi="Cambria"/>
          <w:i/>
          <w:sz w:val="20"/>
        </w:rPr>
        <w:t>a priori</w:t>
      </w:r>
      <w:r w:rsidRPr="00D2222C">
        <w:rPr>
          <w:rFonts w:ascii="Cambria" w:hAnsi="Cambria"/>
          <w:sz w:val="20"/>
        </w:rPr>
        <w:t xml:space="preserve"> limiting that review to certain aspects of the court proceedings.</w:t>
      </w:r>
      <w:r w:rsidRPr="00D2222C">
        <w:rPr>
          <w:rStyle w:val="FootnoteReference"/>
          <w:rFonts w:ascii="Cambria" w:hAnsi="Cambria"/>
          <w:sz w:val="20"/>
        </w:rPr>
        <w:footnoteReference w:id="67"/>
      </w:r>
    </w:p>
    <w:p w14:paraId="2D59A465" w14:textId="77777777" w:rsidR="00095575" w:rsidRDefault="00095575" w:rsidP="00261687">
      <w:pPr>
        <w:tabs>
          <w:tab w:val="left" w:pos="720"/>
        </w:tabs>
        <w:rPr>
          <w:sz w:val="20"/>
        </w:rPr>
      </w:pPr>
    </w:p>
    <w:p w14:paraId="63048A62" w14:textId="77777777" w:rsidR="00261687" w:rsidRPr="00261687" w:rsidRDefault="00261687" w:rsidP="00261687">
      <w:pPr>
        <w:tabs>
          <w:tab w:val="left" w:pos="720"/>
        </w:tabs>
        <w:rPr>
          <w:sz w:val="20"/>
        </w:rPr>
      </w:pPr>
    </w:p>
    <w:p w14:paraId="403DCDAF" w14:textId="77777777" w:rsidR="00095575" w:rsidRPr="00D2222C" w:rsidRDefault="0009557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Cambria" w:hAnsi="Cambria"/>
          <w:sz w:val="20"/>
        </w:rPr>
        <w:t>In this respect, the IACHR has considered that:</w:t>
      </w:r>
    </w:p>
    <w:p w14:paraId="1E0884A0" w14:textId="77777777" w:rsidR="00095575" w:rsidRPr="00D2222C" w:rsidRDefault="00095575" w:rsidP="00095575">
      <w:pPr>
        <w:pStyle w:val="ListParagraph"/>
        <w:rPr>
          <w:sz w:val="20"/>
        </w:rPr>
      </w:pPr>
    </w:p>
    <w:p w14:paraId="47D49DA1" w14:textId="77777777" w:rsidR="00095575" w:rsidRPr="00D2222C" w:rsidRDefault="00095575" w:rsidP="000955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Theme="majorHAnsi" w:hAnsiTheme="majorHAnsi" w:cs="Arial"/>
          <w:sz w:val="20"/>
          <w:szCs w:val="20"/>
        </w:rPr>
      </w:pPr>
      <w:r w:rsidRPr="00D2222C">
        <w:rPr>
          <w:rFonts w:ascii="Cambria" w:hAnsi="Cambria"/>
          <w:sz w:val="20"/>
        </w:rPr>
        <w:t xml:space="preserve">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 </w:t>
      </w:r>
      <w:r w:rsidRPr="00D2222C">
        <w:rPr>
          <w:rStyle w:val="FootnoteReference"/>
          <w:rFonts w:ascii="Cambria" w:hAnsi="Cambria"/>
          <w:sz w:val="20"/>
        </w:rPr>
        <w:footnoteReference w:id="68"/>
      </w:r>
    </w:p>
    <w:p w14:paraId="42B00979" w14:textId="77777777" w:rsidR="00095575" w:rsidRPr="00D2222C" w:rsidRDefault="00095575" w:rsidP="00095575">
      <w:pPr>
        <w:pStyle w:val="ListParagraph"/>
        <w:rPr>
          <w:sz w:val="20"/>
        </w:rPr>
      </w:pPr>
    </w:p>
    <w:p w14:paraId="76683494" w14:textId="77777777" w:rsidR="009047EE" w:rsidRPr="00D2222C" w:rsidRDefault="00095575"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Fonts w:ascii="Cambria" w:hAnsi="Cambria"/>
          <w:sz w:val="20"/>
        </w:rPr>
        <w:t>With respect to the accessibility</w:t>
      </w:r>
      <w:r w:rsidRPr="00D2222C">
        <w:rPr>
          <w:rFonts w:ascii="Cambria" w:hAnsi="Cambria"/>
          <w:i/>
          <w:sz w:val="20"/>
        </w:rPr>
        <w:t xml:space="preserve"> </w:t>
      </w:r>
      <w:r w:rsidRPr="00D2222C">
        <w:rPr>
          <w:rFonts w:ascii="Cambria" w:hAnsi="Cambria"/>
          <w:sz w:val="20"/>
        </w:rPr>
        <w:t>of the remedy, the Commission has considered that, in principle, the regulation of some minimum requirements for the presentation of the appeal is not incompatible with the right to appeal.  Some of these requirements are, for example, the presentation of the appeal itself or the regulation of a reasonable period within which it must be filed.</w:t>
      </w:r>
      <w:r w:rsidRPr="00D2222C">
        <w:rPr>
          <w:rStyle w:val="FootnoteReference"/>
          <w:rFonts w:ascii="Cambria" w:hAnsi="Cambria"/>
          <w:sz w:val="20"/>
        </w:rPr>
        <w:footnoteReference w:id="69"/>
      </w:r>
      <w:r w:rsidRPr="00D2222C">
        <w:rPr>
          <w:rFonts w:ascii="Cambria" w:hAnsi="Cambria"/>
          <w:sz w:val="20"/>
        </w:rPr>
        <w:t xml:space="preserve">  However, in some circumstances, rejection of appeals based on failure to comply with formal requirements established by statute or defined in judicial practice may be a violation of the right to appeal a judgment.</w:t>
      </w:r>
      <w:r w:rsidRPr="00D2222C">
        <w:rPr>
          <w:rStyle w:val="FootnoteReference"/>
          <w:rFonts w:ascii="Cambria" w:hAnsi="Cambria"/>
          <w:sz w:val="20"/>
        </w:rPr>
        <w:footnoteReference w:id="70"/>
      </w:r>
    </w:p>
    <w:p w14:paraId="16B618DD" w14:textId="77777777" w:rsidR="009047EE" w:rsidRPr="00D2222C" w:rsidRDefault="009047EE"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Fonts w:asciiTheme="majorHAnsi" w:hAnsiTheme="majorHAnsi" w:cs="Arial"/>
          <w:sz w:val="20"/>
          <w:szCs w:val="20"/>
        </w:rPr>
      </w:pPr>
    </w:p>
    <w:p w14:paraId="62E49CF1" w14:textId="77777777" w:rsidR="00E62965" w:rsidRPr="00D2222C" w:rsidRDefault="00F36D40"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Style w:val="apple-style-span"/>
          <w:rFonts w:asciiTheme="majorHAnsi" w:hAnsiTheme="majorHAnsi" w:cs="Arial"/>
          <w:sz w:val="20"/>
          <w:szCs w:val="20"/>
        </w:rPr>
      </w:pPr>
      <w:r w:rsidRPr="00D2222C">
        <w:rPr>
          <w:rStyle w:val="apple-style-span"/>
          <w:rFonts w:asciiTheme="majorHAnsi" w:hAnsiTheme="majorHAnsi" w:cs="Arial"/>
          <w:sz w:val="20"/>
          <w:szCs w:val="20"/>
        </w:rPr>
        <w:t xml:space="preserve">As established in the findings of fact, in September 2002 Mr. Hall filed an amended version of </w:t>
      </w:r>
      <w:r w:rsidR="00702565" w:rsidRPr="00D2222C">
        <w:rPr>
          <w:rStyle w:val="apple-style-span"/>
          <w:rFonts w:asciiTheme="majorHAnsi" w:hAnsiTheme="majorHAnsi" w:cs="Arial"/>
          <w:sz w:val="20"/>
          <w:szCs w:val="20"/>
        </w:rPr>
        <w:t xml:space="preserve">his </w:t>
      </w:r>
      <w:r w:rsidRPr="00D2222C">
        <w:rPr>
          <w:rStyle w:val="apple-style-span"/>
          <w:rFonts w:asciiTheme="majorHAnsi" w:hAnsiTheme="majorHAnsi" w:cs="Arial"/>
          <w:sz w:val="20"/>
          <w:szCs w:val="20"/>
        </w:rPr>
        <w:t xml:space="preserve">motion to vacate, raising twelve claims for relief from his conviction and sentence. </w:t>
      </w:r>
      <w:r w:rsidR="006D0424" w:rsidRPr="00D2222C">
        <w:rPr>
          <w:rStyle w:val="apple-style-span"/>
          <w:rFonts w:asciiTheme="majorHAnsi" w:hAnsiTheme="majorHAnsi" w:cs="Arial"/>
          <w:sz w:val="20"/>
          <w:szCs w:val="20"/>
        </w:rPr>
        <w:t xml:space="preserve">The district court found that six claims </w:t>
      </w:r>
      <w:r w:rsidR="00E62965" w:rsidRPr="00D2222C">
        <w:rPr>
          <w:rStyle w:val="apple-style-span"/>
          <w:rFonts w:asciiTheme="majorHAnsi" w:hAnsiTheme="majorHAnsi" w:cs="Arial"/>
          <w:sz w:val="20"/>
          <w:szCs w:val="20"/>
        </w:rPr>
        <w:t xml:space="preserve">had </w:t>
      </w:r>
      <w:r w:rsidR="006D0424" w:rsidRPr="00D2222C">
        <w:rPr>
          <w:rStyle w:val="apple-style-span"/>
          <w:rFonts w:asciiTheme="majorHAnsi" w:hAnsiTheme="majorHAnsi" w:cs="Arial"/>
          <w:sz w:val="20"/>
          <w:szCs w:val="20"/>
        </w:rPr>
        <w:t xml:space="preserve">not </w:t>
      </w:r>
      <w:r w:rsidR="00E62965" w:rsidRPr="00D2222C">
        <w:rPr>
          <w:rStyle w:val="apple-style-span"/>
          <w:rFonts w:asciiTheme="majorHAnsi" w:hAnsiTheme="majorHAnsi" w:cs="Arial"/>
          <w:sz w:val="20"/>
          <w:szCs w:val="20"/>
        </w:rPr>
        <w:t>been</w:t>
      </w:r>
      <w:r w:rsidR="006D0424" w:rsidRPr="00D2222C">
        <w:rPr>
          <w:rStyle w:val="apple-style-span"/>
          <w:rFonts w:asciiTheme="majorHAnsi" w:hAnsiTheme="majorHAnsi" w:cs="Arial"/>
          <w:sz w:val="20"/>
          <w:szCs w:val="20"/>
        </w:rPr>
        <w:t xml:space="preserve"> raised on direct appeal and were not based on new facts. However, it decided to address them as Mr. Hall </w:t>
      </w:r>
      <w:r w:rsidR="00E62965" w:rsidRPr="00D2222C">
        <w:rPr>
          <w:rStyle w:val="apple-style-span"/>
          <w:rFonts w:asciiTheme="majorHAnsi" w:hAnsiTheme="majorHAnsi" w:cs="Arial"/>
          <w:sz w:val="20"/>
          <w:szCs w:val="20"/>
        </w:rPr>
        <w:t xml:space="preserve">had </w:t>
      </w:r>
      <w:r w:rsidR="006D0424" w:rsidRPr="00D2222C">
        <w:rPr>
          <w:rStyle w:val="apple-style-span"/>
          <w:rFonts w:asciiTheme="majorHAnsi" w:hAnsiTheme="majorHAnsi" w:cs="Arial"/>
          <w:sz w:val="20"/>
          <w:szCs w:val="20"/>
        </w:rPr>
        <w:t xml:space="preserve">alleged ineffective assistance of appellate counsel. The IACHR </w:t>
      </w:r>
      <w:r w:rsidR="00E62965" w:rsidRPr="00D2222C">
        <w:rPr>
          <w:rStyle w:val="apple-style-span"/>
          <w:rFonts w:asciiTheme="majorHAnsi" w:hAnsiTheme="majorHAnsi" w:cs="Arial"/>
          <w:sz w:val="20"/>
          <w:szCs w:val="20"/>
        </w:rPr>
        <w:t xml:space="preserve">recognizes that the court’s decision </w:t>
      </w:r>
      <w:r w:rsidR="002F5E45" w:rsidRPr="00D2222C">
        <w:rPr>
          <w:rStyle w:val="apple-style-span"/>
          <w:rFonts w:asciiTheme="majorHAnsi" w:hAnsiTheme="majorHAnsi" w:cs="Arial"/>
          <w:sz w:val="20"/>
          <w:szCs w:val="20"/>
        </w:rPr>
        <w:t xml:space="preserve">not to apply procedural restrictions in post-conviction </w:t>
      </w:r>
      <w:r w:rsidR="003D0D3E" w:rsidRPr="00D2222C">
        <w:rPr>
          <w:rStyle w:val="apple-style-span"/>
          <w:rFonts w:asciiTheme="majorHAnsi" w:hAnsiTheme="majorHAnsi" w:cs="Arial"/>
          <w:sz w:val="20"/>
          <w:szCs w:val="20"/>
        </w:rPr>
        <w:t>review</w:t>
      </w:r>
      <w:r w:rsidR="00E62965" w:rsidRPr="00D2222C">
        <w:rPr>
          <w:rStyle w:val="apple-style-span"/>
          <w:rFonts w:asciiTheme="majorHAnsi" w:hAnsiTheme="majorHAnsi" w:cs="Arial"/>
          <w:sz w:val="20"/>
          <w:szCs w:val="20"/>
        </w:rPr>
        <w:t xml:space="preserve"> is consistent with </w:t>
      </w:r>
      <w:r w:rsidR="002F5E45" w:rsidRPr="00D2222C">
        <w:rPr>
          <w:rStyle w:val="apple-style-span"/>
          <w:rFonts w:asciiTheme="majorHAnsi" w:hAnsiTheme="majorHAnsi" w:cs="Arial"/>
          <w:sz w:val="20"/>
          <w:szCs w:val="20"/>
        </w:rPr>
        <w:t xml:space="preserve">the inter-American human rights standards cited above. </w:t>
      </w:r>
    </w:p>
    <w:p w14:paraId="7765AE67" w14:textId="77777777" w:rsidR="00A978E7" w:rsidRPr="00D2222C" w:rsidRDefault="00A978E7"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Style w:val="apple-style-span"/>
          <w:rFonts w:asciiTheme="majorHAnsi" w:hAnsiTheme="majorHAnsi" w:cs="Arial"/>
          <w:sz w:val="20"/>
          <w:szCs w:val="20"/>
        </w:rPr>
      </w:pPr>
    </w:p>
    <w:p w14:paraId="12E091FE" w14:textId="77777777" w:rsidR="009D2342" w:rsidRPr="00D2222C" w:rsidRDefault="00A978E7"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Style w:val="apple-style-span"/>
          <w:rFonts w:asciiTheme="majorHAnsi" w:hAnsiTheme="majorHAnsi" w:cs="Arial"/>
          <w:sz w:val="20"/>
          <w:szCs w:val="20"/>
        </w:rPr>
      </w:pPr>
      <w:r w:rsidRPr="00D2222C">
        <w:rPr>
          <w:rStyle w:val="apple-style-span"/>
          <w:rFonts w:asciiTheme="majorHAnsi" w:hAnsiTheme="majorHAnsi" w:cs="Arial"/>
          <w:sz w:val="20"/>
          <w:szCs w:val="20"/>
        </w:rPr>
        <w:t>The Commission notes</w:t>
      </w:r>
      <w:r w:rsidR="008F4101" w:rsidRPr="00D2222C">
        <w:rPr>
          <w:rStyle w:val="apple-style-span"/>
          <w:rFonts w:asciiTheme="majorHAnsi" w:hAnsiTheme="majorHAnsi" w:cs="Arial"/>
          <w:sz w:val="20"/>
          <w:szCs w:val="20"/>
        </w:rPr>
        <w:t>, however,</w:t>
      </w:r>
      <w:r w:rsidRPr="00D2222C">
        <w:rPr>
          <w:rStyle w:val="apple-style-span"/>
          <w:rFonts w:asciiTheme="majorHAnsi" w:hAnsiTheme="majorHAnsi" w:cs="Arial"/>
          <w:sz w:val="20"/>
          <w:szCs w:val="20"/>
        </w:rPr>
        <w:t xml:space="preserve"> that </w:t>
      </w:r>
      <w:r w:rsidR="003D0D3E" w:rsidRPr="00D2222C">
        <w:rPr>
          <w:rStyle w:val="apple-style-span"/>
          <w:rFonts w:asciiTheme="majorHAnsi" w:hAnsiTheme="majorHAnsi" w:cs="Arial"/>
          <w:sz w:val="20"/>
          <w:szCs w:val="20"/>
        </w:rPr>
        <w:t xml:space="preserve">the court conducted an evidentiary hearing limited to only one of the twelve claims. </w:t>
      </w:r>
      <w:r w:rsidR="00EB24D7" w:rsidRPr="00D2222C">
        <w:rPr>
          <w:rStyle w:val="apple-style-span"/>
          <w:rFonts w:asciiTheme="majorHAnsi" w:hAnsiTheme="majorHAnsi" w:cs="Arial"/>
          <w:sz w:val="20"/>
          <w:szCs w:val="20"/>
        </w:rPr>
        <w:t>The Fifth Circuit Court of Appeals in the decision denying the application for a COA established, with regard to the denial of an evidentiary hearing to address the ineffective assistance of counsel claim, that Mr. Hall’s “expert declarations failed to create a contested fact issue about the objective reasonableness of his trial counsel’s mitigation investigation.”</w:t>
      </w:r>
    </w:p>
    <w:p w14:paraId="4C4D7864" w14:textId="77777777" w:rsidR="009D2342" w:rsidRPr="00D2222C" w:rsidRDefault="009D2342" w:rsidP="009E3847">
      <w:pPr>
        <w:pStyle w:val="ListParagraph"/>
        <w:tabs>
          <w:tab w:val="left" w:pos="720"/>
        </w:tabs>
        <w:rPr>
          <w:rStyle w:val="apple-style-span"/>
          <w:rFonts w:asciiTheme="majorHAnsi" w:hAnsiTheme="majorHAnsi" w:cs="Arial"/>
          <w:sz w:val="20"/>
          <w:szCs w:val="20"/>
        </w:rPr>
      </w:pPr>
    </w:p>
    <w:p w14:paraId="53107A3B" w14:textId="77777777" w:rsidR="008F4101" w:rsidRPr="00D2222C" w:rsidRDefault="00495CD7"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Theme="majorHAnsi" w:hAnsiTheme="majorHAnsi" w:cs="Arial"/>
          <w:sz w:val="20"/>
          <w:szCs w:val="20"/>
        </w:rPr>
      </w:pPr>
      <w:r w:rsidRPr="00D2222C">
        <w:rPr>
          <w:rStyle w:val="apple-style-span"/>
          <w:rFonts w:asciiTheme="majorHAnsi" w:hAnsiTheme="majorHAnsi" w:cs="Arial"/>
          <w:sz w:val="20"/>
          <w:szCs w:val="20"/>
        </w:rPr>
        <w:t xml:space="preserve">The Commission </w:t>
      </w:r>
      <w:r w:rsidR="009A03E7" w:rsidRPr="00D2222C">
        <w:rPr>
          <w:rStyle w:val="apple-style-span"/>
          <w:rFonts w:asciiTheme="majorHAnsi" w:hAnsiTheme="majorHAnsi" w:cs="Arial"/>
          <w:sz w:val="20"/>
          <w:szCs w:val="20"/>
        </w:rPr>
        <w:t>has</w:t>
      </w:r>
      <w:r w:rsidR="008F4101" w:rsidRPr="00D2222C">
        <w:rPr>
          <w:rStyle w:val="apple-style-span"/>
          <w:rFonts w:asciiTheme="majorHAnsi" w:hAnsiTheme="majorHAnsi" w:cs="Arial"/>
          <w:sz w:val="20"/>
          <w:szCs w:val="20"/>
        </w:rPr>
        <w:t xml:space="preserve"> already</w:t>
      </w:r>
      <w:r w:rsidRPr="00D2222C">
        <w:rPr>
          <w:rStyle w:val="apple-style-span"/>
          <w:rFonts w:asciiTheme="majorHAnsi" w:hAnsiTheme="majorHAnsi" w:cs="Arial"/>
          <w:sz w:val="20"/>
          <w:szCs w:val="20"/>
        </w:rPr>
        <w:t xml:space="preserve"> determined that the right of Mr. Hall to effective assistance of court-appointed counsel has been violated. </w:t>
      </w:r>
      <w:r w:rsidR="00010A7E" w:rsidRPr="00D2222C">
        <w:rPr>
          <w:rStyle w:val="apple-style-span"/>
          <w:rFonts w:asciiTheme="majorHAnsi" w:hAnsiTheme="majorHAnsi" w:cs="Arial"/>
          <w:sz w:val="20"/>
          <w:szCs w:val="20"/>
        </w:rPr>
        <w:t>Therefore, the IACHR finds that</w:t>
      </w:r>
      <w:r w:rsidR="008C606A" w:rsidRPr="00D2222C">
        <w:rPr>
          <w:rStyle w:val="apple-style-span"/>
          <w:rFonts w:asciiTheme="majorHAnsi" w:hAnsiTheme="majorHAnsi" w:cs="Arial"/>
          <w:sz w:val="20"/>
          <w:szCs w:val="20"/>
        </w:rPr>
        <w:t xml:space="preserve">, given the </w:t>
      </w:r>
      <w:r w:rsidR="009A03E7" w:rsidRPr="00D2222C">
        <w:rPr>
          <w:rStyle w:val="apple-style-span"/>
          <w:rFonts w:asciiTheme="majorHAnsi" w:hAnsiTheme="majorHAnsi" w:cs="Arial"/>
          <w:sz w:val="20"/>
          <w:szCs w:val="20"/>
        </w:rPr>
        <w:t>specific interests</w:t>
      </w:r>
      <w:r w:rsidR="008C606A" w:rsidRPr="00D2222C">
        <w:rPr>
          <w:rStyle w:val="apple-style-span"/>
          <w:rFonts w:asciiTheme="majorHAnsi" w:hAnsiTheme="majorHAnsi" w:cs="Arial"/>
          <w:sz w:val="20"/>
          <w:szCs w:val="20"/>
        </w:rPr>
        <w:t xml:space="preserve"> at stake,</w:t>
      </w:r>
      <w:r w:rsidR="00010A7E" w:rsidRPr="00D2222C">
        <w:rPr>
          <w:rStyle w:val="apple-style-span"/>
          <w:rFonts w:asciiTheme="majorHAnsi" w:hAnsiTheme="majorHAnsi" w:cs="Arial"/>
          <w:sz w:val="20"/>
          <w:szCs w:val="20"/>
        </w:rPr>
        <w:t xml:space="preserve"> the </w:t>
      </w:r>
      <w:r w:rsidR="008C606A" w:rsidRPr="00D2222C">
        <w:rPr>
          <w:rStyle w:val="apple-style-span"/>
          <w:rFonts w:asciiTheme="majorHAnsi" w:hAnsiTheme="majorHAnsi" w:cs="Arial"/>
          <w:sz w:val="20"/>
          <w:szCs w:val="20"/>
        </w:rPr>
        <w:t xml:space="preserve">lack of access to an evidentiary </w:t>
      </w:r>
      <w:r w:rsidR="009A03E7" w:rsidRPr="00D2222C">
        <w:rPr>
          <w:rStyle w:val="apple-style-span"/>
          <w:rFonts w:asciiTheme="majorHAnsi" w:hAnsiTheme="majorHAnsi" w:cs="Arial"/>
          <w:sz w:val="20"/>
          <w:szCs w:val="20"/>
        </w:rPr>
        <w:t>hearing to</w:t>
      </w:r>
      <w:r w:rsidR="008C606A" w:rsidRPr="00D2222C">
        <w:rPr>
          <w:rStyle w:val="apple-style-span"/>
          <w:rFonts w:asciiTheme="majorHAnsi" w:hAnsiTheme="majorHAnsi" w:cs="Arial"/>
          <w:sz w:val="20"/>
          <w:szCs w:val="20"/>
        </w:rPr>
        <w:t xml:space="preserve"> address this claim </w:t>
      </w:r>
      <w:r w:rsidR="009A03E7" w:rsidRPr="00D2222C">
        <w:rPr>
          <w:rStyle w:val="apple-style-span"/>
          <w:rFonts w:asciiTheme="majorHAnsi" w:hAnsiTheme="majorHAnsi" w:cs="Arial"/>
          <w:sz w:val="20"/>
          <w:szCs w:val="20"/>
        </w:rPr>
        <w:t>in post-conviction review constitutes a violation of Mr. Hall’s right to an</w:t>
      </w:r>
      <w:r w:rsidR="00010A7E" w:rsidRPr="00D2222C">
        <w:rPr>
          <w:rStyle w:val="apple-style-span"/>
          <w:rFonts w:asciiTheme="majorHAnsi" w:hAnsiTheme="majorHAnsi" w:cs="Arial"/>
          <w:sz w:val="20"/>
          <w:szCs w:val="20"/>
        </w:rPr>
        <w:t xml:space="preserve"> effective </w:t>
      </w:r>
      <w:r w:rsidR="009A03E7" w:rsidRPr="00D2222C">
        <w:rPr>
          <w:rStyle w:val="apple-style-span"/>
          <w:rFonts w:asciiTheme="majorHAnsi" w:hAnsiTheme="majorHAnsi" w:cs="Arial"/>
          <w:sz w:val="20"/>
          <w:szCs w:val="20"/>
        </w:rPr>
        <w:t>remedy.</w:t>
      </w:r>
      <w:r w:rsidR="00010A7E" w:rsidRPr="00D2222C">
        <w:rPr>
          <w:rStyle w:val="apple-style-span"/>
          <w:rFonts w:asciiTheme="majorHAnsi" w:hAnsiTheme="majorHAnsi" w:cs="Arial"/>
          <w:sz w:val="20"/>
          <w:szCs w:val="20"/>
        </w:rPr>
        <w:t xml:space="preserve"> </w:t>
      </w:r>
      <w:r w:rsidR="008F4101" w:rsidRPr="00D2222C">
        <w:rPr>
          <w:rStyle w:val="apple-style-span"/>
          <w:rFonts w:asciiTheme="majorHAnsi" w:hAnsiTheme="majorHAnsi" w:cs="Arial"/>
          <w:sz w:val="20"/>
          <w:szCs w:val="20"/>
        </w:rPr>
        <w:t xml:space="preserve">The Commission underscores in this regard that </w:t>
      </w:r>
      <w:r w:rsidR="008F4101" w:rsidRPr="00D2222C">
        <w:rPr>
          <w:rFonts w:ascii="Cambria" w:hAnsi="Cambria"/>
          <w:sz w:val="20"/>
        </w:rPr>
        <w:t>States have an enhanced obligation to ensure that any deprivation of life which may occur through the application of the death penalty is in strict compliance with the right to a timely, effective and accessible remedy.</w:t>
      </w:r>
      <w:r w:rsidR="008F4101" w:rsidRPr="00D2222C">
        <w:rPr>
          <w:rStyle w:val="FootnoteReference"/>
          <w:rFonts w:ascii="Cambria" w:hAnsi="Cambria"/>
          <w:sz w:val="20"/>
        </w:rPr>
        <w:footnoteReference w:id="71"/>
      </w:r>
    </w:p>
    <w:p w14:paraId="3A2E0479" w14:textId="77777777" w:rsidR="008B2DA9" w:rsidRPr="00D2222C" w:rsidRDefault="008B2DA9" w:rsidP="009412E0">
      <w:pPr>
        <w:ind w:left="1440" w:hanging="720"/>
        <w:rPr>
          <w:rStyle w:val="apple-style-span"/>
          <w:rFonts w:asciiTheme="majorHAnsi" w:hAnsiTheme="majorHAnsi" w:cs="Arial"/>
          <w:sz w:val="20"/>
          <w:szCs w:val="20"/>
        </w:rPr>
      </w:pPr>
    </w:p>
    <w:p w14:paraId="126E6409" w14:textId="77777777" w:rsidR="00E0740A" w:rsidRPr="00D2222C" w:rsidRDefault="008F4101" w:rsidP="009412E0">
      <w:pPr>
        <w:pStyle w:val="Heading3"/>
        <w:numPr>
          <w:ilvl w:val="0"/>
          <w:numId w:val="64"/>
        </w:numPr>
        <w:spacing w:before="0"/>
        <w:ind w:left="1440" w:hanging="720"/>
        <w:rPr>
          <w:color w:val="auto"/>
          <w:sz w:val="20"/>
          <w:szCs w:val="20"/>
        </w:rPr>
      </w:pPr>
      <w:bookmarkStart w:id="22" w:name="_Toc26550936"/>
      <w:r w:rsidRPr="00D2222C">
        <w:rPr>
          <w:color w:val="auto"/>
          <w:sz w:val="20"/>
          <w:szCs w:val="20"/>
        </w:rPr>
        <w:t>T</w:t>
      </w:r>
      <w:r w:rsidR="00E0740A" w:rsidRPr="00D2222C">
        <w:rPr>
          <w:color w:val="auto"/>
          <w:sz w:val="20"/>
          <w:szCs w:val="20"/>
        </w:rPr>
        <w:t xml:space="preserve">he </w:t>
      </w:r>
      <w:r w:rsidR="0094199B" w:rsidRPr="00D2222C">
        <w:rPr>
          <w:color w:val="auto"/>
          <w:sz w:val="20"/>
          <w:szCs w:val="20"/>
        </w:rPr>
        <w:t xml:space="preserve">executive </w:t>
      </w:r>
      <w:r w:rsidR="00E0740A" w:rsidRPr="00D2222C">
        <w:rPr>
          <w:color w:val="auto"/>
          <w:sz w:val="20"/>
          <w:szCs w:val="20"/>
        </w:rPr>
        <w:t>clemency process</w:t>
      </w:r>
      <w:bookmarkEnd w:id="22"/>
    </w:p>
    <w:p w14:paraId="30006B16" w14:textId="77777777" w:rsidR="00E0740A" w:rsidRPr="00D2222C" w:rsidRDefault="00E0740A" w:rsidP="009412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rPr>
          <w:rFonts w:asciiTheme="majorHAnsi" w:hAnsiTheme="majorHAnsi"/>
          <w:b/>
          <w:bCs/>
          <w:color w:val="auto"/>
          <w:sz w:val="20"/>
          <w:szCs w:val="20"/>
        </w:rPr>
      </w:pPr>
    </w:p>
    <w:p w14:paraId="1B18FF37" w14:textId="77777777" w:rsidR="005D6A03" w:rsidRPr="00D2222C" w:rsidRDefault="00297288" w:rsidP="009E3847">
      <w:pPr>
        <w:pStyle w:val="NormalWeb"/>
        <w:numPr>
          <w:ilvl w:val="0"/>
          <w:numId w:val="55"/>
        </w:numPr>
        <w:shd w:val="clear" w:color="auto" w:fill="FFFFFF"/>
        <w:tabs>
          <w:tab w:val="left" w:pos="720"/>
        </w:tabs>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Article II, Section 2 of the United States Constitution grants the President of the United States the exercise of executive clemency in federal criminal offenses. In order to decide whether to grant a request for executive clemency, the President relies on the recommendation of the Department of Justice</w:t>
      </w:r>
      <w:r w:rsidR="00C84B0E" w:rsidRPr="00D2222C">
        <w:rPr>
          <w:rFonts w:ascii="Cambria" w:eastAsia="Arial Unicode MS" w:hAnsi="Cambria"/>
          <w:sz w:val="20"/>
          <w:szCs w:val="20"/>
          <w:bdr w:val="nil"/>
        </w:rPr>
        <w:t xml:space="preserve"> through the Deputy Attorney General</w:t>
      </w:r>
      <w:r w:rsidRPr="00D2222C">
        <w:rPr>
          <w:rFonts w:ascii="Cambria" w:eastAsia="Arial Unicode MS" w:hAnsi="Cambria"/>
          <w:sz w:val="20"/>
          <w:szCs w:val="20"/>
          <w:bdr w:val="nil"/>
        </w:rPr>
        <w:t>, particularly the Office of the Pardon Attorney. As indicated in the established facts, any person under a sentence of death may request to make an oral presentation to the Office of the Pardon Attorney in support of the clemency petition.</w:t>
      </w:r>
    </w:p>
    <w:p w14:paraId="29039AC0" w14:textId="77777777" w:rsidR="005D6A03" w:rsidRPr="00D2222C" w:rsidRDefault="005D6A03" w:rsidP="009E3847">
      <w:pPr>
        <w:pStyle w:val="NormalWeb"/>
        <w:shd w:val="clear" w:color="auto" w:fill="FFFFFF"/>
        <w:tabs>
          <w:tab w:val="left" w:pos="720"/>
        </w:tabs>
        <w:spacing w:before="0" w:beforeAutospacing="0" w:after="0" w:afterAutospacing="0"/>
        <w:ind w:left="720"/>
        <w:jc w:val="both"/>
        <w:rPr>
          <w:rFonts w:ascii="Cambria" w:eastAsia="Arial Unicode MS" w:hAnsi="Cambria"/>
          <w:sz w:val="20"/>
          <w:szCs w:val="20"/>
          <w:bdr w:val="nil"/>
        </w:rPr>
      </w:pPr>
    </w:p>
    <w:p w14:paraId="0A549351" w14:textId="77777777" w:rsidR="005D6A03" w:rsidRPr="00D2222C" w:rsidRDefault="005D6A03" w:rsidP="009E3847">
      <w:pPr>
        <w:pStyle w:val="NormalWeb"/>
        <w:numPr>
          <w:ilvl w:val="0"/>
          <w:numId w:val="55"/>
        </w:numPr>
        <w:shd w:val="clear" w:color="auto" w:fill="FFFFFF"/>
        <w:tabs>
          <w:tab w:val="left" w:pos="720"/>
        </w:tabs>
        <w:spacing w:before="0" w:beforeAutospacing="0" w:after="0" w:afterAutospacing="0"/>
        <w:ind w:left="0" w:firstLine="0"/>
        <w:jc w:val="both"/>
        <w:rPr>
          <w:rFonts w:ascii="Cambria" w:eastAsia="Arial Unicode MS" w:hAnsi="Cambria"/>
          <w:sz w:val="20"/>
          <w:szCs w:val="20"/>
          <w:bdr w:val="nil"/>
        </w:rPr>
      </w:pPr>
      <w:r w:rsidRPr="00D2222C">
        <w:rPr>
          <w:rFonts w:asciiTheme="majorHAnsi" w:hAnsiTheme="majorHAnsi"/>
          <w:sz w:val="20"/>
          <w:szCs w:val="20"/>
        </w:rPr>
        <w:t>According to the inter-American human rights standards, the right to apply for pardon or commutation of sentence is subject to certain minimal fairness guarantees in order for the right to be effectively respected and enjoyed.  These procedural protections have been held to include “the right on the part of condemned prisoners to submit a request for amnesty, pardon or commutation of sentence, to be informed of when the competent authority will consider the offender's case, to make representations, in person or by counsel to the competent authority, and to receive a decision from that authority within a reasonable period of time prior to his or her execution.</w:t>
      </w:r>
      <w:bookmarkStart w:id="23" w:name="_ftnref81"/>
      <w:r w:rsidRPr="00D2222C">
        <w:rPr>
          <w:rFonts w:asciiTheme="majorHAnsi" w:hAnsiTheme="majorHAnsi"/>
          <w:sz w:val="20"/>
          <w:szCs w:val="20"/>
        </w:rPr>
        <w:t>”</w:t>
      </w:r>
      <w:r w:rsidRPr="00D2222C">
        <w:rPr>
          <w:rStyle w:val="FootnoteReference"/>
          <w:rFonts w:asciiTheme="majorHAnsi" w:hAnsiTheme="majorHAnsi"/>
          <w:sz w:val="20"/>
          <w:szCs w:val="20"/>
        </w:rPr>
        <w:footnoteReference w:id="72"/>
      </w:r>
      <w:r w:rsidRPr="00D2222C">
        <w:rPr>
          <w:rFonts w:asciiTheme="majorHAnsi" w:hAnsiTheme="majorHAnsi"/>
          <w:sz w:val="20"/>
          <w:szCs w:val="20"/>
        </w:rPr>
        <w:t xml:space="preserve"> In particular, the IACHR has previously held that “[i]</w:t>
      </w:r>
      <w:bookmarkEnd w:id="23"/>
      <w:r w:rsidRPr="00D2222C">
        <w:rPr>
          <w:rFonts w:asciiTheme="majorHAnsi" w:hAnsiTheme="majorHAnsi"/>
          <w:sz w:val="20"/>
          <w:szCs w:val="20"/>
        </w:rPr>
        <w:t xml:space="preserve">n the case of Clemency proceedings </w:t>
      </w:r>
      <w:r w:rsidRPr="00D2222C">
        <w:rPr>
          <w:rFonts w:asciiTheme="majorHAnsi" w:hAnsiTheme="majorHAnsi"/>
          <w:sz w:val="20"/>
          <w:szCs w:val="20"/>
        </w:rPr>
        <w:lastRenderedPageBreak/>
        <w:t>pending the execution of a death sentence, the minimal fairness guarantees afforded to the applicant should include the opportunity to receive an impartial hearing.”</w:t>
      </w:r>
      <w:r w:rsidR="00B574EE" w:rsidRPr="00D2222C">
        <w:rPr>
          <w:rStyle w:val="FootnoteReference"/>
          <w:rFonts w:asciiTheme="majorHAnsi" w:hAnsiTheme="majorHAnsi"/>
          <w:sz w:val="20"/>
          <w:szCs w:val="20"/>
        </w:rPr>
        <w:footnoteReference w:id="73"/>
      </w:r>
    </w:p>
    <w:p w14:paraId="69A43C8D" w14:textId="77777777" w:rsidR="00EE5E58" w:rsidRPr="00D2222C" w:rsidRDefault="00EE5E58" w:rsidP="009E3847">
      <w:pPr>
        <w:pStyle w:val="ListParagraph"/>
        <w:tabs>
          <w:tab w:val="left" w:pos="720"/>
        </w:tabs>
        <w:rPr>
          <w:rFonts w:eastAsia="Arial Unicode MS"/>
          <w:sz w:val="20"/>
          <w:szCs w:val="20"/>
        </w:rPr>
      </w:pPr>
    </w:p>
    <w:p w14:paraId="5CB3DAEB" w14:textId="77777777" w:rsidR="00EE5E58" w:rsidRPr="00D2222C" w:rsidRDefault="00EE5E58" w:rsidP="009E3847">
      <w:pPr>
        <w:pStyle w:val="NormalWeb"/>
        <w:numPr>
          <w:ilvl w:val="0"/>
          <w:numId w:val="55"/>
        </w:numPr>
        <w:shd w:val="clear" w:color="auto" w:fill="FFFFFF"/>
        <w:tabs>
          <w:tab w:val="left" w:pos="720"/>
        </w:tabs>
        <w:spacing w:before="0" w:beforeAutospacing="0" w:after="0" w:afterAutospacing="0"/>
        <w:ind w:left="0" w:firstLine="0"/>
        <w:jc w:val="both"/>
        <w:rPr>
          <w:rFonts w:ascii="Cambria" w:eastAsia="Arial Unicode MS" w:hAnsi="Cambria"/>
          <w:sz w:val="20"/>
          <w:szCs w:val="20"/>
          <w:bdr w:val="nil"/>
        </w:rPr>
      </w:pPr>
      <w:r w:rsidRPr="00D2222C">
        <w:rPr>
          <w:rFonts w:ascii="Cambria" w:eastAsia="Arial Unicode MS" w:hAnsi="Cambria"/>
          <w:sz w:val="20"/>
          <w:szCs w:val="20"/>
          <w:bdr w:val="nil"/>
        </w:rPr>
        <w:t xml:space="preserve">The IACHR has previously established, regarding the clemency process in Virginia, that the fact that the person vested with the power to commute the </w:t>
      </w:r>
      <w:r w:rsidR="00AC7F4D" w:rsidRPr="00D2222C">
        <w:rPr>
          <w:rFonts w:ascii="Cambria" w:eastAsia="Arial Unicode MS" w:hAnsi="Cambria"/>
          <w:sz w:val="20"/>
          <w:szCs w:val="20"/>
          <w:bdr w:val="nil"/>
        </w:rPr>
        <w:t>death</w:t>
      </w:r>
      <w:r w:rsidRPr="00D2222C">
        <w:rPr>
          <w:rFonts w:ascii="Cambria" w:eastAsia="Arial Unicode MS" w:hAnsi="Cambria"/>
          <w:sz w:val="20"/>
          <w:szCs w:val="20"/>
          <w:bdr w:val="nil"/>
        </w:rPr>
        <w:t xml:space="preserve"> sentence </w:t>
      </w:r>
      <w:r w:rsidR="00AC7F4D" w:rsidRPr="00D2222C">
        <w:rPr>
          <w:rFonts w:ascii="Cambria" w:eastAsia="Arial Unicode MS" w:hAnsi="Cambria"/>
          <w:sz w:val="20"/>
          <w:szCs w:val="20"/>
          <w:bdr w:val="nil"/>
        </w:rPr>
        <w:t>“</w:t>
      </w:r>
      <w:r w:rsidRPr="00D2222C">
        <w:rPr>
          <w:rFonts w:ascii="Cambria" w:eastAsia="Arial Unicode MS" w:hAnsi="Cambria"/>
          <w:sz w:val="20"/>
          <w:szCs w:val="20"/>
          <w:bdr w:val="nil"/>
        </w:rPr>
        <w:t>is the same person who was in charge of [the] prosecution, does not satisfy the minimal fairness guarantees such as the right to be heard by an impartial authority.”</w:t>
      </w:r>
      <w:r w:rsidRPr="00D2222C">
        <w:rPr>
          <w:rStyle w:val="FootnoteReference"/>
          <w:rFonts w:ascii="Cambria" w:eastAsia="Arial Unicode MS" w:hAnsi="Cambria"/>
          <w:sz w:val="20"/>
          <w:szCs w:val="20"/>
          <w:bdr w:val="nil"/>
        </w:rPr>
        <w:footnoteReference w:id="74"/>
      </w:r>
      <w:r w:rsidR="00EF5AA9" w:rsidRPr="00D2222C">
        <w:rPr>
          <w:rFonts w:ascii="Cambria" w:eastAsia="Arial Unicode MS" w:hAnsi="Cambria"/>
          <w:sz w:val="20"/>
          <w:szCs w:val="20"/>
          <w:bdr w:val="nil"/>
        </w:rPr>
        <w:t xml:space="preserve"> In the instant case the Commission notes that </w:t>
      </w:r>
      <w:r w:rsidR="00C84B0E" w:rsidRPr="00D2222C">
        <w:rPr>
          <w:rFonts w:ascii="Cambria" w:eastAsia="Arial Unicode MS" w:hAnsi="Cambria"/>
          <w:sz w:val="20"/>
          <w:szCs w:val="20"/>
          <w:bdr w:val="nil"/>
        </w:rPr>
        <w:t>the pardon attorney and the federal criminal prosecutors who are pursuing Mr. Hall’s execution serve under the same supervisor, the Deputy Attorney General. This does not guarantee that the United States President will have the benefit of independent</w:t>
      </w:r>
      <w:r w:rsidR="009A0816" w:rsidRPr="00D2222C">
        <w:rPr>
          <w:rFonts w:ascii="Cambria" w:eastAsia="Arial Unicode MS" w:hAnsi="Cambria"/>
          <w:sz w:val="20"/>
          <w:szCs w:val="20"/>
          <w:bdr w:val="nil"/>
        </w:rPr>
        <w:t xml:space="preserve"> and impartial</w:t>
      </w:r>
      <w:r w:rsidR="00C84B0E" w:rsidRPr="00D2222C">
        <w:rPr>
          <w:rFonts w:ascii="Cambria" w:eastAsia="Arial Unicode MS" w:hAnsi="Cambria"/>
          <w:sz w:val="20"/>
          <w:szCs w:val="20"/>
          <w:bdr w:val="nil"/>
        </w:rPr>
        <w:t xml:space="preserve"> recommendations and advice. Therefore, the Inter-American Commission concludes that the structure of the executive clemency process fail</w:t>
      </w:r>
      <w:r w:rsidR="00973675" w:rsidRPr="00D2222C">
        <w:rPr>
          <w:rFonts w:ascii="Cambria" w:eastAsia="Arial Unicode MS" w:hAnsi="Cambria"/>
          <w:sz w:val="20"/>
          <w:szCs w:val="20"/>
          <w:bdr w:val="nil"/>
        </w:rPr>
        <w:t>s</w:t>
      </w:r>
      <w:r w:rsidR="00C84B0E" w:rsidRPr="00D2222C">
        <w:rPr>
          <w:rFonts w:ascii="Cambria" w:eastAsia="Arial Unicode MS" w:hAnsi="Cambria"/>
          <w:sz w:val="20"/>
          <w:szCs w:val="20"/>
          <w:bdr w:val="nil"/>
        </w:rPr>
        <w:t xml:space="preserve"> to guarantee the right to minimal fairness guarantees pursuant to Article XXVI of the American Declaration.</w:t>
      </w:r>
    </w:p>
    <w:p w14:paraId="7AE24036" w14:textId="77777777" w:rsidR="000679BC" w:rsidRPr="00D2222C" w:rsidRDefault="000679BC" w:rsidP="009412E0">
      <w:pPr>
        <w:pStyle w:val="NormalWeb"/>
        <w:shd w:val="clear" w:color="auto" w:fill="FFFFFF"/>
        <w:spacing w:before="0" w:beforeAutospacing="0" w:after="0" w:afterAutospacing="0"/>
        <w:ind w:left="720"/>
        <w:jc w:val="both"/>
        <w:rPr>
          <w:rFonts w:asciiTheme="majorHAnsi" w:eastAsia="Arial Unicode MS" w:hAnsiTheme="majorHAnsi"/>
          <w:sz w:val="20"/>
          <w:szCs w:val="20"/>
          <w:bdr w:val="nil"/>
        </w:rPr>
      </w:pPr>
    </w:p>
    <w:p w14:paraId="54C64576" w14:textId="77777777" w:rsidR="001B5F45" w:rsidRPr="00D2222C" w:rsidRDefault="005066A4" w:rsidP="009412E0">
      <w:pPr>
        <w:pStyle w:val="Heading2"/>
        <w:numPr>
          <w:ilvl w:val="0"/>
          <w:numId w:val="56"/>
        </w:numPr>
        <w:spacing w:before="0"/>
        <w:ind w:left="1440" w:hanging="720"/>
        <w:rPr>
          <w:rStyle w:val="apple-style-span"/>
          <w:rFonts w:cs="Arial"/>
          <w:b w:val="0"/>
          <w:color w:val="auto"/>
          <w:sz w:val="20"/>
          <w:szCs w:val="20"/>
        </w:rPr>
      </w:pPr>
      <w:bookmarkStart w:id="24" w:name="_Toc26550937"/>
      <w:r w:rsidRPr="00D2222C">
        <w:rPr>
          <w:rStyle w:val="apple-style-span"/>
          <w:rFonts w:cs="Arial"/>
          <w:color w:val="auto"/>
          <w:sz w:val="20"/>
          <w:szCs w:val="20"/>
        </w:rPr>
        <w:t xml:space="preserve">Right </w:t>
      </w:r>
      <w:r w:rsidR="00FF379A" w:rsidRPr="00D2222C">
        <w:rPr>
          <w:rStyle w:val="apple-style-span"/>
          <w:rFonts w:cs="Arial"/>
          <w:color w:val="auto"/>
          <w:sz w:val="20"/>
          <w:szCs w:val="20"/>
        </w:rPr>
        <w:t>of protection against cruel, infamous or unusual punishment</w:t>
      </w:r>
      <w:r w:rsidRPr="00D2222C">
        <w:rPr>
          <w:rStyle w:val="FootnoteReference"/>
          <w:color w:val="auto"/>
          <w:sz w:val="20"/>
          <w:szCs w:val="20"/>
        </w:rPr>
        <w:footnoteReference w:id="75"/>
      </w:r>
      <w:bookmarkEnd w:id="24"/>
      <w:r w:rsidRPr="00D2222C">
        <w:rPr>
          <w:rStyle w:val="apple-style-span"/>
          <w:rFonts w:cs="Arial"/>
          <w:color w:val="auto"/>
          <w:sz w:val="20"/>
          <w:szCs w:val="20"/>
        </w:rPr>
        <w:t xml:space="preserve"> </w:t>
      </w:r>
    </w:p>
    <w:p w14:paraId="5563A4CB" w14:textId="77777777" w:rsidR="00A542D1" w:rsidRPr="00D2222C" w:rsidRDefault="00A542D1" w:rsidP="009412E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hAnsiTheme="majorHAnsi"/>
          <w:bCs/>
          <w:color w:val="auto"/>
          <w:sz w:val="20"/>
          <w:szCs w:val="20"/>
        </w:rPr>
      </w:pPr>
    </w:p>
    <w:p w14:paraId="6AB5F349" w14:textId="77777777" w:rsidR="009B541A" w:rsidRPr="00D2222C" w:rsidRDefault="008F4101" w:rsidP="009412E0">
      <w:pPr>
        <w:pStyle w:val="Heading3"/>
        <w:numPr>
          <w:ilvl w:val="0"/>
          <w:numId w:val="65"/>
        </w:numPr>
        <w:spacing w:before="0"/>
        <w:ind w:left="1440" w:hanging="720"/>
        <w:rPr>
          <w:rStyle w:val="apple-style-span"/>
          <w:rFonts w:ascii="Cambria" w:eastAsia="Cambria" w:hAnsi="Cambria" w:cs="Arial"/>
          <w:bCs w:val="0"/>
          <w:color w:val="auto"/>
          <w:sz w:val="20"/>
          <w:szCs w:val="20"/>
          <w:u w:color="000000"/>
          <w:lang w:eastAsia="es-ES"/>
        </w:rPr>
      </w:pPr>
      <w:bookmarkStart w:id="25" w:name="_Toc26550938"/>
      <w:r w:rsidRPr="00D2222C">
        <w:rPr>
          <w:rStyle w:val="apple-style-span"/>
          <w:rFonts w:ascii="Cambria" w:eastAsia="Cambria" w:hAnsi="Cambria" w:cs="Arial"/>
          <w:bCs w:val="0"/>
          <w:color w:val="auto"/>
          <w:sz w:val="20"/>
          <w:szCs w:val="20"/>
          <w:u w:color="000000"/>
          <w:lang w:eastAsia="es-ES"/>
        </w:rPr>
        <w:t>T</w:t>
      </w:r>
      <w:r w:rsidR="00E43C54" w:rsidRPr="00D2222C">
        <w:rPr>
          <w:rStyle w:val="apple-style-span"/>
          <w:rFonts w:ascii="Cambria" w:eastAsia="Cambria" w:hAnsi="Cambria" w:cs="Arial"/>
          <w:bCs w:val="0"/>
          <w:color w:val="auto"/>
          <w:sz w:val="20"/>
          <w:szCs w:val="20"/>
          <w:u w:color="000000"/>
          <w:lang w:eastAsia="es-ES"/>
        </w:rPr>
        <w:t>he lethal injection</w:t>
      </w:r>
      <w:r w:rsidRPr="00D2222C">
        <w:rPr>
          <w:rStyle w:val="apple-style-span"/>
          <w:rFonts w:ascii="Cambria" w:eastAsia="Cambria" w:hAnsi="Cambria" w:cs="Arial"/>
          <w:bCs w:val="0"/>
          <w:color w:val="auto"/>
          <w:sz w:val="20"/>
          <w:szCs w:val="20"/>
          <w:u w:color="000000"/>
          <w:lang w:eastAsia="es-ES"/>
        </w:rPr>
        <w:t xml:space="preserve"> protocol</w:t>
      </w:r>
      <w:bookmarkEnd w:id="25"/>
    </w:p>
    <w:p w14:paraId="614314CE" w14:textId="77777777" w:rsidR="009B541A" w:rsidRPr="00D2222C" w:rsidRDefault="009B541A" w:rsidP="009412E0">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rPr>
      </w:pPr>
    </w:p>
    <w:p w14:paraId="65820225" w14:textId="77777777" w:rsidR="00DA3005" w:rsidRPr="00D2222C" w:rsidRDefault="009B541A"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cs="Arial"/>
          <w:color w:val="222222"/>
          <w:sz w:val="20"/>
          <w:szCs w:val="20"/>
          <w:lang w:val="en"/>
        </w:rPr>
      </w:pPr>
      <w:r w:rsidRPr="00D2222C">
        <w:rPr>
          <w:rFonts w:ascii="Cambria" w:hAnsi="Cambria"/>
          <w:sz w:val="20"/>
          <w:szCs w:val="20"/>
        </w:rPr>
        <w:t xml:space="preserve">The Commission </w:t>
      </w:r>
      <w:r w:rsidRPr="00D2222C">
        <w:rPr>
          <w:rFonts w:ascii="Cambria" w:hAnsi="Cambria"/>
          <w:color w:val="212121"/>
          <w:sz w:val="20"/>
          <w:szCs w:val="20"/>
          <w:lang w:val="en"/>
        </w:rPr>
        <w:t xml:space="preserve">notes that even though the American Declaration does not prohibit the death penalty, the State has a heightened </w:t>
      </w:r>
      <w:r w:rsidRPr="00D2222C">
        <w:rPr>
          <w:rFonts w:ascii="Cambria" w:eastAsia="Times New Roman" w:hAnsi="Cambria"/>
          <w:sz w:val="20"/>
          <w:szCs w:val="20"/>
          <w:bdr w:val="none" w:sz="0" w:space="0" w:color="auto"/>
        </w:rPr>
        <w:t>obligation to ensure that the method of execution does not constitute cruel, infamous or unusual punishment.  In this regard, the U.N. Special Rapporteur on torture and other cruel, inhuman or degrading treatment or punishment observed that “[t]</w:t>
      </w:r>
      <w:r w:rsidRPr="00D2222C">
        <w:rPr>
          <w:rFonts w:ascii="Cambria" w:eastAsia="Times New Roman" w:hAnsi="Cambria" w:cs="TimesNewRomanPS"/>
          <w:color w:val="231F20"/>
          <w:sz w:val="20"/>
          <w:szCs w:val="20"/>
          <w:bdr w:val="none" w:sz="0" w:space="0" w:color="auto"/>
        </w:rPr>
        <w:t xml:space="preserve">he fact that a number of execution methods </w:t>
      </w:r>
      <w:r w:rsidRPr="00D2222C">
        <w:rPr>
          <w:rFonts w:ascii="Cambria" w:hAnsi="Cambria"/>
          <w:sz w:val="20"/>
          <w:szCs w:val="20"/>
        </w:rPr>
        <w:t>have</w:t>
      </w:r>
      <w:r w:rsidRPr="00D2222C">
        <w:rPr>
          <w:rFonts w:ascii="Cambria" w:eastAsia="Times New Roman" w:hAnsi="Cambria" w:cs="TimesNewRomanPS"/>
          <w:color w:val="231F20"/>
          <w:sz w:val="20"/>
          <w:szCs w:val="20"/>
          <w:bdr w:val="none" w:sz="0" w:space="0" w:color="auto"/>
        </w:rPr>
        <w:t xml:space="preser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D2222C">
        <w:rPr>
          <w:rFonts w:eastAsia="Times New Roman"/>
          <w:color w:val="231F20"/>
          <w:sz w:val="20"/>
          <w:szCs w:val="20"/>
          <w:bdr w:val="none" w:sz="0" w:space="0" w:color="auto"/>
          <w:vertAlign w:val="superscript"/>
        </w:rPr>
        <w:footnoteReference w:id="76"/>
      </w:r>
      <w:r w:rsidR="00DA3005" w:rsidRPr="00D2222C">
        <w:rPr>
          <w:rFonts w:ascii="Cambria" w:eastAsia="Times New Roman" w:hAnsi="Cambria" w:cs="TimesNewRomanPS"/>
          <w:color w:val="231F20"/>
          <w:sz w:val="20"/>
          <w:szCs w:val="20"/>
          <w:bdr w:val="none" w:sz="0" w:space="0" w:color="auto"/>
        </w:rPr>
        <w:t xml:space="preserve"> </w:t>
      </w:r>
    </w:p>
    <w:p w14:paraId="47992114" w14:textId="77777777" w:rsidR="00DA3005" w:rsidRPr="00D2222C" w:rsidRDefault="00DA3005"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rPr>
          <w:rFonts w:ascii="Cambria" w:hAnsi="Cambria" w:cs="Arial"/>
          <w:color w:val="222222"/>
          <w:sz w:val="20"/>
          <w:szCs w:val="20"/>
          <w:lang w:val="en"/>
        </w:rPr>
      </w:pPr>
    </w:p>
    <w:p w14:paraId="5896DBB9" w14:textId="77777777" w:rsidR="00112617" w:rsidRPr="00D2222C" w:rsidRDefault="009B541A"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color w:val="212121"/>
          <w:sz w:val="20"/>
          <w:szCs w:val="20"/>
          <w:lang w:val="en"/>
        </w:rPr>
        <w:t xml:space="preserve">Along these same lines, </w:t>
      </w:r>
      <w:r w:rsidRPr="00D2222C">
        <w:rPr>
          <w:rFonts w:ascii="Cambria" w:hAnsi="Cambria"/>
          <w:sz w:val="20"/>
          <w:szCs w:val="20"/>
        </w:rPr>
        <w:t>various supervisory bodies have considered that an execution method is incompatible with the right to humane treatment and the prohibition of torture when it is not designed to inflict the least possible suffering,</w:t>
      </w:r>
      <w:r w:rsidRPr="00D2222C">
        <w:rPr>
          <w:rFonts w:ascii="Cambria" w:hAnsi="Cambria"/>
          <w:sz w:val="20"/>
          <w:szCs w:val="20"/>
          <w:vertAlign w:val="superscript"/>
        </w:rPr>
        <w:footnoteReference w:id="77"/>
      </w:r>
      <w:r w:rsidRPr="00D2222C">
        <w:rPr>
          <w:rFonts w:ascii="Cambria" w:hAnsi="Cambria"/>
          <w:sz w:val="20"/>
          <w:szCs w:val="20"/>
        </w:rPr>
        <w:t xml:space="preserve"> and have raised questions on the compatibility of the method of lethal injection with the prohibition of torture.</w:t>
      </w:r>
      <w:r w:rsidR="006005C1" w:rsidRPr="00D2222C">
        <w:rPr>
          <w:rStyle w:val="FootnoteReference"/>
          <w:rFonts w:ascii="Cambria" w:hAnsi="Cambria"/>
          <w:sz w:val="20"/>
          <w:szCs w:val="20"/>
        </w:rPr>
        <w:footnoteReference w:id="78"/>
      </w:r>
      <w:r w:rsidRPr="00D2222C">
        <w:rPr>
          <w:rFonts w:ascii="Cambria" w:hAnsi="Cambria"/>
          <w:sz w:val="20"/>
          <w:szCs w:val="20"/>
        </w:rPr>
        <w:t xml:space="preserve"> With regard to the injection of untested lethal drugs, in its concluding observations on the fourth periodic report of the United States, the Human Rights Committee noted with concern reports “about the administration, by some states, of untested lethal drugs to execute prisoners and the withholding of information about such drugs.” The Committee recommended that the State “ensure that lethal drugs used for executions originate from legal, regulated sources, and are approved by the United States Food and Drug Administration and that information on the origin and composition of such drugs is made available to individuals scheduled for execution.”</w:t>
      </w:r>
      <w:r w:rsidRPr="00D2222C">
        <w:rPr>
          <w:rStyle w:val="FootnoteReference"/>
          <w:rFonts w:ascii="Cambria" w:hAnsi="Cambria"/>
          <w:sz w:val="20"/>
          <w:szCs w:val="20"/>
        </w:rPr>
        <w:footnoteReference w:id="79"/>
      </w:r>
      <w:r w:rsidR="00DA3005" w:rsidRPr="00D2222C">
        <w:rPr>
          <w:rFonts w:ascii="Cambria" w:hAnsi="Cambria"/>
          <w:sz w:val="20"/>
          <w:szCs w:val="20"/>
        </w:rPr>
        <w:t xml:space="preserve"> </w:t>
      </w:r>
    </w:p>
    <w:p w14:paraId="2E7831C8" w14:textId="77777777" w:rsidR="00112617" w:rsidRPr="00D2222C" w:rsidRDefault="00112617" w:rsidP="009E3847">
      <w:pPr>
        <w:pStyle w:val="ListParagraph"/>
        <w:tabs>
          <w:tab w:val="left" w:pos="720"/>
        </w:tabs>
        <w:rPr>
          <w:sz w:val="20"/>
          <w:szCs w:val="20"/>
        </w:rPr>
      </w:pPr>
    </w:p>
    <w:p w14:paraId="541A9CDF" w14:textId="77777777" w:rsidR="009B541A" w:rsidRPr="00D2222C" w:rsidRDefault="009B541A"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Similarly, the Committee Against Torture has expressed its concern that death penalty executions in the United States can be accompanied by severe pain and suffering and has called on the State to “carefully review its execution methods, in particular lethal injection, in order to prevent severe pain and suffering.”</w:t>
      </w:r>
      <w:r w:rsidRPr="00D2222C">
        <w:rPr>
          <w:rStyle w:val="FootnoteReference"/>
          <w:rFonts w:ascii="Cambria" w:hAnsi="Cambria"/>
          <w:sz w:val="20"/>
          <w:szCs w:val="20"/>
        </w:rPr>
        <w:footnoteReference w:id="80"/>
      </w:r>
      <w:r w:rsidR="00112617" w:rsidRPr="00D2222C">
        <w:rPr>
          <w:rFonts w:ascii="Cambria" w:hAnsi="Cambria"/>
          <w:sz w:val="20"/>
          <w:szCs w:val="20"/>
        </w:rPr>
        <w:t xml:space="preserve"> </w:t>
      </w:r>
      <w:r w:rsidRPr="00D2222C">
        <w:rPr>
          <w:rFonts w:ascii="Cambria" w:hAnsi="Cambria"/>
          <w:sz w:val="20"/>
          <w:szCs w:val="20"/>
        </w:rPr>
        <w:t xml:space="preserve">The Special Rapporteur on torture and other cruel, inhuman or degrading treatment or punishment has considered that the method of lethal injection “as currently administered, does not work as efficiently as </w:t>
      </w:r>
      <w:r w:rsidRPr="00D2222C">
        <w:rPr>
          <w:rFonts w:ascii="Cambria" w:hAnsi="Cambria"/>
          <w:sz w:val="20"/>
          <w:szCs w:val="20"/>
        </w:rPr>
        <w:lastRenderedPageBreak/>
        <w:t>intended. Some prisoners take minutes to die and others become very distressed. New studies conclude that even if lethal injection is administered without technical error, those executed may experience suffocation, and therefore the conventional view of lethal injection as peaceful and painless death is questionable.”</w:t>
      </w:r>
      <w:r w:rsidRPr="00D2222C">
        <w:rPr>
          <w:rStyle w:val="FootnoteReference"/>
          <w:rFonts w:ascii="Cambria" w:hAnsi="Cambria"/>
          <w:sz w:val="20"/>
          <w:szCs w:val="20"/>
        </w:rPr>
        <w:footnoteReference w:id="81"/>
      </w:r>
      <w:r w:rsidRPr="00D2222C">
        <w:rPr>
          <w:rFonts w:ascii="Cambria" w:hAnsi="Cambria"/>
          <w:sz w:val="20"/>
          <w:szCs w:val="20"/>
        </w:rPr>
        <w:t xml:space="preserve"> The Special Rapporteur has underlined that States must ensure that the method of execution employed causes the least possible physical and mental suffering and has the burden of proof of establishing that there are no more humane alternatives available.</w:t>
      </w:r>
      <w:r w:rsidRPr="00D2222C">
        <w:rPr>
          <w:rStyle w:val="FootnoteReference"/>
          <w:rFonts w:ascii="Cambria" w:hAnsi="Cambria"/>
          <w:sz w:val="20"/>
          <w:szCs w:val="20"/>
        </w:rPr>
        <w:t xml:space="preserve"> </w:t>
      </w:r>
      <w:r w:rsidRPr="00D2222C">
        <w:rPr>
          <w:rStyle w:val="FootnoteReference"/>
          <w:rFonts w:ascii="Cambria" w:hAnsi="Cambria"/>
          <w:sz w:val="20"/>
          <w:szCs w:val="20"/>
        </w:rPr>
        <w:footnoteReference w:id="82"/>
      </w:r>
      <w:r w:rsidRPr="00D2222C">
        <w:rPr>
          <w:rFonts w:ascii="Cambria" w:hAnsi="Cambria"/>
          <w:sz w:val="20"/>
          <w:szCs w:val="20"/>
        </w:rPr>
        <w:t xml:space="preserve"> </w:t>
      </w:r>
    </w:p>
    <w:p w14:paraId="1C010156" w14:textId="77777777" w:rsidR="009B541A" w:rsidRPr="00D2222C" w:rsidRDefault="009B541A" w:rsidP="009E3847">
      <w:pPr>
        <w:tabs>
          <w:tab w:val="left" w:pos="720"/>
        </w:tabs>
        <w:jc w:val="both"/>
        <w:rPr>
          <w:b/>
          <w:bCs/>
          <w:sz w:val="20"/>
          <w:szCs w:val="20"/>
        </w:rPr>
      </w:pPr>
    </w:p>
    <w:p w14:paraId="6D9D106A" w14:textId="77777777" w:rsidR="000E69B3" w:rsidRPr="00D2222C" w:rsidRDefault="007A7F31" w:rsidP="009E3847">
      <w:pPr>
        <w:pStyle w:val="NormalWeb"/>
        <w:numPr>
          <w:ilvl w:val="0"/>
          <w:numId w:val="55"/>
        </w:numPr>
        <w:shd w:val="clear" w:color="auto" w:fill="FFFFFF"/>
        <w:tabs>
          <w:tab w:val="left" w:pos="720"/>
        </w:tabs>
        <w:spacing w:before="0" w:beforeAutospacing="0" w:after="0" w:afterAutospacing="0"/>
        <w:ind w:left="0" w:firstLine="0"/>
        <w:jc w:val="both"/>
        <w:rPr>
          <w:rFonts w:asciiTheme="majorHAnsi" w:eastAsia="Arial Unicode MS" w:hAnsiTheme="majorHAnsi"/>
          <w:sz w:val="20"/>
          <w:szCs w:val="20"/>
        </w:rPr>
      </w:pPr>
      <w:r w:rsidRPr="00D2222C">
        <w:rPr>
          <w:rFonts w:asciiTheme="majorHAnsi" w:eastAsia="Arial Unicode MS" w:hAnsiTheme="majorHAnsi"/>
          <w:sz w:val="20"/>
          <w:szCs w:val="20"/>
        </w:rPr>
        <w:t xml:space="preserve">As </w:t>
      </w:r>
      <w:r w:rsidR="002B4B61" w:rsidRPr="00D2222C">
        <w:rPr>
          <w:rFonts w:asciiTheme="majorHAnsi" w:eastAsia="Arial Unicode MS" w:hAnsiTheme="majorHAnsi"/>
          <w:sz w:val="20"/>
          <w:szCs w:val="20"/>
        </w:rPr>
        <w:t>already</w:t>
      </w:r>
      <w:r w:rsidRPr="00D2222C">
        <w:rPr>
          <w:rFonts w:asciiTheme="majorHAnsi" w:eastAsia="Arial Unicode MS" w:hAnsiTheme="majorHAnsi"/>
          <w:sz w:val="20"/>
          <w:szCs w:val="20"/>
        </w:rPr>
        <w:t xml:space="preserve"> established, Mr. Hall filed a civil action on June 4, 2007, alleging that the three-drug protocol threatened to subject him to consciously experiencing asphyxiation and cardiac arrest. That same year </w:t>
      </w:r>
      <w:r w:rsidR="009F297A" w:rsidRPr="00D2222C">
        <w:rPr>
          <w:rFonts w:asciiTheme="majorHAnsi" w:eastAsia="Arial Unicode MS" w:hAnsiTheme="majorHAnsi"/>
          <w:sz w:val="20"/>
          <w:szCs w:val="20"/>
        </w:rPr>
        <w:t>he</w:t>
      </w:r>
      <w:r w:rsidRPr="00D2222C">
        <w:rPr>
          <w:rFonts w:asciiTheme="majorHAnsi" w:eastAsia="Arial Unicode MS" w:hAnsiTheme="majorHAnsi"/>
          <w:sz w:val="20"/>
          <w:szCs w:val="20"/>
        </w:rPr>
        <w:t xml:space="preserve"> </w:t>
      </w:r>
      <w:r w:rsidRPr="00D2222C">
        <w:rPr>
          <w:rFonts w:asciiTheme="majorHAnsi" w:eastAsia="Arial Unicode MS" w:hAnsiTheme="majorHAnsi"/>
          <w:sz w:val="20"/>
          <w:szCs w:val="20"/>
          <w:bdr w:val="nil"/>
        </w:rPr>
        <w:t xml:space="preserve">joined a federal lawsuit challenging the execution procedures. In July 2011, the government informed the court that in light of the unavailability of sodium thiopental it had decided to alter the drug mixture used in its executions. Since then, </w:t>
      </w:r>
      <w:r w:rsidR="009F297A" w:rsidRPr="00D2222C">
        <w:rPr>
          <w:rFonts w:asciiTheme="majorHAnsi" w:eastAsia="Arial Unicode MS" w:hAnsiTheme="majorHAnsi"/>
          <w:sz w:val="20"/>
          <w:szCs w:val="20"/>
          <w:bdr w:val="nil"/>
        </w:rPr>
        <w:t>the government</w:t>
      </w:r>
      <w:r w:rsidRPr="00D2222C">
        <w:rPr>
          <w:rFonts w:asciiTheme="majorHAnsi" w:eastAsia="Arial Unicode MS" w:hAnsiTheme="majorHAnsi"/>
          <w:sz w:val="20"/>
          <w:szCs w:val="20"/>
          <w:bdr w:val="nil"/>
        </w:rPr>
        <w:t xml:space="preserve"> continues the process to determine what drug combination will be used. </w:t>
      </w:r>
    </w:p>
    <w:p w14:paraId="3D8B99FC" w14:textId="77777777" w:rsidR="003B66DC" w:rsidRPr="00D2222C" w:rsidRDefault="003B66DC" w:rsidP="009E3847">
      <w:pPr>
        <w:pStyle w:val="ListParagraph"/>
        <w:tabs>
          <w:tab w:val="left" w:pos="720"/>
        </w:tabs>
        <w:rPr>
          <w:rFonts w:asciiTheme="majorHAnsi" w:eastAsia="Arial Unicode MS" w:hAnsiTheme="majorHAnsi"/>
          <w:sz w:val="20"/>
          <w:szCs w:val="20"/>
        </w:rPr>
      </w:pPr>
    </w:p>
    <w:p w14:paraId="2F9F2C8B" w14:textId="77777777" w:rsidR="00E80E83" w:rsidRPr="00D2222C" w:rsidRDefault="00B75D57" w:rsidP="009E3847">
      <w:pPr>
        <w:pStyle w:val="NormalWeb"/>
        <w:numPr>
          <w:ilvl w:val="0"/>
          <w:numId w:val="55"/>
        </w:numPr>
        <w:shd w:val="clear" w:color="auto" w:fill="FFFFFF"/>
        <w:tabs>
          <w:tab w:val="left" w:pos="720"/>
        </w:tabs>
        <w:spacing w:before="0" w:beforeAutospacing="0" w:after="0" w:afterAutospacing="0"/>
        <w:ind w:left="0" w:firstLine="0"/>
        <w:jc w:val="both"/>
        <w:rPr>
          <w:rFonts w:asciiTheme="majorHAnsi" w:eastAsia="Arial Unicode MS" w:hAnsiTheme="majorHAnsi"/>
          <w:sz w:val="20"/>
          <w:szCs w:val="20"/>
        </w:rPr>
      </w:pPr>
      <w:r w:rsidRPr="00D2222C">
        <w:rPr>
          <w:rFonts w:asciiTheme="majorHAnsi" w:eastAsia="Arial Unicode MS" w:hAnsiTheme="majorHAnsi"/>
          <w:sz w:val="20"/>
          <w:szCs w:val="20"/>
          <w:bdr w:val="nil"/>
        </w:rPr>
        <w:t xml:space="preserve">Given that the federal government is still reviewing its lethal injection protocol, there is currently no information to assess the compatibility of the execution method with the inter-American human rights standards cited above. However, the IACHR finds that the </w:t>
      </w:r>
      <w:r w:rsidR="00D0799B" w:rsidRPr="00D2222C">
        <w:rPr>
          <w:rFonts w:asciiTheme="majorHAnsi" w:eastAsia="Arial Unicode MS" w:hAnsiTheme="majorHAnsi"/>
          <w:sz w:val="20"/>
          <w:szCs w:val="20"/>
          <w:bdr w:val="nil"/>
        </w:rPr>
        <w:t xml:space="preserve">uncertainty about the </w:t>
      </w:r>
      <w:r w:rsidR="00D0799B" w:rsidRPr="00D2222C">
        <w:rPr>
          <w:rFonts w:ascii="Cambria" w:hAnsi="Cambria"/>
          <w:sz w:val="20"/>
          <w:szCs w:val="20"/>
        </w:rPr>
        <w:t xml:space="preserve">manner in which Mr. Hall is going to die preceded by summary denials to requests of information about the </w:t>
      </w:r>
      <w:r w:rsidR="003B66DC" w:rsidRPr="00D2222C">
        <w:rPr>
          <w:rFonts w:ascii="Cambria" w:hAnsi="Cambria"/>
          <w:sz w:val="20"/>
          <w:szCs w:val="20"/>
        </w:rPr>
        <w:t xml:space="preserve">execution </w:t>
      </w:r>
      <w:r w:rsidR="00D0799B" w:rsidRPr="00D2222C">
        <w:rPr>
          <w:rFonts w:ascii="Cambria" w:hAnsi="Cambria"/>
          <w:sz w:val="20"/>
          <w:szCs w:val="20"/>
        </w:rPr>
        <w:t xml:space="preserve">process, </w:t>
      </w:r>
      <w:r w:rsidR="003B66DC" w:rsidRPr="00D2222C">
        <w:rPr>
          <w:rFonts w:ascii="Cambria" w:hAnsi="Cambria"/>
          <w:sz w:val="20"/>
          <w:szCs w:val="20"/>
        </w:rPr>
        <w:t xml:space="preserve">exposes </w:t>
      </w:r>
      <w:r w:rsidR="00432731" w:rsidRPr="00D2222C">
        <w:rPr>
          <w:rFonts w:ascii="Cambria" w:hAnsi="Cambria"/>
          <w:sz w:val="20"/>
          <w:szCs w:val="20"/>
        </w:rPr>
        <w:t xml:space="preserve">Mr. </w:t>
      </w:r>
      <w:r w:rsidR="00503C4C" w:rsidRPr="00D2222C">
        <w:rPr>
          <w:rFonts w:ascii="Cambria" w:hAnsi="Cambria"/>
          <w:sz w:val="20"/>
          <w:szCs w:val="20"/>
        </w:rPr>
        <w:t>Hall</w:t>
      </w:r>
      <w:r w:rsidR="00432731" w:rsidRPr="00D2222C">
        <w:rPr>
          <w:rFonts w:ascii="Cambria" w:hAnsi="Cambria"/>
          <w:sz w:val="20"/>
          <w:szCs w:val="20"/>
        </w:rPr>
        <w:t xml:space="preserve"> to anguish and fear that amount to a violation of his right to humane treatment and not to receive cruel, infamous or unusual punishment set forth in Articles XXV and XXVI of the Declaration. </w:t>
      </w:r>
      <w:r w:rsidR="008F4101" w:rsidRPr="00D2222C">
        <w:rPr>
          <w:rFonts w:asciiTheme="majorHAnsi" w:hAnsiTheme="majorHAnsi"/>
          <w:sz w:val="20"/>
          <w:szCs w:val="20"/>
        </w:rPr>
        <w:t xml:space="preserve">The obligation in capital cases to ensure access to all the relevant information regarding the execution will be addressed in the section related to the right to freedom of expression. </w:t>
      </w:r>
    </w:p>
    <w:p w14:paraId="087C9BBA" w14:textId="77777777" w:rsidR="00E43C54" w:rsidRPr="00D2222C" w:rsidRDefault="00861972" w:rsidP="009412E0">
      <w:pPr>
        <w:pStyle w:val="Heading2"/>
        <w:numPr>
          <w:ilvl w:val="0"/>
          <w:numId w:val="65"/>
        </w:numPr>
        <w:ind w:left="1440" w:hanging="720"/>
        <w:rPr>
          <w:rStyle w:val="apple-style-span"/>
          <w:rFonts w:ascii="Cambria" w:eastAsia="Cambria" w:hAnsi="Cambria" w:cs="Arial"/>
          <w:bCs w:val="0"/>
          <w:color w:val="000000"/>
          <w:sz w:val="20"/>
          <w:szCs w:val="20"/>
          <w:u w:color="000000"/>
          <w:lang w:eastAsia="es-ES"/>
        </w:rPr>
      </w:pPr>
      <w:bookmarkStart w:id="26" w:name="_Toc511310303"/>
      <w:bookmarkStart w:id="27" w:name="_Toc512265316"/>
      <w:bookmarkStart w:id="28" w:name="_Toc26550939"/>
      <w:r w:rsidRPr="00D2222C">
        <w:rPr>
          <w:rStyle w:val="apple-style-span"/>
          <w:rFonts w:ascii="Cambria" w:eastAsia="Cambria" w:hAnsi="Cambria" w:cs="Arial"/>
          <w:bCs w:val="0"/>
          <w:color w:val="000000"/>
          <w:sz w:val="20"/>
          <w:szCs w:val="20"/>
          <w:u w:color="000000"/>
          <w:lang w:eastAsia="es-ES"/>
        </w:rPr>
        <w:t>T</w:t>
      </w:r>
      <w:r w:rsidR="00E43C54" w:rsidRPr="00D2222C">
        <w:rPr>
          <w:rStyle w:val="apple-style-span"/>
          <w:rFonts w:ascii="Cambria" w:eastAsia="Cambria" w:hAnsi="Cambria" w:cs="Arial"/>
          <w:bCs w:val="0"/>
          <w:color w:val="000000"/>
          <w:sz w:val="20"/>
          <w:szCs w:val="20"/>
          <w:u w:color="000000"/>
          <w:lang w:eastAsia="es-ES"/>
        </w:rPr>
        <w:t>he deprivation of liberty on death row</w:t>
      </w:r>
      <w:bookmarkEnd w:id="26"/>
      <w:bookmarkEnd w:id="27"/>
      <w:bookmarkEnd w:id="28"/>
    </w:p>
    <w:p w14:paraId="2F6EF022" w14:textId="77777777" w:rsidR="00E43C54" w:rsidRPr="00D2222C" w:rsidRDefault="00E43C54" w:rsidP="00E43C54">
      <w:pPr>
        <w:widowControl w:val="0"/>
        <w:tabs>
          <w:tab w:val="left" w:pos="360"/>
        </w:tabs>
        <w:suppressAutoHyphens/>
        <w:jc w:val="both"/>
        <w:rPr>
          <w:rFonts w:ascii="Cambria" w:hAnsi="Cambria"/>
          <w:b/>
          <w:sz w:val="20"/>
          <w:szCs w:val="20"/>
        </w:rPr>
      </w:pPr>
    </w:p>
    <w:p w14:paraId="4DFF1FB8" w14:textId="77777777" w:rsidR="008F7B4C" w:rsidRPr="00D2222C" w:rsidRDefault="00E43C54"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hAnsi="Cambria"/>
          <w:bCs/>
          <w:sz w:val="20"/>
          <w:szCs w:val="20"/>
        </w:rPr>
      </w:pPr>
      <w:r w:rsidRPr="00D2222C">
        <w:rPr>
          <w:rFonts w:ascii="Cambria" w:hAnsi="Cambria"/>
          <w:sz w:val="20"/>
          <w:szCs w:val="20"/>
        </w:rPr>
        <w:t xml:space="preserve">In both international human rights law and comparative law, the issue of long term deprivation of liberty on death row, known as the </w:t>
      </w:r>
      <w:r w:rsidRPr="00D2222C">
        <w:rPr>
          <w:rFonts w:ascii="Cambria" w:hAnsi="Cambria"/>
          <w:i/>
          <w:sz w:val="20"/>
          <w:szCs w:val="20"/>
        </w:rPr>
        <w:t>death row phenomenon,</w:t>
      </w:r>
      <w:r w:rsidRPr="00D2222C">
        <w:rPr>
          <w:rFonts w:ascii="Cambria" w:hAnsi="Cambria"/>
          <w:sz w:val="20"/>
          <w:szCs w:val="20"/>
        </w:rPr>
        <w:t xml:space="preserve"> has been developed for decades, in light of the prohibition of cruel, inhuman, or degrading punishment in </w:t>
      </w:r>
      <w:r w:rsidR="008F7B4C" w:rsidRPr="00D2222C">
        <w:rPr>
          <w:rFonts w:ascii="Cambria" w:hAnsi="Cambria"/>
          <w:sz w:val="20"/>
          <w:szCs w:val="20"/>
        </w:rPr>
        <w:t>C</w:t>
      </w:r>
      <w:r w:rsidRPr="00D2222C">
        <w:rPr>
          <w:rFonts w:ascii="Cambria" w:hAnsi="Cambria"/>
          <w:sz w:val="20"/>
          <w:szCs w:val="20"/>
        </w:rPr>
        <w:t>onstitutions and in multiple international treaties, including the American Declaration (Articles XXV and XXVI).</w:t>
      </w:r>
      <w:r w:rsidR="0070045F" w:rsidRPr="00D2222C">
        <w:rPr>
          <w:rStyle w:val="FootnoteReference"/>
          <w:rFonts w:ascii="Cambria" w:hAnsi="Cambria"/>
          <w:sz w:val="20"/>
          <w:szCs w:val="20"/>
        </w:rPr>
        <w:footnoteReference w:id="83"/>
      </w:r>
      <w:r w:rsidRPr="00D2222C">
        <w:rPr>
          <w:rFonts w:ascii="Cambria" w:hAnsi="Cambria"/>
          <w:sz w:val="20"/>
          <w:szCs w:val="20"/>
        </w:rPr>
        <w:t xml:space="preserve"> </w:t>
      </w:r>
      <w:r w:rsidR="006C1815" w:rsidRPr="00D2222C">
        <w:rPr>
          <w:rFonts w:ascii="Cambria" w:hAnsi="Cambria"/>
          <w:sz w:val="20"/>
          <w:szCs w:val="20"/>
        </w:rPr>
        <w:t>Based on those standards, i</w:t>
      </w:r>
      <w:r w:rsidR="008F7B4C" w:rsidRPr="00D2222C">
        <w:rPr>
          <w:rFonts w:ascii="Cambria" w:hAnsi="Cambria"/>
          <w:sz w:val="20"/>
          <w:szCs w:val="20"/>
        </w:rPr>
        <w:t>n the case of Russell Bucklew the IACHR found that “the very fact of spending 20 years on death row is, by any account, excessive and inhuman.”</w:t>
      </w:r>
      <w:r w:rsidR="008F7B4C" w:rsidRPr="00D2222C">
        <w:rPr>
          <w:rStyle w:val="FootnoteReference"/>
          <w:rFonts w:ascii="Cambria" w:hAnsi="Cambria"/>
          <w:sz w:val="20"/>
          <w:szCs w:val="20"/>
        </w:rPr>
        <w:footnoteReference w:id="84"/>
      </w:r>
    </w:p>
    <w:p w14:paraId="4F70A7BD" w14:textId="77777777" w:rsidR="008F7B4C" w:rsidRPr="00D2222C" w:rsidRDefault="008F7B4C"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bCs/>
          <w:sz w:val="20"/>
          <w:szCs w:val="20"/>
        </w:rPr>
      </w:pPr>
    </w:p>
    <w:p w14:paraId="2FDFEBF5" w14:textId="77777777" w:rsidR="00E43C54" w:rsidRPr="00D2222C" w:rsidRDefault="00E43C54"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hAnsi="Cambria"/>
          <w:bCs/>
          <w:i/>
          <w:sz w:val="20"/>
          <w:szCs w:val="20"/>
        </w:rPr>
      </w:pPr>
      <w:r w:rsidRPr="00D2222C">
        <w:rPr>
          <w:rFonts w:ascii="Cambria" w:hAnsi="Cambria"/>
          <w:sz w:val="20"/>
          <w:szCs w:val="20"/>
        </w:rPr>
        <w:t xml:space="preserve">As established </w:t>
      </w:r>
      <w:r w:rsidR="00915FDE" w:rsidRPr="00D2222C">
        <w:rPr>
          <w:rFonts w:ascii="Cambria" w:hAnsi="Cambria"/>
          <w:sz w:val="20"/>
          <w:szCs w:val="20"/>
        </w:rPr>
        <w:t>in this report</w:t>
      </w:r>
      <w:r w:rsidRPr="00D2222C">
        <w:rPr>
          <w:rFonts w:ascii="Cambria" w:hAnsi="Cambria"/>
          <w:sz w:val="20"/>
          <w:szCs w:val="20"/>
        </w:rPr>
        <w:t xml:space="preserve">, </w:t>
      </w:r>
      <w:r w:rsidR="003A527A" w:rsidRPr="00D2222C">
        <w:rPr>
          <w:rFonts w:ascii="Cambria" w:hAnsi="Cambria"/>
          <w:sz w:val="20"/>
          <w:szCs w:val="20"/>
        </w:rPr>
        <w:t>Mr. Hall</w:t>
      </w:r>
      <w:r w:rsidRPr="00D2222C">
        <w:rPr>
          <w:rFonts w:ascii="Cambria" w:hAnsi="Cambria"/>
          <w:sz w:val="20"/>
          <w:szCs w:val="20"/>
        </w:rPr>
        <w:t xml:space="preserve"> has been deprived of his liberty on death row for </w:t>
      </w:r>
      <w:r w:rsidR="00915FDE" w:rsidRPr="00D2222C">
        <w:rPr>
          <w:rFonts w:ascii="Cambria" w:hAnsi="Cambria"/>
          <w:sz w:val="20"/>
          <w:szCs w:val="20"/>
        </w:rPr>
        <w:t>almost</w:t>
      </w:r>
      <w:r w:rsidRPr="00D2222C">
        <w:rPr>
          <w:rFonts w:ascii="Cambria" w:hAnsi="Cambria"/>
          <w:sz w:val="20"/>
          <w:szCs w:val="20"/>
        </w:rPr>
        <w:t xml:space="preserve"> 2</w:t>
      </w:r>
      <w:r w:rsidR="00915FDE" w:rsidRPr="00D2222C">
        <w:rPr>
          <w:rFonts w:ascii="Cambria" w:hAnsi="Cambria"/>
          <w:sz w:val="20"/>
          <w:szCs w:val="20"/>
        </w:rPr>
        <w:t>3</w:t>
      </w:r>
      <w:r w:rsidRPr="00D2222C">
        <w:rPr>
          <w:rFonts w:ascii="Cambria" w:hAnsi="Cambria"/>
          <w:sz w:val="20"/>
          <w:szCs w:val="20"/>
        </w:rPr>
        <w:t xml:space="preserve"> years.</w:t>
      </w:r>
      <w:r w:rsidRPr="00D2222C">
        <w:rPr>
          <w:rFonts w:ascii="Cambria" w:hAnsi="Cambria"/>
          <w:bCs/>
          <w:sz w:val="20"/>
          <w:szCs w:val="20"/>
        </w:rPr>
        <w:t xml:space="preserve"> </w:t>
      </w:r>
      <w:r w:rsidRPr="00D2222C">
        <w:rPr>
          <w:rFonts w:ascii="Cambria" w:hAnsi="Cambria"/>
          <w:sz w:val="20"/>
          <w:szCs w:val="20"/>
        </w:rPr>
        <w:t>The Commission notes that the time spent on death row greatly exceeds the length of time that other international and domestic courts have characterized as cruel, inhuman, and degrading treatment. The very fact of spending 2</w:t>
      </w:r>
      <w:r w:rsidR="00915FDE" w:rsidRPr="00D2222C">
        <w:rPr>
          <w:rFonts w:ascii="Cambria" w:hAnsi="Cambria"/>
          <w:sz w:val="20"/>
          <w:szCs w:val="20"/>
        </w:rPr>
        <w:t>3</w:t>
      </w:r>
      <w:r w:rsidRPr="00D2222C">
        <w:rPr>
          <w:rFonts w:ascii="Cambria" w:hAnsi="Cambria"/>
          <w:sz w:val="20"/>
          <w:szCs w:val="20"/>
        </w:rPr>
        <w:t xml:space="preserve"> years on death row is, by any account, excessive and inhuman</w:t>
      </w:r>
      <w:r w:rsidR="00D76232" w:rsidRPr="00D2222C">
        <w:rPr>
          <w:rFonts w:ascii="Cambria" w:hAnsi="Cambria"/>
          <w:sz w:val="20"/>
          <w:szCs w:val="20"/>
        </w:rPr>
        <w:t>, and is aggravated by the prolonged expectation that the death sentence could be executed</w:t>
      </w:r>
      <w:r w:rsidRPr="00D2222C">
        <w:rPr>
          <w:rFonts w:ascii="Cambria" w:hAnsi="Cambria"/>
          <w:sz w:val="20"/>
          <w:szCs w:val="20"/>
        </w:rPr>
        <w:t>.</w:t>
      </w:r>
      <w:r w:rsidRPr="00D2222C">
        <w:rPr>
          <w:rFonts w:ascii="Cambria" w:hAnsi="Cambria"/>
          <w:bCs/>
          <w:i/>
          <w:sz w:val="20"/>
          <w:szCs w:val="20"/>
        </w:rPr>
        <w:t xml:space="preserve"> </w:t>
      </w:r>
      <w:r w:rsidRPr="00D2222C">
        <w:rPr>
          <w:rFonts w:ascii="Cambria" w:hAnsi="Cambria"/>
          <w:sz w:val="20"/>
          <w:szCs w:val="20"/>
        </w:rPr>
        <w:t xml:space="preserve">Consequently, the United States is responsible for violating, to the detriment of </w:t>
      </w:r>
      <w:r w:rsidR="00915FDE" w:rsidRPr="00D2222C">
        <w:rPr>
          <w:rFonts w:ascii="Cambria" w:hAnsi="Cambria"/>
          <w:sz w:val="20"/>
          <w:szCs w:val="20"/>
        </w:rPr>
        <w:t>Mr. Hall</w:t>
      </w:r>
      <w:r w:rsidRPr="00D2222C">
        <w:rPr>
          <w:rFonts w:ascii="Cambria" w:hAnsi="Cambria"/>
          <w:sz w:val="20"/>
          <w:szCs w:val="20"/>
        </w:rPr>
        <w:t>, the right to humane treatment, and not to receive cruel, infamous, or unusual punishment established in the American Declaration.</w:t>
      </w:r>
      <w:r w:rsidRPr="00D2222C">
        <w:rPr>
          <w:rFonts w:ascii="Cambria" w:hAnsi="Cambria"/>
          <w:b/>
          <w:sz w:val="20"/>
          <w:szCs w:val="20"/>
        </w:rPr>
        <w:t xml:space="preserve">  </w:t>
      </w:r>
    </w:p>
    <w:p w14:paraId="3C6BD7DE" w14:textId="77777777" w:rsidR="00E2673A" w:rsidRPr="00D2222C" w:rsidRDefault="00E2673A" w:rsidP="009412E0">
      <w:pPr>
        <w:pStyle w:val="ListParagraph"/>
        <w:ind w:left="1440" w:hanging="720"/>
        <w:rPr>
          <w:bCs/>
          <w:i/>
          <w:color w:val="auto"/>
          <w:sz w:val="20"/>
          <w:szCs w:val="20"/>
        </w:rPr>
      </w:pPr>
    </w:p>
    <w:p w14:paraId="10452C87" w14:textId="77777777" w:rsidR="00BB356D" w:rsidRPr="00D2222C" w:rsidRDefault="00BB356D" w:rsidP="009412E0">
      <w:pPr>
        <w:pStyle w:val="Heading2"/>
        <w:numPr>
          <w:ilvl w:val="0"/>
          <w:numId w:val="56"/>
        </w:numPr>
        <w:spacing w:before="0"/>
        <w:ind w:left="1440" w:hanging="720"/>
        <w:rPr>
          <w:color w:val="auto"/>
          <w:sz w:val="20"/>
          <w:szCs w:val="20"/>
        </w:rPr>
      </w:pPr>
      <w:bookmarkStart w:id="29" w:name="_Toc26550940"/>
      <w:bookmarkStart w:id="30" w:name="_Toc469320066"/>
      <w:bookmarkStart w:id="31" w:name="_Toc511310304"/>
      <w:bookmarkStart w:id="32" w:name="_Toc512265317"/>
      <w:r w:rsidRPr="00D2222C">
        <w:rPr>
          <w:color w:val="auto"/>
          <w:sz w:val="20"/>
          <w:szCs w:val="20"/>
        </w:rPr>
        <w:t xml:space="preserve">The right to </w:t>
      </w:r>
      <w:r w:rsidR="000E6EDD" w:rsidRPr="00D2222C">
        <w:rPr>
          <w:color w:val="auto"/>
          <w:sz w:val="20"/>
          <w:szCs w:val="20"/>
        </w:rPr>
        <w:t>access to information</w:t>
      </w:r>
      <w:r w:rsidR="00373790" w:rsidRPr="00D2222C">
        <w:rPr>
          <w:rStyle w:val="FootnoteReference"/>
          <w:color w:val="auto"/>
          <w:sz w:val="20"/>
          <w:szCs w:val="20"/>
        </w:rPr>
        <w:footnoteReference w:id="85"/>
      </w:r>
      <w:r w:rsidRPr="00D2222C">
        <w:rPr>
          <w:color w:val="auto"/>
          <w:sz w:val="20"/>
          <w:szCs w:val="20"/>
        </w:rPr>
        <w:t xml:space="preserve"> with respect to the </w:t>
      </w:r>
      <w:r w:rsidR="00373790" w:rsidRPr="00D2222C">
        <w:rPr>
          <w:color w:val="auto"/>
          <w:sz w:val="20"/>
          <w:szCs w:val="20"/>
        </w:rPr>
        <w:t>death penalty decision-making process and the lethal injection protocol</w:t>
      </w:r>
      <w:bookmarkEnd w:id="29"/>
    </w:p>
    <w:p w14:paraId="48C9F875" w14:textId="77777777" w:rsidR="00BB356D" w:rsidRPr="00D2222C" w:rsidRDefault="00BB356D" w:rsidP="009412E0">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p>
    <w:p w14:paraId="074D69F0" w14:textId="77777777" w:rsidR="00935A29" w:rsidRPr="00D2222C" w:rsidRDefault="00E2673A"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pPr>
      <w:r w:rsidRPr="00D2222C">
        <w:rPr>
          <w:rFonts w:ascii="Cambria" w:hAnsi="Cambria"/>
          <w:bCs/>
          <w:sz w:val="20"/>
          <w:szCs w:val="20"/>
        </w:rPr>
        <w:t xml:space="preserve">The Commission notes that Mr. Hall was </w:t>
      </w:r>
      <w:r w:rsidR="00123ECD" w:rsidRPr="00D2222C">
        <w:rPr>
          <w:rFonts w:ascii="Cambria" w:hAnsi="Cambria"/>
          <w:bCs/>
          <w:sz w:val="20"/>
          <w:szCs w:val="20"/>
        </w:rPr>
        <w:t>twice denied</w:t>
      </w:r>
      <w:r w:rsidRPr="00D2222C">
        <w:rPr>
          <w:rFonts w:ascii="Cambria" w:hAnsi="Cambria"/>
          <w:bCs/>
          <w:sz w:val="20"/>
          <w:szCs w:val="20"/>
        </w:rPr>
        <w:t xml:space="preserve"> access to relevant information during the proceedings. First, </w:t>
      </w:r>
      <w:r w:rsidR="00C01451" w:rsidRPr="00D2222C">
        <w:rPr>
          <w:rFonts w:ascii="Cambria" w:hAnsi="Cambria"/>
          <w:bCs/>
          <w:sz w:val="20"/>
          <w:szCs w:val="20"/>
        </w:rPr>
        <w:t xml:space="preserve">a </w:t>
      </w:r>
      <w:r w:rsidR="00C01451" w:rsidRPr="00D2222C">
        <w:rPr>
          <w:rFonts w:ascii="Cambria" w:hAnsi="Cambria"/>
          <w:sz w:val="20"/>
          <w:szCs w:val="20"/>
        </w:rPr>
        <w:t xml:space="preserve">request for discovery regarding the government’s decision-making in death-penalty cases was denied by the district court. </w:t>
      </w:r>
      <w:r w:rsidR="0013178F" w:rsidRPr="00D2222C">
        <w:rPr>
          <w:rFonts w:ascii="Cambria" w:hAnsi="Cambria"/>
          <w:sz w:val="20"/>
          <w:szCs w:val="20"/>
        </w:rPr>
        <w:t xml:space="preserve">This information was </w:t>
      </w:r>
      <w:r w:rsidR="00F35E2A" w:rsidRPr="00D2222C">
        <w:rPr>
          <w:rFonts w:ascii="Cambria" w:hAnsi="Cambria"/>
          <w:sz w:val="20"/>
          <w:szCs w:val="20"/>
        </w:rPr>
        <w:t xml:space="preserve">necessary to </w:t>
      </w:r>
      <w:r w:rsidR="005401F2" w:rsidRPr="00D2222C">
        <w:rPr>
          <w:rFonts w:ascii="Cambria" w:hAnsi="Cambria"/>
          <w:sz w:val="20"/>
          <w:szCs w:val="20"/>
        </w:rPr>
        <w:t>know</w:t>
      </w:r>
      <w:r w:rsidR="00F35E2A" w:rsidRPr="00D2222C">
        <w:rPr>
          <w:rFonts w:ascii="Cambria" w:hAnsi="Cambria"/>
          <w:sz w:val="20"/>
          <w:szCs w:val="20"/>
        </w:rPr>
        <w:t xml:space="preserve"> the arguments </w:t>
      </w:r>
      <w:r w:rsidR="00BF08CB" w:rsidRPr="00D2222C">
        <w:rPr>
          <w:rFonts w:ascii="Cambria" w:hAnsi="Cambria"/>
          <w:sz w:val="20"/>
          <w:szCs w:val="20"/>
        </w:rPr>
        <w:t>presented</w:t>
      </w:r>
      <w:r w:rsidR="00F35E2A" w:rsidRPr="00D2222C">
        <w:rPr>
          <w:rFonts w:ascii="Cambria" w:hAnsi="Cambria"/>
          <w:sz w:val="20"/>
          <w:szCs w:val="20"/>
        </w:rPr>
        <w:t xml:space="preserve"> by the </w:t>
      </w:r>
      <w:r w:rsidR="00F35E2A" w:rsidRPr="00D2222C">
        <w:rPr>
          <w:rFonts w:ascii="Cambria" w:hAnsi="Cambria"/>
          <w:sz w:val="20"/>
          <w:szCs w:val="20"/>
        </w:rPr>
        <w:lastRenderedPageBreak/>
        <w:t xml:space="preserve">government to seek the death penalty and identify any </w:t>
      </w:r>
      <w:r w:rsidR="00C43FC7" w:rsidRPr="00D2222C">
        <w:rPr>
          <w:rFonts w:ascii="Cambria" w:hAnsi="Cambria"/>
          <w:sz w:val="20"/>
          <w:szCs w:val="20"/>
        </w:rPr>
        <w:t>possible racial bias</w:t>
      </w:r>
      <w:r w:rsidR="005401F2" w:rsidRPr="00D2222C">
        <w:rPr>
          <w:rFonts w:ascii="Cambria" w:hAnsi="Cambria"/>
          <w:sz w:val="20"/>
          <w:szCs w:val="20"/>
        </w:rPr>
        <w:t xml:space="preserve">. Second, </w:t>
      </w:r>
      <w:r w:rsidR="00F14F98" w:rsidRPr="00D2222C">
        <w:rPr>
          <w:rFonts w:ascii="Cambria" w:hAnsi="Cambria"/>
          <w:sz w:val="20"/>
          <w:szCs w:val="20"/>
        </w:rPr>
        <w:t xml:space="preserve">a request for information filed by Mr. Hall with the U.S. Penitentiary Terre Haute </w:t>
      </w:r>
      <w:r w:rsidR="00F14F98" w:rsidRPr="00D2222C">
        <w:rPr>
          <w:rFonts w:asciiTheme="majorHAnsi" w:hAnsiTheme="majorHAnsi"/>
          <w:sz w:val="20"/>
          <w:szCs w:val="20"/>
        </w:rPr>
        <w:t xml:space="preserve">about the process that would be used for his execution was summarily denied by the Warden and the Bureau of Prisons Regional Administrator. </w:t>
      </w:r>
      <w:r w:rsidR="003407E0" w:rsidRPr="00D2222C">
        <w:rPr>
          <w:rFonts w:asciiTheme="majorHAnsi" w:hAnsiTheme="majorHAnsi"/>
          <w:sz w:val="20"/>
          <w:szCs w:val="20"/>
        </w:rPr>
        <w:t>The Bureau of Prisons Central (National) Administration similarly denied the request.</w:t>
      </w:r>
      <w:r w:rsidR="00264033" w:rsidRPr="00D2222C">
        <w:rPr>
          <w:rFonts w:asciiTheme="majorHAnsi" w:hAnsiTheme="majorHAnsi"/>
          <w:sz w:val="20"/>
          <w:szCs w:val="20"/>
        </w:rPr>
        <w:t xml:space="preserve"> </w:t>
      </w:r>
    </w:p>
    <w:p w14:paraId="3FE5CFF7" w14:textId="77777777" w:rsidR="00935A29" w:rsidRPr="00D2222C" w:rsidRDefault="00935A29"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p>
    <w:p w14:paraId="6E67FDE9" w14:textId="77777777" w:rsidR="002F443F" w:rsidRPr="00D2222C" w:rsidRDefault="00935A29"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pPr>
      <w:r w:rsidRPr="00D2222C">
        <w:rPr>
          <w:rFonts w:asciiTheme="majorHAnsi" w:hAnsiTheme="majorHAnsi"/>
          <w:sz w:val="20"/>
          <w:szCs w:val="20"/>
        </w:rPr>
        <w:t>The right to access to information is a fundamental right protected by Article IV of the American Declaration</w:t>
      </w:r>
      <w:r w:rsidR="005764DD" w:rsidRPr="00D2222C">
        <w:rPr>
          <w:rFonts w:asciiTheme="majorHAnsi" w:hAnsiTheme="majorHAnsi"/>
          <w:sz w:val="20"/>
          <w:szCs w:val="20"/>
        </w:rPr>
        <w:t>,</w:t>
      </w:r>
      <w:r w:rsidR="00ED56AB" w:rsidRPr="00D2222C">
        <w:rPr>
          <w:rFonts w:asciiTheme="majorHAnsi" w:hAnsiTheme="majorHAnsi"/>
          <w:sz w:val="20"/>
          <w:szCs w:val="20"/>
        </w:rPr>
        <w:t xml:space="preserve"> and the States have the obligation to guarantee the full exercise of this right</w:t>
      </w:r>
      <w:r w:rsidRPr="00D2222C">
        <w:rPr>
          <w:rFonts w:asciiTheme="majorHAnsi" w:hAnsiTheme="majorHAnsi"/>
          <w:sz w:val="20"/>
          <w:szCs w:val="20"/>
        </w:rPr>
        <w:t>.</w:t>
      </w:r>
      <w:r w:rsidR="00ED56AB" w:rsidRPr="00D2222C">
        <w:rPr>
          <w:rStyle w:val="FootnoteReference"/>
          <w:rFonts w:asciiTheme="majorHAnsi" w:hAnsiTheme="majorHAnsi"/>
          <w:sz w:val="20"/>
          <w:szCs w:val="20"/>
        </w:rPr>
        <w:footnoteReference w:id="86"/>
      </w:r>
      <w:r w:rsidRPr="00D2222C">
        <w:rPr>
          <w:rFonts w:asciiTheme="majorHAnsi" w:hAnsiTheme="majorHAnsi"/>
          <w:sz w:val="20"/>
          <w:szCs w:val="20"/>
        </w:rPr>
        <w:t xml:space="preserve"> The IACHR’s Declaration of Principles on Freedom of Expression establishes in Principle 3 that every person has the right to access to information about himself or herself in an expeditious manner.</w:t>
      </w:r>
      <w:r w:rsidR="00ED56AB" w:rsidRPr="00D2222C">
        <w:rPr>
          <w:rStyle w:val="FootnoteReference"/>
          <w:rFonts w:asciiTheme="majorHAnsi" w:hAnsiTheme="majorHAnsi"/>
          <w:sz w:val="20"/>
          <w:szCs w:val="20"/>
        </w:rPr>
        <w:footnoteReference w:id="87"/>
      </w:r>
      <w:r w:rsidRPr="00D2222C">
        <w:rPr>
          <w:rFonts w:asciiTheme="majorHAnsi" w:hAnsiTheme="majorHAnsi"/>
          <w:sz w:val="20"/>
          <w:szCs w:val="20"/>
        </w:rPr>
        <w:t xml:space="preserve"> </w:t>
      </w:r>
    </w:p>
    <w:p w14:paraId="2684C2EA" w14:textId="77777777" w:rsidR="002F443F" w:rsidRPr="00D2222C" w:rsidRDefault="002F443F" w:rsidP="009E3847">
      <w:pPr>
        <w:pStyle w:val="ListParagraph"/>
        <w:tabs>
          <w:tab w:val="left" w:pos="720"/>
        </w:tabs>
        <w:rPr>
          <w:rFonts w:asciiTheme="majorHAnsi" w:hAnsiTheme="majorHAnsi"/>
          <w:sz w:val="20"/>
          <w:szCs w:val="20"/>
        </w:rPr>
      </w:pPr>
    </w:p>
    <w:p w14:paraId="4E365ACE" w14:textId="77777777" w:rsidR="001E2867" w:rsidRPr="00D2222C" w:rsidRDefault="00162CEF"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pPr>
      <w:r w:rsidRPr="00D2222C">
        <w:rPr>
          <w:rFonts w:asciiTheme="majorHAnsi" w:hAnsiTheme="majorHAnsi"/>
          <w:sz w:val="20"/>
          <w:szCs w:val="20"/>
        </w:rPr>
        <w:t xml:space="preserve">With regard to access to information relating to judicial </w:t>
      </w:r>
      <w:r w:rsidR="001E699E" w:rsidRPr="00D2222C">
        <w:rPr>
          <w:rFonts w:asciiTheme="majorHAnsi" w:hAnsiTheme="majorHAnsi"/>
          <w:sz w:val="20"/>
          <w:szCs w:val="20"/>
        </w:rPr>
        <w:t>proceedings</w:t>
      </w:r>
      <w:r w:rsidRPr="00D2222C">
        <w:rPr>
          <w:rFonts w:asciiTheme="majorHAnsi" w:hAnsiTheme="majorHAnsi"/>
          <w:sz w:val="20"/>
          <w:szCs w:val="20"/>
        </w:rPr>
        <w:t xml:space="preserve">, although the State </w:t>
      </w:r>
      <w:r w:rsidR="001E699E" w:rsidRPr="00D2222C">
        <w:rPr>
          <w:rFonts w:asciiTheme="majorHAnsi" w:hAnsiTheme="majorHAnsi"/>
          <w:sz w:val="20"/>
          <w:szCs w:val="20"/>
        </w:rPr>
        <w:t>is allowed</w:t>
      </w:r>
      <w:r w:rsidRPr="00D2222C">
        <w:rPr>
          <w:rFonts w:asciiTheme="majorHAnsi" w:hAnsiTheme="majorHAnsi"/>
          <w:sz w:val="20"/>
          <w:szCs w:val="20"/>
        </w:rPr>
        <w:t xml:space="preserve"> </w:t>
      </w:r>
      <w:r w:rsidR="001E699E" w:rsidRPr="00D2222C">
        <w:rPr>
          <w:rFonts w:asciiTheme="majorHAnsi" w:hAnsiTheme="majorHAnsi"/>
          <w:sz w:val="20"/>
          <w:szCs w:val="20"/>
        </w:rPr>
        <w:t xml:space="preserve">to </w:t>
      </w:r>
      <w:r w:rsidRPr="00D2222C">
        <w:rPr>
          <w:rFonts w:asciiTheme="majorHAnsi" w:hAnsiTheme="majorHAnsi"/>
          <w:sz w:val="20"/>
          <w:szCs w:val="20"/>
        </w:rPr>
        <w:t xml:space="preserve">reserve the proceedings at the </w:t>
      </w:r>
      <w:r w:rsidR="001E699E" w:rsidRPr="00D2222C">
        <w:rPr>
          <w:rFonts w:asciiTheme="majorHAnsi" w:hAnsiTheme="majorHAnsi"/>
          <w:sz w:val="20"/>
          <w:szCs w:val="20"/>
        </w:rPr>
        <w:t>initial</w:t>
      </w:r>
      <w:r w:rsidRPr="00D2222C">
        <w:rPr>
          <w:rFonts w:asciiTheme="majorHAnsi" w:hAnsiTheme="majorHAnsi"/>
          <w:sz w:val="20"/>
          <w:szCs w:val="20"/>
        </w:rPr>
        <w:t xml:space="preserve"> stage</w:t>
      </w:r>
      <w:r w:rsidR="001E699E" w:rsidRPr="00D2222C">
        <w:rPr>
          <w:rFonts w:asciiTheme="majorHAnsi" w:hAnsiTheme="majorHAnsi"/>
          <w:sz w:val="20"/>
          <w:szCs w:val="20"/>
        </w:rPr>
        <w:t xml:space="preserve"> to safeguard the investigation</w:t>
      </w:r>
      <w:r w:rsidRPr="00D2222C">
        <w:rPr>
          <w:rFonts w:asciiTheme="majorHAnsi" w:hAnsiTheme="majorHAnsi"/>
          <w:sz w:val="20"/>
          <w:szCs w:val="20"/>
        </w:rPr>
        <w:t xml:space="preserve">, it must substantiate the legitimate aim pursued and demonstrate that it is a suitable, necessary and strictly proportional means for the purpose sought. </w:t>
      </w:r>
      <w:r w:rsidR="0003324D" w:rsidRPr="00D2222C">
        <w:rPr>
          <w:rFonts w:asciiTheme="majorHAnsi" w:hAnsiTheme="majorHAnsi"/>
          <w:sz w:val="20"/>
          <w:szCs w:val="20"/>
        </w:rPr>
        <w:t xml:space="preserve">The State, however, cannot invoke the reservation to prevent the accused from having access to the judicial file since this is </w:t>
      </w:r>
      <w:r w:rsidR="00A20B65" w:rsidRPr="00D2222C">
        <w:rPr>
          <w:rFonts w:asciiTheme="majorHAnsi" w:hAnsiTheme="majorHAnsi"/>
          <w:sz w:val="20"/>
          <w:szCs w:val="20"/>
        </w:rPr>
        <w:t>a</w:t>
      </w:r>
      <w:r w:rsidR="00C548FA" w:rsidRPr="00D2222C">
        <w:rPr>
          <w:rFonts w:asciiTheme="majorHAnsi" w:hAnsiTheme="majorHAnsi"/>
          <w:sz w:val="20"/>
          <w:szCs w:val="20"/>
        </w:rPr>
        <w:t xml:space="preserve"> basic requirement </w:t>
      </w:r>
      <w:r w:rsidR="0003324D" w:rsidRPr="00D2222C">
        <w:rPr>
          <w:rFonts w:asciiTheme="majorHAnsi" w:hAnsiTheme="majorHAnsi"/>
          <w:sz w:val="20"/>
          <w:szCs w:val="20"/>
        </w:rPr>
        <w:t>of the right to a</w:t>
      </w:r>
      <w:r w:rsidR="000B4DAF" w:rsidRPr="00D2222C">
        <w:rPr>
          <w:rFonts w:asciiTheme="majorHAnsi" w:hAnsiTheme="majorHAnsi"/>
          <w:sz w:val="20"/>
          <w:szCs w:val="20"/>
        </w:rPr>
        <w:t>n effective</w:t>
      </w:r>
      <w:r w:rsidR="0003324D" w:rsidRPr="00D2222C">
        <w:rPr>
          <w:rFonts w:asciiTheme="majorHAnsi" w:hAnsiTheme="majorHAnsi"/>
          <w:sz w:val="20"/>
          <w:szCs w:val="20"/>
        </w:rPr>
        <w:t xml:space="preserve"> defense.</w:t>
      </w:r>
      <w:r w:rsidR="000B4DAF" w:rsidRPr="00D2222C">
        <w:rPr>
          <w:rFonts w:asciiTheme="majorHAnsi" w:hAnsiTheme="majorHAnsi"/>
          <w:sz w:val="20"/>
          <w:szCs w:val="20"/>
        </w:rPr>
        <w:t xml:space="preserve"> </w:t>
      </w:r>
      <w:r w:rsidRPr="00D2222C">
        <w:rPr>
          <w:rFonts w:asciiTheme="majorHAnsi" w:hAnsiTheme="majorHAnsi"/>
          <w:sz w:val="20"/>
          <w:szCs w:val="20"/>
        </w:rPr>
        <w:t>In the instant case</w:t>
      </w:r>
      <w:r w:rsidR="001E699E" w:rsidRPr="00D2222C">
        <w:rPr>
          <w:rFonts w:asciiTheme="majorHAnsi" w:hAnsiTheme="majorHAnsi"/>
          <w:sz w:val="20"/>
          <w:szCs w:val="20"/>
        </w:rPr>
        <w:t xml:space="preserve">, </w:t>
      </w:r>
      <w:r w:rsidRPr="00D2222C">
        <w:rPr>
          <w:rFonts w:asciiTheme="majorHAnsi" w:hAnsiTheme="majorHAnsi"/>
          <w:sz w:val="20"/>
          <w:szCs w:val="20"/>
        </w:rPr>
        <w:t xml:space="preserve">the </w:t>
      </w:r>
      <w:r w:rsidR="00447B8F" w:rsidRPr="00D2222C">
        <w:rPr>
          <w:rFonts w:asciiTheme="majorHAnsi" w:hAnsiTheme="majorHAnsi"/>
          <w:sz w:val="20"/>
          <w:szCs w:val="20"/>
        </w:rPr>
        <w:t>discovery request was denied by the</w:t>
      </w:r>
      <w:r w:rsidR="00EB4B7E" w:rsidRPr="00D2222C">
        <w:rPr>
          <w:rFonts w:asciiTheme="majorHAnsi" w:hAnsiTheme="majorHAnsi"/>
          <w:sz w:val="20"/>
          <w:szCs w:val="20"/>
        </w:rPr>
        <w:t xml:space="preserve"> district court</w:t>
      </w:r>
      <w:r w:rsidR="00021201" w:rsidRPr="00D2222C">
        <w:rPr>
          <w:rFonts w:asciiTheme="majorHAnsi" w:hAnsiTheme="majorHAnsi"/>
          <w:sz w:val="20"/>
          <w:szCs w:val="20"/>
        </w:rPr>
        <w:t xml:space="preserve"> and t</w:t>
      </w:r>
      <w:r w:rsidR="002626A2" w:rsidRPr="00D2222C">
        <w:rPr>
          <w:rFonts w:asciiTheme="majorHAnsi" w:hAnsiTheme="majorHAnsi"/>
          <w:sz w:val="20"/>
          <w:szCs w:val="20"/>
        </w:rPr>
        <w:t xml:space="preserve">here is no information before the IACHR on the reasons stated by the court </w:t>
      </w:r>
      <w:r w:rsidR="00021201" w:rsidRPr="00D2222C">
        <w:rPr>
          <w:rFonts w:asciiTheme="majorHAnsi" w:hAnsiTheme="majorHAnsi"/>
          <w:sz w:val="20"/>
          <w:szCs w:val="20"/>
        </w:rPr>
        <w:t>to deny the request.</w:t>
      </w:r>
      <w:r w:rsidR="002626A2" w:rsidRPr="00D2222C">
        <w:rPr>
          <w:rFonts w:asciiTheme="majorHAnsi" w:hAnsiTheme="majorHAnsi"/>
          <w:sz w:val="20"/>
          <w:szCs w:val="20"/>
        </w:rPr>
        <w:t xml:space="preserve"> </w:t>
      </w:r>
      <w:r w:rsidR="001F62D9" w:rsidRPr="00D2222C">
        <w:rPr>
          <w:rFonts w:asciiTheme="majorHAnsi" w:hAnsiTheme="majorHAnsi"/>
          <w:sz w:val="20"/>
          <w:szCs w:val="20"/>
        </w:rPr>
        <w:t>Th</w:t>
      </w:r>
      <w:r w:rsidR="000B4DAF" w:rsidRPr="00D2222C">
        <w:rPr>
          <w:rFonts w:asciiTheme="majorHAnsi" w:hAnsiTheme="majorHAnsi"/>
          <w:sz w:val="20"/>
          <w:szCs w:val="20"/>
        </w:rPr>
        <w:t>is</w:t>
      </w:r>
      <w:r w:rsidR="001F62D9" w:rsidRPr="00D2222C">
        <w:rPr>
          <w:rFonts w:asciiTheme="majorHAnsi" w:hAnsiTheme="majorHAnsi"/>
          <w:sz w:val="20"/>
          <w:szCs w:val="20"/>
        </w:rPr>
        <w:t xml:space="preserve"> information was essential </w:t>
      </w:r>
      <w:r w:rsidR="000B4DAF" w:rsidRPr="00D2222C">
        <w:rPr>
          <w:rFonts w:asciiTheme="majorHAnsi" w:hAnsiTheme="majorHAnsi"/>
          <w:sz w:val="20"/>
          <w:szCs w:val="20"/>
        </w:rPr>
        <w:t>to establish whether Mr. Hall’s race had any bearing on the government’s decision to seek the death penalty</w:t>
      </w:r>
      <w:r w:rsidR="00021201" w:rsidRPr="00D2222C">
        <w:rPr>
          <w:rFonts w:asciiTheme="majorHAnsi" w:hAnsiTheme="majorHAnsi"/>
          <w:sz w:val="20"/>
          <w:szCs w:val="20"/>
        </w:rPr>
        <w:t xml:space="preserve"> and thus had an impact on his right to due process and judicial protection</w:t>
      </w:r>
      <w:r w:rsidR="000B4DAF" w:rsidRPr="00D2222C">
        <w:rPr>
          <w:rFonts w:asciiTheme="majorHAnsi" w:hAnsiTheme="majorHAnsi"/>
          <w:sz w:val="20"/>
          <w:szCs w:val="20"/>
        </w:rPr>
        <w:t xml:space="preserve">. </w:t>
      </w:r>
    </w:p>
    <w:p w14:paraId="16467BD6" w14:textId="77777777" w:rsidR="00C01451" w:rsidRPr="00D2222C" w:rsidRDefault="00C01451"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p>
    <w:p w14:paraId="290982E8" w14:textId="77777777" w:rsidR="00112617" w:rsidRPr="00D2222C" w:rsidRDefault="00FB4EE9"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eastAsia="Times New Roman" w:hAnsi="Cambria"/>
          <w:sz w:val="20"/>
          <w:szCs w:val="20"/>
          <w:bdr w:val="none" w:sz="0" w:space="0" w:color="auto"/>
        </w:rPr>
      </w:pPr>
      <w:r w:rsidRPr="00D2222C">
        <w:rPr>
          <w:rFonts w:ascii="Cambria" w:eastAsia="Times New Roman" w:hAnsi="Cambria"/>
          <w:sz w:val="20"/>
          <w:szCs w:val="20"/>
          <w:bdr w:val="none" w:sz="0" w:space="0" w:color="auto"/>
        </w:rPr>
        <w:t xml:space="preserve">With regard to the denial of the request of information </w:t>
      </w:r>
      <w:r w:rsidRPr="00D2222C">
        <w:rPr>
          <w:rFonts w:asciiTheme="majorHAnsi" w:hAnsiTheme="majorHAnsi"/>
          <w:sz w:val="20"/>
          <w:szCs w:val="20"/>
        </w:rPr>
        <w:t xml:space="preserve">about the </w:t>
      </w:r>
      <w:r w:rsidR="00021201" w:rsidRPr="00D2222C">
        <w:rPr>
          <w:rFonts w:asciiTheme="majorHAnsi" w:hAnsiTheme="majorHAnsi"/>
          <w:sz w:val="20"/>
          <w:szCs w:val="20"/>
        </w:rPr>
        <w:t>lethal injection protocol</w:t>
      </w:r>
      <w:r w:rsidRPr="00D2222C">
        <w:rPr>
          <w:rFonts w:asciiTheme="majorHAnsi" w:hAnsiTheme="majorHAnsi"/>
          <w:sz w:val="20"/>
          <w:szCs w:val="20"/>
        </w:rPr>
        <w:t>, the IACHR recalls that i</w:t>
      </w:r>
      <w:r w:rsidR="00112617" w:rsidRPr="00D2222C">
        <w:rPr>
          <w:rFonts w:ascii="Cambria" w:eastAsia="Times New Roman" w:hAnsi="Cambria"/>
          <w:sz w:val="20"/>
          <w:szCs w:val="20"/>
          <w:bdr w:val="none" w:sz="0" w:space="0" w:color="auto"/>
        </w:rPr>
        <w:t>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the case of execution by lethal injection, and the composition of the execution team as well as the training of its members.</w:t>
      </w:r>
      <w:r w:rsidR="00112617" w:rsidRPr="00D2222C">
        <w:rPr>
          <w:rFonts w:eastAsia="Times New Roman"/>
          <w:sz w:val="20"/>
          <w:szCs w:val="20"/>
          <w:bdr w:val="none" w:sz="0" w:space="0" w:color="auto"/>
          <w:vertAlign w:val="superscript"/>
        </w:rPr>
        <w:footnoteReference w:id="88"/>
      </w:r>
      <w:r w:rsidR="00112617" w:rsidRPr="00D2222C">
        <w:rPr>
          <w:rFonts w:ascii="Cambria" w:eastAsia="Times New Roman" w:hAnsi="Cambria"/>
          <w:sz w:val="20"/>
          <w:szCs w:val="20"/>
          <w:bdr w:val="none" w:sz="0" w:space="0" w:color="auto"/>
        </w:rPr>
        <w:t xml:space="preserve">  </w:t>
      </w:r>
    </w:p>
    <w:p w14:paraId="6CEFC0AA" w14:textId="77777777" w:rsidR="00112617" w:rsidRPr="00D2222C" w:rsidRDefault="00112617"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sz w:val="20"/>
          <w:szCs w:val="20"/>
          <w:bdr w:val="none" w:sz="0" w:space="0" w:color="auto"/>
        </w:rPr>
      </w:pPr>
    </w:p>
    <w:p w14:paraId="44BF376A" w14:textId="77777777" w:rsidR="00BF08CB" w:rsidRPr="00D2222C" w:rsidRDefault="00112617"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eastAsia="Times New Roman" w:hAnsi="Cambria"/>
          <w:sz w:val="20"/>
          <w:szCs w:val="20"/>
          <w:bdr w:val="none" w:sz="0" w:space="0" w:color="auto"/>
        </w:rPr>
      </w:pPr>
      <w:r w:rsidRPr="00D2222C">
        <w:rPr>
          <w:rFonts w:ascii="Cambria" w:eastAsia="Times New Roman" w:hAnsi="Cambria"/>
          <w:sz w:val="20"/>
          <w:szCs w:val="20"/>
          <w:bdr w:val="none" w:sz="0" w:space="0" w:color="auto"/>
        </w:rPr>
        <w:t>Any person subjected to the death penalty must have the opportunity to challenge every aspect of the execution procedure and such information is necessary to file a challenge. The IACHR notes in this regard that the obligation of the State to provide due process is not limited to the conviction and post-conviction proceedings.</w:t>
      </w:r>
      <w:r w:rsidRPr="00D2222C">
        <w:rPr>
          <w:rFonts w:eastAsia="Times New Roman"/>
          <w:sz w:val="20"/>
          <w:szCs w:val="20"/>
          <w:bdr w:val="none" w:sz="0" w:space="0" w:color="auto"/>
          <w:vertAlign w:val="superscript"/>
        </w:rPr>
        <w:footnoteReference w:id="89"/>
      </w:r>
      <w:r w:rsidRPr="00D2222C">
        <w:rPr>
          <w:rFonts w:ascii="Cambria" w:eastAsia="Times New Roman" w:hAnsi="Cambria"/>
          <w:sz w:val="20"/>
          <w:szCs w:val="20"/>
          <w:bdr w:val="none" w:sz="0" w:space="0" w:color="auto"/>
        </w:rPr>
        <w:t xml:space="preserve"> Accordingly,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76BDA882" w14:textId="77777777" w:rsidR="00BF08CB" w:rsidRPr="00D2222C" w:rsidRDefault="00BF08CB" w:rsidP="009E3847">
      <w:pPr>
        <w:pStyle w:val="ListParagraph"/>
        <w:tabs>
          <w:tab w:val="left" w:pos="720"/>
        </w:tabs>
        <w:rPr>
          <w:rFonts w:eastAsia="Times New Roman"/>
          <w:sz w:val="20"/>
          <w:szCs w:val="20"/>
          <w:bdr w:val="none" w:sz="0" w:space="0" w:color="auto"/>
        </w:rPr>
      </w:pPr>
    </w:p>
    <w:p w14:paraId="64F67C9C" w14:textId="77777777" w:rsidR="00BC35EB" w:rsidRPr="00D2222C" w:rsidRDefault="00EB4B7E"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eastAsia="Times New Roman" w:hAnsi="Cambria"/>
          <w:sz w:val="20"/>
          <w:szCs w:val="20"/>
          <w:bdr w:val="none" w:sz="0" w:space="0" w:color="auto"/>
        </w:rPr>
      </w:pPr>
      <w:r w:rsidRPr="00D2222C">
        <w:rPr>
          <w:rFonts w:ascii="Cambria" w:eastAsia="Times New Roman" w:hAnsi="Cambria"/>
          <w:sz w:val="20"/>
          <w:szCs w:val="20"/>
          <w:bdr w:val="none" w:sz="0" w:space="0" w:color="auto"/>
        </w:rPr>
        <w:t xml:space="preserve">The IACHR notes that </w:t>
      </w:r>
      <w:r w:rsidR="00021201" w:rsidRPr="00D2222C">
        <w:rPr>
          <w:rFonts w:ascii="Cambria" w:eastAsia="Times New Roman" w:hAnsi="Cambria"/>
          <w:sz w:val="20"/>
          <w:szCs w:val="20"/>
          <w:bdr w:val="none" w:sz="0" w:space="0" w:color="auto"/>
        </w:rPr>
        <w:t xml:space="preserve">in the instant case </w:t>
      </w:r>
      <w:r w:rsidRPr="00D2222C">
        <w:rPr>
          <w:rFonts w:ascii="Cambria" w:eastAsia="Times New Roman" w:hAnsi="Cambria"/>
          <w:sz w:val="20"/>
          <w:szCs w:val="20"/>
          <w:bdr w:val="none" w:sz="0" w:space="0" w:color="auto"/>
        </w:rPr>
        <w:t xml:space="preserve">three different administrative authorities summarily denied Mr. Hall’s request </w:t>
      </w:r>
      <w:r w:rsidR="003410A6" w:rsidRPr="00D2222C">
        <w:rPr>
          <w:rFonts w:ascii="Cambria" w:eastAsia="Times New Roman" w:hAnsi="Cambria"/>
          <w:sz w:val="20"/>
          <w:szCs w:val="20"/>
          <w:bdr w:val="none" w:sz="0" w:space="0" w:color="auto"/>
        </w:rPr>
        <w:t xml:space="preserve">of information </w:t>
      </w:r>
      <w:r w:rsidR="003410A6" w:rsidRPr="00D2222C">
        <w:rPr>
          <w:rFonts w:asciiTheme="majorHAnsi" w:hAnsiTheme="majorHAnsi"/>
          <w:sz w:val="20"/>
          <w:szCs w:val="20"/>
        </w:rPr>
        <w:t>about the process that would be used for his execution.</w:t>
      </w:r>
      <w:r w:rsidR="00021201" w:rsidRPr="00D2222C">
        <w:rPr>
          <w:rFonts w:asciiTheme="majorHAnsi" w:hAnsiTheme="majorHAnsi"/>
          <w:sz w:val="20"/>
          <w:szCs w:val="20"/>
        </w:rPr>
        <w:t xml:space="preserve"> </w:t>
      </w:r>
      <w:r w:rsidR="00D537DA" w:rsidRPr="00D2222C">
        <w:rPr>
          <w:rFonts w:ascii="Cambria" w:hAnsi="Cambria" w:cs="Cambria"/>
          <w:color w:val="000000"/>
          <w:sz w:val="20"/>
          <w:szCs w:val="20"/>
        </w:rPr>
        <w:t xml:space="preserve">The Commission considers that the summary dismissal of such claims demonstrates a failure to act with due diligence to fully examine them in light of the prohibition of torture and cruel and inhuman punishment.  </w:t>
      </w:r>
    </w:p>
    <w:p w14:paraId="5F175066" w14:textId="77777777" w:rsidR="00BC35EB" w:rsidRPr="00D2222C" w:rsidRDefault="00BC35EB" w:rsidP="009E3847">
      <w:pPr>
        <w:pStyle w:val="ListParagraph"/>
        <w:tabs>
          <w:tab w:val="left" w:pos="720"/>
        </w:tabs>
        <w:rPr>
          <w:rFonts w:eastAsia="Times New Roman"/>
          <w:sz w:val="20"/>
          <w:szCs w:val="20"/>
          <w:bdr w:val="none" w:sz="0" w:space="0" w:color="auto"/>
        </w:rPr>
      </w:pPr>
    </w:p>
    <w:p w14:paraId="1C745031" w14:textId="77777777" w:rsidR="00432731" w:rsidRPr="00D2222C" w:rsidRDefault="00432731"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eastAsia="Times New Roman" w:hAnsi="Cambria"/>
          <w:sz w:val="20"/>
          <w:szCs w:val="20"/>
          <w:bdr w:val="none" w:sz="0" w:space="0" w:color="auto"/>
        </w:rPr>
      </w:pPr>
      <w:r w:rsidRPr="00D2222C">
        <w:rPr>
          <w:rFonts w:ascii="Cambria" w:eastAsia="Times New Roman" w:hAnsi="Cambria"/>
          <w:sz w:val="20"/>
          <w:szCs w:val="20"/>
          <w:bdr w:val="none" w:sz="0" w:space="0" w:color="auto"/>
        </w:rPr>
        <w:t xml:space="preserve">Based on the above considerations, the IACHR concludes that, by refusing </w:t>
      </w:r>
      <w:r w:rsidR="00BF08CB" w:rsidRPr="00D2222C">
        <w:rPr>
          <w:rFonts w:ascii="Cambria" w:eastAsia="Times New Roman" w:hAnsi="Cambria"/>
          <w:sz w:val="20"/>
          <w:szCs w:val="20"/>
          <w:bdr w:val="none" w:sz="0" w:space="0" w:color="auto"/>
        </w:rPr>
        <w:t xml:space="preserve">to provide information on </w:t>
      </w:r>
      <w:r w:rsidR="00BF08CB" w:rsidRPr="00D2222C">
        <w:rPr>
          <w:rFonts w:ascii="Cambria" w:hAnsi="Cambria"/>
          <w:sz w:val="20"/>
          <w:szCs w:val="20"/>
        </w:rPr>
        <w:t xml:space="preserve">the arguments presented by the government to seek the death penalty and </w:t>
      </w:r>
      <w:r w:rsidRPr="00D2222C">
        <w:rPr>
          <w:rFonts w:ascii="Cambria" w:eastAsia="Times New Roman" w:hAnsi="Cambria"/>
          <w:sz w:val="20"/>
          <w:szCs w:val="20"/>
          <w:bdr w:val="none" w:sz="0" w:space="0" w:color="auto"/>
        </w:rPr>
        <w:t>to reveal the e</w:t>
      </w:r>
      <w:r w:rsidR="00A23924" w:rsidRPr="00D2222C">
        <w:rPr>
          <w:rFonts w:ascii="Cambria" w:eastAsia="Times New Roman" w:hAnsi="Cambria"/>
          <w:sz w:val="20"/>
          <w:szCs w:val="20"/>
          <w:bdr w:val="none" w:sz="0" w:space="0" w:color="auto"/>
        </w:rPr>
        <w:t>xecution protocol, the State has violated</w:t>
      </w:r>
      <w:r w:rsidRPr="00D2222C">
        <w:rPr>
          <w:rFonts w:ascii="Cambria" w:eastAsia="Times New Roman" w:hAnsi="Cambria"/>
          <w:sz w:val="20"/>
          <w:szCs w:val="20"/>
          <w:bdr w:val="none" w:sz="0" w:space="0" w:color="auto"/>
        </w:rPr>
        <w:t xml:space="preserve"> Mr. </w:t>
      </w:r>
      <w:r w:rsidR="00A23924" w:rsidRPr="00D2222C">
        <w:rPr>
          <w:rFonts w:ascii="Cambria" w:eastAsia="Times New Roman" w:hAnsi="Cambria"/>
          <w:sz w:val="20"/>
          <w:szCs w:val="20"/>
          <w:bdr w:val="none" w:sz="0" w:space="0" w:color="auto"/>
        </w:rPr>
        <w:t xml:space="preserve">Hall’s right to access to information set forth in Article IV of the </w:t>
      </w:r>
      <w:r w:rsidR="00584C28" w:rsidRPr="00D2222C">
        <w:rPr>
          <w:rFonts w:ascii="Cambria" w:eastAsia="Times New Roman" w:hAnsi="Cambria"/>
          <w:sz w:val="20"/>
          <w:szCs w:val="20"/>
          <w:bdr w:val="none" w:sz="0" w:space="0" w:color="auto"/>
        </w:rPr>
        <w:t xml:space="preserve">American </w:t>
      </w:r>
      <w:r w:rsidR="00A23924" w:rsidRPr="00D2222C">
        <w:rPr>
          <w:rFonts w:ascii="Cambria" w:eastAsia="Times New Roman" w:hAnsi="Cambria"/>
          <w:sz w:val="20"/>
          <w:szCs w:val="20"/>
          <w:bdr w:val="none" w:sz="0" w:space="0" w:color="auto"/>
        </w:rPr>
        <w:t xml:space="preserve">Declaration, in connection to Mr. Hall’s right to </w:t>
      </w:r>
      <w:r w:rsidR="00584C28" w:rsidRPr="00D2222C">
        <w:rPr>
          <w:rFonts w:ascii="Cambria" w:eastAsia="Times New Roman" w:hAnsi="Cambria"/>
          <w:sz w:val="20"/>
          <w:szCs w:val="20"/>
          <w:bdr w:val="none" w:sz="0" w:space="0" w:color="auto"/>
        </w:rPr>
        <w:t xml:space="preserve">fair trial and </w:t>
      </w:r>
      <w:r w:rsidR="00A23924" w:rsidRPr="00D2222C">
        <w:rPr>
          <w:rFonts w:ascii="Cambria" w:eastAsia="Times New Roman" w:hAnsi="Cambria"/>
          <w:sz w:val="20"/>
          <w:szCs w:val="20"/>
          <w:bdr w:val="none" w:sz="0" w:space="0" w:color="auto"/>
        </w:rPr>
        <w:t xml:space="preserve">due process </w:t>
      </w:r>
      <w:r w:rsidR="00584C28" w:rsidRPr="00D2222C">
        <w:rPr>
          <w:rFonts w:ascii="Cambria" w:eastAsia="Times New Roman" w:hAnsi="Cambria"/>
          <w:sz w:val="20"/>
          <w:szCs w:val="20"/>
          <w:bdr w:val="none" w:sz="0" w:space="0" w:color="auto"/>
        </w:rPr>
        <w:t>of law</w:t>
      </w:r>
      <w:r w:rsidR="00A23924" w:rsidRPr="00D2222C">
        <w:rPr>
          <w:rFonts w:ascii="Cambria" w:eastAsia="Times New Roman" w:hAnsi="Cambria"/>
          <w:sz w:val="20"/>
          <w:szCs w:val="20"/>
          <w:bdr w:val="none" w:sz="0" w:space="0" w:color="auto"/>
        </w:rPr>
        <w:t xml:space="preserve"> </w:t>
      </w:r>
      <w:r w:rsidRPr="00D2222C">
        <w:rPr>
          <w:rFonts w:ascii="Cambria" w:eastAsia="Times New Roman" w:hAnsi="Cambria"/>
          <w:sz w:val="20"/>
          <w:szCs w:val="20"/>
          <w:bdr w:val="none" w:sz="0" w:space="0" w:color="auto"/>
        </w:rPr>
        <w:t xml:space="preserve">set forth in Articles </w:t>
      </w:r>
      <w:r w:rsidR="00584C28" w:rsidRPr="00D2222C">
        <w:rPr>
          <w:rFonts w:ascii="Cambria" w:eastAsia="Times New Roman" w:hAnsi="Cambria"/>
          <w:sz w:val="20"/>
          <w:szCs w:val="20"/>
          <w:bdr w:val="none" w:sz="0" w:space="0" w:color="auto"/>
        </w:rPr>
        <w:t xml:space="preserve">XVIII and </w:t>
      </w:r>
      <w:r w:rsidRPr="00D2222C">
        <w:rPr>
          <w:rFonts w:ascii="Cambria" w:eastAsia="Times New Roman" w:hAnsi="Cambria"/>
          <w:sz w:val="20"/>
          <w:szCs w:val="20"/>
          <w:bdr w:val="none" w:sz="0" w:space="0" w:color="auto"/>
        </w:rPr>
        <w:t>XXV</w:t>
      </w:r>
      <w:r w:rsidR="00584C28" w:rsidRPr="00D2222C">
        <w:rPr>
          <w:rFonts w:ascii="Cambria" w:eastAsia="Times New Roman" w:hAnsi="Cambria"/>
          <w:sz w:val="20"/>
          <w:szCs w:val="20"/>
          <w:bdr w:val="none" w:sz="0" w:space="0" w:color="auto"/>
        </w:rPr>
        <w:t>I</w:t>
      </w:r>
      <w:r w:rsidRPr="00D2222C">
        <w:rPr>
          <w:rFonts w:ascii="Cambria" w:eastAsia="Times New Roman" w:hAnsi="Cambria"/>
          <w:sz w:val="20"/>
          <w:szCs w:val="20"/>
          <w:bdr w:val="none" w:sz="0" w:space="0" w:color="auto"/>
        </w:rPr>
        <w:t xml:space="preserve"> of the Declaration. </w:t>
      </w:r>
    </w:p>
    <w:p w14:paraId="35353A4C" w14:textId="77777777" w:rsidR="00A24331" w:rsidRPr="00D2222C" w:rsidRDefault="00A24331"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p>
    <w:p w14:paraId="560A4EEC" w14:textId="77777777" w:rsidR="000E1356" w:rsidRPr="00D2222C" w:rsidRDefault="000E1356" w:rsidP="009412E0">
      <w:pPr>
        <w:pStyle w:val="Heading2"/>
        <w:numPr>
          <w:ilvl w:val="0"/>
          <w:numId w:val="56"/>
        </w:numPr>
        <w:spacing w:before="0"/>
        <w:ind w:left="1440" w:hanging="720"/>
        <w:jc w:val="both"/>
        <w:rPr>
          <w:color w:val="auto"/>
          <w:sz w:val="20"/>
          <w:szCs w:val="20"/>
        </w:rPr>
      </w:pPr>
      <w:bookmarkStart w:id="33" w:name="_Toc26550941"/>
      <w:r w:rsidRPr="00D2222C">
        <w:rPr>
          <w:color w:val="auto"/>
          <w:sz w:val="20"/>
          <w:szCs w:val="20"/>
        </w:rPr>
        <w:t>The right to life</w:t>
      </w:r>
      <w:r w:rsidRPr="00D2222C">
        <w:rPr>
          <w:rStyle w:val="FootnoteReference"/>
          <w:color w:val="auto"/>
          <w:sz w:val="20"/>
          <w:szCs w:val="20"/>
        </w:rPr>
        <w:footnoteReference w:id="90"/>
      </w:r>
      <w:r w:rsidRPr="00D2222C">
        <w:rPr>
          <w:color w:val="auto"/>
          <w:sz w:val="20"/>
          <w:szCs w:val="20"/>
        </w:rPr>
        <w:t xml:space="preserve"> </w:t>
      </w:r>
      <w:r w:rsidR="00A5028C" w:rsidRPr="00D2222C">
        <w:rPr>
          <w:color w:val="auto"/>
          <w:sz w:val="20"/>
          <w:szCs w:val="20"/>
        </w:rPr>
        <w:t xml:space="preserve">and the right to protection against cruel, infamous or unusual punishment </w:t>
      </w:r>
      <w:r w:rsidRPr="00D2222C">
        <w:rPr>
          <w:color w:val="auto"/>
          <w:sz w:val="20"/>
          <w:szCs w:val="20"/>
        </w:rPr>
        <w:t xml:space="preserve">with respect to the eventual execution of </w:t>
      </w:r>
      <w:bookmarkEnd w:id="30"/>
      <w:bookmarkEnd w:id="31"/>
      <w:bookmarkEnd w:id="32"/>
      <w:r w:rsidRPr="00D2222C">
        <w:rPr>
          <w:color w:val="auto"/>
          <w:sz w:val="20"/>
          <w:szCs w:val="20"/>
        </w:rPr>
        <w:t>Orlando Cordia Hall</w:t>
      </w:r>
      <w:bookmarkEnd w:id="33"/>
    </w:p>
    <w:p w14:paraId="6482A15A" w14:textId="77777777" w:rsidR="000E1356" w:rsidRPr="00D2222C" w:rsidRDefault="000E1356"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0274EFF0" w14:textId="77777777" w:rsidR="000E1356" w:rsidRPr="00D2222C" w:rsidRDefault="000E135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 xml:space="preserve">The Commission reiterates that it is not competent to review judgments handed down by domestic courts acting within their spheres of competence and with due judicial guarantees. In principle that is because </w:t>
      </w:r>
      <w:r w:rsidRPr="00D2222C">
        <w:rPr>
          <w:rFonts w:ascii="Cambria" w:hAnsi="Cambria"/>
          <w:sz w:val="20"/>
          <w:szCs w:val="20"/>
        </w:rPr>
        <w:lastRenderedPageBreak/>
        <w:t>the IACHR does not have the authority to superimpose its own interpretations on the assessment of facts made by national courts. The fourth instance formula, however, does not preclude the Commission from considering a case in which the petitioner's allegations entail a possible violation of any of the rights set forth in the Declaration.</w:t>
      </w:r>
      <w:r w:rsidRPr="00D2222C">
        <w:rPr>
          <w:rStyle w:val="FootnoteReference"/>
          <w:rFonts w:ascii="Cambria" w:hAnsi="Cambria"/>
          <w:sz w:val="20"/>
          <w:szCs w:val="20"/>
        </w:rPr>
        <w:footnoteReference w:id="91"/>
      </w:r>
      <w:r w:rsidRPr="00D2222C">
        <w:rPr>
          <w:rFonts w:ascii="Cambria" w:hAnsi="Cambria"/>
          <w:sz w:val="20"/>
          <w:szCs w:val="20"/>
        </w:rPr>
        <w:t xml:space="preserve">  This authority is heightened in cases involving imposition of the death penalty, given its irreversibility. </w:t>
      </w:r>
    </w:p>
    <w:p w14:paraId="5B256F6D" w14:textId="77777777" w:rsidR="000E1356" w:rsidRPr="00D2222C" w:rsidRDefault="000E1356"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num" w:pos="2040"/>
        </w:tabs>
        <w:autoSpaceDE w:val="0"/>
        <w:autoSpaceDN w:val="0"/>
        <w:adjustRightInd w:val="0"/>
        <w:jc w:val="both"/>
        <w:rPr>
          <w:rFonts w:ascii="Cambria" w:hAnsi="Cambria"/>
          <w:bCs/>
          <w:sz w:val="20"/>
          <w:szCs w:val="20"/>
        </w:rPr>
      </w:pPr>
    </w:p>
    <w:p w14:paraId="46308D01" w14:textId="77777777" w:rsidR="000E1356" w:rsidRPr="00D2222C" w:rsidRDefault="000E135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D2222C">
        <w:rPr>
          <w:rStyle w:val="FootnoteReference"/>
          <w:rFonts w:ascii="Cambria" w:hAnsi="Cambria"/>
          <w:sz w:val="20"/>
          <w:szCs w:val="20"/>
        </w:rPr>
        <w:footnoteReference w:id="92"/>
      </w:r>
    </w:p>
    <w:p w14:paraId="4F9E3920" w14:textId="77777777" w:rsidR="000E1356" w:rsidRPr="00D2222C" w:rsidRDefault="000E1356" w:rsidP="009E384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jc w:val="both"/>
        <w:rPr>
          <w:sz w:val="20"/>
          <w:szCs w:val="20"/>
        </w:rPr>
      </w:pPr>
    </w:p>
    <w:p w14:paraId="040271B2" w14:textId="77777777" w:rsidR="000E1356" w:rsidRPr="00D2222C" w:rsidRDefault="000E135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 xml:space="preserve">Throughout this report, the Commission established that </w:t>
      </w:r>
      <w:r w:rsidR="00C14CE0" w:rsidRPr="00D2222C">
        <w:rPr>
          <w:rFonts w:ascii="Cambria" w:hAnsi="Cambria"/>
          <w:sz w:val="20"/>
          <w:szCs w:val="20"/>
        </w:rPr>
        <w:t xml:space="preserve">the United States </w:t>
      </w:r>
      <w:r w:rsidR="00C14CE0" w:rsidRPr="00D2222C">
        <w:rPr>
          <w:rFonts w:asciiTheme="majorHAnsi" w:hAnsiTheme="majorHAnsi"/>
          <w:bCs/>
          <w:sz w:val="20"/>
          <w:szCs w:val="20"/>
        </w:rPr>
        <w:t>failed to fully respond to the allegations concerning possible racial discrimination raised in Mr. Hall’s case</w:t>
      </w:r>
      <w:r w:rsidRPr="00D2222C">
        <w:rPr>
          <w:rFonts w:ascii="Cambria" w:hAnsi="Cambria"/>
          <w:sz w:val="20"/>
          <w:szCs w:val="20"/>
        </w:rPr>
        <w:t xml:space="preserve">. The Commission also established </w:t>
      </w:r>
      <w:r w:rsidR="003A4B42" w:rsidRPr="00D2222C">
        <w:rPr>
          <w:rFonts w:ascii="Cambria" w:hAnsi="Cambria"/>
          <w:sz w:val="20"/>
          <w:szCs w:val="20"/>
        </w:rPr>
        <w:t xml:space="preserve">that Mr. Hall was deprived of effective assistance of counsel and that his </w:t>
      </w:r>
      <w:r w:rsidR="003A4B42" w:rsidRPr="00D2222C">
        <w:rPr>
          <w:rStyle w:val="apple-style-span"/>
          <w:rFonts w:asciiTheme="majorHAnsi" w:hAnsiTheme="majorHAnsi" w:cs="Arial"/>
          <w:sz w:val="20"/>
          <w:szCs w:val="20"/>
        </w:rPr>
        <w:t xml:space="preserve">right to an effective remedy has been violated. The Commission further concluded that </w:t>
      </w:r>
      <w:r w:rsidR="00973675" w:rsidRPr="00D2222C">
        <w:rPr>
          <w:rStyle w:val="apple-style-span"/>
          <w:rFonts w:asciiTheme="majorHAnsi" w:hAnsiTheme="majorHAnsi" w:cs="Arial"/>
          <w:sz w:val="20"/>
          <w:szCs w:val="20"/>
        </w:rPr>
        <w:t xml:space="preserve">the </w:t>
      </w:r>
      <w:r w:rsidR="00973675" w:rsidRPr="00D2222C">
        <w:rPr>
          <w:rFonts w:ascii="Cambria" w:hAnsi="Cambria"/>
          <w:sz w:val="20"/>
          <w:szCs w:val="20"/>
        </w:rPr>
        <w:t xml:space="preserve">executive clemency process fails to guarantee the right to minimal fairness guarantees </w:t>
      </w:r>
      <w:r w:rsidR="00A87FF5" w:rsidRPr="00D2222C">
        <w:rPr>
          <w:rFonts w:ascii="Cambria" w:hAnsi="Cambria"/>
          <w:sz w:val="20"/>
          <w:szCs w:val="20"/>
        </w:rPr>
        <w:t xml:space="preserve">and that </w:t>
      </w:r>
      <w:r w:rsidR="00A87FF5" w:rsidRPr="00D2222C">
        <w:rPr>
          <w:rFonts w:asciiTheme="majorHAnsi" w:hAnsiTheme="majorHAnsi"/>
          <w:sz w:val="20"/>
          <w:szCs w:val="20"/>
        </w:rPr>
        <w:t xml:space="preserve">the uncertainty about the </w:t>
      </w:r>
      <w:r w:rsidR="00A87FF5" w:rsidRPr="00D2222C">
        <w:rPr>
          <w:rFonts w:ascii="Cambria" w:hAnsi="Cambria"/>
          <w:sz w:val="20"/>
          <w:szCs w:val="20"/>
        </w:rPr>
        <w:t>execution process</w:t>
      </w:r>
      <w:r w:rsidR="00A87FF5" w:rsidRPr="00D2222C">
        <w:rPr>
          <w:rFonts w:ascii="Cambria" w:eastAsia="Times New Roman" w:hAnsi="Cambria"/>
          <w:sz w:val="20"/>
          <w:szCs w:val="20"/>
          <w:bdr w:val="none" w:sz="0" w:space="0" w:color="auto"/>
        </w:rPr>
        <w:t xml:space="preserve"> amounts to a violation of Mr. Hall’s right to humane treatment</w:t>
      </w:r>
      <w:r w:rsidRPr="00D2222C">
        <w:rPr>
          <w:rFonts w:ascii="Cambria" w:hAnsi="Cambria"/>
          <w:sz w:val="20"/>
          <w:szCs w:val="20"/>
        </w:rPr>
        <w:t xml:space="preserve">. Moreover, </w:t>
      </w:r>
      <w:r w:rsidR="00684434" w:rsidRPr="00D2222C">
        <w:rPr>
          <w:rFonts w:ascii="Cambria" w:hAnsi="Cambria"/>
          <w:sz w:val="20"/>
          <w:szCs w:val="20"/>
        </w:rPr>
        <w:t xml:space="preserve">the IACHR found that </w:t>
      </w:r>
      <w:r w:rsidR="00684434" w:rsidRPr="00D2222C">
        <w:rPr>
          <w:rFonts w:ascii="Cambria" w:eastAsia="Times New Roman" w:hAnsi="Cambria"/>
          <w:sz w:val="20"/>
          <w:szCs w:val="20"/>
          <w:bdr w:val="none" w:sz="0" w:space="0" w:color="auto"/>
        </w:rPr>
        <w:t xml:space="preserve">by refusing to provide information on </w:t>
      </w:r>
      <w:r w:rsidR="00684434" w:rsidRPr="00D2222C">
        <w:rPr>
          <w:rFonts w:ascii="Cambria" w:hAnsi="Cambria"/>
          <w:sz w:val="20"/>
          <w:szCs w:val="20"/>
        </w:rPr>
        <w:t xml:space="preserve">the arguments presented by the government to seek the death penalty and </w:t>
      </w:r>
      <w:r w:rsidR="00684434" w:rsidRPr="00D2222C">
        <w:rPr>
          <w:rFonts w:ascii="Cambria" w:eastAsia="Times New Roman" w:hAnsi="Cambria"/>
          <w:sz w:val="20"/>
          <w:szCs w:val="20"/>
          <w:bdr w:val="none" w:sz="0" w:space="0" w:color="auto"/>
        </w:rPr>
        <w:t xml:space="preserve">to reveal the execution protocol, the State has violated Mr. Hall’s right to access to information. </w:t>
      </w:r>
      <w:r w:rsidR="00684434" w:rsidRPr="00D2222C">
        <w:rPr>
          <w:rFonts w:ascii="Cambria" w:hAnsi="Cambria"/>
          <w:sz w:val="20"/>
          <w:szCs w:val="20"/>
        </w:rPr>
        <w:t xml:space="preserve">Finally, </w:t>
      </w:r>
      <w:r w:rsidRPr="00D2222C">
        <w:rPr>
          <w:rFonts w:ascii="Cambria" w:hAnsi="Cambria"/>
          <w:sz w:val="20"/>
          <w:szCs w:val="20"/>
        </w:rPr>
        <w:t xml:space="preserve">the Commission established that the </w:t>
      </w:r>
      <w:r w:rsidR="003A4B42" w:rsidRPr="00D2222C">
        <w:rPr>
          <w:rFonts w:ascii="Cambria" w:hAnsi="Cambria"/>
          <w:sz w:val="20"/>
          <w:szCs w:val="20"/>
        </w:rPr>
        <w:t>almost 23</w:t>
      </w:r>
      <w:r w:rsidRPr="00D2222C">
        <w:rPr>
          <w:rFonts w:ascii="Cambria" w:hAnsi="Cambria"/>
          <w:sz w:val="20"/>
          <w:szCs w:val="20"/>
        </w:rPr>
        <w:t xml:space="preserve"> years that Mr. </w:t>
      </w:r>
      <w:r w:rsidR="003A4B42" w:rsidRPr="00D2222C">
        <w:rPr>
          <w:rFonts w:ascii="Cambria" w:hAnsi="Cambria"/>
          <w:sz w:val="20"/>
          <w:szCs w:val="20"/>
        </w:rPr>
        <w:t xml:space="preserve">Hall </w:t>
      </w:r>
      <w:r w:rsidRPr="00D2222C">
        <w:rPr>
          <w:rFonts w:ascii="Cambria" w:hAnsi="Cambria"/>
          <w:sz w:val="20"/>
          <w:szCs w:val="20"/>
        </w:rPr>
        <w:t xml:space="preserve">has been in death row constitute cruel and inhuman treatment.  </w:t>
      </w:r>
    </w:p>
    <w:p w14:paraId="6CD070CF" w14:textId="77777777" w:rsidR="000E1356" w:rsidRPr="00D2222C" w:rsidRDefault="000E1356" w:rsidP="009E3847">
      <w:pPr>
        <w:pStyle w:val="ListParagraph"/>
        <w:tabs>
          <w:tab w:val="left" w:pos="720"/>
        </w:tabs>
        <w:ind w:left="0"/>
        <w:rPr>
          <w:sz w:val="20"/>
          <w:szCs w:val="20"/>
        </w:rPr>
      </w:pPr>
    </w:p>
    <w:p w14:paraId="1384A96B" w14:textId="77777777" w:rsidR="000E1356" w:rsidRPr="00D2222C" w:rsidRDefault="000E1356"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D2222C">
        <w:rPr>
          <w:rStyle w:val="FootnoteReference"/>
          <w:rFonts w:ascii="Cambria" w:hAnsi="Cambria"/>
          <w:sz w:val="20"/>
          <w:szCs w:val="20"/>
        </w:rPr>
        <w:footnoteReference w:id="93"/>
      </w:r>
      <w:r w:rsidRPr="00D2222C">
        <w:rPr>
          <w:rFonts w:ascii="Cambria" w:hAnsi="Cambria"/>
          <w:sz w:val="20"/>
          <w:szCs w:val="20"/>
        </w:rPr>
        <w:t xml:space="preserve"> </w:t>
      </w:r>
      <w:r w:rsidR="00A5028C" w:rsidRPr="00D2222C">
        <w:rPr>
          <w:rFonts w:ascii="Cambria" w:hAnsi="Cambria"/>
          <w:sz w:val="20"/>
          <w:szCs w:val="20"/>
        </w:rPr>
        <w:t xml:space="preserve">Further, based on the conclusions regarding the deprivation of liberty on death row, the eventual execution of Mr. Hall would constitute, by any account, a violation of the right to protection against cruel, infamous or unusual punishment. </w:t>
      </w:r>
      <w:r w:rsidRPr="00D2222C">
        <w:rPr>
          <w:rFonts w:ascii="Cambria" w:hAnsi="Cambria"/>
          <w:sz w:val="20"/>
          <w:szCs w:val="20"/>
        </w:rPr>
        <w:t>In light of</w:t>
      </w:r>
      <w:r w:rsidRPr="00D2222C">
        <w:rPr>
          <w:rFonts w:ascii="Cambria" w:hAnsi="Cambria"/>
          <w:sz w:val="20"/>
          <w:szCs w:val="20"/>
          <w:lang w:val="en"/>
        </w:rPr>
        <w:t xml:space="preserve"> the foregoing and taking into account the determinations made throughout this report, the IACHR concludes that the execution of </w:t>
      </w:r>
      <w:r w:rsidR="003A4B42" w:rsidRPr="00D2222C">
        <w:rPr>
          <w:rFonts w:ascii="Cambria" w:hAnsi="Cambria"/>
          <w:sz w:val="20"/>
          <w:szCs w:val="20"/>
          <w:lang w:val="en"/>
        </w:rPr>
        <w:t>Orlando Cordia Hall</w:t>
      </w:r>
      <w:r w:rsidRPr="00D2222C">
        <w:rPr>
          <w:rFonts w:ascii="Cambria" w:hAnsi="Cambria"/>
          <w:sz w:val="20"/>
          <w:szCs w:val="20"/>
          <w:lang w:val="en"/>
        </w:rPr>
        <w:t xml:space="preserve"> would constitute a serious violation of his rights to life </w:t>
      </w:r>
      <w:r w:rsidRPr="00D2222C">
        <w:rPr>
          <w:rFonts w:ascii="Cambria" w:hAnsi="Cambria"/>
          <w:sz w:val="20"/>
          <w:szCs w:val="20"/>
        </w:rPr>
        <w:t>established in Articles I of the American Declaration.</w:t>
      </w:r>
    </w:p>
    <w:p w14:paraId="636416DB" w14:textId="77777777" w:rsidR="004A2280" w:rsidRPr="00D2222C" w:rsidRDefault="004A2280" w:rsidP="004A2280">
      <w:pPr>
        <w:pStyle w:val="ListParagraph"/>
        <w:rPr>
          <w:sz w:val="20"/>
          <w:szCs w:val="20"/>
        </w:rPr>
      </w:pPr>
    </w:p>
    <w:p w14:paraId="11CDB71D" w14:textId="77777777" w:rsidR="004A2280" w:rsidRPr="00D2222C" w:rsidRDefault="0030197A" w:rsidP="009E3847">
      <w:pPr>
        <w:pStyle w:val="Heading1"/>
        <w:spacing w:before="0"/>
        <w:ind w:left="1440" w:hanging="720"/>
        <w:rPr>
          <w:color w:val="auto"/>
          <w:sz w:val="20"/>
          <w:szCs w:val="20"/>
        </w:rPr>
      </w:pPr>
      <w:bookmarkStart w:id="34" w:name="_Toc26550942"/>
      <w:r w:rsidRPr="00D2222C">
        <w:rPr>
          <w:color w:val="auto"/>
          <w:sz w:val="20"/>
          <w:szCs w:val="20"/>
        </w:rPr>
        <w:t>ACTIONS</w:t>
      </w:r>
      <w:r w:rsidR="004A2280" w:rsidRPr="00D2222C">
        <w:rPr>
          <w:color w:val="auto"/>
          <w:sz w:val="20"/>
          <w:szCs w:val="20"/>
        </w:rPr>
        <w:t xml:space="preserve"> SUBSEQUENT TO REPORT No. 155/18</w:t>
      </w:r>
      <w:bookmarkEnd w:id="34"/>
    </w:p>
    <w:p w14:paraId="1BF68810" w14:textId="77777777" w:rsidR="004A2280" w:rsidRPr="00D2222C" w:rsidRDefault="004A2280" w:rsidP="004A2280"/>
    <w:p w14:paraId="5BCE8DF3" w14:textId="77777777" w:rsidR="0030197A" w:rsidRPr="00D2222C" w:rsidRDefault="0030197A"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D2222C">
        <w:rPr>
          <w:rFonts w:ascii="Cambria" w:hAnsi="Cambria"/>
          <w:sz w:val="20"/>
          <w:szCs w:val="20"/>
        </w:rPr>
        <w:t xml:space="preserve">On December 7, 2018, the Commission approved Report No. 155/18 on the merits of the instant case, which encompasses paragraphs 1 to 98 </w:t>
      </w:r>
      <w:r w:rsidRPr="00D2222C">
        <w:rPr>
          <w:rFonts w:ascii="Cambria" w:hAnsi="Cambria"/>
          <w:i/>
          <w:sz w:val="20"/>
          <w:szCs w:val="20"/>
        </w:rPr>
        <w:t>supra</w:t>
      </w:r>
      <w:r w:rsidRPr="00D2222C">
        <w:rPr>
          <w:rFonts w:ascii="Cambria" w:hAnsi="Cambria"/>
          <w:sz w:val="20"/>
          <w:szCs w:val="20"/>
        </w:rPr>
        <w:t xml:space="preserve">, and issued the following recommendations to the State: </w:t>
      </w:r>
    </w:p>
    <w:p w14:paraId="1E288FB3" w14:textId="77777777" w:rsidR="0030197A" w:rsidRPr="00D2222C" w:rsidRDefault="0030197A" w:rsidP="0030197A"/>
    <w:p w14:paraId="151D9980"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eastAsia="Times New Roman" w:cs="Tahoma"/>
          <w:sz w:val="20"/>
          <w:szCs w:val="20"/>
          <w:bdr w:val="none" w:sz="0" w:space="0" w:color="auto"/>
        </w:rPr>
        <w:t xml:space="preserve">Grant Orlando Cordia Hall effective relief, including the review of his trial and sentence in accordance with the right to equality before the law and the guarantees of fair trial and due process set forth in Articles II, XVIII and XXVI of the American Declaration. </w:t>
      </w:r>
      <w:r w:rsidRPr="00D2222C">
        <w:rPr>
          <w:rFonts w:cs="Arial"/>
          <w:color w:val="auto"/>
          <w:sz w:val="20"/>
          <w:szCs w:val="20"/>
        </w:rPr>
        <w:t>Taking into account the conclusions of the IACHR on the time Orlando Cordia Hall has been held on death row, the Commission recommends that his sentence be commuted</w:t>
      </w:r>
      <w:r w:rsidRPr="00D2222C">
        <w:rPr>
          <w:rFonts w:eastAsia="Times New Roman" w:cs="Tahoma"/>
          <w:sz w:val="20"/>
          <w:szCs w:val="20"/>
          <w:bdr w:val="none" w:sz="0" w:space="0" w:color="auto"/>
        </w:rPr>
        <w:t>.</w:t>
      </w:r>
    </w:p>
    <w:p w14:paraId="2B968451" w14:textId="77777777" w:rsidR="0030197A" w:rsidRPr="00D2222C" w:rsidRDefault="0030197A" w:rsidP="0030197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485ECF79"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Review its laws, procedures, and practices to ensure that persons accused of capital crimes are tried and, if convicted, sentenced in accordance with the rights established in the American Declaration, including Articles I, II, XVIII, XXV and XXVI thereof.</w:t>
      </w:r>
    </w:p>
    <w:p w14:paraId="784A29B3" w14:textId="77777777" w:rsidR="0030197A" w:rsidRPr="00D2222C" w:rsidRDefault="0030197A" w:rsidP="0030197A">
      <w:pPr>
        <w:pStyle w:val="ListParagraph"/>
        <w:rPr>
          <w:sz w:val="20"/>
        </w:rPr>
      </w:pPr>
    </w:p>
    <w:p w14:paraId="502EA293"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Ensure that the legal counsel provided by the State in death penalty cases is effective and adequately trained to serve in death penalty cases.</w:t>
      </w:r>
    </w:p>
    <w:p w14:paraId="281FC6A2" w14:textId="77777777" w:rsidR="0030197A" w:rsidRPr="00D2222C" w:rsidRDefault="0030197A" w:rsidP="0030197A">
      <w:pPr>
        <w:pStyle w:val="ListParagraph"/>
        <w:rPr>
          <w:sz w:val="20"/>
        </w:rPr>
      </w:pPr>
    </w:p>
    <w:p w14:paraId="6613F789"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 xml:space="preserve">Review the executive clemency procedure to ensure impartiality and compliance with </w:t>
      </w:r>
      <w:r w:rsidRPr="00D2222C">
        <w:rPr>
          <w:rFonts w:eastAsia="Arial Unicode MS"/>
          <w:sz w:val="20"/>
          <w:szCs w:val="20"/>
        </w:rPr>
        <w:t>the right to minimal fairness guarantees.</w:t>
      </w:r>
    </w:p>
    <w:p w14:paraId="270C35F0" w14:textId="77777777" w:rsidR="0030197A" w:rsidRPr="00D2222C" w:rsidRDefault="0030197A" w:rsidP="0030197A">
      <w:pPr>
        <w:pStyle w:val="ListParagraph"/>
        <w:rPr>
          <w:rFonts w:asciiTheme="majorHAnsi" w:eastAsia="Times New Roman" w:hAnsiTheme="majorHAnsi" w:cs="Tahoma"/>
          <w:sz w:val="20"/>
          <w:szCs w:val="20"/>
          <w:bdr w:val="none" w:sz="0" w:space="0" w:color="auto"/>
        </w:rPr>
      </w:pPr>
    </w:p>
    <w:p w14:paraId="1A7DF2A2"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asciiTheme="majorHAnsi" w:eastAsia="Times New Roman" w:hAnsiTheme="majorHAnsi" w:cs="Tahoma"/>
          <w:sz w:val="20"/>
          <w:szCs w:val="20"/>
          <w:bdr w:val="none" w:sz="0" w:space="0" w:color="auto"/>
        </w:rPr>
        <w:t xml:space="preserve">Ensure that the federal lethal injection protocol complies with the </w:t>
      </w:r>
      <w:r w:rsidRPr="00D2222C">
        <w:rPr>
          <w:rFonts w:asciiTheme="majorHAnsi" w:eastAsia="Times New Roman" w:hAnsiTheme="majorHAnsi"/>
          <w:sz w:val="20"/>
          <w:szCs w:val="20"/>
          <w:bdr w:val="none" w:sz="0" w:space="0" w:color="auto"/>
        </w:rPr>
        <w:t>right to humane treatment and not to receive cruel, infamous or unusual punishment set forth in Articles XXV and XXVI of the Declaration, and that</w:t>
      </w:r>
      <w:r w:rsidRPr="00D2222C">
        <w:rPr>
          <w:rFonts w:eastAsia="Times New Roman"/>
          <w:sz w:val="20"/>
          <w:szCs w:val="20"/>
          <w:bdr w:val="none" w:sz="0" w:space="0" w:color="auto"/>
        </w:rPr>
        <w:t xml:space="preserve"> the person sentenced to death has access to all the relevant information regarding</w:t>
      </w:r>
      <w:r w:rsidRPr="00D2222C">
        <w:rPr>
          <w:rFonts w:asciiTheme="majorHAnsi" w:eastAsia="Times New Roman" w:hAnsiTheme="majorHAnsi"/>
          <w:sz w:val="20"/>
          <w:szCs w:val="20"/>
          <w:bdr w:val="none" w:sz="0" w:space="0" w:color="auto"/>
        </w:rPr>
        <w:t xml:space="preserve"> the method of execution.  </w:t>
      </w:r>
    </w:p>
    <w:p w14:paraId="6CD1FE66" w14:textId="77777777" w:rsidR="0030197A" w:rsidRPr="00D2222C" w:rsidRDefault="0030197A" w:rsidP="0030197A">
      <w:pPr>
        <w:pStyle w:val="ListParagraph"/>
        <w:rPr>
          <w:rFonts w:asciiTheme="majorHAnsi" w:hAnsiTheme="majorHAnsi"/>
          <w:sz w:val="20"/>
        </w:rPr>
      </w:pPr>
    </w:p>
    <w:p w14:paraId="4F198F2E" w14:textId="77777777" w:rsidR="0030197A" w:rsidRPr="00D2222C" w:rsidRDefault="0030197A" w:rsidP="003019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asciiTheme="majorHAnsi" w:hAnsiTheme="majorHAnsi"/>
          <w:sz w:val="20"/>
        </w:rPr>
        <w:t>Given the violations of the American Declaration the IACHR has established in the present</w:t>
      </w:r>
      <w:r w:rsidRPr="00D2222C">
        <w:rPr>
          <w:sz w:val="20"/>
        </w:rPr>
        <w:t xml:space="preserve"> case and in others involving application of the death penalty, the Inter-American Commission also recommends to the United States that it adopt a moratorium on executions of persons sentenced to death.</w:t>
      </w:r>
      <w:r w:rsidRPr="00D2222C">
        <w:rPr>
          <w:rStyle w:val="FootnoteReference"/>
          <w:sz w:val="20"/>
        </w:rPr>
        <w:footnoteReference w:id="94"/>
      </w:r>
    </w:p>
    <w:p w14:paraId="2296C8EE" w14:textId="77777777" w:rsidR="0030197A" w:rsidRPr="00D2222C" w:rsidRDefault="0030197A" w:rsidP="0030197A"/>
    <w:p w14:paraId="0DA7178C" w14:textId="77777777" w:rsidR="004A2280" w:rsidRPr="00D2222C" w:rsidRDefault="00576EEB"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D2222C">
        <w:rPr>
          <w:rFonts w:ascii="Cambria" w:hAnsi="Cambria"/>
          <w:sz w:val="20"/>
          <w:szCs w:val="20"/>
        </w:rPr>
        <w:t>O</w:t>
      </w:r>
      <w:r w:rsidR="000B44FC" w:rsidRPr="00D2222C">
        <w:rPr>
          <w:rFonts w:ascii="Cambria" w:hAnsi="Cambria"/>
          <w:sz w:val="20"/>
          <w:szCs w:val="20"/>
        </w:rPr>
        <w:t xml:space="preserve">n </w:t>
      </w:r>
      <w:r w:rsidR="00D826D9" w:rsidRPr="00D2222C">
        <w:rPr>
          <w:rFonts w:ascii="Cambria" w:hAnsi="Cambria"/>
          <w:sz w:val="20"/>
          <w:szCs w:val="20"/>
        </w:rPr>
        <w:t xml:space="preserve">January 18, 2019, the Commission </w:t>
      </w:r>
      <w:r w:rsidR="000B44FC" w:rsidRPr="00D2222C">
        <w:rPr>
          <w:rFonts w:ascii="Cambria" w:hAnsi="Cambria"/>
          <w:sz w:val="20"/>
          <w:szCs w:val="20"/>
        </w:rPr>
        <w:t>transmitted</w:t>
      </w:r>
      <w:r w:rsidR="00D826D9" w:rsidRPr="00D2222C">
        <w:rPr>
          <w:rFonts w:ascii="Cambria" w:hAnsi="Cambria"/>
          <w:sz w:val="20"/>
          <w:szCs w:val="20"/>
        </w:rPr>
        <w:t xml:space="preserve"> the report to the State</w:t>
      </w:r>
      <w:r w:rsidR="000B44FC" w:rsidRPr="00D2222C">
        <w:rPr>
          <w:rFonts w:ascii="Cambria" w:hAnsi="Cambria"/>
          <w:sz w:val="20"/>
          <w:szCs w:val="20"/>
        </w:rPr>
        <w:t xml:space="preserve"> with a time period of two months to </w:t>
      </w:r>
      <w:r w:rsidRPr="00D2222C">
        <w:rPr>
          <w:rFonts w:ascii="Cambria" w:hAnsi="Cambria"/>
          <w:sz w:val="20"/>
          <w:szCs w:val="20"/>
        </w:rPr>
        <w:t>inform the Inter-American Commission on the measures taken to comply with its re</w:t>
      </w:r>
      <w:r w:rsidR="000B44FC" w:rsidRPr="00D2222C">
        <w:rPr>
          <w:rFonts w:ascii="Cambria" w:hAnsi="Cambria"/>
          <w:sz w:val="20"/>
          <w:szCs w:val="20"/>
        </w:rPr>
        <w:t xml:space="preserve">commendations. On that same date the IACHR </w:t>
      </w:r>
      <w:r w:rsidR="005B4672" w:rsidRPr="00D2222C">
        <w:rPr>
          <w:rFonts w:ascii="Cambria" w:hAnsi="Cambria"/>
          <w:sz w:val="20"/>
          <w:szCs w:val="20"/>
        </w:rPr>
        <w:t>notified</w:t>
      </w:r>
      <w:r w:rsidR="000B44FC" w:rsidRPr="00D2222C">
        <w:rPr>
          <w:rFonts w:ascii="Cambria" w:hAnsi="Cambria"/>
          <w:sz w:val="20"/>
          <w:szCs w:val="20"/>
        </w:rPr>
        <w:t xml:space="preserve"> the</w:t>
      </w:r>
      <w:r w:rsidR="005B4672" w:rsidRPr="00D2222C">
        <w:rPr>
          <w:rFonts w:ascii="Cambria" w:hAnsi="Cambria"/>
          <w:sz w:val="20"/>
          <w:szCs w:val="20"/>
        </w:rPr>
        <w:t xml:space="preserve"> petitioners about the adoption of the</w:t>
      </w:r>
      <w:r w:rsidR="000B44FC" w:rsidRPr="00D2222C">
        <w:rPr>
          <w:rFonts w:ascii="Cambria" w:hAnsi="Cambria"/>
          <w:sz w:val="20"/>
          <w:szCs w:val="20"/>
        </w:rPr>
        <w:t xml:space="preserve"> report. To date, the IACHR has not received any response from the United States</w:t>
      </w:r>
      <w:r w:rsidRPr="00D2222C">
        <w:rPr>
          <w:rFonts w:ascii="Cambria" w:hAnsi="Cambria"/>
          <w:sz w:val="20"/>
          <w:szCs w:val="20"/>
        </w:rPr>
        <w:t xml:space="preserve"> regarding Report No. 155/18</w:t>
      </w:r>
      <w:r w:rsidR="000B44FC" w:rsidRPr="00D2222C">
        <w:rPr>
          <w:rFonts w:ascii="Cambria" w:hAnsi="Cambria"/>
          <w:sz w:val="20"/>
          <w:szCs w:val="20"/>
        </w:rPr>
        <w:t>.</w:t>
      </w:r>
    </w:p>
    <w:p w14:paraId="5E3F1B77" w14:textId="77777777" w:rsidR="004A2280" w:rsidRDefault="004A2280" w:rsidP="004A2280"/>
    <w:p w14:paraId="360D9A9E" w14:textId="77777777" w:rsidR="00EA14E5" w:rsidRPr="00261687" w:rsidRDefault="00EA14E5" w:rsidP="00EA14E5">
      <w:pPr>
        <w:pStyle w:val="Heading1"/>
        <w:spacing w:before="0"/>
        <w:ind w:left="1440" w:hanging="720"/>
        <w:rPr>
          <w:color w:val="auto"/>
          <w:sz w:val="20"/>
          <w:szCs w:val="20"/>
        </w:rPr>
      </w:pPr>
      <w:bookmarkStart w:id="35" w:name="_Toc26550943"/>
      <w:r w:rsidRPr="00261687">
        <w:rPr>
          <w:color w:val="auto"/>
          <w:sz w:val="20"/>
          <w:szCs w:val="20"/>
        </w:rPr>
        <w:t>ACTIONS SUBSEQUENT TO REPORT No. 90/19</w:t>
      </w:r>
      <w:bookmarkEnd w:id="35"/>
    </w:p>
    <w:p w14:paraId="42F178F0" w14:textId="77777777" w:rsidR="00EA14E5" w:rsidRPr="00261687" w:rsidRDefault="00EA14E5" w:rsidP="004A2280"/>
    <w:p w14:paraId="44B96B59" w14:textId="77777777" w:rsidR="00B43E7C" w:rsidRPr="00261687" w:rsidRDefault="00EA14E5"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261687">
        <w:rPr>
          <w:rFonts w:ascii="Cambria" w:hAnsi="Cambria"/>
          <w:sz w:val="20"/>
          <w:szCs w:val="20"/>
        </w:rPr>
        <w:t>On</w:t>
      </w:r>
      <w:r w:rsidR="00D01A32" w:rsidRPr="00261687">
        <w:rPr>
          <w:rFonts w:ascii="Cambria" w:hAnsi="Cambria"/>
          <w:sz w:val="20"/>
          <w:szCs w:val="20"/>
        </w:rPr>
        <w:t xml:space="preserve"> June 10, 2019,</w:t>
      </w:r>
      <w:r w:rsidRPr="00261687">
        <w:rPr>
          <w:rFonts w:ascii="Cambria" w:hAnsi="Cambria"/>
          <w:sz w:val="20"/>
          <w:szCs w:val="20"/>
        </w:rPr>
        <w:t xml:space="preserve"> the Commission approved </w:t>
      </w:r>
      <w:r w:rsidR="002F3376" w:rsidRPr="00261687">
        <w:rPr>
          <w:rFonts w:ascii="Cambria" w:hAnsi="Cambria"/>
          <w:sz w:val="20"/>
          <w:szCs w:val="20"/>
        </w:rPr>
        <w:t>F</w:t>
      </w:r>
      <w:r w:rsidR="00B43E7C" w:rsidRPr="00261687">
        <w:rPr>
          <w:rFonts w:ascii="Cambria" w:hAnsi="Cambria"/>
          <w:sz w:val="20"/>
          <w:szCs w:val="20"/>
        </w:rPr>
        <w:t xml:space="preserve">inal Merits </w:t>
      </w:r>
      <w:r w:rsidRPr="00261687">
        <w:rPr>
          <w:rFonts w:ascii="Cambria" w:hAnsi="Cambria"/>
          <w:sz w:val="20"/>
          <w:szCs w:val="20"/>
        </w:rPr>
        <w:t xml:space="preserve">Report No. 90/19, which encompasses paragraphs 1 to 100 </w:t>
      </w:r>
      <w:r w:rsidRPr="00261687">
        <w:rPr>
          <w:rFonts w:ascii="Cambria" w:hAnsi="Cambria"/>
          <w:i/>
          <w:sz w:val="20"/>
          <w:szCs w:val="20"/>
        </w:rPr>
        <w:t>supra</w:t>
      </w:r>
      <w:r w:rsidRPr="00261687">
        <w:rPr>
          <w:rFonts w:ascii="Cambria" w:hAnsi="Cambria"/>
          <w:sz w:val="20"/>
          <w:szCs w:val="20"/>
        </w:rPr>
        <w:t xml:space="preserve">, and issued its final conclusions and recommendations to the State. On </w:t>
      </w:r>
      <w:r w:rsidR="00D01A32" w:rsidRPr="00261687">
        <w:rPr>
          <w:rFonts w:ascii="Cambria" w:hAnsi="Cambria"/>
          <w:sz w:val="20"/>
          <w:szCs w:val="20"/>
        </w:rPr>
        <w:t xml:space="preserve">July 3, 2019, </w:t>
      </w:r>
      <w:r w:rsidRPr="00261687">
        <w:rPr>
          <w:rFonts w:ascii="Cambria" w:hAnsi="Cambria"/>
          <w:sz w:val="20"/>
          <w:szCs w:val="20"/>
        </w:rPr>
        <w:t>the Commission transmitted the report to the State</w:t>
      </w:r>
      <w:r w:rsidR="00D01A32" w:rsidRPr="00261687">
        <w:rPr>
          <w:rFonts w:ascii="Cambria" w:hAnsi="Cambria"/>
          <w:sz w:val="20"/>
          <w:szCs w:val="20"/>
        </w:rPr>
        <w:t xml:space="preserve"> and</w:t>
      </w:r>
      <w:r w:rsidRPr="00261687">
        <w:rPr>
          <w:rFonts w:ascii="Cambria" w:hAnsi="Cambria"/>
          <w:sz w:val="20"/>
          <w:szCs w:val="20"/>
        </w:rPr>
        <w:t xml:space="preserve"> </w:t>
      </w:r>
      <w:r w:rsidR="00D01A32" w:rsidRPr="00261687">
        <w:rPr>
          <w:rFonts w:ascii="Cambria" w:hAnsi="Cambria"/>
          <w:sz w:val="20"/>
          <w:szCs w:val="20"/>
        </w:rPr>
        <w:t xml:space="preserve">the petitioners </w:t>
      </w:r>
      <w:r w:rsidRPr="00261687">
        <w:rPr>
          <w:rFonts w:ascii="Cambria" w:hAnsi="Cambria"/>
          <w:sz w:val="20"/>
          <w:szCs w:val="20"/>
        </w:rPr>
        <w:t xml:space="preserve">with a time period of </w:t>
      </w:r>
      <w:r w:rsidR="00D01A32" w:rsidRPr="00261687">
        <w:rPr>
          <w:rFonts w:ascii="Cambria" w:hAnsi="Cambria"/>
          <w:sz w:val="20"/>
          <w:szCs w:val="20"/>
        </w:rPr>
        <w:t>two</w:t>
      </w:r>
      <w:r w:rsidRPr="00261687">
        <w:rPr>
          <w:rFonts w:ascii="Cambria" w:hAnsi="Cambria"/>
          <w:sz w:val="20"/>
          <w:szCs w:val="20"/>
        </w:rPr>
        <w:t xml:space="preserve"> month</w:t>
      </w:r>
      <w:r w:rsidR="00D01A32" w:rsidRPr="00261687">
        <w:rPr>
          <w:rFonts w:ascii="Cambria" w:hAnsi="Cambria"/>
          <w:sz w:val="20"/>
          <w:szCs w:val="20"/>
        </w:rPr>
        <w:t>s</w:t>
      </w:r>
      <w:r w:rsidRPr="00261687">
        <w:rPr>
          <w:rFonts w:ascii="Cambria" w:hAnsi="Cambria"/>
          <w:sz w:val="20"/>
          <w:szCs w:val="20"/>
        </w:rPr>
        <w:t xml:space="preserve"> to inform the Inter-American Commission on the measures taken to comply with its recommendations. </w:t>
      </w:r>
    </w:p>
    <w:p w14:paraId="18581F35" w14:textId="77777777" w:rsidR="00B43E7C" w:rsidRPr="00261687" w:rsidRDefault="00B43E7C" w:rsidP="00B43E7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pPr>
    </w:p>
    <w:p w14:paraId="07B200FC" w14:textId="77777777" w:rsidR="00F12EAC" w:rsidRPr="00261687" w:rsidRDefault="00D01A32"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261687">
        <w:rPr>
          <w:rFonts w:ascii="Cambria" w:hAnsi="Cambria"/>
          <w:sz w:val="20"/>
          <w:szCs w:val="20"/>
        </w:rPr>
        <w:t>On September 3, 2019, the petitioners</w:t>
      </w:r>
      <w:r w:rsidR="00D877E2" w:rsidRPr="00261687">
        <w:rPr>
          <w:rFonts w:ascii="Cambria" w:hAnsi="Cambria"/>
          <w:sz w:val="20"/>
          <w:szCs w:val="20"/>
        </w:rPr>
        <w:t xml:space="preserve"> </w:t>
      </w:r>
      <w:r w:rsidR="00F12EAC" w:rsidRPr="00261687">
        <w:rPr>
          <w:rFonts w:ascii="Cambria" w:hAnsi="Cambria"/>
          <w:sz w:val="20"/>
          <w:szCs w:val="20"/>
        </w:rPr>
        <w:t xml:space="preserve">informed that </w:t>
      </w:r>
      <w:r w:rsidR="00707651" w:rsidRPr="00261687">
        <w:rPr>
          <w:rFonts w:ascii="Cambria" w:hAnsi="Cambria"/>
          <w:sz w:val="20"/>
          <w:szCs w:val="20"/>
        </w:rPr>
        <w:t xml:space="preserve">the United States has adopted no measures to comply with the Commission’s recommendations and that Mr. Hall remains in the custody of the State, which has given no indication that it does not intend to carry out his death sentence. Petitioners also informed that, </w:t>
      </w:r>
      <w:r w:rsidR="00F12EAC" w:rsidRPr="00261687">
        <w:rPr>
          <w:rFonts w:ascii="Cambria" w:hAnsi="Cambria"/>
          <w:sz w:val="20"/>
          <w:szCs w:val="20"/>
        </w:rPr>
        <w:t xml:space="preserve">on July 25, 2019, </w:t>
      </w:r>
      <w:r w:rsidR="00707651" w:rsidRPr="00261687">
        <w:rPr>
          <w:rFonts w:ascii="Cambria" w:hAnsi="Cambria"/>
          <w:sz w:val="20"/>
          <w:szCs w:val="20"/>
        </w:rPr>
        <w:t xml:space="preserve">U.S. </w:t>
      </w:r>
      <w:r w:rsidR="00F12EAC" w:rsidRPr="00261687">
        <w:rPr>
          <w:rFonts w:ascii="Cambria" w:hAnsi="Cambria"/>
          <w:sz w:val="20"/>
          <w:szCs w:val="20"/>
        </w:rPr>
        <w:t xml:space="preserve">Attorney General directed the Federal Bureau of Prisons to adopt an addendum to the federal execution protocol and scheduled the executions of five death-row inmates. </w:t>
      </w:r>
      <w:r w:rsidR="0045757F" w:rsidRPr="00261687">
        <w:rPr>
          <w:rFonts w:ascii="Cambria" w:hAnsi="Cambria"/>
          <w:sz w:val="20"/>
          <w:szCs w:val="20"/>
        </w:rPr>
        <w:t>T</w:t>
      </w:r>
      <w:r w:rsidR="00F12EAC" w:rsidRPr="00261687">
        <w:rPr>
          <w:rFonts w:ascii="Cambria" w:hAnsi="Cambria"/>
          <w:sz w:val="20"/>
          <w:szCs w:val="20"/>
        </w:rPr>
        <w:t xml:space="preserve">he </w:t>
      </w:r>
      <w:r w:rsidR="00136DF6" w:rsidRPr="00261687">
        <w:rPr>
          <w:rFonts w:ascii="Cambria" w:hAnsi="Cambria"/>
          <w:sz w:val="20"/>
          <w:szCs w:val="20"/>
        </w:rPr>
        <w:t>addendum</w:t>
      </w:r>
      <w:r w:rsidR="00707651" w:rsidRPr="00261687">
        <w:rPr>
          <w:rFonts w:ascii="Cambria" w:hAnsi="Cambria"/>
          <w:sz w:val="20"/>
          <w:szCs w:val="20"/>
        </w:rPr>
        <w:t>, which</w:t>
      </w:r>
      <w:r w:rsidR="00136DF6" w:rsidRPr="00261687">
        <w:rPr>
          <w:rFonts w:ascii="Cambria" w:hAnsi="Cambria"/>
          <w:sz w:val="20"/>
          <w:szCs w:val="20"/>
        </w:rPr>
        <w:t xml:space="preserve"> closely mirrors protocols utilized by several states, including currently Georgia, Missouri, and Texas, replaces the three-drug procedure previously used in federal executions with a single drug – pentobarbital.</w:t>
      </w:r>
      <w:r w:rsidR="00136DF6" w:rsidRPr="00261687">
        <w:rPr>
          <w:rStyle w:val="FootnoteReference"/>
          <w:rFonts w:ascii="Cambria" w:hAnsi="Cambria"/>
          <w:sz w:val="20"/>
          <w:szCs w:val="20"/>
        </w:rPr>
        <w:footnoteReference w:id="95"/>
      </w:r>
    </w:p>
    <w:p w14:paraId="52DC7706" w14:textId="77777777" w:rsidR="005E69EC" w:rsidRPr="00261687" w:rsidRDefault="005E69EC" w:rsidP="005E69EC">
      <w:pPr>
        <w:pStyle w:val="ListParagraph"/>
        <w:rPr>
          <w:rFonts w:asciiTheme="majorHAnsi" w:hAnsiTheme="majorHAnsi"/>
          <w:sz w:val="20"/>
          <w:szCs w:val="20"/>
        </w:rPr>
      </w:pPr>
    </w:p>
    <w:p w14:paraId="6ECEF2D9" w14:textId="77777777" w:rsidR="005E69EC" w:rsidRPr="00261687" w:rsidRDefault="005E69EC"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sz w:val="20"/>
          <w:szCs w:val="20"/>
        </w:rPr>
      </w:pPr>
      <w:r w:rsidRPr="00261687">
        <w:rPr>
          <w:rFonts w:asciiTheme="majorHAnsi" w:hAnsiTheme="majorHAnsi"/>
          <w:sz w:val="20"/>
          <w:szCs w:val="20"/>
        </w:rPr>
        <w:t xml:space="preserve">Petitioners also informed that the new lethal-injection protocol remains subject to a pending court challenge in </w:t>
      </w:r>
      <w:r w:rsidRPr="00261687">
        <w:rPr>
          <w:rFonts w:asciiTheme="majorHAnsi" w:hAnsiTheme="majorHAnsi"/>
          <w:i/>
          <w:sz w:val="20"/>
          <w:szCs w:val="20"/>
        </w:rPr>
        <w:t>Roane, et al., v. Barr</w:t>
      </w:r>
      <w:r w:rsidR="00D71384" w:rsidRPr="00261687">
        <w:rPr>
          <w:rFonts w:asciiTheme="majorHAnsi" w:hAnsiTheme="majorHAnsi"/>
          <w:sz w:val="20"/>
          <w:szCs w:val="20"/>
        </w:rPr>
        <w:t xml:space="preserve">. According to the petitioner, there is reason for concern that the dangers of severe suffering associated with the prior protocol have not been eliminated. </w:t>
      </w:r>
      <w:r w:rsidR="00402146" w:rsidRPr="00261687">
        <w:rPr>
          <w:rFonts w:asciiTheme="majorHAnsi" w:hAnsiTheme="majorHAnsi"/>
          <w:sz w:val="20"/>
          <w:szCs w:val="20"/>
        </w:rPr>
        <w:t xml:space="preserve">They also consider questionable whether the State will provide plaintiffs access to all the relevant information regarding the method of execution, particularly in light of the fact that the pharmaceutical manufacturer will no longer sell the drug for use in executions and the State would likely seek to keep secret its alternate source of the drug. </w:t>
      </w:r>
    </w:p>
    <w:p w14:paraId="14476E96" w14:textId="77777777" w:rsidR="00402146" w:rsidRPr="00261687" w:rsidRDefault="00402146" w:rsidP="00402146">
      <w:pPr>
        <w:pStyle w:val="ListParagraph"/>
        <w:rPr>
          <w:rFonts w:asciiTheme="majorHAnsi" w:hAnsiTheme="majorHAnsi"/>
          <w:sz w:val="20"/>
          <w:szCs w:val="20"/>
        </w:rPr>
      </w:pPr>
    </w:p>
    <w:p w14:paraId="136A3ECC" w14:textId="77777777" w:rsidR="00F12EAC" w:rsidRPr="00261687" w:rsidRDefault="00402146" w:rsidP="00F12E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sz w:val="20"/>
          <w:szCs w:val="20"/>
        </w:rPr>
      </w:pPr>
      <w:r w:rsidRPr="00261687">
        <w:rPr>
          <w:rFonts w:asciiTheme="majorHAnsi" w:hAnsiTheme="majorHAnsi"/>
          <w:sz w:val="20"/>
          <w:szCs w:val="20"/>
        </w:rPr>
        <w:t xml:space="preserve">The petitioners conclude that </w:t>
      </w:r>
      <w:r w:rsidR="00D118E5" w:rsidRPr="00261687">
        <w:rPr>
          <w:rFonts w:asciiTheme="majorHAnsi" w:hAnsiTheme="majorHAnsi"/>
          <w:sz w:val="20"/>
          <w:szCs w:val="20"/>
        </w:rPr>
        <w:t>the United States has not only failed to adopt any measure to comply with the Commission’s recommendation but “it is about to embark on a deliberate campaign to execute the death-sentenced prisoners on the federal Death Row, a campaign which at some point will target Mr. Hall.”</w:t>
      </w:r>
    </w:p>
    <w:p w14:paraId="6DF7C477" w14:textId="77777777" w:rsidR="00D01A32" w:rsidRPr="00261687" w:rsidRDefault="00D01A32" w:rsidP="00D01A32">
      <w:pPr>
        <w:pStyle w:val="ListParagraph"/>
        <w:rPr>
          <w:rFonts w:asciiTheme="majorHAnsi" w:hAnsiTheme="majorHAnsi"/>
          <w:sz w:val="20"/>
          <w:szCs w:val="20"/>
        </w:rPr>
      </w:pPr>
    </w:p>
    <w:p w14:paraId="5538F773" w14:textId="77777777" w:rsidR="00EA14E5" w:rsidRPr="00261687" w:rsidRDefault="00EA14E5"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261687">
        <w:rPr>
          <w:rFonts w:ascii="Cambria" w:hAnsi="Cambria"/>
          <w:sz w:val="20"/>
          <w:szCs w:val="20"/>
        </w:rPr>
        <w:t>To date, the IACHR has not received any response from the United States regarding Report No. 90/19.</w:t>
      </w:r>
    </w:p>
    <w:p w14:paraId="0579D81D" w14:textId="77777777" w:rsidR="007E4368" w:rsidRPr="00261687" w:rsidRDefault="007E4368" w:rsidP="007E4368">
      <w:pPr>
        <w:pStyle w:val="ListParagraph"/>
      </w:pPr>
    </w:p>
    <w:p w14:paraId="2E648224" w14:textId="77777777" w:rsidR="007E4368" w:rsidRPr="00261687" w:rsidRDefault="007E4368"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eastAsia="Times New Roman" w:hAnsi="Cambria"/>
          <w:sz w:val="20"/>
          <w:szCs w:val="20"/>
          <w:bdr w:val="none" w:sz="0" w:space="0" w:color="auto"/>
        </w:rPr>
      </w:pPr>
      <w:r w:rsidRPr="00261687">
        <w:rPr>
          <w:rFonts w:ascii="Cambria" w:eastAsia="Times New Roman" w:hAnsi="Cambria"/>
          <w:sz w:val="20"/>
          <w:szCs w:val="20"/>
          <w:bdr w:val="none" w:sz="0" w:space="0" w:color="auto"/>
        </w:rPr>
        <w:t>Based on the available information, the Commission will now analyze the level of compliance with the</w:t>
      </w:r>
      <w:r w:rsidR="00AA427A" w:rsidRPr="00261687">
        <w:rPr>
          <w:rFonts w:ascii="Cambria" w:eastAsia="Times New Roman" w:hAnsi="Cambria"/>
          <w:sz w:val="20"/>
          <w:szCs w:val="20"/>
          <w:bdr w:val="none" w:sz="0" w:space="0" w:color="auto"/>
        </w:rPr>
        <w:t xml:space="preserve"> final recommendations issued in </w:t>
      </w:r>
      <w:r w:rsidR="00AA427A" w:rsidRPr="00261687">
        <w:rPr>
          <w:rFonts w:ascii="Cambria" w:hAnsi="Cambria"/>
          <w:sz w:val="20"/>
          <w:szCs w:val="20"/>
        </w:rPr>
        <w:t xml:space="preserve">Report No. 90/19. </w:t>
      </w:r>
    </w:p>
    <w:p w14:paraId="60E15BFE" w14:textId="77777777" w:rsidR="007E4368" w:rsidRPr="00261687" w:rsidRDefault="007E4368" w:rsidP="007E4368">
      <w:pPr>
        <w:pStyle w:val="ListParagraph"/>
        <w:rPr>
          <w:rFonts w:eastAsia="Times New Roman"/>
          <w:sz w:val="20"/>
          <w:szCs w:val="20"/>
          <w:bdr w:val="none" w:sz="0" w:space="0" w:color="auto"/>
        </w:rPr>
      </w:pPr>
    </w:p>
    <w:p w14:paraId="409312F7" w14:textId="77777777" w:rsidR="0088385A" w:rsidRPr="00261687" w:rsidRDefault="0088385A" w:rsidP="000C3B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b/>
          <w:bCs/>
          <w:sz w:val="20"/>
          <w:szCs w:val="20"/>
        </w:rPr>
      </w:pPr>
      <w:r w:rsidRPr="00261687">
        <w:rPr>
          <w:rFonts w:ascii="Cambria" w:hAnsi="Cambria"/>
          <w:sz w:val="20"/>
          <w:szCs w:val="20"/>
        </w:rPr>
        <w:t xml:space="preserve">As the Commission established in its report, </w:t>
      </w:r>
      <w:r w:rsidRPr="00261687">
        <w:rPr>
          <w:rFonts w:ascii="Cambria" w:hAnsi="Cambria"/>
          <w:color w:val="212121"/>
          <w:sz w:val="20"/>
          <w:szCs w:val="20"/>
          <w:lang w:val="en"/>
        </w:rPr>
        <w:t xml:space="preserve">the State has a heightened </w:t>
      </w:r>
      <w:r w:rsidRPr="00261687">
        <w:rPr>
          <w:rFonts w:ascii="Cambria" w:eastAsia="Times New Roman" w:hAnsi="Cambria"/>
          <w:sz w:val="20"/>
          <w:szCs w:val="20"/>
          <w:bdr w:val="none" w:sz="0" w:space="0" w:color="auto"/>
        </w:rPr>
        <w:t xml:space="preserve">obligation to ensure that the method of execution does not constitute cruel, infamous or unusual punishment.  </w:t>
      </w:r>
      <w:r w:rsidR="000C3B09" w:rsidRPr="00261687">
        <w:rPr>
          <w:rFonts w:ascii="Cambria" w:eastAsia="Times New Roman" w:hAnsi="Cambria"/>
          <w:sz w:val="20"/>
          <w:szCs w:val="20"/>
          <w:bdr w:val="none" w:sz="0" w:space="0" w:color="auto"/>
        </w:rPr>
        <w:t>Also, the Commission noted that v</w:t>
      </w:r>
      <w:r w:rsidRPr="00261687">
        <w:rPr>
          <w:rFonts w:ascii="Cambria" w:hAnsi="Cambria"/>
          <w:sz w:val="20"/>
          <w:szCs w:val="20"/>
        </w:rPr>
        <w:t xml:space="preserve">arious supervisory bodies have considered that an execution method is incompatible with the right to </w:t>
      </w:r>
      <w:r w:rsidRPr="00261687">
        <w:rPr>
          <w:rFonts w:ascii="Cambria" w:hAnsi="Cambria"/>
          <w:sz w:val="20"/>
          <w:szCs w:val="20"/>
        </w:rPr>
        <w:lastRenderedPageBreak/>
        <w:t xml:space="preserve">humane treatment and the prohibition of torture when it is not designed to inflict the least possible suffering, and have raised questions on the compatibility of the method of lethal injection with the prohibition of torture. </w:t>
      </w:r>
    </w:p>
    <w:p w14:paraId="654B5296" w14:textId="77777777" w:rsidR="000C3B09" w:rsidRPr="00261687" w:rsidRDefault="000C3B09" w:rsidP="000C3B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b/>
          <w:bCs/>
          <w:sz w:val="20"/>
          <w:szCs w:val="20"/>
        </w:rPr>
      </w:pPr>
    </w:p>
    <w:p w14:paraId="15AC41ED" w14:textId="77777777" w:rsidR="0055322F" w:rsidRPr="00261687" w:rsidRDefault="0055322F" w:rsidP="0088385A">
      <w:pPr>
        <w:pStyle w:val="NormalWeb"/>
        <w:numPr>
          <w:ilvl w:val="0"/>
          <w:numId w:val="55"/>
        </w:numPr>
        <w:shd w:val="clear" w:color="auto" w:fill="FFFFFF"/>
        <w:tabs>
          <w:tab w:val="left" w:pos="720"/>
        </w:tabs>
        <w:spacing w:before="0" w:beforeAutospacing="0" w:after="0" w:afterAutospacing="0"/>
        <w:ind w:left="0" w:firstLine="0"/>
        <w:jc w:val="both"/>
        <w:rPr>
          <w:rFonts w:asciiTheme="majorHAnsi" w:eastAsia="Arial Unicode MS" w:hAnsiTheme="majorHAnsi"/>
          <w:sz w:val="20"/>
          <w:szCs w:val="20"/>
        </w:rPr>
      </w:pPr>
      <w:r w:rsidRPr="00261687">
        <w:rPr>
          <w:rFonts w:asciiTheme="majorHAnsi" w:eastAsia="Arial Unicode MS" w:hAnsiTheme="majorHAnsi"/>
          <w:sz w:val="20"/>
          <w:szCs w:val="20"/>
        </w:rPr>
        <w:t xml:space="preserve">At the time of adopting its final merits report, </w:t>
      </w:r>
      <w:r w:rsidRPr="00261687">
        <w:rPr>
          <w:rFonts w:asciiTheme="majorHAnsi" w:eastAsia="Arial Unicode MS" w:hAnsiTheme="majorHAnsi"/>
          <w:sz w:val="20"/>
          <w:szCs w:val="20"/>
          <w:bdr w:val="nil"/>
        </w:rPr>
        <w:t xml:space="preserve">there was no information to assess the compatibility of the execution method with inter-American human rights standards given that the federal government was still reviewing its lethal injection protocol. However, the IACHR found that the uncertainty about the </w:t>
      </w:r>
      <w:r w:rsidRPr="00261687">
        <w:rPr>
          <w:rFonts w:ascii="Cambria" w:hAnsi="Cambria"/>
          <w:sz w:val="20"/>
          <w:szCs w:val="20"/>
        </w:rPr>
        <w:t xml:space="preserve">manner in which Mr. Hall is going to die preceded by summary denials to requests of information about the execution process, exposes Mr. Hall to anguish and fear that amount to a violation of his right to humane treatment and not to receive cruel, infamous or unusual punishment set forth in Articles XXV and XXVI of the Declaration. </w:t>
      </w:r>
    </w:p>
    <w:p w14:paraId="0C69D720" w14:textId="77777777" w:rsidR="0055322F" w:rsidRPr="00261687" w:rsidRDefault="0055322F" w:rsidP="0055322F">
      <w:pPr>
        <w:pStyle w:val="ListParagraph"/>
        <w:rPr>
          <w:rFonts w:asciiTheme="majorHAnsi" w:hAnsiTheme="majorHAnsi"/>
          <w:sz w:val="20"/>
          <w:szCs w:val="20"/>
        </w:rPr>
      </w:pPr>
    </w:p>
    <w:p w14:paraId="536E98AD" w14:textId="77777777" w:rsidR="007E4368" w:rsidRPr="00261687" w:rsidRDefault="006E4DF5" w:rsidP="0055322F">
      <w:pPr>
        <w:pStyle w:val="NormalWeb"/>
        <w:numPr>
          <w:ilvl w:val="0"/>
          <w:numId w:val="55"/>
        </w:numPr>
        <w:shd w:val="clear" w:color="auto" w:fill="FFFFFF"/>
        <w:tabs>
          <w:tab w:val="left" w:pos="720"/>
        </w:tabs>
        <w:spacing w:before="0" w:beforeAutospacing="0" w:after="0" w:afterAutospacing="0"/>
        <w:ind w:left="0" w:firstLine="0"/>
        <w:jc w:val="both"/>
        <w:rPr>
          <w:rFonts w:asciiTheme="majorHAnsi" w:eastAsia="Arial Unicode MS" w:hAnsiTheme="majorHAnsi"/>
          <w:sz w:val="20"/>
          <w:szCs w:val="20"/>
        </w:rPr>
      </w:pPr>
      <w:r w:rsidRPr="00261687">
        <w:rPr>
          <w:rFonts w:asciiTheme="majorHAnsi" w:hAnsiTheme="majorHAnsi"/>
          <w:sz w:val="20"/>
          <w:szCs w:val="20"/>
        </w:rPr>
        <w:t>In its report t</w:t>
      </w:r>
      <w:r w:rsidR="0055322F" w:rsidRPr="00261687">
        <w:rPr>
          <w:rFonts w:asciiTheme="majorHAnsi" w:hAnsiTheme="majorHAnsi"/>
          <w:sz w:val="20"/>
          <w:szCs w:val="20"/>
        </w:rPr>
        <w:t>he Commission also referred to the State’s obligation in capital ca</w:t>
      </w:r>
      <w:r w:rsidR="00BA5B71" w:rsidRPr="00261687">
        <w:rPr>
          <w:rFonts w:asciiTheme="majorHAnsi" w:hAnsiTheme="majorHAnsi"/>
          <w:sz w:val="20"/>
          <w:szCs w:val="20"/>
        </w:rPr>
        <w:t xml:space="preserve">ses to ensure access to all </w:t>
      </w:r>
      <w:r w:rsidR="0055322F" w:rsidRPr="00261687">
        <w:rPr>
          <w:rFonts w:asciiTheme="majorHAnsi" w:hAnsiTheme="majorHAnsi"/>
          <w:sz w:val="20"/>
          <w:szCs w:val="20"/>
        </w:rPr>
        <w:t xml:space="preserve">relevant information regarding the execution. </w:t>
      </w:r>
      <w:r w:rsidR="007E4368" w:rsidRPr="00261687">
        <w:rPr>
          <w:rFonts w:ascii="Cambria" w:hAnsi="Cambria"/>
          <w:sz w:val="20"/>
          <w:szCs w:val="20"/>
        </w:rPr>
        <w:t xml:space="preserve">Accordingly, the State has the duty to inform the person sentenced to death, in a timely manner, about the drug and method of execution that will be used, so he or she is not precluded from litigating the right to be executed in a manner devoid of cruel and unusual suffering. </w:t>
      </w:r>
      <w:r w:rsidR="004815EB" w:rsidRPr="00261687">
        <w:rPr>
          <w:rFonts w:ascii="Cambria" w:hAnsi="Cambria"/>
          <w:sz w:val="20"/>
          <w:szCs w:val="20"/>
        </w:rPr>
        <w:t>The Commission found that</w:t>
      </w:r>
      <w:r w:rsidR="007A7003" w:rsidRPr="00261687">
        <w:rPr>
          <w:rFonts w:ascii="Cambria" w:hAnsi="Cambria"/>
          <w:sz w:val="20"/>
          <w:szCs w:val="20"/>
        </w:rPr>
        <w:t>,</w:t>
      </w:r>
      <w:r w:rsidR="004815EB" w:rsidRPr="00261687">
        <w:rPr>
          <w:rFonts w:ascii="Cambria" w:hAnsi="Cambria"/>
          <w:sz w:val="20"/>
          <w:szCs w:val="20"/>
        </w:rPr>
        <w:t xml:space="preserve"> in the instant case</w:t>
      </w:r>
      <w:r w:rsidR="007A7003" w:rsidRPr="00261687">
        <w:rPr>
          <w:rFonts w:ascii="Cambria" w:hAnsi="Cambria"/>
          <w:sz w:val="20"/>
          <w:szCs w:val="20"/>
        </w:rPr>
        <w:t xml:space="preserve">, </w:t>
      </w:r>
      <w:r w:rsidR="007E4368" w:rsidRPr="00261687">
        <w:rPr>
          <w:rFonts w:ascii="Cambria" w:hAnsi="Cambria"/>
          <w:sz w:val="20"/>
          <w:szCs w:val="20"/>
        </w:rPr>
        <w:t xml:space="preserve">three different administrative authorities summarily denied Mr. Hall’s request of information </w:t>
      </w:r>
      <w:r w:rsidR="007E4368" w:rsidRPr="00261687">
        <w:rPr>
          <w:rFonts w:asciiTheme="majorHAnsi" w:hAnsiTheme="majorHAnsi"/>
          <w:sz w:val="20"/>
          <w:szCs w:val="20"/>
        </w:rPr>
        <w:t xml:space="preserve">about the process that would be used for his execution. </w:t>
      </w:r>
      <w:r w:rsidR="007E4368" w:rsidRPr="00261687">
        <w:rPr>
          <w:rFonts w:ascii="Cambria" w:hAnsi="Cambria" w:cs="Cambria"/>
          <w:color w:val="000000"/>
          <w:sz w:val="20"/>
          <w:szCs w:val="20"/>
        </w:rPr>
        <w:t>The Commission consider</w:t>
      </w:r>
      <w:r w:rsidR="007A7003" w:rsidRPr="00261687">
        <w:rPr>
          <w:rFonts w:ascii="Cambria" w:hAnsi="Cambria" w:cs="Cambria"/>
          <w:color w:val="000000"/>
          <w:sz w:val="20"/>
          <w:szCs w:val="20"/>
        </w:rPr>
        <w:t>ed</w:t>
      </w:r>
      <w:r w:rsidR="007E4368" w:rsidRPr="00261687">
        <w:rPr>
          <w:rFonts w:ascii="Cambria" w:hAnsi="Cambria" w:cs="Cambria"/>
          <w:color w:val="000000"/>
          <w:sz w:val="20"/>
          <w:szCs w:val="20"/>
        </w:rPr>
        <w:t xml:space="preserve"> that th</w:t>
      </w:r>
      <w:r w:rsidR="007A7003" w:rsidRPr="00261687">
        <w:rPr>
          <w:rFonts w:ascii="Cambria" w:hAnsi="Cambria" w:cs="Cambria"/>
          <w:color w:val="000000"/>
          <w:sz w:val="20"/>
          <w:szCs w:val="20"/>
        </w:rPr>
        <w:t>is</w:t>
      </w:r>
      <w:r w:rsidR="007E4368" w:rsidRPr="00261687">
        <w:rPr>
          <w:rFonts w:ascii="Cambria" w:hAnsi="Cambria" w:cs="Cambria"/>
          <w:color w:val="000000"/>
          <w:sz w:val="20"/>
          <w:szCs w:val="20"/>
        </w:rPr>
        <w:t xml:space="preserve"> summary dismissal </w:t>
      </w:r>
      <w:r w:rsidR="007A7003" w:rsidRPr="00261687">
        <w:rPr>
          <w:rFonts w:ascii="Cambria" w:hAnsi="Cambria"/>
          <w:sz w:val="20"/>
          <w:szCs w:val="20"/>
        </w:rPr>
        <w:t>violated Mr. Hall’s right to access to information set forth in Article IV of the American Declaration, in connection to Mr. Hall’s right to a fair trial and due process of law set forth in Articles XVIII and XXVI of the Declaration.</w:t>
      </w:r>
    </w:p>
    <w:p w14:paraId="54E40B93" w14:textId="77777777" w:rsidR="007E4368" w:rsidRPr="00261687" w:rsidRDefault="007E4368" w:rsidP="007E436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4B9CE15D" w14:textId="77777777" w:rsidR="007E4368" w:rsidRPr="00261687" w:rsidRDefault="00BA5B71" w:rsidP="00553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261687">
        <w:rPr>
          <w:rFonts w:ascii="Cambria" w:eastAsia="Times New Roman" w:hAnsi="Cambria"/>
          <w:sz w:val="20"/>
          <w:szCs w:val="20"/>
          <w:bdr w:val="none" w:sz="0" w:space="0" w:color="auto"/>
        </w:rPr>
        <w:t xml:space="preserve">The </w:t>
      </w:r>
      <w:r w:rsidRPr="00261687">
        <w:rPr>
          <w:rFonts w:ascii="Cambria" w:hAnsi="Cambria"/>
          <w:sz w:val="20"/>
          <w:szCs w:val="20"/>
        </w:rPr>
        <w:t>addendum to the federal execution protocol</w:t>
      </w:r>
      <w:r w:rsidRPr="00261687">
        <w:rPr>
          <w:rFonts w:ascii="Cambria" w:eastAsia="Times New Roman" w:hAnsi="Cambria"/>
          <w:sz w:val="20"/>
          <w:szCs w:val="20"/>
          <w:bdr w:val="none" w:sz="0" w:space="0" w:color="auto"/>
        </w:rPr>
        <w:t xml:space="preserve"> adopted by</w:t>
      </w:r>
      <w:r w:rsidR="0055322F" w:rsidRPr="00261687">
        <w:rPr>
          <w:rFonts w:ascii="Cambria" w:eastAsia="Times New Roman" w:hAnsi="Cambria"/>
          <w:sz w:val="20"/>
          <w:szCs w:val="20"/>
          <w:bdr w:val="none" w:sz="0" w:space="0" w:color="auto"/>
        </w:rPr>
        <w:t xml:space="preserve"> the federal Government </w:t>
      </w:r>
      <w:r w:rsidRPr="00261687">
        <w:rPr>
          <w:rFonts w:ascii="Cambria" w:eastAsia="Times New Roman" w:hAnsi="Cambria"/>
          <w:sz w:val="20"/>
          <w:szCs w:val="20"/>
          <w:bdr w:val="none" w:sz="0" w:space="0" w:color="auto"/>
        </w:rPr>
        <w:t xml:space="preserve">on July 25, 2019, </w:t>
      </w:r>
      <w:r w:rsidR="006E4DF5" w:rsidRPr="00261687">
        <w:rPr>
          <w:rFonts w:ascii="Cambria" w:hAnsi="Cambria"/>
          <w:sz w:val="20"/>
          <w:szCs w:val="20"/>
        </w:rPr>
        <w:t xml:space="preserve">states, in its relevant parts, </w:t>
      </w:r>
      <w:r w:rsidR="0005746C" w:rsidRPr="00261687">
        <w:rPr>
          <w:rFonts w:ascii="Cambria" w:hAnsi="Cambria"/>
          <w:sz w:val="20"/>
          <w:szCs w:val="20"/>
        </w:rPr>
        <w:t>the following:</w:t>
      </w:r>
    </w:p>
    <w:p w14:paraId="5C7E9A41" w14:textId="77777777" w:rsidR="0005746C" w:rsidRPr="00261687" w:rsidRDefault="0005746C" w:rsidP="006D135C">
      <w:pPr>
        <w:pStyle w:val="ListParagraph"/>
        <w:jc w:val="both"/>
        <w:rPr>
          <w:rFonts w:asciiTheme="majorHAnsi" w:hAnsiTheme="majorHAnsi"/>
          <w:sz w:val="18"/>
          <w:szCs w:val="18"/>
        </w:rPr>
      </w:pPr>
    </w:p>
    <w:p w14:paraId="7FF097E9" w14:textId="77777777" w:rsidR="006D135C" w:rsidRPr="00261687" w:rsidRDefault="006D135C" w:rsidP="006D135C">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autoSpaceDE w:val="0"/>
        <w:autoSpaceDN w:val="0"/>
        <w:adjustRightInd w:val="0"/>
        <w:ind w:right="720" w:firstLine="0"/>
        <w:jc w:val="both"/>
        <w:rPr>
          <w:rFonts w:asciiTheme="majorHAnsi" w:hAnsiTheme="majorHAnsi" w:cs="Arial"/>
          <w:sz w:val="20"/>
          <w:szCs w:val="20"/>
        </w:rPr>
      </w:pPr>
      <w:r w:rsidRPr="00261687">
        <w:rPr>
          <w:rFonts w:asciiTheme="majorHAnsi" w:hAnsiTheme="majorHAnsi" w:cs="Arial"/>
          <w:sz w:val="20"/>
          <w:szCs w:val="20"/>
        </w:rPr>
        <w:t>Federal death sentences are implemented by an intravenous injection of a lethal substance or substances in a quantity sufficient to cause death, such substance or substances to be determined by the Director, Federal Bureau of Prisons (BOP) and to be administered by qualified personnel selected by the Warden and acting at the direction of the United States Marshal. 28 CFR 26.3. The procedures utilized by the BOP to implement federal death sentences shall be as follows unless modified at the discretion of the Director or his/her designee, as necessary to (1) comply with specific judicial orders; (2) based on the recommendation of on-site medical personnel utilizing their clinical judgment; or (3) as may be required by other circumstances.</w:t>
      </w:r>
    </w:p>
    <w:p w14:paraId="4C00BFDA" w14:textId="77777777" w:rsidR="006D135C" w:rsidRPr="00261687" w:rsidRDefault="006D135C" w:rsidP="006D135C">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Arial"/>
          <w:sz w:val="20"/>
          <w:szCs w:val="20"/>
        </w:rPr>
      </w:pPr>
    </w:p>
    <w:p w14:paraId="53CCF1ED" w14:textId="77777777" w:rsidR="006D135C" w:rsidRPr="00261687" w:rsidRDefault="006D135C" w:rsidP="006D13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Arial"/>
          <w:sz w:val="20"/>
          <w:szCs w:val="20"/>
        </w:rPr>
      </w:pPr>
      <w:r w:rsidRPr="00261687">
        <w:rPr>
          <w:rFonts w:asciiTheme="majorHAnsi" w:hAnsiTheme="majorHAnsi" w:cs="Arial"/>
          <w:sz w:val="20"/>
          <w:szCs w:val="20"/>
          <w:lang w:eastAsia="es-ES"/>
        </w:rPr>
        <w:t>B.</w:t>
      </w:r>
      <w:r w:rsidRPr="00261687">
        <w:rPr>
          <w:rFonts w:asciiTheme="majorHAnsi" w:hAnsiTheme="majorHAnsi" w:cs="Arial"/>
          <w:sz w:val="20"/>
          <w:szCs w:val="20"/>
        </w:rPr>
        <w:t xml:space="preserve"> The identities of personnel considered for and/or selected to perform death sentence related functions, any documentation establishing their qualifications and the identities of personnel participating in federal judicial executions or training for such judicial executions shall be protected from disclosure to the fullest extent permitted by law.</w:t>
      </w:r>
    </w:p>
    <w:p w14:paraId="7869E1DE" w14:textId="77777777" w:rsidR="006D135C" w:rsidRPr="00261687" w:rsidRDefault="006D135C" w:rsidP="006D135C">
      <w:pPr>
        <w:ind w:left="720" w:right="720"/>
        <w:rPr>
          <w:sz w:val="20"/>
          <w:szCs w:val="20"/>
        </w:rPr>
      </w:pPr>
    </w:p>
    <w:p w14:paraId="110AFA83" w14:textId="77777777" w:rsidR="006D135C" w:rsidRPr="00261687" w:rsidRDefault="006D135C" w:rsidP="006D13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Arial"/>
          <w:sz w:val="20"/>
          <w:szCs w:val="20"/>
          <w:lang w:eastAsia="es-ES"/>
        </w:rPr>
      </w:pPr>
      <w:r w:rsidRPr="00261687">
        <w:rPr>
          <w:rFonts w:asciiTheme="majorHAnsi" w:hAnsiTheme="majorHAnsi" w:cs="Arial"/>
          <w:sz w:val="20"/>
          <w:szCs w:val="20"/>
          <w:lang w:eastAsia="es-ES"/>
        </w:rPr>
        <w:t>C. The lethal substances to be utilized in federal lethal injections shall be Pentobarbital Sodium.</w:t>
      </w:r>
    </w:p>
    <w:p w14:paraId="6D39269D" w14:textId="77777777" w:rsidR="006D135C" w:rsidRPr="00261687" w:rsidRDefault="006D135C" w:rsidP="006D13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Arial"/>
          <w:sz w:val="20"/>
          <w:szCs w:val="20"/>
          <w:lang w:eastAsia="es-ES"/>
        </w:rPr>
      </w:pPr>
    </w:p>
    <w:p w14:paraId="448B49A0" w14:textId="77777777" w:rsidR="0005746C" w:rsidRPr="00261687" w:rsidRDefault="006D135C" w:rsidP="006D13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sz w:val="20"/>
          <w:szCs w:val="20"/>
        </w:rPr>
      </w:pPr>
      <w:r w:rsidRPr="00261687">
        <w:rPr>
          <w:rFonts w:asciiTheme="majorHAnsi" w:hAnsiTheme="majorHAnsi" w:cs="Arial"/>
          <w:sz w:val="20"/>
          <w:szCs w:val="20"/>
          <w:lang w:eastAsia="es-ES"/>
        </w:rPr>
        <w:t>D. Not less than fourteen (14) days prior to a scheduled execution, the Director or designee, in conjunction with the United States Marshal Service, shall make a final selection of qualified personnel to serve as the executioner(s) and their alternates. See BOP Execution Protocol, Chap. 1, §§ III (F) and IV (B) &amp; (E). Qualified personnel includes currently licensed physicians, nurses, EMTs, Paramedics, Phlebotomists, other medically trained personnel, including those trained in the United States Military having at least one year professional experience and other personnel with necessary training and experience in a specific execution related function. Non-medically licensed or certified qualified personnel shall participate in a minimum of ten (10) execution rehearsals a year and shall have participated in at least two (2) execution rehearsals prior to participating in an actual execution. Any documentation establishing the qualifications, including training, of such personnel shall be maintained by the Director or designee.</w:t>
      </w:r>
    </w:p>
    <w:p w14:paraId="2E944AE1" w14:textId="77777777" w:rsidR="006D135C" w:rsidRPr="00261687" w:rsidRDefault="006D135C" w:rsidP="006E4D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0A0965B8" w14:textId="77777777" w:rsidR="007E4368" w:rsidRPr="00261687" w:rsidRDefault="006E4DF5"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eastAsia="Times New Roman" w:hAnsi="Cambria"/>
          <w:sz w:val="20"/>
          <w:szCs w:val="20"/>
          <w:bdr w:val="none" w:sz="0" w:space="0" w:color="auto"/>
        </w:rPr>
      </w:pPr>
      <w:r w:rsidRPr="00261687">
        <w:rPr>
          <w:rFonts w:ascii="Cambria" w:eastAsia="Times New Roman" w:hAnsi="Cambria"/>
          <w:sz w:val="20"/>
          <w:szCs w:val="20"/>
          <w:bdr w:val="none" w:sz="0" w:space="0" w:color="auto"/>
        </w:rPr>
        <w:lastRenderedPageBreak/>
        <w:t>The IACHR notes with</w:t>
      </w:r>
      <w:r w:rsidR="00373D5A" w:rsidRPr="00261687">
        <w:rPr>
          <w:rFonts w:ascii="Cambria" w:eastAsia="Times New Roman" w:hAnsi="Cambria"/>
          <w:sz w:val="20"/>
          <w:szCs w:val="20"/>
          <w:bdr w:val="none" w:sz="0" w:space="0" w:color="auto"/>
        </w:rPr>
        <w:t xml:space="preserve"> deep</w:t>
      </w:r>
      <w:r w:rsidRPr="00261687">
        <w:rPr>
          <w:rFonts w:ascii="Cambria" w:eastAsia="Times New Roman" w:hAnsi="Cambria"/>
          <w:sz w:val="20"/>
          <w:szCs w:val="20"/>
          <w:bdr w:val="none" w:sz="0" w:space="0" w:color="auto"/>
        </w:rPr>
        <w:t xml:space="preserve"> concern that the </w:t>
      </w:r>
      <w:r w:rsidR="00BA5B71" w:rsidRPr="00261687">
        <w:rPr>
          <w:rFonts w:ascii="Cambria" w:eastAsia="Times New Roman" w:hAnsi="Cambria"/>
          <w:sz w:val="20"/>
          <w:szCs w:val="20"/>
          <w:bdr w:val="none" w:sz="0" w:space="0" w:color="auto"/>
        </w:rPr>
        <w:t>addendum</w:t>
      </w:r>
      <w:r w:rsidRPr="00261687">
        <w:rPr>
          <w:rFonts w:ascii="Cambria" w:eastAsia="Times New Roman" w:hAnsi="Cambria"/>
          <w:sz w:val="20"/>
          <w:szCs w:val="20"/>
          <w:bdr w:val="none" w:sz="0" w:space="0" w:color="auto"/>
        </w:rPr>
        <w:t xml:space="preserve"> expressly </w:t>
      </w:r>
      <w:r w:rsidR="001F7984" w:rsidRPr="00261687">
        <w:rPr>
          <w:rFonts w:ascii="Cambria" w:eastAsia="Times New Roman" w:hAnsi="Cambria"/>
          <w:sz w:val="20"/>
          <w:szCs w:val="20"/>
          <w:bdr w:val="none" w:sz="0" w:space="0" w:color="auto"/>
        </w:rPr>
        <w:t>provides for the secrecy of the identity of personnel involved in the administration of the lethal injection</w:t>
      </w:r>
      <w:r w:rsidR="006B4E2D" w:rsidRPr="00261687">
        <w:rPr>
          <w:rFonts w:ascii="Cambria" w:eastAsia="Times New Roman" w:hAnsi="Cambria"/>
          <w:sz w:val="20"/>
          <w:szCs w:val="20"/>
          <w:bdr w:val="none" w:sz="0" w:space="0" w:color="auto"/>
        </w:rPr>
        <w:t xml:space="preserve"> and in the training of such personnel</w:t>
      </w:r>
      <w:r w:rsidR="00C04DFB" w:rsidRPr="00261687">
        <w:rPr>
          <w:rFonts w:ascii="Cambria" w:eastAsia="Times New Roman" w:hAnsi="Cambria"/>
          <w:sz w:val="20"/>
          <w:szCs w:val="20"/>
          <w:bdr w:val="none" w:sz="0" w:space="0" w:color="auto"/>
        </w:rPr>
        <w:t xml:space="preserve"> for the person condemned to death penalty</w:t>
      </w:r>
      <w:r w:rsidR="006B4E2D" w:rsidRPr="00261687">
        <w:rPr>
          <w:rFonts w:ascii="Cambria" w:eastAsia="Times New Roman" w:hAnsi="Cambria"/>
          <w:sz w:val="20"/>
          <w:szCs w:val="20"/>
          <w:bdr w:val="none" w:sz="0" w:space="0" w:color="auto"/>
        </w:rPr>
        <w:t xml:space="preserve">. </w:t>
      </w:r>
      <w:r w:rsidR="004B6B2E" w:rsidRPr="00261687">
        <w:rPr>
          <w:rFonts w:ascii="Cambria" w:eastAsia="Times New Roman" w:hAnsi="Cambria"/>
          <w:sz w:val="20"/>
          <w:szCs w:val="20"/>
          <w:bdr w:val="none" w:sz="0" w:space="0" w:color="auto"/>
        </w:rPr>
        <w:t>This provision directly contravenes the Commission’s recommendation to ensure that person</w:t>
      </w:r>
      <w:r w:rsidR="00416872" w:rsidRPr="00261687">
        <w:rPr>
          <w:rFonts w:ascii="Cambria" w:eastAsia="Times New Roman" w:hAnsi="Cambria"/>
          <w:sz w:val="20"/>
          <w:szCs w:val="20"/>
          <w:bdr w:val="none" w:sz="0" w:space="0" w:color="auto"/>
        </w:rPr>
        <w:t>s</w:t>
      </w:r>
      <w:r w:rsidR="004B6B2E" w:rsidRPr="00261687">
        <w:rPr>
          <w:rFonts w:ascii="Cambria" w:eastAsia="Times New Roman" w:hAnsi="Cambria"/>
          <w:sz w:val="20"/>
          <w:szCs w:val="20"/>
          <w:bdr w:val="none" w:sz="0" w:space="0" w:color="auto"/>
        </w:rPr>
        <w:t xml:space="preserve"> sentenced to death ha</w:t>
      </w:r>
      <w:r w:rsidR="00416872" w:rsidRPr="00261687">
        <w:rPr>
          <w:rFonts w:ascii="Cambria" w:eastAsia="Times New Roman" w:hAnsi="Cambria"/>
          <w:sz w:val="20"/>
          <w:szCs w:val="20"/>
          <w:bdr w:val="none" w:sz="0" w:space="0" w:color="auto"/>
        </w:rPr>
        <w:t>ve</w:t>
      </w:r>
      <w:r w:rsidR="004B6B2E" w:rsidRPr="00261687">
        <w:rPr>
          <w:rFonts w:ascii="Cambria" w:eastAsia="Times New Roman" w:hAnsi="Cambria"/>
          <w:sz w:val="20"/>
          <w:szCs w:val="20"/>
          <w:bdr w:val="none" w:sz="0" w:space="0" w:color="auto"/>
        </w:rPr>
        <w:t xml:space="preserve"> access to all the relevant information regarding the method of execution. </w:t>
      </w:r>
      <w:r w:rsidR="00BA5B71" w:rsidRPr="00261687">
        <w:rPr>
          <w:rFonts w:ascii="Cambria" w:eastAsia="Times New Roman" w:hAnsi="Cambria"/>
          <w:sz w:val="20"/>
          <w:szCs w:val="20"/>
          <w:bdr w:val="none" w:sz="0" w:space="0" w:color="auto"/>
        </w:rPr>
        <w:t>As previously indicated, i</w:t>
      </w:r>
      <w:r w:rsidR="00806F7E" w:rsidRPr="00261687">
        <w:rPr>
          <w:rFonts w:ascii="Cambria" w:eastAsia="Times New Roman" w:hAnsi="Cambria"/>
          <w:sz w:val="20"/>
          <w:szCs w:val="20"/>
          <w:bdr w:val="none" w:sz="0" w:space="0" w:color="auto"/>
        </w:rPr>
        <w:t xml:space="preserve">n its merits report </w:t>
      </w:r>
      <w:r w:rsidR="00806F7E" w:rsidRPr="00261687">
        <w:rPr>
          <w:rFonts w:asciiTheme="majorHAnsi" w:hAnsiTheme="majorHAnsi"/>
          <w:sz w:val="20"/>
          <w:szCs w:val="20"/>
        </w:rPr>
        <w:t xml:space="preserve">the IACHR recalled </w:t>
      </w:r>
      <w:r w:rsidR="00806F7E" w:rsidRPr="00261687">
        <w:rPr>
          <w:rFonts w:ascii="Cambria" w:eastAsia="Times New Roman" w:hAnsi="Cambria"/>
          <w:sz w:val="20"/>
          <w:szCs w:val="20"/>
          <w:bdr w:val="none" w:sz="0" w:space="0" w:color="auto"/>
        </w:rPr>
        <w:t xml:space="preserve">the State’s enhanced obligation </w:t>
      </w:r>
      <w:r w:rsidR="00806F7E" w:rsidRPr="00261687">
        <w:rPr>
          <w:rFonts w:asciiTheme="majorHAnsi" w:hAnsiTheme="majorHAnsi"/>
          <w:sz w:val="20"/>
          <w:szCs w:val="20"/>
        </w:rPr>
        <w:t>i</w:t>
      </w:r>
      <w:r w:rsidR="00806F7E" w:rsidRPr="00261687">
        <w:rPr>
          <w:rFonts w:ascii="Cambria" w:eastAsia="Times New Roman" w:hAnsi="Cambria"/>
          <w:sz w:val="20"/>
          <w:szCs w:val="20"/>
          <w:bdr w:val="none" w:sz="0" w:space="0" w:color="auto"/>
        </w:rPr>
        <w:t>n capital cases to ensure that the person sentenced to death has access to all the relevant information regarding the manner in which he or she is going to die. In particular, the convicted person must have access, among others, to information related to “the composition of the execution team as well as the training of its members”.</w:t>
      </w:r>
      <w:r w:rsidR="009C78F9" w:rsidRPr="00276646">
        <w:rPr>
          <w:rStyle w:val="FootnoteReference"/>
          <w:rFonts w:ascii="Cambria" w:eastAsia="Times New Roman" w:hAnsi="Cambria"/>
          <w:sz w:val="20"/>
          <w:szCs w:val="20"/>
          <w:bdr w:val="none" w:sz="0" w:space="0" w:color="auto" w:frame="1"/>
          <w:lang w:val="es-ES"/>
        </w:rPr>
        <w:footnoteReference w:id="96"/>
      </w:r>
      <w:r w:rsidR="004B4C1B" w:rsidRPr="00261687">
        <w:rPr>
          <w:rFonts w:ascii="Cambria" w:eastAsia="Times New Roman" w:hAnsi="Cambria"/>
          <w:sz w:val="20"/>
          <w:szCs w:val="20"/>
          <w:bdr w:val="none" w:sz="0" w:space="0" w:color="auto"/>
        </w:rPr>
        <w:t xml:space="preserve"> Further, this duty is a prerequisite to ensure the right of the person sentenced to death </w:t>
      </w:r>
      <w:r w:rsidR="00806F7E" w:rsidRPr="00261687">
        <w:rPr>
          <w:rFonts w:ascii="Cambria" w:eastAsia="Times New Roman" w:hAnsi="Cambria"/>
          <w:sz w:val="20"/>
          <w:szCs w:val="20"/>
          <w:bdr w:val="none" w:sz="0" w:space="0" w:color="auto"/>
        </w:rPr>
        <w:t xml:space="preserve">to challenge every aspect of the execution procedure. </w:t>
      </w:r>
      <w:r w:rsidR="004B4C1B" w:rsidRPr="00261687">
        <w:rPr>
          <w:rFonts w:ascii="Cambria" w:eastAsia="Times New Roman" w:hAnsi="Cambria"/>
          <w:sz w:val="20"/>
          <w:szCs w:val="20"/>
          <w:bdr w:val="none" w:sz="0" w:space="0" w:color="auto"/>
        </w:rPr>
        <w:t>T</w:t>
      </w:r>
      <w:r w:rsidR="006B4E2D" w:rsidRPr="00261687">
        <w:rPr>
          <w:rFonts w:ascii="Cambria" w:eastAsia="Times New Roman" w:hAnsi="Cambria"/>
          <w:sz w:val="20"/>
          <w:szCs w:val="20"/>
          <w:bdr w:val="none" w:sz="0" w:space="0" w:color="auto"/>
        </w:rPr>
        <w:t xml:space="preserve">he Commission also notes with </w:t>
      </w:r>
      <w:r w:rsidR="004B6B2E" w:rsidRPr="00261687">
        <w:rPr>
          <w:rFonts w:ascii="Cambria" w:eastAsia="Times New Roman" w:hAnsi="Cambria"/>
          <w:sz w:val="20"/>
          <w:szCs w:val="20"/>
          <w:bdr w:val="none" w:sz="0" w:space="0" w:color="auto"/>
        </w:rPr>
        <w:t>concern</w:t>
      </w:r>
      <w:r w:rsidR="006B4E2D" w:rsidRPr="00261687">
        <w:rPr>
          <w:rFonts w:ascii="Cambria" w:eastAsia="Times New Roman" w:hAnsi="Cambria"/>
          <w:sz w:val="20"/>
          <w:szCs w:val="20"/>
          <w:bdr w:val="none" w:sz="0" w:space="0" w:color="auto"/>
        </w:rPr>
        <w:t xml:space="preserve"> that non-medically licensed or certified personnel are expressly included among the professionals authorized to administer the lethal injection. </w:t>
      </w:r>
    </w:p>
    <w:p w14:paraId="258FFE5D" w14:textId="77777777" w:rsidR="009F7E8F" w:rsidRPr="00261687" w:rsidRDefault="009F7E8F" w:rsidP="009F7E8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201E0A4E" w14:textId="77777777" w:rsidR="00FC1C08" w:rsidRPr="00261687" w:rsidRDefault="009F7E8F" w:rsidP="00EA1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eastAsia="Times New Roman" w:hAnsi="Cambria"/>
          <w:sz w:val="20"/>
          <w:szCs w:val="20"/>
          <w:bdr w:val="none" w:sz="0" w:space="0" w:color="auto"/>
        </w:rPr>
      </w:pPr>
      <w:r w:rsidRPr="00261687">
        <w:rPr>
          <w:rFonts w:ascii="Cambria" w:eastAsia="Times New Roman" w:hAnsi="Cambria"/>
          <w:sz w:val="20"/>
          <w:szCs w:val="20"/>
          <w:bdr w:val="none" w:sz="0" w:space="0" w:color="auto"/>
        </w:rPr>
        <w:t xml:space="preserve">Finally, </w:t>
      </w:r>
      <w:r w:rsidR="00FC1C08" w:rsidRPr="00261687">
        <w:rPr>
          <w:rFonts w:ascii="Cambria" w:eastAsia="Times New Roman" w:hAnsi="Cambria"/>
          <w:sz w:val="20"/>
          <w:szCs w:val="20"/>
          <w:bdr w:val="none" w:sz="0" w:space="0" w:color="auto"/>
        </w:rPr>
        <w:t>the Commission reiterates its profound concern for the reinstatement of the death penalty at the federal level in the United States</w:t>
      </w:r>
      <w:r w:rsidR="00BA5B71" w:rsidRPr="00261687">
        <w:rPr>
          <w:rFonts w:ascii="Cambria" w:eastAsia="Times New Roman" w:hAnsi="Cambria"/>
          <w:sz w:val="20"/>
          <w:szCs w:val="20"/>
          <w:bdr w:val="none" w:sz="0" w:space="0" w:color="auto"/>
        </w:rPr>
        <w:t xml:space="preserve"> after a nearly two decade</w:t>
      </w:r>
      <w:r w:rsidR="00276646">
        <w:rPr>
          <w:rFonts w:ascii="Cambria" w:eastAsia="Times New Roman" w:hAnsi="Cambria"/>
          <w:sz w:val="20"/>
          <w:szCs w:val="20"/>
          <w:bdr w:val="none" w:sz="0" w:space="0" w:color="auto"/>
        </w:rPr>
        <w:t>s</w:t>
      </w:r>
      <w:r w:rsidR="00BA5B71" w:rsidRPr="00261687">
        <w:rPr>
          <w:rFonts w:ascii="Cambria" w:eastAsia="Times New Roman" w:hAnsi="Cambria"/>
          <w:sz w:val="20"/>
          <w:szCs w:val="20"/>
          <w:bdr w:val="none" w:sz="0" w:space="0" w:color="auto"/>
        </w:rPr>
        <w:t xml:space="preserve"> lapse</w:t>
      </w:r>
      <w:r w:rsidR="00FC1C08" w:rsidRPr="00261687">
        <w:rPr>
          <w:rFonts w:ascii="Cambria" w:eastAsia="Times New Roman" w:hAnsi="Cambria"/>
          <w:sz w:val="20"/>
          <w:szCs w:val="20"/>
          <w:bdr w:val="none" w:sz="0" w:space="0" w:color="auto"/>
        </w:rPr>
        <w:t>. In this regard, the Commission has publicly reiterated the United States’ duty to review its laws, procedures and practices to ensure that people accused of capital crimes are tried and, if convicted, sentenced in accordance with the rights established in the American Declaration.</w:t>
      </w:r>
      <w:r w:rsidR="00373D5A" w:rsidRPr="00261687">
        <w:rPr>
          <w:rStyle w:val="FootnoteReference"/>
          <w:rFonts w:ascii="Cambria" w:eastAsia="Times New Roman" w:hAnsi="Cambria"/>
          <w:sz w:val="20"/>
          <w:szCs w:val="20"/>
          <w:bdr w:val="none" w:sz="0" w:space="0" w:color="auto"/>
        </w:rPr>
        <w:footnoteReference w:id="97"/>
      </w:r>
      <w:r w:rsidR="00FC1C08" w:rsidRPr="00261687">
        <w:rPr>
          <w:rFonts w:ascii="Cambria" w:eastAsia="Times New Roman" w:hAnsi="Cambria"/>
          <w:sz w:val="20"/>
          <w:szCs w:val="20"/>
          <w:bdr w:val="none" w:sz="0" w:space="0" w:color="auto"/>
        </w:rPr>
        <w:t xml:space="preserve"> </w:t>
      </w:r>
    </w:p>
    <w:p w14:paraId="3B7E27FB" w14:textId="77777777" w:rsidR="003227ED" w:rsidRPr="00261687" w:rsidRDefault="003227ED" w:rsidP="003227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71D09342" w14:textId="77777777" w:rsidR="003227ED" w:rsidRPr="00261687" w:rsidRDefault="003227ED" w:rsidP="00373D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eastAsia="Times New Roman" w:hAnsi="Cambria"/>
          <w:sz w:val="20"/>
          <w:szCs w:val="20"/>
          <w:bdr w:val="none" w:sz="0" w:space="0" w:color="auto"/>
        </w:rPr>
      </w:pPr>
      <w:r w:rsidRPr="00261687">
        <w:rPr>
          <w:rFonts w:ascii="Cambria" w:eastAsia="Times New Roman" w:hAnsi="Cambria"/>
          <w:sz w:val="20"/>
          <w:szCs w:val="20"/>
          <w:bdr w:val="none" w:sz="0" w:space="0" w:color="auto"/>
        </w:rPr>
        <w:t>Therefore, the Commission conclud</w:t>
      </w:r>
      <w:r w:rsidR="009F7E8F" w:rsidRPr="00261687">
        <w:rPr>
          <w:rFonts w:ascii="Cambria" w:eastAsia="Times New Roman" w:hAnsi="Cambria"/>
          <w:sz w:val="20"/>
          <w:szCs w:val="20"/>
          <w:bdr w:val="none" w:sz="0" w:space="0" w:color="auto"/>
        </w:rPr>
        <w:t xml:space="preserve">es that the United States has </w:t>
      </w:r>
      <w:r w:rsidRPr="00261687">
        <w:rPr>
          <w:rFonts w:ascii="Cambria" w:eastAsia="Times New Roman" w:hAnsi="Cambria"/>
          <w:sz w:val="20"/>
          <w:szCs w:val="20"/>
          <w:bdr w:val="none" w:sz="0" w:space="0" w:color="auto"/>
        </w:rPr>
        <w:t xml:space="preserve">not only failed to take measures to comply with the recommendations issued by the Commission in its </w:t>
      </w:r>
      <w:r w:rsidRPr="00261687">
        <w:rPr>
          <w:rFonts w:ascii="Cambria" w:hAnsi="Cambria"/>
          <w:sz w:val="20"/>
          <w:szCs w:val="20"/>
        </w:rPr>
        <w:t>Final Merits Report No. 90/19</w:t>
      </w:r>
      <w:r w:rsidR="009F7E8F" w:rsidRPr="00261687">
        <w:rPr>
          <w:rFonts w:ascii="Cambria" w:hAnsi="Cambria"/>
          <w:sz w:val="20"/>
          <w:szCs w:val="20"/>
        </w:rPr>
        <w:t>, but has adopted</w:t>
      </w:r>
      <w:r w:rsidR="00373D5A" w:rsidRPr="00261687">
        <w:rPr>
          <w:rFonts w:ascii="Cambria" w:hAnsi="Cambria"/>
          <w:sz w:val="20"/>
          <w:szCs w:val="20"/>
        </w:rPr>
        <w:t xml:space="preserve"> actions that directly contravene those recommendations</w:t>
      </w:r>
      <w:r w:rsidR="0045757F" w:rsidRPr="00261687">
        <w:rPr>
          <w:rFonts w:ascii="Cambria" w:hAnsi="Cambria"/>
          <w:sz w:val="20"/>
          <w:szCs w:val="20"/>
        </w:rPr>
        <w:t xml:space="preserve">, in particular, </w:t>
      </w:r>
      <w:r w:rsidR="009F7E8F" w:rsidRPr="00261687">
        <w:rPr>
          <w:rFonts w:ascii="Cambria" w:hAnsi="Cambria"/>
          <w:sz w:val="20"/>
          <w:szCs w:val="20"/>
        </w:rPr>
        <w:t xml:space="preserve">Recommendations number 5 and 6.  </w:t>
      </w:r>
    </w:p>
    <w:p w14:paraId="69AE4B54" w14:textId="77777777" w:rsidR="001F7984" w:rsidRPr="00261687" w:rsidRDefault="001F7984" w:rsidP="001F7984">
      <w:pPr>
        <w:pStyle w:val="ListParagraph"/>
      </w:pPr>
    </w:p>
    <w:p w14:paraId="5E8CB533" w14:textId="77777777" w:rsidR="001C4006" w:rsidRPr="00261687" w:rsidRDefault="000B44FC" w:rsidP="009E3847">
      <w:pPr>
        <w:pStyle w:val="Heading1"/>
        <w:spacing w:before="0"/>
        <w:ind w:left="1440" w:hanging="720"/>
        <w:rPr>
          <w:color w:val="auto"/>
          <w:sz w:val="20"/>
          <w:szCs w:val="20"/>
          <w:lang w:val="es-ES_tradnl"/>
        </w:rPr>
      </w:pPr>
      <w:bookmarkStart w:id="36" w:name="_Toc26550944"/>
      <w:r w:rsidRPr="00261687">
        <w:rPr>
          <w:color w:val="auto"/>
          <w:sz w:val="20"/>
          <w:szCs w:val="20"/>
          <w:lang w:val="es-ES_tradnl"/>
        </w:rPr>
        <w:t xml:space="preserve">FINAL </w:t>
      </w:r>
      <w:r w:rsidR="001C4006" w:rsidRPr="00261687">
        <w:rPr>
          <w:color w:val="auto"/>
          <w:sz w:val="20"/>
          <w:szCs w:val="20"/>
          <w:lang w:val="es-ES_tradnl"/>
        </w:rPr>
        <w:t>CONCLUSIONS AND RECOMMENDATIONS</w:t>
      </w:r>
      <w:bookmarkEnd w:id="36"/>
    </w:p>
    <w:p w14:paraId="57103DA4" w14:textId="77777777" w:rsidR="001C4006" w:rsidRPr="00D2222C" w:rsidRDefault="001C4006" w:rsidP="009412E0">
      <w:pPr>
        <w:suppressAutoHyphens/>
        <w:ind w:left="1440" w:hanging="720"/>
        <w:rPr>
          <w:rFonts w:asciiTheme="majorHAnsi" w:hAnsiTheme="majorHAnsi"/>
          <w:b/>
          <w:sz w:val="20"/>
          <w:szCs w:val="20"/>
          <w:lang w:val="es-ES_tradnl"/>
        </w:rPr>
      </w:pPr>
    </w:p>
    <w:p w14:paraId="2519ADCC" w14:textId="77777777" w:rsidR="0064712F" w:rsidRPr="00D2222C" w:rsidRDefault="00F1763D"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Cambria" w:hAnsi="Cambria"/>
          <w:sz w:val="20"/>
          <w:szCs w:val="20"/>
        </w:rPr>
      </w:pPr>
      <w:r w:rsidRPr="00D2222C">
        <w:rPr>
          <w:rFonts w:asciiTheme="majorHAnsi" w:hAnsiTheme="majorHAnsi"/>
          <w:color w:val="000000" w:themeColor="text1"/>
          <w:sz w:val="20"/>
          <w:szCs w:val="20"/>
        </w:rPr>
        <w:t xml:space="preserve">On the basis of determinations of fact and law, the Inter-American Commission concluded that the State is responsible for the violation of Articles I (life, liberty, and security), II (equality before the law), IV (freedom of expression), XVIII (fair trial), XXV (protection from arbitrary detention), and XXVI (due process) of the American Declaration. </w:t>
      </w:r>
    </w:p>
    <w:p w14:paraId="652D3031" w14:textId="77777777" w:rsidR="00BA7984" w:rsidRPr="00D2222C" w:rsidRDefault="00BA7984" w:rsidP="009E384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720"/>
        <w:jc w:val="both"/>
        <w:rPr>
          <w:rFonts w:ascii="Cambria" w:hAnsi="Cambria"/>
          <w:sz w:val="20"/>
          <w:szCs w:val="20"/>
        </w:rPr>
      </w:pPr>
    </w:p>
    <w:p w14:paraId="119EB3C7" w14:textId="77777777" w:rsidR="00F1763D" w:rsidRPr="00D2222C" w:rsidRDefault="00C55378" w:rsidP="009E3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Cambria" w:hAnsi="Cambria"/>
          <w:sz w:val="20"/>
          <w:szCs w:val="20"/>
        </w:rPr>
      </w:pPr>
      <w:r w:rsidRPr="00D2222C">
        <w:rPr>
          <w:rFonts w:ascii="Cambria" w:eastAsia="Times New Roman" w:hAnsi="Cambria"/>
          <w:sz w:val="20"/>
          <w:szCs w:val="20"/>
        </w:rPr>
        <w:t>Orlando Cordia Hall</w:t>
      </w:r>
      <w:r w:rsidR="0064712F" w:rsidRPr="00D2222C">
        <w:rPr>
          <w:rFonts w:ascii="Cambria" w:eastAsia="Times New Roman" w:hAnsi="Cambria"/>
          <w:sz w:val="20"/>
          <w:szCs w:val="20"/>
        </w:rPr>
        <w:t xml:space="preserve"> is the beneficiary of precautionary measures adopted by the Inter-American Commission under Article 25 of its Rules of Procedure. The Commission must remind the State that carrying out a death sentence in such circumstances would not only cause irreparable harm to the person but would also deny his right to petition the Inter-American human rights system and to obtain an effective result, and that such a measure is contrary to the fundamental human rights obligations of an OAS member state pursuant to the Charter of the Organization and the instruments deriving from it</w:t>
      </w:r>
      <w:r w:rsidRPr="00D2222C">
        <w:rPr>
          <w:rFonts w:ascii="Cambria" w:eastAsia="Times New Roman" w:hAnsi="Cambria"/>
          <w:sz w:val="20"/>
          <w:szCs w:val="20"/>
        </w:rPr>
        <w:t>.</w:t>
      </w:r>
      <w:r w:rsidRPr="00D2222C">
        <w:rPr>
          <w:rStyle w:val="FootnoteReference"/>
          <w:rFonts w:ascii="Cambria" w:eastAsia="Times New Roman" w:hAnsi="Cambria"/>
          <w:sz w:val="20"/>
          <w:szCs w:val="20"/>
        </w:rPr>
        <w:footnoteReference w:id="98"/>
      </w:r>
      <w:r w:rsidRPr="00D2222C">
        <w:rPr>
          <w:rFonts w:ascii="Cambria" w:eastAsia="Times New Roman" w:hAnsi="Cambria"/>
          <w:sz w:val="20"/>
          <w:szCs w:val="20"/>
        </w:rPr>
        <w:t xml:space="preserve"> Accordingly, t</w:t>
      </w:r>
      <w:r w:rsidR="00F1763D" w:rsidRPr="00D2222C">
        <w:rPr>
          <w:rFonts w:asciiTheme="majorHAnsi" w:hAnsiTheme="majorHAnsi"/>
          <w:color w:val="000000" w:themeColor="text1"/>
          <w:sz w:val="20"/>
          <w:szCs w:val="20"/>
        </w:rPr>
        <w:t>he Commission formulated the corresponding recommendations to the State.</w:t>
      </w:r>
    </w:p>
    <w:p w14:paraId="106382F5" w14:textId="77777777" w:rsidR="00261687" w:rsidRDefault="00261687">
      <w:pPr>
        <w:rPr>
          <w:rFonts w:ascii="Cambria" w:eastAsia="Cambria" w:hAnsi="Cambria" w:cs="Cambria"/>
          <w:color w:val="000000"/>
          <w:sz w:val="20"/>
          <w:szCs w:val="20"/>
          <w:u w:color="000000"/>
          <w:lang w:eastAsia="es-ES"/>
        </w:rPr>
      </w:pPr>
      <w:r>
        <w:rPr>
          <w:sz w:val="20"/>
          <w:szCs w:val="20"/>
        </w:rPr>
        <w:br w:type="page"/>
      </w:r>
    </w:p>
    <w:p w14:paraId="54A3A42E" w14:textId="77777777" w:rsidR="001C4006" w:rsidRPr="00D2222C" w:rsidRDefault="001C4006" w:rsidP="001C4006">
      <w:pPr>
        <w:ind w:firstLine="720"/>
        <w:jc w:val="both"/>
        <w:rPr>
          <w:rFonts w:ascii="Cambria" w:hAnsi="Cambria"/>
          <w:b/>
          <w:sz w:val="20"/>
          <w:szCs w:val="20"/>
        </w:rPr>
      </w:pPr>
      <w:r w:rsidRPr="00D2222C">
        <w:rPr>
          <w:rFonts w:ascii="Cambria" w:hAnsi="Cambria"/>
          <w:b/>
          <w:sz w:val="20"/>
          <w:szCs w:val="20"/>
        </w:rPr>
        <w:lastRenderedPageBreak/>
        <w:tab/>
        <w:t xml:space="preserve">THE INTER-AMERICAN COMMISSION ON HUMAN RIGHTS, </w:t>
      </w:r>
      <w:r w:rsidR="000B44FC" w:rsidRPr="00D2222C">
        <w:rPr>
          <w:rFonts w:ascii="Cambria" w:hAnsi="Cambria"/>
          <w:b/>
          <w:sz w:val="20"/>
          <w:szCs w:val="20"/>
        </w:rPr>
        <w:t>REITERATES</w:t>
      </w:r>
      <w:r w:rsidRPr="00D2222C">
        <w:rPr>
          <w:rFonts w:ascii="Cambria" w:hAnsi="Cambria"/>
          <w:b/>
          <w:sz w:val="20"/>
          <w:szCs w:val="20"/>
        </w:rPr>
        <w:t xml:space="preserve"> THAT THE </w:t>
      </w:r>
      <w:r w:rsidR="002E432F" w:rsidRPr="00D2222C">
        <w:rPr>
          <w:rFonts w:ascii="Cambria" w:hAnsi="Cambria"/>
          <w:b/>
          <w:sz w:val="20"/>
          <w:szCs w:val="20"/>
        </w:rPr>
        <w:t xml:space="preserve">UNITED </w:t>
      </w:r>
      <w:r w:rsidRPr="00D2222C">
        <w:rPr>
          <w:rFonts w:ascii="Cambria" w:hAnsi="Cambria"/>
          <w:b/>
          <w:sz w:val="20"/>
          <w:szCs w:val="20"/>
        </w:rPr>
        <w:t>STATE</w:t>
      </w:r>
      <w:r w:rsidR="002E432F" w:rsidRPr="00D2222C">
        <w:rPr>
          <w:rFonts w:ascii="Cambria" w:hAnsi="Cambria"/>
          <w:b/>
          <w:sz w:val="20"/>
          <w:szCs w:val="20"/>
        </w:rPr>
        <w:t>S</w:t>
      </w:r>
      <w:r w:rsidRPr="00D2222C">
        <w:rPr>
          <w:rFonts w:ascii="Cambria" w:hAnsi="Cambria"/>
          <w:b/>
          <w:sz w:val="20"/>
          <w:szCs w:val="20"/>
        </w:rPr>
        <w:t xml:space="preserve"> OF</w:t>
      </w:r>
      <w:r w:rsidR="002E432F" w:rsidRPr="00D2222C">
        <w:rPr>
          <w:rFonts w:ascii="Cambria" w:hAnsi="Cambria"/>
          <w:b/>
          <w:sz w:val="20"/>
          <w:szCs w:val="20"/>
        </w:rPr>
        <w:t xml:space="preserve"> AMERICA</w:t>
      </w:r>
      <w:r w:rsidRPr="00D2222C">
        <w:rPr>
          <w:rFonts w:ascii="Cambria" w:hAnsi="Cambria"/>
          <w:b/>
          <w:sz w:val="20"/>
          <w:szCs w:val="20"/>
        </w:rPr>
        <w:t>,</w:t>
      </w:r>
    </w:p>
    <w:p w14:paraId="24DE54E0" w14:textId="77777777" w:rsidR="001C4006" w:rsidRPr="00D2222C" w:rsidRDefault="001C4006" w:rsidP="001C4006">
      <w:pPr>
        <w:ind w:firstLine="720"/>
        <w:jc w:val="both"/>
        <w:rPr>
          <w:rFonts w:ascii="Cambria" w:hAnsi="Cambria"/>
          <w:b/>
          <w:sz w:val="20"/>
          <w:szCs w:val="20"/>
        </w:rPr>
      </w:pPr>
    </w:p>
    <w:p w14:paraId="006AD8E4" w14:textId="77777777" w:rsidR="00A54E22" w:rsidRPr="00D2222C" w:rsidRDefault="00A163A4"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eastAsia="Times New Roman" w:cs="Tahoma"/>
          <w:sz w:val="20"/>
          <w:szCs w:val="20"/>
          <w:bdr w:val="none" w:sz="0" w:space="0" w:color="auto"/>
        </w:rPr>
        <w:t>Grant Orlando Cordia Hall effective relief, including the review of his trial and sentence in accordance with the right to equality before the law and the guarantees of fair trial and due process set forth in Articles II, XVIII and XXVI of the American Declaration.</w:t>
      </w:r>
      <w:r w:rsidR="00250F42" w:rsidRPr="00D2222C">
        <w:rPr>
          <w:rFonts w:eastAsia="Times New Roman" w:cs="Tahoma"/>
          <w:sz w:val="20"/>
          <w:szCs w:val="20"/>
          <w:bdr w:val="none" w:sz="0" w:space="0" w:color="auto"/>
        </w:rPr>
        <w:t xml:space="preserve"> </w:t>
      </w:r>
      <w:r w:rsidR="00C55378" w:rsidRPr="00D2222C">
        <w:rPr>
          <w:rFonts w:cs="Arial"/>
          <w:color w:val="auto"/>
          <w:sz w:val="20"/>
          <w:szCs w:val="20"/>
        </w:rPr>
        <w:t>Taking into account the conclusions of the IACHR on the time Orlando Cordia Hall has been held on death row, the Commission recommends that his sentence be commuted</w:t>
      </w:r>
      <w:r w:rsidR="00C55378" w:rsidRPr="00D2222C">
        <w:rPr>
          <w:rFonts w:eastAsia="Times New Roman" w:cs="Tahoma"/>
          <w:sz w:val="20"/>
          <w:szCs w:val="20"/>
          <w:bdr w:val="none" w:sz="0" w:space="0" w:color="auto"/>
        </w:rPr>
        <w:t>.</w:t>
      </w:r>
    </w:p>
    <w:p w14:paraId="1E0F4932" w14:textId="77777777" w:rsidR="00A54E22" w:rsidRPr="00D2222C" w:rsidRDefault="00A54E22" w:rsidP="00A54E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4B77B6A4" w14:textId="77777777" w:rsidR="0059770B" w:rsidRPr="00D2222C" w:rsidRDefault="00A54E22"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Review its laws, procedures, and practices to ensure that persons accused of capital crimes are tried and, if convicted, sentenced in accordance with the rights established in the American Declaration, including Articles I, II, XVIII, X</w:t>
      </w:r>
      <w:r w:rsidR="0059770B" w:rsidRPr="00D2222C">
        <w:rPr>
          <w:sz w:val="20"/>
        </w:rPr>
        <w:t>X</w:t>
      </w:r>
      <w:r w:rsidRPr="00D2222C">
        <w:rPr>
          <w:sz w:val="20"/>
        </w:rPr>
        <w:t>V and XXVI thereof</w:t>
      </w:r>
      <w:bookmarkStart w:id="37" w:name="_ftn34"/>
      <w:bookmarkEnd w:id="37"/>
      <w:r w:rsidR="00952CAA" w:rsidRPr="00D2222C">
        <w:rPr>
          <w:sz w:val="20"/>
        </w:rPr>
        <w:t>.</w:t>
      </w:r>
    </w:p>
    <w:p w14:paraId="4AA68EC0" w14:textId="77777777" w:rsidR="0059770B" w:rsidRPr="00D2222C" w:rsidRDefault="0059770B" w:rsidP="0059770B">
      <w:pPr>
        <w:pStyle w:val="ListParagraph"/>
        <w:rPr>
          <w:sz w:val="20"/>
        </w:rPr>
      </w:pPr>
    </w:p>
    <w:p w14:paraId="72BF43BF" w14:textId="77777777" w:rsidR="00952CAA" w:rsidRPr="00D2222C" w:rsidRDefault="00A54E22"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Ensure that the legal counsel provided by the State in death penalty cases is effective and adequately trained to serve in death penalty cases</w:t>
      </w:r>
      <w:r w:rsidR="00952CAA" w:rsidRPr="00D2222C">
        <w:rPr>
          <w:sz w:val="20"/>
        </w:rPr>
        <w:t>.</w:t>
      </w:r>
    </w:p>
    <w:p w14:paraId="2E96FB16" w14:textId="77777777" w:rsidR="00952CAA" w:rsidRPr="00D2222C" w:rsidRDefault="00952CAA" w:rsidP="00952CAA">
      <w:pPr>
        <w:pStyle w:val="ListParagraph"/>
        <w:rPr>
          <w:sz w:val="20"/>
        </w:rPr>
      </w:pPr>
    </w:p>
    <w:p w14:paraId="712B48D7" w14:textId="77777777" w:rsidR="00F737D9" w:rsidRPr="00D2222C" w:rsidRDefault="00952CAA"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sz w:val="20"/>
        </w:rPr>
        <w:t xml:space="preserve">Review the executive clemency procedure to ensure </w:t>
      </w:r>
      <w:r w:rsidR="009A0F04" w:rsidRPr="00D2222C">
        <w:rPr>
          <w:sz w:val="20"/>
        </w:rPr>
        <w:t>impartiality and</w:t>
      </w:r>
      <w:r w:rsidR="00A54E22" w:rsidRPr="00D2222C">
        <w:rPr>
          <w:sz w:val="20"/>
        </w:rPr>
        <w:t xml:space="preserve"> </w:t>
      </w:r>
      <w:r w:rsidR="00530B2B" w:rsidRPr="00D2222C">
        <w:rPr>
          <w:sz w:val="20"/>
        </w:rPr>
        <w:t xml:space="preserve">compliance with </w:t>
      </w:r>
      <w:r w:rsidR="009A0F04" w:rsidRPr="00D2222C">
        <w:rPr>
          <w:rFonts w:eastAsia="Arial Unicode MS"/>
          <w:sz w:val="20"/>
          <w:szCs w:val="20"/>
        </w:rPr>
        <w:t>the right to minimal fairness guarantees.</w:t>
      </w:r>
    </w:p>
    <w:p w14:paraId="249655BF" w14:textId="77777777" w:rsidR="00F737D9" w:rsidRPr="00D2222C" w:rsidRDefault="00F737D9" w:rsidP="00F737D9">
      <w:pPr>
        <w:pStyle w:val="ListParagraph"/>
        <w:rPr>
          <w:rFonts w:asciiTheme="majorHAnsi" w:eastAsia="Times New Roman" w:hAnsiTheme="majorHAnsi" w:cs="Tahoma"/>
          <w:sz w:val="20"/>
          <w:szCs w:val="20"/>
          <w:bdr w:val="none" w:sz="0" w:space="0" w:color="auto"/>
        </w:rPr>
      </w:pPr>
    </w:p>
    <w:p w14:paraId="36643AC2" w14:textId="77777777" w:rsidR="00700471" w:rsidRPr="00D2222C" w:rsidRDefault="00700471"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asciiTheme="majorHAnsi" w:eastAsia="Times New Roman" w:hAnsiTheme="majorHAnsi" w:cs="Tahoma"/>
          <w:sz w:val="20"/>
          <w:szCs w:val="20"/>
          <w:bdr w:val="none" w:sz="0" w:space="0" w:color="auto"/>
        </w:rPr>
        <w:t xml:space="preserve">Ensure that the federal lethal injection protocol complies with the </w:t>
      </w:r>
      <w:r w:rsidR="00F737D9" w:rsidRPr="00D2222C">
        <w:rPr>
          <w:rFonts w:asciiTheme="majorHAnsi" w:eastAsia="Times New Roman" w:hAnsiTheme="majorHAnsi"/>
          <w:sz w:val="20"/>
          <w:szCs w:val="20"/>
          <w:bdr w:val="none" w:sz="0" w:space="0" w:color="auto"/>
        </w:rPr>
        <w:t>right to humane treatment and not to receive cruel, infamous or unusual punishment set forth in Articles XXV and XXVI of the Declaration</w:t>
      </w:r>
      <w:r w:rsidR="00C55378" w:rsidRPr="00D2222C">
        <w:rPr>
          <w:rFonts w:asciiTheme="majorHAnsi" w:eastAsia="Times New Roman" w:hAnsiTheme="majorHAnsi"/>
          <w:sz w:val="20"/>
          <w:szCs w:val="20"/>
          <w:bdr w:val="none" w:sz="0" w:space="0" w:color="auto"/>
        </w:rPr>
        <w:t>, and that</w:t>
      </w:r>
      <w:r w:rsidR="00C55378" w:rsidRPr="00D2222C">
        <w:rPr>
          <w:rFonts w:eastAsia="Times New Roman"/>
          <w:sz w:val="20"/>
          <w:szCs w:val="20"/>
          <w:bdr w:val="none" w:sz="0" w:space="0" w:color="auto"/>
        </w:rPr>
        <w:t xml:space="preserve"> the person sentenced to death has access to all the relevant information regarding</w:t>
      </w:r>
      <w:r w:rsidR="00C55378" w:rsidRPr="00D2222C">
        <w:rPr>
          <w:rFonts w:asciiTheme="majorHAnsi" w:eastAsia="Times New Roman" w:hAnsiTheme="majorHAnsi"/>
          <w:sz w:val="20"/>
          <w:szCs w:val="20"/>
          <w:bdr w:val="none" w:sz="0" w:space="0" w:color="auto"/>
        </w:rPr>
        <w:t xml:space="preserve"> the method of execution. </w:t>
      </w:r>
      <w:r w:rsidR="00F737D9" w:rsidRPr="00D2222C">
        <w:rPr>
          <w:rFonts w:asciiTheme="majorHAnsi" w:eastAsia="Times New Roman" w:hAnsiTheme="majorHAnsi"/>
          <w:sz w:val="20"/>
          <w:szCs w:val="20"/>
          <w:bdr w:val="none" w:sz="0" w:space="0" w:color="auto"/>
        </w:rPr>
        <w:t xml:space="preserve"> </w:t>
      </w:r>
    </w:p>
    <w:p w14:paraId="3E2EEB0F" w14:textId="77777777" w:rsidR="0059770B" w:rsidRPr="00D2222C" w:rsidRDefault="0059770B" w:rsidP="0059770B">
      <w:pPr>
        <w:pStyle w:val="ListParagraph"/>
        <w:rPr>
          <w:rFonts w:asciiTheme="majorHAnsi" w:hAnsiTheme="majorHAnsi"/>
          <w:sz w:val="20"/>
        </w:rPr>
      </w:pPr>
    </w:p>
    <w:p w14:paraId="28FC7C56" w14:textId="77777777" w:rsidR="001C4006" w:rsidRPr="00D2222C" w:rsidRDefault="00A54E22" w:rsidP="00EA50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D2222C">
        <w:rPr>
          <w:rFonts w:asciiTheme="majorHAnsi" w:hAnsiTheme="majorHAnsi"/>
          <w:sz w:val="20"/>
        </w:rPr>
        <w:t>Given the violations of the American Declaration the IACHR has established in the present</w:t>
      </w:r>
      <w:r w:rsidRPr="00D2222C">
        <w:rPr>
          <w:sz w:val="20"/>
        </w:rPr>
        <w:t xml:space="preserve"> case and in others involving application of the death penalty, the Inter-American Commission also recommends to the United States that it adopt a moratorium on executions of persons sentenced to death.</w:t>
      </w:r>
      <w:r w:rsidRPr="00D2222C">
        <w:rPr>
          <w:rStyle w:val="FootnoteReference"/>
          <w:sz w:val="20"/>
        </w:rPr>
        <w:footnoteReference w:id="99"/>
      </w:r>
    </w:p>
    <w:p w14:paraId="793AB991" w14:textId="77777777" w:rsidR="00EA5001" w:rsidRPr="00D2222C" w:rsidRDefault="00EA5001" w:rsidP="00EA5001">
      <w:pPr>
        <w:pStyle w:val="Heading1"/>
        <w:numPr>
          <w:ilvl w:val="0"/>
          <w:numId w:val="0"/>
        </w:numPr>
        <w:spacing w:before="0"/>
        <w:ind w:left="1440"/>
        <w:rPr>
          <w:color w:val="auto"/>
          <w:sz w:val="20"/>
          <w:szCs w:val="20"/>
        </w:rPr>
      </w:pPr>
    </w:p>
    <w:p w14:paraId="5CEDF712" w14:textId="77777777" w:rsidR="00EA5001" w:rsidRPr="00261687" w:rsidRDefault="006E3C05" w:rsidP="009E3847">
      <w:pPr>
        <w:pStyle w:val="Heading1"/>
        <w:spacing w:before="0"/>
        <w:ind w:left="1440" w:hanging="720"/>
        <w:rPr>
          <w:color w:val="auto"/>
          <w:sz w:val="20"/>
          <w:szCs w:val="20"/>
          <w:lang w:val="es-ES_tradnl"/>
        </w:rPr>
      </w:pPr>
      <w:bookmarkStart w:id="38" w:name="_Toc26550945"/>
      <w:r w:rsidRPr="00261687">
        <w:rPr>
          <w:color w:val="auto"/>
          <w:sz w:val="20"/>
          <w:szCs w:val="20"/>
          <w:lang w:val="es-ES_tradnl"/>
        </w:rPr>
        <w:t>PUBLICATION</w:t>
      </w:r>
      <w:bookmarkEnd w:id="38"/>
    </w:p>
    <w:p w14:paraId="302C5012" w14:textId="77777777" w:rsidR="00EA5001" w:rsidRPr="00261687" w:rsidRDefault="00EA5001" w:rsidP="00EA5001">
      <w:pPr>
        <w:rPr>
          <w:rFonts w:asciiTheme="majorHAnsi" w:hAnsiTheme="majorHAnsi"/>
          <w:sz w:val="20"/>
          <w:szCs w:val="20"/>
        </w:rPr>
      </w:pPr>
    </w:p>
    <w:p w14:paraId="2F0896E9" w14:textId="77777777" w:rsidR="006E3C05" w:rsidRPr="00261687" w:rsidRDefault="006E3C05" w:rsidP="006E3C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Cambria" w:eastAsia="Times New Roman" w:hAnsi="Cambria"/>
          <w:sz w:val="20"/>
          <w:szCs w:val="20"/>
        </w:rPr>
      </w:pPr>
      <w:r w:rsidRPr="00261687">
        <w:rPr>
          <w:rFonts w:ascii="Cambria" w:eastAsia="Times New Roman" w:hAnsi="Cambria"/>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77923059" w14:textId="77777777" w:rsidR="00EA5001" w:rsidRDefault="00EA5001" w:rsidP="006E3C0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jc w:val="both"/>
        <w:rPr>
          <w:sz w:val="20"/>
          <w:szCs w:val="20"/>
        </w:rPr>
      </w:pPr>
    </w:p>
    <w:p w14:paraId="3E55C004" w14:textId="77777777" w:rsidR="00261687" w:rsidRDefault="00261687" w:rsidP="00261687">
      <w:pPr>
        <w:suppressAutoHyphens/>
        <w:ind w:firstLine="720"/>
        <w:jc w:val="both"/>
        <w:rPr>
          <w:rFonts w:ascii="Cambria" w:hAnsi="Cambria"/>
          <w:spacing w:val="-2"/>
          <w:sz w:val="20"/>
        </w:rPr>
      </w:pPr>
      <w:r>
        <w:rPr>
          <w:rFonts w:ascii="Cambria" w:hAnsi="Cambria"/>
          <w:spacing w:val="-2"/>
          <w:sz w:val="20"/>
        </w:rPr>
        <w:t xml:space="preserve">Approved by </w:t>
      </w:r>
      <w:r>
        <w:rPr>
          <w:rFonts w:ascii="Cambria" w:hAnsi="Cambria" w:cs="Arial"/>
          <w:sz w:val="20"/>
          <w:szCs w:val="20"/>
        </w:rPr>
        <w:t xml:space="preserve">the </w:t>
      </w:r>
      <w:r w:rsidRPr="00365F2F">
        <w:rPr>
          <w:rFonts w:ascii="Cambria" w:hAnsi="Cambria"/>
          <w:sz w:val="20"/>
        </w:rPr>
        <w:t>Inter-American Commission on Human Rights</w:t>
      </w:r>
      <w:r w:rsidRPr="00365F2F">
        <w:rPr>
          <w:rFonts w:ascii="Cambria" w:hAnsi="Cambria"/>
          <w:spacing w:val="-2"/>
          <w:sz w:val="20"/>
        </w:rPr>
        <w:t xml:space="preserve"> on the </w:t>
      </w:r>
      <w:r>
        <w:rPr>
          <w:rFonts w:ascii="Cambria" w:hAnsi="Cambria"/>
          <w:spacing w:val="-2"/>
          <w:sz w:val="20"/>
        </w:rPr>
        <w:t>22</w:t>
      </w:r>
      <w:r w:rsidRPr="00CC164D">
        <w:rPr>
          <w:rFonts w:ascii="Cambria" w:hAnsi="Cambria"/>
          <w:spacing w:val="-2"/>
          <w:sz w:val="20"/>
        </w:rPr>
        <w:t xml:space="preserve"> day of the month of </w:t>
      </w:r>
      <w:r>
        <w:rPr>
          <w:rFonts w:ascii="Cambria" w:hAnsi="Cambria"/>
          <w:spacing w:val="-2"/>
          <w:sz w:val="20"/>
        </w:rPr>
        <w:t>April, 2020</w:t>
      </w:r>
      <w:r w:rsidRPr="00365F2F">
        <w:rPr>
          <w:rFonts w:ascii="Cambria" w:hAnsi="Cambria"/>
          <w:spacing w:val="-2"/>
          <w:sz w:val="20"/>
        </w:rPr>
        <w:t>.</w:t>
      </w:r>
      <w:r>
        <w:rPr>
          <w:rFonts w:ascii="Cambria" w:hAnsi="Cambria"/>
          <w:spacing w:val="-2"/>
          <w:sz w:val="20"/>
        </w:rPr>
        <w:t xml:space="preserve"> (Signed): </w:t>
      </w:r>
      <w:r w:rsidRPr="00CC164D">
        <w:rPr>
          <w:rFonts w:ascii="Cambria" w:hAnsi="Cambria"/>
          <w:spacing w:val="-2"/>
          <w:sz w:val="20"/>
        </w:rPr>
        <w:t>Joel Hernández García</w:t>
      </w:r>
      <w:r w:rsidRPr="00CD27AC">
        <w:rPr>
          <w:rFonts w:ascii="Cambria" w:hAnsi="Cambria"/>
          <w:spacing w:val="-2"/>
          <w:sz w:val="20"/>
        </w:rPr>
        <w:t xml:space="preserve">, </w:t>
      </w:r>
      <w:r w:rsidRPr="00365F2F">
        <w:rPr>
          <w:rFonts w:ascii="Cambria" w:hAnsi="Cambria"/>
          <w:spacing w:val="-2"/>
          <w:sz w:val="20"/>
        </w:rPr>
        <w:t>President</w:t>
      </w:r>
      <w:r>
        <w:rPr>
          <w:rFonts w:ascii="Cambria" w:hAnsi="Cambria"/>
          <w:spacing w:val="-2"/>
          <w:sz w:val="20"/>
        </w:rPr>
        <w:t xml:space="preserve">; </w:t>
      </w:r>
      <w:r w:rsidRPr="00CC164D">
        <w:rPr>
          <w:rFonts w:ascii="Cambria" w:hAnsi="Cambria"/>
          <w:spacing w:val="-2"/>
          <w:sz w:val="20"/>
        </w:rPr>
        <w:t>Antonia Urrejola Noguera</w:t>
      </w:r>
      <w:r>
        <w:rPr>
          <w:rFonts w:ascii="Cambria" w:hAnsi="Cambria"/>
          <w:spacing w:val="-2"/>
          <w:sz w:val="20"/>
        </w:rPr>
        <w:t xml:space="preserve">, </w:t>
      </w:r>
      <w:r w:rsidRPr="00E578CC">
        <w:rPr>
          <w:rFonts w:ascii="Cambria" w:hAnsi="Cambria" w:cs="Arial"/>
          <w:sz w:val="20"/>
        </w:rPr>
        <w:t>First Vice President</w:t>
      </w:r>
      <w:r>
        <w:rPr>
          <w:rFonts w:ascii="Cambria" w:hAnsi="Cambria" w:cs="Arial"/>
          <w:sz w:val="20"/>
        </w:rPr>
        <w:t xml:space="preserve">; </w:t>
      </w:r>
      <w:r>
        <w:rPr>
          <w:rFonts w:ascii="Cambria" w:hAnsi="Cambria"/>
          <w:spacing w:val="-2"/>
          <w:sz w:val="20"/>
        </w:rPr>
        <w:t>Flávia Piovesan</w:t>
      </w:r>
      <w:r w:rsidRPr="00CD27AC">
        <w:rPr>
          <w:rFonts w:ascii="Cambria" w:hAnsi="Cambria"/>
          <w:spacing w:val="-2"/>
          <w:sz w:val="20"/>
        </w:rPr>
        <w:t>, Second Vice President;</w:t>
      </w:r>
      <w:r>
        <w:rPr>
          <w:rFonts w:ascii="Cambria" w:hAnsi="Cambria" w:cs="Arial"/>
          <w:sz w:val="20"/>
        </w:rPr>
        <w:t xml:space="preserve"> </w:t>
      </w:r>
      <w:r>
        <w:rPr>
          <w:rFonts w:ascii="Cambria" w:hAnsi="Cambria"/>
          <w:spacing w:val="-2"/>
          <w:sz w:val="20"/>
        </w:rPr>
        <w:t>Margarette</w:t>
      </w:r>
      <w:r w:rsidRPr="000F5AF1">
        <w:rPr>
          <w:rFonts w:ascii="Cambria" w:hAnsi="Cambria"/>
          <w:spacing w:val="-2"/>
          <w:sz w:val="20"/>
        </w:rPr>
        <w:t xml:space="preserve"> May Macaulay</w:t>
      </w:r>
      <w:r>
        <w:rPr>
          <w:rFonts w:ascii="Cambria" w:hAnsi="Cambria"/>
          <w:spacing w:val="-2"/>
          <w:sz w:val="20"/>
        </w:rPr>
        <w:t xml:space="preserve">, </w:t>
      </w:r>
      <w:r w:rsidRPr="00326763">
        <w:rPr>
          <w:rFonts w:ascii="Cambria" w:hAnsi="Cambria"/>
          <w:spacing w:val="-2"/>
          <w:sz w:val="20"/>
        </w:rPr>
        <w:t>Esmeralda E. Arosemena Bernal de Troitiño</w:t>
      </w:r>
      <w:r>
        <w:rPr>
          <w:rFonts w:ascii="Cambria" w:hAnsi="Cambria"/>
          <w:spacing w:val="-2"/>
          <w:sz w:val="20"/>
        </w:rPr>
        <w:t xml:space="preserve"> and </w:t>
      </w:r>
      <w:r w:rsidRPr="00CC164D">
        <w:rPr>
          <w:rFonts w:ascii="Cambria" w:hAnsi="Cambria"/>
          <w:spacing w:val="-2"/>
          <w:sz w:val="20"/>
        </w:rPr>
        <w:t>Julissa Mantilla Falcón</w:t>
      </w:r>
      <w:r>
        <w:rPr>
          <w:rFonts w:ascii="Cambria" w:hAnsi="Cambria"/>
          <w:spacing w:val="-2"/>
          <w:sz w:val="20"/>
        </w:rPr>
        <w:t>, Commissioners.</w:t>
      </w:r>
    </w:p>
    <w:p w14:paraId="7AB432B1" w14:textId="77777777" w:rsidR="00261687" w:rsidRPr="00CD207E" w:rsidRDefault="00261687" w:rsidP="00261687">
      <w:pPr>
        <w:suppressAutoHyphens/>
        <w:jc w:val="both"/>
        <w:rPr>
          <w:rFonts w:ascii="Cambria" w:hAnsi="Cambria"/>
          <w:spacing w:val="-2"/>
          <w:sz w:val="20"/>
        </w:rPr>
      </w:pPr>
    </w:p>
    <w:p w14:paraId="6E0996F3" w14:textId="77777777" w:rsidR="00EA5001" w:rsidRDefault="00EA5001" w:rsidP="00261687">
      <w:pPr>
        <w:tabs>
          <w:tab w:val="left" w:pos="-720"/>
          <w:tab w:val="left" w:pos="5760"/>
        </w:tabs>
        <w:jc w:val="center"/>
      </w:pPr>
    </w:p>
    <w:sectPr w:rsidR="00EA5001"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DD97" w14:textId="77777777" w:rsidR="000A72E9" w:rsidRDefault="000A72E9" w:rsidP="00036A8A">
      <w:r>
        <w:separator/>
      </w:r>
    </w:p>
  </w:endnote>
  <w:endnote w:type="continuationSeparator" w:id="0">
    <w:p w14:paraId="02FA5CA4" w14:textId="77777777" w:rsidR="000A72E9" w:rsidRDefault="000A72E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00A5DAB" w14:textId="77777777" w:rsidR="007E4368" w:rsidRPr="006311DA" w:rsidRDefault="007E436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67517">
          <w:rPr>
            <w:noProof/>
            <w:sz w:val="16"/>
          </w:rPr>
          <w:t>26</w:t>
        </w:r>
        <w:r w:rsidRPr="006311DA">
          <w:rPr>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FD12" w14:textId="77777777" w:rsidR="007E4368" w:rsidRDefault="007E4368">
    <w:pPr>
      <w:pStyle w:val="Footer"/>
      <w:jc w:val="center"/>
    </w:pPr>
  </w:p>
  <w:p w14:paraId="20FF60DA" w14:textId="77777777" w:rsidR="007E4368" w:rsidRDefault="007E4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4911FCFE" w14:textId="77777777" w:rsidR="007E4368" w:rsidRDefault="007E43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22376F0" w14:textId="77777777" w:rsidR="007E4368" w:rsidRDefault="007E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D9A7" w14:textId="77777777" w:rsidR="000A72E9" w:rsidRPr="00036A8A" w:rsidRDefault="000A72E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8A3A732" w14:textId="77777777" w:rsidR="000A72E9" w:rsidRPr="00036A8A" w:rsidRDefault="000A72E9" w:rsidP="00036A8A">
      <w:pPr>
        <w:rPr>
          <w:rFonts w:asciiTheme="majorHAnsi" w:hAnsiTheme="majorHAnsi"/>
          <w:sz w:val="16"/>
          <w:szCs w:val="16"/>
        </w:rPr>
      </w:pPr>
      <w:r w:rsidRPr="00036A8A">
        <w:rPr>
          <w:rFonts w:asciiTheme="majorHAnsi" w:hAnsiTheme="majorHAnsi"/>
          <w:sz w:val="16"/>
          <w:szCs w:val="16"/>
        </w:rPr>
        <w:separator/>
      </w:r>
    </w:p>
    <w:p w14:paraId="0951CC62" w14:textId="77777777" w:rsidR="000A72E9" w:rsidRPr="00036A8A" w:rsidRDefault="000A72E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FAC1B5D" w14:textId="77777777" w:rsidR="000A72E9" w:rsidRPr="0093441A" w:rsidRDefault="000A72E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F2EFAB3"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On October 15, 2012, petitioner Owen Bonheimer sent a notice of withdrawal from Mr. Hall’s representation before the IACHR.</w:t>
      </w:r>
    </w:p>
  </w:footnote>
  <w:footnote w:id="3">
    <w:p w14:paraId="4854ACCC"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77/09, Petition 1349-07. Admissibility. Orlando Cordia Hall. United States. August 5, 2009. Alleged violations admissible: Articles I, II, XVIII, XXV and XXVI of the American Declaration on the Rights and Duties of Man. </w:t>
      </w:r>
    </w:p>
  </w:footnote>
  <w:footnote w:id="4">
    <w:p w14:paraId="7375ED0A"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On July 7, 2008, the IACHR granted precautionary measures on behalf of Mr. Hall.  The Commission requested the United States to refrain from executing the death sentence until it has had an opportunity to issue its decision on the petitioners’ claim of alleged violations of the American Declaration.</w:t>
      </w:r>
    </w:p>
  </w:footnote>
  <w:footnote w:id="5">
    <w:p w14:paraId="0E139E29"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The Federal Death Penalty System: a statistical survey (1988-2000). United States Department of Justice. Washington, D.C. September 12, 2000. Exhibit A submitted with petitioners’ brief on October 15, 2010.</w:t>
      </w:r>
    </w:p>
  </w:footnote>
  <w:footnote w:id="6">
    <w:p w14:paraId="21A73262"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The Federal Death Penalty System: a statistical survey (1988-2000). United States Department of Justice. Washington, D.C. September 12, 2000, p. 8. Exhibit A submitted with petitioners’ brief on October 15, 2010.</w:t>
      </w:r>
    </w:p>
  </w:footnote>
  <w:footnote w:id="7">
    <w:p w14:paraId="2644A8E1" w14:textId="77777777" w:rsidR="007E4368" w:rsidRPr="00ED56AB" w:rsidRDefault="007E4368" w:rsidP="00DC28C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The United States Department of Justice. Legal authority governing executive clemency. Available at: </w:t>
      </w:r>
      <w:hyperlink r:id="rId1" w:anchor="procedures" w:history="1">
        <w:r w:rsidRPr="00ED56AB">
          <w:rPr>
            <w:rStyle w:val="Hyperlink"/>
            <w:rFonts w:asciiTheme="majorHAnsi" w:hAnsiTheme="majorHAnsi"/>
            <w:color w:val="auto"/>
            <w:sz w:val="16"/>
            <w:szCs w:val="16"/>
          </w:rPr>
          <w:t>https://www.justice.gov/pardon/legal-authority-governing-executive-clemency#procedures</w:t>
        </w:r>
      </w:hyperlink>
      <w:r w:rsidRPr="00ED56AB">
        <w:rPr>
          <w:rFonts w:asciiTheme="majorHAnsi" w:hAnsiTheme="majorHAnsi"/>
          <w:color w:val="auto"/>
          <w:sz w:val="16"/>
          <w:szCs w:val="16"/>
        </w:rPr>
        <w:t xml:space="preserve"> </w:t>
      </w:r>
    </w:p>
  </w:footnote>
  <w:footnote w:id="8">
    <w:p w14:paraId="330F79F5" w14:textId="77777777" w:rsidR="007E4368" w:rsidRPr="00ED56AB" w:rsidRDefault="007E4368" w:rsidP="00DC28C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 xml:space="preserve">The United States Department of Justice. Legal authority governing executive clemency. Available at: </w:t>
      </w:r>
      <w:hyperlink r:id="rId2" w:anchor="procedures" w:history="1">
        <w:r w:rsidRPr="00ED56AB">
          <w:rPr>
            <w:rStyle w:val="Hyperlink"/>
            <w:rFonts w:asciiTheme="majorHAnsi" w:hAnsiTheme="majorHAnsi"/>
            <w:color w:val="auto"/>
            <w:sz w:val="16"/>
            <w:szCs w:val="16"/>
          </w:rPr>
          <w:t>https://www.justice.gov/pardon/legal-authority-governing-executive-clemency#procedures</w:t>
        </w:r>
      </w:hyperlink>
    </w:p>
  </w:footnote>
  <w:footnote w:id="9">
    <w:p w14:paraId="73C68B03"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United States v. Hall, 152 F. 3d 381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1998).</w:t>
      </w:r>
    </w:p>
  </w:footnote>
  <w:footnote w:id="10">
    <w:p w14:paraId="22CFD838"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152 F. 3d 381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1998).</w:t>
      </w:r>
    </w:p>
  </w:footnote>
  <w:footnote w:id="11">
    <w:p w14:paraId="1AA6A600"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152 F. 3d 381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1998).</w:t>
      </w:r>
    </w:p>
  </w:footnote>
  <w:footnote w:id="12">
    <w:p w14:paraId="063B16AF"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United States v. Hall, 2004 WL 1908242 (N.D. Texas. 2004). Exhibit 63 submitted with petitioners’ merits brief on November 30, 2009.</w:t>
      </w:r>
    </w:p>
  </w:footnote>
  <w:footnote w:id="13">
    <w:p w14:paraId="23E1F265"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2004 WL 1908242 (N.D. Texas. 2004). Exhibit 63 submitted with petitioners’ merits brief on November 30, 2009.</w:t>
      </w:r>
    </w:p>
  </w:footnote>
  <w:footnote w:id="14">
    <w:p w14:paraId="2E1CD6B9"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152 F. 3d 381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1998).</w:t>
      </w:r>
    </w:p>
  </w:footnote>
  <w:footnote w:id="15">
    <w:p w14:paraId="23663C5E"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Memo from Tena Francis to Jena Parker, Oct. 6, 1995. Exhibit 73 submitted with petitioners’ brief on January 14, 2011.</w:t>
      </w:r>
    </w:p>
  </w:footnote>
  <w:footnote w:id="16">
    <w:p w14:paraId="2426AEBA"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2004 WL 1908242 (N.D. Texas. 2004). Exhibit 63 submitted with petitioners’ merits brief on November 30, 2009.</w:t>
      </w:r>
    </w:p>
  </w:footnote>
  <w:footnote w:id="17">
    <w:p w14:paraId="7B09E178"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Hall v. United States, 526 U.S. 1117, 119 S.Ct. 1767, 143 L.Ed.2d 797 (1999).</w:t>
      </w:r>
    </w:p>
  </w:footnote>
  <w:footnote w:id="18">
    <w:p w14:paraId="451BB8DF"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United States v. Hall, 2004 WL 1908242 (N.D. Texas. 2004). Exhibit 63 submitted with petitioners’ merits brief on November 30, 2009.</w:t>
      </w:r>
    </w:p>
  </w:footnote>
  <w:footnote w:id="19">
    <w:p w14:paraId="53901BA7"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United States v. Hall, 2004 WL 1908242 (N.D. Texas. 2004). Exhibit 63 submitted with petitioners’ merits brief on November 30, 2009.</w:t>
      </w:r>
    </w:p>
  </w:footnote>
  <w:footnote w:id="20">
    <w:p w14:paraId="5A81AAEF"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United States v. Hall, 455 F.3d 508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2006). Exhibit 63 submitted with petitioners’ merits brief on November 30, 2009.</w:t>
      </w:r>
    </w:p>
  </w:footnote>
  <w:footnote w:id="21">
    <w:p w14:paraId="3B8787CA"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 xml:space="preserve">Unpublished order of the United States Court of Appeals for the Fifth Circuit, denying rehearing </w:t>
      </w:r>
      <w:r w:rsidRPr="00ED56AB">
        <w:rPr>
          <w:rFonts w:asciiTheme="majorHAnsi" w:hAnsiTheme="majorHAnsi"/>
          <w:i/>
          <w:color w:val="auto"/>
          <w:sz w:val="16"/>
          <w:szCs w:val="16"/>
        </w:rPr>
        <w:t>en banc</w:t>
      </w:r>
      <w:r w:rsidRPr="00ED56AB">
        <w:rPr>
          <w:rFonts w:asciiTheme="majorHAnsi" w:hAnsiTheme="majorHAnsi"/>
          <w:color w:val="auto"/>
          <w:sz w:val="16"/>
          <w:szCs w:val="16"/>
        </w:rPr>
        <w:t>. Exhibit 63 submitted with petitioners’ merits brief on November 30, 2009.</w:t>
      </w:r>
    </w:p>
  </w:footnote>
  <w:footnote w:id="22">
    <w:p w14:paraId="5971189D"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 xml:space="preserve">Petition for </w:t>
      </w:r>
      <w:r w:rsidRPr="00ED56AB">
        <w:rPr>
          <w:rFonts w:asciiTheme="majorHAnsi" w:hAnsiTheme="majorHAnsi"/>
          <w:i/>
          <w:color w:val="auto"/>
          <w:sz w:val="16"/>
          <w:szCs w:val="16"/>
        </w:rPr>
        <w:t>certiorari</w:t>
      </w:r>
      <w:r w:rsidRPr="00ED56AB">
        <w:rPr>
          <w:rFonts w:asciiTheme="majorHAnsi" w:hAnsiTheme="majorHAnsi"/>
          <w:color w:val="auto"/>
          <w:sz w:val="16"/>
          <w:szCs w:val="16"/>
        </w:rPr>
        <w:t xml:space="preserve"> and related exhibits. Exhibit 63 submitted with petitioners’ merits brief on November 30, 2009.</w:t>
      </w:r>
    </w:p>
  </w:footnote>
  <w:footnote w:id="23">
    <w:p w14:paraId="62CA1CC5"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Hall v. United States, Case No. 06-8178 (order of Apr. 16, 2007), 2007 WL 1110560 (U.S.).</w:t>
      </w:r>
    </w:p>
  </w:footnote>
  <w:footnote w:id="24">
    <w:p w14:paraId="7EBE9452"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Miller-El v. Dretke, 545 U.S. 231 (2005). Exhibit 58a submitted with petitioners’ merits brief on November 30, 2009.</w:t>
      </w:r>
    </w:p>
  </w:footnote>
  <w:footnote w:id="25">
    <w:p w14:paraId="704CF710"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Reed v. Quarterman, 555 F.3d 364 (5</w:t>
      </w:r>
      <w:r w:rsidRPr="00ED56AB">
        <w:rPr>
          <w:rFonts w:asciiTheme="majorHAnsi" w:hAnsiTheme="majorHAnsi"/>
          <w:color w:val="auto"/>
          <w:sz w:val="16"/>
          <w:szCs w:val="16"/>
          <w:vertAlign w:val="superscript"/>
        </w:rPr>
        <w:t>th</w:t>
      </w:r>
      <w:r w:rsidRPr="00ED56AB">
        <w:rPr>
          <w:rFonts w:asciiTheme="majorHAnsi" w:hAnsiTheme="majorHAnsi"/>
          <w:color w:val="auto"/>
          <w:sz w:val="16"/>
          <w:szCs w:val="16"/>
        </w:rPr>
        <w:t xml:space="preserve"> Cir. 2009). Exhibit 58b submitted with petitioners’ merits brief on November 30, 2009.</w:t>
      </w:r>
    </w:p>
  </w:footnote>
  <w:footnote w:id="26">
    <w:p w14:paraId="53AF0298"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Complaint filed by Orlando Cordia Hall on June 4, 2007 (Case 1:05-cv-02337-RWR-DAR). </w:t>
      </w:r>
    </w:p>
  </w:footnote>
  <w:footnote w:id="27">
    <w:p w14:paraId="7C035CB4"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Complaint filed by Orlando Cordia Hall on June 4, 2007 (Case 1:05-cv-02337-RWR-DAR).</w:t>
      </w:r>
    </w:p>
  </w:footnote>
  <w:footnote w:id="28">
    <w:p w14:paraId="28085D47"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Roane v. Leonhart, 741 F.3d 147 (D.C. Cir. 2014); Roane v. Holder, Civil Action No. 05-2337 (D.D.C. 2016).</w:t>
      </w:r>
    </w:p>
  </w:footnote>
  <w:footnote w:id="29">
    <w:p w14:paraId="63EF383E"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See, for example: I/A Court H. R., Advisory Opinion OC-16/99 (October 1, 1999), </w:t>
      </w:r>
      <w:r w:rsidRPr="00ED56AB">
        <w:rPr>
          <w:rFonts w:asciiTheme="majorHAnsi" w:hAnsiTheme="majorHAnsi"/>
          <w:i/>
          <w:iCs/>
          <w:color w:val="auto"/>
          <w:sz w:val="16"/>
          <w:szCs w:val="16"/>
        </w:rPr>
        <w:t>The Right to Information on Consular Assistance in the Framework of the Guarantees of the Due Process of Law</w:t>
      </w:r>
      <w:r w:rsidRPr="00ED56AB">
        <w:rPr>
          <w:rFonts w:asciiTheme="majorHAnsi" w:hAnsiTheme="majorHAnsi"/>
          <w:color w:val="auto"/>
          <w:sz w:val="16"/>
          <w:szCs w:val="16"/>
        </w:rPr>
        <w:t xml:space="preserve">, para. 136; United Nations Human Rights Committee, </w:t>
      </w:r>
      <w:r w:rsidRPr="00ED56AB">
        <w:rPr>
          <w:rFonts w:asciiTheme="majorHAnsi" w:hAnsiTheme="majorHAnsi"/>
          <w:i/>
          <w:iCs/>
          <w:color w:val="auto"/>
          <w:sz w:val="16"/>
          <w:szCs w:val="16"/>
        </w:rPr>
        <w:t>Baboheram-Adhin et al. v. Suriname</w:t>
      </w:r>
      <w:r w:rsidRPr="00ED56AB">
        <w:rPr>
          <w:rFonts w:asciiTheme="majorHAnsi" w:hAnsiTheme="majorHAnsi"/>
          <w:color w:val="auto"/>
          <w:sz w:val="16"/>
          <w:szCs w:val="16"/>
        </w:rPr>
        <w:t>,</w:t>
      </w:r>
      <w:r w:rsidRPr="00ED56AB">
        <w:rPr>
          <w:rFonts w:asciiTheme="majorHAnsi" w:hAnsiTheme="majorHAnsi"/>
          <w:i/>
          <w:iCs/>
          <w:color w:val="auto"/>
          <w:sz w:val="16"/>
          <w:szCs w:val="16"/>
        </w:rPr>
        <w:t xml:space="preserve"> </w:t>
      </w:r>
      <w:r w:rsidRPr="00ED56AB">
        <w:rPr>
          <w:rFonts w:asciiTheme="majorHAnsi" w:hAnsiTheme="majorHAnsi"/>
          <w:color w:val="auto"/>
          <w:sz w:val="16"/>
          <w:szCs w:val="16"/>
        </w:rPr>
        <w:t xml:space="preserve">Communications Nos. 148-154/1983, adopted on April 4, 1985, para. 14.3; </w:t>
      </w:r>
      <w:r w:rsidRPr="00ED56AB">
        <w:rPr>
          <w:rFonts w:asciiTheme="majorHAnsi" w:hAnsiTheme="majorHAnsi"/>
          <w:i/>
          <w:iCs/>
          <w:color w:val="auto"/>
          <w:sz w:val="16"/>
          <w:szCs w:val="16"/>
        </w:rPr>
        <w:t>Report of the United Nations Special Rapporteur on Extrajudicial Executions</w:t>
      </w:r>
      <w:r w:rsidRPr="00ED56AB">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30">
    <w:p w14:paraId="6B4D9F5A"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w:t>
      </w:r>
      <w:r w:rsidRPr="00ED56AB">
        <w:rPr>
          <w:rFonts w:asciiTheme="majorHAnsi" w:hAnsiTheme="majorHAnsi"/>
          <w:i/>
          <w:iCs/>
          <w:color w:val="auto"/>
          <w:sz w:val="16"/>
          <w:szCs w:val="16"/>
        </w:rPr>
        <w:t xml:space="preserve"> </w:t>
      </w:r>
      <w:r w:rsidRPr="00ED56AB">
        <w:rPr>
          <w:rFonts w:asciiTheme="majorHAnsi" w:hAnsiTheme="majorHAnsi"/>
          <w:color w:val="auto"/>
          <w:sz w:val="16"/>
          <w:szCs w:val="16"/>
        </w:rPr>
        <w:t xml:space="preserve">Report No. 57/96, </w:t>
      </w:r>
      <w:r w:rsidRPr="00ED56AB">
        <w:rPr>
          <w:rFonts w:asciiTheme="majorHAnsi" w:hAnsiTheme="majorHAnsi"/>
          <w:iCs/>
          <w:color w:val="auto"/>
          <w:sz w:val="16"/>
          <w:szCs w:val="16"/>
        </w:rPr>
        <w:t>Andrews, United States</w:t>
      </w:r>
      <w:r w:rsidRPr="00ED56AB">
        <w:rPr>
          <w:rFonts w:asciiTheme="majorHAnsi" w:hAnsiTheme="majorHAnsi"/>
          <w:color w:val="auto"/>
          <w:sz w:val="16"/>
          <w:szCs w:val="16"/>
        </w:rPr>
        <w:t xml:space="preserve">, IACHR Annual Report 1997, para. 170-171; Report No. 38/00 Baptiste, Grenada, IACHR Annual Report 1999, paras. 64-66; Report No. 41/00, McKenzie </w:t>
      </w:r>
      <w:r w:rsidRPr="00ED56AB">
        <w:rPr>
          <w:rFonts w:asciiTheme="majorHAnsi" w:hAnsiTheme="majorHAnsi"/>
          <w:i/>
          <w:iCs/>
          <w:color w:val="auto"/>
          <w:sz w:val="16"/>
          <w:szCs w:val="16"/>
        </w:rPr>
        <w:t>et al.</w:t>
      </w:r>
      <w:r w:rsidRPr="00ED56AB">
        <w:rPr>
          <w:rFonts w:asciiTheme="majorHAnsi" w:hAnsiTheme="majorHAnsi"/>
          <w:iCs/>
          <w:color w:val="auto"/>
          <w:sz w:val="16"/>
          <w:szCs w:val="16"/>
        </w:rPr>
        <w:t>,</w:t>
      </w:r>
      <w:r w:rsidRPr="00ED56AB">
        <w:rPr>
          <w:rFonts w:asciiTheme="majorHAnsi" w:hAnsiTheme="majorHAnsi"/>
          <w:color w:val="auto"/>
          <w:sz w:val="16"/>
          <w:szCs w:val="16"/>
        </w:rPr>
        <w:t xml:space="preserve"> Jamaica, IACHR Annual Report 1999, paras. 169-171.</w:t>
      </w:r>
    </w:p>
  </w:footnote>
  <w:footnote w:id="31">
    <w:p w14:paraId="1BE73110" w14:textId="77777777" w:rsidR="007E4368" w:rsidRPr="00ED56AB" w:rsidRDefault="007E4368" w:rsidP="00ED56AB">
      <w:pP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The death penalty in the Inter-American System of Human Rights: From restrictions to abolition, </w:t>
      </w:r>
      <w:r w:rsidRPr="00ED56AB">
        <w:rPr>
          <w:rFonts w:asciiTheme="majorHAnsi" w:hAnsiTheme="majorHAnsi" w:cs="Calibri"/>
          <w:sz w:val="16"/>
          <w:szCs w:val="16"/>
        </w:rPr>
        <w:t xml:space="preserve">OEA/Ser.L/V/II.Doc. 68, December 31, 2011, </w:t>
      </w:r>
      <w:r w:rsidRPr="00ED56AB">
        <w:rPr>
          <w:rFonts w:asciiTheme="majorHAnsi" w:hAnsiTheme="majorHAnsi"/>
          <w:sz w:val="16"/>
          <w:szCs w:val="16"/>
        </w:rPr>
        <w:t>para. 41.</w:t>
      </w:r>
    </w:p>
  </w:footnote>
  <w:footnote w:id="32">
    <w:p w14:paraId="0F5205E9" w14:textId="77777777" w:rsidR="007E4368" w:rsidRPr="00ED56AB" w:rsidRDefault="007E4368" w:rsidP="00ED56AB">
      <w:pP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78/07, Case 12.265, Merits (Publication), Chad Roger Goodman, The Bahamas, October 15, 2007, para. 34.</w:t>
      </w:r>
    </w:p>
  </w:footnote>
  <w:footnote w:id="33">
    <w:p w14:paraId="58B97FFA" w14:textId="77777777" w:rsidR="007E4368" w:rsidRPr="00ED56AB" w:rsidRDefault="007E4368" w:rsidP="00ED56AB">
      <w:pPr>
        <w:pStyle w:val="FootnoteText"/>
        <w:jc w:val="both"/>
        <w:rPr>
          <w:rFonts w:asciiTheme="majorHAnsi" w:hAnsiTheme="majorHAnsi" w:cs="Times New Roman"/>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Report on Merits (Publication), Edgar Tamayo Arias, United States, July 17, 2014, para. 214.</w:t>
      </w:r>
    </w:p>
  </w:footnote>
  <w:footnote w:id="34">
    <w:p w14:paraId="5F6F8CD5"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Article II of the American Declaration provides: “All persons are equal before the law and have the rights and duties established in this Declaration, without distinction as to race, sex, language, creed or any other factor.”</w:t>
      </w:r>
    </w:p>
  </w:footnote>
  <w:footnote w:id="35">
    <w:p w14:paraId="557AC09D" w14:textId="77777777" w:rsidR="007E4368" w:rsidRDefault="007E4368" w:rsidP="00404333">
      <w:pPr>
        <w:jc w:val="both"/>
      </w:pPr>
      <w:r w:rsidRPr="00047F35">
        <w:rPr>
          <w:rStyle w:val="FootnoteReference"/>
          <w:rFonts w:asciiTheme="majorHAnsi" w:eastAsia="Calibri" w:hAnsiTheme="majorHAnsi"/>
          <w:sz w:val="16"/>
          <w:szCs w:val="16"/>
          <w:u w:color="000000"/>
          <w:lang w:eastAsia="es-ES"/>
        </w:rPr>
        <w:footnoteRef/>
      </w:r>
      <w:r w:rsidRPr="00047F35">
        <w:rPr>
          <w:rStyle w:val="FootnoteReference"/>
          <w:rFonts w:asciiTheme="majorHAnsi" w:eastAsia="Calibri" w:hAnsiTheme="majorHAnsi"/>
          <w:sz w:val="16"/>
          <w:szCs w:val="16"/>
          <w:u w:color="000000"/>
          <w:lang w:eastAsia="es-ES"/>
        </w:rPr>
        <w:t xml:space="preserve"> </w:t>
      </w:r>
      <w:r w:rsidRPr="00ED56AB">
        <w:rPr>
          <w:rFonts w:asciiTheme="majorHAnsi" w:hAnsiTheme="majorHAnsi"/>
          <w:sz w:val="16"/>
          <w:szCs w:val="16"/>
        </w:rPr>
        <w:t>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36">
    <w:p w14:paraId="613C1CD4" w14:textId="77777777" w:rsidR="007E4368" w:rsidRPr="00ED56AB" w:rsidRDefault="007E4368" w:rsidP="00ED56AB">
      <w:pPr>
        <w:pStyle w:val="FootnoteText"/>
        <w:jc w:val="both"/>
        <w:rPr>
          <w:rFonts w:asciiTheme="majorHAnsi" w:hAnsiTheme="majorHAnsi" w:cstheme="majorHAnsi"/>
          <w:color w:val="auto"/>
          <w:sz w:val="16"/>
          <w:szCs w:val="16"/>
        </w:rPr>
      </w:pPr>
      <w:r w:rsidRPr="00ED56AB">
        <w:rPr>
          <w:rStyle w:val="FootnoteReference"/>
          <w:rFonts w:asciiTheme="majorHAnsi" w:hAnsiTheme="majorHAnsi" w:cstheme="majorHAnsi"/>
          <w:color w:val="auto"/>
          <w:sz w:val="16"/>
          <w:szCs w:val="16"/>
        </w:rPr>
        <w:footnoteRef/>
      </w:r>
      <w:r w:rsidRPr="00ED56AB">
        <w:rPr>
          <w:rFonts w:asciiTheme="majorHAnsi" w:hAnsiTheme="majorHAnsi" w:cstheme="majorHAnsi"/>
          <w:color w:val="auto"/>
          <w:sz w:val="16"/>
          <w:szCs w:val="16"/>
        </w:rPr>
        <w:t xml:space="preserve"> </w:t>
      </w:r>
      <w:r w:rsidRPr="00ED56AB">
        <w:rPr>
          <w:rFonts w:asciiTheme="majorHAnsi" w:hAnsiTheme="majorHAnsi" w:cstheme="majorHAnsi"/>
          <w:i/>
          <w:color w:val="auto"/>
          <w:sz w:val="16"/>
          <w:szCs w:val="16"/>
        </w:rPr>
        <w:t>See</w:t>
      </w:r>
      <w:r w:rsidRPr="00ED56AB">
        <w:rPr>
          <w:rFonts w:asciiTheme="majorHAnsi" w:hAnsiTheme="majorHAnsi" w:cstheme="majorHAnsi"/>
          <w:i/>
          <w:iCs/>
          <w:color w:val="auto"/>
          <w:sz w:val="16"/>
          <w:szCs w:val="16"/>
        </w:rPr>
        <w:t xml:space="preserve"> </w:t>
      </w:r>
      <w:r w:rsidRPr="00ED56AB">
        <w:rPr>
          <w:rFonts w:asciiTheme="majorHAnsi" w:hAnsiTheme="majorHAnsi"/>
          <w:color w:val="auto"/>
          <w:sz w:val="16"/>
          <w:szCs w:val="16"/>
        </w:rPr>
        <w:t xml:space="preserve">I/A Ct. H.R. </w:t>
      </w:r>
      <w:r w:rsidRPr="00ED56AB">
        <w:rPr>
          <w:rFonts w:asciiTheme="majorHAnsi" w:hAnsiTheme="majorHAnsi"/>
          <w:i/>
          <w:color w:val="auto"/>
          <w:sz w:val="16"/>
          <w:szCs w:val="16"/>
        </w:rPr>
        <w:t>Juridical Condition and Rights of Undocumented Migrants</w:t>
      </w:r>
      <w:r w:rsidRPr="00ED56AB">
        <w:rPr>
          <w:rFonts w:asciiTheme="majorHAnsi" w:hAnsiTheme="majorHAnsi"/>
          <w:color w:val="auto"/>
          <w:sz w:val="16"/>
          <w:szCs w:val="16"/>
        </w:rPr>
        <w:t>, Advisory Opinion OC-18/03 of Sept. 17, 2003, para</w:t>
      </w:r>
      <w:r w:rsidRPr="00ED56AB">
        <w:rPr>
          <w:rFonts w:asciiTheme="majorHAnsi" w:hAnsiTheme="majorHAnsi" w:cstheme="majorHAnsi"/>
          <w:color w:val="auto"/>
          <w:sz w:val="16"/>
          <w:szCs w:val="16"/>
        </w:rPr>
        <w:t xml:space="preserve">. 101. </w:t>
      </w:r>
      <w:r w:rsidRPr="00ED56AB">
        <w:rPr>
          <w:rFonts w:asciiTheme="majorHAnsi" w:hAnsiTheme="majorHAnsi" w:cstheme="majorHAnsi"/>
          <w:i/>
          <w:color w:val="auto"/>
          <w:sz w:val="16"/>
          <w:szCs w:val="16"/>
        </w:rPr>
        <w:t>See also</w:t>
      </w:r>
      <w:r w:rsidRPr="00ED56AB">
        <w:rPr>
          <w:rFonts w:asciiTheme="majorHAnsi" w:hAnsiTheme="majorHAnsi" w:cstheme="majorHAnsi"/>
          <w:color w:val="auto"/>
          <w:sz w:val="16"/>
          <w:szCs w:val="16"/>
        </w:rPr>
        <w:t xml:space="preserve"> IACHR, Report No. 50/16, Case 12.834, Merits (Publication), Undocumented Workers, United States, Nov. 30, 2016, para. 72.</w:t>
      </w:r>
    </w:p>
  </w:footnote>
  <w:footnote w:id="37">
    <w:p w14:paraId="5A2ACA07" w14:textId="77777777" w:rsidR="007E4368" w:rsidRPr="00ED56AB" w:rsidRDefault="007E4368" w:rsidP="00ED56AB">
      <w:pPr>
        <w:pStyle w:val="Footnotes"/>
        <w:spacing w:after="0"/>
        <w:ind w:firstLine="0"/>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50/16, Case 12.834, Merits (Publication), Undocumented Workers, United States, Nov. 30, 2016, para. 75. </w:t>
      </w:r>
    </w:p>
  </w:footnote>
  <w:footnote w:id="38">
    <w:p w14:paraId="369566A7"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w:t>
      </w:r>
      <w:r w:rsidRPr="00ED56AB">
        <w:rPr>
          <w:rFonts w:asciiTheme="majorHAnsi" w:hAnsiTheme="majorHAnsi"/>
          <w:i/>
          <w:color w:val="auto"/>
          <w:sz w:val="16"/>
          <w:szCs w:val="16"/>
        </w:rPr>
        <w:t xml:space="preserve">See, e.g., </w:t>
      </w:r>
      <w:r w:rsidRPr="00ED56AB">
        <w:rPr>
          <w:rFonts w:asciiTheme="majorHAnsi" w:hAnsiTheme="majorHAnsi"/>
          <w:color w:val="auto"/>
          <w:sz w:val="16"/>
          <w:szCs w:val="16"/>
        </w:rPr>
        <w:t>I/A Ct. H.R.</w:t>
      </w:r>
      <w:r w:rsidRPr="00ED56AB">
        <w:rPr>
          <w:rFonts w:asciiTheme="majorHAnsi" w:eastAsia="Times New Roman" w:hAnsiTheme="majorHAnsi"/>
          <w:bCs/>
          <w:color w:val="auto"/>
          <w:sz w:val="16"/>
          <w:szCs w:val="16"/>
        </w:rPr>
        <w:t>. Furlan and family Vs. Argentina. Judgment of Aug. 31, 2012, para. 267.</w:t>
      </w:r>
    </w:p>
  </w:footnote>
  <w:footnote w:id="39">
    <w:p w14:paraId="1C8FF507" w14:textId="77777777" w:rsidR="007E4368" w:rsidRPr="00ED56AB" w:rsidRDefault="007E4368" w:rsidP="00ED56AB">
      <w:pPr>
        <w:pStyle w:val="Footnotes"/>
        <w:spacing w:after="0"/>
        <w:ind w:firstLine="0"/>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50/16, Case 12.834, Merits (Publication), Undocumented Workers, United States, Nov. 30, 2016, para. 74; IACHR, Report No. 51/01, Case 9903, </w:t>
      </w:r>
      <w:r w:rsidRPr="00ED56AB">
        <w:rPr>
          <w:rFonts w:asciiTheme="majorHAnsi" w:hAnsiTheme="majorHAnsi"/>
          <w:i/>
          <w:sz w:val="16"/>
          <w:szCs w:val="16"/>
        </w:rPr>
        <w:t>Rafael Ferrer-Mazorra et al.</w:t>
      </w:r>
      <w:r w:rsidRPr="00ED56AB">
        <w:rPr>
          <w:rFonts w:asciiTheme="majorHAnsi" w:hAnsiTheme="majorHAnsi"/>
          <w:sz w:val="16"/>
          <w:szCs w:val="16"/>
        </w:rPr>
        <w:t>, United States, Apr. 4, 2001, para. 238</w:t>
      </w:r>
      <w:r w:rsidRPr="00ED56AB">
        <w:rPr>
          <w:rFonts w:asciiTheme="majorHAnsi" w:eastAsia="Times New Roman" w:hAnsiTheme="majorHAnsi"/>
          <w:sz w:val="16"/>
          <w:szCs w:val="16"/>
        </w:rPr>
        <w:t xml:space="preserve">. </w:t>
      </w:r>
    </w:p>
  </w:footnote>
  <w:footnote w:id="40">
    <w:p w14:paraId="59B7D7A5"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w:t>
      </w:r>
      <w:r w:rsidRPr="00ED56AB">
        <w:rPr>
          <w:rFonts w:asciiTheme="majorHAnsi" w:hAnsiTheme="majorHAnsi"/>
          <w:i/>
          <w:color w:val="auto"/>
          <w:sz w:val="16"/>
          <w:szCs w:val="16"/>
        </w:rPr>
        <w:t xml:space="preserve">Report on Terrorism and Human Rights </w:t>
      </w:r>
      <w:r w:rsidRPr="00ED56AB">
        <w:rPr>
          <w:rFonts w:asciiTheme="majorHAnsi" w:hAnsiTheme="majorHAnsi"/>
          <w:color w:val="auto"/>
          <w:sz w:val="16"/>
          <w:szCs w:val="16"/>
        </w:rPr>
        <w:t>(2002), para. 338.</w:t>
      </w:r>
    </w:p>
  </w:footnote>
  <w:footnote w:id="41">
    <w:p w14:paraId="7CD8C76E" w14:textId="77777777" w:rsidR="007E4368" w:rsidRPr="00ED56AB" w:rsidRDefault="007E4368" w:rsidP="00DC28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CERD, General Recommendation No. XXXI, U.N. Doc. CERD/C/GC/31/Rev.4 (2005).  </w:t>
      </w:r>
    </w:p>
  </w:footnote>
  <w:footnote w:id="42">
    <w:p w14:paraId="2367B5C8" w14:textId="77777777" w:rsidR="007E4368" w:rsidRPr="00ED56AB" w:rsidRDefault="007E4368" w:rsidP="00DC28C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Situation of People of African Descent in the Americas, OEA/Ser.L/V/II. Doc. 62, December 5, 2011, para. 184.</w:t>
      </w:r>
    </w:p>
  </w:footnote>
  <w:footnote w:id="43">
    <w:p w14:paraId="5CB58602" w14:textId="77777777" w:rsidR="007E4368" w:rsidRPr="00ED56AB" w:rsidRDefault="007E4368" w:rsidP="00DC28C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Situation of People of African Descent in the Americas, OEA/Ser.L/V/II. Doc. 62, December 5, 2011, para. 189.</w:t>
      </w:r>
    </w:p>
  </w:footnote>
  <w:footnote w:id="44">
    <w:p w14:paraId="3AE2D816"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78/15, Case 12.831. Merits (Publication). Kevin Cooper. United States. October, 28, 2015, para. 140 and 141.</w:t>
      </w:r>
    </w:p>
  </w:footnote>
  <w:footnote w:id="45">
    <w:p w14:paraId="2B88AA45" w14:textId="77777777" w:rsidR="007E4368" w:rsidRPr="00ED56AB" w:rsidRDefault="007E4368" w:rsidP="00ED56AB">
      <w:pPr>
        <w:pStyle w:val="FootnoteText"/>
        <w:jc w:val="both"/>
        <w:rPr>
          <w:rFonts w:asciiTheme="majorHAnsi" w:hAnsiTheme="majorHAnsi" w:cstheme="majorHAnsi"/>
          <w:color w:val="auto"/>
          <w:sz w:val="16"/>
          <w:szCs w:val="16"/>
        </w:rPr>
      </w:pPr>
      <w:r w:rsidRPr="00ED56AB">
        <w:rPr>
          <w:rStyle w:val="FootnoteReference"/>
          <w:rFonts w:asciiTheme="majorHAnsi" w:hAnsiTheme="majorHAnsi" w:cstheme="majorHAnsi"/>
          <w:color w:val="auto"/>
          <w:sz w:val="16"/>
          <w:szCs w:val="16"/>
        </w:rPr>
        <w:footnoteRef/>
      </w:r>
      <w:r w:rsidRPr="00ED56AB">
        <w:rPr>
          <w:rFonts w:asciiTheme="majorHAnsi" w:hAnsiTheme="majorHAnsi" w:cstheme="majorHAnsi"/>
          <w:color w:val="auto"/>
          <w:sz w:val="16"/>
          <w:szCs w:val="16"/>
        </w:rPr>
        <w:t xml:space="preserve"> </w:t>
      </w:r>
      <w:r w:rsidRPr="00ED56AB">
        <w:rPr>
          <w:rFonts w:asciiTheme="majorHAnsi" w:hAnsiTheme="majorHAnsi" w:cstheme="majorHAnsi"/>
          <w:bCs/>
          <w:color w:val="auto"/>
          <w:sz w:val="16"/>
          <w:szCs w:val="16"/>
        </w:rPr>
        <w:t xml:space="preserve">CERD, </w:t>
      </w:r>
      <w:hyperlink r:id="rId3" w:history="1">
        <w:r w:rsidRPr="00ED56AB">
          <w:rPr>
            <w:rStyle w:val="Hyperlink"/>
            <w:rFonts w:asciiTheme="majorHAnsi" w:hAnsiTheme="majorHAnsi" w:cstheme="majorHAnsi"/>
            <w:bCs/>
            <w:color w:val="auto"/>
            <w:sz w:val="16"/>
            <w:szCs w:val="16"/>
          </w:rPr>
          <w:t>Concluding Observations 2014</w:t>
        </w:r>
      </w:hyperlink>
      <w:r w:rsidRPr="00ED56AB">
        <w:rPr>
          <w:rFonts w:asciiTheme="majorHAnsi" w:hAnsiTheme="majorHAnsi" w:cstheme="majorHAnsi"/>
          <w:bCs/>
          <w:color w:val="auto"/>
          <w:sz w:val="16"/>
          <w:szCs w:val="16"/>
        </w:rPr>
        <w:t xml:space="preserve">, </w:t>
      </w:r>
      <w:r w:rsidRPr="00ED56AB">
        <w:rPr>
          <w:rFonts w:asciiTheme="majorHAnsi" w:hAnsiTheme="majorHAnsi" w:cstheme="majorHAnsi"/>
          <w:color w:val="auto"/>
          <w:sz w:val="16"/>
          <w:szCs w:val="16"/>
        </w:rPr>
        <w:t xml:space="preserve">Sept. </w:t>
      </w:r>
      <w:r w:rsidRPr="00ED56AB">
        <w:rPr>
          <w:rFonts w:asciiTheme="majorHAnsi" w:hAnsiTheme="majorHAnsi" w:cstheme="majorHAnsi"/>
          <w:bCs/>
          <w:color w:val="auto"/>
          <w:sz w:val="16"/>
          <w:szCs w:val="16"/>
        </w:rPr>
        <w:t>25, 2014</w:t>
      </w:r>
      <w:r w:rsidRPr="00ED56AB">
        <w:rPr>
          <w:rFonts w:asciiTheme="majorHAnsi" w:hAnsiTheme="majorHAnsi" w:cstheme="majorHAnsi"/>
          <w:color w:val="auto"/>
          <w:sz w:val="16"/>
          <w:szCs w:val="16"/>
        </w:rPr>
        <w:t>, para. 20.</w:t>
      </w:r>
    </w:p>
  </w:footnote>
  <w:footnote w:id="46">
    <w:p w14:paraId="34F8F095"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57/97, Case No. 11.139, William Andrews, Merits, United States, December 6, 1996, para. 165. </w:t>
      </w:r>
    </w:p>
  </w:footnote>
  <w:footnote w:id="47">
    <w:p w14:paraId="4D3263F6"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57/97, Case No. 11.139, William Andrews, Merits, United States, December 6, 1996, para. 159.</w:t>
      </w:r>
    </w:p>
  </w:footnote>
  <w:footnote w:id="48">
    <w:p w14:paraId="2131BA6C"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w:t>
      </w:r>
      <w:r w:rsidRPr="00ED56AB">
        <w:rPr>
          <w:rFonts w:asciiTheme="majorHAnsi" w:hAnsiTheme="majorHAnsi"/>
          <w:i/>
          <w:color w:val="auto"/>
          <w:sz w:val="16"/>
          <w:szCs w:val="16"/>
        </w:rPr>
        <w:t>See, e.g.</w:t>
      </w:r>
      <w:r w:rsidRPr="00ED56AB">
        <w:rPr>
          <w:rFonts w:asciiTheme="majorHAnsi" w:hAnsiTheme="majorHAnsi"/>
          <w:color w:val="auto"/>
          <w:sz w:val="16"/>
          <w:szCs w:val="16"/>
        </w:rPr>
        <w:t>, IACHR, Report No. 64/12. Case 12.271. Merits. Benito Tide Méndez. Dominican Republic. Mar. 29, 2012, para. 228.</w:t>
      </w:r>
    </w:p>
  </w:footnote>
  <w:footnote w:id="49">
    <w:p w14:paraId="0BC983D9"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w:t>
      </w:r>
      <w:r w:rsidRPr="00ED56AB">
        <w:rPr>
          <w:rFonts w:asciiTheme="majorHAnsi" w:hAnsiTheme="majorHAnsi"/>
          <w:i/>
          <w:color w:val="auto"/>
          <w:sz w:val="16"/>
          <w:szCs w:val="16"/>
        </w:rPr>
        <w:t xml:space="preserve">See, e.g., </w:t>
      </w:r>
      <w:r w:rsidRPr="00ED56AB">
        <w:rPr>
          <w:rFonts w:asciiTheme="majorHAnsi" w:hAnsiTheme="majorHAnsi"/>
          <w:color w:val="auto"/>
          <w:sz w:val="16"/>
          <w:szCs w:val="16"/>
        </w:rPr>
        <w:t xml:space="preserve">IACHR, Application filed with I/A Ct. H.R., </w:t>
      </w:r>
      <w:r w:rsidRPr="00ED56AB">
        <w:rPr>
          <w:rFonts w:asciiTheme="majorHAnsi" w:hAnsiTheme="majorHAnsi"/>
          <w:i/>
          <w:color w:val="auto"/>
          <w:sz w:val="16"/>
          <w:szCs w:val="16"/>
        </w:rPr>
        <w:t>Case of Karen Atala and Daughters v. Chile</w:t>
      </w:r>
      <w:r w:rsidRPr="00ED56AB">
        <w:rPr>
          <w:rFonts w:asciiTheme="majorHAnsi" w:hAnsiTheme="majorHAnsi"/>
          <w:color w:val="auto"/>
          <w:sz w:val="16"/>
          <w:szCs w:val="16"/>
        </w:rPr>
        <w:t>, Sept. 17, 2010, para. 88.</w:t>
      </w:r>
    </w:p>
  </w:footnote>
  <w:footnote w:id="50">
    <w:p w14:paraId="4CD3E1AA" w14:textId="77777777" w:rsidR="007E4368" w:rsidRPr="00ED56AB" w:rsidRDefault="007E4368" w:rsidP="00ED56AB">
      <w:pPr>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24/17, Case 12.254. Merits. Victor Saldaño. United States. March 18, 2017, para. 187.</w:t>
      </w:r>
    </w:p>
  </w:footnote>
  <w:footnote w:id="51">
    <w:p w14:paraId="77851BAF" w14:textId="77777777" w:rsidR="007E4368" w:rsidRPr="00ED56AB" w:rsidRDefault="007E4368" w:rsidP="00ED56AB">
      <w:pPr>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24/17, Case 12.254. Merits. Victor Saldaño. United States. March 18, 2017, para. 186. </w:t>
      </w:r>
    </w:p>
  </w:footnote>
  <w:footnote w:id="52">
    <w:p w14:paraId="4883FC1D"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24/17, Case 12.254. Merits. Victor Saldaño. United States. March 18, 2017, para. 186.</w:t>
      </w:r>
    </w:p>
  </w:footnote>
  <w:footnote w:id="53">
    <w:p w14:paraId="0A6BC1F9" w14:textId="77777777" w:rsidR="007E4368" w:rsidRPr="004E2452"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24/17, Case 12.254. Merits. Victor Saldaño. United States. March 18, 2017, para. </w:t>
      </w:r>
      <w:r w:rsidRPr="004E2452">
        <w:rPr>
          <w:rFonts w:asciiTheme="majorHAnsi" w:hAnsiTheme="majorHAnsi"/>
          <w:color w:val="auto"/>
          <w:sz w:val="16"/>
          <w:szCs w:val="16"/>
        </w:rPr>
        <w:t>186.</w:t>
      </w:r>
    </w:p>
  </w:footnote>
  <w:footnote w:id="54">
    <w:p w14:paraId="62FD3456"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4E2452">
        <w:rPr>
          <w:rFonts w:asciiTheme="majorHAnsi" w:hAnsiTheme="majorHAnsi"/>
          <w:color w:val="auto"/>
          <w:sz w:val="16"/>
          <w:szCs w:val="16"/>
        </w:rPr>
        <w:t xml:space="preserve"> </w:t>
      </w:r>
      <w:r w:rsidRPr="004E2452">
        <w:rPr>
          <w:rFonts w:asciiTheme="majorHAnsi" w:hAnsiTheme="majorHAnsi"/>
          <w:i/>
          <w:color w:val="auto"/>
          <w:sz w:val="16"/>
          <w:szCs w:val="16"/>
        </w:rPr>
        <w:t xml:space="preserve">See, e.g., </w:t>
      </w:r>
      <w:r w:rsidRPr="004E2452">
        <w:rPr>
          <w:rFonts w:asciiTheme="majorHAnsi" w:hAnsiTheme="majorHAnsi"/>
          <w:color w:val="auto"/>
          <w:sz w:val="16"/>
          <w:szCs w:val="16"/>
        </w:rPr>
        <w:t xml:space="preserve">IACHR, Report No. 75/15, Case 12.923. Merits. Rocio San Miguel Sosa </w:t>
      </w:r>
      <w:r w:rsidRPr="004E2452">
        <w:rPr>
          <w:rFonts w:asciiTheme="majorHAnsi" w:hAnsiTheme="majorHAnsi"/>
          <w:i/>
          <w:color w:val="auto"/>
          <w:sz w:val="16"/>
          <w:szCs w:val="16"/>
        </w:rPr>
        <w:t>et al</w:t>
      </w:r>
      <w:r w:rsidRPr="004E2452">
        <w:rPr>
          <w:rFonts w:asciiTheme="majorHAnsi" w:hAnsiTheme="majorHAnsi"/>
          <w:color w:val="auto"/>
          <w:sz w:val="16"/>
          <w:szCs w:val="16"/>
        </w:rPr>
        <w:t xml:space="preserve">. Venezuela. October 28, 2015, para. </w:t>
      </w:r>
      <w:r w:rsidRPr="00ED56AB">
        <w:rPr>
          <w:rFonts w:asciiTheme="majorHAnsi" w:hAnsiTheme="majorHAnsi"/>
          <w:color w:val="auto"/>
          <w:sz w:val="16"/>
          <w:szCs w:val="16"/>
        </w:rPr>
        <w:t>188.</w:t>
      </w:r>
    </w:p>
  </w:footnote>
  <w:footnote w:id="55">
    <w:p w14:paraId="26CDC101" w14:textId="77777777" w:rsidR="007E4368" w:rsidRPr="00ED56AB" w:rsidRDefault="007E4368" w:rsidP="00ED56AB">
      <w:pPr>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56">
    <w:p w14:paraId="3E71FD35" w14:textId="77777777" w:rsidR="007E4368" w:rsidRPr="00ED56AB" w:rsidRDefault="007E4368" w:rsidP="00ED56AB">
      <w:pPr>
        <w:keepNext/>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Article XXVI of the American Declaration provides: “Every accused person is presumed to be innocent until proved guilty.</w:t>
      </w:r>
    </w:p>
    <w:p w14:paraId="360BBCC9" w14:textId="77777777" w:rsidR="007E4368" w:rsidRPr="00ED56AB" w:rsidRDefault="007E4368" w:rsidP="00ED56AB">
      <w:pPr>
        <w:keepNext/>
        <w:jc w:val="both"/>
        <w:rPr>
          <w:rFonts w:asciiTheme="majorHAnsi" w:hAnsiTheme="majorHAnsi"/>
          <w:sz w:val="16"/>
          <w:szCs w:val="16"/>
        </w:rPr>
      </w:pPr>
      <w:r w:rsidRPr="00ED56AB">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57">
    <w:p w14:paraId="7B563F63"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death penalty in the Inter-American System of Human Rights: From restrictions to abolition, OEA/Ser.L/V/II.Doc. 68, December 31, 2011.</w:t>
      </w:r>
    </w:p>
  </w:footnote>
  <w:footnote w:id="58">
    <w:p w14:paraId="36CAA709"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death penalty in the Inter-American System of Human Rights: From restrictions to abolition, OEA/Ser.L/V/II.Doc. 68, December 31, 2011.</w:t>
      </w:r>
    </w:p>
  </w:footnote>
  <w:footnote w:id="59">
    <w:p w14:paraId="1776D7AB"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w:t>
      </w:r>
      <w:r w:rsidRPr="00ED56AB">
        <w:rPr>
          <w:rFonts w:asciiTheme="majorHAnsi" w:hAnsiTheme="majorHAnsi"/>
          <w:color w:val="auto"/>
          <w:sz w:val="16"/>
          <w:szCs w:val="16"/>
          <w:vertAlign w:val="superscript"/>
        </w:rPr>
        <w:t>o</w:t>
      </w:r>
      <w:r w:rsidRPr="00ED56AB">
        <w:rPr>
          <w:rFonts w:asciiTheme="majorHAnsi" w:hAnsiTheme="majorHAnsi"/>
          <w:color w:val="auto"/>
          <w:sz w:val="16"/>
          <w:szCs w:val="16"/>
        </w:rPr>
        <w:t xml:space="preserve"> 90/09, Case 12.644, Admissibility and Merits (Publication), Medellín, Ramírez Cárdenas and Leal García, United States, August 7, 2009, para. 134.</w:t>
      </w:r>
    </w:p>
  </w:footnote>
  <w:footnote w:id="60">
    <w:p w14:paraId="453C74F7"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w:t>
      </w:r>
      <w:r w:rsidRPr="00ED56AB">
        <w:rPr>
          <w:rFonts w:asciiTheme="majorHAnsi" w:hAnsiTheme="majorHAnsi"/>
          <w:color w:val="auto"/>
          <w:sz w:val="16"/>
          <w:szCs w:val="16"/>
          <w:vertAlign w:val="superscript"/>
        </w:rPr>
        <w:t>o</w:t>
      </w:r>
      <w:r w:rsidRPr="00ED56AB">
        <w:rPr>
          <w:rFonts w:asciiTheme="majorHAnsi" w:hAnsiTheme="majorHAnsi"/>
          <w:color w:val="auto"/>
          <w:sz w:val="16"/>
          <w:szCs w:val="16"/>
        </w:rPr>
        <w:t xml:space="preserve"> 90/09, Case 12.644, Admissibility and Merits (Publication), Medellín, Ramírez Cárdenas and Leal García, United States, August 7, 2009, para. 134. </w:t>
      </w:r>
    </w:p>
  </w:footnote>
  <w:footnote w:id="61">
    <w:p w14:paraId="3B600A43" w14:textId="77777777" w:rsidR="007E4368" w:rsidRPr="00ED56AB" w:rsidRDefault="007E4368" w:rsidP="00ED56AB">
      <w:pPr>
        <w:pStyle w:val="FootnoteText"/>
        <w:jc w:val="both"/>
        <w:rPr>
          <w:rFonts w:asciiTheme="majorHAnsi" w:hAnsiTheme="majorHAnsi" w:cs="Arial"/>
          <w:color w:val="auto"/>
          <w:sz w:val="16"/>
          <w:szCs w:val="16"/>
        </w:rPr>
      </w:pPr>
      <w:r w:rsidRPr="00ED56AB">
        <w:rPr>
          <w:rStyle w:val="FootnoteReference"/>
          <w:rFonts w:asciiTheme="majorHAnsi" w:hAnsiTheme="majorHAnsi" w:cs="Arial"/>
          <w:color w:val="auto"/>
          <w:sz w:val="16"/>
          <w:szCs w:val="16"/>
        </w:rPr>
        <w:footnoteRef/>
      </w:r>
      <w:r w:rsidRPr="00ED56AB">
        <w:rPr>
          <w:rFonts w:asciiTheme="majorHAnsi" w:hAnsiTheme="majorHAnsi" w:cs="Arial"/>
          <w:color w:val="auto"/>
          <w:sz w:val="16"/>
          <w:szCs w:val="16"/>
        </w:rPr>
        <w:t xml:space="preserve"> American Bar Association, </w:t>
      </w:r>
      <w:r w:rsidRPr="00ED56AB">
        <w:rPr>
          <w:rFonts w:asciiTheme="majorHAnsi" w:hAnsiTheme="majorHAnsi" w:cs="Arial"/>
          <w:i/>
          <w:iCs/>
          <w:color w:val="auto"/>
          <w:sz w:val="16"/>
          <w:szCs w:val="16"/>
        </w:rPr>
        <w:t>Guidelines for the Appointment and Performance of Defense Counsel in Death Penalty Cases</w:t>
      </w:r>
      <w:r w:rsidRPr="00ED56AB">
        <w:rPr>
          <w:rFonts w:asciiTheme="majorHAnsi" w:hAnsiTheme="majorHAnsi" w:cs="Arial"/>
          <w:color w:val="auto"/>
          <w:sz w:val="16"/>
          <w:szCs w:val="16"/>
        </w:rPr>
        <w:t xml:space="preserve"> (Revised editions) (February 2003), Guideline 10.7 – Investigation. Available at: </w:t>
      </w:r>
      <w:hyperlink r:id="rId4" w:history="1">
        <w:r w:rsidRPr="00ED56AB">
          <w:rPr>
            <w:rStyle w:val="Hyperlink"/>
            <w:rFonts w:asciiTheme="majorHAnsi" w:hAnsiTheme="majorHAnsi" w:cs="Arial"/>
            <w:color w:val="auto"/>
            <w:sz w:val="16"/>
            <w:szCs w:val="16"/>
          </w:rPr>
          <w:t>http://www.abanet.org/legalservices/downloads/ sclaid/deathpenaltyguidelines.pdf</w:t>
        </w:r>
      </w:hyperlink>
      <w:r w:rsidRPr="00ED56AB">
        <w:rPr>
          <w:rFonts w:asciiTheme="majorHAnsi" w:hAnsiTheme="majorHAnsi" w:cs="Arial"/>
          <w:color w:val="auto"/>
          <w:sz w:val="16"/>
          <w:szCs w:val="16"/>
        </w:rPr>
        <w:t xml:space="preserve">. </w:t>
      </w:r>
    </w:p>
  </w:footnote>
  <w:footnote w:id="62">
    <w:p w14:paraId="6E7680B5" w14:textId="77777777" w:rsidR="007E4368" w:rsidRPr="00ED56AB" w:rsidRDefault="007E4368" w:rsidP="00ED56AB">
      <w:pPr>
        <w:pStyle w:val="FootnoteText"/>
        <w:jc w:val="both"/>
        <w:rPr>
          <w:rFonts w:asciiTheme="majorHAnsi" w:hAnsiTheme="majorHAnsi" w:cs="Arial"/>
          <w:color w:val="auto"/>
          <w:sz w:val="16"/>
          <w:szCs w:val="16"/>
        </w:rPr>
      </w:pPr>
      <w:r w:rsidRPr="00ED56AB">
        <w:rPr>
          <w:rStyle w:val="FootnoteReference"/>
          <w:rFonts w:asciiTheme="majorHAnsi" w:hAnsiTheme="majorHAnsi" w:cs="Arial"/>
          <w:color w:val="auto"/>
          <w:sz w:val="16"/>
          <w:szCs w:val="16"/>
        </w:rPr>
        <w:footnoteRef/>
      </w:r>
      <w:r w:rsidRPr="00ED56AB">
        <w:rPr>
          <w:rFonts w:asciiTheme="majorHAnsi" w:hAnsiTheme="majorHAnsi" w:cs="Arial"/>
          <w:color w:val="auto"/>
          <w:sz w:val="16"/>
          <w:szCs w:val="16"/>
        </w:rPr>
        <w:t xml:space="preserve"> American Bar Association, </w:t>
      </w:r>
      <w:r w:rsidRPr="00ED56AB">
        <w:rPr>
          <w:rFonts w:asciiTheme="majorHAnsi" w:hAnsiTheme="majorHAnsi" w:cs="Arial"/>
          <w:i/>
          <w:iCs/>
          <w:color w:val="auto"/>
          <w:sz w:val="16"/>
          <w:szCs w:val="16"/>
        </w:rPr>
        <w:t>Guidelines for the Appointment and Performance of Defense Counsel in Death Penalty Cases</w:t>
      </w:r>
      <w:r w:rsidRPr="00ED56AB">
        <w:rPr>
          <w:rFonts w:asciiTheme="majorHAnsi" w:hAnsiTheme="majorHAnsi" w:cs="Arial"/>
          <w:color w:val="auto"/>
          <w:sz w:val="16"/>
          <w:szCs w:val="16"/>
        </w:rPr>
        <w:t xml:space="preserve"> (Revised editions) (February 2003), Guideline 10.7 – Investigation, at 82.</w:t>
      </w:r>
    </w:p>
  </w:footnote>
  <w:footnote w:id="63">
    <w:p w14:paraId="53348DD3" w14:textId="77777777" w:rsidR="007E4368" w:rsidRPr="00ED56AB" w:rsidRDefault="007E4368" w:rsidP="00ED56AB">
      <w:pPr>
        <w:pStyle w:val="FootnoteText"/>
        <w:jc w:val="both"/>
        <w:rPr>
          <w:rFonts w:asciiTheme="majorHAnsi" w:hAnsiTheme="majorHAnsi" w:cs="Arial"/>
          <w:color w:val="auto"/>
          <w:sz w:val="16"/>
          <w:szCs w:val="16"/>
        </w:rPr>
      </w:pPr>
      <w:r w:rsidRPr="00ED56AB">
        <w:rPr>
          <w:rStyle w:val="FootnoteReference"/>
          <w:rFonts w:asciiTheme="majorHAnsi" w:hAnsiTheme="majorHAnsi" w:cs="Arial"/>
          <w:color w:val="auto"/>
          <w:sz w:val="16"/>
          <w:szCs w:val="16"/>
        </w:rPr>
        <w:footnoteRef/>
      </w:r>
      <w:r w:rsidRPr="00ED56AB">
        <w:rPr>
          <w:rFonts w:asciiTheme="majorHAnsi" w:hAnsiTheme="majorHAnsi" w:cs="Arial"/>
          <w:color w:val="auto"/>
          <w:sz w:val="16"/>
          <w:szCs w:val="16"/>
        </w:rPr>
        <w:t xml:space="preserve"> American Bar Association, </w:t>
      </w:r>
      <w:r w:rsidRPr="00ED56AB">
        <w:rPr>
          <w:rFonts w:asciiTheme="majorHAnsi" w:hAnsiTheme="majorHAnsi" w:cs="Arial"/>
          <w:i/>
          <w:iCs/>
          <w:color w:val="auto"/>
          <w:sz w:val="16"/>
          <w:szCs w:val="16"/>
        </w:rPr>
        <w:t>Guidelines for the Appointment and Performance of Defense Counsel in Death Penalty Cases</w:t>
      </w:r>
      <w:r w:rsidRPr="00ED56AB">
        <w:rPr>
          <w:rFonts w:asciiTheme="majorHAnsi" w:hAnsiTheme="majorHAnsi" w:cs="Arial"/>
          <w:color w:val="auto"/>
          <w:sz w:val="16"/>
          <w:szCs w:val="16"/>
        </w:rPr>
        <w:t xml:space="preserve"> (Revised editions) (February 2003), Guideline 10.7 – Investigation, at 83.</w:t>
      </w:r>
    </w:p>
  </w:footnote>
  <w:footnote w:id="64">
    <w:p w14:paraId="2231AB0D"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48/01, Case N.</w:t>
      </w:r>
      <w:r w:rsidRPr="00ED56AB">
        <w:rPr>
          <w:rFonts w:asciiTheme="majorHAnsi" w:hAnsiTheme="majorHAnsi"/>
          <w:color w:val="auto"/>
          <w:sz w:val="16"/>
          <w:szCs w:val="16"/>
          <w:vertAlign w:val="superscript"/>
        </w:rPr>
        <w:t>o</w:t>
      </w:r>
      <w:r w:rsidRPr="00ED56AB">
        <w:rPr>
          <w:rFonts w:asciiTheme="majorHAnsi" w:hAnsiTheme="majorHAnsi"/>
          <w:color w:val="auto"/>
          <w:sz w:val="16"/>
          <w:szCs w:val="16"/>
        </w:rPr>
        <w:t xml:space="preserve"> 12.067, Michael Edwards et al</w:t>
      </w:r>
      <w:r w:rsidRPr="00ED56AB">
        <w:rPr>
          <w:rFonts w:asciiTheme="majorHAnsi" w:hAnsiTheme="majorHAnsi"/>
          <w:i/>
          <w:color w:val="auto"/>
          <w:sz w:val="16"/>
          <w:szCs w:val="16"/>
        </w:rPr>
        <w:t>.</w:t>
      </w:r>
      <w:r w:rsidRPr="00ED56AB">
        <w:rPr>
          <w:rFonts w:asciiTheme="majorHAnsi" w:hAnsiTheme="majorHAnsi"/>
          <w:color w:val="auto"/>
          <w:sz w:val="16"/>
          <w:szCs w:val="16"/>
        </w:rPr>
        <w:t>, Bahamas, April 4,  2001, para. 149.</w:t>
      </w:r>
    </w:p>
  </w:footnote>
  <w:footnote w:id="65">
    <w:p w14:paraId="667BCB91" w14:textId="77777777" w:rsidR="007E4368" w:rsidRPr="00ED56AB" w:rsidRDefault="007E4368" w:rsidP="00ED56AB">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79/15, Case 12.994. Merits (Publication), Bernardo Aban Tercero, United States, October 28, 2015, </w:t>
      </w:r>
      <w:r w:rsidRPr="00ED56AB">
        <w:rPr>
          <w:rFonts w:asciiTheme="majorHAnsi" w:hAnsiTheme="majorHAnsi"/>
          <w:sz w:val="16"/>
          <w:szCs w:val="16"/>
        </w:rPr>
        <w:br/>
        <w:t>para. 134.</w:t>
      </w:r>
    </w:p>
  </w:footnote>
  <w:footnote w:id="66">
    <w:p w14:paraId="363D5C35"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53/13, Case 12.864, Merits (Publication), Ivan Teleguz, United States, July 15, 2013, para. 103.</w:t>
      </w:r>
    </w:p>
  </w:footnote>
  <w:footnote w:id="67">
    <w:p w14:paraId="6B07319F" w14:textId="77777777" w:rsidR="007E4368" w:rsidRPr="00326763" w:rsidRDefault="007E4368" w:rsidP="00ED56A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53/13, Case 12.864, Merits (Publication), Ivan Teleguz, United States, July 15, 2013, para. </w:t>
      </w:r>
      <w:r w:rsidRPr="00326763">
        <w:rPr>
          <w:rFonts w:asciiTheme="majorHAnsi" w:hAnsiTheme="majorHAnsi"/>
          <w:color w:val="auto"/>
          <w:sz w:val="16"/>
          <w:szCs w:val="16"/>
        </w:rPr>
        <w:t>103.</w:t>
      </w:r>
    </w:p>
  </w:footnote>
  <w:footnote w:id="68">
    <w:p w14:paraId="0E078ED6" w14:textId="77777777" w:rsidR="007E4368" w:rsidRPr="00ED56AB" w:rsidRDefault="007E4368" w:rsidP="00ED56AB">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326763">
        <w:rPr>
          <w:rFonts w:asciiTheme="majorHAnsi" w:hAnsiTheme="majorHAnsi"/>
          <w:sz w:val="16"/>
          <w:szCs w:val="16"/>
        </w:rPr>
        <w:t xml:space="preserve"> IACHR, Report 55/97, Case 11.137, Merits, Juan Carlos Abella, Argentina, November 18, 1997, para. </w:t>
      </w:r>
      <w:r w:rsidRPr="00ED56AB">
        <w:rPr>
          <w:rFonts w:asciiTheme="majorHAnsi" w:hAnsiTheme="majorHAnsi"/>
          <w:sz w:val="16"/>
          <w:szCs w:val="16"/>
        </w:rPr>
        <w:t>261.</w:t>
      </w:r>
    </w:p>
  </w:footnote>
  <w:footnote w:id="69">
    <w:p w14:paraId="52FF54C6"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53/13, Case 12.864, Merits (Publication), Ivan Teleguz, United States, July 15, 2013, para. 105.</w:t>
      </w:r>
    </w:p>
  </w:footnote>
  <w:footnote w:id="70">
    <w:p w14:paraId="28641024" w14:textId="77777777" w:rsidR="007E4368" w:rsidRPr="00ED56AB" w:rsidRDefault="007E4368" w:rsidP="00ED56A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53/13, Case 12.864, Merits (Publication), Ivan Teleguz, United States, July 15, 2013, para. 103.</w:t>
      </w:r>
    </w:p>
  </w:footnote>
  <w:footnote w:id="71">
    <w:p w14:paraId="21CBF13F" w14:textId="77777777" w:rsidR="007E4368" w:rsidRPr="00ED56AB" w:rsidRDefault="007E4368" w:rsidP="008F4101">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53/13, Case 12.864, Merits (Publication), Ivan Teleguz, United States, July 15, 2013, para. 106.</w:t>
      </w:r>
    </w:p>
  </w:footnote>
  <w:footnote w:id="72">
    <w:p w14:paraId="27F2D242" w14:textId="77777777" w:rsidR="007E4368" w:rsidRPr="00AD7A33" w:rsidRDefault="007E4368" w:rsidP="00AD7A33">
      <w:pPr>
        <w:pStyle w:val="FootnoteText"/>
        <w:jc w:val="both"/>
        <w:rPr>
          <w:rFonts w:asciiTheme="majorHAnsi" w:hAnsiTheme="majorHAnsi"/>
          <w:sz w:val="16"/>
          <w:szCs w:val="16"/>
        </w:rPr>
      </w:pPr>
      <w:r w:rsidRPr="00AD7A33">
        <w:rPr>
          <w:rStyle w:val="FootnoteReference"/>
          <w:rFonts w:asciiTheme="majorHAnsi" w:hAnsiTheme="majorHAnsi"/>
          <w:sz w:val="16"/>
          <w:szCs w:val="16"/>
        </w:rPr>
        <w:footnoteRef/>
      </w:r>
      <w:r w:rsidRPr="00AD7A33">
        <w:rPr>
          <w:rFonts w:asciiTheme="majorHAnsi" w:hAnsiTheme="majorHAnsi"/>
          <w:sz w:val="16"/>
          <w:szCs w:val="16"/>
        </w:rPr>
        <w:t xml:space="preserve"> </w:t>
      </w:r>
      <w:r w:rsidRPr="00AD7A33">
        <w:rPr>
          <w:rFonts w:asciiTheme="majorHAnsi" w:hAnsiTheme="majorHAnsi"/>
          <w:color w:val="auto"/>
          <w:sz w:val="16"/>
          <w:szCs w:val="16"/>
        </w:rPr>
        <w:t>IACHR, Report No. 53/13, Case 12.864, Merits (Publication), Ivan Teleguz, United States, July 15, 2013, para. 116.</w:t>
      </w:r>
    </w:p>
  </w:footnote>
  <w:footnote w:id="73">
    <w:p w14:paraId="2978F5AF" w14:textId="77777777" w:rsidR="007E4368" w:rsidRPr="00AD7A33" w:rsidRDefault="007E4368" w:rsidP="00B574EE">
      <w:pPr>
        <w:pStyle w:val="FootnoteText"/>
        <w:jc w:val="both"/>
        <w:rPr>
          <w:rFonts w:asciiTheme="majorHAnsi" w:hAnsiTheme="majorHAnsi"/>
          <w:sz w:val="16"/>
          <w:szCs w:val="16"/>
        </w:rPr>
      </w:pPr>
      <w:r w:rsidRPr="00AD7A33">
        <w:rPr>
          <w:rStyle w:val="FootnoteReference"/>
          <w:rFonts w:asciiTheme="majorHAnsi" w:hAnsiTheme="majorHAnsi"/>
          <w:sz w:val="16"/>
          <w:szCs w:val="16"/>
        </w:rPr>
        <w:footnoteRef/>
      </w:r>
      <w:r w:rsidRPr="00AD7A33">
        <w:rPr>
          <w:rFonts w:asciiTheme="majorHAnsi" w:hAnsiTheme="majorHAnsi"/>
          <w:sz w:val="16"/>
          <w:szCs w:val="16"/>
        </w:rPr>
        <w:t xml:space="preserve"> </w:t>
      </w:r>
      <w:r w:rsidRPr="00AD7A33">
        <w:rPr>
          <w:rFonts w:asciiTheme="majorHAnsi" w:hAnsiTheme="majorHAnsi"/>
          <w:color w:val="auto"/>
          <w:sz w:val="16"/>
          <w:szCs w:val="16"/>
        </w:rPr>
        <w:t>IACHR, Report No. 53/13, Case 12.864, Merits (Publication), Ivan Teleguz, United States, July 15, 2013, para. 116.</w:t>
      </w:r>
    </w:p>
  </w:footnote>
  <w:footnote w:id="74">
    <w:p w14:paraId="20760DE6" w14:textId="77777777" w:rsidR="007E4368" w:rsidRDefault="007E4368">
      <w:pPr>
        <w:pStyle w:val="FootnoteText"/>
      </w:pPr>
      <w:r w:rsidRPr="00EE5E58">
        <w:rPr>
          <w:rStyle w:val="FootnoteReference"/>
          <w:rFonts w:asciiTheme="majorHAnsi" w:hAnsiTheme="majorHAnsi"/>
          <w:sz w:val="16"/>
          <w:szCs w:val="16"/>
        </w:rPr>
        <w:footnoteRef/>
      </w:r>
      <w:r w:rsidRPr="00EE5E58">
        <w:rPr>
          <w:rStyle w:val="FootnoteReference"/>
          <w:rFonts w:asciiTheme="majorHAnsi" w:hAnsiTheme="majorHAnsi"/>
          <w:sz w:val="16"/>
          <w:szCs w:val="16"/>
        </w:rPr>
        <w:t xml:space="preserve"> </w:t>
      </w:r>
      <w:r w:rsidRPr="00AD7A33">
        <w:rPr>
          <w:rFonts w:asciiTheme="majorHAnsi" w:hAnsiTheme="majorHAnsi"/>
          <w:color w:val="auto"/>
          <w:sz w:val="16"/>
          <w:szCs w:val="16"/>
        </w:rPr>
        <w:t>IACHR, Report No. 53/13, Case 12.864, Merits (Publication), Ivan Teleguz, United States, July 15, 2013, para. 1</w:t>
      </w:r>
      <w:r>
        <w:rPr>
          <w:rFonts w:asciiTheme="majorHAnsi" w:hAnsiTheme="majorHAnsi"/>
          <w:color w:val="auto"/>
          <w:sz w:val="16"/>
          <w:szCs w:val="16"/>
        </w:rPr>
        <w:t>17</w:t>
      </w:r>
      <w:r w:rsidRPr="00AD7A33">
        <w:rPr>
          <w:rFonts w:asciiTheme="majorHAnsi" w:hAnsiTheme="majorHAnsi"/>
          <w:color w:val="auto"/>
          <w:sz w:val="16"/>
          <w:szCs w:val="16"/>
        </w:rPr>
        <w:t>.</w:t>
      </w:r>
    </w:p>
  </w:footnote>
  <w:footnote w:id="75">
    <w:p w14:paraId="6BFFE36E" w14:textId="77777777" w:rsidR="007E4368" w:rsidRPr="00AD7A33" w:rsidRDefault="007E4368" w:rsidP="00AD7A33">
      <w:pPr>
        <w:pStyle w:val="FootnoteText"/>
        <w:jc w:val="both"/>
        <w:rPr>
          <w:rFonts w:asciiTheme="majorHAnsi" w:hAnsiTheme="majorHAnsi"/>
          <w:color w:val="auto"/>
          <w:sz w:val="16"/>
          <w:szCs w:val="16"/>
        </w:rPr>
      </w:pPr>
      <w:r w:rsidRPr="00AD7A33">
        <w:rPr>
          <w:rStyle w:val="FootnoteReference"/>
          <w:rFonts w:asciiTheme="majorHAnsi" w:hAnsiTheme="majorHAnsi"/>
          <w:color w:val="auto"/>
          <w:sz w:val="16"/>
          <w:szCs w:val="16"/>
        </w:rPr>
        <w:footnoteRef/>
      </w:r>
      <w:r w:rsidRPr="00AD7A33">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p w14:paraId="52C4D99D" w14:textId="77777777" w:rsidR="007E4368" w:rsidRPr="00AD7A33" w:rsidRDefault="007E4368" w:rsidP="00AD7A33">
      <w:pPr>
        <w:pStyle w:val="FootnoteText"/>
        <w:jc w:val="both"/>
        <w:rPr>
          <w:rFonts w:asciiTheme="majorHAnsi" w:hAnsiTheme="majorHAnsi"/>
          <w:color w:val="auto"/>
          <w:sz w:val="16"/>
          <w:szCs w:val="16"/>
        </w:rPr>
      </w:pPr>
      <w:r w:rsidRPr="00AD7A33">
        <w:rPr>
          <w:rFonts w:asciiTheme="majorHAnsi" w:hAnsiTheme="majorHAnsi"/>
          <w:color w:val="auto"/>
          <w:sz w:val="16"/>
          <w:szCs w:val="16"/>
        </w:rPr>
        <w:t>Article XXVI of the American Declaration provides: “[…] Every person accused of an offense has the right […] not to receive cruel, infamous or unusual punishment.”</w:t>
      </w:r>
    </w:p>
  </w:footnote>
  <w:footnote w:id="76">
    <w:p w14:paraId="64DD302D"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The death penalty and the absolute prohibition of Torture and Cruel, Inhuman, and Degrading Treatment or Punishment, Juan E. Mendez, Human Right Brief, Volume 20, Issue 1, Article 1, p. 3. </w:t>
      </w:r>
    </w:p>
  </w:footnote>
  <w:footnote w:id="77">
    <w:p w14:paraId="148E2DE1"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In that respect, guideline xi) of the “UE Guidelines on Death Penalty” establishes that “Where capital punishment occurs, it shall be carried out so as to inflict the minimum possible suffering. It may not be carried out in public or in any other degrading manner </w:t>
      </w:r>
      <w:hyperlink r:id="rId5" w:history="1">
        <w:r w:rsidRPr="00ED56AB">
          <w:rPr>
            <w:rStyle w:val="Hyperlink"/>
            <w:rFonts w:asciiTheme="majorHAnsi" w:hAnsiTheme="majorHAnsi"/>
            <w:color w:val="auto"/>
            <w:sz w:val="16"/>
            <w:szCs w:val="16"/>
          </w:rPr>
          <w:t>EU Guidelines on the Death Penalty: revised and updated version.</w:t>
        </w:r>
      </w:hyperlink>
    </w:p>
  </w:footnote>
  <w:footnote w:id="78">
    <w:p w14:paraId="2D82CA0F"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71/18, Case 12.958. Merits. Russell Bucklew. United States, May 10, 2018, paras. 66 and 67.</w:t>
      </w:r>
    </w:p>
  </w:footnote>
  <w:footnote w:id="79">
    <w:p w14:paraId="0D8E7991"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Human Rights Committee, Concluding observations on the fourth periodic report of the United States of America, CCPR/C/USA/CO/4, para. 8.</w:t>
      </w:r>
    </w:p>
  </w:footnote>
  <w:footnote w:id="80">
    <w:p w14:paraId="2DDA7A88" w14:textId="77777777" w:rsidR="007E4368" w:rsidRPr="00ED56AB" w:rsidRDefault="007E4368" w:rsidP="00ED56AB">
      <w:pPr>
        <w:pStyle w:val="Heading2"/>
        <w:spacing w:before="0"/>
        <w:jc w:val="both"/>
        <w:rPr>
          <w:b w:val="0"/>
          <w:color w:val="auto"/>
          <w:sz w:val="16"/>
          <w:szCs w:val="16"/>
        </w:rPr>
      </w:pPr>
      <w:r w:rsidRPr="00ED56AB">
        <w:rPr>
          <w:rStyle w:val="FootnoteReference"/>
          <w:b w:val="0"/>
          <w:color w:val="auto"/>
          <w:sz w:val="16"/>
          <w:szCs w:val="16"/>
        </w:rPr>
        <w:footnoteRef/>
      </w:r>
      <w:r w:rsidRPr="00ED56AB">
        <w:rPr>
          <w:b w:val="0"/>
          <w:color w:val="auto"/>
          <w:sz w:val="16"/>
          <w:szCs w:val="16"/>
        </w:rPr>
        <w:t xml:space="preserve"> Committee against Torture, Conclusions and recommendations of the Committee against Torture, United States of America, 25 July 2006, CAT/C/USA/CO/2, para. 31.</w:t>
      </w:r>
    </w:p>
  </w:footnote>
  <w:footnote w:id="81">
    <w:p w14:paraId="319B787E" w14:textId="77777777" w:rsidR="007E4368" w:rsidRPr="00ED56AB" w:rsidRDefault="007E4368" w:rsidP="00ED56AB">
      <w:pPr>
        <w:autoSpaceDE w:val="0"/>
        <w:autoSpaceDN w:val="0"/>
        <w:adjustRightInd w:val="0"/>
        <w:jc w:val="both"/>
        <w:rPr>
          <w:rFonts w:asciiTheme="majorHAnsi" w:hAnsiTheme="majorHAnsi"/>
          <w:bCs/>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Interim Report of the </w:t>
      </w:r>
      <w:r w:rsidRPr="00ED56AB">
        <w:rPr>
          <w:rFonts w:asciiTheme="majorHAnsi" w:hAnsiTheme="majorHAnsi"/>
          <w:bCs/>
          <w:sz w:val="16"/>
          <w:szCs w:val="16"/>
        </w:rPr>
        <w:t>Special Rapporteur on torture and other cruel, inhuman or degrading treatment or punishment, A/67/229, 9 August 2012, para. 38.</w:t>
      </w:r>
    </w:p>
  </w:footnote>
  <w:footnote w:id="82">
    <w:p w14:paraId="346A3F62" w14:textId="77777777" w:rsidR="007E4368" w:rsidRPr="00ED56AB" w:rsidRDefault="007E4368" w:rsidP="00ED56AB">
      <w:pPr>
        <w:autoSpaceDE w:val="0"/>
        <w:autoSpaceDN w:val="0"/>
        <w:adjustRightInd w:val="0"/>
        <w:jc w:val="both"/>
        <w:rPr>
          <w:rFonts w:asciiTheme="majorHAnsi" w:hAnsiTheme="majorHAnsi"/>
          <w:bCs/>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Interim Report of the </w:t>
      </w:r>
      <w:r w:rsidRPr="00ED56AB">
        <w:rPr>
          <w:rFonts w:asciiTheme="majorHAnsi" w:hAnsiTheme="majorHAnsi"/>
          <w:bCs/>
          <w:sz w:val="16"/>
          <w:szCs w:val="16"/>
        </w:rPr>
        <w:t>Special Rapporteur on torture and other cruel, inhuman or degrading treatment or punishment, A/67/229, 9 August 2012, para. 80 (b).</w:t>
      </w:r>
    </w:p>
  </w:footnote>
  <w:footnote w:id="83">
    <w:p w14:paraId="6B0E629F"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paras. 86-90. In this report the Commission has cite</w:t>
      </w:r>
      <w:r>
        <w:rPr>
          <w:rFonts w:asciiTheme="majorHAnsi" w:hAnsiTheme="majorHAnsi"/>
          <w:color w:val="auto"/>
          <w:sz w:val="16"/>
          <w:szCs w:val="16"/>
        </w:rPr>
        <w:t>d</w:t>
      </w:r>
      <w:r w:rsidRPr="00ED56AB">
        <w:rPr>
          <w:rFonts w:asciiTheme="majorHAnsi" w:hAnsiTheme="majorHAnsi"/>
          <w:color w:val="auto"/>
          <w:sz w:val="16"/>
          <w:szCs w:val="16"/>
        </w:rPr>
        <w:t xml:space="preserve"> a number of developments in the inter-American and other protections systems, including the regional and United Nations systems.</w:t>
      </w:r>
    </w:p>
  </w:footnote>
  <w:footnote w:id="84">
    <w:p w14:paraId="21EA6DAB" w14:textId="77777777" w:rsidR="007E4368" w:rsidRPr="006C1815" w:rsidRDefault="007E4368">
      <w:pPr>
        <w:pStyle w:val="FootnoteText"/>
      </w:pPr>
      <w:r w:rsidRPr="006C1815">
        <w:rPr>
          <w:rStyle w:val="FootnoteReference"/>
          <w:rFonts w:asciiTheme="majorHAnsi" w:hAnsiTheme="majorHAnsi"/>
          <w:color w:val="auto"/>
          <w:sz w:val="16"/>
          <w:szCs w:val="16"/>
        </w:rPr>
        <w:footnoteRef/>
      </w:r>
      <w:r w:rsidRPr="006C1815">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w:t>
      </w:r>
      <w:r>
        <w:rPr>
          <w:rFonts w:asciiTheme="majorHAnsi" w:hAnsiTheme="majorHAnsi"/>
          <w:color w:val="auto"/>
          <w:sz w:val="16"/>
          <w:szCs w:val="16"/>
        </w:rPr>
        <w:t>. 83.</w:t>
      </w:r>
    </w:p>
  </w:footnote>
  <w:footnote w:id="85">
    <w:p w14:paraId="397DEEFF" w14:textId="77777777" w:rsidR="007E4368" w:rsidRPr="00ED56AB" w:rsidRDefault="007E4368" w:rsidP="00ED56AB">
      <w:pPr>
        <w:pStyle w:val="FootnoteText"/>
        <w:jc w:val="both"/>
        <w:rPr>
          <w:rFonts w:asciiTheme="majorHAnsi" w:hAnsiTheme="majorHAnsi"/>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Article IV of the American Declaration provides: “Every person has the right to freedom of investigation, of opinion, and of the expression and dissemination of ideas, by any medium whatsoever.”</w:t>
      </w:r>
    </w:p>
  </w:footnote>
  <w:footnote w:id="86">
    <w:p w14:paraId="2F46771E" w14:textId="77777777" w:rsidR="007E4368" w:rsidRPr="00ED56AB" w:rsidRDefault="007E4368" w:rsidP="00ED56AB">
      <w:pPr>
        <w:pStyle w:val="FootnoteText"/>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w:t>
      </w:r>
      <w:r w:rsidRPr="00ED56AB">
        <w:rPr>
          <w:rFonts w:asciiTheme="majorHAnsi" w:hAnsiTheme="majorHAnsi"/>
          <w:i/>
          <w:sz w:val="16"/>
          <w:szCs w:val="16"/>
        </w:rPr>
        <w:t>See generally</w:t>
      </w:r>
      <w:r w:rsidRPr="00ED56AB">
        <w:rPr>
          <w:rFonts w:asciiTheme="majorHAnsi" w:hAnsiTheme="majorHAnsi"/>
          <w:sz w:val="16"/>
          <w:szCs w:val="16"/>
        </w:rPr>
        <w:t xml:space="preserve"> IACHR, The Inter-American Legal Framework Regarding the Right to Access to Information. December 30, 2009.</w:t>
      </w:r>
    </w:p>
  </w:footnote>
  <w:footnote w:id="87">
    <w:p w14:paraId="3D548281" w14:textId="77777777" w:rsidR="007E4368" w:rsidRPr="00ED56AB" w:rsidRDefault="007E4368" w:rsidP="00ED56AB">
      <w:pPr>
        <w:pStyle w:val="FootnoteText"/>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Declaration of Principles on Freedom of Expression, </w:t>
      </w:r>
      <w:r>
        <w:rPr>
          <w:rFonts w:asciiTheme="majorHAnsi" w:hAnsiTheme="majorHAnsi"/>
          <w:sz w:val="16"/>
          <w:szCs w:val="16"/>
        </w:rPr>
        <w:t xml:space="preserve">Principle 3, </w:t>
      </w:r>
      <w:r w:rsidRPr="00ED56AB">
        <w:rPr>
          <w:rFonts w:asciiTheme="majorHAnsi" w:hAnsiTheme="majorHAnsi"/>
          <w:sz w:val="16"/>
          <w:szCs w:val="16"/>
        </w:rPr>
        <w:t>October 20, 2000.</w:t>
      </w:r>
    </w:p>
  </w:footnote>
  <w:footnote w:id="88">
    <w:p w14:paraId="6E1F6913"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Merits (Publication), Edgar Tamayo Arias, United States, July 17, 2014, para. 189.</w:t>
      </w:r>
    </w:p>
  </w:footnote>
  <w:footnote w:id="89">
    <w:p w14:paraId="460EF26A" w14:textId="77777777" w:rsidR="007E4368" w:rsidRPr="000A7DBA"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Merits (Publication), Edgar Tamayo Arias, United States, July 17, 2014, para. </w:t>
      </w:r>
      <w:r w:rsidRPr="000A7DBA">
        <w:rPr>
          <w:rFonts w:asciiTheme="majorHAnsi" w:hAnsiTheme="majorHAnsi"/>
          <w:color w:val="auto"/>
          <w:sz w:val="16"/>
          <w:szCs w:val="16"/>
        </w:rPr>
        <w:t>190.</w:t>
      </w:r>
    </w:p>
  </w:footnote>
  <w:footnote w:id="90">
    <w:p w14:paraId="4676B7BB"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Article I of the American Declaration provides: “</w:t>
      </w:r>
      <w:r w:rsidRPr="00ED56AB">
        <w:rPr>
          <w:rFonts w:asciiTheme="majorHAnsi" w:hAnsiTheme="majorHAnsi"/>
          <w:color w:val="auto"/>
          <w:sz w:val="16"/>
          <w:szCs w:val="16"/>
          <w:shd w:val="clear" w:color="auto" w:fill="FFFFFF"/>
        </w:rPr>
        <w:t>Every human being has the right to life, liberty and the security of his person.”</w:t>
      </w:r>
    </w:p>
  </w:footnote>
  <w:footnote w:id="91">
    <w:p w14:paraId="53735800"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See, </w:t>
      </w:r>
      <w:r w:rsidRPr="00ED56AB">
        <w:rPr>
          <w:rFonts w:asciiTheme="majorHAnsi" w:hAnsiTheme="majorHAnsi"/>
          <w:i/>
          <w:color w:val="auto"/>
          <w:sz w:val="16"/>
          <w:szCs w:val="16"/>
        </w:rPr>
        <w:t>mutatis mutandis</w:t>
      </w:r>
      <w:r w:rsidRPr="00ED56AB">
        <w:rPr>
          <w:rFonts w:asciiTheme="majorHAnsi" w:hAnsiTheme="majorHAnsi"/>
          <w:color w:val="auto"/>
          <w:sz w:val="16"/>
          <w:szCs w:val="16"/>
        </w:rPr>
        <w:t xml:space="preserve">, IACHR, Report No. 57/96, Case 11.139, William Andrews, United States, December 6, 1996. </w:t>
      </w:r>
    </w:p>
  </w:footnote>
  <w:footnote w:id="92">
    <w:p w14:paraId="0B03D464" w14:textId="77777777" w:rsidR="007E4368" w:rsidRPr="00ED56AB" w:rsidRDefault="007E4368"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Teleguz, United States, July 15, 2013, para. 129.</w:t>
      </w:r>
    </w:p>
  </w:footnote>
  <w:footnote w:id="93">
    <w:p w14:paraId="2CF7B262" w14:textId="77777777" w:rsidR="007E4368" w:rsidRPr="00700471" w:rsidRDefault="007E4368" w:rsidP="0059770B">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94">
    <w:p w14:paraId="358319F7" w14:textId="77777777" w:rsidR="007E4368" w:rsidRPr="00700471" w:rsidRDefault="007E4368" w:rsidP="0030197A">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95">
    <w:p w14:paraId="0187F3B3" w14:textId="77777777" w:rsidR="007E4368" w:rsidRPr="00136DF6" w:rsidRDefault="007E4368" w:rsidP="00136DF6">
      <w:pPr>
        <w:pStyle w:val="FootnoteText"/>
        <w:jc w:val="both"/>
        <w:rPr>
          <w:rFonts w:asciiTheme="majorHAnsi" w:hAnsiTheme="majorHAnsi"/>
          <w:sz w:val="16"/>
          <w:szCs w:val="16"/>
        </w:rPr>
      </w:pPr>
      <w:r w:rsidRPr="00136DF6">
        <w:rPr>
          <w:rStyle w:val="FootnoteReference"/>
          <w:rFonts w:asciiTheme="majorHAnsi" w:hAnsiTheme="majorHAnsi"/>
          <w:sz w:val="16"/>
          <w:szCs w:val="16"/>
        </w:rPr>
        <w:footnoteRef/>
      </w:r>
      <w:r w:rsidRPr="00136DF6">
        <w:rPr>
          <w:rFonts w:asciiTheme="majorHAnsi" w:hAnsiTheme="majorHAnsi"/>
          <w:sz w:val="16"/>
          <w:szCs w:val="16"/>
        </w:rPr>
        <w:t xml:space="preserve"> U.S. Department of Justice. Justice News. Federal Government to Resume Capital Punishment After Nearly Two Decade Lapse. July 25, 2019. Available at: </w:t>
      </w:r>
      <w:hyperlink r:id="rId6" w:history="1">
        <w:r w:rsidRPr="00136DF6">
          <w:rPr>
            <w:rStyle w:val="Hyperlink"/>
            <w:rFonts w:asciiTheme="majorHAnsi" w:hAnsiTheme="majorHAnsi"/>
            <w:sz w:val="16"/>
            <w:szCs w:val="16"/>
          </w:rPr>
          <w:t>https://www.justice.gov/opa/pr/federal-government-resume-capital-punishment-after-nearly-two-decade-lapse</w:t>
        </w:r>
      </w:hyperlink>
      <w:r w:rsidRPr="00136DF6">
        <w:rPr>
          <w:rFonts w:asciiTheme="majorHAnsi" w:hAnsiTheme="majorHAnsi"/>
          <w:sz w:val="16"/>
          <w:szCs w:val="16"/>
        </w:rPr>
        <w:t xml:space="preserve"> </w:t>
      </w:r>
    </w:p>
  </w:footnote>
  <w:footnote w:id="96">
    <w:p w14:paraId="579CBAC5" w14:textId="77777777" w:rsidR="009C78F9" w:rsidRPr="00276646" w:rsidRDefault="009C78F9" w:rsidP="009C78F9">
      <w:pPr>
        <w:pStyle w:val="FootnoteText"/>
        <w:rPr>
          <w:rFonts w:asciiTheme="majorHAnsi" w:hAnsiTheme="majorHAnsi"/>
          <w:sz w:val="16"/>
          <w:szCs w:val="16"/>
          <w:highlight w:val="yellow"/>
        </w:rPr>
      </w:pPr>
      <w:r w:rsidRPr="00276646">
        <w:rPr>
          <w:rStyle w:val="FootnoteReference"/>
          <w:rFonts w:asciiTheme="majorHAnsi" w:hAnsiTheme="majorHAnsi"/>
          <w:sz w:val="16"/>
          <w:szCs w:val="16"/>
          <w:lang w:val="es-ES"/>
        </w:rPr>
        <w:footnoteRef/>
      </w:r>
      <w:r w:rsidRPr="00276646">
        <w:rPr>
          <w:rFonts w:asciiTheme="majorHAnsi" w:hAnsiTheme="majorHAnsi"/>
          <w:sz w:val="16"/>
          <w:szCs w:val="16"/>
        </w:rPr>
        <w:t xml:space="preserve"> IACHR. Report No. 44/14, Case 12.873. Merits (Publication). Edgar Tamayo Arias. United States. July 17, 2014, para. 189.</w:t>
      </w:r>
    </w:p>
  </w:footnote>
  <w:footnote w:id="97">
    <w:p w14:paraId="32B5FFDE" w14:textId="77777777" w:rsidR="00373D5A" w:rsidRPr="00276646" w:rsidRDefault="00373D5A" w:rsidP="0045757F">
      <w:pPr>
        <w:pStyle w:val="FootnoteText"/>
        <w:jc w:val="both"/>
        <w:rPr>
          <w:rFonts w:asciiTheme="majorHAnsi" w:hAnsiTheme="majorHAnsi" w:cs="Arabic Typesetting"/>
          <w:sz w:val="16"/>
          <w:szCs w:val="16"/>
        </w:rPr>
      </w:pPr>
      <w:r w:rsidRPr="00276646">
        <w:rPr>
          <w:rStyle w:val="FootnoteReference"/>
          <w:rFonts w:asciiTheme="majorHAnsi" w:hAnsiTheme="majorHAnsi" w:cs="Arabic Typesetting"/>
          <w:sz w:val="16"/>
          <w:szCs w:val="16"/>
        </w:rPr>
        <w:footnoteRef/>
      </w:r>
      <w:r w:rsidRPr="00276646">
        <w:rPr>
          <w:rFonts w:asciiTheme="majorHAnsi" w:hAnsiTheme="majorHAnsi" w:cs="Arabic Typesetting"/>
          <w:sz w:val="16"/>
          <w:szCs w:val="16"/>
        </w:rPr>
        <w:t xml:space="preserve"> </w:t>
      </w:r>
      <w:r w:rsidR="0045757F" w:rsidRPr="00276646">
        <w:rPr>
          <w:rFonts w:asciiTheme="majorHAnsi" w:hAnsiTheme="majorHAnsi" w:cs="Arabic Typesetting"/>
          <w:sz w:val="16"/>
          <w:szCs w:val="16"/>
        </w:rPr>
        <w:t xml:space="preserve">IACHR. Press Release No. 201/19. </w:t>
      </w:r>
      <w:hyperlink r:id="rId7" w:history="1">
        <w:r w:rsidR="0045757F" w:rsidRPr="00276646">
          <w:rPr>
            <w:rStyle w:val="Hyperlink"/>
            <w:rFonts w:asciiTheme="majorHAnsi" w:hAnsiTheme="majorHAnsi" w:cs="Arabic Typesetting"/>
            <w:sz w:val="16"/>
            <w:szCs w:val="16"/>
          </w:rPr>
          <w:t>IACHR expresses its profound concern for the reinstatement of the death penalty at the federal level in the United States</w:t>
        </w:r>
      </w:hyperlink>
      <w:r w:rsidR="0045757F" w:rsidRPr="00276646">
        <w:rPr>
          <w:rFonts w:asciiTheme="majorHAnsi" w:hAnsiTheme="majorHAnsi" w:cs="Arabic Typesetting"/>
          <w:sz w:val="16"/>
          <w:szCs w:val="16"/>
        </w:rPr>
        <w:t>. August 15, 2019.</w:t>
      </w:r>
    </w:p>
  </w:footnote>
  <w:footnote w:id="98">
    <w:p w14:paraId="0B25C6F6" w14:textId="77777777" w:rsidR="007E4368" w:rsidRPr="00C55378" w:rsidRDefault="007E4368">
      <w:pPr>
        <w:pStyle w:val="FootnoteText"/>
      </w:pPr>
      <w:r w:rsidRPr="00C55378">
        <w:rPr>
          <w:rStyle w:val="FootnoteReference"/>
          <w:rFonts w:asciiTheme="majorHAnsi" w:hAnsiTheme="majorHAnsi"/>
          <w:color w:val="auto"/>
          <w:sz w:val="16"/>
          <w:szCs w:val="16"/>
        </w:rPr>
        <w:footnoteRef/>
      </w:r>
      <w:r w:rsidRPr="00C55378">
        <w:rPr>
          <w:rStyle w:val="FootnoteReference"/>
          <w:rFonts w:asciiTheme="majorHAnsi" w:hAnsiTheme="majorHAnsi"/>
          <w:color w:val="auto"/>
          <w:sz w:val="16"/>
          <w:szCs w:val="16"/>
        </w:rPr>
        <w:t xml:space="preserve"> </w:t>
      </w:r>
      <w:r w:rsidRPr="00ED56AB">
        <w:rPr>
          <w:rFonts w:asciiTheme="majorHAnsi" w:hAnsiTheme="majorHAnsi"/>
          <w:sz w:val="16"/>
          <w:szCs w:val="16"/>
        </w:rPr>
        <w:t>IACHR, Report No. 24/17, Case 12.254. Merits. Victor Saldaño. United States. March 18, 2017, para.</w:t>
      </w:r>
      <w:r>
        <w:rPr>
          <w:rFonts w:asciiTheme="majorHAnsi" w:hAnsiTheme="majorHAnsi"/>
          <w:sz w:val="16"/>
          <w:szCs w:val="16"/>
        </w:rPr>
        <w:t xml:space="preserve"> 269.</w:t>
      </w:r>
    </w:p>
  </w:footnote>
  <w:footnote w:id="99">
    <w:p w14:paraId="434E80A4" w14:textId="77777777" w:rsidR="007E4368" w:rsidRPr="00700471" w:rsidRDefault="007E4368" w:rsidP="0059770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F4CF" w14:textId="77777777" w:rsidR="007E4368" w:rsidRDefault="007E4368"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3A7780" w14:textId="77777777" w:rsidR="007E4368" w:rsidRDefault="007E4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E90" w14:textId="77777777" w:rsidR="007E4368" w:rsidRDefault="007E4368" w:rsidP="002C1641">
    <w:pPr>
      <w:pStyle w:val="Header"/>
      <w:tabs>
        <w:tab w:val="clear" w:pos="4320"/>
        <w:tab w:val="clear" w:pos="8640"/>
      </w:tabs>
      <w:jc w:val="center"/>
      <w:rPr>
        <w:sz w:val="22"/>
        <w:szCs w:val="22"/>
      </w:rPr>
    </w:pPr>
    <w:r>
      <w:rPr>
        <w:noProof/>
        <w:sz w:val="22"/>
        <w:szCs w:val="22"/>
      </w:rPr>
      <w:drawing>
        <wp:inline distT="0" distB="0" distL="0" distR="0" wp14:anchorId="34230F68" wp14:editId="4012CF7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A075B93" w14:textId="77777777" w:rsidR="007E4368" w:rsidRPr="00EC7D62" w:rsidRDefault="006E3F74" w:rsidP="002C1641">
    <w:pPr>
      <w:pStyle w:val="Header"/>
      <w:tabs>
        <w:tab w:val="clear" w:pos="4320"/>
        <w:tab w:val="clear" w:pos="8640"/>
      </w:tabs>
      <w:jc w:val="center"/>
      <w:rPr>
        <w:sz w:val="22"/>
        <w:szCs w:val="22"/>
      </w:rPr>
    </w:pPr>
    <w:r>
      <w:rPr>
        <w:noProof/>
        <w:sz w:val="22"/>
        <w:szCs w:val="22"/>
        <w:bdr w:val="nil"/>
      </w:rPr>
      <w:pict w14:anchorId="2CACE0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C32763"/>
    <w:multiLevelType w:val="hybridMultilevel"/>
    <w:tmpl w:val="7D3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BB09CE"/>
    <w:multiLevelType w:val="hybridMultilevel"/>
    <w:tmpl w:val="0B5AF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C1A68"/>
    <w:multiLevelType w:val="hybridMultilevel"/>
    <w:tmpl w:val="502652AC"/>
    <w:lvl w:ilvl="0" w:tplc="54FE0348">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B66050"/>
    <w:multiLevelType w:val="hybridMultilevel"/>
    <w:tmpl w:val="FD52EF74"/>
    <w:lvl w:ilvl="0" w:tplc="BCA0C818">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4E17DD"/>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5D31B9A"/>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7C0422"/>
    <w:multiLevelType w:val="hybridMultilevel"/>
    <w:tmpl w:val="D1A0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C37724"/>
    <w:multiLevelType w:val="hybridMultilevel"/>
    <w:tmpl w:val="F32A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FE25FBB"/>
    <w:multiLevelType w:val="hybridMultilevel"/>
    <w:tmpl w:val="0B5AF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3767A48"/>
    <w:multiLevelType w:val="hybridMultilevel"/>
    <w:tmpl w:val="D8F0FF18"/>
    <w:lvl w:ilvl="0" w:tplc="A5D2DF80">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45554A"/>
    <w:multiLevelType w:val="hybridMultilevel"/>
    <w:tmpl w:val="742AE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3"/>
  </w:num>
  <w:num w:numId="4">
    <w:abstractNumId w:val="24"/>
  </w:num>
  <w:num w:numId="5">
    <w:abstractNumId w:val="55"/>
  </w:num>
  <w:num w:numId="6">
    <w:abstractNumId w:val="30"/>
  </w:num>
  <w:num w:numId="7">
    <w:abstractNumId w:val="6"/>
  </w:num>
  <w:num w:numId="8">
    <w:abstractNumId w:val="18"/>
  </w:num>
  <w:num w:numId="9">
    <w:abstractNumId w:val="48"/>
  </w:num>
  <w:num w:numId="10">
    <w:abstractNumId w:val="0"/>
  </w:num>
  <w:num w:numId="11">
    <w:abstractNumId w:val="41"/>
  </w:num>
  <w:num w:numId="12">
    <w:abstractNumId w:val="42"/>
  </w:num>
  <w:num w:numId="13">
    <w:abstractNumId w:val="50"/>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8"/>
  </w:num>
  <w:num w:numId="38">
    <w:abstractNumId w:val="39"/>
  </w:num>
  <w:num w:numId="39">
    <w:abstractNumId w:val="43"/>
  </w:num>
  <w:num w:numId="40">
    <w:abstractNumId w:val="45"/>
  </w:num>
  <w:num w:numId="41">
    <w:abstractNumId w:val="53"/>
  </w:num>
  <w:num w:numId="42">
    <w:abstractNumId w:val="57"/>
  </w:num>
  <w:num w:numId="43">
    <w:abstractNumId w:val="58"/>
  </w:num>
  <w:num w:numId="44">
    <w:abstractNumId w:val="60"/>
  </w:num>
  <w:num w:numId="45">
    <w:abstractNumId w:val="62"/>
  </w:num>
  <w:num w:numId="46">
    <w:abstractNumId w:val="64"/>
  </w:num>
  <w:num w:numId="47">
    <w:abstractNumId w:val="65"/>
  </w:num>
  <w:num w:numId="48">
    <w:abstractNumId w:val="66"/>
  </w:num>
  <w:num w:numId="49">
    <w:abstractNumId w:val="67"/>
  </w:num>
  <w:num w:numId="50">
    <w:abstractNumId w:val="68"/>
  </w:num>
  <w:num w:numId="51">
    <w:abstractNumId w:val="22"/>
  </w:num>
  <w:num w:numId="52">
    <w:abstractNumId w:val="46"/>
  </w:num>
  <w:num w:numId="53">
    <w:abstractNumId w:val="59"/>
  </w:num>
  <w:num w:numId="54">
    <w:abstractNumId w:val="51"/>
  </w:num>
  <w:num w:numId="55">
    <w:abstractNumId w:val="52"/>
  </w:num>
  <w:num w:numId="56">
    <w:abstractNumId w:val="21"/>
  </w:num>
  <w:num w:numId="57">
    <w:abstractNumId w:val="49"/>
  </w:num>
  <w:num w:numId="58">
    <w:abstractNumId w:val="15"/>
  </w:num>
  <w:num w:numId="59">
    <w:abstractNumId w:val="54"/>
  </w:num>
  <w:num w:numId="60">
    <w:abstractNumId w:val="56"/>
  </w:num>
  <w:num w:numId="61">
    <w:abstractNumId w:val="47"/>
  </w:num>
  <w:num w:numId="62">
    <w:abstractNumId w:val="61"/>
  </w:num>
  <w:num w:numId="63">
    <w:abstractNumId w:val="40"/>
  </w:num>
  <w:num w:numId="64">
    <w:abstractNumId w:val="37"/>
  </w:num>
  <w:num w:numId="65">
    <w:abstractNumId w:val="5"/>
  </w:num>
  <w:num w:numId="66">
    <w:abstractNumId w:val="23"/>
  </w:num>
  <w:num w:numId="67">
    <w:abstractNumId w:val="28"/>
  </w:num>
  <w:num w:numId="68">
    <w:abstractNumId w:val="59"/>
  </w:num>
  <w:num w:numId="69">
    <w:abstractNumId w:val="59"/>
  </w:num>
  <w:num w:numId="70">
    <w:abstractNumId w:val="59"/>
  </w:num>
  <w:num w:numId="71">
    <w:abstractNumId w:val="59"/>
  </w:num>
  <w:num w:numId="72">
    <w:abstractNumId w:val="59"/>
    <w:lvlOverride w:ilvl="0">
      <w:startOverride w:val="1"/>
    </w:lvlOverride>
  </w:num>
  <w:num w:numId="73">
    <w:abstractNumId w:val="59"/>
  </w:num>
  <w:num w:numId="74">
    <w:abstractNumId w:val="44"/>
  </w:num>
  <w:num w:numId="75">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50CC"/>
    <w:rsid w:val="000070D7"/>
    <w:rsid w:val="00007B4D"/>
    <w:rsid w:val="00010877"/>
    <w:rsid w:val="00010A7E"/>
    <w:rsid w:val="000111A8"/>
    <w:rsid w:val="00011EB8"/>
    <w:rsid w:val="00012470"/>
    <w:rsid w:val="00012683"/>
    <w:rsid w:val="00012ADD"/>
    <w:rsid w:val="00012E4F"/>
    <w:rsid w:val="00015F42"/>
    <w:rsid w:val="00017552"/>
    <w:rsid w:val="0001788C"/>
    <w:rsid w:val="00021201"/>
    <w:rsid w:val="00024730"/>
    <w:rsid w:val="000265CB"/>
    <w:rsid w:val="0002681D"/>
    <w:rsid w:val="00030834"/>
    <w:rsid w:val="0003324D"/>
    <w:rsid w:val="000332F4"/>
    <w:rsid w:val="00036A8A"/>
    <w:rsid w:val="00040C3A"/>
    <w:rsid w:val="0004390C"/>
    <w:rsid w:val="000459E0"/>
    <w:rsid w:val="0004761C"/>
    <w:rsid w:val="00047F35"/>
    <w:rsid w:val="000516F4"/>
    <w:rsid w:val="000517B2"/>
    <w:rsid w:val="000520FB"/>
    <w:rsid w:val="00054E1B"/>
    <w:rsid w:val="0005746C"/>
    <w:rsid w:val="000576AA"/>
    <w:rsid w:val="00057D4F"/>
    <w:rsid w:val="00057EDB"/>
    <w:rsid w:val="0006097A"/>
    <w:rsid w:val="00062C0F"/>
    <w:rsid w:val="00062FEC"/>
    <w:rsid w:val="000639C0"/>
    <w:rsid w:val="000657E1"/>
    <w:rsid w:val="000679BC"/>
    <w:rsid w:val="00070F3A"/>
    <w:rsid w:val="0007127E"/>
    <w:rsid w:val="000716C5"/>
    <w:rsid w:val="00071E45"/>
    <w:rsid w:val="00074669"/>
    <w:rsid w:val="00075E23"/>
    <w:rsid w:val="000764E3"/>
    <w:rsid w:val="00080249"/>
    <w:rsid w:val="00081EC3"/>
    <w:rsid w:val="000830D5"/>
    <w:rsid w:val="00084A11"/>
    <w:rsid w:val="00084C5B"/>
    <w:rsid w:val="00085F65"/>
    <w:rsid w:val="00090720"/>
    <w:rsid w:val="00091707"/>
    <w:rsid w:val="000922C5"/>
    <w:rsid w:val="00092F32"/>
    <w:rsid w:val="00093055"/>
    <w:rsid w:val="0009344A"/>
    <w:rsid w:val="00094AFA"/>
    <w:rsid w:val="00095575"/>
    <w:rsid w:val="0009575D"/>
    <w:rsid w:val="000A254B"/>
    <w:rsid w:val="000A3276"/>
    <w:rsid w:val="000A3E84"/>
    <w:rsid w:val="000A4138"/>
    <w:rsid w:val="000A575F"/>
    <w:rsid w:val="000A5B0F"/>
    <w:rsid w:val="000A650D"/>
    <w:rsid w:val="000A72E9"/>
    <w:rsid w:val="000A7DBA"/>
    <w:rsid w:val="000B25FC"/>
    <w:rsid w:val="000B405D"/>
    <w:rsid w:val="000B44FC"/>
    <w:rsid w:val="000B478D"/>
    <w:rsid w:val="000B4DAF"/>
    <w:rsid w:val="000B6BBC"/>
    <w:rsid w:val="000C1B5A"/>
    <w:rsid w:val="000C3B09"/>
    <w:rsid w:val="000C6FFD"/>
    <w:rsid w:val="000D10DB"/>
    <w:rsid w:val="000D1FC7"/>
    <w:rsid w:val="000D3921"/>
    <w:rsid w:val="000D3B27"/>
    <w:rsid w:val="000D5691"/>
    <w:rsid w:val="000D6817"/>
    <w:rsid w:val="000D6EEF"/>
    <w:rsid w:val="000E1356"/>
    <w:rsid w:val="000E44C7"/>
    <w:rsid w:val="000E56C3"/>
    <w:rsid w:val="000E69B3"/>
    <w:rsid w:val="000E6EDD"/>
    <w:rsid w:val="000E7140"/>
    <w:rsid w:val="000E7ED0"/>
    <w:rsid w:val="000E7F69"/>
    <w:rsid w:val="000F0EEC"/>
    <w:rsid w:val="000F4D36"/>
    <w:rsid w:val="000F7409"/>
    <w:rsid w:val="001032AB"/>
    <w:rsid w:val="00104896"/>
    <w:rsid w:val="00106990"/>
    <w:rsid w:val="00112617"/>
    <w:rsid w:val="00115009"/>
    <w:rsid w:val="00123ECD"/>
    <w:rsid w:val="0013104F"/>
    <w:rsid w:val="001313C9"/>
    <w:rsid w:val="0013178F"/>
    <w:rsid w:val="00131B01"/>
    <w:rsid w:val="0013403C"/>
    <w:rsid w:val="00134FF0"/>
    <w:rsid w:val="00135C62"/>
    <w:rsid w:val="00136DF6"/>
    <w:rsid w:val="00137EBA"/>
    <w:rsid w:val="00141DEA"/>
    <w:rsid w:val="00142AE8"/>
    <w:rsid w:val="00143EB9"/>
    <w:rsid w:val="00145EDC"/>
    <w:rsid w:val="001503E0"/>
    <w:rsid w:val="00150D3B"/>
    <w:rsid w:val="00154179"/>
    <w:rsid w:val="001577B2"/>
    <w:rsid w:val="00162AAD"/>
    <w:rsid w:val="00162CEF"/>
    <w:rsid w:val="001638DF"/>
    <w:rsid w:val="0016465A"/>
    <w:rsid w:val="00167A34"/>
    <w:rsid w:val="00171725"/>
    <w:rsid w:val="001739F5"/>
    <w:rsid w:val="001747B4"/>
    <w:rsid w:val="00175827"/>
    <w:rsid w:val="0018037F"/>
    <w:rsid w:val="001805B4"/>
    <w:rsid w:val="00180D3C"/>
    <w:rsid w:val="00180E3B"/>
    <w:rsid w:val="001829D6"/>
    <w:rsid w:val="00182F27"/>
    <w:rsid w:val="00184083"/>
    <w:rsid w:val="00184C6F"/>
    <w:rsid w:val="00190214"/>
    <w:rsid w:val="0019332D"/>
    <w:rsid w:val="001937A5"/>
    <w:rsid w:val="001A2434"/>
    <w:rsid w:val="001A5F27"/>
    <w:rsid w:val="001A7870"/>
    <w:rsid w:val="001B17B9"/>
    <w:rsid w:val="001B3279"/>
    <w:rsid w:val="001B4974"/>
    <w:rsid w:val="001B5F45"/>
    <w:rsid w:val="001C04BF"/>
    <w:rsid w:val="001C1B41"/>
    <w:rsid w:val="001C2003"/>
    <w:rsid w:val="001C38BC"/>
    <w:rsid w:val="001C4006"/>
    <w:rsid w:val="001C48AF"/>
    <w:rsid w:val="001C6E0E"/>
    <w:rsid w:val="001D1A17"/>
    <w:rsid w:val="001D1FC1"/>
    <w:rsid w:val="001D59B1"/>
    <w:rsid w:val="001E0270"/>
    <w:rsid w:val="001E10CA"/>
    <w:rsid w:val="001E2867"/>
    <w:rsid w:val="001E3060"/>
    <w:rsid w:val="001E3F3E"/>
    <w:rsid w:val="001E4D7D"/>
    <w:rsid w:val="001E5A1A"/>
    <w:rsid w:val="001E699E"/>
    <w:rsid w:val="001E6C37"/>
    <w:rsid w:val="001F0B72"/>
    <w:rsid w:val="001F3B00"/>
    <w:rsid w:val="001F62D9"/>
    <w:rsid w:val="001F7984"/>
    <w:rsid w:val="00202A19"/>
    <w:rsid w:val="002056C8"/>
    <w:rsid w:val="0021055A"/>
    <w:rsid w:val="00210E0E"/>
    <w:rsid w:val="0021591D"/>
    <w:rsid w:val="00215CE2"/>
    <w:rsid w:val="002226AA"/>
    <w:rsid w:val="00225375"/>
    <w:rsid w:val="002256AE"/>
    <w:rsid w:val="002277C3"/>
    <w:rsid w:val="0023061B"/>
    <w:rsid w:val="00231CD1"/>
    <w:rsid w:val="002351E7"/>
    <w:rsid w:val="0024070A"/>
    <w:rsid w:val="0024247E"/>
    <w:rsid w:val="00242B23"/>
    <w:rsid w:val="00246E7D"/>
    <w:rsid w:val="00247019"/>
    <w:rsid w:val="00247403"/>
    <w:rsid w:val="00247542"/>
    <w:rsid w:val="00250662"/>
    <w:rsid w:val="00250F42"/>
    <w:rsid w:val="002552DF"/>
    <w:rsid w:val="0025532E"/>
    <w:rsid w:val="00256D45"/>
    <w:rsid w:val="00257893"/>
    <w:rsid w:val="0026109F"/>
    <w:rsid w:val="00261687"/>
    <w:rsid w:val="002626A2"/>
    <w:rsid w:val="00262ECA"/>
    <w:rsid w:val="00263B2B"/>
    <w:rsid w:val="00264033"/>
    <w:rsid w:val="00266092"/>
    <w:rsid w:val="00266B61"/>
    <w:rsid w:val="0026712A"/>
    <w:rsid w:val="00267891"/>
    <w:rsid w:val="00267EF0"/>
    <w:rsid w:val="002704DB"/>
    <w:rsid w:val="002704E0"/>
    <w:rsid w:val="00270C7A"/>
    <w:rsid w:val="00272854"/>
    <w:rsid w:val="00272F7D"/>
    <w:rsid w:val="00274F86"/>
    <w:rsid w:val="00275FC9"/>
    <w:rsid w:val="00276646"/>
    <w:rsid w:val="00276C31"/>
    <w:rsid w:val="0028111A"/>
    <w:rsid w:val="002869C6"/>
    <w:rsid w:val="002913A6"/>
    <w:rsid w:val="00292239"/>
    <w:rsid w:val="00292CEC"/>
    <w:rsid w:val="00293B75"/>
    <w:rsid w:val="00297288"/>
    <w:rsid w:val="0029754B"/>
    <w:rsid w:val="002A05B1"/>
    <w:rsid w:val="002A1C6E"/>
    <w:rsid w:val="002A1D6A"/>
    <w:rsid w:val="002A24D4"/>
    <w:rsid w:val="002A2720"/>
    <w:rsid w:val="002B008D"/>
    <w:rsid w:val="002B0BE7"/>
    <w:rsid w:val="002B110C"/>
    <w:rsid w:val="002B30E6"/>
    <w:rsid w:val="002B4B61"/>
    <w:rsid w:val="002C1641"/>
    <w:rsid w:val="002C3312"/>
    <w:rsid w:val="002C58D2"/>
    <w:rsid w:val="002C5A89"/>
    <w:rsid w:val="002D033F"/>
    <w:rsid w:val="002D4CA0"/>
    <w:rsid w:val="002D628F"/>
    <w:rsid w:val="002D7DC4"/>
    <w:rsid w:val="002D7EA2"/>
    <w:rsid w:val="002E03A4"/>
    <w:rsid w:val="002E10DC"/>
    <w:rsid w:val="002E15DF"/>
    <w:rsid w:val="002E187C"/>
    <w:rsid w:val="002E1CDE"/>
    <w:rsid w:val="002E349E"/>
    <w:rsid w:val="002E35D7"/>
    <w:rsid w:val="002E3C15"/>
    <w:rsid w:val="002E432F"/>
    <w:rsid w:val="002E61E7"/>
    <w:rsid w:val="002E6E57"/>
    <w:rsid w:val="002F2D41"/>
    <w:rsid w:val="002F3376"/>
    <w:rsid w:val="002F3598"/>
    <w:rsid w:val="002F414B"/>
    <w:rsid w:val="002F443F"/>
    <w:rsid w:val="002F5E45"/>
    <w:rsid w:val="002F6201"/>
    <w:rsid w:val="00301075"/>
    <w:rsid w:val="0030197A"/>
    <w:rsid w:val="00301F71"/>
    <w:rsid w:val="00302733"/>
    <w:rsid w:val="00304EED"/>
    <w:rsid w:val="0030600F"/>
    <w:rsid w:val="003112C6"/>
    <w:rsid w:val="00311556"/>
    <w:rsid w:val="00311A4F"/>
    <w:rsid w:val="00314078"/>
    <w:rsid w:val="00315905"/>
    <w:rsid w:val="00316559"/>
    <w:rsid w:val="00317255"/>
    <w:rsid w:val="00317E8A"/>
    <w:rsid w:val="00320402"/>
    <w:rsid w:val="00322398"/>
    <w:rsid w:val="00322450"/>
    <w:rsid w:val="003227ED"/>
    <w:rsid w:val="003246B5"/>
    <w:rsid w:val="003249CF"/>
    <w:rsid w:val="00326763"/>
    <w:rsid w:val="003267B5"/>
    <w:rsid w:val="00327501"/>
    <w:rsid w:val="00330196"/>
    <w:rsid w:val="00330E0E"/>
    <w:rsid w:val="00331687"/>
    <w:rsid w:val="0033169F"/>
    <w:rsid w:val="00332152"/>
    <w:rsid w:val="003330D2"/>
    <w:rsid w:val="00336085"/>
    <w:rsid w:val="00337C43"/>
    <w:rsid w:val="003407E0"/>
    <w:rsid w:val="003410A6"/>
    <w:rsid w:val="003414AC"/>
    <w:rsid w:val="003414E6"/>
    <w:rsid w:val="00342070"/>
    <w:rsid w:val="0035485A"/>
    <w:rsid w:val="00356185"/>
    <w:rsid w:val="00357D78"/>
    <w:rsid w:val="00360380"/>
    <w:rsid w:val="00361EB7"/>
    <w:rsid w:val="0036346A"/>
    <w:rsid w:val="00365D52"/>
    <w:rsid w:val="00370DD4"/>
    <w:rsid w:val="00371EFD"/>
    <w:rsid w:val="00372F8E"/>
    <w:rsid w:val="00373790"/>
    <w:rsid w:val="00373D5A"/>
    <w:rsid w:val="003741EF"/>
    <w:rsid w:val="003745F9"/>
    <w:rsid w:val="00374940"/>
    <w:rsid w:val="003759D2"/>
    <w:rsid w:val="00377AD8"/>
    <w:rsid w:val="00380A1D"/>
    <w:rsid w:val="0038209A"/>
    <w:rsid w:val="00382598"/>
    <w:rsid w:val="0038330F"/>
    <w:rsid w:val="00386CF0"/>
    <w:rsid w:val="00386FEA"/>
    <w:rsid w:val="00392571"/>
    <w:rsid w:val="00393C8E"/>
    <w:rsid w:val="00394A5D"/>
    <w:rsid w:val="00396106"/>
    <w:rsid w:val="003964BF"/>
    <w:rsid w:val="003A3C43"/>
    <w:rsid w:val="003A4790"/>
    <w:rsid w:val="003A485E"/>
    <w:rsid w:val="003A4B42"/>
    <w:rsid w:val="003A527A"/>
    <w:rsid w:val="003A52C9"/>
    <w:rsid w:val="003A6019"/>
    <w:rsid w:val="003A632E"/>
    <w:rsid w:val="003A71F1"/>
    <w:rsid w:val="003B6423"/>
    <w:rsid w:val="003B66DC"/>
    <w:rsid w:val="003C32BC"/>
    <w:rsid w:val="003C4BC0"/>
    <w:rsid w:val="003C6480"/>
    <w:rsid w:val="003D0D3E"/>
    <w:rsid w:val="003D2871"/>
    <w:rsid w:val="003D2C7F"/>
    <w:rsid w:val="003D40A7"/>
    <w:rsid w:val="003D4A67"/>
    <w:rsid w:val="003D51A2"/>
    <w:rsid w:val="003D5A38"/>
    <w:rsid w:val="003D5CD7"/>
    <w:rsid w:val="003D5F18"/>
    <w:rsid w:val="003D79BC"/>
    <w:rsid w:val="003E06A3"/>
    <w:rsid w:val="003E0852"/>
    <w:rsid w:val="003E2564"/>
    <w:rsid w:val="003E4E8A"/>
    <w:rsid w:val="003E68BB"/>
    <w:rsid w:val="003F0153"/>
    <w:rsid w:val="003F0434"/>
    <w:rsid w:val="003F1230"/>
    <w:rsid w:val="003F1BBF"/>
    <w:rsid w:val="003F6707"/>
    <w:rsid w:val="003F7161"/>
    <w:rsid w:val="00400EA4"/>
    <w:rsid w:val="00402146"/>
    <w:rsid w:val="004022E4"/>
    <w:rsid w:val="00404333"/>
    <w:rsid w:val="00404EFC"/>
    <w:rsid w:val="00405991"/>
    <w:rsid w:val="00406721"/>
    <w:rsid w:val="00406CB6"/>
    <w:rsid w:val="0040735D"/>
    <w:rsid w:val="00407F3D"/>
    <w:rsid w:val="00413B37"/>
    <w:rsid w:val="00415BAE"/>
    <w:rsid w:val="004165C2"/>
    <w:rsid w:val="00416872"/>
    <w:rsid w:val="00417263"/>
    <w:rsid w:val="00417356"/>
    <w:rsid w:val="0041797E"/>
    <w:rsid w:val="00426DB7"/>
    <w:rsid w:val="00427406"/>
    <w:rsid w:val="0042749C"/>
    <w:rsid w:val="00432731"/>
    <w:rsid w:val="00436C66"/>
    <w:rsid w:val="004413C0"/>
    <w:rsid w:val="00441D48"/>
    <w:rsid w:val="00442F23"/>
    <w:rsid w:val="00444596"/>
    <w:rsid w:val="00445C74"/>
    <w:rsid w:val="0044706E"/>
    <w:rsid w:val="00447B8F"/>
    <w:rsid w:val="00450A4A"/>
    <w:rsid w:val="00450D96"/>
    <w:rsid w:val="00453466"/>
    <w:rsid w:val="0045481D"/>
    <w:rsid w:val="00457228"/>
    <w:rsid w:val="0045757F"/>
    <w:rsid w:val="00457B89"/>
    <w:rsid w:val="0046041C"/>
    <w:rsid w:val="0046072C"/>
    <w:rsid w:val="0046208F"/>
    <w:rsid w:val="00462248"/>
    <w:rsid w:val="00462F9A"/>
    <w:rsid w:val="004666FB"/>
    <w:rsid w:val="00467B7E"/>
    <w:rsid w:val="0047006D"/>
    <w:rsid w:val="00471BC8"/>
    <w:rsid w:val="004730AF"/>
    <w:rsid w:val="004815EB"/>
    <w:rsid w:val="00482208"/>
    <w:rsid w:val="00483146"/>
    <w:rsid w:val="00484B2F"/>
    <w:rsid w:val="00484F80"/>
    <w:rsid w:val="004850C2"/>
    <w:rsid w:val="004907E1"/>
    <w:rsid w:val="00490BE7"/>
    <w:rsid w:val="0049419D"/>
    <w:rsid w:val="00495029"/>
    <w:rsid w:val="00495396"/>
    <w:rsid w:val="00495CD7"/>
    <w:rsid w:val="004962B8"/>
    <w:rsid w:val="00496687"/>
    <w:rsid w:val="00496C69"/>
    <w:rsid w:val="00496DBC"/>
    <w:rsid w:val="0049749D"/>
    <w:rsid w:val="004977D3"/>
    <w:rsid w:val="00497D68"/>
    <w:rsid w:val="004A17A5"/>
    <w:rsid w:val="004A1EEA"/>
    <w:rsid w:val="004A2280"/>
    <w:rsid w:val="004A37A5"/>
    <w:rsid w:val="004A3806"/>
    <w:rsid w:val="004A3DC4"/>
    <w:rsid w:val="004A4DB0"/>
    <w:rsid w:val="004A514F"/>
    <w:rsid w:val="004B2762"/>
    <w:rsid w:val="004B388C"/>
    <w:rsid w:val="004B45B7"/>
    <w:rsid w:val="004B4C1B"/>
    <w:rsid w:val="004B4E6F"/>
    <w:rsid w:val="004B6B2E"/>
    <w:rsid w:val="004B7EB6"/>
    <w:rsid w:val="004C17B4"/>
    <w:rsid w:val="004C4B62"/>
    <w:rsid w:val="004C77DC"/>
    <w:rsid w:val="004D0229"/>
    <w:rsid w:val="004D4782"/>
    <w:rsid w:val="004D4A6A"/>
    <w:rsid w:val="004D6025"/>
    <w:rsid w:val="004D657F"/>
    <w:rsid w:val="004D72BC"/>
    <w:rsid w:val="004D78B4"/>
    <w:rsid w:val="004E2452"/>
    <w:rsid w:val="004F0842"/>
    <w:rsid w:val="004F16E8"/>
    <w:rsid w:val="004F2694"/>
    <w:rsid w:val="004F2FC4"/>
    <w:rsid w:val="004F3905"/>
    <w:rsid w:val="004F441A"/>
    <w:rsid w:val="004F4C1C"/>
    <w:rsid w:val="004F530D"/>
    <w:rsid w:val="004F69EA"/>
    <w:rsid w:val="005008C7"/>
    <w:rsid w:val="00501399"/>
    <w:rsid w:val="00501DFB"/>
    <w:rsid w:val="00503C4C"/>
    <w:rsid w:val="0050536C"/>
    <w:rsid w:val="005066A4"/>
    <w:rsid w:val="00507534"/>
    <w:rsid w:val="00507BC4"/>
    <w:rsid w:val="00510311"/>
    <w:rsid w:val="005128E4"/>
    <w:rsid w:val="00512A35"/>
    <w:rsid w:val="00513229"/>
    <w:rsid w:val="005223AF"/>
    <w:rsid w:val="00523977"/>
    <w:rsid w:val="00524268"/>
    <w:rsid w:val="00525278"/>
    <w:rsid w:val="00525560"/>
    <w:rsid w:val="00525F05"/>
    <w:rsid w:val="005267AC"/>
    <w:rsid w:val="00530B2B"/>
    <w:rsid w:val="00531008"/>
    <w:rsid w:val="005325F6"/>
    <w:rsid w:val="005346E1"/>
    <w:rsid w:val="005357A6"/>
    <w:rsid w:val="0053592E"/>
    <w:rsid w:val="00535FF9"/>
    <w:rsid w:val="005366E5"/>
    <w:rsid w:val="005367D0"/>
    <w:rsid w:val="00536B9E"/>
    <w:rsid w:val="005401F2"/>
    <w:rsid w:val="005439C3"/>
    <w:rsid w:val="00544C49"/>
    <w:rsid w:val="005456B2"/>
    <w:rsid w:val="0054591A"/>
    <w:rsid w:val="00547EB7"/>
    <w:rsid w:val="00550141"/>
    <w:rsid w:val="0055160C"/>
    <w:rsid w:val="005531BB"/>
    <w:rsid w:val="0055322F"/>
    <w:rsid w:val="00554BAB"/>
    <w:rsid w:val="005557F2"/>
    <w:rsid w:val="00557C07"/>
    <w:rsid w:val="00562E4A"/>
    <w:rsid w:val="005633E7"/>
    <w:rsid w:val="005706EF"/>
    <w:rsid w:val="0057402A"/>
    <w:rsid w:val="00574148"/>
    <w:rsid w:val="005764DD"/>
    <w:rsid w:val="00576832"/>
    <w:rsid w:val="00576EEB"/>
    <w:rsid w:val="005771D0"/>
    <w:rsid w:val="00584C28"/>
    <w:rsid w:val="00590C43"/>
    <w:rsid w:val="005910C0"/>
    <w:rsid w:val="0059191A"/>
    <w:rsid w:val="00591B96"/>
    <w:rsid w:val="005921FF"/>
    <w:rsid w:val="005937E2"/>
    <w:rsid w:val="00596514"/>
    <w:rsid w:val="00596AD3"/>
    <w:rsid w:val="0059770B"/>
    <w:rsid w:val="005A0410"/>
    <w:rsid w:val="005A2E9B"/>
    <w:rsid w:val="005A6D0E"/>
    <w:rsid w:val="005A734E"/>
    <w:rsid w:val="005B222D"/>
    <w:rsid w:val="005B4672"/>
    <w:rsid w:val="005B52B0"/>
    <w:rsid w:val="005B67DE"/>
    <w:rsid w:val="005B6806"/>
    <w:rsid w:val="005C00F9"/>
    <w:rsid w:val="005C05FA"/>
    <w:rsid w:val="005C164F"/>
    <w:rsid w:val="005C1853"/>
    <w:rsid w:val="005C1D8E"/>
    <w:rsid w:val="005C23BD"/>
    <w:rsid w:val="005C3149"/>
    <w:rsid w:val="005C4225"/>
    <w:rsid w:val="005C4AF4"/>
    <w:rsid w:val="005D0AC5"/>
    <w:rsid w:val="005D0FBF"/>
    <w:rsid w:val="005D50AD"/>
    <w:rsid w:val="005D6A03"/>
    <w:rsid w:val="005D6B2C"/>
    <w:rsid w:val="005D7280"/>
    <w:rsid w:val="005E2BDE"/>
    <w:rsid w:val="005E5258"/>
    <w:rsid w:val="005E5419"/>
    <w:rsid w:val="005E69EC"/>
    <w:rsid w:val="005E6C0C"/>
    <w:rsid w:val="005E6EE3"/>
    <w:rsid w:val="005E74C5"/>
    <w:rsid w:val="005F0F33"/>
    <w:rsid w:val="005F1C54"/>
    <w:rsid w:val="005F2A0D"/>
    <w:rsid w:val="005F32A0"/>
    <w:rsid w:val="005F5456"/>
    <w:rsid w:val="005F7C35"/>
    <w:rsid w:val="0060040E"/>
    <w:rsid w:val="006005C1"/>
    <w:rsid w:val="00600DEB"/>
    <w:rsid w:val="00602146"/>
    <w:rsid w:val="00604B83"/>
    <w:rsid w:val="006112EF"/>
    <w:rsid w:val="00613027"/>
    <w:rsid w:val="00613120"/>
    <w:rsid w:val="00613A08"/>
    <w:rsid w:val="0061412F"/>
    <w:rsid w:val="00614153"/>
    <w:rsid w:val="00614AE8"/>
    <w:rsid w:val="00615073"/>
    <w:rsid w:val="00616320"/>
    <w:rsid w:val="006225B7"/>
    <w:rsid w:val="00623324"/>
    <w:rsid w:val="006238CB"/>
    <w:rsid w:val="006247DB"/>
    <w:rsid w:val="00626360"/>
    <w:rsid w:val="006279E6"/>
    <w:rsid w:val="00627A51"/>
    <w:rsid w:val="00627C9F"/>
    <w:rsid w:val="006307DF"/>
    <w:rsid w:val="00630B42"/>
    <w:rsid w:val="006311DA"/>
    <w:rsid w:val="006311E9"/>
    <w:rsid w:val="00632354"/>
    <w:rsid w:val="00632429"/>
    <w:rsid w:val="00632BF2"/>
    <w:rsid w:val="00636406"/>
    <w:rsid w:val="00636E0C"/>
    <w:rsid w:val="00637539"/>
    <w:rsid w:val="00637B7B"/>
    <w:rsid w:val="00637E84"/>
    <w:rsid w:val="006418C1"/>
    <w:rsid w:val="006420B7"/>
    <w:rsid w:val="00642810"/>
    <w:rsid w:val="006458AD"/>
    <w:rsid w:val="0064712F"/>
    <w:rsid w:val="0064793C"/>
    <w:rsid w:val="00650FA3"/>
    <w:rsid w:val="00652333"/>
    <w:rsid w:val="006549A4"/>
    <w:rsid w:val="0065765B"/>
    <w:rsid w:val="00657A8A"/>
    <w:rsid w:val="006605AC"/>
    <w:rsid w:val="00662F5D"/>
    <w:rsid w:val="006634C1"/>
    <w:rsid w:val="00664DDE"/>
    <w:rsid w:val="00666536"/>
    <w:rsid w:val="0067472A"/>
    <w:rsid w:val="00677938"/>
    <w:rsid w:val="0068009E"/>
    <w:rsid w:val="00684434"/>
    <w:rsid w:val="006847BC"/>
    <w:rsid w:val="006849BF"/>
    <w:rsid w:val="00687725"/>
    <w:rsid w:val="0069244C"/>
    <w:rsid w:val="00692A55"/>
    <w:rsid w:val="0069578C"/>
    <w:rsid w:val="006A0548"/>
    <w:rsid w:val="006A0F00"/>
    <w:rsid w:val="006A0F77"/>
    <w:rsid w:val="006A17D2"/>
    <w:rsid w:val="006A508B"/>
    <w:rsid w:val="006A58D1"/>
    <w:rsid w:val="006A70B4"/>
    <w:rsid w:val="006A73E6"/>
    <w:rsid w:val="006B130C"/>
    <w:rsid w:val="006B17B3"/>
    <w:rsid w:val="006B248C"/>
    <w:rsid w:val="006B2623"/>
    <w:rsid w:val="006B295E"/>
    <w:rsid w:val="006B2D5C"/>
    <w:rsid w:val="006B4E2D"/>
    <w:rsid w:val="006B544B"/>
    <w:rsid w:val="006C0F5D"/>
    <w:rsid w:val="006C1815"/>
    <w:rsid w:val="006C2346"/>
    <w:rsid w:val="006C2B38"/>
    <w:rsid w:val="006C4EB1"/>
    <w:rsid w:val="006C6E31"/>
    <w:rsid w:val="006C7E62"/>
    <w:rsid w:val="006D0195"/>
    <w:rsid w:val="006D0424"/>
    <w:rsid w:val="006D1132"/>
    <w:rsid w:val="006D135C"/>
    <w:rsid w:val="006D33C2"/>
    <w:rsid w:val="006D48BB"/>
    <w:rsid w:val="006D6E36"/>
    <w:rsid w:val="006D7976"/>
    <w:rsid w:val="006E00AB"/>
    <w:rsid w:val="006E0166"/>
    <w:rsid w:val="006E35A0"/>
    <w:rsid w:val="006E3C05"/>
    <w:rsid w:val="006E3F74"/>
    <w:rsid w:val="006E4B61"/>
    <w:rsid w:val="006E4CCE"/>
    <w:rsid w:val="006E4DF5"/>
    <w:rsid w:val="006E6048"/>
    <w:rsid w:val="006E6C78"/>
    <w:rsid w:val="006E6F1E"/>
    <w:rsid w:val="006E7B34"/>
    <w:rsid w:val="006F6FCB"/>
    <w:rsid w:val="006F7488"/>
    <w:rsid w:val="0070045F"/>
    <w:rsid w:val="00700471"/>
    <w:rsid w:val="00700C65"/>
    <w:rsid w:val="00701610"/>
    <w:rsid w:val="00701B24"/>
    <w:rsid w:val="00702565"/>
    <w:rsid w:val="0070267B"/>
    <w:rsid w:val="00702A7C"/>
    <w:rsid w:val="00702EA5"/>
    <w:rsid w:val="0070404E"/>
    <w:rsid w:val="00704098"/>
    <w:rsid w:val="0070603C"/>
    <w:rsid w:val="00706698"/>
    <w:rsid w:val="00707486"/>
    <w:rsid w:val="00707651"/>
    <w:rsid w:val="00707E8E"/>
    <w:rsid w:val="00715928"/>
    <w:rsid w:val="00716BEC"/>
    <w:rsid w:val="00716D62"/>
    <w:rsid w:val="00717B70"/>
    <w:rsid w:val="0072130B"/>
    <w:rsid w:val="007237C3"/>
    <w:rsid w:val="007247E2"/>
    <w:rsid w:val="00727D80"/>
    <w:rsid w:val="00730731"/>
    <w:rsid w:val="007400D8"/>
    <w:rsid w:val="007433B0"/>
    <w:rsid w:val="0074535C"/>
    <w:rsid w:val="0074572F"/>
    <w:rsid w:val="00745899"/>
    <w:rsid w:val="00750078"/>
    <w:rsid w:val="00750BB6"/>
    <w:rsid w:val="007538FC"/>
    <w:rsid w:val="00754A2A"/>
    <w:rsid w:val="007570FA"/>
    <w:rsid w:val="00757F66"/>
    <w:rsid w:val="007607C4"/>
    <w:rsid w:val="007607EC"/>
    <w:rsid w:val="00761A58"/>
    <w:rsid w:val="00765584"/>
    <w:rsid w:val="0076643F"/>
    <w:rsid w:val="00771205"/>
    <w:rsid w:val="007744CC"/>
    <w:rsid w:val="007771C5"/>
    <w:rsid w:val="007776FF"/>
    <w:rsid w:val="0078069F"/>
    <w:rsid w:val="00781C89"/>
    <w:rsid w:val="007820BB"/>
    <w:rsid w:val="00784600"/>
    <w:rsid w:val="00784DE5"/>
    <w:rsid w:val="00784FEC"/>
    <w:rsid w:val="0078587E"/>
    <w:rsid w:val="0078595F"/>
    <w:rsid w:val="00785F8D"/>
    <w:rsid w:val="00795940"/>
    <w:rsid w:val="00795E01"/>
    <w:rsid w:val="007977A5"/>
    <w:rsid w:val="007A17C8"/>
    <w:rsid w:val="007A2EC7"/>
    <w:rsid w:val="007A2F70"/>
    <w:rsid w:val="007A3478"/>
    <w:rsid w:val="007A4980"/>
    <w:rsid w:val="007A57A6"/>
    <w:rsid w:val="007A7003"/>
    <w:rsid w:val="007A7F31"/>
    <w:rsid w:val="007B1B6A"/>
    <w:rsid w:val="007B2769"/>
    <w:rsid w:val="007B3C72"/>
    <w:rsid w:val="007B430B"/>
    <w:rsid w:val="007B4C00"/>
    <w:rsid w:val="007C10AC"/>
    <w:rsid w:val="007C16AB"/>
    <w:rsid w:val="007C3334"/>
    <w:rsid w:val="007C50F6"/>
    <w:rsid w:val="007C52BB"/>
    <w:rsid w:val="007C5476"/>
    <w:rsid w:val="007C58E8"/>
    <w:rsid w:val="007C7402"/>
    <w:rsid w:val="007C757E"/>
    <w:rsid w:val="007C798F"/>
    <w:rsid w:val="007D0207"/>
    <w:rsid w:val="007D2B98"/>
    <w:rsid w:val="007D2FEE"/>
    <w:rsid w:val="007D3E9B"/>
    <w:rsid w:val="007D4C93"/>
    <w:rsid w:val="007D4FA5"/>
    <w:rsid w:val="007E42C4"/>
    <w:rsid w:val="007E4368"/>
    <w:rsid w:val="007E6DAC"/>
    <w:rsid w:val="007F074A"/>
    <w:rsid w:val="007F410D"/>
    <w:rsid w:val="007F4B82"/>
    <w:rsid w:val="007F4F2C"/>
    <w:rsid w:val="007F4FE2"/>
    <w:rsid w:val="00803F1C"/>
    <w:rsid w:val="0080600E"/>
    <w:rsid w:val="00806F7E"/>
    <w:rsid w:val="0081181A"/>
    <w:rsid w:val="00817612"/>
    <w:rsid w:val="00817D2F"/>
    <w:rsid w:val="00820D73"/>
    <w:rsid w:val="008215C0"/>
    <w:rsid w:val="00823A91"/>
    <w:rsid w:val="00825B7F"/>
    <w:rsid w:val="00827DB7"/>
    <w:rsid w:val="00835F5A"/>
    <w:rsid w:val="00837C45"/>
    <w:rsid w:val="008414A3"/>
    <w:rsid w:val="008448F6"/>
    <w:rsid w:val="00845C1A"/>
    <w:rsid w:val="00846865"/>
    <w:rsid w:val="00847A8B"/>
    <w:rsid w:val="00853419"/>
    <w:rsid w:val="00860233"/>
    <w:rsid w:val="00861972"/>
    <w:rsid w:val="00861EC2"/>
    <w:rsid w:val="008628FD"/>
    <w:rsid w:val="00864785"/>
    <w:rsid w:val="008678EF"/>
    <w:rsid w:val="00871372"/>
    <w:rsid w:val="00871EBE"/>
    <w:rsid w:val="008741A2"/>
    <w:rsid w:val="00874BEE"/>
    <w:rsid w:val="00875ABB"/>
    <w:rsid w:val="00875EC6"/>
    <w:rsid w:val="00877E1B"/>
    <w:rsid w:val="00880B21"/>
    <w:rsid w:val="00880F95"/>
    <w:rsid w:val="0088385A"/>
    <w:rsid w:val="00883EA4"/>
    <w:rsid w:val="00884270"/>
    <w:rsid w:val="008869BA"/>
    <w:rsid w:val="008903D5"/>
    <w:rsid w:val="008917C2"/>
    <w:rsid w:val="008945B4"/>
    <w:rsid w:val="0089514B"/>
    <w:rsid w:val="008969D3"/>
    <w:rsid w:val="00897E12"/>
    <w:rsid w:val="008A065A"/>
    <w:rsid w:val="008A3434"/>
    <w:rsid w:val="008A36FA"/>
    <w:rsid w:val="008A6DA2"/>
    <w:rsid w:val="008A7F97"/>
    <w:rsid w:val="008A7FC7"/>
    <w:rsid w:val="008B25FC"/>
    <w:rsid w:val="008B2DA9"/>
    <w:rsid w:val="008B3466"/>
    <w:rsid w:val="008B5124"/>
    <w:rsid w:val="008C00EE"/>
    <w:rsid w:val="008C2789"/>
    <w:rsid w:val="008C606A"/>
    <w:rsid w:val="008C6FC4"/>
    <w:rsid w:val="008D307A"/>
    <w:rsid w:val="008D43BA"/>
    <w:rsid w:val="008D7317"/>
    <w:rsid w:val="008D7DF4"/>
    <w:rsid w:val="008E10AE"/>
    <w:rsid w:val="008E3759"/>
    <w:rsid w:val="008E53E4"/>
    <w:rsid w:val="008F2A35"/>
    <w:rsid w:val="008F2E1C"/>
    <w:rsid w:val="008F3BF9"/>
    <w:rsid w:val="008F4101"/>
    <w:rsid w:val="008F4522"/>
    <w:rsid w:val="008F559D"/>
    <w:rsid w:val="008F7B4C"/>
    <w:rsid w:val="009041DC"/>
    <w:rsid w:val="009047EE"/>
    <w:rsid w:val="00904B4B"/>
    <w:rsid w:val="0090668D"/>
    <w:rsid w:val="009104B4"/>
    <w:rsid w:val="00912642"/>
    <w:rsid w:val="00915CDE"/>
    <w:rsid w:val="00915FDE"/>
    <w:rsid w:val="0091677E"/>
    <w:rsid w:val="00922A9F"/>
    <w:rsid w:val="00923920"/>
    <w:rsid w:val="00924F0A"/>
    <w:rsid w:val="00925FCD"/>
    <w:rsid w:val="00927B0B"/>
    <w:rsid w:val="0093035E"/>
    <w:rsid w:val="0093441A"/>
    <w:rsid w:val="00934829"/>
    <w:rsid w:val="009356F2"/>
    <w:rsid w:val="00935735"/>
    <w:rsid w:val="009359E3"/>
    <w:rsid w:val="00935A29"/>
    <w:rsid w:val="0093673E"/>
    <w:rsid w:val="00936C4F"/>
    <w:rsid w:val="009412E0"/>
    <w:rsid w:val="0094199B"/>
    <w:rsid w:val="009435DC"/>
    <w:rsid w:val="0094702E"/>
    <w:rsid w:val="00950D77"/>
    <w:rsid w:val="00952CAA"/>
    <w:rsid w:val="0095466D"/>
    <w:rsid w:val="00954BF7"/>
    <w:rsid w:val="009554F0"/>
    <w:rsid w:val="00955EA3"/>
    <w:rsid w:val="0095641C"/>
    <w:rsid w:val="00957A32"/>
    <w:rsid w:val="009653A0"/>
    <w:rsid w:val="00965F42"/>
    <w:rsid w:val="009660BF"/>
    <w:rsid w:val="009668D9"/>
    <w:rsid w:val="0096706E"/>
    <w:rsid w:val="00967ECF"/>
    <w:rsid w:val="009714F6"/>
    <w:rsid w:val="00973675"/>
    <w:rsid w:val="009753D7"/>
    <w:rsid w:val="00981FBA"/>
    <w:rsid w:val="009843A2"/>
    <w:rsid w:val="00986129"/>
    <w:rsid w:val="00986662"/>
    <w:rsid w:val="00986AEE"/>
    <w:rsid w:val="009879D3"/>
    <w:rsid w:val="00987CEE"/>
    <w:rsid w:val="009937A7"/>
    <w:rsid w:val="009967AF"/>
    <w:rsid w:val="0099714E"/>
    <w:rsid w:val="00997E99"/>
    <w:rsid w:val="009A03E7"/>
    <w:rsid w:val="009A0816"/>
    <w:rsid w:val="009A0B09"/>
    <w:rsid w:val="009A0F04"/>
    <w:rsid w:val="009A1A5D"/>
    <w:rsid w:val="009A2A99"/>
    <w:rsid w:val="009A6130"/>
    <w:rsid w:val="009B1206"/>
    <w:rsid w:val="009B1525"/>
    <w:rsid w:val="009B2F9E"/>
    <w:rsid w:val="009B381B"/>
    <w:rsid w:val="009B5129"/>
    <w:rsid w:val="009B541A"/>
    <w:rsid w:val="009B61B2"/>
    <w:rsid w:val="009B74A4"/>
    <w:rsid w:val="009C1691"/>
    <w:rsid w:val="009C1D8B"/>
    <w:rsid w:val="009C6ECA"/>
    <w:rsid w:val="009C78F9"/>
    <w:rsid w:val="009D0946"/>
    <w:rsid w:val="009D0DEE"/>
    <w:rsid w:val="009D15C7"/>
    <w:rsid w:val="009D2342"/>
    <w:rsid w:val="009D280B"/>
    <w:rsid w:val="009D3728"/>
    <w:rsid w:val="009D6116"/>
    <w:rsid w:val="009D7611"/>
    <w:rsid w:val="009E3488"/>
    <w:rsid w:val="009E3847"/>
    <w:rsid w:val="009E3ABD"/>
    <w:rsid w:val="009E4906"/>
    <w:rsid w:val="009E53DE"/>
    <w:rsid w:val="009F114F"/>
    <w:rsid w:val="009F1ED5"/>
    <w:rsid w:val="009F24AF"/>
    <w:rsid w:val="009F297A"/>
    <w:rsid w:val="009F7113"/>
    <w:rsid w:val="009F76DF"/>
    <w:rsid w:val="009F7E8F"/>
    <w:rsid w:val="00A03B6C"/>
    <w:rsid w:val="00A03DA5"/>
    <w:rsid w:val="00A10246"/>
    <w:rsid w:val="00A10450"/>
    <w:rsid w:val="00A13A94"/>
    <w:rsid w:val="00A14D37"/>
    <w:rsid w:val="00A15A9B"/>
    <w:rsid w:val="00A163A4"/>
    <w:rsid w:val="00A1688B"/>
    <w:rsid w:val="00A17E82"/>
    <w:rsid w:val="00A20B65"/>
    <w:rsid w:val="00A20F5F"/>
    <w:rsid w:val="00A225F4"/>
    <w:rsid w:val="00A22B7B"/>
    <w:rsid w:val="00A23924"/>
    <w:rsid w:val="00A24331"/>
    <w:rsid w:val="00A2456A"/>
    <w:rsid w:val="00A34273"/>
    <w:rsid w:val="00A36E16"/>
    <w:rsid w:val="00A40CED"/>
    <w:rsid w:val="00A43458"/>
    <w:rsid w:val="00A438F6"/>
    <w:rsid w:val="00A445B3"/>
    <w:rsid w:val="00A46D01"/>
    <w:rsid w:val="00A50201"/>
    <w:rsid w:val="00A5028C"/>
    <w:rsid w:val="00A5251F"/>
    <w:rsid w:val="00A527E1"/>
    <w:rsid w:val="00A528D1"/>
    <w:rsid w:val="00A53D23"/>
    <w:rsid w:val="00A542D1"/>
    <w:rsid w:val="00A54E22"/>
    <w:rsid w:val="00A60093"/>
    <w:rsid w:val="00A63958"/>
    <w:rsid w:val="00A63F8A"/>
    <w:rsid w:val="00A64DA8"/>
    <w:rsid w:val="00A64F5F"/>
    <w:rsid w:val="00A650D1"/>
    <w:rsid w:val="00A66BE5"/>
    <w:rsid w:val="00A70FA6"/>
    <w:rsid w:val="00A774E2"/>
    <w:rsid w:val="00A83588"/>
    <w:rsid w:val="00A84B01"/>
    <w:rsid w:val="00A871CA"/>
    <w:rsid w:val="00A87FF5"/>
    <w:rsid w:val="00A91F89"/>
    <w:rsid w:val="00A92DCA"/>
    <w:rsid w:val="00A978E7"/>
    <w:rsid w:val="00A97CDE"/>
    <w:rsid w:val="00AA23D3"/>
    <w:rsid w:val="00AA427A"/>
    <w:rsid w:val="00AA5C88"/>
    <w:rsid w:val="00AB55B8"/>
    <w:rsid w:val="00AB6166"/>
    <w:rsid w:val="00AC388E"/>
    <w:rsid w:val="00AC4106"/>
    <w:rsid w:val="00AC4E50"/>
    <w:rsid w:val="00AC7F4D"/>
    <w:rsid w:val="00AD1E27"/>
    <w:rsid w:val="00AD34D9"/>
    <w:rsid w:val="00AD37C1"/>
    <w:rsid w:val="00AD38E9"/>
    <w:rsid w:val="00AD4435"/>
    <w:rsid w:val="00AD4E05"/>
    <w:rsid w:val="00AD7A33"/>
    <w:rsid w:val="00AE15A9"/>
    <w:rsid w:val="00AE66EC"/>
    <w:rsid w:val="00AE6AE5"/>
    <w:rsid w:val="00AE6F91"/>
    <w:rsid w:val="00AF5571"/>
    <w:rsid w:val="00AF79FA"/>
    <w:rsid w:val="00B016BF"/>
    <w:rsid w:val="00B033E8"/>
    <w:rsid w:val="00B06BF4"/>
    <w:rsid w:val="00B124E6"/>
    <w:rsid w:val="00B167E9"/>
    <w:rsid w:val="00B1724A"/>
    <w:rsid w:val="00B20B83"/>
    <w:rsid w:val="00B21BC5"/>
    <w:rsid w:val="00B2728E"/>
    <w:rsid w:val="00B30278"/>
    <w:rsid w:val="00B314DB"/>
    <w:rsid w:val="00B31EBE"/>
    <w:rsid w:val="00B3718B"/>
    <w:rsid w:val="00B41AAC"/>
    <w:rsid w:val="00B424CD"/>
    <w:rsid w:val="00B42ABC"/>
    <w:rsid w:val="00B43E7C"/>
    <w:rsid w:val="00B44F4C"/>
    <w:rsid w:val="00B45BE7"/>
    <w:rsid w:val="00B46313"/>
    <w:rsid w:val="00B4632A"/>
    <w:rsid w:val="00B478B1"/>
    <w:rsid w:val="00B515A8"/>
    <w:rsid w:val="00B574EE"/>
    <w:rsid w:val="00B575D6"/>
    <w:rsid w:val="00B62894"/>
    <w:rsid w:val="00B63572"/>
    <w:rsid w:val="00B63577"/>
    <w:rsid w:val="00B673F4"/>
    <w:rsid w:val="00B67517"/>
    <w:rsid w:val="00B70462"/>
    <w:rsid w:val="00B75D57"/>
    <w:rsid w:val="00B765F1"/>
    <w:rsid w:val="00B77B09"/>
    <w:rsid w:val="00B85B6B"/>
    <w:rsid w:val="00B868A4"/>
    <w:rsid w:val="00B86C8F"/>
    <w:rsid w:val="00B90178"/>
    <w:rsid w:val="00B926B1"/>
    <w:rsid w:val="00B933E4"/>
    <w:rsid w:val="00BA0E3E"/>
    <w:rsid w:val="00BA11D2"/>
    <w:rsid w:val="00BA198F"/>
    <w:rsid w:val="00BA276C"/>
    <w:rsid w:val="00BA3133"/>
    <w:rsid w:val="00BA5B71"/>
    <w:rsid w:val="00BA7984"/>
    <w:rsid w:val="00BB285D"/>
    <w:rsid w:val="00BB306F"/>
    <w:rsid w:val="00BB3466"/>
    <w:rsid w:val="00BB356D"/>
    <w:rsid w:val="00BB5A59"/>
    <w:rsid w:val="00BB6D96"/>
    <w:rsid w:val="00BB78FE"/>
    <w:rsid w:val="00BB7B0A"/>
    <w:rsid w:val="00BB7C52"/>
    <w:rsid w:val="00BC2154"/>
    <w:rsid w:val="00BC35EB"/>
    <w:rsid w:val="00BC6FB1"/>
    <w:rsid w:val="00BC73B5"/>
    <w:rsid w:val="00BD10AC"/>
    <w:rsid w:val="00BD232B"/>
    <w:rsid w:val="00BD2C5B"/>
    <w:rsid w:val="00BD4B89"/>
    <w:rsid w:val="00BD5B66"/>
    <w:rsid w:val="00BD7F14"/>
    <w:rsid w:val="00BE0098"/>
    <w:rsid w:val="00BE014C"/>
    <w:rsid w:val="00BE1438"/>
    <w:rsid w:val="00BE35D9"/>
    <w:rsid w:val="00BE4872"/>
    <w:rsid w:val="00BE6182"/>
    <w:rsid w:val="00BE6B74"/>
    <w:rsid w:val="00BE7E23"/>
    <w:rsid w:val="00BF0063"/>
    <w:rsid w:val="00BF08CB"/>
    <w:rsid w:val="00BF1F10"/>
    <w:rsid w:val="00BF4865"/>
    <w:rsid w:val="00BF4AF7"/>
    <w:rsid w:val="00C0028D"/>
    <w:rsid w:val="00C01451"/>
    <w:rsid w:val="00C03A29"/>
    <w:rsid w:val="00C04DFB"/>
    <w:rsid w:val="00C070BA"/>
    <w:rsid w:val="00C07884"/>
    <w:rsid w:val="00C101BC"/>
    <w:rsid w:val="00C14557"/>
    <w:rsid w:val="00C14701"/>
    <w:rsid w:val="00C14CE0"/>
    <w:rsid w:val="00C16D95"/>
    <w:rsid w:val="00C2142B"/>
    <w:rsid w:val="00C21762"/>
    <w:rsid w:val="00C23BA8"/>
    <w:rsid w:val="00C24543"/>
    <w:rsid w:val="00C256A2"/>
    <w:rsid w:val="00C31770"/>
    <w:rsid w:val="00C3238A"/>
    <w:rsid w:val="00C32A61"/>
    <w:rsid w:val="00C338B0"/>
    <w:rsid w:val="00C33EB0"/>
    <w:rsid w:val="00C3492D"/>
    <w:rsid w:val="00C36E35"/>
    <w:rsid w:val="00C41AB9"/>
    <w:rsid w:val="00C423E4"/>
    <w:rsid w:val="00C43FC7"/>
    <w:rsid w:val="00C443E8"/>
    <w:rsid w:val="00C44886"/>
    <w:rsid w:val="00C4696E"/>
    <w:rsid w:val="00C506EB"/>
    <w:rsid w:val="00C50C1E"/>
    <w:rsid w:val="00C546AB"/>
    <w:rsid w:val="00C548FA"/>
    <w:rsid w:val="00C55378"/>
    <w:rsid w:val="00C55560"/>
    <w:rsid w:val="00C66B72"/>
    <w:rsid w:val="00C674CD"/>
    <w:rsid w:val="00C67F18"/>
    <w:rsid w:val="00C714BB"/>
    <w:rsid w:val="00C7281A"/>
    <w:rsid w:val="00C7526E"/>
    <w:rsid w:val="00C75A4F"/>
    <w:rsid w:val="00C75E68"/>
    <w:rsid w:val="00C76135"/>
    <w:rsid w:val="00C768EA"/>
    <w:rsid w:val="00C81339"/>
    <w:rsid w:val="00C82B0B"/>
    <w:rsid w:val="00C84B0E"/>
    <w:rsid w:val="00C84E16"/>
    <w:rsid w:val="00C850FD"/>
    <w:rsid w:val="00C85CF6"/>
    <w:rsid w:val="00C85DDE"/>
    <w:rsid w:val="00C86C06"/>
    <w:rsid w:val="00C8737F"/>
    <w:rsid w:val="00C92CF7"/>
    <w:rsid w:val="00C94BF5"/>
    <w:rsid w:val="00C9567A"/>
    <w:rsid w:val="00C95BF6"/>
    <w:rsid w:val="00CA249C"/>
    <w:rsid w:val="00CA28C5"/>
    <w:rsid w:val="00CA44E8"/>
    <w:rsid w:val="00CA61E3"/>
    <w:rsid w:val="00CA6E49"/>
    <w:rsid w:val="00CB17C1"/>
    <w:rsid w:val="00CB2660"/>
    <w:rsid w:val="00CB3827"/>
    <w:rsid w:val="00CB3A1A"/>
    <w:rsid w:val="00CB712B"/>
    <w:rsid w:val="00CB7A42"/>
    <w:rsid w:val="00CC30E5"/>
    <w:rsid w:val="00CC5E90"/>
    <w:rsid w:val="00CD046C"/>
    <w:rsid w:val="00CD6BCF"/>
    <w:rsid w:val="00CD7D32"/>
    <w:rsid w:val="00CE1390"/>
    <w:rsid w:val="00CE4868"/>
    <w:rsid w:val="00CE5199"/>
    <w:rsid w:val="00CE66D5"/>
    <w:rsid w:val="00CF2824"/>
    <w:rsid w:val="00CF3EBB"/>
    <w:rsid w:val="00CF4138"/>
    <w:rsid w:val="00CF6D40"/>
    <w:rsid w:val="00D01A32"/>
    <w:rsid w:val="00D03633"/>
    <w:rsid w:val="00D03C39"/>
    <w:rsid w:val="00D04674"/>
    <w:rsid w:val="00D0799B"/>
    <w:rsid w:val="00D07A1B"/>
    <w:rsid w:val="00D11888"/>
    <w:rsid w:val="00D118E5"/>
    <w:rsid w:val="00D16C41"/>
    <w:rsid w:val="00D211D9"/>
    <w:rsid w:val="00D2131F"/>
    <w:rsid w:val="00D21D95"/>
    <w:rsid w:val="00D21DA2"/>
    <w:rsid w:val="00D2222C"/>
    <w:rsid w:val="00D2345D"/>
    <w:rsid w:val="00D25889"/>
    <w:rsid w:val="00D25C75"/>
    <w:rsid w:val="00D31A13"/>
    <w:rsid w:val="00D340AA"/>
    <w:rsid w:val="00D34786"/>
    <w:rsid w:val="00D35609"/>
    <w:rsid w:val="00D36696"/>
    <w:rsid w:val="00D4040F"/>
    <w:rsid w:val="00D40A1E"/>
    <w:rsid w:val="00D41308"/>
    <w:rsid w:val="00D42BAB"/>
    <w:rsid w:val="00D43C78"/>
    <w:rsid w:val="00D44B04"/>
    <w:rsid w:val="00D44BDF"/>
    <w:rsid w:val="00D45150"/>
    <w:rsid w:val="00D46CDC"/>
    <w:rsid w:val="00D5025B"/>
    <w:rsid w:val="00D50AFF"/>
    <w:rsid w:val="00D512DC"/>
    <w:rsid w:val="00D52B5B"/>
    <w:rsid w:val="00D537DA"/>
    <w:rsid w:val="00D53F3D"/>
    <w:rsid w:val="00D558C4"/>
    <w:rsid w:val="00D55D01"/>
    <w:rsid w:val="00D568A0"/>
    <w:rsid w:val="00D57833"/>
    <w:rsid w:val="00D61163"/>
    <w:rsid w:val="00D62BD0"/>
    <w:rsid w:val="00D63233"/>
    <w:rsid w:val="00D65E4F"/>
    <w:rsid w:val="00D712D3"/>
    <w:rsid w:val="00D71384"/>
    <w:rsid w:val="00D71422"/>
    <w:rsid w:val="00D7145E"/>
    <w:rsid w:val="00D73E27"/>
    <w:rsid w:val="00D74A1F"/>
    <w:rsid w:val="00D74C93"/>
    <w:rsid w:val="00D74F68"/>
    <w:rsid w:val="00D7558D"/>
    <w:rsid w:val="00D76232"/>
    <w:rsid w:val="00D7649A"/>
    <w:rsid w:val="00D811FF"/>
    <w:rsid w:val="00D81D92"/>
    <w:rsid w:val="00D826A0"/>
    <w:rsid w:val="00D826D9"/>
    <w:rsid w:val="00D82EA8"/>
    <w:rsid w:val="00D838BE"/>
    <w:rsid w:val="00D83DD3"/>
    <w:rsid w:val="00D83FFE"/>
    <w:rsid w:val="00D86569"/>
    <w:rsid w:val="00D87416"/>
    <w:rsid w:val="00D8763F"/>
    <w:rsid w:val="00D877E2"/>
    <w:rsid w:val="00D9087A"/>
    <w:rsid w:val="00D915AB"/>
    <w:rsid w:val="00D93446"/>
    <w:rsid w:val="00D9382D"/>
    <w:rsid w:val="00D94D1C"/>
    <w:rsid w:val="00D9539C"/>
    <w:rsid w:val="00D95402"/>
    <w:rsid w:val="00D96245"/>
    <w:rsid w:val="00DA1520"/>
    <w:rsid w:val="00DA2A7C"/>
    <w:rsid w:val="00DA3005"/>
    <w:rsid w:val="00DA300A"/>
    <w:rsid w:val="00DA7151"/>
    <w:rsid w:val="00DA77AA"/>
    <w:rsid w:val="00DA7B5F"/>
    <w:rsid w:val="00DB30EC"/>
    <w:rsid w:val="00DB3374"/>
    <w:rsid w:val="00DB4A1E"/>
    <w:rsid w:val="00DC174D"/>
    <w:rsid w:val="00DC28C0"/>
    <w:rsid w:val="00DC3121"/>
    <w:rsid w:val="00DC6D2C"/>
    <w:rsid w:val="00DC6F97"/>
    <w:rsid w:val="00DC7597"/>
    <w:rsid w:val="00DD045E"/>
    <w:rsid w:val="00DD1E65"/>
    <w:rsid w:val="00DD2BE4"/>
    <w:rsid w:val="00DD6DEF"/>
    <w:rsid w:val="00DD6F04"/>
    <w:rsid w:val="00DE26A2"/>
    <w:rsid w:val="00DE735D"/>
    <w:rsid w:val="00DE7417"/>
    <w:rsid w:val="00DE783D"/>
    <w:rsid w:val="00DE7D2E"/>
    <w:rsid w:val="00DF4BDE"/>
    <w:rsid w:val="00E067A6"/>
    <w:rsid w:val="00E06DDE"/>
    <w:rsid w:val="00E0734B"/>
    <w:rsid w:val="00E0740A"/>
    <w:rsid w:val="00E11392"/>
    <w:rsid w:val="00E1451D"/>
    <w:rsid w:val="00E15FBA"/>
    <w:rsid w:val="00E16A1B"/>
    <w:rsid w:val="00E16F9D"/>
    <w:rsid w:val="00E17683"/>
    <w:rsid w:val="00E22278"/>
    <w:rsid w:val="00E2284A"/>
    <w:rsid w:val="00E2398E"/>
    <w:rsid w:val="00E25A41"/>
    <w:rsid w:val="00E2673A"/>
    <w:rsid w:val="00E26FCD"/>
    <w:rsid w:val="00E27AA4"/>
    <w:rsid w:val="00E3317B"/>
    <w:rsid w:val="00E33E64"/>
    <w:rsid w:val="00E3757F"/>
    <w:rsid w:val="00E43157"/>
    <w:rsid w:val="00E4390D"/>
    <w:rsid w:val="00E43C54"/>
    <w:rsid w:val="00E43C96"/>
    <w:rsid w:val="00E46307"/>
    <w:rsid w:val="00E4781D"/>
    <w:rsid w:val="00E533FF"/>
    <w:rsid w:val="00E53E5E"/>
    <w:rsid w:val="00E54EF8"/>
    <w:rsid w:val="00E56477"/>
    <w:rsid w:val="00E57833"/>
    <w:rsid w:val="00E57B6B"/>
    <w:rsid w:val="00E57ECF"/>
    <w:rsid w:val="00E608CA"/>
    <w:rsid w:val="00E61067"/>
    <w:rsid w:val="00E62965"/>
    <w:rsid w:val="00E6356C"/>
    <w:rsid w:val="00E63B98"/>
    <w:rsid w:val="00E64645"/>
    <w:rsid w:val="00E64AF6"/>
    <w:rsid w:val="00E64E6F"/>
    <w:rsid w:val="00E654A2"/>
    <w:rsid w:val="00E65CB4"/>
    <w:rsid w:val="00E709B3"/>
    <w:rsid w:val="00E71E57"/>
    <w:rsid w:val="00E71FD7"/>
    <w:rsid w:val="00E74177"/>
    <w:rsid w:val="00E753FA"/>
    <w:rsid w:val="00E80E83"/>
    <w:rsid w:val="00E81771"/>
    <w:rsid w:val="00E86E84"/>
    <w:rsid w:val="00E86EAF"/>
    <w:rsid w:val="00E87515"/>
    <w:rsid w:val="00E8789F"/>
    <w:rsid w:val="00E908CF"/>
    <w:rsid w:val="00E91BE2"/>
    <w:rsid w:val="00E920D0"/>
    <w:rsid w:val="00E92993"/>
    <w:rsid w:val="00E96942"/>
    <w:rsid w:val="00E97B71"/>
    <w:rsid w:val="00EA01E7"/>
    <w:rsid w:val="00EA1283"/>
    <w:rsid w:val="00EA14E5"/>
    <w:rsid w:val="00EA5001"/>
    <w:rsid w:val="00EA5A04"/>
    <w:rsid w:val="00EA603E"/>
    <w:rsid w:val="00EA6A6E"/>
    <w:rsid w:val="00EA70E0"/>
    <w:rsid w:val="00EB24D7"/>
    <w:rsid w:val="00EB454D"/>
    <w:rsid w:val="00EB454F"/>
    <w:rsid w:val="00EB4B7E"/>
    <w:rsid w:val="00EB55C1"/>
    <w:rsid w:val="00EB62D9"/>
    <w:rsid w:val="00EC2AAD"/>
    <w:rsid w:val="00EC31F9"/>
    <w:rsid w:val="00EC5570"/>
    <w:rsid w:val="00EC74EB"/>
    <w:rsid w:val="00ED0E31"/>
    <w:rsid w:val="00ED1405"/>
    <w:rsid w:val="00ED147C"/>
    <w:rsid w:val="00ED3A8E"/>
    <w:rsid w:val="00ED3AB2"/>
    <w:rsid w:val="00ED56AB"/>
    <w:rsid w:val="00ED5BE1"/>
    <w:rsid w:val="00EE04C1"/>
    <w:rsid w:val="00EE0D3E"/>
    <w:rsid w:val="00EE3522"/>
    <w:rsid w:val="00EE39AD"/>
    <w:rsid w:val="00EE4E4B"/>
    <w:rsid w:val="00EE5C5E"/>
    <w:rsid w:val="00EE5E58"/>
    <w:rsid w:val="00EF2493"/>
    <w:rsid w:val="00EF4EC3"/>
    <w:rsid w:val="00EF5AA9"/>
    <w:rsid w:val="00EF619B"/>
    <w:rsid w:val="00EF6972"/>
    <w:rsid w:val="00F00B55"/>
    <w:rsid w:val="00F06961"/>
    <w:rsid w:val="00F12EAC"/>
    <w:rsid w:val="00F1380F"/>
    <w:rsid w:val="00F14F0E"/>
    <w:rsid w:val="00F14F98"/>
    <w:rsid w:val="00F15799"/>
    <w:rsid w:val="00F15B6A"/>
    <w:rsid w:val="00F1763D"/>
    <w:rsid w:val="00F20236"/>
    <w:rsid w:val="00F2059E"/>
    <w:rsid w:val="00F20D2B"/>
    <w:rsid w:val="00F21553"/>
    <w:rsid w:val="00F24C29"/>
    <w:rsid w:val="00F253CC"/>
    <w:rsid w:val="00F25C31"/>
    <w:rsid w:val="00F267BE"/>
    <w:rsid w:val="00F27458"/>
    <w:rsid w:val="00F35E2A"/>
    <w:rsid w:val="00F36D40"/>
    <w:rsid w:val="00F37F99"/>
    <w:rsid w:val="00F40B92"/>
    <w:rsid w:val="00F42761"/>
    <w:rsid w:val="00F438CD"/>
    <w:rsid w:val="00F45EBF"/>
    <w:rsid w:val="00F46498"/>
    <w:rsid w:val="00F503B5"/>
    <w:rsid w:val="00F545AC"/>
    <w:rsid w:val="00F56BA5"/>
    <w:rsid w:val="00F56D59"/>
    <w:rsid w:val="00F60E01"/>
    <w:rsid w:val="00F61379"/>
    <w:rsid w:val="00F61BE4"/>
    <w:rsid w:val="00F6255A"/>
    <w:rsid w:val="00F637BF"/>
    <w:rsid w:val="00F644E6"/>
    <w:rsid w:val="00F6589A"/>
    <w:rsid w:val="00F66BDC"/>
    <w:rsid w:val="00F70B55"/>
    <w:rsid w:val="00F71643"/>
    <w:rsid w:val="00F71F53"/>
    <w:rsid w:val="00F725D1"/>
    <w:rsid w:val="00F737D9"/>
    <w:rsid w:val="00F746CA"/>
    <w:rsid w:val="00F77BFA"/>
    <w:rsid w:val="00F82683"/>
    <w:rsid w:val="00F857F6"/>
    <w:rsid w:val="00F87A9A"/>
    <w:rsid w:val="00F916AC"/>
    <w:rsid w:val="00F93826"/>
    <w:rsid w:val="00F9653B"/>
    <w:rsid w:val="00F97B89"/>
    <w:rsid w:val="00F97D53"/>
    <w:rsid w:val="00FA1ADA"/>
    <w:rsid w:val="00FA2C02"/>
    <w:rsid w:val="00FA359A"/>
    <w:rsid w:val="00FA63CD"/>
    <w:rsid w:val="00FA7982"/>
    <w:rsid w:val="00FB0F94"/>
    <w:rsid w:val="00FB1A16"/>
    <w:rsid w:val="00FB1A3C"/>
    <w:rsid w:val="00FB4EE9"/>
    <w:rsid w:val="00FB62CF"/>
    <w:rsid w:val="00FC052E"/>
    <w:rsid w:val="00FC084F"/>
    <w:rsid w:val="00FC1C08"/>
    <w:rsid w:val="00FC3262"/>
    <w:rsid w:val="00FC3EB4"/>
    <w:rsid w:val="00FC544A"/>
    <w:rsid w:val="00FC6C58"/>
    <w:rsid w:val="00FD3BD1"/>
    <w:rsid w:val="00FD635E"/>
    <w:rsid w:val="00FD71F0"/>
    <w:rsid w:val="00FE128E"/>
    <w:rsid w:val="00FE144F"/>
    <w:rsid w:val="00FE157F"/>
    <w:rsid w:val="00FE1EAD"/>
    <w:rsid w:val="00FE21AB"/>
    <w:rsid w:val="00FE3CEC"/>
    <w:rsid w:val="00FE40DE"/>
    <w:rsid w:val="00FE6B45"/>
    <w:rsid w:val="00FE6B58"/>
    <w:rsid w:val="00FE6EBC"/>
    <w:rsid w:val="00FF05BC"/>
    <w:rsid w:val="00FF1C1C"/>
    <w:rsid w:val="00FF379A"/>
    <w:rsid w:val="00FF4B2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58A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864785"/>
    <w:pPr>
      <w:tabs>
        <w:tab w:val="left" w:pos="1440"/>
        <w:tab w:val="right" w:leader="dot" w:pos="9350"/>
      </w:tabs>
      <w:spacing w:after="100"/>
      <w:ind w:left="720"/>
    </w:pPr>
    <w:rPr>
      <w:rFonts w:asciiTheme="minorHAnsi" w:hAnsiTheme="minorHAnsi"/>
      <w:sz w:val="22"/>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60"/>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CERD%2fC%2fUSA%2fCO%2f7-9&amp;Lang=en" TargetMode="External"/><Relationship Id="rId7" Type="http://schemas.openxmlformats.org/officeDocument/2006/relationships/hyperlink" Target="http://www.oas.org/en/iachr/media_center/PReleases/2019/201.asp" TargetMode="External"/><Relationship Id="rId2" Type="http://schemas.openxmlformats.org/officeDocument/2006/relationships/hyperlink" Target="https://www.justice.gov/pardon/legal-authority-governing-executive-clemency" TargetMode="External"/><Relationship Id="rId1" Type="http://schemas.openxmlformats.org/officeDocument/2006/relationships/hyperlink" Target="https://www.justice.gov/pardon/legal-authority-governing-executive-clemency" TargetMode="External"/><Relationship Id="rId6" Type="http://schemas.openxmlformats.org/officeDocument/2006/relationships/hyperlink" Target="https://www.justice.gov/opa/pr/federal-government-resume-capital-punishment-after-nearly-two-decade-lapse" TargetMode="External"/><Relationship Id="rId5" Type="http://schemas.openxmlformats.org/officeDocument/2006/relationships/hyperlink" Target="http://www.consilium.europa.eu/uedocs/cmsUpload/10015.en08.pdf" TargetMode="External"/><Relationship Id="rId4"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52B4-0475-BD4B-B740-AD506A7B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14949</Words>
  <Characters>85212</Characters>
  <Application>Microsoft Office Word</Application>
  <DocSecurity>0</DocSecurity>
  <Lines>710</Lines>
  <Paragraphs>199</Paragraphs>
  <ScaleCrop>false</ScaleCrop>
  <Company/>
  <LinksUpToDate>false</LinksUpToDate>
  <CharactersWithSpaces>99962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2021-04-27T18:24:00Z</dcterms:created>
  <dcterms:modified xsi:type="dcterms:W3CDTF">2021-04-27T18:24:00Z</dcterms:modified>
</cp:coreProperties>
</file>