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BC96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C62BD1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63BE1">
                              <w:rPr>
                                <w:rFonts w:asciiTheme="majorHAnsi" w:hAnsiTheme="majorHAnsi" w:cs="Arial"/>
                                <w:b/>
                                <w:bCs/>
                                <w:color w:val="0D0D0D" w:themeColor="text1" w:themeTint="F2"/>
                                <w:sz w:val="36"/>
                                <w:szCs w:val="40"/>
                              </w:rPr>
                              <w:t>231</w:t>
                            </w:r>
                            <w:r w:rsidR="00322450" w:rsidRPr="004B7EB6">
                              <w:rPr>
                                <w:rFonts w:asciiTheme="majorHAnsi" w:hAnsiTheme="majorHAnsi" w:cs="Arial"/>
                                <w:b/>
                                <w:bCs/>
                                <w:color w:val="0D0D0D" w:themeColor="text1" w:themeTint="F2"/>
                                <w:sz w:val="36"/>
                                <w:szCs w:val="40"/>
                              </w:rPr>
                              <w:t>/1</w:t>
                            </w:r>
                            <w:r w:rsidR="00C63BE1">
                              <w:rPr>
                                <w:rFonts w:asciiTheme="majorHAnsi" w:hAnsiTheme="majorHAnsi" w:cs="Arial"/>
                                <w:b/>
                                <w:bCs/>
                                <w:color w:val="0D0D0D" w:themeColor="text1" w:themeTint="F2"/>
                                <w:sz w:val="36"/>
                                <w:szCs w:val="40"/>
                              </w:rPr>
                              <w:t>9</w:t>
                            </w:r>
                          </w:p>
                          <w:p w14:paraId="081F51F3" w14:textId="5DE46A4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90441">
                              <w:rPr>
                                <w:rFonts w:asciiTheme="majorHAnsi" w:hAnsiTheme="majorHAnsi" w:cs="Arial"/>
                                <w:b/>
                                <w:bCs/>
                                <w:color w:val="0D0D0D" w:themeColor="text1" w:themeTint="F2"/>
                                <w:sz w:val="36"/>
                                <w:szCs w:val="40"/>
                              </w:rPr>
                              <w:t>178</w:t>
                            </w:r>
                            <w:r w:rsidR="00F621C3">
                              <w:rPr>
                                <w:rFonts w:asciiTheme="majorHAnsi" w:hAnsiTheme="majorHAnsi" w:cs="Arial"/>
                                <w:b/>
                                <w:bCs/>
                                <w:color w:val="0D0D0D" w:themeColor="text1" w:themeTint="F2"/>
                                <w:sz w:val="36"/>
                                <w:szCs w:val="40"/>
                              </w:rPr>
                              <w:t>-</w:t>
                            </w:r>
                            <w:r w:rsidR="00990441">
                              <w:rPr>
                                <w:rFonts w:asciiTheme="majorHAnsi" w:hAnsiTheme="majorHAnsi" w:cs="Arial"/>
                                <w:b/>
                                <w:bCs/>
                                <w:color w:val="0D0D0D" w:themeColor="text1" w:themeTint="F2"/>
                                <w:sz w:val="36"/>
                                <w:szCs w:val="40"/>
                              </w:rPr>
                              <w:t>13</w:t>
                            </w:r>
                          </w:p>
                          <w:p w14:paraId="34978E5A" w14:textId="1ECF2B5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C63BE1">
                              <w:rPr>
                                <w:rFonts w:asciiTheme="majorHAnsi" w:hAnsiTheme="majorHAnsi" w:cs="Arial"/>
                                <w:szCs w:val="22"/>
                              </w:rPr>
                              <w:t>ADMISSIBILITY</w:t>
                            </w:r>
                            <w:r w:rsidR="00F621C3" w:rsidRPr="00C63BE1">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8991E00" w:rsidR="00F42B71" w:rsidRPr="004B625D" w:rsidRDefault="0099044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DOUGLAS MORIN</w:t>
                            </w:r>
                          </w:p>
                          <w:p w14:paraId="17A89EFB" w14:textId="3395C369" w:rsidR="005B52B0" w:rsidRPr="000C4365" w:rsidRDefault="00990441" w:rsidP="00F42B71">
                            <w:pPr>
                              <w:spacing w:line="276" w:lineRule="auto"/>
                              <w:rPr>
                                <w:rFonts w:asciiTheme="majorHAnsi" w:hAnsiTheme="majorHAnsi"/>
                                <w:color w:val="0D0D0D" w:themeColor="text1" w:themeTint="F2"/>
                              </w:rPr>
                            </w:pPr>
                            <w:r w:rsidRPr="00990441">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C62BD1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63BE1">
                        <w:rPr>
                          <w:rFonts w:asciiTheme="majorHAnsi" w:hAnsiTheme="majorHAnsi" w:cs="Arial"/>
                          <w:b/>
                          <w:bCs/>
                          <w:color w:val="0D0D0D" w:themeColor="text1" w:themeTint="F2"/>
                          <w:sz w:val="36"/>
                          <w:szCs w:val="40"/>
                        </w:rPr>
                        <w:t>231</w:t>
                      </w:r>
                      <w:r w:rsidR="00322450" w:rsidRPr="004B7EB6">
                        <w:rPr>
                          <w:rFonts w:asciiTheme="majorHAnsi" w:hAnsiTheme="majorHAnsi" w:cs="Arial"/>
                          <w:b/>
                          <w:bCs/>
                          <w:color w:val="0D0D0D" w:themeColor="text1" w:themeTint="F2"/>
                          <w:sz w:val="36"/>
                          <w:szCs w:val="40"/>
                        </w:rPr>
                        <w:t>/1</w:t>
                      </w:r>
                      <w:r w:rsidR="00C63BE1">
                        <w:rPr>
                          <w:rFonts w:asciiTheme="majorHAnsi" w:hAnsiTheme="majorHAnsi" w:cs="Arial"/>
                          <w:b/>
                          <w:bCs/>
                          <w:color w:val="0D0D0D" w:themeColor="text1" w:themeTint="F2"/>
                          <w:sz w:val="36"/>
                          <w:szCs w:val="40"/>
                        </w:rPr>
                        <w:t>9</w:t>
                      </w:r>
                    </w:p>
                    <w:p w14:paraId="081F51F3" w14:textId="5DE46A4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90441">
                        <w:rPr>
                          <w:rFonts w:asciiTheme="majorHAnsi" w:hAnsiTheme="majorHAnsi" w:cs="Arial"/>
                          <w:b/>
                          <w:bCs/>
                          <w:color w:val="0D0D0D" w:themeColor="text1" w:themeTint="F2"/>
                          <w:sz w:val="36"/>
                          <w:szCs w:val="40"/>
                        </w:rPr>
                        <w:t>178</w:t>
                      </w:r>
                      <w:r w:rsidR="00F621C3">
                        <w:rPr>
                          <w:rFonts w:asciiTheme="majorHAnsi" w:hAnsiTheme="majorHAnsi" w:cs="Arial"/>
                          <w:b/>
                          <w:bCs/>
                          <w:color w:val="0D0D0D" w:themeColor="text1" w:themeTint="F2"/>
                          <w:sz w:val="36"/>
                          <w:szCs w:val="40"/>
                        </w:rPr>
                        <w:t>-</w:t>
                      </w:r>
                      <w:r w:rsidR="00990441">
                        <w:rPr>
                          <w:rFonts w:asciiTheme="majorHAnsi" w:hAnsiTheme="majorHAnsi" w:cs="Arial"/>
                          <w:b/>
                          <w:bCs/>
                          <w:color w:val="0D0D0D" w:themeColor="text1" w:themeTint="F2"/>
                          <w:sz w:val="36"/>
                          <w:szCs w:val="40"/>
                        </w:rPr>
                        <w:t>13</w:t>
                      </w:r>
                    </w:p>
                    <w:p w14:paraId="34978E5A" w14:textId="1ECF2B5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C63BE1">
                        <w:rPr>
                          <w:rFonts w:asciiTheme="majorHAnsi" w:hAnsiTheme="majorHAnsi" w:cs="Arial"/>
                          <w:szCs w:val="22"/>
                        </w:rPr>
                        <w:t>ADMISSIBILITY</w:t>
                      </w:r>
                      <w:r w:rsidR="00F621C3" w:rsidRPr="00C63BE1">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8991E00" w:rsidR="00F42B71" w:rsidRPr="004B625D" w:rsidRDefault="0099044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DOUGLAS MORIN</w:t>
                      </w:r>
                    </w:p>
                    <w:p w14:paraId="17A89EFB" w14:textId="3395C369" w:rsidR="005B52B0" w:rsidRPr="000C4365" w:rsidRDefault="00990441" w:rsidP="00F42B71">
                      <w:pPr>
                        <w:spacing w:line="276" w:lineRule="auto"/>
                        <w:rPr>
                          <w:rFonts w:asciiTheme="majorHAnsi" w:hAnsiTheme="majorHAnsi"/>
                          <w:color w:val="0D0D0D" w:themeColor="text1" w:themeTint="F2"/>
                        </w:rPr>
                      </w:pPr>
                      <w:r w:rsidRPr="00990441">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6B39765" w:rsidR="00627C9F" w:rsidRPr="00C63BE1"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C63BE1">
                              <w:rPr>
                                <w:rFonts w:asciiTheme="minorHAnsi" w:hAnsiTheme="minorHAnsi"/>
                                <w:color w:val="FFFFFF" w:themeColor="background1"/>
                                <w:sz w:val="22"/>
                                <w:lang w:val="pt-BR"/>
                              </w:rPr>
                              <w:t>/Ser.L/V/II.</w:t>
                            </w:r>
                          </w:p>
                          <w:p w14:paraId="4AA08A8C" w14:textId="082C07B9" w:rsidR="00627C9F" w:rsidRPr="00C63BE1" w:rsidRDefault="00CA6577" w:rsidP="009E566A">
                            <w:pPr>
                              <w:jc w:val="right"/>
                              <w:rPr>
                                <w:rFonts w:asciiTheme="minorHAnsi" w:hAnsiTheme="minorHAnsi"/>
                                <w:color w:val="FFFFFF" w:themeColor="background1"/>
                                <w:sz w:val="22"/>
                                <w:lang w:val="pt-BR"/>
                              </w:rPr>
                            </w:pPr>
                            <w:r w:rsidRPr="00C63BE1">
                              <w:rPr>
                                <w:rFonts w:asciiTheme="minorHAnsi" w:hAnsiTheme="minorHAnsi"/>
                                <w:color w:val="FFFFFF" w:themeColor="background1"/>
                                <w:sz w:val="22"/>
                                <w:lang w:val="pt-BR"/>
                              </w:rPr>
                              <w:t xml:space="preserve">Doc. </w:t>
                            </w:r>
                            <w:r w:rsidR="00C63BE1">
                              <w:rPr>
                                <w:rFonts w:asciiTheme="minorHAnsi" w:hAnsiTheme="minorHAnsi"/>
                                <w:color w:val="FFFFFF" w:themeColor="background1"/>
                                <w:sz w:val="22"/>
                                <w:lang w:val="pt-BR"/>
                              </w:rPr>
                              <w:t>258</w:t>
                            </w:r>
                          </w:p>
                          <w:p w14:paraId="0BEFF61A" w14:textId="0A6229A5" w:rsidR="00627C9F" w:rsidRPr="00C63BE1" w:rsidRDefault="00022CF5" w:rsidP="009E566A">
                            <w:pPr>
                              <w:jc w:val="right"/>
                              <w:rPr>
                                <w:rFonts w:asciiTheme="minorHAnsi" w:hAnsiTheme="minorHAnsi"/>
                                <w:color w:val="FFFFFF" w:themeColor="background1"/>
                                <w:sz w:val="22"/>
                              </w:rPr>
                            </w:pPr>
                            <w:r w:rsidRPr="00C63BE1">
                              <w:rPr>
                                <w:rFonts w:asciiTheme="minorHAnsi" w:hAnsiTheme="minorHAnsi"/>
                                <w:color w:val="FFFFFF" w:themeColor="background1"/>
                                <w:sz w:val="22"/>
                                <w:lang w:val="pt-BR"/>
                              </w:rPr>
                              <w:t xml:space="preserve"> </w:t>
                            </w:r>
                            <w:r w:rsidR="00C63BE1">
                              <w:rPr>
                                <w:rFonts w:asciiTheme="minorHAnsi" w:hAnsiTheme="minorHAnsi"/>
                                <w:color w:val="FFFFFF" w:themeColor="background1"/>
                                <w:sz w:val="22"/>
                              </w:rPr>
                              <w:t>31 December</w:t>
                            </w:r>
                            <w:r w:rsidR="000C4365" w:rsidRPr="00C63BE1">
                              <w:rPr>
                                <w:rFonts w:asciiTheme="minorHAnsi" w:hAnsiTheme="minorHAnsi"/>
                                <w:color w:val="FFFFFF" w:themeColor="background1"/>
                                <w:sz w:val="22"/>
                              </w:rPr>
                              <w:t xml:space="preserve"> </w:t>
                            </w:r>
                            <w:r w:rsidR="00F42B71" w:rsidRPr="00C63BE1">
                              <w:rPr>
                                <w:rFonts w:asciiTheme="minorHAnsi" w:hAnsiTheme="minorHAnsi"/>
                                <w:color w:val="FFFFFF" w:themeColor="background1"/>
                                <w:sz w:val="22"/>
                              </w:rPr>
                              <w:t>20</w:t>
                            </w:r>
                            <w:r w:rsidR="00C63BE1">
                              <w:rPr>
                                <w:rFonts w:asciiTheme="minorHAnsi" w:hAnsiTheme="minorHAnsi"/>
                                <w:color w:val="FFFFFF" w:themeColor="background1"/>
                                <w:sz w:val="22"/>
                              </w:rPr>
                              <w:t>19</w:t>
                            </w:r>
                          </w:p>
                          <w:p w14:paraId="0FC103BD" w14:textId="0CBEB639" w:rsidR="00627C9F" w:rsidRPr="00C63BE1" w:rsidRDefault="00627C9F" w:rsidP="009E566A">
                            <w:pPr>
                              <w:jc w:val="right"/>
                              <w:rPr>
                                <w:rFonts w:asciiTheme="minorHAnsi" w:hAnsiTheme="minorHAnsi"/>
                                <w:color w:val="FFFFFF" w:themeColor="background1"/>
                                <w:sz w:val="22"/>
                              </w:rPr>
                            </w:pPr>
                            <w:r w:rsidRPr="00C63BE1">
                              <w:rPr>
                                <w:rFonts w:asciiTheme="minorHAnsi" w:hAnsiTheme="minorHAnsi"/>
                                <w:color w:val="FFFFFF" w:themeColor="background1"/>
                                <w:sz w:val="22"/>
                              </w:rPr>
                              <w:t>Original:</w:t>
                            </w:r>
                            <w:r w:rsidR="002C1641" w:rsidRPr="00C63BE1">
                              <w:rPr>
                                <w:rFonts w:asciiTheme="minorHAnsi" w:hAnsiTheme="minorHAnsi"/>
                                <w:color w:val="FFFFFF" w:themeColor="background1"/>
                                <w:sz w:val="22"/>
                              </w:rPr>
                              <w:t xml:space="preserve"> </w:t>
                            </w:r>
                            <w:r w:rsidR="000C4365" w:rsidRPr="00C63BE1">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6B39765" w:rsidR="00627C9F" w:rsidRPr="00C63BE1"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C63BE1">
                        <w:rPr>
                          <w:rFonts w:asciiTheme="minorHAnsi" w:hAnsiTheme="minorHAnsi"/>
                          <w:color w:val="FFFFFF" w:themeColor="background1"/>
                          <w:sz w:val="22"/>
                          <w:lang w:val="pt-BR"/>
                        </w:rPr>
                        <w:t>/Ser.L/V/II.</w:t>
                      </w:r>
                    </w:p>
                    <w:p w14:paraId="4AA08A8C" w14:textId="082C07B9" w:rsidR="00627C9F" w:rsidRPr="00C63BE1" w:rsidRDefault="00CA6577" w:rsidP="009E566A">
                      <w:pPr>
                        <w:jc w:val="right"/>
                        <w:rPr>
                          <w:rFonts w:asciiTheme="minorHAnsi" w:hAnsiTheme="minorHAnsi"/>
                          <w:color w:val="FFFFFF" w:themeColor="background1"/>
                          <w:sz w:val="22"/>
                          <w:lang w:val="pt-BR"/>
                        </w:rPr>
                      </w:pPr>
                      <w:r w:rsidRPr="00C63BE1">
                        <w:rPr>
                          <w:rFonts w:asciiTheme="minorHAnsi" w:hAnsiTheme="minorHAnsi"/>
                          <w:color w:val="FFFFFF" w:themeColor="background1"/>
                          <w:sz w:val="22"/>
                          <w:lang w:val="pt-BR"/>
                        </w:rPr>
                        <w:t xml:space="preserve">Doc. </w:t>
                      </w:r>
                      <w:r w:rsidR="00C63BE1">
                        <w:rPr>
                          <w:rFonts w:asciiTheme="minorHAnsi" w:hAnsiTheme="minorHAnsi"/>
                          <w:color w:val="FFFFFF" w:themeColor="background1"/>
                          <w:sz w:val="22"/>
                          <w:lang w:val="pt-BR"/>
                        </w:rPr>
                        <w:t>258</w:t>
                      </w:r>
                    </w:p>
                    <w:p w14:paraId="0BEFF61A" w14:textId="0A6229A5" w:rsidR="00627C9F" w:rsidRPr="00C63BE1" w:rsidRDefault="00022CF5" w:rsidP="009E566A">
                      <w:pPr>
                        <w:jc w:val="right"/>
                        <w:rPr>
                          <w:rFonts w:asciiTheme="minorHAnsi" w:hAnsiTheme="minorHAnsi"/>
                          <w:color w:val="FFFFFF" w:themeColor="background1"/>
                          <w:sz w:val="22"/>
                        </w:rPr>
                      </w:pPr>
                      <w:r w:rsidRPr="00C63BE1">
                        <w:rPr>
                          <w:rFonts w:asciiTheme="minorHAnsi" w:hAnsiTheme="minorHAnsi"/>
                          <w:color w:val="FFFFFF" w:themeColor="background1"/>
                          <w:sz w:val="22"/>
                          <w:lang w:val="pt-BR"/>
                        </w:rPr>
                        <w:t xml:space="preserve"> </w:t>
                      </w:r>
                      <w:r w:rsidR="00C63BE1">
                        <w:rPr>
                          <w:rFonts w:asciiTheme="minorHAnsi" w:hAnsiTheme="minorHAnsi"/>
                          <w:color w:val="FFFFFF" w:themeColor="background1"/>
                          <w:sz w:val="22"/>
                        </w:rPr>
                        <w:t>31 December</w:t>
                      </w:r>
                      <w:r w:rsidR="000C4365" w:rsidRPr="00C63BE1">
                        <w:rPr>
                          <w:rFonts w:asciiTheme="minorHAnsi" w:hAnsiTheme="minorHAnsi"/>
                          <w:color w:val="FFFFFF" w:themeColor="background1"/>
                          <w:sz w:val="22"/>
                        </w:rPr>
                        <w:t xml:space="preserve"> </w:t>
                      </w:r>
                      <w:r w:rsidR="00F42B71" w:rsidRPr="00C63BE1">
                        <w:rPr>
                          <w:rFonts w:asciiTheme="minorHAnsi" w:hAnsiTheme="minorHAnsi"/>
                          <w:color w:val="FFFFFF" w:themeColor="background1"/>
                          <w:sz w:val="22"/>
                        </w:rPr>
                        <w:t>20</w:t>
                      </w:r>
                      <w:r w:rsidR="00C63BE1">
                        <w:rPr>
                          <w:rFonts w:asciiTheme="minorHAnsi" w:hAnsiTheme="minorHAnsi"/>
                          <w:color w:val="FFFFFF" w:themeColor="background1"/>
                          <w:sz w:val="22"/>
                        </w:rPr>
                        <w:t>19</w:t>
                      </w:r>
                    </w:p>
                    <w:p w14:paraId="0FC103BD" w14:textId="0CBEB639" w:rsidR="00627C9F" w:rsidRPr="00C63BE1" w:rsidRDefault="00627C9F" w:rsidP="009E566A">
                      <w:pPr>
                        <w:jc w:val="right"/>
                        <w:rPr>
                          <w:rFonts w:asciiTheme="minorHAnsi" w:hAnsiTheme="minorHAnsi"/>
                          <w:color w:val="FFFFFF" w:themeColor="background1"/>
                          <w:sz w:val="22"/>
                        </w:rPr>
                      </w:pPr>
                      <w:r w:rsidRPr="00C63BE1">
                        <w:rPr>
                          <w:rFonts w:asciiTheme="minorHAnsi" w:hAnsiTheme="minorHAnsi"/>
                          <w:color w:val="FFFFFF" w:themeColor="background1"/>
                          <w:sz w:val="22"/>
                        </w:rPr>
                        <w:t>Original:</w:t>
                      </w:r>
                      <w:r w:rsidR="002C1641" w:rsidRPr="00C63BE1">
                        <w:rPr>
                          <w:rFonts w:asciiTheme="minorHAnsi" w:hAnsiTheme="minorHAnsi"/>
                          <w:color w:val="FFFFFF" w:themeColor="background1"/>
                          <w:sz w:val="22"/>
                        </w:rPr>
                        <w:t xml:space="preserve"> </w:t>
                      </w:r>
                      <w:r w:rsidR="000C4365" w:rsidRPr="00C63BE1">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1AB909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3700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C63BE1">
                              <w:rPr>
                                <w:rFonts w:asciiTheme="majorHAnsi" w:hAnsiTheme="majorHAnsi"/>
                                <w:color w:val="0D0D0D" w:themeColor="text1" w:themeTint="F2"/>
                                <w:sz w:val="18"/>
                                <w:szCs w:val="20"/>
                              </w:rPr>
                              <w:t>December 31, 2019</w:t>
                            </w:r>
                            <w:r w:rsidR="0033700B">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1AB909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3700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C63BE1">
                        <w:rPr>
                          <w:rFonts w:asciiTheme="majorHAnsi" w:hAnsiTheme="majorHAnsi"/>
                          <w:color w:val="0D0D0D" w:themeColor="text1" w:themeTint="F2"/>
                          <w:sz w:val="18"/>
                          <w:szCs w:val="20"/>
                        </w:rPr>
                        <w:t>December 31, 2019</w:t>
                      </w:r>
                      <w:r w:rsidR="0033700B">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5BE9B" w14:textId="77777777" w:rsidR="00C63BE1"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63BE1">
                              <w:rPr>
                                <w:rFonts w:asciiTheme="majorHAnsi" w:hAnsiTheme="majorHAnsi"/>
                                <w:color w:val="595959" w:themeColor="text1" w:themeTint="A6"/>
                                <w:sz w:val="18"/>
                              </w:rPr>
                              <w:t>231</w:t>
                            </w:r>
                            <w:r w:rsidR="00022CF5">
                              <w:rPr>
                                <w:rFonts w:asciiTheme="majorHAnsi" w:hAnsiTheme="majorHAnsi"/>
                                <w:color w:val="595959" w:themeColor="text1" w:themeTint="A6"/>
                                <w:sz w:val="18"/>
                              </w:rPr>
                              <w:t>/</w:t>
                            </w:r>
                            <w:r w:rsidR="00C63BE1">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63BE1">
                              <w:rPr>
                                <w:rFonts w:asciiTheme="majorHAnsi" w:hAnsiTheme="majorHAnsi"/>
                                <w:color w:val="595959" w:themeColor="text1" w:themeTint="A6"/>
                                <w:sz w:val="18"/>
                              </w:rPr>
                              <w:t>178/19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63BE1">
                              <w:rPr>
                                <w:rFonts w:asciiTheme="majorHAnsi" w:hAnsiTheme="majorHAnsi"/>
                                <w:color w:val="595959" w:themeColor="text1" w:themeTint="A6"/>
                                <w:sz w:val="18"/>
                              </w:rPr>
                              <w:t>Douglas Morin</w:t>
                            </w:r>
                            <w:r w:rsidRPr="003C32BC">
                              <w:rPr>
                                <w:rFonts w:asciiTheme="majorHAnsi" w:hAnsiTheme="majorHAnsi"/>
                                <w:color w:val="595959" w:themeColor="text1" w:themeTint="A6"/>
                                <w:sz w:val="18"/>
                              </w:rPr>
                              <w:t xml:space="preserve">. </w:t>
                            </w:r>
                          </w:p>
                          <w:p w14:paraId="0126B579" w14:textId="544DB781" w:rsidR="00F644E6" w:rsidRPr="003C32BC" w:rsidRDefault="00C63BE1"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w:t>
                            </w:r>
                            <w:r>
                              <w:rPr>
                                <w:rFonts w:asciiTheme="majorHAnsi" w:hAnsiTheme="majorHAnsi"/>
                                <w:color w:val="595959" w:themeColor="text1" w:themeTint="A6"/>
                                <w:sz w:val="18"/>
                              </w:rPr>
                              <w:t xml:space="preserve"> December 31,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485BE9B" w14:textId="77777777" w:rsidR="00C63BE1"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63BE1">
                        <w:rPr>
                          <w:rFonts w:asciiTheme="majorHAnsi" w:hAnsiTheme="majorHAnsi"/>
                          <w:color w:val="595959" w:themeColor="text1" w:themeTint="A6"/>
                          <w:sz w:val="18"/>
                        </w:rPr>
                        <w:t>231</w:t>
                      </w:r>
                      <w:r w:rsidR="00022CF5">
                        <w:rPr>
                          <w:rFonts w:asciiTheme="majorHAnsi" w:hAnsiTheme="majorHAnsi"/>
                          <w:color w:val="595959" w:themeColor="text1" w:themeTint="A6"/>
                          <w:sz w:val="18"/>
                        </w:rPr>
                        <w:t>/</w:t>
                      </w:r>
                      <w:r w:rsidR="00C63BE1">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63BE1">
                        <w:rPr>
                          <w:rFonts w:asciiTheme="majorHAnsi" w:hAnsiTheme="majorHAnsi"/>
                          <w:color w:val="595959" w:themeColor="text1" w:themeTint="A6"/>
                          <w:sz w:val="18"/>
                        </w:rPr>
                        <w:t>178/19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63BE1">
                        <w:rPr>
                          <w:rFonts w:asciiTheme="majorHAnsi" w:hAnsiTheme="majorHAnsi"/>
                          <w:color w:val="595959" w:themeColor="text1" w:themeTint="A6"/>
                          <w:sz w:val="18"/>
                        </w:rPr>
                        <w:t>Douglas Morin</w:t>
                      </w:r>
                      <w:r w:rsidRPr="003C32BC">
                        <w:rPr>
                          <w:rFonts w:asciiTheme="majorHAnsi" w:hAnsiTheme="majorHAnsi"/>
                          <w:color w:val="595959" w:themeColor="text1" w:themeTint="A6"/>
                          <w:sz w:val="18"/>
                        </w:rPr>
                        <w:t xml:space="preserve">. </w:t>
                      </w:r>
                    </w:p>
                    <w:p w14:paraId="0126B579" w14:textId="544DB781" w:rsidR="00F644E6" w:rsidRPr="003C32BC" w:rsidRDefault="00C63BE1"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w:t>
                      </w:r>
                      <w:r>
                        <w:rPr>
                          <w:rFonts w:asciiTheme="majorHAnsi" w:hAnsiTheme="majorHAnsi"/>
                          <w:color w:val="595959" w:themeColor="text1" w:themeTint="A6"/>
                          <w:sz w:val="18"/>
                        </w:rPr>
                        <w:t xml:space="preserve"> December 31,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38C27A17" w:rsidR="00F621C3" w:rsidRPr="00C355B4" w:rsidRDefault="00990441" w:rsidP="009163FC">
            <w:pPr>
              <w:jc w:val="both"/>
              <w:rPr>
                <w:rFonts w:ascii="Cambria" w:hAnsi="Cambria"/>
                <w:bCs/>
                <w:sz w:val="19"/>
                <w:szCs w:val="19"/>
              </w:rPr>
            </w:pPr>
            <w:r>
              <w:rPr>
                <w:rFonts w:ascii="Cambria" w:hAnsi="Cambria"/>
                <w:bCs/>
                <w:sz w:val="19"/>
                <w:szCs w:val="19"/>
              </w:rPr>
              <w:t>Douglas Morin</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17D29402" w:rsidR="00F621C3" w:rsidRPr="00C355B4" w:rsidRDefault="00990441" w:rsidP="009163FC">
            <w:pPr>
              <w:jc w:val="both"/>
              <w:rPr>
                <w:rFonts w:ascii="Cambria" w:hAnsi="Cambria"/>
                <w:bCs/>
                <w:sz w:val="19"/>
                <w:szCs w:val="19"/>
              </w:rPr>
            </w:pPr>
            <w:r>
              <w:rPr>
                <w:rFonts w:ascii="Cambria" w:hAnsi="Cambria"/>
                <w:bCs/>
                <w:sz w:val="19"/>
                <w:szCs w:val="19"/>
              </w:rPr>
              <w:t>Douglas Morin</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74E36B00" w:rsidR="00F621C3" w:rsidRPr="00C355B4" w:rsidRDefault="00990441" w:rsidP="009163FC">
            <w:pPr>
              <w:jc w:val="both"/>
              <w:rPr>
                <w:rFonts w:ascii="Cambria" w:hAnsi="Cambria"/>
                <w:bCs/>
                <w:sz w:val="19"/>
                <w:szCs w:val="19"/>
              </w:rPr>
            </w:pPr>
            <w:r>
              <w:rPr>
                <w:rFonts w:ascii="Cambria" w:hAnsi="Cambria"/>
                <w:bCs/>
                <w:sz w:val="19"/>
                <w:szCs w:val="19"/>
              </w:rPr>
              <w:t>United States of America</w:t>
            </w:r>
            <w:r w:rsidR="003D6EE0" w:rsidRPr="00273832">
              <w:rPr>
                <w:rFonts w:ascii="Cambria" w:hAnsi="Cambria"/>
                <w:bCs/>
                <w:sz w:val="19"/>
                <w:szCs w:val="19"/>
                <w:vertAlign w:val="superscript"/>
              </w:rPr>
              <w:footnoteReference w:id="2"/>
            </w:r>
            <w:r w:rsidR="003D6EE0" w:rsidRPr="00273832">
              <w:rPr>
                <w:rFonts w:ascii="Cambria" w:hAnsi="Cambria"/>
                <w:bCs/>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7585A0F2" w:rsidR="00E47F3D" w:rsidRPr="00C355B4" w:rsidRDefault="00990441" w:rsidP="00990441">
            <w:pPr>
              <w:jc w:val="both"/>
              <w:rPr>
                <w:rFonts w:ascii="Cambria" w:hAnsi="Cambria"/>
                <w:bCs/>
                <w:sz w:val="19"/>
                <w:szCs w:val="19"/>
              </w:rPr>
            </w:pPr>
            <w:r>
              <w:rPr>
                <w:rFonts w:ascii="Cambria" w:hAnsi="Cambria"/>
                <w:bCs/>
                <w:sz w:val="19"/>
                <w:szCs w:val="19"/>
              </w:rPr>
              <w:t xml:space="preserve">No </w:t>
            </w:r>
            <w:r w:rsidR="0046794B">
              <w:rPr>
                <w:rFonts w:ascii="Cambria" w:hAnsi="Cambria"/>
                <w:bCs/>
                <w:sz w:val="19"/>
                <w:szCs w:val="19"/>
              </w:rPr>
              <w:t>Article</w:t>
            </w:r>
            <w:r>
              <w:rPr>
                <w:rFonts w:ascii="Cambria" w:hAnsi="Cambria"/>
                <w:bCs/>
                <w:sz w:val="19"/>
                <w:szCs w:val="19"/>
              </w:rPr>
              <w:t xml:space="preserve">s specified. </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0D6F0089" w:rsidR="00F621C3" w:rsidRPr="00C355B4" w:rsidRDefault="00990441" w:rsidP="00990441">
            <w:pPr>
              <w:jc w:val="both"/>
              <w:rPr>
                <w:rFonts w:ascii="Cambria" w:hAnsi="Cambria"/>
                <w:bCs/>
                <w:sz w:val="19"/>
                <w:szCs w:val="19"/>
              </w:rPr>
            </w:pPr>
            <w:r>
              <w:rPr>
                <w:rFonts w:ascii="Cambria" w:hAnsi="Cambria"/>
                <w:bCs/>
                <w:sz w:val="19"/>
                <w:szCs w:val="19"/>
              </w:rPr>
              <w:t xml:space="preserve">February 5, 2013, </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1AE1741C" w:rsidR="00F621C3" w:rsidRPr="00C355B4" w:rsidRDefault="00990441" w:rsidP="006B1086">
            <w:pPr>
              <w:jc w:val="both"/>
              <w:rPr>
                <w:rFonts w:ascii="Cambria" w:hAnsi="Cambria"/>
                <w:bCs/>
                <w:sz w:val="19"/>
                <w:szCs w:val="19"/>
              </w:rPr>
            </w:pPr>
            <w:r w:rsidRPr="00990441">
              <w:rPr>
                <w:rFonts w:ascii="Cambria" w:hAnsi="Cambria"/>
                <w:bCs/>
                <w:sz w:val="19"/>
                <w:szCs w:val="19"/>
              </w:rPr>
              <w:t>August 16, 2013, March 4, 2014</w:t>
            </w:r>
            <w:r w:rsidR="006B1086">
              <w:rPr>
                <w:rFonts w:ascii="Cambria" w:hAnsi="Cambria"/>
                <w:bCs/>
                <w:sz w:val="19"/>
                <w:szCs w:val="19"/>
              </w:rPr>
              <w:t xml:space="preserve">, June 28, 2014, </w:t>
            </w:r>
            <w:r w:rsidR="006B1086" w:rsidRPr="006B1086">
              <w:rPr>
                <w:rFonts w:ascii="Cambria" w:hAnsi="Cambria"/>
                <w:bCs/>
                <w:sz w:val="19"/>
                <w:szCs w:val="19"/>
              </w:rPr>
              <w:t>October 7, 2014</w:t>
            </w:r>
            <w:r w:rsidR="00571C9F">
              <w:rPr>
                <w:rFonts w:ascii="Cambria" w:hAnsi="Cambria"/>
                <w:bCs/>
                <w:sz w:val="19"/>
                <w:szCs w:val="19"/>
              </w:rPr>
              <w:t>; December 17, 2015</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5976DA9F" w:rsidR="00F621C3" w:rsidRPr="00C355B4" w:rsidRDefault="006B1086" w:rsidP="009163FC">
            <w:pPr>
              <w:jc w:val="both"/>
              <w:rPr>
                <w:rFonts w:ascii="Cambria" w:hAnsi="Cambria"/>
                <w:bCs/>
                <w:sz w:val="19"/>
                <w:szCs w:val="19"/>
              </w:rPr>
            </w:pPr>
            <w:r>
              <w:rPr>
                <w:rFonts w:ascii="Cambria" w:hAnsi="Cambria"/>
                <w:bCs/>
                <w:sz w:val="19"/>
                <w:szCs w:val="19"/>
              </w:rPr>
              <w:t>March 14, 2016</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234F1159" w:rsidR="00F621C3" w:rsidRPr="00C355B4" w:rsidRDefault="00526F8E" w:rsidP="009163FC">
            <w:pPr>
              <w:jc w:val="both"/>
              <w:rPr>
                <w:rFonts w:ascii="Cambria" w:hAnsi="Cambria"/>
                <w:bCs/>
                <w:sz w:val="19"/>
                <w:szCs w:val="19"/>
              </w:rPr>
            </w:pPr>
            <w:r>
              <w:rPr>
                <w:rFonts w:ascii="Cambria" w:hAnsi="Cambria"/>
                <w:bCs/>
                <w:sz w:val="19"/>
                <w:szCs w:val="19"/>
              </w:rPr>
              <w:t>June 2, 2016</w:t>
            </w:r>
          </w:p>
        </w:tc>
      </w:tr>
      <w:tr w:rsidR="003771A3"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A863ACD" w14:textId="0398A96B" w:rsidR="003771A3" w:rsidRPr="00C355B4" w:rsidRDefault="006B1086" w:rsidP="009163FC">
            <w:pPr>
              <w:jc w:val="both"/>
              <w:rPr>
                <w:rFonts w:ascii="Cambria" w:hAnsi="Cambria"/>
                <w:bCs/>
                <w:sz w:val="19"/>
                <w:szCs w:val="19"/>
              </w:rPr>
            </w:pPr>
            <w:r>
              <w:rPr>
                <w:rFonts w:ascii="Cambria" w:hAnsi="Cambria"/>
                <w:bCs/>
                <w:sz w:val="19"/>
                <w:szCs w:val="19"/>
              </w:rPr>
              <w:t>April 19, 26, 28, 2016, September 14, 2016, February 2, 2017, June 16, 2017</w:t>
            </w:r>
            <w:r w:rsidR="00526F8E">
              <w:rPr>
                <w:rFonts w:ascii="Cambria" w:hAnsi="Cambria"/>
                <w:bCs/>
                <w:sz w:val="19"/>
                <w:szCs w:val="19"/>
              </w:rPr>
              <w:t>, August 28, 2017, September 7, 2017, October 17, 2017</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3E58B248" w:rsidR="00F621C3" w:rsidRPr="00C355B4" w:rsidRDefault="00990441"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6BBC3E2F" w:rsidR="00F621C3" w:rsidRPr="00C355B4" w:rsidRDefault="00990441"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526F2594" w:rsidR="00F621C3" w:rsidRPr="00C355B4" w:rsidRDefault="00990441" w:rsidP="00EF734A">
            <w:pPr>
              <w:rPr>
                <w:rFonts w:asciiTheme="majorHAnsi" w:hAnsiTheme="majorHAnsi"/>
                <w:bCs/>
                <w:sz w:val="19"/>
                <w:szCs w:val="19"/>
              </w:rPr>
            </w:pPr>
            <w:r>
              <w:rPr>
                <w:rFonts w:asciiTheme="majorHAnsi" w:hAnsiTheme="majorHAnsi"/>
                <w:bCs/>
                <w:sz w:val="19"/>
                <w:szCs w:val="19"/>
              </w:rPr>
              <w:t>Y</w:t>
            </w:r>
            <w:r w:rsidR="00EF734A">
              <w:rPr>
                <w:rFonts w:asciiTheme="majorHAnsi" w:hAnsiTheme="majorHAnsi"/>
                <w:bCs/>
                <w:sz w:val="19"/>
                <w:szCs w:val="19"/>
              </w:rPr>
              <w:t>e</w:t>
            </w:r>
            <w:r>
              <w:rPr>
                <w:rFonts w:asciiTheme="majorHAnsi" w:hAnsiTheme="majorHAnsi"/>
                <w:bCs/>
                <w:sz w:val="19"/>
                <w:szCs w:val="19"/>
              </w:rPr>
              <w:t>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6B69592D" w:rsidR="00F621C3" w:rsidRPr="00C355B4" w:rsidRDefault="00990441" w:rsidP="009163FC">
            <w:pPr>
              <w:jc w:val="both"/>
              <w:rPr>
                <w:rFonts w:asciiTheme="majorHAnsi" w:hAnsiTheme="majorHAnsi"/>
                <w:bCs/>
                <w:sz w:val="19"/>
                <w:szCs w:val="19"/>
              </w:rPr>
            </w:pPr>
            <w:r>
              <w:rPr>
                <w:rFonts w:asciiTheme="majorHAnsi" w:hAnsiTheme="majorHAnsi"/>
                <w:bCs/>
                <w:sz w:val="19"/>
                <w:szCs w:val="19"/>
              </w:rPr>
              <w:t>Yes,</w:t>
            </w:r>
            <w:r w:rsidRPr="00990441">
              <w:rPr>
                <w:rFonts w:asciiTheme="majorHAnsi" w:hAnsiTheme="majorHAnsi"/>
                <w:bCs/>
                <w:sz w:val="19"/>
                <w:szCs w:val="19"/>
              </w:rPr>
              <w:t xml:space="preserve"> American Declaration on the Rights and Duties of Man</w:t>
            </w:r>
            <w:r>
              <w:rPr>
                <w:rStyle w:val="FootnoteReference"/>
                <w:rFonts w:asciiTheme="majorHAnsi" w:hAnsiTheme="majorHAnsi"/>
                <w:bCs/>
                <w:sz w:val="19"/>
                <w:szCs w:val="19"/>
              </w:rPr>
              <w:footnoteReference w:id="4"/>
            </w:r>
            <w:r>
              <w:t xml:space="preserve"> </w:t>
            </w:r>
            <w:r w:rsidRPr="00990441">
              <w:rPr>
                <w:rFonts w:asciiTheme="majorHAnsi" w:hAnsiTheme="majorHAnsi"/>
                <w:bCs/>
                <w:sz w:val="19"/>
                <w:szCs w:val="19"/>
              </w:rPr>
              <w:t>(ratification of the OAS Charter on June 19, 1951)</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3A7AC63C" w:rsidR="00F621C3" w:rsidRPr="00C355B4" w:rsidRDefault="00990441"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31026C2D" w:rsidR="00F621C3" w:rsidRPr="00C355B4" w:rsidRDefault="00526F8E" w:rsidP="00216EAC">
            <w:pPr>
              <w:jc w:val="both"/>
              <w:rPr>
                <w:rFonts w:ascii="Cambria" w:hAnsi="Cambria"/>
                <w:bCs/>
                <w:sz w:val="19"/>
                <w:szCs w:val="19"/>
              </w:rPr>
            </w:pPr>
            <w:r w:rsidRPr="00526F8E">
              <w:rPr>
                <w:rFonts w:ascii="Cambria" w:hAnsi="Cambria"/>
                <w:bCs/>
                <w:sz w:val="19"/>
                <w:szCs w:val="19"/>
              </w:rPr>
              <w:t>Articles II (right to equality before the law); XVIII (right to fair trial); Article XXV (human treatment in custody) and XXVI (due process of law) of the American Declaration.</w:t>
            </w:r>
            <w:r>
              <w:rPr>
                <w:rFonts w:ascii="Cambria" w:hAnsi="Cambria"/>
                <w:bCs/>
                <w:sz w:val="19"/>
                <w:szCs w:val="19"/>
              </w:rPr>
              <w:t xml:space="preserve"> </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5D899A49" w:rsidR="00F621C3" w:rsidRPr="00C355B4" w:rsidRDefault="00526F8E" w:rsidP="009163FC">
            <w:pPr>
              <w:rPr>
                <w:rFonts w:ascii="Cambria" w:hAnsi="Cambria"/>
                <w:bCs/>
                <w:sz w:val="19"/>
                <w:szCs w:val="19"/>
              </w:rPr>
            </w:pPr>
            <w:r w:rsidRPr="00526F8E">
              <w:rPr>
                <w:rFonts w:ascii="Cambria" w:hAnsi="Cambria"/>
                <w:bCs/>
                <w:sz w:val="19"/>
                <w:szCs w:val="19"/>
              </w:rPr>
              <w:t>Yes, excepti</w:t>
            </w:r>
            <w:r>
              <w:rPr>
                <w:rFonts w:ascii="Cambria" w:hAnsi="Cambria"/>
                <w:bCs/>
                <w:sz w:val="19"/>
                <w:szCs w:val="19"/>
              </w:rPr>
              <w:t xml:space="preserve">on set forth in Article 31.2 (b) </w:t>
            </w:r>
            <w:r w:rsidRPr="00526F8E">
              <w:rPr>
                <w:rFonts w:ascii="Cambria" w:hAnsi="Cambria"/>
                <w:bCs/>
                <w:sz w:val="19"/>
                <w:szCs w:val="19"/>
              </w:rPr>
              <w:t xml:space="preserve"> of the IACHR Rules of Procedure is applicable</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7440102A" w:rsidR="00F621C3" w:rsidRPr="00C355B4" w:rsidRDefault="00526F8E" w:rsidP="009163FC">
            <w:pPr>
              <w:rPr>
                <w:rFonts w:asciiTheme="majorHAnsi" w:hAnsiTheme="majorHAnsi"/>
                <w:bCs/>
                <w:sz w:val="19"/>
                <w:szCs w:val="19"/>
              </w:rPr>
            </w:pPr>
            <w:r w:rsidRPr="00526F8E">
              <w:rPr>
                <w:rFonts w:asciiTheme="majorHAnsi" w:hAnsiTheme="majorHAnsi"/>
                <w:bCs/>
                <w:sz w:val="19"/>
                <w:szCs w:val="19"/>
              </w:rPr>
              <w:t>Yes, in terms of section VI</w:t>
            </w:r>
          </w:p>
        </w:tc>
      </w:tr>
    </w:tbl>
    <w:p w14:paraId="629E2DE8" w14:textId="7D56CF7F" w:rsidR="00F621C3" w:rsidRPr="000B6B7A" w:rsidRDefault="00F621C3" w:rsidP="0033700B">
      <w:pPr>
        <w:spacing w:before="12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7C9FE01" w14:textId="1741646B" w:rsidR="00EF62C8" w:rsidRPr="00E92FA2" w:rsidRDefault="00EF62C8"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92FA2">
        <w:rPr>
          <w:rFonts w:ascii="Cambria" w:hAnsi="Cambria"/>
          <w:sz w:val="20"/>
          <w:szCs w:val="20"/>
        </w:rPr>
        <w:t xml:space="preserve">The petitioner and alleged victim, Douglas Morin, alleges that he was arrested on April 8, 2009 for armed robbery, following which he posted a bond of $50,000.  </w:t>
      </w:r>
      <w:r w:rsidR="00E64EC7" w:rsidRPr="00E92FA2">
        <w:rPr>
          <w:rFonts w:ascii="Cambria" w:hAnsi="Cambria"/>
          <w:sz w:val="20"/>
          <w:szCs w:val="20"/>
        </w:rPr>
        <w:t xml:space="preserve">The petitioner states that he was re-arrested on April 30 for grand theft, following which he posted another bond of $50.000. </w:t>
      </w:r>
      <w:r w:rsidRPr="00E92FA2">
        <w:rPr>
          <w:rFonts w:ascii="Cambria" w:hAnsi="Cambria"/>
          <w:sz w:val="20"/>
          <w:szCs w:val="20"/>
        </w:rPr>
        <w:t>However, according to the petitioner, in June 2009, his bonds were later revoked, and he was remanded in custody</w:t>
      </w:r>
      <w:r w:rsidR="00E92FA2" w:rsidRPr="00E92FA2">
        <w:rPr>
          <w:rFonts w:ascii="Cambria" w:hAnsi="Cambria"/>
          <w:sz w:val="20"/>
          <w:szCs w:val="20"/>
        </w:rPr>
        <w:t xml:space="preserve"> where he alleged was subjected to beaten</w:t>
      </w:r>
      <w:r w:rsidR="000B6429" w:rsidRPr="00E92FA2">
        <w:rPr>
          <w:rFonts w:ascii="Cambria" w:hAnsi="Cambria"/>
          <w:sz w:val="20"/>
          <w:szCs w:val="20"/>
        </w:rPr>
        <w:t>. Because of the above, the petitioner alleges that in 2011, he pleaded guilty to the offences of armed robbery and grand theft, following which he was sentenced to 10 years imprisonment. Broadly, the petitioner complains that his prosecution and subsequent conviction were vitiated by various due process violations, as well as other violations, including physical abuse while in custody.</w:t>
      </w:r>
    </w:p>
    <w:p w14:paraId="47F5CE2C" w14:textId="77957B82" w:rsidR="003D6EE0" w:rsidRPr="00EF734A" w:rsidRDefault="00526F8E"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EF734A">
        <w:rPr>
          <w:rFonts w:ascii="Cambria" w:hAnsi="Cambria"/>
          <w:sz w:val="20"/>
          <w:szCs w:val="20"/>
        </w:rPr>
        <w:t xml:space="preserve">The petitioner contends, inter alia, that (a) on June  27, 2010, he was beaten by staff at the Volusia County Jail (where he was in custody) and subsequently deprived of medical attention;  (b) that the trial judge did nothing to investigate this beating when he appeared before her on July 14, 2010; (c) the arresting police officers  illegally conducted warrantless searches of his home, vehicles, and person; and that  the trial court ultimately acted to conceal this illegal conduct; (d) he was subject to ineffective assistance of </w:t>
      </w:r>
      <w:r w:rsidRPr="00E92FA2">
        <w:rPr>
          <w:rFonts w:ascii="Cambria" w:hAnsi="Cambria"/>
          <w:sz w:val="20"/>
          <w:szCs w:val="20"/>
        </w:rPr>
        <w:t>counsel</w:t>
      </w:r>
      <w:r w:rsidR="00EF734A" w:rsidRPr="00E92FA2">
        <w:rPr>
          <w:rFonts w:ascii="Cambria" w:hAnsi="Cambria"/>
          <w:sz w:val="20"/>
          <w:szCs w:val="20"/>
        </w:rPr>
        <w:t xml:space="preserve"> . </w:t>
      </w:r>
      <w:r w:rsidR="00EF734A" w:rsidRPr="00E92FA2">
        <w:rPr>
          <w:rFonts w:asciiTheme="majorHAnsi" w:hAnsiTheme="majorHAnsi"/>
          <w:sz w:val="20"/>
          <w:szCs w:val="20"/>
        </w:rPr>
        <w:t xml:space="preserve">On this </w:t>
      </w:r>
      <w:r w:rsidR="00E92FA2" w:rsidRPr="00E92FA2">
        <w:rPr>
          <w:rFonts w:asciiTheme="majorHAnsi" w:hAnsiTheme="majorHAnsi"/>
          <w:sz w:val="20"/>
          <w:szCs w:val="20"/>
        </w:rPr>
        <w:t xml:space="preserve">last </w:t>
      </w:r>
      <w:r w:rsidR="00EF734A" w:rsidRPr="00E92FA2">
        <w:rPr>
          <w:rFonts w:asciiTheme="majorHAnsi" w:hAnsiTheme="majorHAnsi"/>
          <w:sz w:val="20"/>
          <w:szCs w:val="20"/>
        </w:rPr>
        <w:t xml:space="preserve">complaint, based on the documentation available, the petitioner refers to five different </w:t>
      </w:r>
      <w:r w:rsidR="00EF734A" w:rsidRPr="00E92FA2">
        <w:rPr>
          <w:rFonts w:asciiTheme="majorHAnsi" w:hAnsiTheme="majorHAnsi"/>
          <w:sz w:val="20"/>
          <w:szCs w:val="20"/>
        </w:rPr>
        <w:lastRenderedPageBreak/>
        <w:t>lawyers – Edward Greco (preliminary hearing and arraignment); Richard Jackson (trial lawyer); Kevin Proul (trial lawyer); Richard Jackson (post-conviction proceeding); and Kimberley Nolan Hopkins (Appellate counsel). With respect to Kevin Proul, the petitioner claims that the trial court denied a motion from Mr. Proul seeking to recuse himself from the case after Mr. Proul allegedly declared that he did not consider himself capable of representing the petitioner.  The petitioner also alleges that Mr. Proul failed to investigate or procure relevant defence evidence.  With respect to Richard Jackson, the petitioner alleges that this attorney “mis-advised” him by telling him that the denial of the motion to withdraw his guilty plea would automatically be considered by the Appellate Court.  With respect to Kimberly Nolan Hopkins, the petitioner contends that she failed to raise all of the relevant grounds of appeal, including the issue of the dismissal of the motion to withdraw the guilty plea. The petitioner also claims that Kimberly Nolan Hopkins did not communicate with him. Furthermore,</w:t>
      </w:r>
      <w:r w:rsidR="00EF734A" w:rsidRPr="00EF734A">
        <w:rPr>
          <w:rFonts w:asciiTheme="majorHAnsi" w:hAnsiTheme="majorHAnsi"/>
          <w:sz w:val="20"/>
          <w:szCs w:val="20"/>
        </w:rPr>
        <w:t xml:space="preserve"> </w:t>
      </w:r>
      <w:r w:rsidR="00EF734A" w:rsidRPr="00EF734A">
        <w:rPr>
          <w:rFonts w:ascii="Cambria" w:hAnsi="Cambria"/>
          <w:sz w:val="20"/>
          <w:szCs w:val="20"/>
        </w:rPr>
        <w:t>t</w:t>
      </w:r>
      <w:r w:rsidRPr="00EF734A">
        <w:rPr>
          <w:rFonts w:ascii="Cambria" w:hAnsi="Cambria"/>
          <w:sz w:val="20"/>
          <w:szCs w:val="20"/>
        </w:rPr>
        <w:t>he petitioner states that he ultimately pleaded guilty to the offences based partly on the advice of his trial lawyer that he (the petitioner) would be unlikely to receive a sentence of more than 34 months.   Ultimately, however, the petitioner was sentenced to 10 years imprisonment.</w:t>
      </w:r>
    </w:p>
    <w:p w14:paraId="14097F31" w14:textId="28DEA7BA" w:rsidR="00526F8E" w:rsidRDefault="00526F8E"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526F8E">
        <w:rPr>
          <w:rFonts w:ascii="Cambria" w:hAnsi="Cambria"/>
          <w:sz w:val="20"/>
          <w:szCs w:val="20"/>
        </w:rPr>
        <w:t>Based on the record, the petitioner unsuccessfully took a number of judicial steps to challenge his conviction as well as to remedy the violations claimed.   These steps included (a) pre-trial habeas corpus motion</w:t>
      </w:r>
      <w:r>
        <w:rPr>
          <w:rStyle w:val="FootnoteReference"/>
          <w:rFonts w:ascii="Cambria" w:hAnsi="Cambria"/>
          <w:sz w:val="20"/>
          <w:szCs w:val="20"/>
        </w:rPr>
        <w:footnoteReference w:id="5"/>
      </w:r>
      <w:r w:rsidRPr="00526F8E">
        <w:rPr>
          <w:rFonts w:ascii="Cambria" w:hAnsi="Cambria"/>
          <w:sz w:val="20"/>
          <w:szCs w:val="20"/>
        </w:rPr>
        <w:t xml:space="preserve"> ; (b) Motion to withdraw plea</w:t>
      </w:r>
      <w:r>
        <w:rPr>
          <w:rStyle w:val="FootnoteReference"/>
          <w:rFonts w:ascii="Cambria" w:hAnsi="Cambria"/>
          <w:sz w:val="20"/>
          <w:szCs w:val="20"/>
        </w:rPr>
        <w:footnoteReference w:id="6"/>
      </w:r>
      <w:r w:rsidRPr="00526F8E">
        <w:rPr>
          <w:rFonts w:ascii="Cambria" w:hAnsi="Cambria"/>
          <w:sz w:val="20"/>
          <w:szCs w:val="20"/>
        </w:rPr>
        <w:t xml:space="preserve"> ; (c) appeal (of conviction) to Fifth District Court of Appeal</w:t>
      </w:r>
      <w:r>
        <w:rPr>
          <w:rStyle w:val="FootnoteReference"/>
          <w:rFonts w:ascii="Cambria" w:hAnsi="Cambria"/>
          <w:sz w:val="20"/>
          <w:szCs w:val="20"/>
        </w:rPr>
        <w:footnoteReference w:id="7"/>
      </w:r>
      <w:r w:rsidRPr="00526F8E">
        <w:rPr>
          <w:rFonts w:ascii="Cambria" w:hAnsi="Cambria"/>
          <w:sz w:val="20"/>
          <w:szCs w:val="20"/>
        </w:rPr>
        <w:t xml:space="preserve"> ; (d) appeal to Florida Supreme Court</w:t>
      </w:r>
      <w:r>
        <w:rPr>
          <w:rStyle w:val="FootnoteReference"/>
          <w:rFonts w:ascii="Cambria" w:hAnsi="Cambria"/>
          <w:sz w:val="20"/>
          <w:szCs w:val="20"/>
        </w:rPr>
        <w:footnoteReference w:id="8"/>
      </w:r>
      <w:r w:rsidRPr="00526F8E">
        <w:rPr>
          <w:rFonts w:ascii="Cambria" w:hAnsi="Cambria"/>
          <w:sz w:val="20"/>
          <w:szCs w:val="20"/>
        </w:rPr>
        <w:t xml:space="preserve">.   The final judicial remedy invoked by the petitioner was a federal motion for habeas corpus to the United States District Court, Middle District of Florida.  This suit was filed on November 19, 2015 and ultimately dismissed on October 10, 2017.  </w:t>
      </w:r>
    </w:p>
    <w:p w14:paraId="58024D44" w14:textId="63F2CE73" w:rsidR="00B45E49" w:rsidRPr="006318B2" w:rsidRDefault="00B45E49"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B45E49">
        <w:rPr>
          <w:rFonts w:ascii="Cambria" w:hAnsi="Cambria"/>
          <w:sz w:val="20"/>
          <w:szCs w:val="20"/>
        </w:rPr>
        <w:t>The State rejects the petition primarily on the ground that petitioner had not exhausted domestic remedies at the time that he filed his petition.  The State notes following the petition, the petitioner continued to file and pursue domestic lawsuits that largely mirrored the same issues raised in the petition.   The State contends that the rationale underlying the exhaustion doctrine is for international institutions to permit domestic proceedings to run their course, thus affording the State the opportunity to fashion any remedy under its domestic law.</w:t>
      </w:r>
      <w:r w:rsidR="002B624D">
        <w:rPr>
          <w:rFonts w:ascii="Cambria" w:hAnsi="Cambria"/>
          <w:sz w:val="20"/>
          <w:szCs w:val="20"/>
        </w:rPr>
        <w:t xml:space="preserve"> </w:t>
      </w:r>
    </w:p>
    <w:p w14:paraId="55505107" w14:textId="0663319A" w:rsidR="00F621C3" w:rsidRPr="000B6B7A" w:rsidRDefault="00F621C3" w:rsidP="0033700B">
      <w:pPr>
        <w:spacing w:before="12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321405DA" w:rsidR="00F621C3" w:rsidRDefault="00B45E49"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B45E49">
        <w:rPr>
          <w:rFonts w:ascii="Cambria" w:hAnsi="Cambria"/>
          <w:sz w:val="20"/>
          <w:szCs w:val="20"/>
        </w:rPr>
        <w:t xml:space="preserve">The petitioner’s complaints revolve around his prosecution, conviction, and imprisonment for robbery and grand theft. The petitioner contends that he invoked several domestic remedies that were ultimately all dismissed. The final judicial remedy invoked was a federal motion for habeas corpus to the United States District Court, Middle District of Florida – which was dismissed in October 2017.   On the other hand, the State contends that the petitioner had failed to exhaust domestic remedies at the time of the filing his petition (on February 5, 2013). </w:t>
      </w:r>
      <w:r w:rsidR="002B624D" w:rsidRPr="00B25D7B">
        <w:rPr>
          <w:rFonts w:ascii="Cambria" w:hAnsi="Cambria"/>
          <w:sz w:val="20"/>
          <w:szCs w:val="20"/>
        </w:rPr>
        <w:t xml:space="preserve">The IACHR </w:t>
      </w:r>
      <w:r w:rsidR="00B25D7B" w:rsidRPr="00B25D7B">
        <w:rPr>
          <w:rFonts w:ascii="Cambria" w:hAnsi="Cambria"/>
          <w:sz w:val="20"/>
          <w:szCs w:val="20"/>
        </w:rPr>
        <w:t>indicates</w:t>
      </w:r>
      <w:r w:rsidR="002B624D" w:rsidRPr="00B25D7B">
        <w:rPr>
          <w:rFonts w:ascii="Cambria" w:hAnsi="Cambria"/>
          <w:sz w:val="20"/>
          <w:szCs w:val="20"/>
        </w:rPr>
        <w:t xml:space="preserve"> that it is at </w:t>
      </w:r>
      <w:r w:rsidR="00242BF6" w:rsidRPr="00B25D7B">
        <w:rPr>
          <w:rFonts w:ascii="Cambria" w:hAnsi="Cambria"/>
          <w:sz w:val="20"/>
          <w:szCs w:val="20"/>
        </w:rPr>
        <w:t xml:space="preserve">the </w:t>
      </w:r>
      <w:r w:rsidR="00E92FA2" w:rsidRPr="00B25D7B">
        <w:rPr>
          <w:rFonts w:ascii="Cambria" w:hAnsi="Cambria"/>
          <w:sz w:val="20"/>
          <w:szCs w:val="20"/>
        </w:rPr>
        <w:t xml:space="preserve">admissibility </w:t>
      </w:r>
      <w:r w:rsidR="002B624D" w:rsidRPr="00B25D7B">
        <w:rPr>
          <w:rFonts w:ascii="Cambria" w:hAnsi="Cambria"/>
          <w:sz w:val="20"/>
          <w:szCs w:val="20"/>
        </w:rPr>
        <w:t xml:space="preserve">stage where the Commission </w:t>
      </w:r>
      <w:r w:rsidR="00E92FA2" w:rsidRPr="00B25D7B">
        <w:rPr>
          <w:rFonts w:ascii="Cambria" w:hAnsi="Cambria"/>
          <w:sz w:val="20"/>
          <w:szCs w:val="20"/>
        </w:rPr>
        <w:t>determines</w:t>
      </w:r>
      <w:r w:rsidR="002B624D" w:rsidRPr="00B25D7B">
        <w:rPr>
          <w:rFonts w:ascii="Cambria" w:hAnsi="Cambria"/>
          <w:sz w:val="20"/>
          <w:szCs w:val="20"/>
        </w:rPr>
        <w:t xml:space="preserve"> the exhaust</w:t>
      </w:r>
      <w:r w:rsidR="00242BF6" w:rsidRPr="00B25D7B">
        <w:rPr>
          <w:rFonts w:ascii="Cambria" w:hAnsi="Cambria"/>
          <w:sz w:val="20"/>
          <w:szCs w:val="20"/>
        </w:rPr>
        <w:t>ion</w:t>
      </w:r>
      <w:r w:rsidR="00E92FA2" w:rsidRPr="00B25D7B">
        <w:rPr>
          <w:rFonts w:ascii="Cambria" w:hAnsi="Cambria"/>
          <w:sz w:val="20"/>
          <w:szCs w:val="20"/>
        </w:rPr>
        <w:t xml:space="preserve"> of domestic remedies, </w:t>
      </w:r>
      <w:r w:rsidR="002B624D" w:rsidRPr="00B25D7B">
        <w:rPr>
          <w:rFonts w:ascii="Cambria" w:hAnsi="Cambria"/>
          <w:sz w:val="20"/>
          <w:szCs w:val="20"/>
        </w:rPr>
        <w:t>hence federal motion was dis</w:t>
      </w:r>
      <w:r w:rsidR="00E92FA2" w:rsidRPr="00B25D7B">
        <w:rPr>
          <w:rFonts w:ascii="Cambria" w:hAnsi="Cambria"/>
          <w:sz w:val="20"/>
          <w:szCs w:val="20"/>
        </w:rPr>
        <w:t xml:space="preserve">missed </w:t>
      </w:r>
      <w:r w:rsidR="002B624D" w:rsidRPr="00B25D7B">
        <w:rPr>
          <w:rFonts w:ascii="Cambria" w:hAnsi="Cambria"/>
          <w:sz w:val="20"/>
          <w:szCs w:val="20"/>
        </w:rPr>
        <w:t>in 2017 domestic remedies have been exhausted.</w:t>
      </w:r>
    </w:p>
    <w:p w14:paraId="2BDBAE9F" w14:textId="0FC80DFE" w:rsidR="00263BF5" w:rsidRPr="000B6B7A" w:rsidRDefault="00B45E49"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B45E49">
        <w:rPr>
          <w:rFonts w:ascii="Cambria" w:hAnsi="Cambria"/>
          <w:sz w:val="20"/>
          <w:szCs w:val="20"/>
        </w:rPr>
        <w:t>The Commission notes that one of the allegations made by the petitioner relate to physical mistreatment while in custody, and the denial of medical treatment.  Based on the record, the petitioner’s complaint was never investigated by the State. The Commission reiterates that under international standards applicable to cases like this one, where serious human rights violations such as physical abuse are alleged, the appropriate and effective remedy is precisely the filing and the undertaking of an effective criminal investigation aimed at the clarification of the facts and, if necessary, individualize the persons responsible and attribute the corresponding responsibilities</w:t>
      </w:r>
      <w:r>
        <w:rPr>
          <w:rStyle w:val="FootnoteReference"/>
          <w:rFonts w:ascii="Cambria" w:hAnsi="Cambria"/>
          <w:sz w:val="20"/>
          <w:szCs w:val="20"/>
        </w:rPr>
        <w:footnoteReference w:id="9"/>
      </w:r>
      <w:r w:rsidRPr="00B45E49">
        <w:rPr>
          <w:rFonts w:ascii="Cambria" w:hAnsi="Cambria"/>
          <w:sz w:val="20"/>
          <w:szCs w:val="20"/>
        </w:rPr>
        <w:t xml:space="preserve">.  The Commission observes that the alleged acts at issue began in 2010 and its effects concerning the alleged lack of investigation and punishment of said acts to the alleged victim continue to this date. As a result, in light of the context and the characteristics of this case, the Commission concludes that it has sufficient elements to believe that the exception set forth in Article 31.2 (b) </w:t>
      </w:r>
      <w:r w:rsidRPr="00B45E49">
        <w:rPr>
          <w:rFonts w:ascii="Cambria" w:hAnsi="Cambria"/>
          <w:sz w:val="20"/>
          <w:szCs w:val="20"/>
        </w:rPr>
        <w:lastRenderedPageBreak/>
        <w:t xml:space="preserve">of the IACHR Rules of Procedure is applicable in this case, and that the petition was filed in a reasonable time, under the terms of Article 32.2 of the IACHR Rules of Procedure. </w:t>
      </w:r>
    </w:p>
    <w:p w14:paraId="43BC24DA" w14:textId="77777777" w:rsidR="00C63BE1" w:rsidRDefault="00C63BE1" w:rsidP="0033700B">
      <w:pPr>
        <w:pStyle w:val="ListParagraph"/>
        <w:spacing w:before="120" w:after="240"/>
        <w:jc w:val="both"/>
        <w:rPr>
          <w:rFonts w:asciiTheme="majorHAnsi" w:hAnsiTheme="majorHAnsi"/>
          <w:b/>
          <w:bCs/>
          <w:sz w:val="20"/>
          <w:szCs w:val="20"/>
        </w:rPr>
      </w:pPr>
    </w:p>
    <w:p w14:paraId="378478A0" w14:textId="3F65E983" w:rsidR="00F621C3" w:rsidRPr="000B6B7A" w:rsidRDefault="00F621C3" w:rsidP="0033700B">
      <w:pPr>
        <w:pStyle w:val="ListParagraph"/>
        <w:spacing w:before="12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40E232F2" w:rsidR="00F621C3" w:rsidRPr="00EF734A" w:rsidRDefault="00B45E49"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B45E49">
        <w:rPr>
          <w:rFonts w:ascii="Cambria" w:hAnsi="Cambria"/>
          <w:sz w:val="20"/>
          <w:szCs w:val="20"/>
        </w:rPr>
        <w:t xml:space="preserve">The Inter-American Commission’s Rules of Procedure do not require a petitioner to identify the specific rights allegedly violated by the State in the matter brought before the Commission, although </w:t>
      </w:r>
      <w:r w:rsidRPr="00EF734A">
        <w:rPr>
          <w:rFonts w:asciiTheme="majorHAnsi" w:hAnsiTheme="majorHAnsi"/>
          <w:sz w:val="20"/>
          <w:szCs w:val="20"/>
        </w:rPr>
        <w:t>petitioners may do so. It is for the IACHR, based on the Inter-American system's jurisprudence, to determine in its admissibility report which provisions of the relevant instruments are applicable and could be found to have been violated if the alleged facts are proven by sufficient elements.</w:t>
      </w:r>
    </w:p>
    <w:p w14:paraId="0CD63C96" w14:textId="3547EF2C" w:rsidR="00B45E49" w:rsidRPr="00EF734A" w:rsidRDefault="00B45E49"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EF734A">
        <w:rPr>
          <w:rFonts w:ascii="Cambria" w:hAnsi="Cambria"/>
          <w:sz w:val="20"/>
          <w:szCs w:val="20"/>
        </w:rPr>
        <w:t xml:space="preserve">In view of the elements of fact and law presented by the parties and the nature of the matter brought to its attention, the Commission believes that, the alleged acts of physical mistreatment of the alleged victim, as well as the lack of investigation of said claims </w:t>
      </w:r>
      <w:r w:rsidR="00B52AE7">
        <w:rPr>
          <w:rFonts w:ascii="Cambria" w:hAnsi="Cambria"/>
          <w:sz w:val="20"/>
          <w:szCs w:val="20"/>
        </w:rPr>
        <w:t xml:space="preserve">are not manifestly groundless and, </w:t>
      </w:r>
      <w:r w:rsidR="00B52AE7" w:rsidRPr="00EF734A">
        <w:rPr>
          <w:rFonts w:ascii="Cambria" w:hAnsi="Cambria"/>
          <w:sz w:val="20"/>
          <w:szCs w:val="20"/>
        </w:rPr>
        <w:t xml:space="preserve">if proved, </w:t>
      </w:r>
      <w:r w:rsidRPr="00EF734A">
        <w:rPr>
          <w:rFonts w:ascii="Cambria" w:hAnsi="Cambria"/>
          <w:sz w:val="20"/>
          <w:szCs w:val="20"/>
        </w:rPr>
        <w:t>may represent violations of the rights enshrined in Articles II (right to equality before the law); XVIII (right to fair trial); Article XXV (human treatment in custody) and XXVI (due process of law) of the American Declaration.</w:t>
      </w:r>
    </w:p>
    <w:p w14:paraId="6D6CC583" w14:textId="29F29ADB" w:rsidR="00B45E49" w:rsidRPr="000B6B7A" w:rsidRDefault="00B45E49" w:rsidP="00337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B45E49">
        <w:rPr>
          <w:rFonts w:ascii="Cambria" w:hAnsi="Cambria"/>
          <w:sz w:val="20"/>
          <w:szCs w:val="20"/>
        </w:rPr>
        <w:t>With respect to the allegations of ineffective assistance of counsel, The Inter-American Commission has previously indicated that the right to due process and to a fair trial includes the right to adequate means for the preparation of a defense, assisted by adequate legal counsel.   Accordingly, adequate legal representation is a fundamental component of the right to a fair trial</w:t>
      </w:r>
      <w:r>
        <w:rPr>
          <w:rStyle w:val="FootnoteReference"/>
          <w:rFonts w:ascii="Cambria" w:hAnsi="Cambria"/>
          <w:sz w:val="20"/>
          <w:szCs w:val="20"/>
        </w:rPr>
        <w:footnoteReference w:id="10"/>
      </w:r>
      <w:r w:rsidRPr="00B45E49">
        <w:rPr>
          <w:rFonts w:ascii="Cambria" w:hAnsi="Cambria"/>
          <w:sz w:val="20"/>
          <w:szCs w:val="20"/>
        </w:rPr>
        <w:t>.   Having regard for the petitioner’s allegations relating to the inadequacy of the counsel at trial</w:t>
      </w:r>
      <w:r>
        <w:rPr>
          <w:rStyle w:val="FootnoteReference"/>
          <w:rFonts w:ascii="Cambria" w:hAnsi="Cambria"/>
          <w:sz w:val="20"/>
          <w:szCs w:val="20"/>
        </w:rPr>
        <w:footnoteReference w:id="11"/>
      </w:r>
      <w:r w:rsidRPr="00B45E49">
        <w:rPr>
          <w:rFonts w:ascii="Cambria" w:hAnsi="Cambria"/>
          <w:sz w:val="20"/>
          <w:szCs w:val="20"/>
        </w:rPr>
        <w:t xml:space="preserve"> and appellate</w:t>
      </w:r>
      <w:r>
        <w:rPr>
          <w:rStyle w:val="FootnoteReference"/>
          <w:rFonts w:ascii="Cambria" w:hAnsi="Cambria"/>
          <w:sz w:val="20"/>
          <w:szCs w:val="20"/>
        </w:rPr>
        <w:footnoteReference w:id="12"/>
      </w:r>
      <w:r w:rsidRPr="00B45E49">
        <w:rPr>
          <w:rFonts w:ascii="Cambria" w:hAnsi="Cambria"/>
          <w:sz w:val="20"/>
          <w:szCs w:val="20"/>
        </w:rPr>
        <w:t xml:space="preserve"> stages of the domestic proceedings, the IACHR considers that these allegations </w:t>
      </w:r>
      <w:r w:rsidR="00B52AE7">
        <w:rPr>
          <w:rFonts w:ascii="Cambria" w:hAnsi="Cambria"/>
          <w:sz w:val="20"/>
          <w:szCs w:val="20"/>
        </w:rPr>
        <w:t xml:space="preserve">are not </w:t>
      </w:r>
      <w:r w:rsidR="00B52AE7" w:rsidRPr="00B52AE7">
        <w:rPr>
          <w:rFonts w:ascii="Cambria" w:hAnsi="Cambria"/>
          <w:sz w:val="20"/>
          <w:szCs w:val="20"/>
        </w:rPr>
        <w:t xml:space="preserve">manifestly groundless and, if proved </w:t>
      </w:r>
      <w:r w:rsidRPr="00B45E49">
        <w:rPr>
          <w:rFonts w:ascii="Cambria" w:hAnsi="Cambria"/>
          <w:sz w:val="20"/>
          <w:szCs w:val="20"/>
        </w:rPr>
        <w:t>could also tend to establish a violation of Articles XVIII and XXVI of the American Declaration.</w:t>
      </w:r>
    </w:p>
    <w:p w14:paraId="5A70550C" w14:textId="77777777" w:rsidR="00F621C3" w:rsidRPr="000B6B7A" w:rsidRDefault="00F621C3" w:rsidP="0033700B">
      <w:pPr>
        <w:pStyle w:val="ListParagraph"/>
        <w:spacing w:before="12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07DBF6CA" w:rsidR="00F621C3" w:rsidRPr="000B6B7A" w:rsidRDefault="00F621C3" w:rsidP="0033700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0B6B7A">
        <w:rPr>
          <w:rFonts w:asciiTheme="majorHAnsi" w:hAnsiTheme="majorHAnsi"/>
          <w:sz w:val="20"/>
          <w:szCs w:val="20"/>
        </w:rPr>
        <w:t>To find the instant petition admissible in relation to Articles</w:t>
      </w:r>
      <w:r w:rsidR="00E8491D" w:rsidRPr="00E8491D">
        <w:rPr>
          <w:rFonts w:asciiTheme="majorHAnsi" w:hAnsiTheme="majorHAnsi"/>
          <w:color w:val="FF0000"/>
          <w:sz w:val="20"/>
          <w:szCs w:val="20"/>
        </w:rPr>
        <w:t xml:space="preserve"> </w:t>
      </w:r>
      <w:r w:rsidR="00E8491D" w:rsidRPr="00E8491D">
        <w:rPr>
          <w:rFonts w:asciiTheme="majorHAnsi" w:hAnsiTheme="majorHAnsi"/>
          <w:sz w:val="20"/>
          <w:szCs w:val="20"/>
        </w:rPr>
        <w:t>II</w:t>
      </w:r>
      <w:r w:rsidR="00E8491D">
        <w:rPr>
          <w:rFonts w:asciiTheme="majorHAnsi" w:hAnsiTheme="majorHAnsi"/>
          <w:sz w:val="20"/>
          <w:szCs w:val="20"/>
        </w:rPr>
        <w:t>,</w:t>
      </w:r>
      <w:r w:rsidR="00E8491D" w:rsidRPr="00E8491D">
        <w:rPr>
          <w:rFonts w:asciiTheme="majorHAnsi" w:hAnsiTheme="majorHAnsi"/>
          <w:sz w:val="20"/>
          <w:szCs w:val="20"/>
        </w:rPr>
        <w:t xml:space="preserve"> XVIII</w:t>
      </w:r>
      <w:r w:rsidR="00E8491D">
        <w:rPr>
          <w:rFonts w:asciiTheme="majorHAnsi" w:hAnsiTheme="majorHAnsi"/>
          <w:sz w:val="20"/>
          <w:szCs w:val="20"/>
        </w:rPr>
        <w:t>,</w:t>
      </w:r>
      <w:r w:rsidR="00E8491D" w:rsidRPr="00E8491D">
        <w:rPr>
          <w:rFonts w:asciiTheme="majorHAnsi" w:hAnsiTheme="majorHAnsi"/>
          <w:sz w:val="20"/>
          <w:szCs w:val="20"/>
        </w:rPr>
        <w:t xml:space="preserve"> </w:t>
      </w:r>
      <w:r w:rsidR="00E8491D">
        <w:rPr>
          <w:rFonts w:asciiTheme="majorHAnsi" w:hAnsiTheme="majorHAnsi"/>
          <w:sz w:val="20"/>
          <w:szCs w:val="20"/>
        </w:rPr>
        <w:t>XXV and XXVI</w:t>
      </w:r>
      <w:r w:rsidR="00E8491D" w:rsidRPr="00E8491D">
        <w:rPr>
          <w:rFonts w:asciiTheme="majorHAnsi" w:hAnsiTheme="majorHAnsi"/>
          <w:sz w:val="20"/>
          <w:szCs w:val="20"/>
        </w:rPr>
        <w:t xml:space="preserve"> of the American Declaration</w:t>
      </w:r>
      <w:r w:rsidRPr="00E8491D">
        <w:rPr>
          <w:rFonts w:asciiTheme="majorHAnsi" w:hAnsiTheme="majorHAnsi"/>
          <w:sz w:val="20"/>
          <w:szCs w:val="20"/>
        </w:rPr>
        <w:t>;</w:t>
      </w:r>
    </w:p>
    <w:p w14:paraId="22CC8DDA" w14:textId="580C05A5" w:rsidR="00F621C3" w:rsidRPr="00C63BE1" w:rsidRDefault="00F621C3" w:rsidP="0033700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E8491D">
        <w:rPr>
          <w:rFonts w:asciiTheme="majorHAnsi" w:hAnsiTheme="majorHAnsi"/>
          <w:sz w:val="20"/>
          <w:szCs w:val="20"/>
        </w:rPr>
        <w:t>t</w:t>
      </w:r>
      <w:r w:rsidRPr="00E8491D">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B86F25E" w14:textId="72613B3A" w:rsidR="00C63BE1" w:rsidRPr="006D25D7" w:rsidRDefault="00C63BE1" w:rsidP="0033700B">
      <w:pPr>
        <w:suppressAutoHyphens/>
        <w:spacing w:after="240"/>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31</w:t>
      </w:r>
      <w:r w:rsidRPr="00C63BE1">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 xml:space="preserve">day of the month of </w:t>
      </w:r>
      <w:r>
        <w:rPr>
          <w:rFonts w:ascii="Cambria" w:hAnsi="Cambria"/>
          <w:spacing w:val="-2"/>
          <w:sz w:val="20"/>
        </w:rPr>
        <w:t>Decem</w:t>
      </w:r>
      <w:r w:rsidRPr="006D25D7">
        <w:rPr>
          <w:rFonts w:ascii="Cambria" w:hAnsi="Cambria"/>
          <w:spacing w:val="-2"/>
          <w:sz w:val="20"/>
        </w:rPr>
        <w:t>ber, 201</w:t>
      </w:r>
      <w:r w:rsidRPr="00F9365E">
        <w:rPr>
          <w:rFonts w:ascii="Cambria" w:hAnsi="Cambria"/>
          <w:spacing w:val="-2"/>
          <w:sz w:val="20"/>
        </w:rPr>
        <w:t>9</w:t>
      </w:r>
      <w:r w:rsidRPr="006D25D7">
        <w:rPr>
          <w:rFonts w:ascii="Cambria" w:hAnsi="Cambria"/>
          <w:spacing w:val="-2"/>
          <w:sz w:val="20"/>
        </w:rPr>
        <w:t xml:space="preserve">. </w:t>
      </w:r>
      <w:r w:rsidRPr="00F9365E">
        <w:rPr>
          <w:rFonts w:ascii="Cambria" w:hAnsi="Cambria"/>
          <w:sz w:val="20"/>
        </w:rPr>
        <w:t>Esmeralda E. Arosemena Bernal de Troitiño</w:t>
      </w:r>
      <w:r w:rsidRPr="006D25D7">
        <w:rPr>
          <w:rFonts w:ascii="Cambria" w:hAnsi="Cambria"/>
          <w:sz w:val="20"/>
        </w:rPr>
        <w:t xml:space="preserve">, President; </w:t>
      </w:r>
      <w:r w:rsidRPr="006618CD">
        <w:rPr>
          <w:rFonts w:ascii="Cambria" w:hAnsi="Cambria"/>
          <w:sz w:val="20"/>
          <w:szCs w:val="20"/>
        </w:rPr>
        <w:t>Joel Hernández García</w:t>
      </w:r>
      <w:r w:rsidRPr="006D25D7">
        <w:rPr>
          <w:rFonts w:ascii="Cambria" w:hAnsi="Cambria"/>
          <w:sz w:val="20"/>
        </w:rPr>
        <w:t xml:space="preserve">, First Vice President; </w:t>
      </w:r>
      <w:r w:rsidRPr="006618CD">
        <w:rPr>
          <w:rFonts w:ascii="Cambria" w:hAnsi="Cambria"/>
          <w:sz w:val="20"/>
          <w:szCs w:val="20"/>
        </w:rPr>
        <w:t>Antonia Urrejola Noguera</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Francisco José Eguiguren Praeli, </w:t>
      </w:r>
      <w:r w:rsidRPr="00F9365E">
        <w:rPr>
          <w:rFonts w:ascii="Cambria" w:hAnsi="Cambria"/>
          <w:sz w:val="20"/>
        </w:rPr>
        <w:t>Luis Ernesto Vargas Silva</w:t>
      </w:r>
      <w:r>
        <w:rPr>
          <w:rFonts w:ascii="Cambria" w:hAnsi="Cambria"/>
          <w:sz w:val="20"/>
        </w:rPr>
        <w:t xml:space="preserve"> </w:t>
      </w:r>
      <w:r w:rsidRPr="006D25D7">
        <w:rPr>
          <w:rFonts w:ascii="Cambria" w:hAnsi="Cambria"/>
          <w:sz w:val="20"/>
        </w:rPr>
        <w:t xml:space="preserve"> and Flávia Piovesan,</w:t>
      </w:r>
      <w:r w:rsidRPr="006D25D7">
        <w:rPr>
          <w:rFonts w:ascii="Cambria" w:hAnsi="Cambria" w:cs="Arial"/>
          <w:noProof/>
          <w:spacing w:val="-2"/>
          <w:sz w:val="20"/>
        </w:rPr>
        <w:t xml:space="preserve">  </w:t>
      </w:r>
      <w:r w:rsidRPr="006D25D7">
        <w:rPr>
          <w:rFonts w:ascii="Cambria" w:hAnsi="Cambria"/>
          <w:spacing w:val="-2"/>
          <w:sz w:val="20"/>
        </w:rPr>
        <w:t>Commissioners.</w:t>
      </w:r>
    </w:p>
    <w:sectPr w:rsidR="00C63BE1" w:rsidRPr="006D25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E1CB" w14:textId="77777777" w:rsidR="00CD2B8E" w:rsidRDefault="00CD2B8E" w:rsidP="00036A8A">
      <w:r>
        <w:separator/>
      </w:r>
    </w:p>
  </w:endnote>
  <w:endnote w:type="continuationSeparator" w:id="0">
    <w:p w14:paraId="1B41626B" w14:textId="77777777" w:rsidR="00CD2B8E" w:rsidRDefault="00CD2B8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1A5F" w14:textId="77777777" w:rsidR="00896C75" w:rsidRDefault="00896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520B4E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96C75">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B1F36" w14:textId="77777777" w:rsidR="00CD2B8E" w:rsidRPr="00036A8A" w:rsidRDefault="00CD2B8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6300615" w14:textId="77777777" w:rsidR="00CD2B8E" w:rsidRPr="00036A8A" w:rsidRDefault="00CD2B8E" w:rsidP="00036A8A">
      <w:pPr>
        <w:rPr>
          <w:rFonts w:asciiTheme="majorHAnsi" w:hAnsiTheme="majorHAnsi"/>
          <w:sz w:val="16"/>
          <w:szCs w:val="16"/>
        </w:rPr>
      </w:pPr>
      <w:r w:rsidRPr="00036A8A">
        <w:rPr>
          <w:rFonts w:asciiTheme="majorHAnsi" w:hAnsiTheme="majorHAnsi"/>
          <w:sz w:val="16"/>
          <w:szCs w:val="16"/>
        </w:rPr>
        <w:separator/>
      </w:r>
    </w:p>
    <w:p w14:paraId="4B662287" w14:textId="77777777" w:rsidR="00CD2B8E" w:rsidRPr="00036A8A" w:rsidRDefault="00CD2B8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8FF740E" w14:textId="77777777" w:rsidR="00CD2B8E" w:rsidRPr="0093441A" w:rsidRDefault="00CD2B8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69AA3DE" w14:textId="5D617D91" w:rsidR="003D6EE0" w:rsidRPr="008546E5" w:rsidRDefault="003D6EE0" w:rsidP="003D6EE0">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w:t>
      </w:r>
      <w:r w:rsidR="00990441" w:rsidRPr="00990441">
        <w:rPr>
          <w:rFonts w:ascii="Cambria" w:hAnsi="Cambria"/>
          <w:sz w:val="16"/>
          <w:szCs w:val="16"/>
        </w:rPr>
        <w:t>Hereinafter “United States” or “the State</w:t>
      </w:r>
      <w:r w:rsidR="00273832">
        <w:rPr>
          <w:rFonts w:ascii="Cambria" w:hAnsi="Cambria"/>
          <w:sz w:val="16"/>
          <w:szCs w:val="16"/>
        </w:rPr>
        <w:t>”</w:t>
      </w:r>
      <w:r w:rsidRPr="008546E5">
        <w:rPr>
          <w:rFonts w:ascii="Cambria" w:hAnsi="Cambria"/>
          <w:sz w:val="16"/>
          <w:szCs w:val="16"/>
        </w:rPr>
        <w:t>.</w:t>
      </w:r>
    </w:p>
  </w:footnote>
  <w:footnote w:id="3">
    <w:p w14:paraId="6F51BDAF" w14:textId="5F4755E7" w:rsidR="00653EA6" w:rsidRPr="00E8491D" w:rsidRDefault="00653EA6" w:rsidP="003D6EE0">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The observations </w:t>
      </w:r>
      <w:r w:rsidR="00321AFD" w:rsidRPr="00E8491D">
        <w:rPr>
          <w:rFonts w:asciiTheme="majorHAnsi" w:hAnsiTheme="majorHAnsi"/>
          <w:sz w:val="16"/>
          <w:szCs w:val="16"/>
        </w:rPr>
        <w:t>submitted</w:t>
      </w:r>
      <w:r w:rsidRPr="00E8491D">
        <w:rPr>
          <w:rFonts w:asciiTheme="majorHAnsi" w:hAnsiTheme="majorHAnsi"/>
          <w:sz w:val="16"/>
          <w:szCs w:val="16"/>
        </w:rPr>
        <w:t xml:space="preserve"> by each party were duly transmitted to the opposing party.</w:t>
      </w:r>
    </w:p>
  </w:footnote>
  <w:footnote w:id="4">
    <w:p w14:paraId="438EFAE6" w14:textId="495D1A78" w:rsidR="00990441" w:rsidRPr="00E8491D" w:rsidRDefault="00990441">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Hereinafter “American Declaration”. </w:t>
      </w:r>
    </w:p>
  </w:footnote>
  <w:footnote w:id="5">
    <w:p w14:paraId="6B2EFCBB" w14:textId="569E8549" w:rsidR="00526F8E" w:rsidRPr="00E8491D" w:rsidRDefault="00526F8E">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Filed January 21, 2011; dismissed February 2012.</w:t>
      </w:r>
    </w:p>
  </w:footnote>
  <w:footnote w:id="6">
    <w:p w14:paraId="440E5FCE" w14:textId="691EF94D" w:rsidR="00526F8E" w:rsidRPr="00E8491D" w:rsidRDefault="00526F8E">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Filed June 1, 2011; dismissed February 2012.</w:t>
      </w:r>
    </w:p>
  </w:footnote>
  <w:footnote w:id="7">
    <w:p w14:paraId="44867FB2" w14:textId="0386D1BF" w:rsidR="00526F8E" w:rsidRPr="00E8491D" w:rsidRDefault="00526F8E">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Dismissed January 29, 2013</w:t>
      </w:r>
      <w:r w:rsidR="00B45E49" w:rsidRPr="00E8491D">
        <w:rPr>
          <w:rFonts w:asciiTheme="majorHAnsi" w:hAnsiTheme="majorHAnsi"/>
          <w:sz w:val="16"/>
          <w:szCs w:val="16"/>
        </w:rPr>
        <w:t>.</w:t>
      </w:r>
    </w:p>
  </w:footnote>
  <w:footnote w:id="8">
    <w:p w14:paraId="00D563D0" w14:textId="66294328" w:rsidR="00526F8E" w:rsidRPr="00E8491D" w:rsidRDefault="00526F8E">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w:t>
      </w:r>
      <w:r w:rsidR="00B45E49" w:rsidRPr="00E8491D">
        <w:rPr>
          <w:rFonts w:asciiTheme="majorHAnsi" w:hAnsiTheme="majorHAnsi"/>
          <w:sz w:val="16"/>
          <w:szCs w:val="16"/>
        </w:rPr>
        <w:t xml:space="preserve"> Denied </w:t>
      </w:r>
      <w:r w:rsidRPr="00E8491D">
        <w:rPr>
          <w:rFonts w:asciiTheme="majorHAnsi" w:hAnsiTheme="majorHAnsi"/>
          <w:sz w:val="16"/>
          <w:szCs w:val="16"/>
        </w:rPr>
        <w:t>March 6, 2013</w:t>
      </w:r>
      <w:r w:rsidR="00B45E49" w:rsidRPr="00E8491D">
        <w:rPr>
          <w:rFonts w:asciiTheme="majorHAnsi" w:hAnsiTheme="majorHAnsi"/>
          <w:sz w:val="16"/>
          <w:szCs w:val="16"/>
        </w:rPr>
        <w:t>.</w:t>
      </w:r>
    </w:p>
  </w:footnote>
  <w:footnote w:id="9">
    <w:p w14:paraId="6DC106A3" w14:textId="1B9F7339" w:rsidR="00B45E49" w:rsidRPr="00E8491D" w:rsidRDefault="00B45E49">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See IACHR, Report No. 156/17. </w:t>
      </w:r>
      <w:proofErr w:type="spellStart"/>
      <w:r w:rsidRPr="00F0060F">
        <w:rPr>
          <w:rFonts w:asciiTheme="majorHAnsi" w:hAnsiTheme="majorHAnsi"/>
          <w:sz w:val="16"/>
          <w:szCs w:val="16"/>
          <w:lang w:val="es-US"/>
        </w:rPr>
        <w:t>Admissibility</w:t>
      </w:r>
      <w:proofErr w:type="spellEnd"/>
      <w:r w:rsidRPr="00F0060F">
        <w:rPr>
          <w:rFonts w:asciiTheme="majorHAnsi" w:hAnsiTheme="majorHAnsi"/>
          <w:sz w:val="16"/>
          <w:szCs w:val="16"/>
          <w:lang w:val="es-US"/>
        </w:rPr>
        <w:t xml:space="preserve">. </w:t>
      </w:r>
      <w:r w:rsidRPr="00E8491D">
        <w:rPr>
          <w:rFonts w:asciiTheme="majorHAnsi" w:hAnsiTheme="majorHAnsi"/>
          <w:sz w:val="16"/>
          <w:szCs w:val="16"/>
          <w:lang w:val="es-US"/>
        </w:rPr>
        <w:t xml:space="preserve">Carlos Alfonso Fonseca Murillo. </w:t>
      </w:r>
      <w:r w:rsidRPr="0033700B">
        <w:rPr>
          <w:rFonts w:asciiTheme="majorHAnsi" w:hAnsiTheme="majorHAnsi"/>
          <w:sz w:val="16"/>
          <w:szCs w:val="16"/>
        </w:rPr>
        <w:t xml:space="preserve">Ecuador. </w:t>
      </w:r>
      <w:r w:rsidRPr="00E8491D">
        <w:rPr>
          <w:rFonts w:asciiTheme="majorHAnsi" w:hAnsiTheme="majorHAnsi"/>
          <w:sz w:val="16"/>
          <w:szCs w:val="16"/>
        </w:rPr>
        <w:t>November 30, 2017, para. 13.</w:t>
      </w:r>
    </w:p>
  </w:footnote>
  <w:footnote w:id="10">
    <w:p w14:paraId="62DEA1A6" w14:textId="3DCFD11F" w:rsidR="00B45E49" w:rsidRPr="00E8491D" w:rsidRDefault="00B45E49" w:rsidP="00216EAC">
      <w:pPr>
        <w:pStyle w:val="FootnoteText"/>
        <w:jc w:val="both"/>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In IACHR Report No. 52/13, Cases 11.575 and 12.341, Clarence Allen Lackey et al; Miguel Angel Flores, and James Wilson Chambers (Merits), United States, July 15, 2013, the IACHR observed at para. 202  that: “The right to The right to legal representation provided by the State must be guaranteed in a manner that renders it effective and therefore requires not only that defense counsel be provided, but that defense counsel be competent in representing the defendant.  The Inter-American Commission has recognized that a State cannot be held responsible for every shortcoming on the part of an attorney.  The legal profession is independent of the State; hence, the State has neither knowledge of nor control over how defense counsel represents his or her client.  Even so, the national authorities have an obligation to intervene if a failure by defense counsel to provide effective representation is manifest or is sufficiently brought to their attention.  That obligation is all the greater when the legal representation is provided by the State.</w:t>
      </w:r>
    </w:p>
  </w:footnote>
  <w:footnote w:id="11">
    <w:p w14:paraId="6D39B910" w14:textId="05463084" w:rsidR="00B45E49" w:rsidRPr="00E8491D" w:rsidRDefault="00B45E49">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Richard Jackson and Kevin </w:t>
      </w:r>
      <w:proofErr w:type="spellStart"/>
      <w:r w:rsidRPr="00E8491D">
        <w:rPr>
          <w:rFonts w:asciiTheme="majorHAnsi" w:hAnsiTheme="majorHAnsi"/>
          <w:sz w:val="16"/>
          <w:szCs w:val="16"/>
        </w:rPr>
        <w:t>Proul</w:t>
      </w:r>
      <w:proofErr w:type="spellEnd"/>
      <w:r w:rsidRPr="00E8491D">
        <w:rPr>
          <w:rFonts w:asciiTheme="majorHAnsi" w:hAnsiTheme="majorHAnsi"/>
          <w:sz w:val="16"/>
          <w:szCs w:val="16"/>
        </w:rPr>
        <w:t>.</w:t>
      </w:r>
    </w:p>
  </w:footnote>
  <w:footnote w:id="12">
    <w:p w14:paraId="1004F220" w14:textId="41B7087A" w:rsidR="00B45E49" w:rsidRPr="00E8491D" w:rsidRDefault="00B45E49">
      <w:pPr>
        <w:pStyle w:val="FootnoteText"/>
        <w:rPr>
          <w:rFonts w:asciiTheme="majorHAnsi" w:hAnsiTheme="majorHAnsi"/>
          <w:sz w:val="16"/>
          <w:szCs w:val="16"/>
        </w:rPr>
      </w:pPr>
      <w:r w:rsidRPr="00E8491D">
        <w:rPr>
          <w:rStyle w:val="FootnoteReference"/>
          <w:rFonts w:asciiTheme="majorHAnsi" w:hAnsiTheme="majorHAnsi"/>
          <w:sz w:val="16"/>
          <w:szCs w:val="16"/>
        </w:rPr>
        <w:footnoteRef/>
      </w:r>
      <w:r w:rsidRPr="00E8491D">
        <w:rPr>
          <w:rFonts w:asciiTheme="majorHAnsi" w:hAnsiTheme="majorHAnsi"/>
          <w:sz w:val="16"/>
          <w:szCs w:val="16"/>
        </w:rPr>
        <w:t xml:space="preserve">   Kimberly Nolan Hopkins.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D2B8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BCC3" w14:textId="77777777" w:rsidR="00896C75" w:rsidRDefault="0089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6D1F"/>
    <w:rsid w:val="00036A8A"/>
    <w:rsid w:val="00040C3A"/>
    <w:rsid w:val="000639C0"/>
    <w:rsid w:val="00070F3A"/>
    <w:rsid w:val="000716C5"/>
    <w:rsid w:val="00075E23"/>
    <w:rsid w:val="00086089"/>
    <w:rsid w:val="00087154"/>
    <w:rsid w:val="00092F32"/>
    <w:rsid w:val="0009344A"/>
    <w:rsid w:val="000A575F"/>
    <w:rsid w:val="000B6429"/>
    <w:rsid w:val="000C4365"/>
    <w:rsid w:val="000D10DB"/>
    <w:rsid w:val="00124116"/>
    <w:rsid w:val="0013104F"/>
    <w:rsid w:val="00137EBA"/>
    <w:rsid w:val="001423E0"/>
    <w:rsid w:val="00145EDC"/>
    <w:rsid w:val="00153084"/>
    <w:rsid w:val="00167A34"/>
    <w:rsid w:val="001714B4"/>
    <w:rsid w:val="0018037F"/>
    <w:rsid w:val="001A5F27"/>
    <w:rsid w:val="001A65E4"/>
    <w:rsid w:val="001A7870"/>
    <w:rsid w:val="001C1B41"/>
    <w:rsid w:val="001E366B"/>
    <w:rsid w:val="001F1902"/>
    <w:rsid w:val="00210E0E"/>
    <w:rsid w:val="00210F4B"/>
    <w:rsid w:val="00216EAC"/>
    <w:rsid w:val="00230163"/>
    <w:rsid w:val="0023351C"/>
    <w:rsid w:val="00242BF6"/>
    <w:rsid w:val="00247403"/>
    <w:rsid w:val="00247542"/>
    <w:rsid w:val="00257893"/>
    <w:rsid w:val="00263BF5"/>
    <w:rsid w:val="00266092"/>
    <w:rsid w:val="00266B61"/>
    <w:rsid w:val="0026712A"/>
    <w:rsid w:val="002704DB"/>
    <w:rsid w:val="00273832"/>
    <w:rsid w:val="002760CE"/>
    <w:rsid w:val="002B624D"/>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700B"/>
    <w:rsid w:val="003414AC"/>
    <w:rsid w:val="00356185"/>
    <w:rsid w:val="00360380"/>
    <w:rsid w:val="003771A3"/>
    <w:rsid w:val="00386CF0"/>
    <w:rsid w:val="003A4348"/>
    <w:rsid w:val="003C32BC"/>
    <w:rsid w:val="003C6AD8"/>
    <w:rsid w:val="003D359E"/>
    <w:rsid w:val="003D6EE0"/>
    <w:rsid w:val="003E3E03"/>
    <w:rsid w:val="003F1BBF"/>
    <w:rsid w:val="004162B1"/>
    <w:rsid w:val="004165C2"/>
    <w:rsid w:val="00450A4A"/>
    <w:rsid w:val="0045594D"/>
    <w:rsid w:val="004666FB"/>
    <w:rsid w:val="00466D0B"/>
    <w:rsid w:val="0046794B"/>
    <w:rsid w:val="00467B7E"/>
    <w:rsid w:val="0049419D"/>
    <w:rsid w:val="004B2762"/>
    <w:rsid w:val="004B7EB6"/>
    <w:rsid w:val="004C41DE"/>
    <w:rsid w:val="004C4B62"/>
    <w:rsid w:val="004D6025"/>
    <w:rsid w:val="004D72BC"/>
    <w:rsid w:val="004F6B67"/>
    <w:rsid w:val="00501399"/>
    <w:rsid w:val="00507BC4"/>
    <w:rsid w:val="005128E4"/>
    <w:rsid w:val="00525560"/>
    <w:rsid w:val="00526F8E"/>
    <w:rsid w:val="005357A6"/>
    <w:rsid w:val="00544C49"/>
    <w:rsid w:val="00571C9F"/>
    <w:rsid w:val="0057402A"/>
    <w:rsid w:val="005771D0"/>
    <w:rsid w:val="005816E5"/>
    <w:rsid w:val="0059191A"/>
    <w:rsid w:val="005921FF"/>
    <w:rsid w:val="00592718"/>
    <w:rsid w:val="005A6D0E"/>
    <w:rsid w:val="005B222D"/>
    <w:rsid w:val="005B52B0"/>
    <w:rsid w:val="005B6806"/>
    <w:rsid w:val="005C00F9"/>
    <w:rsid w:val="005C4225"/>
    <w:rsid w:val="005F0F33"/>
    <w:rsid w:val="005F2F07"/>
    <w:rsid w:val="00600DEB"/>
    <w:rsid w:val="00613027"/>
    <w:rsid w:val="00627C9F"/>
    <w:rsid w:val="006311DA"/>
    <w:rsid w:val="006311E9"/>
    <w:rsid w:val="006318B2"/>
    <w:rsid w:val="00632354"/>
    <w:rsid w:val="00642810"/>
    <w:rsid w:val="00652333"/>
    <w:rsid w:val="00653EA6"/>
    <w:rsid w:val="0068009E"/>
    <w:rsid w:val="006A17D2"/>
    <w:rsid w:val="006A73E6"/>
    <w:rsid w:val="006B108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B7F82"/>
    <w:rsid w:val="007C3334"/>
    <w:rsid w:val="007C52BB"/>
    <w:rsid w:val="007D2B98"/>
    <w:rsid w:val="007F7980"/>
    <w:rsid w:val="00803F1C"/>
    <w:rsid w:val="0080600E"/>
    <w:rsid w:val="00817612"/>
    <w:rsid w:val="00837C45"/>
    <w:rsid w:val="00853419"/>
    <w:rsid w:val="008546E5"/>
    <w:rsid w:val="00896C75"/>
    <w:rsid w:val="00897E12"/>
    <w:rsid w:val="008D43BA"/>
    <w:rsid w:val="008E3759"/>
    <w:rsid w:val="008E40F5"/>
    <w:rsid w:val="009041DC"/>
    <w:rsid w:val="009104B4"/>
    <w:rsid w:val="009213AE"/>
    <w:rsid w:val="009228DA"/>
    <w:rsid w:val="00925FCD"/>
    <w:rsid w:val="0093441A"/>
    <w:rsid w:val="00954BF7"/>
    <w:rsid w:val="0096706E"/>
    <w:rsid w:val="00981FBA"/>
    <w:rsid w:val="0098783D"/>
    <w:rsid w:val="00990441"/>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25D7B"/>
    <w:rsid w:val="00B314DB"/>
    <w:rsid w:val="00B31EBE"/>
    <w:rsid w:val="00B36CA3"/>
    <w:rsid w:val="00B3718B"/>
    <w:rsid w:val="00B43E9A"/>
    <w:rsid w:val="00B44B23"/>
    <w:rsid w:val="00B45E49"/>
    <w:rsid w:val="00B4632A"/>
    <w:rsid w:val="00B52AE7"/>
    <w:rsid w:val="00B92E49"/>
    <w:rsid w:val="00BA276C"/>
    <w:rsid w:val="00BB306F"/>
    <w:rsid w:val="00BD232B"/>
    <w:rsid w:val="00BD2E42"/>
    <w:rsid w:val="00BD4B89"/>
    <w:rsid w:val="00C044DB"/>
    <w:rsid w:val="00C21762"/>
    <w:rsid w:val="00C24543"/>
    <w:rsid w:val="00C256A2"/>
    <w:rsid w:val="00C3492D"/>
    <w:rsid w:val="00C355B4"/>
    <w:rsid w:val="00C55560"/>
    <w:rsid w:val="00C63BE1"/>
    <w:rsid w:val="00C66B72"/>
    <w:rsid w:val="00C9567A"/>
    <w:rsid w:val="00CA6577"/>
    <w:rsid w:val="00CB2660"/>
    <w:rsid w:val="00CC5E90"/>
    <w:rsid w:val="00CD046C"/>
    <w:rsid w:val="00CD2B8E"/>
    <w:rsid w:val="00CE5199"/>
    <w:rsid w:val="00CE66D5"/>
    <w:rsid w:val="00CF7995"/>
    <w:rsid w:val="00D15443"/>
    <w:rsid w:val="00D34786"/>
    <w:rsid w:val="00D40A1E"/>
    <w:rsid w:val="00D533C0"/>
    <w:rsid w:val="00D712D3"/>
    <w:rsid w:val="00D71422"/>
    <w:rsid w:val="00D7145E"/>
    <w:rsid w:val="00D75084"/>
    <w:rsid w:val="00D7558D"/>
    <w:rsid w:val="00D81D92"/>
    <w:rsid w:val="00D93446"/>
    <w:rsid w:val="00DA7B5F"/>
    <w:rsid w:val="00DD11F2"/>
    <w:rsid w:val="00DF078B"/>
    <w:rsid w:val="00DF350D"/>
    <w:rsid w:val="00E227C1"/>
    <w:rsid w:val="00E43157"/>
    <w:rsid w:val="00E47F3D"/>
    <w:rsid w:val="00E533FF"/>
    <w:rsid w:val="00E64EC7"/>
    <w:rsid w:val="00E709B3"/>
    <w:rsid w:val="00E7588C"/>
    <w:rsid w:val="00E7797F"/>
    <w:rsid w:val="00E8491D"/>
    <w:rsid w:val="00E850B6"/>
    <w:rsid w:val="00E8789F"/>
    <w:rsid w:val="00E92FA2"/>
    <w:rsid w:val="00E97B71"/>
    <w:rsid w:val="00EB454D"/>
    <w:rsid w:val="00EB6224"/>
    <w:rsid w:val="00ED0D1B"/>
    <w:rsid w:val="00EE3522"/>
    <w:rsid w:val="00EF619B"/>
    <w:rsid w:val="00EF62C8"/>
    <w:rsid w:val="00EF734A"/>
    <w:rsid w:val="00F0060F"/>
    <w:rsid w:val="00F00B55"/>
    <w:rsid w:val="00F1380F"/>
    <w:rsid w:val="00F14F0E"/>
    <w:rsid w:val="00F15A3B"/>
    <w:rsid w:val="00F24C29"/>
    <w:rsid w:val="00F253CC"/>
    <w:rsid w:val="00F25494"/>
    <w:rsid w:val="00F42B71"/>
    <w:rsid w:val="00F56BA5"/>
    <w:rsid w:val="00F621C3"/>
    <w:rsid w:val="00F644E6"/>
    <w:rsid w:val="00F661B5"/>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A323-AF39-467E-BFE9-8C951E32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8562</Characters>
  <Application>Microsoft Office Word</Application>
  <DocSecurity>0</DocSecurity>
  <Lines>186</Lines>
  <Paragraphs>61</Paragraphs>
  <ScaleCrop>false</ScaleCrop>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231/19</dc:title>
  <dc:creator/>
  <cp:lastModifiedBy/>
  <cp:revision>1</cp:revision>
  <dcterms:created xsi:type="dcterms:W3CDTF">2020-03-30T15:10:00Z</dcterms:created>
  <dcterms:modified xsi:type="dcterms:W3CDTF">2020-03-30T15:10:00Z</dcterms:modified>
</cp:coreProperties>
</file>