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067A659"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61BB" w:rsidRDefault="000D61BB">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01FFD3A"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0D61BB" w:rsidRDefault="000D61BB">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61BB" w:rsidRPr="00DE70EC" w:rsidRDefault="000D61BB" w:rsidP="00372982">
                            <w:pPr>
                              <w:spacing w:line="276" w:lineRule="auto"/>
                              <w:rPr>
                                <w:rFonts w:asciiTheme="majorHAnsi" w:hAnsiTheme="majorHAnsi" w:cs="Arial"/>
                                <w:b/>
                                <w:bCs/>
                                <w:sz w:val="36"/>
                                <w:szCs w:val="22"/>
                              </w:rPr>
                            </w:pPr>
                            <w:r>
                              <w:rPr>
                                <w:rFonts w:asciiTheme="majorHAnsi" w:hAnsiTheme="majorHAnsi" w:cs="Arial"/>
                                <w:b/>
                                <w:bCs/>
                                <w:sz w:val="36"/>
                                <w:szCs w:val="22"/>
                              </w:rPr>
                              <w:t xml:space="preserve">REPORT </w:t>
                            </w:r>
                            <w:r>
                              <w:rPr>
                                <w:rFonts w:asciiTheme="majorHAnsi" w:hAnsiTheme="majorHAnsi" w:cs="Arial"/>
                                <w:b/>
                                <w:bCs/>
                                <w:sz w:val="36"/>
                                <w:szCs w:val="40"/>
                              </w:rPr>
                              <w:t>No.</w:t>
                            </w:r>
                            <w:r>
                              <w:rPr>
                                <w:rFonts w:asciiTheme="majorHAnsi" w:hAnsiTheme="majorHAnsi" w:cs="Arial"/>
                                <w:sz w:val="36"/>
                                <w:szCs w:val="22"/>
                              </w:rPr>
                              <w:t xml:space="preserve"> </w:t>
                            </w:r>
                            <w:r w:rsidR="00B02C3D">
                              <w:rPr>
                                <w:rFonts w:asciiTheme="majorHAnsi" w:hAnsiTheme="majorHAnsi" w:cs="Arial"/>
                                <w:b/>
                                <w:bCs/>
                                <w:sz w:val="36"/>
                                <w:szCs w:val="22"/>
                              </w:rPr>
                              <w:t>102</w:t>
                            </w:r>
                            <w:r>
                              <w:rPr>
                                <w:rFonts w:asciiTheme="majorHAnsi" w:hAnsiTheme="majorHAnsi" w:cs="Arial"/>
                                <w:b/>
                                <w:bCs/>
                                <w:sz w:val="36"/>
                                <w:szCs w:val="22"/>
                              </w:rPr>
                              <w:t>/19</w:t>
                            </w:r>
                          </w:p>
                          <w:p w:rsidR="000D61BB" w:rsidRPr="00DE70EC" w:rsidRDefault="000D61BB" w:rsidP="00372982">
                            <w:pPr>
                              <w:spacing w:line="276" w:lineRule="auto"/>
                              <w:rPr>
                                <w:rFonts w:asciiTheme="majorHAnsi" w:hAnsiTheme="majorHAnsi" w:cs="Arial"/>
                                <w:b/>
                                <w:sz w:val="36"/>
                                <w:szCs w:val="22"/>
                              </w:rPr>
                            </w:pPr>
                            <w:r>
                              <w:rPr>
                                <w:rFonts w:asciiTheme="majorHAnsi" w:hAnsiTheme="majorHAnsi" w:cs="Arial"/>
                                <w:b/>
                                <w:bCs/>
                                <w:sz w:val="36"/>
                                <w:szCs w:val="22"/>
                              </w:rPr>
                              <w:t>Case 13.017 A</w:t>
                            </w:r>
                          </w:p>
                          <w:p w:rsidR="000D61BB" w:rsidRPr="00DE70EC" w:rsidRDefault="000D61BB" w:rsidP="00372982">
                            <w:pPr>
                              <w:spacing w:line="276" w:lineRule="auto"/>
                              <w:rPr>
                                <w:rFonts w:asciiTheme="majorHAnsi" w:hAnsiTheme="majorHAnsi" w:cs="Arial"/>
                                <w:szCs w:val="22"/>
                              </w:rPr>
                            </w:pPr>
                            <w:r>
                              <w:rPr>
                                <w:rFonts w:asciiTheme="majorHAnsi" w:hAnsiTheme="majorHAnsi" w:cs="Arial"/>
                                <w:szCs w:val="22"/>
                              </w:rPr>
                              <w:t xml:space="preserve">FRIENDLY SETTLEMENT REPORT </w:t>
                            </w:r>
                            <w:bookmarkStart w:id="0" w:name="_ftnref1"/>
                          </w:p>
                          <w:p w:rsidR="000D61BB" w:rsidRPr="00DE70EC" w:rsidRDefault="000D61BB" w:rsidP="00372982">
                            <w:pPr>
                              <w:spacing w:line="276" w:lineRule="auto"/>
                              <w:rPr>
                                <w:rFonts w:asciiTheme="majorHAnsi" w:hAnsiTheme="majorHAnsi" w:cs="Arial"/>
                                <w:szCs w:val="22"/>
                              </w:rPr>
                            </w:pPr>
                          </w:p>
                          <w:bookmarkEnd w:id="0"/>
                          <w:p w:rsidR="000D61BB" w:rsidRPr="00DE70EC" w:rsidRDefault="000D61BB" w:rsidP="00372982">
                            <w:pPr>
                              <w:spacing w:line="276" w:lineRule="auto"/>
                              <w:rPr>
                                <w:rFonts w:asciiTheme="majorHAnsi" w:hAnsiTheme="majorHAnsi" w:cs="Arial"/>
                                <w:szCs w:val="22"/>
                              </w:rPr>
                            </w:pPr>
                            <w:r>
                              <w:rPr>
                                <w:rFonts w:asciiTheme="majorHAnsi" w:hAnsiTheme="majorHAnsi" w:cs="Arial"/>
                                <w:szCs w:val="22"/>
                              </w:rPr>
                              <w:t>FAMILIES OF VICTIMS OF THE MILITARY DICTATORSHIP, OCTOBER 1968 TO DECEMBER 1989</w:t>
                            </w:r>
                          </w:p>
                          <w:p w:rsidR="000D61BB" w:rsidRPr="00DE70EC" w:rsidRDefault="000D61BB" w:rsidP="00372982">
                            <w:pPr>
                              <w:spacing w:line="276" w:lineRule="auto"/>
                              <w:rPr>
                                <w:rFonts w:asciiTheme="majorHAnsi" w:hAnsiTheme="majorHAnsi" w:cs="Arial"/>
                                <w:szCs w:val="22"/>
                              </w:rPr>
                            </w:pPr>
                            <w:r>
                              <w:rPr>
                                <w:rFonts w:asciiTheme="majorHAnsi" w:hAnsiTheme="majorHAnsi" w:cs="Arial"/>
                                <w:szCs w:val="22"/>
                              </w:rPr>
                              <w:t>PANAMA</w:t>
                            </w:r>
                          </w:p>
                          <w:p w:rsidR="000D61BB" w:rsidRPr="004B7EB6" w:rsidRDefault="000D61BB"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7B546C3"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0D61BB" w:rsidRPr="00DE70EC" w:rsidRDefault="000D61BB" w:rsidP="00372982">
                      <w:pPr>
                        <w:spacing w:line="276" w:lineRule="auto"/>
                        <w:rPr>
                          <w:rFonts w:asciiTheme="majorHAnsi" w:hAnsiTheme="majorHAnsi" w:cs="Arial"/>
                          <w:b/>
                          <w:bCs/>
                          <w:sz w:val="36"/>
                          <w:szCs w:val="22"/>
                        </w:rPr>
                      </w:pPr>
                      <w:r>
                        <w:rPr>
                          <w:rFonts w:asciiTheme="majorHAnsi" w:hAnsiTheme="majorHAnsi" w:cs="Arial"/>
                          <w:b/>
                          <w:bCs/>
                          <w:sz w:val="36"/>
                          <w:szCs w:val="22"/>
                        </w:rPr>
                        <w:t xml:space="preserve">REPORT </w:t>
                      </w:r>
                      <w:r>
                        <w:rPr>
                          <w:rFonts w:asciiTheme="majorHAnsi" w:hAnsiTheme="majorHAnsi" w:cs="Arial"/>
                          <w:b/>
                          <w:bCs/>
                          <w:sz w:val="36"/>
                          <w:szCs w:val="40"/>
                        </w:rPr>
                        <w:t>No.</w:t>
                      </w:r>
                      <w:r>
                        <w:rPr>
                          <w:rFonts w:asciiTheme="majorHAnsi" w:hAnsiTheme="majorHAnsi" w:cs="Arial"/>
                          <w:sz w:val="36"/>
                          <w:szCs w:val="22"/>
                        </w:rPr>
                        <w:t xml:space="preserve"> </w:t>
                      </w:r>
                      <w:r w:rsidR="00B02C3D">
                        <w:rPr>
                          <w:rFonts w:asciiTheme="majorHAnsi" w:hAnsiTheme="majorHAnsi" w:cs="Arial"/>
                          <w:b/>
                          <w:bCs/>
                          <w:sz w:val="36"/>
                          <w:szCs w:val="22"/>
                        </w:rPr>
                        <w:t>102</w:t>
                      </w:r>
                      <w:r>
                        <w:rPr>
                          <w:rFonts w:asciiTheme="majorHAnsi" w:hAnsiTheme="majorHAnsi" w:cs="Arial"/>
                          <w:b/>
                          <w:bCs/>
                          <w:sz w:val="36"/>
                          <w:szCs w:val="22"/>
                        </w:rPr>
                        <w:t>/19</w:t>
                      </w:r>
                    </w:p>
                    <w:p w:rsidR="000D61BB" w:rsidRPr="00DE70EC" w:rsidRDefault="000D61BB" w:rsidP="00372982">
                      <w:pPr>
                        <w:spacing w:line="276" w:lineRule="auto"/>
                        <w:rPr>
                          <w:rFonts w:asciiTheme="majorHAnsi" w:hAnsiTheme="majorHAnsi" w:cs="Arial"/>
                          <w:b/>
                          <w:sz w:val="36"/>
                          <w:szCs w:val="22"/>
                        </w:rPr>
                      </w:pPr>
                      <w:r>
                        <w:rPr>
                          <w:rFonts w:asciiTheme="majorHAnsi" w:hAnsiTheme="majorHAnsi" w:cs="Arial"/>
                          <w:b/>
                          <w:bCs/>
                          <w:sz w:val="36"/>
                          <w:szCs w:val="22"/>
                        </w:rPr>
                        <w:t>Case 13.017 A</w:t>
                      </w:r>
                    </w:p>
                    <w:p w:rsidR="000D61BB" w:rsidRPr="00DE70EC" w:rsidRDefault="000D61BB" w:rsidP="00372982">
                      <w:pPr>
                        <w:spacing w:line="276" w:lineRule="auto"/>
                        <w:rPr>
                          <w:rFonts w:asciiTheme="majorHAnsi" w:hAnsiTheme="majorHAnsi" w:cs="Arial"/>
                          <w:szCs w:val="22"/>
                        </w:rPr>
                      </w:pPr>
                      <w:r>
                        <w:rPr>
                          <w:rFonts w:asciiTheme="majorHAnsi" w:hAnsiTheme="majorHAnsi" w:cs="Arial"/>
                          <w:szCs w:val="22"/>
                        </w:rPr>
                        <w:t xml:space="preserve">FRIENDLY SETTLEMENT REPORT </w:t>
                      </w:r>
                      <w:bookmarkStart w:id="1" w:name="_ftnref1"/>
                    </w:p>
                    <w:p w:rsidR="000D61BB" w:rsidRPr="00DE70EC" w:rsidRDefault="000D61BB" w:rsidP="00372982">
                      <w:pPr>
                        <w:spacing w:line="276" w:lineRule="auto"/>
                        <w:rPr>
                          <w:rFonts w:asciiTheme="majorHAnsi" w:hAnsiTheme="majorHAnsi" w:cs="Arial"/>
                          <w:szCs w:val="22"/>
                        </w:rPr>
                      </w:pPr>
                    </w:p>
                    <w:bookmarkEnd w:id="1"/>
                    <w:p w:rsidR="000D61BB" w:rsidRPr="00DE70EC" w:rsidRDefault="000D61BB" w:rsidP="00372982">
                      <w:pPr>
                        <w:spacing w:line="276" w:lineRule="auto"/>
                        <w:rPr>
                          <w:rFonts w:asciiTheme="majorHAnsi" w:hAnsiTheme="majorHAnsi" w:cs="Arial"/>
                          <w:szCs w:val="22"/>
                        </w:rPr>
                      </w:pPr>
                      <w:r>
                        <w:rPr>
                          <w:rFonts w:asciiTheme="majorHAnsi" w:hAnsiTheme="majorHAnsi" w:cs="Arial"/>
                          <w:szCs w:val="22"/>
                        </w:rPr>
                        <w:t>FAMILIES OF VICTIMS OF THE MILITARY DICTATORSHIP, OCTOBER 1968 TO DECEMBER 1989</w:t>
                      </w:r>
                    </w:p>
                    <w:p w:rsidR="000D61BB" w:rsidRPr="00DE70EC" w:rsidRDefault="000D61BB" w:rsidP="00372982">
                      <w:pPr>
                        <w:spacing w:line="276" w:lineRule="auto"/>
                        <w:rPr>
                          <w:rFonts w:asciiTheme="majorHAnsi" w:hAnsiTheme="majorHAnsi" w:cs="Arial"/>
                          <w:szCs w:val="22"/>
                        </w:rPr>
                      </w:pPr>
                      <w:r>
                        <w:rPr>
                          <w:rFonts w:asciiTheme="majorHAnsi" w:hAnsiTheme="majorHAnsi" w:cs="Arial"/>
                          <w:szCs w:val="22"/>
                        </w:rPr>
                        <w:t>PANAMA</w:t>
                      </w:r>
                    </w:p>
                    <w:p w:rsidR="000D61BB" w:rsidRPr="004B7EB6" w:rsidRDefault="000D61BB"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61BB" w:rsidRPr="004B7EB6" w:rsidRDefault="000D61BB"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rsidR="000D61BB" w:rsidRPr="00B02C3D" w:rsidRDefault="000D61BB" w:rsidP="002C1641">
                            <w:pPr>
                              <w:jc w:val="right"/>
                              <w:rPr>
                                <w:rFonts w:asciiTheme="minorHAnsi" w:hAnsiTheme="minorHAnsi"/>
                                <w:color w:val="FFFFFF" w:themeColor="background1"/>
                                <w:sz w:val="22"/>
                                <w:lang w:val="pt-BR"/>
                              </w:rPr>
                            </w:pPr>
                            <w:r w:rsidRPr="00B02C3D">
                              <w:rPr>
                                <w:rFonts w:asciiTheme="minorHAnsi" w:hAnsiTheme="minorHAnsi"/>
                                <w:color w:val="FFFFFF" w:themeColor="background1"/>
                                <w:sz w:val="22"/>
                                <w:lang w:val="pt-BR"/>
                              </w:rPr>
                              <w:t xml:space="preserve">Doc. </w:t>
                            </w:r>
                            <w:r w:rsidR="00B02C3D" w:rsidRPr="00B02C3D">
                              <w:rPr>
                                <w:rFonts w:asciiTheme="minorHAnsi" w:hAnsiTheme="minorHAnsi"/>
                                <w:color w:val="FFFFFF" w:themeColor="background1"/>
                                <w:sz w:val="22"/>
                                <w:lang w:val="pt-BR"/>
                              </w:rPr>
                              <w:t>111</w:t>
                            </w:r>
                          </w:p>
                          <w:p w:rsidR="000D61BB" w:rsidRPr="004B7EB6" w:rsidRDefault="00B02C3D" w:rsidP="002C1641">
                            <w:pPr>
                              <w:jc w:val="right"/>
                              <w:rPr>
                                <w:rFonts w:asciiTheme="minorHAnsi" w:hAnsiTheme="minorHAnsi"/>
                                <w:color w:val="FFFFFF" w:themeColor="background1"/>
                                <w:sz w:val="22"/>
                              </w:rPr>
                            </w:pPr>
                            <w:r>
                              <w:rPr>
                                <w:rFonts w:asciiTheme="minorHAnsi" w:hAnsiTheme="minorHAnsi"/>
                                <w:color w:val="FFFFFF" w:themeColor="background1"/>
                                <w:sz w:val="22"/>
                              </w:rPr>
                              <w:t>13</w:t>
                            </w:r>
                            <w:r w:rsidR="000D61BB" w:rsidRPr="004B7EB6">
                              <w:rPr>
                                <w:rFonts w:asciiTheme="minorHAnsi" w:hAnsiTheme="minorHAnsi"/>
                                <w:color w:val="FFFFFF" w:themeColor="background1"/>
                                <w:sz w:val="22"/>
                              </w:rPr>
                              <w:t xml:space="preserve"> </w:t>
                            </w:r>
                            <w:r>
                              <w:rPr>
                                <w:rFonts w:asciiTheme="minorHAnsi" w:hAnsiTheme="minorHAnsi"/>
                                <w:color w:val="FFFFFF" w:themeColor="background1"/>
                                <w:sz w:val="22"/>
                              </w:rPr>
                              <w:t>July 2019</w:t>
                            </w:r>
                          </w:p>
                          <w:p w:rsidR="000D61BB" w:rsidRPr="004B7EB6" w:rsidRDefault="000D61BB"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385A83">
                              <w:rPr>
                                <w:rFonts w:asciiTheme="minorHAnsi" w:hAnsiTheme="minorHAnsi"/>
                                <w:color w:val="FFFFFF" w:themeColor="background1"/>
                                <w:sz w:val="22"/>
                              </w:rPr>
                              <w:t>Spanish</w:t>
                            </w:r>
                            <w:bookmarkStart w:id="1" w:name="_GoBack"/>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6511D"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0D61BB" w:rsidRPr="004B7EB6" w:rsidRDefault="000D61BB"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rsidR="000D61BB" w:rsidRPr="00B02C3D" w:rsidRDefault="000D61BB" w:rsidP="002C1641">
                      <w:pPr>
                        <w:jc w:val="right"/>
                        <w:rPr>
                          <w:rFonts w:asciiTheme="minorHAnsi" w:hAnsiTheme="minorHAnsi"/>
                          <w:color w:val="FFFFFF" w:themeColor="background1"/>
                          <w:sz w:val="22"/>
                          <w:lang w:val="pt-BR"/>
                        </w:rPr>
                      </w:pPr>
                      <w:r w:rsidRPr="00B02C3D">
                        <w:rPr>
                          <w:rFonts w:asciiTheme="minorHAnsi" w:hAnsiTheme="minorHAnsi"/>
                          <w:color w:val="FFFFFF" w:themeColor="background1"/>
                          <w:sz w:val="22"/>
                          <w:lang w:val="pt-BR"/>
                        </w:rPr>
                        <w:t xml:space="preserve">Doc. </w:t>
                      </w:r>
                      <w:r w:rsidR="00B02C3D" w:rsidRPr="00B02C3D">
                        <w:rPr>
                          <w:rFonts w:asciiTheme="minorHAnsi" w:hAnsiTheme="minorHAnsi"/>
                          <w:color w:val="FFFFFF" w:themeColor="background1"/>
                          <w:sz w:val="22"/>
                          <w:lang w:val="pt-BR"/>
                        </w:rPr>
                        <w:t>111</w:t>
                      </w:r>
                    </w:p>
                    <w:p w:rsidR="000D61BB" w:rsidRPr="004B7EB6" w:rsidRDefault="00B02C3D" w:rsidP="002C1641">
                      <w:pPr>
                        <w:jc w:val="right"/>
                        <w:rPr>
                          <w:rFonts w:asciiTheme="minorHAnsi" w:hAnsiTheme="minorHAnsi"/>
                          <w:color w:val="FFFFFF" w:themeColor="background1"/>
                          <w:sz w:val="22"/>
                        </w:rPr>
                      </w:pPr>
                      <w:r>
                        <w:rPr>
                          <w:rFonts w:asciiTheme="minorHAnsi" w:hAnsiTheme="minorHAnsi"/>
                          <w:color w:val="FFFFFF" w:themeColor="background1"/>
                          <w:sz w:val="22"/>
                        </w:rPr>
                        <w:t>13</w:t>
                      </w:r>
                      <w:r w:rsidR="000D61BB" w:rsidRPr="004B7EB6">
                        <w:rPr>
                          <w:rFonts w:asciiTheme="minorHAnsi" w:hAnsiTheme="minorHAnsi"/>
                          <w:color w:val="FFFFFF" w:themeColor="background1"/>
                          <w:sz w:val="22"/>
                        </w:rPr>
                        <w:t xml:space="preserve"> </w:t>
                      </w:r>
                      <w:r>
                        <w:rPr>
                          <w:rFonts w:asciiTheme="minorHAnsi" w:hAnsiTheme="minorHAnsi"/>
                          <w:color w:val="FFFFFF" w:themeColor="background1"/>
                          <w:sz w:val="22"/>
                        </w:rPr>
                        <w:t>July 2019</w:t>
                      </w:r>
                    </w:p>
                    <w:p w:rsidR="000D61BB" w:rsidRPr="004B7EB6" w:rsidRDefault="000D61BB"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00385A83">
                        <w:rPr>
                          <w:rFonts w:asciiTheme="minorHAnsi" w:hAnsiTheme="minorHAnsi"/>
                          <w:color w:val="FFFFFF" w:themeColor="background1"/>
                          <w:sz w:val="22"/>
                        </w:rPr>
                        <w:t>Spanish</w:t>
                      </w:r>
                      <w:bookmarkStart w:id="2" w:name="_GoBack"/>
                      <w:bookmarkEnd w:id="2"/>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61BB" w:rsidRPr="003C32BC" w:rsidRDefault="000D61BB"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Pr="00372982">
                              <w:rPr>
                                <w:rFonts w:asciiTheme="majorHAnsi" w:hAnsiTheme="majorHAnsi"/>
                                <w:sz w:val="18"/>
                                <w:szCs w:val="22"/>
                              </w:rPr>
                              <w:t xml:space="preserve"> </w:t>
                            </w:r>
                            <w:r>
                              <w:rPr>
                                <w:rFonts w:asciiTheme="majorHAnsi" w:hAnsiTheme="majorHAnsi"/>
                                <w:sz w:val="18"/>
                                <w:szCs w:val="22"/>
                              </w:rPr>
                              <w:t xml:space="preserve">on </w:t>
                            </w:r>
                            <w:r w:rsidR="00B02C3D" w:rsidRPr="00B02C3D">
                              <w:rPr>
                                <w:rFonts w:asciiTheme="majorHAnsi" w:hAnsiTheme="majorHAnsi"/>
                                <w:sz w:val="18"/>
                                <w:szCs w:val="22"/>
                              </w:rPr>
                              <w:t>July</w:t>
                            </w:r>
                            <w:r w:rsidRPr="00B02C3D">
                              <w:rPr>
                                <w:rFonts w:asciiTheme="majorHAnsi" w:hAnsiTheme="majorHAnsi"/>
                                <w:sz w:val="18"/>
                                <w:szCs w:val="22"/>
                              </w:rPr>
                              <w:t xml:space="preserve"> </w:t>
                            </w:r>
                            <w:r w:rsidR="00B02C3D" w:rsidRPr="00B02C3D">
                              <w:rPr>
                                <w:rFonts w:asciiTheme="majorHAnsi" w:hAnsiTheme="majorHAnsi"/>
                                <w:sz w:val="18"/>
                                <w:szCs w:val="22"/>
                              </w:rPr>
                              <w:t>13,</w:t>
                            </w:r>
                            <w:r w:rsidRPr="00B02C3D">
                              <w:rPr>
                                <w:rFonts w:asciiTheme="majorHAnsi" w:hAnsiTheme="majorHAnsi"/>
                                <w:sz w:val="18"/>
                                <w:szCs w:val="22"/>
                              </w:rPr>
                              <w:t xml:space="preserve"> 2019</w:t>
                            </w:r>
                            <w:r w:rsidR="00C67BCE">
                              <w:rPr>
                                <w:rFonts w:asciiTheme="majorHAnsi" w:hAnsiTheme="majorHAnsi"/>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689A7"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D61BB" w:rsidRPr="003C32BC" w:rsidRDefault="000D61BB"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Pr="00372982">
                        <w:rPr>
                          <w:rFonts w:asciiTheme="majorHAnsi" w:hAnsiTheme="majorHAnsi"/>
                          <w:sz w:val="18"/>
                          <w:szCs w:val="22"/>
                        </w:rPr>
                        <w:t xml:space="preserve"> </w:t>
                      </w:r>
                      <w:r>
                        <w:rPr>
                          <w:rFonts w:asciiTheme="majorHAnsi" w:hAnsiTheme="majorHAnsi"/>
                          <w:sz w:val="18"/>
                          <w:szCs w:val="22"/>
                        </w:rPr>
                        <w:t xml:space="preserve">on </w:t>
                      </w:r>
                      <w:r w:rsidR="00B02C3D" w:rsidRPr="00B02C3D">
                        <w:rPr>
                          <w:rFonts w:asciiTheme="majorHAnsi" w:hAnsiTheme="majorHAnsi"/>
                          <w:sz w:val="18"/>
                          <w:szCs w:val="22"/>
                        </w:rPr>
                        <w:t>July</w:t>
                      </w:r>
                      <w:r w:rsidRPr="00B02C3D">
                        <w:rPr>
                          <w:rFonts w:asciiTheme="majorHAnsi" w:hAnsiTheme="majorHAnsi"/>
                          <w:sz w:val="18"/>
                          <w:szCs w:val="22"/>
                        </w:rPr>
                        <w:t xml:space="preserve"> </w:t>
                      </w:r>
                      <w:r w:rsidR="00B02C3D" w:rsidRPr="00B02C3D">
                        <w:rPr>
                          <w:rFonts w:asciiTheme="majorHAnsi" w:hAnsiTheme="majorHAnsi"/>
                          <w:sz w:val="18"/>
                          <w:szCs w:val="22"/>
                        </w:rPr>
                        <w:t>13,</w:t>
                      </w:r>
                      <w:r w:rsidRPr="00B02C3D">
                        <w:rPr>
                          <w:rFonts w:asciiTheme="majorHAnsi" w:hAnsiTheme="majorHAnsi"/>
                          <w:sz w:val="18"/>
                          <w:szCs w:val="22"/>
                        </w:rPr>
                        <w:t xml:space="preserve"> 2019</w:t>
                      </w:r>
                      <w:r w:rsidR="00C67BCE">
                        <w:rPr>
                          <w:rFonts w:asciiTheme="majorHAnsi" w:hAnsiTheme="majorHAnsi"/>
                          <w:sz w:val="18"/>
                          <w:szCs w:val="22"/>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61BB" w:rsidRPr="00372982" w:rsidRDefault="000D61BB" w:rsidP="00F644E6">
                            <w:pPr>
                              <w:spacing w:line="276" w:lineRule="auto"/>
                              <w:rPr>
                                <w:rFonts w:asciiTheme="majorHAnsi" w:hAnsiTheme="majorHAnsi"/>
                                <w:color w:val="595959" w:themeColor="text1" w:themeTint="A6"/>
                                <w:sz w:val="18"/>
                                <w:szCs w:val="18"/>
                              </w:rPr>
                            </w:pPr>
                            <w:r w:rsidRPr="00B02C3D">
                              <w:rPr>
                                <w:rFonts w:asciiTheme="majorHAnsi" w:hAnsiTheme="majorHAnsi"/>
                                <w:b/>
                                <w:bCs/>
                                <w:color w:val="595959" w:themeColor="text1" w:themeTint="A6"/>
                                <w:sz w:val="18"/>
                                <w:szCs w:val="18"/>
                              </w:rPr>
                              <w:t>Cite as:</w:t>
                            </w:r>
                            <w:r w:rsidRPr="00B02C3D">
                              <w:rPr>
                                <w:rFonts w:asciiTheme="majorHAnsi" w:hAnsiTheme="majorHAnsi"/>
                                <w:color w:val="595959" w:themeColor="text1" w:themeTint="A6"/>
                                <w:sz w:val="18"/>
                                <w:szCs w:val="18"/>
                              </w:rPr>
                              <w:t xml:space="preserve"> IACHR, Report No. </w:t>
                            </w:r>
                            <w:r w:rsidR="00B02C3D" w:rsidRPr="00B02C3D">
                              <w:rPr>
                                <w:rFonts w:asciiTheme="majorHAnsi" w:hAnsiTheme="majorHAnsi"/>
                                <w:color w:val="595959" w:themeColor="text1" w:themeTint="A6"/>
                                <w:sz w:val="18"/>
                                <w:szCs w:val="18"/>
                              </w:rPr>
                              <w:t>102</w:t>
                            </w:r>
                            <w:r w:rsidRPr="00B02C3D">
                              <w:rPr>
                                <w:rFonts w:asciiTheme="majorHAnsi" w:hAnsiTheme="majorHAnsi"/>
                                <w:color w:val="595959" w:themeColor="text1" w:themeTint="A6"/>
                                <w:sz w:val="18"/>
                                <w:szCs w:val="18"/>
                              </w:rPr>
                              <w:t>/</w:t>
                            </w:r>
                            <w:r w:rsidR="00B02C3D" w:rsidRPr="00B02C3D">
                              <w:rPr>
                                <w:rFonts w:asciiTheme="majorHAnsi" w:hAnsiTheme="majorHAnsi"/>
                                <w:color w:val="595959" w:themeColor="text1" w:themeTint="A6"/>
                                <w:sz w:val="18"/>
                                <w:szCs w:val="18"/>
                              </w:rPr>
                              <w:t>19</w:t>
                            </w:r>
                            <w:r w:rsidRPr="00B02C3D">
                              <w:rPr>
                                <w:rFonts w:asciiTheme="majorHAnsi" w:hAnsiTheme="majorHAnsi"/>
                                <w:color w:val="595959" w:themeColor="text1" w:themeTint="A6"/>
                                <w:sz w:val="18"/>
                                <w:szCs w:val="18"/>
                              </w:rPr>
                              <w:t xml:space="preserve">, Case 13.017 A, Friendly Settlement, Families of Victims of the Military Dictatorship, October 1968 to December 1989, Panama, </w:t>
                            </w:r>
                            <w:proofErr w:type="gramStart"/>
                            <w:r w:rsidR="00B02C3D" w:rsidRPr="00B02C3D">
                              <w:rPr>
                                <w:rFonts w:asciiTheme="majorHAnsi" w:hAnsiTheme="majorHAnsi"/>
                                <w:color w:val="595959" w:themeColor="text1" w:themeTint="A6"/>
                                <w:sz w:val="18"/>
                                <w:szCs w:val="18"/>
                              </w:rPr>
                              <w:t>July</w:t>
                            </w:r>
                            <w:proofErr w:type="gramEnd"/>
                            <w:r w:rsidRPr="00B02C3D">
                              <w:rPr>
                                <w:rFonts w:asciiTheme="majorHAnsi" w:hAnsiTheme="majorHAnsi"/>
                                <w:color w:val="595959" w:themeColor="text1" w:themeTint="A6"/>
                                <w:sz w:val="18"/>
                                <w:szCs w:val="18"/>
                              </w:rPr>
                              <w:t xml:space="preserve"> </w:t>
                            </w:r>
                            <w:r w:rsidR="00B02C3D" w:rsidRPr="00B02C3D">
                              <w:rPr>
                                <w:rFonts w:asciiTheme="majorHAnsi" w:hAnsiTheme="majorHAnsi"/>
                                <w:color w:val="595959" w:themeColor="text1" w:themeTint="A6"/>
                                <w:sz w:val="18"/>
                                <w:szCs w:val="18"/>
                              </w:rPr>
                              <w:t>13</w:t>
                            </w:r>
                            <w:r w:rsidRPr="00B02C3D">
                              <w:rPr>
                                <w:rFonts w:asciiTheme="majorHAnsi" w:hAnsiTheme="majorHAnsi"/>
                                <w:color w:val="595959" w:themeColor="text1" w:themeTint="A6"/>
                                <w:sz w:val="18"/>
                                <w:szCs w:val="18"/>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8417C1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0D61BB" w:rsidRPr="00372982" w:rsidRDefault="000D61BB" w:rsidP="00F644E6">
                      <w:pPr>
                        <w:spacing w:line="276" w:lineRule="auto"/>
                        <w:rPr>
                          <w:rFonts w:asciiTheme="majorHAnsi" w:hAnsiTheme="majorHAnsi"/>
                          <w:color w:val="595959" w:themeColor="text1" w:themeTint="A6"/>
                          <w:sz w:val="18"/>
                          <w:szCs w:val="18"/>
                        </w:rPr>
                      </w:pPr>
                      <w:r w:rsidRPr="00B02C3D">
                        <w:rPr>
                          <w:rFonts w:asciiTheme="majorHAnsi" w:hAnsiTheme="majorHAnsi"/>
                          <w:b/>
                          <w:bCs/>
                          <w:color w:val="595959" w:themeColor="text1" w:themeTint="A6"/>
                          <w:sz w:val="18"/>
                          <w:szCs w:val="18"/>
                        </w:rPr>
                        <w:t xml:space="preserve">Cite </w:t>
                      </w:r>
                      <w:proofErr w:type="gramStart"/>
                      <w:r w:rsidRPr="00B02C3D">
                        <w:rPr>
                          <w:rFonts w:asciiTheme="majorHAnsi" w:hAnsiTheme="majorHAnsi"/>
                          <w:b/>
                          <w:bCs/>
                          <w:color w:val="595959" w:themeColor="text1" w:themeTint="A6"/>
                          <w:sz w:val="18"/>
                          <w:szCs w:val="18"/>
                        </w:rPr>
                        <w:t>as:</w:t>
                      </w:r>
                      <w:proofErr w:type="gramEnd"/>
                      <w:r w:rsidRPr="00B02C3D">
                        <w:rPr>
                          <w:rFonts w:asciiTheme="majorHAnsi" w:hAnsiTheme="majorHAnsi"/>
                          <w:color w:val="595959" w:themeColor="text1" w:themeTint="A6"/>
                          <w:sz w:val="18"/>
                          <w:szCs w:val="18"/>
                        </w:rPr>
                        <w:t xml:space="preserve"> IACHR, Report No. </w:t>
                      </w:r>
                      <w:r w:rsidR="00B02C3D" w:rsidRPr="00B02C3D">
                        <w:rPr>
                          <w:rFonts w:asciiTheme="majorHAnsi" w:hAnsiTheme="majorHAnsi"/>
                          <w:color w:val="595959" w:themeColor="text1" w:themeTint="A6"/>
                          <w:sz w:val="18"/>
                          <w:szCs w:val="18"/>
                        </w:rPr>
                        <w:t>102</w:t>
                      </w:r>
                      <w:r w:rsidRPr="00B02C3D">
                        <w:rPr>
                          <w:rFonts w:asciiTheme="majorHAnsi" w:hAnsiTheme="majorHAnsi"/>
                          <w:color w:val="595959" w:themeColor="text1" w:themeTint="A6"/>
                          <w:sz w:val="18"/>
                          <w:szCs w:val="18"/>
                        </w:rPr>
                        <w:t>/</w:t>
                      </w:r>
                      <w:r w:rsidR="00B02C3D" w:rsidRPr="00B02C3D">
                        <w:rPr>
                          <w:rFonts w:asciiTheme="majorHAnsi" w:hAnsiTheme="majorHAnsi"/>
                          <w:color w:val="595959" w:themeColor="text1" w:themeTint="A6"/>
                          <w:sz w:val="18"/>
                          <w:szCs w:val="18"/>
                        </w:rPr>
                        <w:t>19</w:t>
                      </w:r>
                      <w:r w:rsidRPr="00B02C3D">
                        <w:rPr>
                          <w:rFonts w:asciiTheme="majorHAnsi" w:hAnsiTheme="majorHAnsi"/>
                          <w:color w:val="595959" w:themeColor="text1" w:themeTint="A6"/>
                          <w:sz w:val="18"/>
                          <w:szCs w:val="18"/>
                        </w:rPr>
                        <w:t xml:space="preserve">, Case 13.017 A, Friendly Settlement, Families of Victims of the Military Dictatorship, October 1968 to December 1989, Panama, </w:t>
                      </w:r>
                      <w:r w:rsidR="00B02C3D" w:rsidRPr="00B02C3D">
                        <w:rPr>
                          <w:rFonts w:asciiTheme="majorHAnsi" w:hAnsiTheme="majorHAnsi"/>
                          <w:color w:val="595959" w:themeColor="text1" w:themeTint="A6"/>
                          <w:sz w:val="18"/>
                          <w:szCs w:val="18"/>
                        </w:rPr>
                        <w:t>July</w:t>
                      </w:r>
                      <w:r w:rsidRPr="00B02C3D">
                        <w:rPr>
                          <w:rFonts w:asciiTheme="majorHAnsi" w:hAnsiTheme="majorHAnsi"/>
                          <w:color w:val="595959" w:themeColor="text1" w:themeTint="A6"/>
                          <w:sz w:val="18"/>
                          <w:szCs w:val="18"/>
                        </w:rPr>
                        <w:t xml:space="preserve"> </w:t>
                      </w:r>
                      <w:r w:rsidR="00B02C3D" w:rsidRPr="00B02C3D">
                        <w:rPr>
                          <w:rFonts w:asciiTheme="majorHAnsi" w:hAnsiTheme="majorHAnsi"/>
                          <w:color w:val="595959" w:themeColor="text1" w:themeTint="A6"/>
                          <w:sz w:val="18"/>
                          <w:szCs w:val="18"/>
                        </w:rPr>
                        <w:t>13</w:t>
                      </w:r>
                      <w:r w:rsidRPr="00B02C3D">
                        <w:rPr>
                          <w:rFonts w:asciiTheme="majorHAnsi" w:hAnsiTheme="majorHAnsi"/>
                          <w:color w:val="595959" w:themeColor="text1" w:themeTint="A6"/>
                          <w:sz w:val="18"/>
                          <w:szCs w:val="18"/>
                        </w:rPr>
                        <w:t>, 2019.</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61BB" w:rsidRPr="004B7EB6" w:rsidRDefault="000D61B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0476A0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0D61BB" w:rsidRPr="004B7EB6" w:rsidRDefault="000D61BB"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61BB" w:rsidRDefault="000D61BB">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C29CFF1"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0D61BB" w:rsidRDefault="000D61BB">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372982" w:rsidRPr="000201A3" w:rsidRDefault="00372982" w:rsidP="00372982">
      <w:pPr>
        <w:tabs>
          <w:tab w:val="center" w:pos="5400"/>
        </w:tabs>
        <w:suppressAutoHyphens/>
        <w:jc w:val="center"/>
        <w:rPr>
          <w:rFonts w:asciiTheme="majorHAnsi" w:hAnsiTheme="majorHAnsi"/>
          <w:b/>
          <w:sz w:val="18"/>
          <w:szCs w:val="18"/>
        </w:rPr>
      </w:pPr>
      <w:r w:rsidRPr="000201A3">
        <w:rPr>
          <w:rFonts w:asciiTheme="majorHAnsi" w:hAnsiTheme="majorHAnsi"/>
          <w:b/>
          <w:bCs/>
          <w:sz w:val="18"/>
          <w:szCs w:val="18"/>
        </w:rPr>
        <w:lastRenderedPageBreak/>
        <w:t>REPORT No</w:t>
      </w:r>
      <w:r w:rsidRPr="00E01538">
        <w:rPr>
          <w:rFonts w:asciiTheme="majorHAnsi" w:hAnsiTheme="majorHAnsi"/>
          <w:b/>
          <w:bCs/>
          <w:sz w:val="18"/>
          <w:szCs w:val="18"/>
        </w:rPr>
        <w:t>.</w:t>
      </w:r>
      <w:r w:rsidR="000D61BB" w:rsidRPr="00E01538">
        <w:rPr>
          <w:rFonts w:asciiTheme="majorHAnsi" w:hAnsiTheme="majorHAnsi"/>
          <w:b/>
          <w:bCs/>
          <w:sz w:val="18"/>
          <w:szCs w:val="18"/>
        </w:rPr>
        <w:t xml:space="preserve"> </w:t>
      </w:r>
      <w:r w:rsidR="00B02C3D" w:rsidRPr="00E01538">
        <w:rPr>
          <w:rFonts w:asciiTheme="majorHAnsi" w:hAnsiTheme="majorHAnsi"/>
          <w:b/>
          <w:bCs/>
          <w:sz w:val="18"/>
          <w:szCs w:val="18"/>
        </w:rPr>
        <w:t>102</w:t>
      </w:r>
      <w:r w:rsidRPr="00E01538">
        <w:rPr>
          <w:rFonts w:asciiTheme="majorHAnsi" w:hAnsiTheme="majorHAnsi"/>
          <w:b/>
          <w:bCs/>
          <w:sz w:val="18"/>
          <w:szCs w:val="18"/>
        </w:rPr>
        <w:t>/19</w:t>
      </w:r>
    </w:p>
    <w:p w:rsidR="00372982" w:rsidRPr="000201A3" w:rsidRDefault="00372982" w:rsidP="00372982">
      <w:pPr>
        <w:tabs>
          <w:tab w:val="center" w:pos="5400"/>
        </w:tabs>
        <w:suppressAutoHyphens/>
        <w:jc w:val="center"/>
        <w:rPr>
          <w:rFonts w:asciiTheme="majorHAnsi" w:hAnsiTheme="majorHAnsi"/>
          <w:b/>
          <w:sz w:val="18"/>
          <w:szCs w:val="18"/>
        </w:rPr>
      </w:pPr>
      <w:r w:rsidRPr="000201A3">
        <w:rPr>
          <w:rFonts w:asciiTheme="majorHAnsi" w:hAnsiTheme="majorHAnsi"/>
          <w:b/>
          <w:bCs/>
          <w:sz w:val="18"/>
          <w:szCs w:val="18"/>
        </w:rPr>
        <w:t>CASE 13.017 A</w:t>
      </w:r>
    </w:p>
    <w:p w:rsidR="00372982" w:rsidRPr="000201A3" w:rsidRDefault="00372982" w:rsidP="00372982">
      <w:pPr>
        <w:tabs>
          <w:tab w:val="center" w:pos="5400"/>
        </w:tabs>
        <w:suppressAutoHyphens/>
        <w:jc w:val="center"/>
        <w:rPr>
          <w:rFonts w:asciiTheme="majorHAnsi" w:hAnsiTheme="majorHAnsi"/>
          <w:sz w:val="18"/>
          <w:szCs w:val="18"/>
        </w:rPr>
      </w:pPr>
      <w:r w:rsidRPr="000201A3">
        <w:rPr>
          <w:rFonts w:asciiTheme="majorHAnsi" w:hAnsiTheme="majorHAnsi"/>
          <w:sz w:val="18"/>
          <w:szCs w:val="18"/>
        </w:rPr>
        <w:t>FRIENDLY SETTLEMENT REPORT</w:t>
      </w:r>
    </w:p>
    <w:p w:rsidR="00372982" w:rsidRPr="000201A3" w:rsidRDefault="00372982" w:rsidP="00372982">
      <w:pPr>
        <w:tabs>
          <w:tab w:val="center" w:pos="5400"/>
        </w:tabs>
        <w:suppressAutoHyphens/>
        <w:jc w:val="center"/>
        <w:rPr>
          <w:rFonts w:asciiTheme="majorHAnsi" w:hAnsiTheme="majorHAnsi"/>
          <w:sz w:val="18"/>
          <w:szCs w:val="18"/>
        </w:rPr>
      </w:pPr>
      <w:r w:rsidRPr="000201A3">
        <w:rPr>
          <w:rFonts w:asciiTheme="majorHAnsi" w:hAnsiTheme="majorHAnsi"/>
          <w:sz w:val="18"/>
          <w:szCs w:val="18"/>
        </w:rPr>
        <w:t>FAMILIES OF VICTIMS OF THE MILITARY DICTATORSHIP</w:t>
      </w:r>
    </w:p>
    <w:p w:rsidR="00372982" w:rsidRPr="000201A3" w:rsidRDefault="00372982" w:rsidP="00372982">
      <w:pPr>
        <w:tabs>
          <w:tab w:val="center" w:pos="5400"/>
        </w:tabs>
        <w:suppressAutoHyphens/>
        <w:jc w:val="center"/>
        <w:rPr>
          <w:rFonts w:asciiTheme="majorHAnsi" w:hAnsiTheme="majorHAnsi"/>
          <w:sz w:val="18"/>
          <w:szCs w:val="18"/>
        </w:rPr>
      </w:pPr>
      <w:r w:rsidRPr="000201A3">
        <w:rPr>
          <w:rFonts w:asciiTheme="majorHAnsi" w:hAnsiTheme="majorHAnsi"/>
          <w:sz w:val="18"/>
          <w:szCs w:val="18"/>
        </w:rPr>
        <w:t>OCTOBER 1968 TO DECEMBER 1989</w:t>
      </w:r>
    </w:p>
    <w:p w:rsidR="00372982" w:rsidRPr="000201A3" w:rsidRDefault="00372982" w:rsidP="00372982">
      <w:pPr>
        <w:tabs>
          <w:tab w:val="center" w:pos="5400"/>
        </w:tabs>
        <w:suppressAutoHyphens/>
        <w:jc w:val="center"/>
        <w:rPr>
          <w:rFonts w:asciiTheme="majorHAnsi" w:hAnsiTheme="majorHAnsi"/>
          <w:sz w:val="18"/>
          <w:szCs w:val="18"/>
        </w:rPr>
      </w:pPr>
      <w:r w:rsidRPr="000201A3">
        <w:rPr>
          <w:rFonts w:asciiTheme="majorHAnsi" w:hAnsiTheme="majorHAnsi"/>
          <w:sz w:val="18"/>
          <w:szCs w:val="18"/>
        </w:rPr>
        <w:t>PANAMA</w:t>
      </w:r>
    </w:p>
    <w:p w:rsidR="00372982" w:rsidRPr="000201A3" w:rsidRDefault="00B02C3D" w:rsidP="00372982">
      <w:pPr>
        <w:tabs>
          <w:tab w:val="center" w:pos="5400"/>
        </w:tabs>
        <w:suppressAutoHyphens/>
        <w:jc w:val="center"/>
        <w:rPr>
          <w:rFonts w:asciiTheme="majorHAnsi" w:hAnsiTheme="majorHAnsi"/>
          <w:sz w:val="18"/>
          <w:szCs w:val="18"/>
        </w:rPr>
      </w:pPr>
      <w:r w:rsidRPr="00E01538">
        <w:rPr>
          <w:rFonts w:asciiTheme="majorHAnsi" w:hAnsiTheme="majorHAnsi"/>
          <w:sz w:val="18"/>
          <w:szCs w:val="18"/>
        </w:rPr>
        <w:t>JULY</w:t>
      </w:r>
      <w:r w:rsidR="00372982" w:rsidRPr="00E01538">
        <w:rPr>
          <w:rFonts w:asciiTheme="majorHAnsi" w:hAnsiTheme="majorHAnsi"/>
          <w:sz w:val="18"/>
          <w:szCs w:val="18"/>
        </w:rPr>
        <w:t xml:space="preserve"> </w:t>
      </w:r>
      <w:r w:rsidRPr="00E01538">
        <w:rPr>
          <w:rFonts w:asciiTheme="majorHAnsi" w:hAnsiTheme="majorHAnsi"/>
          <w:sz w:val="18"/>
          <w:szCs w:val="18"/>
        </w:rPr>
        <w:t>13</w:t>
      </w:r>
      <w:r w:rsidR="00372982" w:rsidRPr="00E01538">
        <w:rPr>
          <w:rFonts w:asciiTheme="majorHAnsi" w:hAnsiTheme="majorHAnsi"/>
          <w:sz w:val="18"/>
          <w:szCs w:val="18"/>
        </w:rPr>
        <w:t>, 2019</w:t>
      </w:r>
      <w:r w:rsidR="00372982" w:rsidRPr="00E01538">
        <w:rPr>
          <w:rStyle w:val="FootnoteReference"/>
          <w:rFonts w:asciiTheme="majorHAnsi" w:hAnsiTheme="majorHAnsi"/>
          <w:sz w:val="18"/>
          <w:szCs w:val="18"/>
        </w:rPr>
        <w:footnoteReference w:id="2"/>
      </w:r>
    </w:p>
    <w:p w:rsidR="00372982" w:rsidRPr="000201A3" w:rsidRDefault="00372982" w:rsidP="00372982">
      <w:pPr>
        <w:tabs>
          <w:tab w:val="center" w:pos="5400"/>
        </w:tabs>
        <w:suppressAutoHyphens/>
        <w:ind w:firstLine="720"/>
        <w:jc w:val="both"/>
        <w:rPr>
          <w:rFonts w:asciiTheme="majorHAnsi" w:hAnsiTheme="majorHAnsi"/>
          <w:sz w:val="20"/>
          <w:szCs w:val="20"/>
        </w:rPr>
      </w:pPr>
    </w:p>
    <w:p w:rsidR="00372982" w:rsidRPr="000201A3" w:rsidRDefault="00372982" w:rsidP="00372982">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asciiTheme="majorHAnsi" w:hAnsiTheme="majorHAnsi"/>
          <w:b/>
          <w:color w:val="auto"/>
          <w:sz w:val="20"/>
          <w:szCs w:val="20"/>
        </w:rPr>
      </w:pPr>
      <w:r w:rsidRPr="000201A3">
        <w:rPr>
          <w:rFonts w:asciiTheme="majorHAnsi" w:hAnsiTheme="majorHAnsi"/>
          <w:b/>
          <w:bCs/>
          <w:color w:val="auto"/>
          <w:sz w:val="20"/>
          <w:szCs w:val="20"/>
        </w:rPr>
        <w:t>SUMMARY AND RELEVANT PROCEDURAL ASPECTS OF THE FRIENDLY SETTLEMENT PROCESS</w:t>
      </w:r>
    </w:p>
    <w:p w:rsidR="00372982" w:rsidRPr="000201A3" w:rsidRDefault="00372982" w:rsidP="00372982">
      <w:pPr>
        <w:ind w:firstLine="720"/>
        <w:jc w:val="both"/>
        <w:rPr>
          <w:rFonts w:asciiTheme="majorHAnsi" w:eastAsia="MS Mincho" w:hAnsiTheme="majorHAnsi"/>
          <w:sz w:val="20"/>
          <w:szCs w:val="20"/>
        </w:rPr>
      </w:pPr>
    </w:p>
    <w:p w:rsidR="00372982" w:rsidRPr="000201A3" w:rsidRDefault="00372982" w:rsidP="0037298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rPr>
      </w:pPr>
      <w:r w:rsidRPr="000201A3">
        <w:rPr>
          <w:rFonts w:asciiTheme="majorHAnsi" w:eastAsia="Times New Roman" w:hAnsiTheme="majorHAnsi"/>
          <w:sz w:val="20"/>
          <w:szCs w:val="20"/>
          <w:bdr w:val="none" w:sz="0" w:space="0" w:color="auto"/>
        </w:rPr>
        <w:t xml:space="preserve">On October 23, 2003 the Inter-American Commission on Human Rights (hereinafter "the Inter-American Commission", "the Commission," or “the IACHR") received a petition filed by Alberto Santiago </w:t>
      </w:r>
      <w:proofErr w:type="spellStart"/>
      <w:r w:rsidRPr="000201A3">
        <w:rPr>
          <w:rFonts w:asciiTheme="majorHAnsi" w:eastAsia="Times New Roman" w:hAnsiTheme="majorHAnsi"/>
          <w:sz w:val="20"/>
          <w:szCs w:val="20"/>
          <w:bdr w:val="none" w:sz="0" w:space="0" w:color="auto"/>
        </w:rPr>
        <w:t>Almaza</w:t>
      </w:r>
      <w:proofErr w:type="spellEnd"/>
      <w:r w:rsidRPr="000201A3">
        <w:rPr>
          <w:rFonts w:asciiTheme="majorHAnsi" w:eastAsia="Times New Roman" w:hAnsiTheme="majorHAnsi"/>
          <w:sz w:val="20"/>
          <w:szCs w:val="20"/>
          <w:bdr w:val="none" w:sz="0" w:space="0" w:color="auto"/>
        </w:rPr>
        <w:t xml:space="preserve"> </w:t>
      </w:r>
      <w:proofErr w:type="spellStart"/>
      <w:r w:rsidRPr="000201A3">
        <w:rPr>
          <w:rFonts w:asciiTheme="majorHAnsi" w:eastAsia="Times New Roman" w:hAnsiTheme="majorHAnsi"/>
          <w:sz w:val="20"/>
          <w:szCs w:val="20"/>
          <w:bdr w:val="none" w:sz="0" w:space="0" w:color="auto"/>
        </w:rPr>
        <w:t>Henríquez</w:t>
      </w:r>
      <w:proofErr w:type="spellEnd"/>
      <w:r w:rsidRPr="000201A3">
        <w:rPr>
          <w:rFonts w:asciiTheme="majorHAnsi" w:eastAsia="Times New Roman" w:hAnsiTheme="majorHAnsi"/>
          <w:sz w:val="20"/>
          <w:szCs w:val="20"/>
          <w:bdr w:val="none" w:sz="0" w:space="0" w:color="auto"/>
        </w:rPr>
        <w:t xml:space="preserve">, Director General of the Office to Monitor the Objectives of the Truth Commission, and Jacinto González Rodríguez, Legal Support officer of the Office to Monitor the Objectives of the Truth Commission, representing the Committee of Families of Persons Assassinated and Disappeared of Panama, Héctor Gallego (COFADEPA-HG) and the Committee of Families of Disappeared Persons of Chiriquí (COFADECHI) ("the petitioners”), on behalf of the families of victims of the military dictatorship that ruled Panama between 1968 and 1989, against the Republic of Panama (“the Panamanian State”, “Panama,” or “the State”). The petition alleged that in the prevailing climate of violence and abuse of power under the military dictatorship in power Panama from October 11, 1968 until December 20, 1989, 109 people (hereinafter “the alleged victims”) were victims of extrajudicial execution or forced disappearance allegedly attributable to elements of the State security forces. </w:t>
      </w:r>
    </w:p>
    <w:p w:rsidR="00372982" w:rsidRPr="000201A3" w:rsidRDefault="00372982" w:rsidP="00372982">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Theme="majorHAnsi" w:eastAsia="Times New Roman" w:hAnsiTheme="majorHAnsi"/>
          <w:sz w:val="20"/>
          <w:szCs w:val="20"/>
          <w:bdr w:val="none" w:sz="0" w:space="0" w:color="auto"/>
        </w:rPr>
      </w:pPr>
    </w:p>
    <w:p w:rsidR="00372982" w:rsidRPr="000201A3" w:rsidRDefault="00372982" w:rsidP="0037298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rPr>
      </w:pPr>
      <w:r w:rsidRPr="000201A3">
        <w:rPr>
          <w:rFonts w:asciiTheme="majorHAnsi" w:eastAsia="Times New Roman" w:hAnsiTheme="majorHAnsi"/>
          <w:sz w:val="20"/>
          <w:szCs w:val="20"/>
          <w:bdr w:val="none" w:sz="0" w:space="0" w:color="auto"/>
        </w:rPr>
        <w:t>The petitioners argued that the State of Panama violated Articles 4 (right to life), 5 (right to humane treatment), and 7 (right to personal liberty) of the American Convention on Human Rights (hereinafter “the Convention” or “the American Convention”) to the detriment of the alleged victims. They also held that the State was responsible for violation of Article I (right to life, liberty and personal security) of the American Declaration of the Rights and Duties of Man (hereinafter “the American Declaration”) and Articles I, III, and XI of the Inter-American Convention on Forced Disappearance of Persons. As to the admissibility requirements, they argued that their petition was admissible inasmuch as in those cases in which domestic remedies had not been exhausted, the exceptions set out in Article 31(2) of the Rules of Procedure of the Inter-American Commission on Human Rights (hereinafter “the Rules of Procedure”) applied.</w:t>
      </w:r>
    </w:p>
    <w:p w:rsidR="00372982" w:rsidRPr="000201A3" w:rsidRDefault="00372982" w:rsidP="00372982">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Theme="majorHAnsi" w:eastAsia="Times New Roman" w:hAnsiTheme="majorHAnsi"/>
          <w:sz w:val="20"/>
          <w:szCs w:val="20"/>
          <w:bdr w:val="none" w:sz="0" w:space="0" w:color="auto"/>
        </w:rPr>
      </w:pPr>
    </w:p>
    <w:p w:rsidR="00372982" w:rsidRPr="000201A3" w:rsidRDefault="00372982" w:rsidP="0037298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rPr>
      </w:pPr>
      <w:r w:rsidRPr="000201A3">
        <w:rPr>
          <w:rFonts w:asciiTheme="majorHAnsi" w:eastAsia="Times New Roman" w:hAnsiTheme="majorHAnsi"/>
          <w:sz w:val="20"/>
          <w:szCs w:val="20"/>
          <w:bdr w:val="none" w:sz="0" w:space="0" w:color="auto"/>
        </w:rPr>
        <w:t xml:space="preserve">On October 27, 2015, the IACHR adopted Report on Admissibility No. 68/15. In its report, the IACHR concluded that it was competent to examine the alleged violations of the following articles: (a) 3 (right to juridical personality), 4 (right to life), 5 (right to humane treatment), 7 (right to personal liberty), 8 (right to a fair trial), and 25 (right to judicial protection) of the American Convention, in connection with the obligations established in Articles 1(1) and 2 of that instrument, to the detriment of the 39 purportedly disappeared alleged victims; (b) I, III, and XI of the Inter-American Convention on Forced Disappearance of Persons to the detriment of the 39 disappeared alleged victims; (c) 19 (rights of the child) of the American Convention to the detriment of the two purportedly disappeared minors; (d) I, XXV, and XXVI of the American Declaration to the detriment of the 28 alleged victims purportedly executed prior to June 1978; (e) 4 (right to life), 5 (right to humane treatment), 7 (right to personal liberty), 8 (right to a fair trial), and 25 (right to judicial protection) of the Convention to the detriment of the 39 alleged victims purportedly executed after June 1978; (f) 19 (rights of the child) of the American Convention to the detriment of the girl allegedly extrajudicially executed; (g) 5 (right to humane treatment), 8 (right to a fair trial), and 25 (right to judicial protection) of the American Convention, in connection with the obligations established in Articles 1(1) and 2 of that instrument; and (h) XVIII of the American Declaration to the detriment of the families of all 106 alleged victims. </w:t>
      </w:r>
    </w:p>
    <w:p w:rsidR="00372982" w:rsidRPr="000201A3" w:rsidRDefault="00372982" w:rsidP="003729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Theme="majorHAnsi" w:hAnsiTheme="majorHAnsi" w:cs="Cambria"/>
          <w:color w:val="000000"/>
          <w:sz w:val="20"/>
          <w:szCs w:val="20"/>
        </w:rPr>
      </w:pPr>
    </w:p>
    <w:p w:rsidR="00372982" w:rsidRPr="000201A3" w:rsidRDefault="00372982" w:rsidP="0037298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color w:val="0070C0"/>
          <w:sz w:val="20"/>
          <w:szCs w:val="20"/>
          <w:bdr w:val="none" w:sz="0" w:space="0" w:color="auto"/>
        </w:rPr>
      </w:pPr>
      <w:r w:rsidRPr="000201A3">
        <w:rPr>
          <w:rFonts w:asciiTheme="majorHAnsi" w:eastAsia="Times New Roman" w:hAnsiTheme="majorHAnsi"/>
          <w:sz w:val="20"/>
          <w:szCs w:val="20"/>
          <w:bdr w:val="none" w:sz="0" w:space="0" w:color="auto" w:frame="1"/>
        </w:rPr>
        <w:t>In December 2018, the Commission was advised that the parties had bilaterally initiated negotiations on a friendly settlement agreement. In addition, the parties informed the Commission, that the Truth Commission of Panama had been in operation from 2003 to 2005 and that in 2010 it had convened a</w:t>
      </w:r>
      <w:r w:rsidR="000D61BB">
        <w:rPr>
          <w:rFonts w:asciiTheme="majorHAnsi" w:eastAsia="Times New Roman" w:hAnsiTheme="majorHAnsi"/>
          <w:sz w:val="20"/>
          <w:szCs w:val="20"/>
          <w:bdr w:val="none" w:sz="0" w:space="0" w:color="auto" w:frame="1"/>
        </w:rPr>
        <w:t xml:space="preserve"> </w:t>
      </w:r>
      <w:r w:rsidR="000D61BB">
        <w:rPr>
          <w:rFonts w:asciiTheme="majorHAnsi" w:eastAsia="Times New Roman" w:hAnsiTheme="majorHAnsi"/>
          <w:sz w:val="20"/>
          <w:szCs w:val="20"/>
          <w:bdr w:val="none" w:sz="0" w:space="0" w:color="auto" w:frame="1"/>
        </w:rPr>
        <w:lastRenderedPageBreak/>
        <w:t>“roundtable of understanding” [</w:t>
      </w:r>
      <w:r w:rsidRPr="000201A3">
        <w:rPr>
          <w:rFonts w:asciiTheme="majorHAnsi" w:eastAsia="Times New Roman" w:hAnsiTheme="majorHAnsi"/>
          <w:i/>
          <w:iCs/>
          <w:sz w:val="20"/>
          <w:szCs w:val="20"/>
          <w:bdr w:val="none" w:sz="0" w:space="0" w:color="auto" w:frame="1"/>
        </w:rPr>
        <w:t xml:space="preserve">mesa de </w:t>
      </w:r>
      <w:proofErr w:type="spellStart"/>
      <w:r w:rsidRPr="000201A3">
        <w:rPr>
          <w:rFonts w:asciiTheme="majorHAnsi" w:eastAsia="Times New Roman" w:hAnsiTheme="majorHAnsi"/>
          <w:i/>
          <w:iCs/>
          <w:sz w:val="20"/>
          <w:szCs w:val="20"/>
          <w:bdr w:val="none" w:sz="0" w:space="0" w:color="auto" w:frame="1"/>
        </w:rPr>
        <w:t>entendimiento</w:t>
      </w:r>
      <w:proofErr w:type="spellEnd"/>
      <w:r w:rsidR="000D61BB">
        <w:rPr>
          <w:rFonts w:asciiTheme="majorHAnsi" w:eastAsia="Times New Roman" w:hAnsiTheme="majorHAnsi"/>
          <w:sz w:val="20"/>
          <w:szCs w:val="20"/>
          <w:bdr w:val="none" w:sz="0" w:space="0" w:color="auto" w:frame="1"/>
        </w:rPr>
        <w:t>]</w:t>
      </w:r>
      <w:r w:rsidRPr="000201A3">
        <w:rPr>
          <w:rFonts w:asciiTheme="majorHAnsi" w:eastAsia="Times New Roman" w:hAnsiTheme="majorHAnsi"/>
          <w:sz w:val="20"/>
          <w:szCs w:val="20"/>
          <w:bdr w:val="none" w:sz="0" w:space="0" w:color="auto" w:frame="1"/>
        </w:rPr>
        <w:t xml:space="preserve"> between organizations of victims' families and the State. </w:t>
      </w:r>
    </w:p>
    <w:p w:rsidR="00372982" w:rsidRPr="000201A3" w:rsidRDefault="00372982" w:rsidP="00372982">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Theme="majorHAnsi" w:eastAsia="Times New Roman" w:hAnsiTheme="majorHAnsi"/>
          <w:color w:val="0070C0"/>
          <w:sz w:val="20"/>
          <w:szCs w:val="20"/>
          <w:bdr w:val="none" w:sz="0" w:space="0" w:color="auto"/>
        </w:rPr>
      </w:pPr>
    </w:p>
    <w:p w:rsidR="00372982" w:rsidRPr="005671E5" w:rsidRDefault="00372982" w:rsidP="0037298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rPr>
      </w:pPr>
      <w:r w:rsidRPr="000201A3">
        <w:rPr>
          <w:rFonts w:asciiTheme="majorHAnsi" w:eastAsia="Times New Roman" w:hAnsiTheme="majorHAnsi"/>
          <w:sz w:val="20"/>
          <w:szCs w:val="20"/>
          <w:bdr w:val="none" w:sz="0" w:space="0" w:color="auto" w:frame="1"/>
        </w:rPr>
        <w:t xml:space="preserve">On February 12, 2019, the parties held a meeting in Bolivia in the context of the 171st session of </w:t>
      </w:r>
      <w:r w:rsidRPr="005671E5">
        <w:rPr>
          <w:rFonts w:asciiTheme="majorHAnsi" w:eastAsia="Times New Roman" w:hAnsiTheme="majorHAnsi"/>
          <w:sz w:val="20"/>
          <w:szCs w:val="20"/>
          <w:bdr w:val="none" w:sz="0" w:space="0" w:color="auto" w:frame="1"/>
        </w:rPr>
        <w:t>the Commission, which was facilitated by Commissioner Flávia Piovesan</w:t>
      </w:r>
      <w:r w:rsidRPr="005671E5">
        <w:rPr>
          <w:rFonts w:asciiTheme="majorHAnsi" w:eastAsia="Times New Roman" w:hAnsiTheme="majorHAnsi"/>
          <w:sz w:val="20"/>
          <w:szCs w:val="20"/>
        </w:rPr>
        <w:t xml:space="preserve"> </w:t>
      </w:r>
      <w:r w:rsidRPr="005671E5">
        <w:rPr>
          <w:rFonts w:asciiTheme="majorHAnsi" w:eastAsia="Times New Roman" w:hAnsiTheme="majorHAnsi"/>
          <w:sz w:val="20"/>
          <w:szCs w:val="20"/>
          <w:bdr w:val="none" w:sz="0" w:space="0" w:color="auto"/>
        </w:rPr>
        <w:t xml:space="preserve">in her capacity as rapporteur for the country. </w:t>
      </w:r>
      <w:r w:rsidRPr="005671E5">
        <w:rPr>
          <w:rFonts w:asciiTheme="majorHAnsi" w:eastAsia="Times New Roman" w:hAnsiTheme="majorHAnsi"/>
          <w:sz w:val="20"/>
          <w:szCs w:val="20"/>
          <w:bdr w:val="none" w:sz="0" w:space="0" w:color="auto" w:frame="1"/>
        </w:rPr>
        <w:t>On June 21, 2019, the parties signed a friendly settlement agreement (hereinafter “the ASA” or “the Agreement”) that covered 13 victims represented by the organization COFADEPA-HG.</w:t>
      </w:r>
    </w:p>
    <w:p w:rsidR="00372982" w:rsidRPr="005671E5" w:rsidRDefault="00372982" w:rsidP="00372982">
      <w:pPr>
        <w:pStyle w:val="ListParagraph"/>
        <w:ind w:left="0" w:firstLine="720"/>
        <w:rPr>
          <w:rFonts w:asciiTheme="majorHAnsi" w:eastAsia="Times New Roman" w:hAnsiTheme="majorHAnsi"/>
          <w:sz w:val="20"/>
          <w:szCs w:val="20"/>
          <w:bdr w:val="none" w:sz="0" w:space="0" w:color="auto"/>
        </w:rPr>
      </w:pPr>
    </w:p>
    <w:p w:rsidR="00372982" w:rsidRPr="005671E5" w:rsidRDefault="005671E5" w:rsidP="0037298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frame="1"/>
        </w:rPr>
      </w:pPr>
      <w:r w:rsidRPr="005671E5">
        <w:rPr>
          <w:rFonts w:asciiTheme="majorHAnsi" w:eastAsia="Times New Roman" w:hAnsiTheme="majorHAnsi"/>
          <w:sz w:val="20"/>
          <w:szCs w:val="20"/>
          <w:bdr w:val="none" w:sz="0" w:space="0" w:color="auto" w:frame="1"/>
        </w:rPr>
        <w:t>On June 26, 2019</w:t>
      </w:r>
      <w:r w:rsidR="00372982" w:rsidRPr="005671E5">
        <w:rPr>
          <w:rFonts w:asciiTheme="majorHAnsi" w:eastAsia="Times New Roman" w:hAnsiTheme="majorHAnsi"/>
          <w:sz w:val="20"/>
          <w:szCs w:val="20"/>
          <w:bdr w:val="none" w:sz="0" w:space="0" w:color="auto" w:frame="1"/>
        </w:rPr>
        <w:t xml:space="preserve">, the parties sent the IACHR a joint communication requesting approval of the ASA. </w:t>
      </w:r>
    </w:p>
    <w:p w:rsidR="00372982" w:rsidRPr="000201A3" w:rsidRDefault="00372982" w:rsidP="00372982">
      <w:pPr>
        <w:pStyle w:val="ListParagraph"/>
        <w:ind w:left="0" w:firstLine="720"/>
        <w:rPr>
          <w:rFonts w:asciiTheme="majorHAnsi" w:eastAsia="Times New Roman" w:hAnsiTheme="majorHAnsi"/>
          <w:sz w:val="20"/>
          <w:szCs w:val="20"/>
          <w:bdr w:val="none" w:sz="0" w:space="0" w:color="auto" w:frame="1"/>
        </w:rPr>
      </w:pPr>
    </w:p>
    <w:p w:rsidR="00372982" w:rsidRPr="000201A3" w:rsidRDefault="00372982" w:rsidP="0037298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frame="1"/>
        </w:rPr>
      </w:pPr>
      <w:r w:rsidRPr="000201A3">
        <w:rPr>
          <w:rFonts w:asciiTheme="majorHAnsi" w:eastAsia="Times New Roman" w:hAnsiTheme="majorHAnsi"/>
          <w:sz w:val="20"/>
          <w:szCs w:val="20"/>
          <w:bdr w:val="none" w:sz="0" w:space="0" w:color="auto" w:frame="1"/>
        </w:rPr>
        <w:t xml:space="preserve">In relation to the above, it is worth mentioning that the Panamanian State is engaged in other friendly settlement negotiation processes with the rest of the victims and that the effects of this approval report are purely confined to the 13 victims and 83 family members who have subscribed to the ASA to which it refers. </w:t>
      </w:r>
    </w:p>
    <w:p w:rsidR="00372982" w:rsidRPr="000201A3" w:rsidRDefault="00372982" w:rsidP="00372982">
      <w:pPr>
        <w:tabs>
          <w:tab w:val="left" w:pos="0"/>
          <w:tab w:val="left" w:pos="1440"/>
        </w:tabs>
        <w:ind w:firstLine="720"/>
        <w:jc w:val="both"/>
        <w:rPr>
          <w:rFonts w:asciiTheme="majorHAnsi" w:hAnsiTheme="majorHAnsi"/>
          <w:color w:val="0070C0"/>
          <w:sz w:val="20"/>
          <w:szCs w:val="20"/>
          <w:bdr w:val="none" w:sz="0" w:space="0" w:color="auto"/>
        </w:rPr>
      </w:pPr>
    </w:p>
    <w:p w:rsidR="00372982" w:rsidRPr="000201A3" w:rsidRDefault="000D61BB" w:rsidP="0037298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rPr>
      </w:pPr>
      <w:r>
        <w:rPr>
          <w:rFonts w:asciiTheme="majorHAnsi" w:eastAsia="Times New Roman" w:hAnsiTheme="majorHAnsi"/>
          <w:sz w:val="20"/>
          <w:szCs w:val="20"/>
        </w:rPr>
        <w:t>Pursuant to Articles</w:t>
      </w:r>
      <w:r w:rsidR="00372982" w:rsidRPr="000201A3">
        <w:rPr>
          <w:rFonts w:asciiTheme="majorHAnsi" w:eastAsia="Times New Roman" w:hAnsiTheme="majorHAnsi"/>
          <w:sz w:val="20"/>
          <w:szCs w:val="20"/>
        </w:rPr>
        <w:t xml:space="preserve"> 49 of the American Convention and 40(5) of the Commission’s Rules of Procedure, this friendly settlement report includes a summary of the petitioner’s allegations and transcribes the friendly settlement agreement signed on June 21, 2019, by the petitioner COFADEPA-HG and representatives of the Panamanian State. Also, the Commission hereby approves the agreement signed by the parties and decides to publish this report in its Annual Report to the General Assembly of the Organization of American States. </w:t>
      </w:r>
    </w:p>
    <w:p w:rsidR="00372982" w:rsidRPr="000201A3" w:rsidRDefault="00372982" w:rsidP="00372982">
      <w:pPr>
        <w:ind w:firstLine="720"/>
        <w:jc w:val="both"/>
        <w:rPr>
          <w:rFonts w:asciiTheme="majorHAnsi" w:eastAsia="Times New Roman" w:hAnsiTheme="majorHAnsi"/>
          <w:sz w:val="20"/>
          <w:szCs w:val="20"/>
        </w:rPr>
      </w:pPr>
    </w:p>
    <w:p w:rsidR="00372982" w:rsidRPr="000201A3" w:rsidRDefault="00372982" w:rsidP="00372982">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MS Mincho" w:hAnsiTheme="majorHAnsi"/>
          <w:b/>
          <w:color w:val="auto"/>
          <w:sz w:val="20"/>
          <w:szCs w:val="20"/>
        </w:rPr>
      </w:pPr>
      <w:r w:rsidRPr="000201A3">
        <w:rPr>
          <w:rFonts w:asciiTheme="majorHAnsi" w:eastAsia="MS Mincho" w:hAnsiTheme="majorHAnsi"/>
          <w:b/>
          <w:bCs/>
          <w:color w:val="auto"/>
          <w:sz w:val="20"/>
          <w:szCs w:val="20"/>
        </w:rPr>
        <w:t>ALLEGED FACTS</w:t>
      </w:r>
      <w:r w:rsidRPr="000201A3">
        <w:rPr>
          <w:rFonts w:asciiTheme="majorHAnsi" w:eastAsia="MS Mincho" w:hAnsiTheme="majorHAnsi"/>
          <w:color w:val="auto"/>
          <w:sz w:val="20"/>
          <w:szCs w:val="20"/>
        </w:rPr>
        <w:t xml:space="preserve"> </w:t>
      </w:r>
    </w:p>
    <w:p w:rsidR="00372982" w:rsidRPr="000201A3" w:rsidRDefault="00372982" w:rsidP="00372982">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eastAsia="Times New Roman" w:hAnsiTheme="majorHAnsi"/>
          <w:color w:val="0070C0"/>
          <w:sz w:val="20"/>
          <w:szCs w:val="20"/>
          <w:bdr w:val="none" w:sz="0" w:space="0" w:color="auto" w:frame="1"/>
        </w:rPr>
      </w:pPr>
    </w:p>
    <w:p w:rsidR="00372982" w:rsidRPr="000201A3" w:rsidRDefault="00372982" w:rsidP="00372982">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bdr w:val="none" w:sz="0" w:space="0" w:color="auto" w:frame="1"/>
        </w:rPr>
      </w:pPr>
      <w:r w:rsidRPr="000201A3">
        <w:rPr>
          <w:rFonts w:asciiTheme="majorHAnsi" w:eastAsia="Times New Roman" w:hAnsiTheme="majorHAnsi"/>
          <w:sz w:val="20"/>
          <w:szCs w:val="20"/>
          <w:bdr w:val="none" w:sz="0" w:space="0" w:color="auto" w:frame="1"/>
        </w:rPr>
        <w:t xml:space="preserve">The petitioners denounced the forced disappearance and extrajudicial execution in Panama of 109 people between October 1968 and December 1989. According to the petition, those violations were committed by officials of the military regime, under the general policy instituted by the military government of eliminating the opposition. </w:t>
      </w:r>
    </w:p>
    <w:p w:rsidR="00372982" w:rsidRPr="000201A3" w:rsidRDefault="00372982" w:rsidP="0037298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bdr w:val="none" w:sz="0" w:space="0" w:color="auto" w:frame="1"/>
        </w:rPr>
      </w:pPr>
    </w:p>
    <w:p w:rsidR="00372982" w:rsidRPr="000201A3" w:rsidRDefault="00372982" w:rsidP="00372982">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bdr w:val="none" w:sz="0" w:space="0" w:color="auto" w:frame="1"/>
        </w:rPr>
      </w:pPr>
      <w:r w:rsidRPr="000201A3">
        <w:rPr>
          <w:rFonts w:asciiTheme="majorHAnsi" w:eastAsia="Times New Roman" w:hAnsiTheme="majorHAnsi"/>
          <w:sz w:val="20"/>
          <w:szCs w:val="20"/>
          <w:bdr w:val="none" w:sz="0" w:space="0" w:color="auto" w:frame="1"/>
        </w:rPr>
        <w:t>The petitioners alleged that during the dictatorship, officials of the National Guard dissolved the National Assembly, and appointed a Provisional Government Junta, which was run by the military. The petitioners also said that over that period, political activity was practically suppressed by a harsh military regime that engaged in the persecution and arbitrary, systematic detention of those who opposed the dictatorial government. They said, in particular, that a plan of repression was conducted against community leaders, student movements, and supporters of the Civic Front (</w:t>
      </w:r>
      <w:proofErr w:type="spellStart"/>
      <w:r w:rsidRPr="000201A3">
        <w:rPr>
          <w:rFonts w:asciiTheme="majorHAnsi" w:eastAsia="Times New Roman" w:hAnsiTheme="majorHAnsi"/>
          <w:i/>
          <w:iCs/>
          <w:sz w:val="20"/>
          <w:szCs w:val="20"/>
          <w:bdr w:val="none" w:sz="0" w:space="0" w:color="auto" w:frame="1"/>
        </w:rPr>
        <w:t>Frente</w:t>
      </w:r>
      <w:proofErr w:type="spellEnd"/>
      <w:r w:rsidRPr="000201A3">
        <w:rPr>
          <w:rFonts w:asciiTheme="majorHAnsi" w:eastAsia="Times New Roman" w:hAnsiTheme="majorHAnsi"/>
          <w:i/>
          <w:iCs/>
          <w:sz w:val="20"/>
          <w:szCs w:val="20"/>
          <w:bdr w:val="none" w:sz="0" w:space="0" w:color="auto" w:frame="1"/>
        </w:rPr>
        <w:t xml:space="preserve"> </w:t>
      </w:r>
      <w:proofErr w:type="spellStart"/>
      <w:r w:rsidRPr="000201A3">
        <w:rPr>
          <w:rFonts w:asciiTheme="majorHAnsi" w:eastAsia="Times New Roman" w:hAnsiTheme="majorHAnsi"/>
          <w:i/>
          <w:iCs/>
          <w:sz w:val="20"/>
          <w:szCs w:val="20"/>
          <w:bdr w:val="none" w:sz="0" w:space="0" w:color="auto" w:frame="1"/>
        </w:rPr>
        <w:t>Cívico</w:t>
      </w:r>
      <w:proofErr w:type="spellEnd"/>
      <w:r w:rsidRPr="000201A3">
        <w:rPr>
          <w:rFonts w:asciiTheme="majorHAnsi" w:eastAsia="Times New Roman" w:hAnsiTheme="majorHAnsi"/>
          <w:sz w:val="20"/>
          <w:szCs w:val="20"/>
          <w:bdr w:val="none" w:sz="0" w:space="0" w:color="auto" w:frame="1"/>
        </w:rPr>
        <w:t>) who did not support the military government, and that this repression manifested itself in many acts of violence which, it was alleged, was the reason for the increase in the number of armed clashes, incarcerations, and deaths in unexplained circumstances that occurred during this period.</w:t>
      </w:r>
    </w:p>
    <w:p w:rsidR="00372982" w:rsidRPr="000201A3" w:rsidRDefault="00372982" w:rsidP="00372982">
      <w:pPr>
        <w:pStyle w:val="ListParagraph"/>
        <w:tabs>
          <w:tab w:val="num" w:pos="0"/>
        </w:tabs>
        <w:ind w:left="0" w:firstLine="720"/>
        <w:jc w:val="both"/>
        <w:rPr>
          <w:rFonts w:asciiTheme="majorHAnsi" w:eastAsia="Times New Roman" w:hAnsiTheme="majorHAnsi"/>
          <w:sz w:val="20"/>
          <w:szCs w:val="20"/>
          <w:bdr w:val="none" w:sz="0" w:space="0" w:color="auto" w:frame="1"/>
        </w:rPr>
      </w:pPr>
    </w:p>
    <w:p w:rsidR="00372982" w:rsidRPr="000201A3" w:rsidRDefault="00372982" w:rsidP="00372982">
      <w:pPr>
        <w:pStyle w:val="ListParagraph"/>
        <w:numPr>
          <w:ilvl w:val="0"/>
          <w:numId w:val="106"/>
        </w:numPr>
        <w:tabs>
          <w:tab w:val="num" w:pos="0"/>
        </w:tabs>
        <w:ind w:left="0" w:firstLine="720"/>
        <w:jc w:val="both"/>
        <w:rPr>
          <w:rFonts w:asciiTheme="majorHAnsi" w:eastAsia="Times New Roman" w:hAnsiTheme="majorHAnsi"/>
          <w:bCs/>
          <w:sz w:val="20"/>
          <w:szCs w:val="20"/>
          <w:bdr w:val="none" w:sz="0" w:space="0" w:color="auto" w:frame="1"/>
        </w:rPr>
      </w:pPr>
      <w:r w:rsidRPr="000201A3">
        <w:rPr>
          <w:rFonts w:asciiTheme="majorHAnsi" w:eastAsia="Times New Roman" w:hAnsiTheme="majorHAnsi"/>
          <w:sz w:val="20"/>
          <w:szCs w:val="20"/>
          <w:bdr w:val="none" w:sz="0" w:space="0" w:color="auto" w:frame="1"/>
        </w:rPr>
        <w:t>Within this context of violence and abuse of power, the petitioners alleged violations of the fundamental rights of 109 persons. For each alleged victim, the petitioners identified the victim, described the particular facts of the rights violations that were documented to the Truth Commission, and detailed the judicial activity that took place in connection with those acts. They also described the profile of the victims, saying that they were young people at the time of their deaths or disappearances and that most of them were from low-income social groups.</w:t>
      </w:r>
    </w:p>
    <w:p w:rsidR="00372982" w:rsidRPr="000201A3" w:rsidRDefault="00372982" w:rsidP="00372982">
      <w:pPr>
        <w:pStyle w:val="ListParagraph"/>
        <w:tabs>
          <w:tab w:val="num" w:pos="0"/>
        </w:tabs>
        <w:ind w:left="0" w:firstLine="720"/>
        <w:jc w:val="both"/>
        <w:rPr>
          <w:rFonts w:asciiTheme="majorHAnsi" w:eastAsia="Times New Roman" w:hAnsiTheme="majorHAnsi"/>
          <w:sz w:val="20"/>
          <w:szCs w:val="20"/>
          <w:bdr w:val="none" w:sz="0" w:space="0" w:color="auto" w:frame="1"/>
        </w:rPr>
      </w:pPr>
    </w:p>
    <w:p w:rsidR="00372982" w:rsidRPr="000201A3" w:rsidRDefault="00372982" w:rsidP="00372982">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rPr>
          <w:rFonts w:asciiTheme="majorHAnsi" w:eastAsia="Times New Roman" w:hAnsiTheme="majorHAnsi"/>
          <w:sz w:val="20"/>
          <w:szCs w:val="20"/>
          <w:bdr w:val="none" w:sz="0" w:space="0" w:color="auto" w:frame="1"/>
        </w:rPr>
      </w:pPr>
      <w:r w:rsidRPr="000201A3">
        <w:rPr>
          <w:rFonts w:asciiTheme="majorHAnsi" w:eastAsia="Times New Roman" w:hAnsiTheme="majorHAnsi"/>
          <w:sz w:val="20"/>
          <w:szCs w:val="20"/>
          <w:bdr w:val="none" w:sz="0" w:space="0" w:color="auto" w:frame="1"/>
        </w:rPr>
        <w:t>According to the petitioners, 39 people were victims of f</w:t>
      </w:r>
      <w:r w:rsidR="00F7270E">
        <w:rPr>
          <w:rFonts w:asciiTheme="majorHAnsi" w:eastAsia="Times New Roman" w:hAnsiTheme="majorHAnsi"/>
          <w:sz w:val="20"/>
          <w:szCs w:val="20"/>
          <w:bdr w:val="none" w:sz="0" w:space="0" w:color="auto" w:frame="1"/>
        </w:rPr>
        <w:t xml:space="preserve">orced disappearance and </w:t>
      </w:r>
      <w:r w:rsidRPr="000201A3">
        <w:rPr>
          <w:rFonts w:asciiTheme="majorHAnsi" w:eastAsia="Times New Roman" w:hAnsiTheme="majorHAnsi"/>
          <w:sz w:val="20"/>
          <w:szCs w:val="20"/>
          <w:bdr w:val="none" w:sz="0" w:space="0" w:color="auto" w:frame="1"/>
        </w:rPr>
        <w:t>two of those 39 were minors.</w:t>
      </w:r>
      <w:r w:rsidRPr="000201A3">
        <w:rPr>
          <w:rFonts w:asciiTheme="majorHAnsi" w:eastAsia="Times New Roman" w:hAnsiTheme="majorHAnsi"/>
          <w:color w:val="auto"/>
          <w:kern w:val="36"/>
          <w:sz w:val="20"/>
          <w:szCs w:val="20"/>
          <w:bdr w:val="none" w:sz="0" w:space="0" w:color="auto"/>
        </w:rPr>
        <w:t xml:space="preserve"> They also claimed that </w:t>
      </w:r>
      <w:r w:rsidRPr="000201A3">
        <w:rPr>
          <w:rFonts w:asciiTheme="majorHAnsi" w:eastAsia="Times New Roman" w:hAnsiTheme="majorHAnsi"/>
          <w:sz w:val="20"/>
          <w:szCs w:val="20"/>
          <w:bdr w:val="none" w:sz="0" w:space="0" w:color="auto" w:frame="1"/>
        </w:rPr>
        <w:t>70 people were victims of extrajudicial execution and that one of those whose right to life was thus violated was a girl.</w:t>
      </w:r>
      <w:r w:rsidRPr="000201A3">
        <w:rPr>
          <w:rFonts w:asciiTheme="majorHAnsi" w:eastAsia="Times New Roman" w:hAnsiTheme="majorHAnsi"/>
          <w:color w:val="auto"/>
          <w:sz w:val="20"/>
          <w:szCs w:val="20"/>
          <w:bdr w:val="none" w:sz="0" w:space="0" w:color="auto" w:frame="1"/>
        </w:rPr>
        <w:t xml:space="preserve"> All of the aforementioned </w:t>
      </w:r>
      <w:r w:rsidR="00F7270E" w:rsidRPr="000201A3">
        <w:rPr>
          <w:rFonts w:asciiTheme="majorHAnsi" w:eastAsia="Times New Roman" w:hAnsiTheme="majorHAnsi"/>
          <w:color w:val="auto"/>
          <w:sz w:val="20"/>
          <w:szCs w:val="20"/>
          <w:bdr w:val="none" w:sz="0" w:space="0" w:color="auto" w:frame="1"/>
        </w:rPr>
        <w:t>violations</w:t>
      </w:r>
      <w:r w:rsidRPr="000201A3">
        <w:rPr>
          <w:rFonts w:asciiTheme="majorHAnsi" w:eastAsia="Times New Roman" w:hAnsiTheme="majorHAnsi"/>
          <w:color w:val="auto"/>
          <w:sz w:val="20"/>
          <w:szCs w:val="20"/>
          <w:bdr w:val="none" w:sz="0" w:space="0" w:color="auto" w:frame="1"/>
        </w:rPr>
        <w:t xml:space="preserve"> </w:t>
      </w:r>
      <w:r w:rsidRPr="000201A3">
        <w:rPr>
          <w:rFonts w:asciiTheme="majorHAnsi" w:eastAsia="Times New Roman" w:hAnsiTheme="majorHAnsi"/>
          <w:sz w:val="20"/>
          <w:szCs w:val="20"/>
          <w:bdr w:val="none" w:sz="0" w:space="0" w:color="auto" w:frame="1"/>
        </w:rPr>
        <w:t>were attributed to agents of the Panamanian Army.</w:t>
      </w:r>
    </w:p>
    <w:p w:rsidR="00372982" w:rsidRPr="000201A3" w:rsidRDefault="00372982" w:rsidP="00372982">
      <w:pPr>
        <w:pStyle w:val="ListParagraph"/>
        <w:tabs>
          <w:tab w:val="num" w:pos="0"/>
        </w:tabs>
        <w:ind w:left="0" w:firstLine="720"/>
        <w:rPr>
          <w:rFonts w:asciiTheme="majorHAnsi" w:eastAsia="Times New Roman" w:hAnsiTheme="majorHAnsi"/>
          <w:sz w:val="20"/>
          <w:szCs w:val="20"/>
          <w:bdr w:val="none" w:sz="0" w:space="0" w:color="auto" w:frame="1"/>
        </w:rPr>
      </w:pPr>
    </w:p>
    <w:p w:rsidR="00372982" w:rsidRPr="000201A3" w:rsidRDefault="00372982" w:rsidP="00372982">
      <w:pPr>
        <w:pStyle w:val="ListParagraph"/>
        <w:numPr>
          <w:ilvl w:val="0"/>
          <w:numId w:val="106"/>
        </w:numPr>
        <w:tabs>
          <w:tab w:val="num" w:pos="0"/>
        </w:tabs>
        <w:ind w:left="0" w:firstLine="720"/>
        <w:jc w:val="both"/>
        <w:rPr>
          <w:rFonts w:asciiTheme="majorHAnsi" w:eastAsia="Times New Roman" w:hAnsiTheme="majorHAnsi"/>
          <w:bCs/>
          <w:sz w:val="20"/>
          <w:szCs w:val="20"/>
          <w:bdr w:val="none" w:sz="0" w:space="0" w:color="auto" w:frame="1"/>
        </w:rPr>
      </w:pPr>
      <w:r w:rsidRPr="000201A3">
        <w:rPr>
          <w:rFonts w:asciiTheme="majorHAnsi" w:eastAsia="Times New Roman" w:hAnsiTheme="majorHAnsi"/>
          <w:sz w:val="20"/>
          <w:szCs w:val="20"/>
          <w:bdr w:val="none" w:sz="0" w:space="0" w:color="auto" w:frame="1"/>
        </w:rPr>
        <w:lastRenderedPageBreak/>
        <w:t>With respect to exhaustion of domestic remedies, the petitioners say that in 103 of the 109 cases,</w:t>
      </w:r>
      <w:r w:rsidRPr="000201A3">
        <w:rPr>
          <w:rStyle w:val="FootnoteReference"/>
          <w:rFonts w:asciiTheme="majorHAnsi" w:eastAsia="Times New Roman" w:hAnsiTheme="majorHAnsi"/>
          <w:sz w:val="20"/>
          <w:szCs w:val="20"/>
          <w:bdr w:val="none" w:sz="0" w:space="0" w:color="auto" w:frame="1"/>
        </w:rPr>
        <w:footnoteReference w:id="3"/>
      </w:r>
      <w:r w:rsidRPr="000201A3">
        <w:rPr>
          <w:rFonts w:asciiTheme="majorHAnsi" w:eastAsia="Times New Roman" w:hAnsiTheme="majorHAnsi"/>
          <w:sz w:val="20"/>
          <w:szCs w:val="20"/>
          <w:bdr w:val="none" w:sz="0" w:space="0" w:color="auto" w:frame="1"/>
        </w:rPr>
        <w:t xml:space="preserve"> the facts were reported to the appropriate authorities between 1970 and 2003. They said that most of the cases were still at the preliminary investigation stage, some more than 36 years after the time the petition was lodged; in other cases the accused were acquitted. They also said that of all the above-mentioned proceedings, only 6 convictions had been handed down, encompassing 14 of the cases brought by the petitioners, with one judgment convicting those responsible for the extrajudicial execution of 9 alleged victims identified by the petitioners. Of the other five convictions, two were default judgments.</w:t>
      </w:r>
      <w:r w:rsidRPr="000201A3">
        <w:rPr>
          <w:rFonts w:asciiTheme="majorHAnsi" w:eastAsia="Times New Roman" w:hAnsiTheme="majorHAnsi"/>
          <w:sz w:val="20"/>
          <w:szCs w:val="20"/>
          <w:bdr w:val="none" w:sz="0" w:space="0" w:color="auto" w:frame="1"/>
          <w:vertAlign w:val="superscript"/>
        </w:rPr>
        <w:footnoteReference w:id="4"/>
      </w:r>
      <w:r w:rsidRPr="000201A3">
        <w:rPr>
          <w:rFonts w:asciiTheme="majorHAnsi" w:eastAsia="Times New Roman" w:hAnsiTheme="majorHAnsi"/>
          <w:kern w:val="36"/>
          <w:sz w:val="20"/>
          <w:szCs w:val="20"/>
          <w:bdr w:val="none" w:sz="0" w:space="0" w:color="auto"/>
        </w:rPr>
        <w:t xml:space="preserve"> </w:t>
      </w:r>
      <w:r w:rsidRPr="000201A3">
        <w:rPr>
          <w:rFonts w:asciiTheme="majorHAnsi" w:eastAsia="Times New Roman" w:hAnsiTheme="majorHAnsi"/>
          <w:sz w:val="20"/>
          <w:szCs w:val="20"/>
          <w:bdr w:val="none" w:sz="0" w:space="0" w:color="auto" w:frame="1"/>
        </w:rPr>
        <w:t>With regard to the remaining 89 cases, the petitioners reported that 33 were at the pre-trial investigation stage, and that appeals had been filed in 11 of them without a decision adopted thereon. Eight cases had been closed, and three had been barred by the statute of limitations. The court authorities had decided for the dismissal in 26 cases. Five acquittals had been decided; in one case, those allegedly responsible had been pardoned, and in two cases the records could not be found.</w:t>
      </w:r>
    </w:p>
    <w:p w:rsidR="00372982" w:rsidRPr="000201A3" w:rsidRDefault="00372982" w:rsidP="00372982">
      <w:pPr>
        <w:pStyle w:val="ListParagraph"/>
        <w:tabs>
          <w:tab w:val="num" w:pos="0"/>
        </w:tabs>
        <w:ind w:left="0" w:firstLine="720"/>
        <w:jc w:val="both"/>
        <w:rPr>
          <w:rFonts w:asciiTheme="majorHAnsi" w:eastAsia="Times New Roman" w:hAnsiTheme="majorHAnsi"/>
          <w:bCs/>
          <w:sz w:val="20"/>
          <w:szCs w:val="20"/>
          <w:bdr w:val="none" w:sz="0" w:space="0" w:color="auto" w:frame="1"/>
        </w:rPr>
      </w:pPr>
    </w:p>
    <w:p w:rsidR="00372982" w:rsidRPr="000201A3" w:rsidRDefault="00372982" w:rsidP="00372982">
      <w:pPr>
        <w:pStyle w:val="ListParagraph"/>
        <w:numPr>
          <w:ilvl w:val="0"/>
          <w:numId w:val="106"/>
        </w:numPr>
        <w:tabs>
          <w:tab w:val="num" w:pos="0"/>
        </w:tabs>
        <w:ind w:left="0" w:firstLine="720"/>
        <w:jc w:val="both"/>
        <w:rPr>
          <w:rFonts w:asciiTheme="majorHAnsi" w:eastAsia="Times New Roman" w:hAnsiTheme="majorHAnsi"/>
          <w:bCs/>
          <w:sz w:val="20"/>
          <w:szCs w:val="20"/>
          <w:bdr w:val="none" w:sz="0" w:space="0" w:color="auto" w:frame="1"/>
        </w:rPr>
      </w:pPr>
      <w:r w:rsidRPr="000201A3">
        <w:rPr>
          <w:rFonts w:asciiTheme="majorHAnsi" w:eastAsia="Times New Roman" w:hAnsiTheme="majorHAnsi"/>
          <w:kern w:val="36"/>
          <w:sz w:val="20"/>
          <w:szCs w:val="20"/>
          <w:bdr w:val="none" w:sz="0" w:space="0" w:color="auto"/>
        </w:rPr>
        <w:t>Finally, they submitted that, despite the fact that the courts issued judgments in a number of cases, a situation of structural impunity existed in Panama in relation to the crimes committed during the military dictatorship. According to the petitioners, this situation is the result of the manipulation of the justice system by those responsible for the terror wielded by the State. In this regard, they say that this alleged impunity was consolidated through the use of procedural mechanisms, such as the statute of limitations on criminal proceedings, and denial of justice, as was clearly visible in the proceedings brought by the families of the victims.</w:t>
      </w:r>
    </w:p>
    <w:p w:rsidR="00372982" w:rsidRPr="000201A3" w:rsidRDefault="00372982" w:rsidP="00372982">
      <w:pPr>
        <w:ind w:firstLine="720"/>
        <w:jc w:val="both"/>
        <w:rPr>
          <w:rFonts w:asciiTheme="majorHAnsi" w:eastAsia="Times New Roman" w:hAnsiTheme="majorHAnsi"/>
          <w:bCs/>
          <w:kern w:val="36"/>
          <w:sz w:val="20"/>
          <w:szCs w:val="20"/>
          <w:bdr w:val="none" w:sz="0" w:space="0" w:color="auto"/>
        </w:rPr>
      </w:pPr>
    </w:p>
    <w:p w:rsidR="00372982" w:rsidRPr="000201A3" w:rsidRDefault="00372982" w:rsidP="00372982">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rPr>
      </w:pPr>
      <w:r w:rsidRPr="000201A3">
        <w:rPr>
          <w:rFonts w:asciiTheme="majorHAnsi" w:eastAsia="MS Mincho" w:hAnsiTheme="majorHAnsi"/>
          <w:b/>
          <w:bCs/>
          <w:sz w:val="20"/>
          <w:szCs w:val="20"/>
        </w:rPr>
        <w:t>FRIENDLY SETTLEMENT</w:t>
      </w:r>
    </w:p>
    <w:p w:rsidR="00372982" w:rsidRPr="000201A3" w:rsidRDefault="00372982" w:rsidP="00372982">
      <w:pPr>
        <w:pStyle w:val="ListParagraph"/>
        <w:ind w:left="0" w:firstLine="720"/>
        <w:jc w:val="both"/>
        <w:rPr>
          <w:rFonts w:asciiTheme="majorHAnsi" w:eastAsia="Times New Roman" w:hAnsiTheme="majorHAnsi"/>
          <w:sz w:val="20"/>
          <w:szCs w:val="20"/>
          <w:bdr w:val="none" w:sz="0" w:space="0" w:color="auto" w:frame="1"/>
        </w:rPr>
      </w:pPr>
    </w:p>
    <w:p w:rsidR="00372982" w:rsidRPr="000201A3" w:rsidRDefault="00372982" w:rsidP="0037298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rPr>
      </w:pPr>
      <w:r w:rsidRPr="000201A3">
        <w:rPr>
          <w:rFonts w:asciiTheme="majorHAnsi" w:eastAsia="Times New Roman" w:hAnsiTheme="majorHAnsi"/>
          <w:sz w:val="20"/>
          <w:szCs w:val="20"/>
        </w:rPr>
        <w:t xml:space="preserve">In Panama City on June 21, 2019, the State, represented by Ana Carolina Cambra of the Bureau of International Legal Affairs and Treaties of the Ministry of Foreign Affairs, and Maritza </w:t>
      </w:r>
      <w:proofErr w:type="spellStart"/>
      <w:r w:rsidRPr="000201A3">
        <w:rPr>
          <w:rFonts w:asciiTheme="majorHAnsi" w:eastAsia="Times New Roman" w:hAnsiTheme="majorHAnsi"/>
          <w:sz w:val="20"/>
          <w:szCs w:val="20"/>
        </w:rPr>
        <w:t>Maestre</w:t>
      </w:r>
      <w:proofErr w:type="spellEnd"/>
      <w:r w:rsidRPr="000201A3">
        <w:rPr>
          <w:rFonts w:asciiTheme="majorHAnsi" w:eastAsia="Times New Roman" w:hAnsiTheme="majorHAnsi"/>
          <w:sz w:val="20"/>
          <w:szCs w:val="20"/>
        </w:rPr>
        <w:t xml:space="preserve">, representative of the organization </w:t>
      </w:r>
      <w:r w:rsidRPr="000201A3">
        <w:rPr>
          <w:rFonts w:asciiTheme="majorHAnsi" w:eastAsia="Times New Roman" w:hAnsiTheme="majorHAnsi"/>
          <w:sz w:val="20"/>
          <w:szCs w:val="20"/>
          <w:bdr w:val="none" w:sz="0" w:space="0" w:color="auto"/>
        </w:rPr>
        <w:t>Committee of Families of Persons Assassinated and Disappeared of Panama, Héctor Gallego, (COFADEPA-HG)</w:t>
      </w:r>
      <w:r w:rsidRPr="000201A3">
        <w:rPr>
          <w:rFonts w:asciiTheme="majorHAnsi" w:eastAsia="Times New Roman" w:hAnsiTheme="majorHAnsi"/>
          <w:sz w:val="20"/>
          <w:szCs w:val="20"/>
        </w:rPr>
        <w:t>, signed a friendly settlement agreement, the text of which provides as follows:</w:t>
      </w:r>
    </w:p>
    <w:p w:rsidR="00372982" w:rsidRPr="000201A3" w:rsidRDefault="00372982" w:rsidP="00372982">
      <w:pPr>
        <w:ind w:left="720" w:firstLine="720"/>
        <w:jc w:val="both"/>
        <w:rPr>
          <w:rFonts w:asciiTheme="majorHAnsi" w:eastAsia="Times New Roman" w:hAnsiTheme="majorHAnsi"/>
          <w:sz w:val="20"/>
          <w:szCs w:val="20"/>
        </w:rPr>
      </w:pPr>
    </w:p>
    <w:p w:rsidR="00372982" w:rsidRPr="000201A3" w:rsidRDefault="00372982" w:rsidP="00372982">
      <w:pPr>
        <w:ind w:left="720" w:right="720"/>
        <w:jc w:val="center"/>
        <w:rPr>
          <w:rFonts w:asciiTheme="majorHAnsi" w:eastAsia="Arial" w:hAnsiTheme="majorHAnsi" w:cs="Arial"/>
          <w:b/>
          <w:sz w:val="20"/>
          <w:szCs w:val="20"/>
        </w:rPr>
      </w:pPr>
      <w:r w:rsidRPr="000201A3">
        <w:rPr>
          <w:rFonts w:asciiTheme="majorHAnsi" w:eastAsia="Arial" w:hAnsiTheme="majorHAnsi" w:cs="Arial"/>
          <w:b/>
          <w:bCs/>
          <w:sz w:val="20"/>
          <w:szCs w:val="20"/>
        </w:rPr>
        <w:t>CASE 13.017 A</w:t>
      </w:r>
    </w:p>
    <w:p w:rsidR="00372982" w:rsidRPr="000201A3" w:rsidRDefault="00372982" w:rsidP="00372982">
      <w:pPr>
        <w:tabs>
          <w:tab w:val="left" w:pos="1199"/>
        </w:tabs>
        <w:ind w:left="720" w:right="720"/>
        <w:jc w:val="center"/>
        <w:rPr>
          <w:rFonts w:asciiTheme="majorHAnsi" w:eastAsia="Arial" w:hAnsiTheme="majorHAnsi" w:cs="Arial"/>
          <w:b/>
          <w:sz w:val="20"/>
          <w:szCs w:val="20"/>
        </w:rPr>
      </w:pPr>
      <w:r w:rsidRPr="000201A3">
        <w:rPr>
          <w:rFonts w:asciiTheme="majorHAnsi" w:eastAsia="Arial" w:hAnsiTheme="majorHAnsi" w:cs="Arial"/>
          <w:b/>
          <w:bCs/>
          <w:sz w:val="20"/>
          <w:szCs w:val="20"/>
        </w:rPr>
        <w:t>FAMILIES OF VICTIMS OF THE MILITARY DICTATORSHIP, OCTOBER 1968 TO DECEMBER 1989</w:t>
      </w:r>
    </w:p>
    <w:p w:rsidR="00372982" w:rsidRPr="000201A3" w:rsidRDefault="00372982" w:rsidP="00372982">
      <w:pPr>
        <w:ind w:left="720" w:right="720"/>
        <w:jc w:val="center"/>
        <w:rPr>
          <w:rFonts w:asciiTheme="majorHAnsi" w:eastAsia="Arial" w:hAnsiTheme="majorHAnsi" w:cs="Arial"/>
          <w:b/>
          <w:sz w:val="20"/>
          <w:szCs w:val="20"/>
        </w:rPr>
      </w:pPr>
      <w:r w:rsidRPr="000201A3">
        <w:rPr>
          <w:rFonts w:asciiTheme="majorHAnsi" w:eastAsia="Arial" w:hAnsiTheme="majorHAnsi" w:cs="Arial"/>
          <w:b/>
          <w:bCs/>
          <w:sz w:val="20"/>
          <w:szCs w:val="20"/>
        </w:rPr>
        <w:t>FRIENDLY SETTLEMENT AGREEMENT</w:t>
      </w:r>
    </w:p>
    <w:p w:rsidR="00372982" w:rsidRPr="000201A3" w:rsidRDefault="00372982" w:rsidP="00372982">
      <w:pPr>
        <w:tabs>
          <w:tab w:val="left" w:pos="1199"/>
        </w:tabs>
        <w:ind w:left="720" w:right="720"/>
        <w:jc w:val="center"/>
        <w:rPr>
          <w:rFonts w:asciiTheme="majorHAnsi" w:eastAsia="Arial" w:hAnsiTheme="majorHAnsi" w:cs="Arial"/>
          <w:b/>
          <w:sz w:val="20"/>
          <w:szCs w:val="20"/>
        </w:rPr>
      </w:pPr>
      <w:r w:rsidRPr="000201A3">
        <w:rPr>
          <w:rFonts w:asciiTheme="majorHAnsi" w:eastAsia="Arial" w:hAnsiTheme="majorHAnsi" w:cs="Arial"/>
          <w:b/>
          <w:bCs/>
          <w:sz w:val="20"/>
          <w:szCs w:val="20"/>
        </w:rPr>
        <w:t>BETWEEN THE ASSOCIATION COMMITTEE OF FAMILIES OF PERSONS ASSASSINATED AND DISAPPEARED OF PANAMA, HÉCTOR GALLEGOS, (COFADEPA-HG) AND THE PANAMANIAN STATE</w:t>
      </w:r>
      <w:r w:rsidRPr="000201A3">
        <w:rPr>
          <w:rFonts w:asciiTheme="majorHAnsi" w:eastAsia="Arial" w:hAnsiTheme="majorHAnsi" w:cs="Arial"/>
          <w:sz w:val="20"/>
          <w:szCs w:val="20"/>
        </w:rPr>
        <w:t xml:space="preserve"> </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 xml:space="preserve">The Republic of Panama presents its compliments to the Inter-American Commission on Human Rights and has the pleasure to refer to the friendly settlement procedure in which the Government of the Republic of Panama is engaged with the </w:t>
      </w:r>
      <w:r w:rsidRPr="000201A3">
        <w:rPr>
          <w:rFonts w:asciiTheme="majorHAnsi" w:eastAsia="Arial" w:hAnsiTheme="majorHAnsi" w:cs="Arial"/>
          <w:b/>
          <w:bCs/>
          <w:sz w:val="20"/>
          <w:szCs w:val="20"/>
        </w:rPr>
        <w:t xml:space="preserve">Committee of Families of Persons Assassinated and Disappeared of Panama, Héctor Gallegos, </w:t>
      </w:r>
      <w:r w:rsidRPr="000201A3">
        <w:rPr>
          <w:rFonts w:asciiTheme="majorHAnsi" w:eastAsia="Arial" w:hAnsiTheme="majorHAnsi" w:cs="Arial"/>
          <w:sz w:val="20"/>
          <w:szCs w:val="20"/>
        </w:rPr>
        <w:t xml:space="preserve">an organization listed as a private foundation in the Public Records Office of Panama, with registration number 6096, Document 309853, hereinafter </w:t>
      </w:r>
      <w:r w:rsidRPr="000201A3">
        <w:rPr>
          <w:rFonts w:asciiTheme="majorHAnsi" w:eastAsia="Arial" w:hAnsiTheme="majorHAnsi" w:cs="Arial"/>
          <w:b/>
          <w:bCs/>
          <w:sz w:val="20"/>
          <w:szCs w:val="20"/>
        </w:rPr>
        <w:t>COFADEPA.HG</w:t>
      </w:r>
      <w:r w:rsidRPr="000201A3">
        <w:rPr>
          <w:rFonts w:asciiTheme="majorHAnsi" w:eastAsia="Arial" w:hAnsiTheme="majorHAnsi" w:cs="Arial"/>
          <w:sz w:val="20"/>
          <w:szCs w:val="20"/>
        </w:rPr>
        <w:t>, in accordance with Article 40 of the Rules of Procedure of the Inter-American Commission on Human Rights.</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 xml:space="preserve">The Panamanian State is pleased to advise the Commission that with the consent of both parties the friendly settlement procedure between the Republic of Panama and COFADEPA.HG </w:t>
      </w:r>
      <w:r w:rsidRPr="000201A3">
        <w:rPr>
          <w:rFonts w:asciiTheme="majorHAnsi" w:eastAsia="Arial" w:hAnsiTheme="majorHAnsi" w:cs="Arial"/>
          <w:sz w:val="20"/>
          <w:szCs w:val="20"/>
        </w:rPr>
        <w:lastRenderedPageBreak/>
        <w:t>has reached a satisfactory conclusion, with a commitment on the part of the State based on respect for the human rights recognized in the American Convention on Human Rights, the American Declaration, and other applicable elements, such as jurisprudence of the Inter-American Court on such matters.</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The Ministry of Foreign Affairs will present this Agreement to the Cabinet Council, the functions of which, pursuant to Article 200(4) of the Constitution, include: "To approve jointly with the President the transfer or submission by the latter of disputes to which the State is a party to arbitration; this requires the favorable opinion of the Attorney General of the Nation.”</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b/>
          <w:sz w:val="20"/>
          <w:szCs w:val="20"/>
        </w:rPr>
      </w:pPr>
      <w:r w:rsidRPr="000201A3">
        <w:rPr>
          <w:rFonts w:asciiTheme="majorHAnsi" w:eastAsia="Arial" w:hAnsiTheme="majorHAnsi" w:cs="Arial"/>
          <w:b/>
          <w:bCs/>
          <w:sz w:val="20"/>
          <w:szCs w:val="20"/>
        </w:rPr>
        <w:t>Background</w:t>
      </w:r>
    </w:p>
    <w:p w:rsidR="00372982" w:rsidRPr="000201A3" w:rsidRDefault="00372982" w:rsidP="00372982">
      <w:pPr>
        <w:ind w:left="720" w:right="720"/>
        <w:jc w:val="both"/>
        <w:rPr>
          <w:rFonts w:asciiTheme="majorHAnsi" w:eastAsia="Arial" w:hAnsiTheme="majorHAnsi" w:cs="Arial"/>
          <w:b/>
          <w:sz w:val="20"/>
          <w:szCs w:val="20"/>
        </w:rPr>
      </w:pPr>
    </w:p>
    <w:p w:rsidR="00372982" w:rsidRPr="000201A3" w:rsidRDefault="00372982" w:rsidP="00372982">
      <w:pPr>
        <w:ind w:left="720" w:right="720"/>
        <w:jc w:val="both"/>
        <w:rPr>
          <w:rFonts w:asciiTheme="majorHAnsi" w:eastAsiaTheme="minorEastAsia" w:hAnsiTheme="majorHAnsi" w:cs="Arial"/>
          <w:sz w:val="20"/>
          <w:szCs w:val="20"/>
        </w:rPr>
      </w:pPr>
      <w:r w:rsidRPr="000201A3">
        <w:rPr>
          <w:rFonts w:asciiTheme="majorHAnsi" w:hAnsiTheme="majorHAnsi" w:cs="Arial"/>
          <w:sz w:val="20"/>
          <w:szCs w:val="20"/>
        </w:rPr>
        <w:t>The Truth Commission was set up in 2001 with an express mandate based on the need to know the truth. That Commission investigated and uncovered the crimes committed during the military dictatorship and in 2002 it presented its final report.</w:t>
      </w:r>
    </w:p>
    <w:p w:rsidR="00372982" w:rsidRPr="000201A3" w:rsidRDefault="00372982" w:rsidP="00372982">
      <w:pPr>
        <w:pStyle w:val="ListParagraph"/>
        <w:ind w:right="720"/>
        <w:jc w:val="both"/>
        <w:rPr>
          <w:rFonts w:asciiTheme="majorHAnsi" w:hAnsiTheme="majorHAnsi" w:cs="Arial"/>
          <w:b/>
          <w:color w:val="auto"/>
          <w:sz w:val="20"/>
          <w:szCs w:val="20"/>
        </w:rPr>
      </w:pPr>
    </w:p>
    <w:p w:rsidR="00372982" w:rsidRPr="000201A3" w:rsidRDefault="00372982" w:rsidP="00372982">
      <w:pPr>
        <w:ind w:left="720" w:right="720"/>
        <w:jc w:val="both"/>
        <w:rPr>
          <w:rFonts w:asciiTheme="majorHAnsi" w:hAnsiTheme="majorHAnsi" w:cs="Arial"/>
          <w:b/>
          <w:sz w:val="20"/>
          <w:szCs w:val="20"/>
        </w:rPr>
      </w:pPr>
      <w:r w:rsidRPr="000201A3">
        <w:rPr>
          <w:rFonts w:asciiTheme="majorHAnsi" w:hAnsiTheme="majorHAnsi" w:cs="Arial"/>
          <w:sz w:val="20"/>
          <w:szCs w:val="20"/>
          <w:shd w:val="clear" w:color="auto" w:fill="FFFFFF"/>
        </w:rPr>
        <w:t xml:space="preserve">On October 23, 2003, the Inter-American Commission on Human Rights received a petition from the families of the victims of the military dictatorship alleging that in the context of violence and abuse of power that had prevailed in Panama from October 11, 1968 to December 20, 1989, they were victims of extrajudicial execution or forced disappearance. </w:t>
      </w:r>
    </w:p>
    <w:p w:rsidR="00372982" w:rsidRPr="000201A3" w:rsidRDefault="00372982" w:rsidP="00372982">
      <w:pPr>
        <w:pStyle w:val="ListParagraph"/>
        <w:ind w:right="720"/>
        <w:jc w:val="both"/>
        <w:rPr>
          <w:rFonts w:asciiTheme="majorHAnsi" w:hAnsiTheme="majorHAnsi" w:cs="Arial"/>
          <w:b/>
          <w:color w:val="auto"/>
          <w:sz w:val="20"/>
          <w:szCs w:val="20"/>
        </w:rPr>
      </w:pPr>
    </w:p>
    <w:p w:rsidR="00372982" w:rsidRPr="000201A3" w:rsidRDefault="00372982" w:rsidP="00372982">
      <w:pPr>
        <w:ind w:left="720" w:right="720"/>
        <w:jc w:val="both"/>
        <w:rPr>
          <w:rFonts w:asciiTheme="majorHAnsi" w:hAnsiTheme="majorHAnsi" w:cs="Arial"/>
          <w:b/>
          <w:sz w:val="20"/>
          <w:szCs w:val="20"/>
        </w:rPr>
      </w:pPr>
      <w:r w:rsidRPr="000201A3">
        <w:rPr>
          <w:rFonts w:asciiTheme="majorHAnsi" w:hAnsiTheme="majorHAnsi" w:cs="Arial"/>
          <w:sz w:val="20"/>
          <w:szCs w:val="20"/>
          <w:shd w:val="clear" w:color="auto" w:fill="FFFFFF"/>
        </w:rPr>
        <w:t xml:space="preserve">In addition, in 2010 organizations of victims' families and the State formed the Roundtable of Understanding, which developed formulas for possible reparation measures, </w:t>
      </w:r>
      <w:r w:rsidRPr="000201A3">
        <w:rPr>
          <w:rFonts w:asciiTheme="majorHAnsi" w:hAnsiTheme="majorHAnsi" w:cs="Arial"/>
          <w:sz w:val="20"/>
          <w:szCs w:val="20"/>
        </w:rPr>
        <w:t>and since 2014 negotiations have been under way on reparation measures in the context of the Roundtable of Understanding.</w:t>
      </w:r>
    </w:p>
    <w:p w:rsidR="00372982" w:rsidRPr="000201A3" w:rsidRDefault="00372982" w:rsidP="00372982">
      <w:pPr>
        <w:ind w:left="720" w:right="720"/>
        <w:jc w:val="both"/>
        <w:rPr>
          <w:rFonts w:asciiTheme="majorHAnsi" w:hAnsiTheme="majorHAnsi" w:cs="Arial"/>
          <w:sz w:val="20"/>
          <w:szCs w:val="20"/>
        </w:rPr>
      </w:pPr>
    </w:p>
    <w:p w:rsidR="00372982" w:rsidRPr="000201A3" w:rsidRDefault="00F7270E" w:rsidP="00372982">
      <w:pPr>
        <w:ind w:left="720" w:right="720"/>
        <w:jc w:val="both"/>
        <w:rPr>
          <w:rFonts w:asciiTheme="majorHAnsi" w:hAnsiTheme="majorHAnsi" w:cs="Arial"/>
          <w:sz w:val="20"/>
          <w:szCs w:val="20"/>
        </w:rPr>
      </w:pPr>
      <w:r>
        <w:rPr>
          <w:rFonts w:asciiTheme="majorHAnsi" w:hAnsiTheme="majorHAnsi" w:cs="Arial"/>
          <w:sz w:val="20"/>
          <w:szCs w:val="20"/>
        </w:rPr>
        <w:t xml:space="preserve">In 2015 the </w:t>
      </w:r>
      <w:r w:rsidR="00372982" w:rsidRPr="000201A3">
        <w:rPr>
          <w:rFonts w:asciiTheme="majorHAnsi" w:hAnsiTheme="majorHAnsi" w:cs="Arial"/>
          <w:sz w:val="20"/>
          <w:szCs w:val="20"/>
        </w:rPr>
        <w:t xml:space="preserve">Inter-American Commission on Human Rights adopted Report 68/15 of October 27, 2015, by which it admitted the case, and the parties continued with the negotiation and implementation of the reparation measures in a bilateral way, but in the framework of a friendly settlement procedure. </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Further to the foregoing, we have the pleasure to present the document that contains the agreed-upon clauses, which take as reference the criteria on reparation developed by the inter-American human rights system:</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eastAsiaTheme="minorEastAsia" w:hAnsiTheme="majorHAnsi" w:cs="Arial"/>
          <w:b/>
          <w:color w:val="auto"/>
          <w:sz w:val="20"/>
          <w:szCs w:val="20"/>
        </w:rPr>
      </w:pPr>
      <w:r w:rsidRPr="000201A3">
        <w:rPr>
          <w:rFonts w:asciiTheme="majorHAnsi" w:hAnsiTheme="majorHAnsi" w:cs="Arial"/>
          <w:b/>
          <w:bCs/>
          <w:color w:val="auto"/>
          <w:sz w:val="20"/>
          <w:szCs w:val="20"/>
        </w:rPr>
        <w:t>Pecuniary damages</w:t>
      </w:r>
    </w:p>
    <w:p w:rsidR="00372982" w:rsidRPr="000201A3" w:rsidRDefault="00372982" w:rsidP="00372982">
      <w:pPr>
        <w:ind w:left="720" w:right="720"/>
        <w:jc w:val="both"/>
        <w:rPr>
          <w:rFonts w:asciiTheme="majorHAnsi" w:eastAsia="Arial" w:hAnsiTheme="majorHAnsi" w:cs="Arial"/>
          <w:b/>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 xml:space="preserve">This implies the loss of, or detriment to, the income of the victims and, as applicable, their family members, the expenses incurred as a result of the events and the pecuniary consequences that may have a cause-effect link with the events in the instant case for which, if applicable, a compensatory amount is fixed seeking to redress the economic consequences of the violations that were determined. It is divided between consequential damages and lost earnings. </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eastAsiaTheme="minorEastAsia" w:hAnsiTheme="majorHAnsi" w:cs="Arial"/>
          <w:b/>
          <w:color w:val="auto"/>
          <w:sz w:val="20"/>
          <w:szCs w:val="20"/>
        </w:rPr>
      </w:pPr>
      <w:r w:rsidRPr="000201A3">
        <w:rPr>
          <w:rFonts w:asciiTheme="majorHAnsi" w:hAnsiTheme="majorHAnsi" w:cs="Arial"/>
          <w:b/>
          <w:bCs/>
          <w:color w:val="auto"/>
          <w:sz w:val="20"/>
          <w:szCs w:val="20"/>
        </w:rPr>
        <w:t>Consequential Damages</w:t>
      </w:r>
      <w:r w:rsidRPr="000201A3">
        <w:rPr>
          <w:rFonts w:asciiTheme="majorHAnsi" w:hAnsiTheme="majorHAnsi" w:cs="Arial"/>
          <w:color w:val="auto"/>
          <w:sz w:val="20"/>
          <w:szCs w:val="20"/>
        </w:rPr>
        <w:t xml:space="preserve"> </w:t>
      </w:r>
    </w:p>
    <w:p w:rsidR="00372982" w:rsidRPr="000201A3" w:rsidRDefault="00372982" w:rsidP="00372982">
      <w:pPr>
        <w:ind w:left="720" w:right="720"/>
        <w:jc w:val="both"/>
        <w:rPr>
          <w:rFonts w:asciiTheme="majorHAnsi" w:eastAsia="Arial" w:hAnsiTheme="majorHAnsi" w:cs="Arial"/>
          <w:b/>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 xml:space="preserve">Consequential damages are the direct detriment to, diminishment, or material destruction of assets, independent of the other effects, patrimonial or otherwise, that may be derived from the act that gave rise to the damages. They include the value of the destroyed assets, the costs of obtaining information on the whereabouts of the victims, and any additional costs that the violation may have caused the victim or their families. </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 xml:space="preserve">The Inter-American Court has stated in previous cases that pecuniary damages include the various expenses that family members incur upon inquiring into the whereabouts of the victim, owing to the concealment of what occurred and the failure to investigate the facts on </w:t>
      </w:r>
      <w:r w:rsidRPr="000201A3">
        <w:rPr>
          <w:rFonts w:asciiTheme="majorHAnsi" w:eastAsia="Arial" w:hAnsiTheme="majorHAnsi" w:cs="Arial"/>
          <w:sz w:val="20"/>
          <w:szCs w:val="20"/>
        </w:rPr>
        <w:lastRenderedPageBreak/>
        <w:t xml:space="preserve">the part of the authorities. Such expenses include visits to public institutions, travel, and accommodation, among others. </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In this case, the families of the victims, organized under the association known as the Committee of Families of Persons Assassinated and Disappeared of Panama, Héctor Gallegos, (COFADEPA-HG), have gone to enormous lengths in a bid to establish the whereabouts of the remains of the disappeared family members and filed complaints with the National Investigations Department (DENI) as it was then called; today it is part of t</w:t>
      </w:r>
      <w:r w:rsidR="00074FA0">
        <w:rPr>
          <w:rFonts w:asciiTheme="majorHAnsi" w:eastAsia="Arial" w:hAnsiTheme="majorHAnsi" w:cs="Arial"/>
          <w:sz w:val="20"/>
          <w:szCs w:val="20"/>
        </w:rPr>
        <w:t>he Public Prosecutions Service [</w:t>
      </w:r>
      <w:proofErr w:type="spellStart"/>
      <w:r w:rsidRPr="000201A3">
        <w:rPr>
          <w:rFonts w:asciiTheme="majorHAnsi" w:eastAsia="Arial" w:hAnsiTheme="majorHAnsi" w:cs="Arial"/>
          <w:i/>
          <w:iCs/>
          <w:sz w:val="20"/>
          <w:szCs w:val="20"/>
        </w:rPr>
        <w:t>Ministerio</w:t>
      </w:r>
      <w:proofErr w:type="spellEnd"/>
      <w:r w:rsidRPr="000201A3">
        <w:rPr>
          <w:rFonts w:asciiTheme="majorHAnsi" w:eastAsia="Arial" w:hAnsiTheme="majorHAnsi" w:cs="Arial"/>
          <w:i/>
          <w:iCs/>
          <w:sz w:val="20"/>
          <w:szCs w:val="20"/>
        </w:rPr>
        <w:t xml:space="preserve"> </w:t>
      </w:r>
      <w:proofErr w:type="spellStart"/>
      <w:r w:rsidRPr="000201A3">
        <w:rPr>
          <w:rFonts w:asciiTheme="majorHAnsi" w:eastAsia="Arial" w:hAnsiTheme="majorHAnsi" w:cs="Arial"/>
          <w:i/>
          <w:iCs/>
          <w:sz w:val="20"/>
          <w:szCs w:val="20"/>
        </w:rPr>
        <w:t>Público</w:t>
      </w:r>
      <w:proofErr w:type="spellEnd"/>
      <w:r w:rsidR="00074FA0">
        <w:rPr>
          <w:rFonts w:asciiTheme="majorHAnsi" w:eastAsia="Arial" w:hAnsiTheme="majorHAnsi" w:cs="Arial"/>
          <w:sz w:val="20"/>
          <w:szCs w:val="20"/>
        </w:rPr>
        <w:t>]</w:t>
      </w:r>
      <w:r w:rsidRPr="000201A3">
        <w:rPr>
          <w:rFonts w:asciiTheme="majorHAnsi" w:eastAsia="Arial" w:hAnsiTheme="majorHAnsi" w:cs="Arial"/>
          <w:sz w:val="20"/>
          <w:szCs w:val="20"/>
        </w:rPr>
        <w:t>.</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 xml:space="preserve">The complaints, filed over the course of almost 50 years, are contained in various case files at prosecutors' offices in different judicial districts. In some cases, it was established that the victims were forcibly disappeared and killed, in violation of their right to life enshrined in Article 19 of the Constitution of 1946, Article 1 of the American Declaration of the Rights and Duties of Man, and Article 3 of the Universal Declaration of Human Rights. Furthermore, inasmuch as the victims were violently killed and forcibly disappeared, they are crimes against humanity. </w:t>
      </w:r>
    </w:p>
    <w:p w:rsidR="00372982" w:rsidRPr="000201A3" w:rsidRDefault="00372982" w:rsidP="00372982">
      <w:pPr>
        <w:ind w:left="720" w:right="720"/>
        <w:jc w:val="both"/>
        <w:rPr>
          <w:rFonts w:asciiTheme="majorHAnsi" w:eastAsia="Arial" w:hAnsiTheme="majorHAnsi" w:cs="Arial"/>
          <w:b/>
          <w:sz w:val="20"/>
          <w:szCs w:val="20"/>
        </w:rPr>
      </w:pPr>
    </w:p>
    <w:p w:rsidR="00372982" w:rsidRPr="000201A3" w:rsidRDefault="00372982" w:rsidP="00372982">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eastAsiaTheme="minorEastAsia" w:hAnsiTheme="majorHAnsi" w:cs="Arial"/>
          <w:b/>
          <w:color w:val="auto"/>
          <w:sz w:val="20"/>
          <w:szCs w:val="20"/>
        </w:rPr>
      </w:pPr>
      <w:r w:rsidRPr="000201A3">
        <w:rPr>
          <w:rFonts w:asciiTheme="majorHAnsi" w:hAnsiTheme="majorHAnsi" w:cs="Arial"/>
          <w:b/>
          <w:bCs/>
          <w:color w:val="auto"/>
          <w:sz w:val="20"/>
          <w:szCs w:val="20"/>
        </w:rPr>
        <w:t>Lost earnings</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Lost earnings are defined as the economic harm suffered as a direct consequence of the violation suffered; in other words, loss of revenue or a reduction in future wealth.</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The Final Report of the Truth Commission of Panama (“</w:t>
      </w:r>
      <w:r w:rsidRPr="000201A3">
        <w:rPr>
          <w:rFonts w:asciiTheme="majorHAnsi" w:eastAsia="Arial" w:hAnsiTheme="majorHAnsi" w:cs="Arial"/>
          <w:i/>
          <w:iCs/>
          <w:sz w:val="20"/>
          <w:szCs w:val="20"/>
        </w:rPr>
        <w:t xml:space="preserve">La </w:t>
      </w:r>
      <w:proofErr w:type="spellStart"/>
      <w:r w:rsidRPr="000201A3">
        <w:rPr>
          <w:rFonts w:asciiTheme="majorHAnsi" w:eastAsia="Arial" w:hAnsiTheme="majorHAnsi" w:cs="Arial"/>
          <w:i/>
          <w:iCs/>
          <w:sz w:val="20"/>
          <w:szCs w:val="20"/>
        </w:rPr>
        <w:t>verdad</w:t>
      </w:r>
      <w:proofErr w:type="spellEnd"/>
      <w:r w:rsidRPr="000201A3">
        <w:rPr>
          <w:rFonts w:asciiTheme="majorHAnsi" w:eastAsia="Arial" w:hAnsiTheme="majorHAnsi" w:cs="Arial"/>
          <w:i/>
          <w:iCs/>
          <w:sz w:val="20"/>
          <w:szCs w:val="20"/>
        </w:rPr>
        <w:t xml:space="preserve"> </w:t>
      </w:r>
      <w:proofErr w:type="spellStart"/>
      <w:r w:rsidRPr="000201A3">
        <w:rPr>
          <w:rFonts w:asciiTheme="majorHAnsi" w:eastAsia="Arial" w:hAnsiTheme="majorHAnsi" w:cs="Arial"/>
          <w:i/>
          <w:iCs/>
          <w:sz w:val="20"/>
          <w:szCs w:val="20"/>
        </w:rPr>
        <w:t>os</w:t>
      </w:r>
      <w:proofErr w:type="spellEnd"/>
      <w:r w:rsidRPr="000201A3">
        <w:rPr>
          <w:rFonts w:asciiTheme="majorHAnsi" w:eastAsia="Arial" w:hAnsiTheme="majorHAnsi" w:cs="Arial"/>
          <w:i/>
          <w:iCs/>
          <w:sz w:val="20"/>
          <w:szCs w:val="20"/>
        </w:rPr>
        <w:t xml:space="preserve"> </w:t>
      </w:r>
      <w:proofErr w:type="spellStart"/>
      <w:r w:rsidRPr="000201A3">
        <w:rPr>
          <w:rFonts w:asciiTheme="majorHAnsi" w:eastAsia="Arial" w:hAnsiTheme="majorHAnsi" w:cs="Arial"/>
          <w:i/>
          <w:iCs/>
          <w:sz w:val="20"/>
          <w:szCs w:val="20"/>
        </w:rPr>
        <w:t>hará</w:t>
      </w:r>
      <w:proofErr w:type="spellEnd"/>
      <w:r w:rsidRPr="000201A3">
        <w:rPr>
          <w:rFonts w:asciiTheme="majorHAnsi" w:eastAsia="Arial" w:hAnsiTheme="majorHAnsi" w:cs="Arial"/>
          <w:i/>
          <w:iCs/>
          <w:sz w:val="20"/>
          <w:szCs w:val="20"/>
        </w:rPr>
        <w:t xml:space="preserve"> </w:t>
      </w:r>
      <w:proofErr w:type="spellStart"/>
      <w:r w:rsidRPr="000201A3">
        <w:rPr>
          <w:rFonts w:asciiTheme="majorHAnsi" w:eastAsia="Arial" w:hAnsiTheme="majorHAnsi" w:cs="Arial"/>
          <w:i/>
          <w:iCs/>
          <w:sz w:val="20"/>
          <w:szCs w:val="20"/>
        </w:rPr>
        <w:t>libres</w:t>
      </w:r>
      <w:proofErr w:type="spellEnd"/>
      <w:r w:rsidRPr="000201A3">
        <w:rPr>
          <w:rFonts w:asciiTheme="majorHAnsi" w:eastAsia="Arial" w:hAnsiTheme="majorHAnsi" w:cs="Arial"/>
          <w:sz w:val="20"/>
          <w:szCs w:val="20"/>
        </w:rPr>
        <w:t xml:space="preserve">” - </w:t>
      </w:r>
      <w:r w:rsidRPr="000201A3">
        <w:rPr>
          <w:rFonts w:asciiTheme="majorHAnsi" w:eastAsia="Arial" w:hAnsiTheme="majorHAnsi" w:cs="Arial"/>
          <w:i/>
          <w:iCs/>
          <w:sz w:val="20"/>
          <w:szCs w:val="20"/>
        </w:rPr>
        <w:t>Panamá:</w:t>
      </w:r>
      <w:r w:rsidRPr="000201A3">
        <w:rPr>
          <w:rFonts w:asciiTheme="majorHAnsi" w:eastAsia="Arial" w:hAnsiTheme="majorHAnsi" w:cs="Arial"/>
          <w:sz w:val="20"/>
          <w:szCs w:val="20"/>
        </w:rPr>
        <w:t xml:space="preserve"> </w:t>
      </w:r>
      <w:proofErr w:type="spellStart"/>
      <w:r w:rsidRPr="000201A3">
        <w:rPr>
          <w:rFonts w:asciiTheme="majorHAnsi" w:eastAsia="Arial" w:hAnsiTheme="majorHAnsi" w:cs="Arial"/>
          <w:i/>
          <w:iCs/>
          <w:sz w:val="20"/>
          <w:szCs w:val="20"/>
        </w:rPr>
        <w:t>Comisión</w:t>
      </w:r>
      <w:proofErr w:type="spellEnd"/>
      <w:r w:rsidRPr="000201A3">
        <w:rPr>
          <w:rFonts w:asciiTheme="majorHAnsi" w:eastAsia="Arial" w:hAnsiTheme="majorHAnsi" w:cs="Arial"/>
          <w:i/>
          <w:iCs/>
          <w:sz w:val="20"/>
          <w:szCs w:val="20"/>
        </w:rPr>
        <w:t xml:space="preserve"> de la </w:t>
      </w:r>
      <w:proofErr w:type="spellStart"/>
      <w:r w:rsidRPr="000201A3">
        <w:rPr>
          <w:rFonts w:asciiTheme="majorHAnsi" w:eastAsia="Arial" w:hAnsiTheme="majorHAnsi" w:cs="Arial"/>
          <w:i/>
          <w:iCs/>
          <w:sz w:val="20"/>
          <w:szCs w:val="20"/>
        </w:rPr>
        <w:t>Verdad</w:t>
      </w:r>
      <w:proofErr w:type="spellEnd"/>
      <w:r w:rsidRPr="000201A3">
        <w:rPr>
          <w:rFonts w:asciiTheme="majorHAnsi" w:eastAsia="Arial" w:hAnsiTheme="majorHAnsi" w:cs="Arial"/>
          <w:sz w:val="20"/>
          <w:szCs w:val="20"/>
        </w:rPr>
        <w:t>, 2002, p. 219, ISBN 9962-8837-0-9) contains the victims' stories and witnesses’ accounts of how productive men and women with their own jobs and activities that enabled them to support their families were tortured, mistreated, executed, and disappeared.</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eastAsiaTheme="minorEastAsia" w:hAnsiTheme="majorHAnsi" w:cs="Arial"/>
          <w:b/>
          <w:color w:val="auto"/>
          <w:sz w:val="20"/>
          <w:szCs w:val="20"/>
        </w:rPr>
      </w:pPr>
      <w:r w:rsidRPr="000201A3">
        <w:rPr>
          <w:rFonts w:asciiTheme="majorHAnsi" w:hAnsiTheme="majorHAnsi" w:cs="Arial"/>
          <w:b/>
          <w:bCs/>
          <w:color w:val="auto"/>
          <w:sz w:val="20"/>
          <w:szCs w:val="20"/>
        </w:rPr>
        <w:t>Non-pecuniary damages</w:t>
      </w:r>
      <w:r w:rsidRPr="000201A3">
        <w:rPr>
          <w:rFonts w:asciiTheme="majorHAnsi" w:hAnsiTheme="majorHAnsi" w:cs="Arial"/>
          <w:color w:val="auto"/>
          <w:sz w:val="20"/>
          <w:szCs w:val="20"/>
        </w:rPr>
        <w:t xml:space="preserve"> </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 xml:space="preserve">According to the conception of the Inter-American Court of Human Rights, non-pecuniary damages may include distress and suffering caused directly to the victim or his next of kin, tampering with individual core values, and changes of a non-pecuniary nature in the everyday life of the victim or of his next of kin. </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 xml:space="preserve">Given that they were subjected to murder and forced disappearance, it is presumed that the victims suffered profound distress prior to being executed by members of the military dictatorship. Furthermore, in the case of the members of COFADEPA.HG, the disappearance and killing of their relatives continues to cause the families anguish, uncertainty, despair, impotence, and frustration. In addition, 50 years later, while some of those responsible have been found, brought to trial, and </w:t>
      </w:r>
      <w:r w:rsidR="00074FA0" w:rsidRPr="000201A3">
        <w:rPr>
          <w:rFonts w:asciiTheme="majorHAnsi" w:eastAsia="Arial" w:hAnsiTheme="majorHAnsi" w:cs="Arial"/>
          <w:sz w:val="20"/>
          <w:szCs w:val="20"/>
        </w:rPr>
        <w:t>sentenced;</w:t>
      </w:r>
      <w:r w:rsidRPr="000201A3">
        <w:rPr>
          <w:rFonts w:asciiTheme="majorHAnsi" w:eastAsia="Arial" w:hAnsiTheme="majorHAnsi" w:cs="Arial"/>
          <w:sz w:val="20"/>
          <w:szCs w:val="20"/>
        </w:rPr>
        <w:t xml:space="preserve"> others who have been indicted are fugitives from justice for crimes against humanity, increasing the suffering of the victims' families. </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 xml:space="preserve">There are other aspects that have adversely affected the family members: for one thing, they have been denied the possibility of mourning the putative deaths of their missing relatives, causing them instability and suffering, even after the years that have passed; for another, the lack of a final resting place for the victims' remains prolongs the families' uncertainty as to their whereabouts. </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eastAsiaTheme="minorEastAsia" w:hAnsiTheme="majorHAnsi" w:cs="Arial"/>
          <w:b/>
          <w:color w:val="auto"/>
          <w:sz w:val="20"/>
          <w:szCs w:val="20"/>
        </w:rPr>
      </w:pPr>
      <w:r w:rsidRPr="000201A3">
        <w:rPr>
          <w:rFonts w:asciiTheme="majorHAnsi" w:hAnsiTheme="majorHAnsi" w:cs="Arial"/>
          <w:b/>
          <w:bCs/>
          <w:color w:val="auto"/>
          <w:sz w:val="20"/>
          <w:szCs w:val="20"/>
        </w:rPr>
        <w:t>Payment of Pecuniary Reparation</w:t>
      </w:r>
      <w:r w:rsidRPr="000201A3">
        <w:rPr>
          <w:rFonts w:asciiTheme="majorHAnsi" w:hAnsiTheme="majorHAnsi" w:cs="Arial"/>
          <w:color w:val="auto"/>
          <w:sz w:val="20"/>
          <w:szCs w:val="20"/>
        </w:rPr>
        <w:t xml:space="preserve"> </w:t>
      </w:r>
    </w:p>
    <w:p w:rsidR="00372982" w:rsidRPr="000201A3" w:rsidRDefault="00372982" w:rsidP="00372982">
      <w:pPr>
        <w:ind w:left="720" w:right="720"/>
        <w:jc w:val="both"/>
        <w:rPr>
          <w:rFonts w:asciiTheme="majorHAnsi" w:eastAsia="Arial" w:hAnsiTheme="majorHAnsi" w:cs="Arial"/>
          <w:b/>
          <w:sz w:val="20"/>
          <w:szCs w:val="20"/>
        </w:rPr>
      </w:pPr>
    </w:p>
    <w:p w:rsidR="00372982" w:rsidRPr="000201A3" w:rsidRDefault="00372982" w:rsidP="00372982">
      <w:pPr>
        <w:ind w:left="720" w:right="720"/>
        <w:jc w:val="both"/>
        <w:rPr>
          <w:rStyle w:val="ilfuvd"/>
          <w:rFonts w:asciiTheme="majorHAnsi" w:hAnsiTheme="majorHAnsi" w:cs="Arial"/>
          <w:sz w:val="20"/>
          <w:szCs w:val="20"/>
        </w:rPr>
      </w:pPr>
      <w:r w:rsidRPr="000201A3">
        <w:rPr>
          <w:rFonts w:asciiTheme="majorHAnsi" w:hAnsiTheme="majorHAnsi" w:cs="Arial"/>
          <w:sz w:val="20"/>
          <w:szCs w:val="20"/>
        </w:rPr>
        <w:t xml:space="preserve">The parties recognize the technical reports resulting from the expert actuarial studies performed by Maribel Gordón, economist with personal identity card No. 8-239-249, submitted in accordance with the requests of the Ministry of Economy and Finance on January </w:t>
      </w:r>
      <w:r w:rsidRPr="000201A3">
        <w:rPr>
          <w:rFonts w:asciiTheme="majorHAnsi" w:hAnsiTheme="majorHAnsi" w:cs="Arial"/>
          <w:sz w:val="20"/>
          <w:szCs w:val="20"/>
        </w:rPr>
        <w:lastRenderedPageBreak/>
        <w:t xml:space="preserve">28, 2019, </w:t>
      </w:r>
      <w:r w:rsidRPr="000201A3">
        <w:rPr>
          <w:rStyle w:val="ilfuvd"/>
          <w:rFonts w:asciiTheme="majorHAnsi" w:hAnsiTheme="majorHAnsi" w:cs="Arial"/>
          <w:sz w:val="20"/>
          <w:szCs w:val="20"/>
        </w:rPr>
        <w:t>regarding the damages suffered by the following family members of the victims of the military dictatorship:</w:t>
      </w:r>
    </w:p>
    <w:p w:rsidR="00372982" w:rsidRPr="000201A3" w:rsidRDefault="00372982" w:rsidP="00372982">
      <w:pPr>
        <w:ind w:left="720" w:right="720"/>
        <w:jc w:val="both"/>
        <w:rPr>
          <w:rStyle w:val="ilfuvd"/>
          <w:rFonts w:asciiTheme="majorHAnsi" w:eastAsiaTheme="minorEastAsia" w:hAnsiTheme="majorHAnsi"/>
          <w:sz w:val="20"/>
          <w:szCs w:val="20"/>
        </w:rPr>
      </w:pPr>
    </w:p>
    <w:p w:rsidR="00372982" w:rsidRPr="000201A3" w:rsidRDefault="00372982" w:rsidP="00372982">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olor w:val="auto"/>
          <w:sz w:val="20"/>
          <w:szCs w:val="20"/>
        </w:rPr>
      </w:pPr>
      <w:r w:rsidRPr="000201A3">
        <w:rPr>
          <w:rFonts w:asciiTheme="majorHAnsi" w:eastAsia="Arial" w:hAnsiTheme="majorHAnsi" w:cs="Arial"/>
          <w:color w:val="auto"/>
          <w:sz w:val="20"/>
          <w:szCs w:val="20"/>
        </w:rPr>
        <w:t xml:space="preserve">José de la </w:t>
      </w:r>
      <w:proofErr w:type="spellStart"/>
      <w:r w:rsidRPr="000201A3">
        <w:rPr>
          <w:rFonts w:asciiTheme="majorHAnsi" w:eastAsia="Arial" w:hAnsiTheme="majorHAnsi" w:cs="Arial"/>
          <w:color w:val="auto"/>
          <w:sz w:val="20"/>
          <w:szCs w:val="20"/>
        </w:rPr>
        <w:t>Encarnación</w:t>
      </w:r>
      <w:proofErr w:type="spellEnd"/>
      <w:r w:rsidRPr="000201A3">
        <w:rPr>
          <w:rFonts w:asciiTheme="majorHAnsi" w:eastAsia="Arial" w:hAnsiTheme="majorHAnsi" w:cs="Arial"/>
          <w:color w:val="auto"/>
          <w:sz w:val="20"/>
          <w:szCs w:val="20"/>
        </w:rPr>
        <w:t xml:space="preserve"> González</w:t>
      </w:r>
    </w:p>
    <w:p w:rsidR="00372982" w:rsidRPr="000201A3" w:rsidRDefault="00372982" w:rsidP="00372982">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rPr>
      </w:pPr>
      <w:r w:rsidRPr="000201A3">
        <w:rPr>
          <w:rFonts w:asciiTheme="majorHAnsi" w:eastAsia="Arial" w:hAnsiTheme="majorHAnsi" w:cs="Arial"/>
          <w:color w:val="auto"/>
          <w:sz w:val="20"/>
          <w:szCs w:val="20"/>
        </w:rPr>
        <w:t>Floyd Wendell Britton Morrinson</w:t>
      </w:r>
    </w:p>
    <w:p w:rsidR="00372982" w:rsidRPr="000201A3" w:rsidRDefault="00372982" w:rsidP="00372982">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rPr>
      </w:pPr>
      <w:r w:rsidRPr="000201A3">
        <w:rPr>
          <w:rFonts w:asciiTheme="majorHAnsi" w:eastAsia="Arial" w:hAnsiTheme="majorHAnsi" w:cs="Arial"/>
          <w:color w:val="auto"/>
          <w:sz w:val="20"/>
          <w:szCs w:val="20"/>
        </w:rPr>
        <w:t>Félix González Santizo</w:t>
      </w:r>
    </w:p>
    <w:p w:rsidR="00372982" w:rsidRPr="000201A3" w:rsidRDefault="00372982" w:rsidP="00372982">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rPr>
      </w:pPr>
      <w:r w:rsidRPr="000201A3">
        <w:rPr>
          <w:rFonts w:asciiTheme="majorHAnsi" w:eastAsia="Arial" w:hAnsiTheme="majorHAnsi" w:cs="Arial"/>
          <w:color w:val="auto"/>
          <w:sz w:val="20"/>
          <w:szCs w:val="20"/>
        </w:rPr>
        <w:t>Elias González Santizo</w:t>
      </w:r>
    </w:p>
    <w:p w:rsidR="00372982" w:rsidRPr="000201A3" w:rsidRDefault="00372982" w:rsidP="00372982">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rPr>
      </w:pPr>
      <w:r w:rsidRPr="000201A3">
        <w:rPr>
          <w:rFonts w:asciiTheme="majorHAnsi" w:eastAsia="Arial" w:hAnsiTheme="majorHAnsi" w:cs="Arial"/>
          <w:color w:val="auto"/>
          <w:sz w:val="20"/>
          <w:szCs w:val="20"/>
        </w:rPr>
        <w:t xml:space="preserve">Manuel Alberto Diaz </w:t>
      </w:r>
      <w:proofErr w:type="spellStart"/>
      <w:r w:rsidRPr="000201A3">
        <w:rPr>
          <w:rFonts w:asciiTheme="majorHAnsi" w:eastAsia="Arial" w:hAnsiTheme="majorHAnsi" w:cs="Arial"/>
          <w:color w:val="auto"/>
          <w:sz w:val="20"/>
          <w:szCs w:val="20"/>
        </w:rPr>
        <w:t>Adames</w:t>
      </w:r>
      <w:proofErr w:type="spellEnd"/>
    </w:p>
    <w:p w:rsidR="00372982" w:rsidRPr="000201A3" w:rsidRDefault="00372982" w:rsidP="00372982">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rPr>
      </w:pPr>
      <w:proofErr w:type="spellStart"/>
      <w:r w:rsidRPr="000201A3">
        <w:rPr>
          <w:rFonts w:asciiTheme="majorHAnsi" w:eastAsia="Arial" w:hAnsiTheme="majorHAnsi" w:cs="Arial"/>
          <w:color w:val="auto"/>
          <w:sz w:val="20"/>
          <w:szCs w:val="20"/>
        </w:rPr>
        <w:t>Narciso</w:t>
      </w:r>
      <w:proofErr w:type="spellEnd"/>
      <w:r w:rsidRPr="000201A3">
        <w:rPr>
          <w:rFonts w:asciiTheme="majorHAnsi" w:eastAsia="Arial" w:hAnsiTheme="majorHAnsi" w:cs="Arial"/>
          <w:color w:val="auto"/>
          <w:sz w:val="20"/>
          <w:szCs w:val="20"/>
        </w:rPr>
        <w:t xml:space="preserve"> </w:t>
      </w:r>
      <w:proofErr w:type="spellStart"/>
      <w:r w:rsidRPr="000201A3">
        <w:rPr>
          <w:rFonts w:asciiTheme="majorHAnsi" w:eastAsia="Arial" w:hAnsiTheme="majorHAnsi" w:cs="Arial"/>
          <w:color w:val="auto"/>
          <w:sz w:val="20"/>
          <w:szCs w:val="20"/>
        </w:rPr>
        <w:t>Cubas</w:t>
      </w:r>
      <w:proofErr w:type="spellEnd"/>
      <w:r w:rsidRPr="000201A3">
        <w:rPr>
          <w:rFonts w:asciiTheme="majorHAnsi" w:eastAsia="Arial" w:hAnsiTheme="majorHAnsi" w:cs="Arial"/>
          <w:color w:val="auto"/>
          <w:sz w:val="20"/>
          <w:szCs w:val="20"/>
        </w:rPr>
        <w:t xml:space="preserve"> Pérez</w:t>
      </w:r>
    </w:p>
    <w:p w:rsidR="00372982" w:rsidRPr="000201A3" w:rsidRDefault="00372982" w:rsidP="00372982">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rPr>
      </w:pPr>
      <w:r w:rsidRPr="000201A3">
        <w:rPr>
          <w:rFonts w:asciiTheme="majorHAnsi" w:eastAsia="Arial" w:hAnsiTheme="majorHAnsi" w:cs="Arial"/>
          <w:color w:val="auto"/>
          <w:sz w:val="20"/>
          <w:szCs w:val="20"/>
        </w:rPr>
        <w:t xml:space="preserve">Alcibiades </w:t>
      </w:r>
      <w:proofErr w:type="spellStart"/>
      <w:r w:rsidRPr="000201A3">
        <w:rPr>
          <w:rFonts w:asciiTheme="majorHAnsi" w:eastAsia="Arial" w:hAnsiTheme="majorHAnsi" w:cs="Arial"/>
          <w:color w:val="auto"/>
          <w:sz w:val="20"/>
          <w:szCs w:val="20"/>
        </w:rPr>
        <w:t>Bethancourt</w:t>
      </w:r>
      <w:proofErr w:type="spellEnd"/>
      <w:r w:rsidRPr="000201A3">
        <w:rPr>
          <w:rFonts w:asciiTheme="majorHAnsi" w:eastAsia="Arial" w:hAnsiTheme="majorHAnsi" w:cs="Arial"/>
          <w:color w:val="auto"/>
          <w:sz w:val="20"/>
          <w:szCs w:val="20"/>
        </w:rPr>
        <w:t xml:space="preserve"> </w:t>
      </w:r>
      <w:proofErr w:type="spellStart"/>
      <w:r w:rsidRPr="000201A3">
        <w:rPr>
          <w:rFonts w:asciiTheme="majorHAnsi" w:eastAsia="Arial" w:hAnsiTheme="majorHAnsi" w:cs="Arial"/>
          <w:color w:val="auto"/>
          <w:sz w:val="20"/>
          <w:szCs w:val="20"/>
        </w:rPr>
        <w:t>Aparicio</w:t>
      </w:r>
      <w:proofErr w:type="spellEnd"/>
    </w:p>
    <w:p w:rsidR="00372982" w:rsidRPr="000201A3" w:rsidRDefault="00372982" w:rsidP="00372982">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rPr>
      </w:pPr>
      <w:proofErr w:type="spellStart"/>
      <w:r w:rsidRPr="000201A3">
        <w:rPr>
          <w:rFonts w:asciiTheme="majorHAnsi" w:eastAsia="Arial" w:hAnsiTheme="majorHAnsi" w:cs="Arial"/>
          <w:color w:val="auto"/>
          <w:sz w:val="20"/>
          <w:szCs w:val="20"/>
        </w:rPr>
        <w:t>Belisario</w:t>
      </w:r>
      <w:proofErr w:type="spellEnd"/>
      <w:r w:rsidRPr="000201A3">
        <w:rPr>
          <w:rFonts w:asciiTheme="majorHAnsi" w:eastAsia="Arial" w:hAnsiTheme="majorHAnsi" w:cs="Arial"/>
          <w:color w:val="auto"/>
          <w:sz w:val="20"/>
          <w:szCs w:val="20"/>
        </w:rPr>
        <w:t xml:space="preserve"> </w:t>
      </w:r>
      <w:proofErr w:type="spellStart"/>
      <w:r w:rsidRPr="000201A3">
        <w:rPr>
          <w:rFonts w:asciiTheme="majorHAnsi" w:eastAsia="Arial" w:hAnsiTheme="majorHAnsi" w:cs="Arial"/>
          <w:color w:val="auto"/>
          <w:sz w:val="20"/>
          <w:szCs w:val="20"/>
        </w:rPr>
        <w:t>Gantes</w:t>
      </w:r>
      <w:proofErr w:type="spellEnd"/>
      <w:r w:rsidRPr="000201A3">
        <w:rPr>
          <w:rFonts w:asciiTheme="majorHAnsi" w:eastAsia="Arial" w:hAnsiTheme="majorHAnsi" w:cs="Arial"/>
          <w:color w:val="auto"/>
          <w:sz w:val="20"/>
          <w:szCs w:val="20"/>
        </w:rPr>
        <w:t xml:space="preserve"> Batista</w:t>
      </w:r>
    </w:p>
    <w:p w:rsidR="00372982" w:rsidRPr="000201A3" w:rsidRDefault="00372982" w:rsidP="00372982">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rPr>
      </w:pPr>
      <w:r w:rsidRPr="000201A3">
        <w:rPr>
          <w:rFonts w:asciiTheme="majorHAnsi" w:eastAsia="Arial" w:hAnsiTheme="majorHAnsi" w:cs="Arial"/>
          <w:color w:val="auto"/>
          <w:sz w:val="20"/>
          <w:szCs w:val="20"/>
        </w:rPr>
        <w:t xml:space="preserve"> Carlos Millar González Caballero</w:t>
      </w:r>
    </w:p>
    <w:p w:rsidR="00372982" w:rsidRPr="000201A3" w:rsidRDefault="00372982" w:rsidP="00372982">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rPr>
      </w:pPr>
      <w:r w:rsidRPr="000201A3">
        <w:rPr>
          <w:rFonts w:asciiTheme="majorHAnsi" w:eastAsia="Arial" w:hAnsiTheme="majorHAnsi" w:cs="Arial"/>
          <w:color w:val="auto"/>
          <w:sz w:val="20"/>
          <w:szCs w:val="20"/>
        </w:rPr>
        <w:t xml:space="preserve"> Bettzy Marllene Mendizabal Hill</w:t>
      </w:r>
    </w:p>
    <w:p w:rsidR="00372982" w:rsidRPr="000201A3" w:rsidRDefault="00372982" w:rsidP="00372982">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rPr>
      </w:pPr>
      <w:r w:rsidRPr="000201A3">
        <w:rPr>
          <w:rFonts w:asciiTheme="majorHAnsi" w:eastAsia="Arial" w:hAnsiTheme="majorHAnsi" w:cs="Arial"/>
          <w:color w:val="auto"/>
          <w:sz w:val="20"/>
          <w:szCs w:val="20"/>
        </w:rPr>
        <w:t xml:space="preserve"> Manuel Alexis Guerra Morales</w:t>
      </w:r>
    </w:p>
    <w:p w:rsidR="00372982" w:rsidRPr="000201A3" w:rsidRDefault="00372982" w:rsidP="00372982">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rPr>
      </w:pPr>
      <w:r w:rsidRPr="000201A3">
        <w:rPr>
          <w:rFonts w:asciiTheme="majorHAnsi" w:eastAsia="Arial" w:hAnsiTheme="majorHAnsi" w:cs="Arial"/>
          <w:color w:val="auto"/>
          <w:sz w:val="20"/>
          <w:szCs w:val="20"/>
        </w:rPr>
        <w:t xml:space="preserve"> </w:t>
      </w:r>
      <w:proofErr w:type="spellStart"/>
      <w:r w:rsidRPr="000201A3">
        <w:rPr>
          <w:rFonts w:asciiTheme="majorHAnsi" w:eastAsia="Arial" w:hAnsiTheme="majorHAnsi" w:cs="Arial"/>
          <w:color w:val="auto"/>
          <w:sz w:val="20"/>
          <w:szCs w:val="20"/>
        </w:rPr>
        <w:t>Hipólito</w:t>
      </w:r>
      <w:proofErr w:type="spellEnd"/>
      <w:r w:rsidRPr="000201A3">
        <w:rPr>
          <w:rFonts w:asciiTheme="majorHAnsi" w:eastAsia="Arial" w:hAnsiTheme="majorHAnsi" w:cs="Arial"/>
          <w:color w:val="auto"/>
          <w:sz w:val="20"/>
          <w:szCs w:val="20"/>
        </w:rPr>
        <w:t xml:space="preserve"> Quintero Delgado</w:t>
      </w:r>
    </w:p>
    <w:p w:rsidR="00372982" w:rsidRPr="000201A3" w:rsidRDefault="00372982" w:rsidP="00372982">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color w:val="auto"/>
          <w:sz w:val="20"/>
          <w:szCs w:val="20"/>
        </w:rPr>
      </w:pPr>
      <w:r w:rsidRPr="000201A3">
        <w:rPr>
          <w:rStyle w:val="ilfuvd"/>
          <w:rFonts w:asciiTheme="majorHAnsi" w:hAnsiTheme="majorHAnsi" w:cs="Arial"/>
          <w:color w:val="auto"/>
          <w:sz w:val="20"/>
          <w:szCs w:val="20"/>
        </w:rPr>
        <w:t xml:space="preserve"> Daniel Emilio Heart Pérez</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Style w:val="ilfuvd"/>
          <w:rFonts w:asciiTheme="majorHAnsi" w:hAnsiTheme="majorHAnsi" w:cs="Arial"/>
          <w:sz w:val="20"/>
          <w:szCs w:val="20"/>
        </w:rPr>
      </w:pPr>
      <w:r w:rsidRPr="000201A3">
        <w:rPr>
          <w:rStyle w:val="ilfuvd"/>
          <w:rFonts w:asciiTheme="majorHAnsi" w:hAnsiTheme="majorHAnsi" w:cs="Arial"/>
          <w:sz w:val="20"/>
          <w:szCs w:val="20"/>
        </w:rPr>
        <w:t xml:space="preserve">In Annex A to this Agreement, the parties include a list of family members of victims recognized by the parties in relation to Case 13.017-A “Families of Victims of the Military Dictatorship of Panama from October 1968 to December 1989,” which list they deem consistent with the Final Report of the Truth Commission of Panama. The parties consider Annex </w:t>
      </w:r>
      <w:proofErr w:type="gramStart"/>
      <w:r w:rsidRPr="000201A3">
        <w:rPr>
          <w:rStyle w:val="ilfuvd"/>
          <w:rFonts w:asciiTheme="majorHAnsi" w:hAnsiTheme="majorHAnsi" w:cs="Arial"/>
          <w:sz w:val="20"/>
          <w:szCs w:val="20"/>
        </w:rPr>
        <w:t>A</w:t>
      </w:r>
      <w:proofErr w:type="gramEnd"/>
      <w:r w:rsidRPr="000201A3">
        <w:rPr>
          <w:rStyle w:val="ilfuvd"/>
          <w:rFonts w:asciiTheme="majorHAnsi" w:hAnsiTheme="majorHAnsi" w:cs="Arial"/>
          <w:sz w:val="20"/>
          <w:szCs w:val="20"/>
        </w:rPr>
        <w:t xml:space="preserve"> an integral part of this friendly settlement agreement. </w:t>
      </w:r>
    </w:p>
    <w:p w:rsidR="00372982" w:rsidRPr="000201A3" w:rsidRDefault="00372982" w:rsidP="00372982">
      <w:pPr>
        <w:ind w:left="720" w:right="720"/>
        <w:jc w:val="both"/>
        <w:rPr>
          <w:rStyle w:val="ilfuvd"/>
          <w:rFonts w:asciiTheme="majorHAnsi" w:eastAsiaTheme="minorEastAsia" w:hAnsiTheme="majorHAnsi"/>
          <w:sz w:val="20"/>
          <w:szCs w:val="20"/>
        </w:rPr>
      </w:pPr>
    </w:p>
    <w:p w:rsidR="00372982" w:rsidRPr="000201A3" w:rsidRDefault="00372982" w:rsidP="00372982">
      <w:pPr>
        <w:ind w:left="720" w:right="720"/>
        <w:jc w:val="both"/>
        <w:rPr>
          <w:rStyle w:val="ilfuvd"/>
          <w:rFonts w:asciiTheme="majorHAnsi" w:hAnsiTheme="majorHAnsi" w:cs="Arial"/>
          <w:sz w:val="20"/>
          <w:szCs w:val="20"/>
        </w:rPr>
      </w:pPr>
      <w:r w:rsidRPr="000201A3">
        <w:rPr>
          <w:rStyle w:val="ilfuvd"/>
          <w:rFonts w:asciiTheme="majorHAnsi" w:hAnsiTheme="majorHAnsi" w:cs="Arial"/>
          <w:sz w:val="20"/>
          <w:szCs w:val="20"/>
        </w:rPr>
        <w:t>The State, through the Ministry of Economy and Finance, will review and analyze said actuarial expert’s studies in order to determine if they conform to the procedures established in Panamanian law and the case-law of the inter-American system on compensation in cases relating to human rights and crimes against humanity.</w:t>
      </w:r>
    </w:p>
    <w:p w:rsidR="00372982" w:rsidRPr="000201A3" w:rsidRDefault="00372982" w:rsidP="00372982">
      <w:pPr>
        <w:ind w:left="720" w:right="720"/>
        <w:jc w:val="both"/>
        <w:rPr>
          <w:rStyle w:val="ilfuvd"/>
          <w:rFonts w:asciiTheme="majorHAnsi" w:hAnsiTheme="majorHAnsi" w:cs="Arial"/>
          <w:sz w:val="20"/>
          <w:szCs w:val="20"/>
        </w:rPr>
      </w:pPr>
    </w:p>
    <w:p w:rsidR="00372982" w:rsidRPr="000201A3" w:rsidRDefault="00372982" w:rsidP="00372982">
      <w:pPr>
        <w:ind w:left="720" w:right="720"/>
        <w:jc w:val="both"/>
        <w:rPr>
          <w:rFonts w:asciiTheme="majorHAnsi" w:eastAsia="Arial" w:hAnsiTheme="majorHAnsi"/>
          <w:sz w:val="20"/>
          <w:szCs w:val="20"/>
        </w:rPr>
      </w:pPr>
      <w:r w:rsidRPr="000201A3">
        <w:rPr>
          <w:rFonts w:asciiTheme="majorHAnsi" w:eastAsia="Arial" w:hAnsiTheme="majorHAnsi" w:cs="Arial"/>
          <w:sz w:val="20"/>
          <w:szCs w:val="20"/>
        </w:rPr>
        <w:t xml:space="preserve">The State will appoint the Ministry of Economy and Finance as the entity in charge, on behalf of the Republic of Panama, of diligently executing in a timely manner the appropriate procedure for payment of the aforementioned economic obligations, </w:t>
      </w:r>
      <w:r w:rsidRPr="000201A3">
        <w:rPr>
          <w:rFonts w:asciiTheme="majorHAnsi" w:eastAsia="Arial" w:hAnsiTheme="majorHAnsi" w:cs="Arial"/>
          <w:b/>
          <w:bCs/>
          <w:sz w:val="20"/>
          <w:szCs w:val="20"/>
          <w:u w:val="single"/>
        </w:rPr>
        <w:t>without collection of income tax</w:t>
      </w:r>
      <w:r w:rsidRPr="000201A3">
        <w:rPr>
          <w:rFonts w:asciiTheme="majorHAnsi" w:eastAsia="Arial" w:hAnsiTheme="majorHAnsi" w:cs="Arial"/>
          <w:sz w:val="20"/>
          <w:szCs w:val="20"/>
        </w:rPr>
        <w:t>, as established as a precedent and undertaking on the part of the State in Article 7 of Cabinet Decree No. 42 of November 13, 2012, published in Official Gazette No. 27164-A of Thursday, November 15, 2012.</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pStyle w:val="Default"/>
        <w:ind w:left="720" w:right="720"/>
        <w:jc w:val="both"/>
        <w:rPr>
          <w:rFonts w:asciiTheme="majorHAnsi" w:eastAsiaTheme="minorEastAsia" w:hAnsiTheme="majorHAnsi" w:cs="Arial"/>
          <w:color w:val="auto"/>
          <w:sz w:val="20"/>
          <w:szCs w:val="20"/>
        </w:rPr>
      </w:pPr>
      <w:r w:rsidRPr="000201A3">
        <w:rPr>
          <w:rFonts w:asciiTheme="majorHAnsi" w:hAnsiTheme="majorHAnsi" w:cs="Arial"/>
          <w:color w:val="auto"/>
          <w:sz w:val="20"/>
          <w:szCs w:val="20"/>
        </w:rPr>
        <w:t xml:space="preserve">Having received payment of the economic reparation, the petitioners permanently and irrevocably waive the right to bring any other financial claim against the State in relation to this case. </w:t>
      </w:r>
    </w:p>
    <w:p w:rsidR="00372982" w:rsidRPr="000201A3" w:rsidRDefault="00372982" w:rsidP="00372982">
      <w:pPr>
        <w:pStyle w:val="Default"/>
        <w:ind w:left="720" w:right="720"/>
        <w:jc w:val="both"/>
        <w:rPr>
          <w:rFonts w:asciiTheme="majorHAnsi" w:hAnsiTheme="majorHAnsi" w:cs="Arial"/>
          <w:color w:val="auto"/>
          <w:sz w:val="20"/>
          <w:szCs w:val="20"/>
        </w:rPr>
      </w:pPr>
    </w:p>
    <w:p w:rsidR="00372982" w:rsidRPr="000201A3" w:rsidRDefault="00372982" w:rsidP="00372982">
      <w:pPr>
        <w:pStyle w:val="ListParagraph"/>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hAnsiTheme="majorHAnsi" w:cs="Arial"/>
          <w:b/>
          <w:color w:val="auto"/>
          <w:sz w:val="20"/>
          <w:szCs w:val="20"/>
        </w:rPr>
      </w:pPr>
      <w:r w:rsidRPr="000201A3">
        <w:rPr>
          <w:rFonts w:asciiTheme="majorHAnsi" w:hAnsiTheme="majorHAnsi" w:cs="Arial"/>
          <w:b/>
          <w:bCs/>
          <w:color w:val="auto"/>
          <w:sz w:val="20"/>
          <w:szCs w:val="20"/>
        </w:rPr>
        <w:t>Measures of Satisfaction and Guarantees of Non-Repetition.</w:t>
      </w:r>
      <w:r w:rsidRPr="000201A3">
        <w:rPr>
          <w:rFonts w:asciiTheme="majorHAnsi" w:hAnsiTheme="majorHAnsi" w:cs="Arial"/>
          <w:color w:val="auto"/>
          <w:sz w:val="20"/>
          <w:szCs w:val="20"/>
        </w:rPr>
        <w:t xml:space="preserve"> </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 xml:space="preserve">This section complies with the second form of reparation of the non-pecuniary injury, to which the Court’s case-law makes reference, which, given its characteristics, cannot be compensated economically but which rather has as its purpose restoring the dignity of the victims, and at the same time guaranteeing that the human rights violations not recur. </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 xml:space="preserve">According to the Inter-American Court of Human Rights, such measures of satisfaction aim to redress non-pecuniary damages; they are non-financial and public in terms of their scope and repercussions. Likewise, the Court has also determined that such measures derive from “other harmful effects of the facts, which are not of a financial or patrimonial nature, and which could be repaired by carrying out officials acts, including the investigation and punishment of those responsible,” memorialization of the victims, and consolation of the bereaved, and which signify an official reprobation of the human rights violations committed as well as entailing a commitment to ensure that events such as those that occurred in this case are not repeated. </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pStyle w:val="ListParagraph"/>
        <w:numPr>
          <w:ilvl w:val="1"/>
          <w:numId w:val="110"/>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eastAsiaTheme="minorEastAsia" w:hAnsiTheme="majorHAnsi" w:cs="Arial"/>
          <w:b/>
          <w:color w:val="auto"/>
          <w:sz w:val="20"/>
          <w:szCs w:val="20"/>
        </w:rPr>
      </w:pPr>
      <w:r w:rsidRPr="000201A3">
        <w:rPr>
          <w:rFonts w:asciiTheme="majorHAnsi" w:hAnsiTheme="majorHAnsi" w:cs="Arial"/>
          <w:b/>
          <w:bCs/>
          <w:color w:val="auto"/>
          <w:sz w:val="20"/>
          <w:szCs w:val="20"/>
        </w:rPr>
        <w:lastRenderedPageBreak/>
        <w:t>Compilation of the historical record of the 1968-1989 period</w:t>
      </w:r>
    </w:p>
    <w:p w:rsidR="00372982" w:rsidRPr="000201A3" w:rsidRDefault="00372982" w:rsidP="00372982">
      <w:pPr>
        <w:ind w:left="720" w:right="720"/>
        <w:jc w:val="both"/>
        <w:rPr>
          <w:rFonts w:asciiTheme="majorHAnsi" w:hAnsiTheme="majorHAnsi" w:cs="Arial"/>
          <w:b/>
          <w:sz w:val="20"/>
          <w:szCs w:val="20"/>
        </w:rPr>
      </w:pPr>
    </w:p>
    <w:p w:rsidR="00372982" w:rsidRPr="000201A3" w:rsidRDefault="00372982" w:rsidP="00372982">
      <w:pPr>
        <w:ind w:left="720" w:right="720"/>
        <w:jc w:val="both"/>
        <w:rPr>
          <w:rFonts w:asciiTheme="majorHAnsi" w:hAnsiTheme="majorHAnsi" w:cs="Arial"/>
          <w:sz w:val="20"/>
          <w:szCs w:val="20"/>
        </w:rPr>
      </w:pPr>
      <w:r w:rsidRPr="000201A3">
        <w:rPr>
          <w:rFonts w:asciiTheme="majorHAnsi" w:hAnsiTheme="majorHAnsi" w:cs="Arial"/>
          <w:sz w:val="20"/>
          <w:szCs w:val="20"/>
        </w:rPr>
        <w:t>The parties acknowledge that joint and positive efforts have been made to compile information about the events that occurred during the military dictatorship with the aim of drafting the historical record for the period from 1968 to 1989.</w:t>
      </w:r>
    </w:p>
    <w:p w:rsidR="00372982" w:rsidRPr="000201A3" w:rsidRDefault="00372982" w:rsidP="00372982">
      <w:pPr>
        <w:ind w:left="720" w:right="720"/>
        <w:jc w:val="both"/>
        <w:rPr>
          <w:rFonts w:asciiTheme="majorHAnsi" w:hAnsiTheme="majorHAnsi" w:cs="Arial"/>
          <w:sz w:val="20"/>
          <w:szCs w:val="20"/>
        </w:rPr>
      </w:pPr>
    </w:p>
    <w:p w:rsidR="00372982" w:rsidRPr="000201A3" w:rsidRDefault="00372982" w:rsidP="00372982">
      <w:pPr>
        <w:ind w:left="720" w:right="720"/>
        <w:jc w:val="both"/>
        <w:rPr>
          <w:rFonts w:asciiTheme="majorHAnsi" w:hAnsiTheme="majorHAnsi" w:cs="Arial"/>
          <w:sz w:val="20"/>
          <w:szCs w:val="20"/>
        </w:rPr>
      </w:pPr>
      <w:r w:rsidRPr="000201A3">
        <w:rPr>
          <w:rFonts w:asciiTheme="majorHAnsi" w:hAnsiTheme="majorHAnsi" w:cs="Arial"/>
          <w:sz w:val="20"/>
          <w:szCs w:val="20"/>
        </w:rPr>
        <w:t xml:space="preserve">The parties hereby state that they have worked jointly on the production of the pamphlet </w:t>
      </w:r>
      <w:proofErr w:type="spellStart"/>
      <w:r w:rsidRPr="000201A3">
        <w:rPr>
          <w:rFonts w:asciiTheme="majorHAnsi" w:hAnsiTheme="majorHAnsi" w:cs="Arial"/>
          <w:sz w:val="20"/>
          <w:szCs w:val="20"/>
        </w:rPr>
        <w:t>titled</w:t>
      </w:r>
      <w:r w:rsidRPr="000201A3">
        <w:rPr>
          <w:rFonts w:asciiTheme="majorHAnsi" w:hAnsiTheme="majorHAnsi" w:cs="Arial"/>
          <w:i/>
          <w:iCs/>
          <w:sz w:val="20"/>
          <w:szCs w:val="20"/>
        </w:rPr>
        <w:t>“Comisión</w:t>
      </w:r>
      <w:proofErr w:type="spellEnd"/>
      <w:r w:rsidRPr="000201A3">
        <w:rPr>
          <w:rFonts w:asciiTheme="majorHAnsi" w:hAnsiTheme="majorHAnsi" w:cs="Arial"/>
          <w:i/>
          <w:iCs/>
          <w:sz w:val="20"/>
          <w:szCs w:val="20"/>
        </w:rPr>
        <w:t xml:space="preserve"> de la </w:t>
      </w:r>
      <w:proofErr w:type="spellStart"/>
      <w:r w:rsidRPr="000201A3">
        <w:rPr>
          <w:rFonts w:asciiTheme="majorHAnsi" w:hAnsiTheme="majorHAnsi" w:cs="Arial"/>
          <w:i/>
          <w:iCs/>
          <w:sz w:val="20"/>
          <w:szCs w:val="20"/>
        </w:rPr>
        <w:t>Verdad</w:t>
      </w:r>
      <w:proofErr w:type="spellEnd"/>
      <w:r w:rsidRPr="000201A3">
        <w:rPr>
          <w:rFonts w:asciiTheme="majorHAnsi" w:hAnsiTheme="majorHAnsi" w:cs="Arial"/>
          <w:i/>
          <w:iCs/>
          <w:sz w:val="20"/>
          <w:szCs w:val="20"/>
        </w:rPr>
        <w:t xml:space="preserve">, </w:t>
      </w:r>
      <w:proofErr w:type="spellStart"/>
      <w:r w:rsidRPr="000201A3">
        <w:rPr>
          <w:rFonts w:asciiTheme="majorHAnsi" w:hAnsiTheme="majorHAnsi" w:cs="Arial"/>
          <w:i/>
          <w:iCs/>
          <w:sz w:val="20"/>
          <w:szCs w:val="20"/>
        </w:rPr>
        <w:t>Síntesis</w:t>
      </w:r>
      <w:proofErr w:type="spellEnd"/>
      <w:r w:rsidRPr="000201A3">
        <w:rPr>
          <w:rFonts w:asciiTheme="majorHAnsi" w:hAnsiTheme="majorHAnsi" w:cs="Arial"/>
          <w:i/>
          <w:iCs/>
          <w:sz w:val="20"/>
          <w:szCs w:val="20"/>
        </w:rPr>
        <w:t xml:space="preserve"> </w:t>
      </w:r>
      <w:proofErr w:type="gramStart"/>
      <w:r w:rsidRPr="000201A3">
        <w:rPr>
          <w:rFonts w:asciiTheme="majorHAnsi" w:hAnsiTheme="majorHAnsi" w:cs="Arial"/>
          <w:i/>
          <w:iCs/>
          <w:sz w:val="20"/>
          <w:szCs w:val="20"/>
        </w:rPr>
        <w:t>del</w:t>
      </w:r>
      <w:proofErr w:type="gramEnd"/>
      <w:r w:rsidRPr="000201A3">
        <w:rPr>
          <w:rFonts w:asciiTheme="majorHAnsi" w:hAnsiTheme="majorHAnsi" w:cs="Arial"/>
          <w:i/>
          <w:iCs/>
          <w:sz w:val="20"/>
          <w:szCs w:val="20"/>
        </w:rPr>
        <w:t xml:space="preserve"> </w:t>
      </w:r>
      <w:proofErr w:type="spellStart"/>
      <w:r w:rsidRPr="000201A3">
        <w:rPr>
          <w:rFonts w:asciiTheme="majorHAnsi" w:hAnsiTheme="majorHAnsi" w:cs="Arial"/>
          <w:i/>
          <w:iCs/>
          <w:sz w:val="20"/>
          <w:szCs w:val="20"/>
        </w:rPr>
        <w:t>Informe</w:t>
      </w:r>
      <w:proofErr w:type="spellEnd"/>
      <w:r w:rsidRPr="000201A3">
        <w:rPr>
          <w:rFonts w:asciiTheme="majorHAnsi" w:hAnsiTheme="majorHAnsi" w:cs="Arial"/>
          <w:i/>
          <w:iCs/>
          <w:sz w:val="20"/>
          <w:szCs w:val="20"/>
        </w:rPr>
        <w:t xml:space="preserve"> Final”</w:t>
      </w:r>
      <w:r w:rsidRPr="000201A3">
        <w:rPr>
          <w:rFonts w:asciiTheme="majorHAnsi" w:hAnsiTheme="majorHAnsi" w:cs="Arial"/>
          <w:sz w:val="20"/>
          <w:szCs w:val="20"/>
        </w:rPr>
        <w:t xml:space="preserve"> [Truth Commission, Summary of the Final Report], which describes the events under the military dictatorship.</w:t>
      </w:r>
    </w:p>
    <w:p w:rsidR="00372982" w:rsidRPr="000201A3" w:rsidRDefault="00372982" w:rsidP="00372982">
      <w:pPr>
        <w:ind w:left="720" w:right="720"/>
        <w:jc w:val="both"/>
        <w:rPr>
          <w:rFonts w:asciiTheme="majorHAnsi" w:hAnsiTheme="majorHAnsi" w:cs="Arial"/>
          <w:sz w:val="20"/>
          <w:szCs w:val="20"/>
        </w:rPr>
      </w:pPr>
    </w:p>
    <w:p w:rsidR="00372982" w:rsidRPr="000201A3" w:rsidRDefault="00372982" w:rsidP="00372982">
      <w:pPr>
        <w:ind w:left="720" w:right="720"/>
        <w:jc w:val="both"/>
        <w:rPr>
          <w:rFonts w:asciiTheme="majorHAnsi" w:hAnsiTheme="majorHAnsi" w:cs="Arial"/>
          <w:sz w:val="20"/>
          <w:szCs w:val="20"/>
        </w:rPr>
      </w:pPr>
      <w:r w:rsidRPr="000201A3">
        <w:rPr>
          <w:rFonts w:asciiTheme="majorHAnsi" w:hAnsiTheme="majorHAnsi" w:cs="Arial"/>
          <w:sz w:val="20"/>
          <w:szCs w:val="20"/>
        </w:rPr>
        <w:t xml:space="preserve">The State undertakes, if possible, to re-edit, print, and release the pamphlet </w:t>
      </w:r>
      <w:r w:rsidRPr="000201A3">
        <w:rPr>
          <w:rFonts w:asciiTheme="majorHAnsi" w:hAnsiTheme="majorHAnsi" w:cs="Arial"/>
          <w:i/>
          <w:iCs/>
          <w:sz w:val="20"/>
          <w:szCs w:val="20"/>
        </w:rPr>
        <w:t>“</w:t>
      </w:r>
      <w:proofErr w:type="spellStart"/>
      <w:r w:rsidRPr="000201A3">
        <w:rPr>
          <w:rFonts w:asciiTheme="majorHAnsi" w:hAnsiTheme="majorHAnsi" w:cs="Arial"/>
          <w:i/>
          <w:iCs/>
          <w:sz w:val="20"/>
          <w:szCs w:val="20"/>
        </w:rPr>
        <w:t>Comisión</w:t>
      </w:r>
      <w:proofErr w:type="spellEnd"/>
      <w:r w:rsidRPr="000201A3">
        <w:rPr>
          <w:rFonts w:asciiTheme="majorHAnsi" w:hAnsiTheme="majorHAnsi" w:cs="Arial"/>
          <w:i/>
          <w:iCs/>
          <w:sz w:val="20"/>
          <w:szCs w:val="20"/>
        </w:rPr>
        <w:t xml:space="preserve"> de la </w:t>
      </w:r>
      <w:proofErr w:type="spellStart"/>
      <w:r w:rsidRPr="000201A3">
        <w:rPr>
          <w:rFonts w:asciiTheme="majorHAnsi" w:hAnsiTheme="majorHAnsi" w:cs="Arial"/>
          <w:i/>
          <w:iCs/>
          <w:sz w:val="20"/>
          <w:szCs w:val="20"/>
        </w:rPr>
        <w:t>Verdad</w:t>
      </w:r>
      <w:proofErr w:type="spellEnd"/>
      <w:r w:rsidRPr="000201A3">
        <w:rPr>
          <w:rFonts w:asciiTheme="majorHAnsi" w:hAnsiTheme="majorHAnsi" w:cs="Arial"/>
          <w:i/>
          <w:iCs/>
          <w:sz w:val="20"/>
          <w:szCs w:val="20"/>
        </w:rPr>
        <w:t xml:space="preserve">, </w:t>
      </w:r>
      <w:proofErr w:type="spellStart"/>
      <w:r w:rsidRPr="000201A3">
        <w:rPr>
          <w:rFonts w:asciiTheme="majorHAnsi" w:hAnsiTheme="majorHAnsi" w:cs="Arial"/>
          <w:i/>
          <w:iCs/>
          <w:sz w:val="20"/>
          <w:szCs w:val="20"/>
        </w:rPr>
        <w:t>Síntesis</w:t>
      </w:r>
      <w:proofErr w:type="spellEnd"/>
      <w:r w:rsidRPr="000201A3">
        <w:rPr>
          <w:rFonts w:asciiTheme="majorHAnsi" w:hAnsiTheme="majorHAnsi" w:cs="Arial"/>
          <w:i/>
          <w:iCs/>
          <w:sz w:val="20"/>
          <w:szCs w:val="20"/>
        </w:rPr>
        <w:t xml:space="preserve"> del </w:t>
      </w:r>
      <w:proofErr w:type="spellStart"/>
      <w:r w:rsidRPr="000201A3">
        <w:rPr>
          <w:rFonts w:asciiTheme="majorHAnsi" w:hAnsiTheme="majorHAnsi" w:cs="Arial"/>
          <w:i/>
          <w:iCs/>
          <w:sz w:val="20"/>
          <w:szCs w:val="20"/>
        </w:rPr>
        <w:t>Informe</w:t>
      </w:r>
      <w:proofErr w:type="spellEnd"/>
      <w:r w:rsidRPr="000201A3">
        <w:rPr>
          <w:rFonts w:asciiTheme="majorHAnsi" w:hAnsiTheme="majorHAnsi" w:cs="Arial"/>
          <w:i/>
          <w:iCs/>
          <w:sz w:val="20"/>
          <w:szCs w:val="20"/>
        </w:rPr>
        <w:t xml:space="preserve"> Final”</w:t>
      </w:r>
      <w:r w:rsidRPr="000201A3">
        <w:rPr>
          <w:rFonts w:asciiTheme="majorHAnsi" w:hAnsiTheme="majorHAnsi" w:cs="Arial"/>
          <w:sz w:val="20"/>
          <w:szCs w:val="20"/>
        </w:rPr>
        <w:t xml:space="preserve"> and to teach what happened during the military dictatorship in Panama as well as the context in Latin America and the world in the curricula and courses for grades 10 (Ethics), 11 (History of Panama), and 12 (Civics III).</w:t>
      </w:r>
    </w:p>
    <w:p w:rsidR="00372982" w:rsidRPr="000201A3" w:rsidRDefault="00372982" w:rsidP="00372982">
      <w:pPr>
        <w:ind w:left="720" w:right="720"/>
        <w:jc w:val="both"/>
        <w:rPr>
          <w:rFonts w:asciiTheme="majorHAnsi" w:hAnsiTheme="majorHAnsi" w:cs="Arial"/>
          <w:sz w:val="20"/>
          <w:szCs w:val="20"/>
        </w:rPr>
      </w:pPr>
    </w:p>
    <w:p w:rsidR="00372982" w:rsidRPr="000201A3" w:rsidRDefault="00372982" w:rsidP="00372982">
      <w:pPr>
        <w:ind w:left="720" w:right="720"/>
        <w:jc w:val="both"/>
        <w:rPr>
          <w:rFonts w:asciiTheme="majorHAnsi" w:hAnsiTheme="majorHAnsi" w:cs="Arial"/>
          <w:sz w:val="20"/>
          <w:szCs w:val="20"/>
        </w:rPr>
      </w:pPr>
      <w:r w:rsidRPr="000201A3">
        <w:rPr>
          <w:rFonts w:asciiTheme="majorHAnsi" w:hAnsiTheme="majorHAnsi" w:cs="Arial"/>
          <w:sz w:val="20"/>
          <w:szCs w:val="20"/>
        </w:rPr>
        <w:t>The parties hereby declare that pending are the inclusion in the pamphlet of the topic “torture sites” as well as the presentation of the curriculum, and that for the purposes of finalizing their inclusion a meeting will be held, facilitated by the Inter-American Commission on Human Rights.</w:t>
      </w:r>
    </w:p>
    <w:p w:rsidR="00372982" w:rsidRPr="000201A3" w:rsidRDefault="00372982" w:rsidP="00372982">
      <w:pPr>
        <w:ind w:left="720" w:right="720"/>
        <w:jc w:val="both"/>
        <w:rPr>
          <w:rFonts w:asciiTheme="majorHAnsi" w:hAnsiTheme="majorHAnsi" w:cs="Arial"/>
          <w:b/>
          <w:sz w:val="20"/>
          <w:szCs w:val="20"/>
        </w:rPr>
      </w:pPr>
    </w:p>
    <w:p w:rsidR="00372982" w:rsidRPr="000201A3" w:rsidRDefault="00372982" w:rsidP="00372982">
      <w:pPr>
        <w:pStyle w:val="ListParagraph"/>
        <w:numPr>
          <w:ilvl w:val="1"/>
          <w:numId w:val="110"/>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b/>
          <w:color w:val="auto"/>
          <w:sz w:val="20"/>
          <w:szCs w:val="20"/>
        </w:rPr>
      </w:pPr>
      <w:r w:rsidRPr="000201A3">
        <w:rPr>
          <w:rFonts w:asciiTheme="majorHAnsi" w:hAnsiTheme="majorHAnsi" w:cs="Arial"/>
          <w:b/>
          <w:bCs/>
          <w:color w:val="auto"/>
          <w:sz w:val="20"/>
          <w:szCs w:val="20"/>
        </w:rPr>
        <w:t>Legislative measure</w:t>
      </w:r>
    </w:p>
    <w:p w:rsidR="00372982" w:rsidRPr="000201A3" w:rsidRDefault="00372982" w:rsidP="00372982">
      <w:pPr>
        <w:pStyle w:val="ListParagraph"/>
        <w:ind w:right="720"/>
        <w:jc w:val="both"/>
        <w:rPr>
          <w:rFonts w:asciiTheme="majorHAnsi" w:hAnsiTheme="majorHAnsi" w:cs="Arial"/>
          <w:b/>
          <w:color w:val="auto"/>
          <w:sz w:val="20"/>
          <w:szCs w:val="20"/>
        </w:rPr>
      </w:pPr>
    </w:p>
    <w:p w:rsidR="00372982" w:rsidRPr="000201A3" w:rsidRDefault="00372982" w:rsidP="00372982">
      <w:pPr>
        <w:ind w:left="720" w:right="720"/>
        <w:jc w:val="both"/>
        <w:rPr>
          <w:rFonts w:asciiTheme="majorHAnsi" w:hAnsiTheme="majorHAnsi" w:cs="Arial"/>
          <w:sz w:val="20"/>
          <w:szCs w:val="20"/>
        </w:rPr>
      </w:pPr>
      <w:r w:rsidRPr="000201A3">
        <w:rPr>
          <w:rFonts w:asciiTheme="majorHAnsi" w:hAnsiTheme="majorHAnsi" w:cs="Arial"/>
          <w:sz w:val="20"/>
          <w:szCs w:val="20"/>
        </w:rPr>
        <w:t>The parties acknowledge that they have worked jointly to prepare the preliminary draft of a proposed law declaring June 9 as "Civic Day of Reflection for the Victims of the Military Dictatorship.”</w:t>
      </w:r>
    </w:p>
    <w:p w:rsidR="00372982" w:rsidRPr="000201A3" w:rsidRDefault="00372982" w:rsidP="00372982">
      <w:pPr>
        <w:ind w:left="720" w:right="720"/>
        <w:jc w:val="both"/>
        <w:rPr>
          <w:rFonts w:asciiTheme="majorHAnsi" w:hAnsiTheme="majorHAnsi" w:cs="Arial"/>
          <w:sz w:val="20"/>
          <w:szCs w:val="20"/>
        </w:rPr>
      </w:pPr>
      <w:r w:rsidRPr="000201A3">
        <w:rPr>
          <w:rFonts w:asciiTheme="majorHAnsi" w:hAnsiTheme="majorHAnsi" w:cs="Arial"/>
          <w:sz w:val="20"/>
          <w:szCs w:val="20"/>
        </w:rPr>
        <w:t xml:space="preserve"> </w:t>
      </w:r>
    </w:p>
    <w:p w:rsidR="00372982" w:rsidRPr="000201A3" w:rsidRDefault="00372982" w:rsidP="00372982">
      <w:pPr>
        <w:ind w:left="720" w:right="720"/>
        <w:jc w:val="both"/>
        <w:rPr>
          <w:rFonts w:asciiTheme="majorHAnsi" w:hAnsiTheme="majorHAnsi" w:cs="Arial"/>
          <w:sz w:val="20"/>
          <w:szCs w:val="20"/>
        </w:rPr>
      </w:pPr>
      <w:r w:rsidRPr="000201A3">
        <w:rPr>
          <w:rFonts w:asciiTheme="majorHAnsi" w:hAnsiTheme="majorHAnsi" w:cs="Arial"/>
          <w:sz w:val="20"/>
          <w:szCs w:val="20"/>
        </w:rPr>
        <w:t>The State undertakes, through the Ministry of Foreign Affairs and with the authorization of the Cabinet Council, to present said draft law and to hold meetings with legislative officials to promote its enactment, while respecting the institutional framework and the separation of powers.</w:t>
      </w:r>
    </w:p>
    <w:p w:rsidR="00372982" w:rsidRPr="000201A3" w:rsidRDefault="00372982" w:rsidP="00372982">
      <w:pPr>
        <w:ind w:left="720" w:right="720"/>
        <w:jc w:val="both"/>
        <w:rPr>
          <w:rFonts w:asciiTheme="majorHAnsi" w:hAnsiTheme="majorHAnsi" w:cs="Arial"/>
          <w:b/>
          <w:sz w:val="20"/>
          <w:szCs w:val="20"/>
        </w:rPr>
      </w:pPr>
    </w:p>
    <w:p w:rsidR="00372982" w:rsidRPr="000201A3" w:rsidRDefault="00372982" w:rsidP="00372982">
      <w:pPr>
        <w:pStyle w:val="ListParagraph"/>
        <w:numPr>
          <w:ilvl w:val="1"/>
          <w:numId w:val="110"/>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b/>
          <w:color w:val="auto"/>
          <w:sz w:val="20"/>
          <w:szCs w:val="20"/>
        </w:rPr>
      </w:pPr>
      <w:r w:rsidRPr="000201A3">
        <w:rPr>
          <w:rFonts w:asciiTheme="majorHAnsi" w:hAnsiTheme="majorHAnsi" w:cs="Arial"/>
          <w:b/>
          <w:bCs/>
          <w:color w:val="auto"/>
          <w:sz w:val="20"/>
          <w:szCs w:val="20"/>
        </w:rPr>
        <w:t>Monument to the Murdered and Disappeared</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 xml:space="preserve">The parties acknowledge that a competition for the design of the Monument to the Murdered and Disappeared was held in 2016 and won by the architect Juan J. </w:t>
      </w:r>
      <w:proofErr w:type="spellStart"/>
      <w:r w:rsidRPr="000201A3">
        <w:rPr>
          <w:rFonts w:asciiTheme="majorHAnsi" w:eastAsia="Arial" w:hAnsiTheme="majorHAnsi" w:cs="Arial"/>
          <w:sz w:val="20"/>
          <w:szCs w:val="20"/>
        </w:rPr>
        <w:t>Casis</w:t>
      </w:r>
      <w:proofErr w:type="spellEnd"/>
      <w:r w:rsidRPr="000201A3">
        <w:rPr>
          <w:rFonts w:asciiTheme="majorHAnsi" w:eastAsia="Arial" w:hAnsiTheme="majorHAnsi" w:cs="Arial"/>
          <w:sz w:val="20"/>
          <w:szCs w:val="20"/>
        </w:rPr>
        <w:t>, with personal identity card No. 8-745-1909.</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 xml:space="preserve">The parties also recognize that two public tenders were held: the first was declared void, and the second canceled. Accordingly, the State, through the Ministry of Foreign Affairs, will take the necessary steps to organize a public tender for the study, design, and construction of the </w:t>
      </w:r>
      <w:r w:rsidRPr="000201A3">
        <w:rPr>
          <w:rFonts w:asciiTheme="majorHAnsi" w:eastAsia="Arial" w:hAnsiTheme="majorHAnsi" w:cs="Arial"/>
          <w:i/>
          <w:iCs/>
          <w:sz w:val="20"/>
          <w:szCs w:val="20"/>
        </w:rPr>
        <w:t>"</w:t>
      </w:r>
      <w:r w:rsidRPr="000201A3">
        <w:rPr>
          <w:rFonts w:asciiTheme="majorHAnsi" w:eastAsia="Arial" w:hAnsiTheme="majorHAnsi" w:cs="Arial"/>
          <w:b/>
          <w:bCs/>
          <w:i/>
          <w:iCs/>
          <w:sz w:val="20"/>
          <w:szCs w:val="20"/>
        </w:rPr>
        <w:t>Monument to the Murdered and Disappeared</w:t>
      </w:r>
      <w:r w:rsidRPr="000201A3">
        <w:rPr>
          <w:rFonts w:asciiTheme="majorHAnsi" w:eastAsia="Arial" w:hAnsiTheme="majorHAnsi" w:cs="Arial"/>
          <w:i/>
          <w:iCs/>
          <w:sz w:val="20"/>
          <w:szCs w:val="20"/>
        </w:rPr>
        <w:t xml:space="preserve">” </w:t>
      </w:r>
      <w:r w:rsidRPr="000201A3">
        <w:rPr>
          <w:rFonts w:asciiTheme="majorHAnsi" w:eastAsia="Arial" w:hAnsiTheme="majorHAnsi" w:cs="Arial"/>
          <w:sz w:val="20"/>
          <w:szCs w:val="20"/>
        </w:rPr>
        <w:t xml:space="preserve">in memory of all the victims of murder and forced disappearance at the hands of the military dictatorship and will ensure the necessary resources in advance of the tender for that purpose. </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To that end, it is suggested that the list of costs that was prepared together with the technical specifications presented by the winning designer be taken into account, which shall also be reanalyzed and reviewed.</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Theme="minorEastAsia" w:hAnsiTheme="majorHAnsi" w:cs="Arial"/>
          <w:b/>
          <w:sz w:val="20"/>
          <w:szCs w:val="20"/>
        </w:rPr>
      </w:pPr>
      <w:r w:rsidRPr="000201A3">
        <w:rPr>
          <w:rFonts w:asciiTheme="majorHAnsi" w:eastAsia="Arial" w:hAnsiTheme="majorHAnsi" w:cs="Arial"/>
          <w:sz w:val="20"/>
          <w:szCs w:val="20"/>
        </w:rPr>
        <w:t xml:space="preserve">The parties also acknowledge that the site where said monument will be built is </w:t>
      </w:r>
      <w:proofErr w:type="spellStart"/>
      <w:r w:rsidRPr="00365EEA">
        <w:rPr>
          <w:rFonts w:asciiTheme="majorHAnsi" w:eastAsia="Arial" w:hAnsiTheme="majorHAnsi" w:cs="Arial"/>
          <w:i/>
          <w:sz w:val="20"/>
          <w:szCs w:val="20"/>
        </w:rPr>
        <w:t>Parque</w:t>
      </w:r>
      <w:proofErr w:type="spellEnd"/>
      <w:r w:rsidRPr="00365EEA">
        <w:rPr>
          <w:rFonts w:asciiTheme="majorHAnsi" w:eastAsia="Arial" w:hAnsiTheme="majorHAnsi" w:cs="Arial"/>
          <w:i/>
          <w:sz w:val="20"/>
          <w:szCs w:val="20"/>
        </w:rPr>
        <w:t xml:space="preserve"> La Poinciana</w:t>
      </w:r>
      <w:r w:rsidRPr="000201A3">
        <w:rPr>
          <w:rFonts w:asciiTheme="majorHAnsi" w:eastAsia="Arial" w:hAnsiTheme="majorHAnsi" w:cs="Arial"/>
          <w:sz w:val="20"/>
          <w:szCs w:val="20"/>
        </w:rPr>
        <w:t xml:space="preserve">, located at </w:t>
      </w:r>
      <w:proofErr w:type="spellStart"/>
      <w:r w:rsidRPr="000201A3">
        <w:rPr>
          <w:rFonts w:asciiTheme="majorHAnsi" w:eastAsia="Arial" w:hAnsiTheme="majorHAnsi" w:cs="Arial"/>
          <w:sz w:val="20"/>
          <w:szCs w:val="20"/>
        </w:rPr>
        <w:t>Calle</w:t>
      </w:r>
      <w:proofErr w:type="spellEnd"/>
      <w:r w:rsidRPr="000201A3">
        <w:rPr>
          <w:rFonts w:asciiTheme="majorHAnsi" w:eastAsia="Arial" w:hAnsiTheme="majorHAnsi" w:cs="Arial"/>
          <w:sz w:val="20"/>
          <w:szCs w:val="20"/>
        </w:rPr>
        <w:t xml:space="preserve"> Arnoldo Walker and </w:t>
      </w:r>
      <w:proofErr w:type="spellStart"/>
      <w:r w:rsidRPr="000201A3">
        <w:rPr>
          <w:rFonts w:asciiTheme="majorHAnsi" w:eastAsia="Arial" w:hAnsiTheme="majorHAnsi" w:cs="Arial"/>
          <w:sz w:val="20"/>
          <w:szCs w:val="20"/>
        </w:rPr>
        <w:t>Calle</w:t>
      </w:r>
      <w:proofErr w:type="spellEnd"/>
      <w:r w:rsidRPr="000201A3">
        <w:rPr>
          <w:rFonts w:asciiTheme="majorHAnsi" w:eastAsia="Arial" w:hAnsiTheme="majorHAnsi" w:cs="Arial"/>
          <w:sz w:val="20"/>
          <w:szCs w:val="20"/>
        </w:rPr>
        <w:t xml:space="preserve"> Rafael </w:t>
      </w:r>
      <w:proofErr w:type="spellStart"/>
      <w:r w:rsidRPr="000201A3">
        <w:rPr>
          <w:rFonts w:asciiTheme="majorHAnsi" w:eastAsia="Arial" w:hAnsiTheme="majorHAnsi" w:cs="Arial"/>
          <w:sz w:val="20"/>
          <w:szCs w:val="20"/>
        </w:rPr>
        <w:t>Alemán</w:t>
      </w:r>
      <w:proofErr w:type="spellEnd"/>
      <w:r w:rsidRPr="000201A3">
        <w:rPr>
          <w:rFonts w:asciiTheme="majorHAnsi" w:eastAsia="Arial" w:hAnsiTheme="majorHAnsi" w:cs="Arial"/>
          <w:sz w:val="20"/>
          <w:szCs w:val="20"/>
        </w:rPr>
        <w:t xml:space="preserve"> in the district of </w:t>
      </w:r>
      <w:proofErr w:type="spellStart"/>
      <w:r w:rsidRPr="000201A3">
        <w:rPr>
          <w:rFonts w:asciiTheme="majorHAnsi" w:eastAsia="Arial" w:hAnsiTheme="majorHAnsi" w:cs="Arial"/>
          <w:sz w:val="20"/>
          <w:szCs w:val="20"/>
        </w:rPr>
        <w:t>Ancón</w:t>
      </w:r>
      <w:proofErr w:type="spellEnd"/>
      <w:r w:rsidRPr="000201A3">
        <w:rPr>
          <w:rFonts w:asciiTheme="majorHAnsi" w:eastAsia="Arial" w:hAnsiTheme="majorHAnsi" w:cs="Arial"/>
          <w:sz w:val="20"/>
          <w:szCs w:val="20"/>
        </w:rPr>
        <w:t>, said site having been duly granted by the Office of the Mayor of Panama.</w:t>
      </w:r>
    </w:p>
    <w:p w:rsidR="00372982" w:rsidRPr="000201A3" w:rsidRDefault="00372982" w:rsidP="00372982">
      <w:pPr>
        <w:ind w:left="720" w:right="720"/>
        <w:jc w:val="both"/>
        <w:rPr>
          <w:rFonts w:asciiTheme="majorHAnsi" w:hAnsiTheme="majorHAnsi" w:cs="Arial"/>
          <w:b/>
          <w:sz w:val="20"/>
          <w:szCs w:val="20"/>
        </w:rPr>
      </w:pPr>
    </w:p>
    <w:p w:rsidR="00372982" w:rsidRPr="000201A3" w:rsidRDefault="00372982" w:rsidP="00372982">
      <w:pPr>
        <w:pStyle w:val="ListParagraph"/>
        <w:numPr>
          <w:ilvl w:val="1"/>
          <w:numId w:val="110"/>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b/>
          <w:color w:val="auto"/>
          <w:sz w:val="20"/>
          <w:szCs w:val="20"/>
        </w:rPr>
      </w:pPr>
      <w:r w:rsidRPr="000201A3">
        <w:rPr>
          <w:rFonts w:asciiTheme="majorHAnsi" w:hAnsiTheme="majorHAnsi" w:cs="Arial"/>
          <w:b/>
          <w:bCs/>
          <w:color w:val="auto"/>
          <w:sz w:val="20"/>
          <w:szCs w:val="20"/>
        </w:rPr>
        <w:t>Public Pronouncement on the Facts</w:t>
      </w:r>
      <w:r w:rsidRPr="000201A3">
        <w:rPr>
          <w:rFonts w:asciiTheme="majorHAnsi" w:hAnsiTheme="majorHAnsi" w:cs="Arial"/>
          <w:color w:val="auto"/>
          <w:sz w:val="20"/>
          <w:szCs w:val="20"/>
        </w:rPr>
        <w:t xml:space="preserve"> </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lastRenderedPageBreak/>
        <w:t xml:space="preserve">The State will hold a public act of apology and acknowledgment of international responsibility in order to accept its responsibility as State for the acts that occurred. In that act, an apology will be offered to the COFADEPA.HG family members for the facts alleged before the Inter-American Commission on Human Rights. </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 xml:space="preserve">The act will be held in </w:t>
      </w:r>
      <w:r w:rsidR="00365EEA">
        <w:rPr>
          <w:rFonts w:asciiTheme="majorHAnsi" w:eastAsia="Arial" w:hAnsiTheme="majorHAnsi" w:cs="Arial"/>
          <w:sz w:val="20"/>
          <w:szCs w:val="20"/>
        </w:rPr>
        <w:t>Panama City in the presence of S</w:t>
      </w:r>
      <w:r w:rsidRPr="000201A3">
        <w:rPr>
          <w:rFonts w:asciiTheme="majorHAnsi" w:eastAsia="Arial" w:hAnsiTheme="majorHAnsi" w:cs="Arial"/>
          <w:sz w:val="20"/>
          <w:szCs w:val="20"/>
        </w:rPr>
        <w:t>tate authorities, COFADEPA.HG family members, and any COFADECHI family members that wish to attend.</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The State shall publish the public pronouncement in a nationally distributed daily newspaper and in the Official Gazette, as well as providing a copy to each of the petitioners belonging to COFADEPA.HG in the Friendly Settlement Agreement.</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 xml:space="preserve">The parties agree that the act of public pronouncement will be one of the last activities to be carried out and its coordination and organization will be consulted with the victims' families. </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pStyle w:val="ListParagraph"/>
        <w:numPr>
          <w:ilvl w:val="1"/>
          <w:numId w:val="110"/>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eastAsia="Arial" w:hAnsiTheme="majorHAnsi" w:cs="Arial"/>
          <w:b/>
          <w:color w:val="auto"/>
          <w:sz w:val="20"/>
          <w:szCs w:val="20"/>
        </w:rPr>
      </w:pPr>
      <w:r w:rsidRPr="000201A3">
        <w:rPr>
          <w:rFonts w:asciiTheme="majorHAnsi" w:eastAsia="Arial" w:hAnsiTheme="majorHAnsi" w:cs="Arial"/>
          <w:b/>
          <w:bCs/>
          <w:color w:val="auto"/>
          <w:sz w:val="20"/>
          <w:szCs w:val="20"/>
        </w:rPr>
        <w:t>Law Creating the Category of Disappeared Person</w:t>
      </w:r>
      <w:r w:rsidRPr="000201A3">
        <w:rPr>
          <w:rFonts w:asciiTheme="majorHAnsi" w:eastAsia="Arial" w:hAnsiTheme="majorHAnsi" w:cs="Arial"/>
          <w:color w:val="auto"/>
          <w:sz w:val="20"/>
          <w:szCs w:val="20"/>
        </w:rPr>
        <w:t xml:space="preserve"> </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 xml:space="preserve">The Republic of Panama is a party to the Inter-American Convention on Forced Disappearance of Persons and when that convention it entered into force, the Panamanian State assumed the obligation to take legislative, administrative, judicial, and any other measures necessary to comply with the commitments undertaken therein. </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autoSpaceDE w:val="0"/>
        <w:autoSpaceDN w:val="0"/>
        <w:adjustRightInd w:val="0"/>
        <w:ind w:left="720" w:right="720"/>
        <w:jc w:val="both"/>
        <w:rPr>
          <w:rFonts w:asciiTheme="majorHAnsi" w:eastAsiaTheme="minorHAnsi" w:hAnsiTheme="majorHAnsi" w:cs="Arial"/>
          <w:sz w:val="20"/>
          <w:szCs w:val="20"/>
        </w:rPr>
      </w:pPr>
      <w:r w:rsidRPr="000201A3">
        <w:rPr>
          <w:rFonts w:asciiTheme="majorHAnsi" w:eastAsiaTheme="minorHAnsi" w:hAnsiTheme="majorHAnsi" w:cs="Arial"/>
          <w:sz w:val="20"/>
          <w:szCs w:val="20"/>
        </w:rPr>
        <w:t>In compliance with the foregoing, the State, through the Electoral Tribunal, will introduce regulations on the creation of the category of "disappeared person” exclusively for the victims of the military dictatorship (1968-1989) registered in Report on Admissibility No. 68/15 of October 27, 2015, Report No. 34/06 of March 14, 2006, and the judgment of the Inter-American Court of Human Rights adopted on August 12, 2008, so that their death may be registered and the cause of death recorded as forced disappearance.</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eastAsiaTheme="minorEastAsia" w:hAnsiTheme="majorHAnsi" w:cs="Arial"/>
          <w:b/>
          <w:color w:val="auto"/>
          <w:sz w:val="20"/>
          <w:szCs w:val="20"/>
        </w:rPr>
      </w:pPr>
      <w:r w:rsidRPr="000201A3">
        <w:rPr>
          <w:rFonts w:asciiTheme="majorHAnsi" w:hAnsiTheme="majorHAnsi" w:cs="Arial"/>
          <w:b/>
          <w:bCs/>
          <w:color w:val="auto"/>
          <w:sz w:val="20"/>
          <w:szCs w:val="20"/>
        </w:rPr>
        <w:t>Measures of Justice</w:t>
      </w:r>
    </w:p>
    <w:p w:rsidR="00372982" w:rsidRPr="000201A3" w:rsidRDefault="00372982" w:rsidP="00372982">
      <w:pPr>
        <w:pStyle w:val="ListParagraph"/>
        <w:ind w:right="720"/>
        <w:jc w:val="both"/>
        <w:rPr>
          <w:rFonts w:asciiTheme="majorHAnsi" w:hAnsiTheme="majorHAnsi" w:cs="Arial"/>
          <w:b/>
          <w:color w:val="auto"/>
          <w:sz w:val="20"/>
          <w:szCs w:val="20"/>
        </w:rPr>
      </w:pPr>
    </w:p>
    <w:p w:rsidR="00372982" w:rsidRPr="000201A3" w:rsidRDefault="00372982" w:rsidP="00372982">
      <w:pPr>
        <w:pStyle w:val="ListParagraph"/>
        <w:numPr>
          <w:ilvl w:val="1"/>
          <w:numId w:val="110"/>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hAnsiTheme="majorHAnsi" w:cs="Arial"/>
          <w:b/>
          <w:color w:val="auto"/>
          <w:sz w:val="20"/>
          <w:szCs w:val="20"/>
        </w:rPr>
      </w:pPr>
      <w:r w:rsidRPr="000201A3">
        <w:rPr>
          <w:rFonts w:asciiTheme="majorHAnsi" w:hAnsiTheme="majorHAnsi" w:cs="Arial"/>
          <w:b/>
          <w:bCs/>
          <w:color w:val="auto"/>
          <w:sz w:val="20"/>
          <w:szCs w:val="20"/>
        </w:rPr>
        <w:t>Investigation and punishment of those responsible</w:t>
      </w:r>
      <w:r w:rsidRPr="000201A3">
        <w:rPr>
          <w:rFonts w:asciiTheme="majorHAnsi" w:hAnsiTheme="majorHAnsi" w:cs="Arial"/>
          <w:color w:val="auto"/>
          <w:sz w:val="20"/>
          <w:szCs w:val="20"/>
        </w:rPr>
        <w:t xml:space="preserve"> </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autoSpaceDE w:val="0"/>
        <w:autoSpaceDN w:val="0"/>
        <w:ind w:left="720" w:right="720"/>
        <w:jc w:val="both"/>
        <w:rPr>
          <w:rFonts w:asciiTheme="majorHAnsi" w:hAnsiTheme="majorHAnsi" w:cs="Arial"/>
          <w:iCs/>
          <w:sz w:val="20"/>
          <w:szCs w:val="20"/>
        </w:rPr>
      </w:pPr>
      <w:r w:rsidRPr="000201A3">
        <w:rPr>
          <w:rFonts w:asciiTheme="majorHAnsi" w:hAnsiTheme="majorHAnsi" w:cs="Arial"/>
          <w:sz w:val="20"/>
          <w:szCs w:val="20"/>
        </w:rPr>
        <w:t xml:space="preserve">The State undertakes to effectively pursue to their legal conclusion all ongoing criminal proceedings to establish appropriate responsibilities for the facts, ensuring that the Constitution and the laws of the Republic are observed and that fundamental rights and freedoms are protected. The foregoing entails the elimination of the </w:t>
      </w:r>
      <w:r w:rsidRPr="000201A3">
        <w:rPr>
          <w:rFonts w:asciiTheme="majorHAnsi" w:hAnsiTheme="majorHAnsi" w:cs="Arial"/>
          <w:i/>
          <w:iCs/>
          <w:sz w:val="20"/>
          <w:szCs w:val="20"/>
        </w:rPr>
        <w:t xml:space="preserve">de facto </w:t>
      </w:r>
      <w:r w:rsidRPr="000201A3">
        <w:rPr>
          <w:rFonts w:asciiTheme="majorHAnsi" w:hAnsiTheme="majorHAnsi" w:cs="Arial"/>
          <w:sz w:val="20"/>
          <w:szCs w:val="20"/>
        </w:rPr>
        <w:t xml:space="preserve">and </w:t>
      </w:r>
      <w:r w:rsidRPr="000201A3">
        <w:rPr>
          <w:rFonts w:asciiTheme="majorHAnsi" w:hAnsiTheme="majorHAnsi" w:cs="Arial"/>
          <w:i/>
          <w:iCs/>
          <w:sz w:val="20"/>
          <w:szCs w:val="20"/>
        </w:rPr>
        <w:t xml:space="preserve">de jure </w:t>
      </w:r>
      <w:r w:rsidRPr="000201A3">
        <w:rPr>
          <w:rFonts w:asciiTheme="majorHAnsi" w:hAnsiTheme="majorHAnsi" w:cs="Arial"/>
          <w:sz w:val="20"/>
          <w:szCs w:val="20"/>
        </w:rPr>
        <w:t>obstacles and mechanisms preventing compliance with those obligations, so that the available measures under domestic law can be utilized.</w:t>
      </w:r>
    </w:p>
    <w:p w:rsidR="00372982" w:rsidRPr="000201A3" w:rsidRDefault="00372982" w:rsidP="00372982">
      <w:pPr>
        <w:autoSpaceDE w:val="0"/>
        <w:autoSpaceDN w:val="0"/>
        <w:ind w:left="720" w:right="720"/>
        <w:jc w:val="both"/>
        <w:rPr>
          <w:rFonts w:asciiTheme="majorHAnsi" w:eastAsiaTheme="minorEastAsia" w:hAnsiTheme="majorHAnsi" w:cstheme="minorBidi"/>
          <w:sz w:val="20"/>
          <w:szCs w:val="20"/>
        </w:rPr>
      </w:pPr>
    </w:p>
    <w:p w:rsidR="00372982" w:rsidRPr="000201A3" w:rsidRDefault="00372982" w:rsidP="00372982">
      <w:pPr>
        <w:ind w:left="720" w:right="720"/>
        <w:jc w:val="both"/>
        <w:rPr>
          <w:rFonts w:asciiTheme="majorHAnsi" w:hAnsiTheme="majorHAnsi" w:cs="Arial"/>
          <w:iCs/>
          <w:sz w:val="20"/>
          <w:szCs w:val="20"/>
        </w:rPr>
      </w:pPr>
      <w:r w:rsidRPr="000201A3">
        <w:rPr>
          <w:rFonts w:asciiTheme="majorHAnsi" w:hAnsiTheme="majorHAnsi" w:cs="Arial"/>
          <w:sz w:val="20"/>
          <w:szCs w:val="20"/>
        </w:rPr>
        <w:t>In addition, the State undertakes, through the office of the Attorney General of the Nation, to coordinate with the prosecutors' offices in different judicial districts in order to deal with the utmost responsibility and promptness all procedures arising from the cases connected with the military dictatorship.</w:t>
      </w:r>
    </w:p>
    <w:p w:rsidR="00372982" w:rsidRPr="000201A3" w:rsidRDefault="00372982" w:rsidP="00372982">
      <w:pPr>
        <w:ind w:left="720" w:right="720"/>
        <w:jc w:val="both"/>
        <w:rPr>
          <w:rFonts w:asciiTheme="majorHAnsi" w:hAnsiTheme="majorHAnsi"/>
          <w:sz w:val="20"/>
          <w:szCs w:val="20"/>
        </w:rPr>
      </w:pPr>
    </w:p>
    <w:p w:rsidR="00372982" w:rsidRPr="000201A3" w:rsidRDefault="00372982" w:rsidP="00372982">
      <w:pPr>
        <w:pStyle w:val="ListParagraph"/>
        <w:numPr>
          <w:ilvl w:val="1"/>
          <w:numId w:val="110"/>
        </w:numPr>
        <w:pBdr>
          <w:top w:val="none" w:sz="0" w:space="0" w:color="auto"/>
          <w:left w:val="none" w:sz="0" w:space="0" w:color="auto"/>
          <w:bottom w:val="none" w:sz="0" w:space="0" w:color="auto"/>
          <w:right w:val="none" w:sz="0" w:space="0" w:color="auto"/>
          <w:between w:val="none" w:sz="0" w:space="0" w:color="auto"/>
          <w:bar w:val="none" w:sz="0" w:color="auto"/>
        </w:pBdr>
        <w:ind w:right="720" w:firstLine="0"/>
        <w:contextualSpacing/>
        <w:jc w:val="both"/>
        <w:rPr>
          <w:rFonts w:asciiTheme="majorHAnsi" w:eastAsia="Arial" w:hAnsiTheme="majorHAnsi" w:cs="Arial"/>
          <w:b/>
          <w:color w:val="auto"/>
          <w:sz w:val="20"/>
          <w:szCs w:val="20"/>
        </w:rPr>
      </w:pPr>
      <w:r w:rsidRPr="000201A3">
        <w:rPr>
          <w:rFonts w:asciiTheme="majorHAnsi" w:eastAsia="Arial" w:hAnsiTheme="majorHAnsi" w:cs="Arial"/>
          <w:b/>
          <w:bCs/>
          <w:color w:val="auto"/>
          <w:sz w:val="20"/>
          <w:szCs w:val="20"/>
        </w:rPr>
        <w:t>Bone DNA analysis</w:t>
      </w:r>
    </w:p>
    <w:p w:rsidR="00372982" w:rsidRPr="000201A3" w:rsidRDefault="00372982" w:rsidP="00372982">
      <w:pPr>
        <w:ind w:left="720" w:right="720"/>
        <w:jc w:val="both"/>
        <w:rPr>
          <w:rFonts w:asciiTheme="majorHAnsi" w:eastAsia="Arial" w:hAnsiTheme="majorHAnsi" w:cs="Arial"/>
          <w:b/>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The parties acknowledge that the skeletal remains of the following persons were successfully identified and delivered to their families: BETTZY MENDIZABAL, HIPÓLITO QUINTERO DELGADO, REYNALDO SÁNCHEZ, EVER QUINTANAR GUZMÁN, GERARDO OLIVARES and GERÓNIMO DÍAZ.</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 xml:space="preserve">The State undertakes, through the Institute of Legal Medicine and Forensic Sciences, to continue the work of analysis and identification of the skeletal remains in the custody of that institution, to which end the State shall, to the extent possible, provide it with the necessary </w:t>
      </w:r>
      <w:r w:rsidRPr="000201A3">
        <w:rPr>
          <w:rFonts w:asciiTheme="majorHAnsi" w:eastAsia="Arial" w:hAnsiTheme="majorHAnsi" w:cs="Arial"/>
          <w:sz w:val="20"/>
          <w:szCs w:val="20"/>
        </w:rPr>
        <w:lastRenderedPageBreak/>
        <w:t>budget to purchase the inputs and hire the expert personnel to enable it to perform its functions properly.</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Theme="minorHAnsi" w:hAnsiTheme="majorHAnsi" w:cs="Arial"/>
          <w:sz w:val="20"/>
          <w:szCs w:val="20"/>
        </w:rPr>
      </w:pPr>
      <w:r w:rsidRPr="000201A3">
        <w:rPr>
          <w:rFonts w:asciiTheme="majorHAnsi" w:hAnsiTheme="majorHAnsi" w:cs="Arial"/>
          <w:sz w:val="20"/>
          <w:szCs w:val="20"/>
        </w:rPr>
        <w:t xml:space="preserve">The Institute of Legal Medicine and Forensic Sciences shall adopt decisive measures to make substantive progress, so that within a reasonable time the skeletal remains of the victims are identified for their families and the </w:t>
      </w:r>
      <w:r w:rsidRPr="000201A3">
        <w:rPr>
          <w:rFonts w:asciiTheme="majorHAnsi" w:eastAsiaTheme="minorHAnsi" w:hAnsiTheme="majorHAnsi" w:cs="Arial"/>
          <w:sz w:val="20"/>
          <w:szCs w:val="20"/>
        </w:rPr>
        <w:t>medico-legal documents used for civil registration procedures are prepared.</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eastAsiaTheme="minorEastAsia" w:hAnsiTheme="majorHAnsi" w:cs="Arial"/>
          <w:b/>
          <w:color w:val="auto"/>
          <w:sz w:val="20"/>
          <w:szCs w:val="20"/>
        </w:rPr>
      </w:pPr>
      <w:r w:rsidRPr="000201A3">
        <w:rPr>
          <w:rFonts w:asciiTheme="majorHAnsi" w:hAnsiTheme="majorHAnsi" w:cs="Arial"/>
          <w:b/>
          <w:bCs/>
          <w:color w:val="auto"/>
          <w:sz w:val="20"/>
          <w:szCs w:val="20"/>
        </w:rPr>
        <w:t>Implementation Schedule</w:t>
      </w:r>
      <w:r w:rsidRPr="000201A3">
        <w:rPr>
          <w:rFonts w:asciiTheme="majorHAnsi" w:hAnsiTheme="majorHAnsi" w:cs="Arial"/>
          <w:color w:val="auto"/>
          <w:sz w:val="20"/>
          <w:szCs w:val="20"/>
        </w:rPr>
        <w:t xml:space="preserve"> </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The State pledges to perform the obligations contained in this friendly settlement agreement within one (1) year of the signing of this agreement.</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eastAsia="Arial" w:hAnsiTheme="majorHAnsi" w:cs="Arial"/>
          <w:color w:val="auto"/>
          <w:sz w:val="20"/>
          <w:szCs w:val="20"/>
        </w:rPr>
      </w:pPr>
      <w:r w:rsidRPr="000201A3">
        <w:rPr>
          <w:rFonts w:asciiTheme="majorHAnsi" w:hAnsiTheme="majorHAnsi" w:cs="Arial"/>
          <w:b/>
          <w:bCs/>
          <w:color w:val="auto"/>
          <w:sz w:val="20"/>
          <w:szCs w:val="20"/>
        </w:rPr>
        <w:t>Approval and Follow-up</w:t>
      </w:r>
    </w:p>
    <w:p w:rsidR="00372982" w:rsidRPr="000201A3" w:rsidRDefault="00372982" w:rsidP="00372982">
      <w:pPr>
        <w:pStyle w:val="ListParagraph"/>
        <w:ind w:right="720"/>
        <w:jc w:val="both"/>
        <w:rPr>
          <w:rFonts w:asciiTheme="majorHAnsi" w:eastAsia="Arial" w:hAnsiTheme="majorHAnsi" w:cs="Arial"/>
          <w:color w:val="auto"/>
          <w:sz w:val="20"/>
          <w:szCs w:val="20"/>
        </w:rPr>
      </w:pPr>
      <w:r w:rsidRPr="000201A3">
        <w:rPr>
          <w:rFonts w:asciiTheme="majorHAnsi" w:eastAsia="Arial" w:hAnsiTheme="majorHAnsi" w:cs="Arial"/>
          <w:color w:val="auto"/>
          <w:sz w:val="20"/>
          <w:szCs w:val="20"/>
        </w:rPr>
        <w:t xml:space="preserve"> </w:t>
      </w: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 xml:space="preserve">The parties request the Inter-American Commission on Human Rights to approve this agreement. Once this agreement has been signed, the parties will present the document representing the friendly settlement agreement to the Inter-American Commission on Human Rights for its approval and publication in accordance with Articles 49 of the American Convention on Human Rights and 40(5) of the Rules of Procedure of the Inter-American Commission on Human Rights. </w:t>
      </w:r>
    </w:p>
    <w:p w:rsidR="00372982" w:rsidRPr="000201A3" w:rsidRDefault="00372982" w:rsidP="00372982">
      <w:pPr>
        <w:ind w:left="720" w:right="720"/>
        <w:jc w:val="both"/>
        <w:rPr>
          <w:rFonts w:asciiTheme="majorHAnsi" w:eastAsia="Arial" w:hAnsiTheme="majorHAnsi" w:cs="Arial"/>
          <w:b/>
          <w:sz w:val="20"/>
          <w:szCs w:val="20"/>
        </w:rPr>
      </w:pPr>
    </w:p>
    <w:p w:rsidR="00372982" w:rsidRPr="000201A3" w:rsidRDefault="00372982" w:rsidP="00372982">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eastAsiaTheme="minorEastAsia" w:hAnsiTheme="majorHAnsi" w:cs="Arial"/>
          <w:b/>
          <w:color w:val="auto"/>
          <w:sz w:val="20"/>
          <w:szCs w:val="20"/>
        </w:rPr>
      </w:pPr>
      <w:r w:rsidRPr="000201A3">
        <w:rPr>
          <w:rFonts w:asciiTheme="majorHAnsi" w:hAnsiTheme="majorHAnsi" w:cs="Arial"/>
          <w:b/>
          <w:bCs/>
          <w:color w:val="auto"/>
          <w:sz w:val="20"/>
          <w:szCs w:val="20"/>
        </w:rPr>
        <w:t>Publication and Completion of the Agreement</w:t>
      </w:r>
      <w:r w:rsidRPr="000201A3">
        <w:rPr>
          <w:rFonts w:asciiTheme="majorHAnsi" w:hAnsiTheme="majorHAnsi" w:cs="Arial"/>
          <w:color w:val="auto"/>
          <w:sz w:val="20"/>
          <w:szCs w:val="20"/>
        </w:rPr>
        <w:t xml:space="preserve"> </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 xml:space="preserve">The fulfillment and conclusion of the procedure before the Inter-American Commission on Human Rights shall be verified and accepted by the parties by means of an administrative act published in the Official Gazette of the Republic of Panama, indicating that the friendly settlement agreement between the parties has been substantially performed or, at a minimum, has begun to be implemented, such that it is unequivocally demonstrated that financial reparation for the pecuniary and non-pecuniary damage caused to the victims and to the petitioners and beneficiaries has been made, and that there is willingness on the part of the State to perform its obligations under the Agreement. </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pStyle w:val="ListParagraph"/>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eastAsiaTheme="minorEastAsia" w:hAnsiTheme="majorHAnsi" w:cs="Arial"/>
          <w:b/>
          <w:color w:val="auto"/>
          <w:sz w:val="20"/>
          <w:szCs w:val="20"/>
        </w:rPr>
      </w:pPr>
      <w:r w:rsidRPr="000201A3">
        <w:rPr>
          <w:rFonts w:asciiTheme="majorHAnsi" w:hAnsiTheme="majorHAnsi" w:cs="Arial"/>
          <w:b/>
          <w:bCs/>
          <w:color w:val="auto"/>
          <w:sz w:val="20"/>
          <w:szCs w:val="20"/>
        </w:rPr>
        <w:t>Supervision and Compliance</w:t>
      </w:r>
      <w:r w:rsidRPr="000201A3">
        <w:rPr>
          <w:rFonts w:asciiTheme="majorHAnsi" w:hAnsiTheme="majorHAnsi" w:cs="Arial"/>
          <w:color w:val="auto"/>
          <w:sz w:val="20"/>
          <w:szCs w:val="20"/>
        </w:rPr>
        <w:t xml:space="preserve"> </w:t>
      </w:r>
    </w:p>
    <w:p w:rsidR="00372982" w:rsidRPr="000201A3" w:rsidRDefault="00372982" w:rsidP="00372982">
      <w:pPr>
        <w:ind w:left="720" w:right="720"/>
        <w:jc w:val="both"/>
        <w:rPr>
          <w:rFonts w:asciiTheme="majorHAnsi" w:eastAsia="Arial" w:hAnsiTheme="majorHAnsi" w:cs="Arial"/>
          <w:sz w:val="20"/>
          <w:szCs w:val="20"/>
        </w:rPr>
      </w:pPr>
    </w:p>
    <w:p w:rsidR="00372982" w:rsidRPr="000201A3" w:rsidRDefault="00372982" w:rsidP="00372982">
      <w:pPr>
        <w:ind w:left="720" w:right="720"/>
        <w:jc w:val="both"/>
        <w:rPr>
          <w:rFonts w:asciiTheme="majorHAnsi" w:eastAsia="Arial" w:hAnsiTheme="majorHAnsi" w:cs="Arial"/>
          <w:sz w:val="20"/>
          <w:szCs w:val="20"/>
        </w:rPr>
      </w:pPr>
      <w:r w:rsidRPr="000201A3">
        <w:rPr>
          <w:rFonts w:asciiTheme="majorHAnsi" w:eastAsia="Arial" w:hAnsiTheme="majorHAnsi" w:cs="Arial"/>
          <w:sz w:val="20"/>
          <w:szCs w:val="20"/>
        </w:rPr>
        <w:t>The parties request the Inter-American Commission on Human Rights to continue to monitor compliance with those points of this agreement whose performance remains pending after the adoption of the approval report, either by requesting compliance reports or by holding periodic meetings with the parties.</w:t>
      </w:r>
    </w:p>
    <w:p w:rsidR="00372982" w:rsidRPr="000201A3" w:rsidRDefault="00372982" w:rsidP="00372982">
      <w:pPr>
        <w:ind w:left="720" w:right="720"/>
        <w:jc w:val="right"/>
        <w:rPr>
          <w:rFonts w:asciiTheme="majorHAnsi" w:eastAsia="Arial" w:hAnsiTheme="majorHAnsi" w:cs="Arial"/>
          <w:sz w:val="20"/>
          <w:szCs w:val="20"/>
        </w:rPr>
      </w:pPr>
    </w:p>
    <w:p w:rsidR="00372982" w:rsidRPr="000201A3" w:rsidRDefault="00372982" w:rsidP="00372982">
      <w:pPr>
        <w:ind w:left="720" w:right="720"/>
        <w:jc w:val="right"/>
        <w:rPr>
          <w:rFonts w:asciiTheme="majorHAnsi" w:eastAsia="Arial" w:hAnsiTheme="majorHAnsi" w:cs="Arial"/>
          <w:sz w:val="20"/>
          <w:szCs w:val="20"/>
          <w:shd w:val="clear" w:color="auto" w:fill="FFFF00"/>
        </w:rPr>
      </w:pPr>
      <w:r w:rsidRPr="000201A3">
        <w:rPr>
          <w:rFonts w:asciiTheme="majorHAnsi" w:eastAsia="Arial" w:hAnsiTheme="majorHAnsi" w:cs="Arial"/>
          <w:sz w:val="20"/>
          <w:szCs w:val="20"/>
        </w:rPr>
        <w:t xml:space="preserve">Panama City, June 21, 2019. </w:t>
      </w:r>
    </w:p>
    <w:p w:rsidR="00372982" w:rsidRPr="000201A3" w:rsidRDefault="00372982" w:rsidP="00372982">
      <w:pPr>
        <w:tabs>
          <w:tab w:val="center" w:pos="5400"/>
        </w:tabs>
        <w:suppressAutoHyphens/>
        <w:jc w:val="both"/>
        <w:rPr>
          <w:rFonts w:asciiTheme="majorHAnsi" w:eastAsia="MS Mincho" w:hAnsiTheme="majorHAnsi"/>
          <w:sz w:val="20"/>
          <w:szCs w:val="20"/>
        </w:rPr>
      </w:pPr>
    </w:p>
    <w:p w:rsidR="00372982" w:rsidRPr="000201A3" w:rsidRDefault="00372982" w:rsidP="00372982">
      <w:pPr>
        <w:tabs>
          <w:tab w:val="center" w:pos="5400"/>
        </w:tabs>
        <w:suppressAutoHyphens/>
        <w:jc w:val="both"/>
        <w:rPr>
          <w:rFonts w:asciiTheme="majorHAnsi" w:eastAsia="MS Mincho" w:hAnsiTheme="majorHAnsi"/>
          <w:sz w:val="20"/>
          <w:szCs w:val="20"/>
        </w:rPr>
      </w:pPr>
    </w:p>
    <w:p w:rsidR="00372982" w:rsidRPr="000201A3" w:rsidRDefault="00372982" w:rsidP="00372982">
      <w:pPr>
        <w:tabs>
          <w:tab w:val="left" w:pos="180"/>
          <w:tab w:val="left" w:pos="1440"/>
          <w:tab w:val="center" w:pos="5400"/>
        </w:tabs>
        <w:suppressAutoHyphens/>
        <w:ind w:left="720" w:right="720"/>
        <w:jc w:val="center"/>
        <w:rPr>
          <w:rFonts w:asciiTheme="majorHAnsi" w:eastAsia="MS Mincho" w:hAnsiTheme="majorHAnsi"/>
          <w:b/>
          <w:sz w:val="20"/>
          <w:szCs w:val="20"/>
        </w:rPr>
      </w:pPr>
      <w:r w:rsidRPr="000201A3">
        <w:rPr>
          <w:rFonts w:asciiTheme="majorHAnsi" w:eastAsia="MS Mincho" w:hAnsiTheme="majorHAnsi"/>
          <w:b/>
          <w:bCs/>
          <w:sz w:val="20"/>
          <w:szCs w:val="20"/>
        </w:rPr>
        <w:t>ANNEX A</w:t>
      </w:r>
    </w:p>
    <w:p w:rsidR="00372982" w:rsidRPr="000201A3" w:rsidRDefault="00372982" w:rsidP="00372982">
      <w:pPr>
        <w:tabs>
          <w:tab w:val="left" w:pos="180"/>
          <w:tab w:val="left" w:pos="1440"/>
          <w:tab w:val="center" w:pos="5400"/>
        </w:tabs>
        <w:suppressAutoHyphens/>
        <w:ind w:left="720" w:right="720"/>
        <w:jc w:val="center"/>
        <w:rPr>
          <w:rFonts w:asciiTheme="majorHAnsi" w:eastAsia="MS Mincho" w:hAnsiTheme="majorHAnsi"/>
          <w:b/>
          <w:sz w:val="20"/>
          <w:szCs w:val="20"/>
        </w:rPr>
      </w:pPr>
      <w:r w:rsidRPr="000201A3">
        <w:rPr>
          <w:rFonts w:asciiTheme="majorHAnsi" w:eastAsia="MS Mincho" w:hAnsiTheme="majorHAnsi"/>
          <w:sz w:val="20"/>
          <w:szCs w:val="20"/>
        </w:rPr>
        <w:t xml:space="preserve"> </w:t>
      </w:r>
      <w:r w:rsidRPr="000201A3">
        <w:rPr>
          <w:rFonts w:asciiTheme="majorHAnsi" w:eastAsia="MS Mincho" w:hAnsiTheme="majorHAnsi"/>
          <w:b/>
          <w:bCs/>
          <w:sz w:val="20"/>
          <w:szCs w:val="20"/>
        </w:rPr>
        <w:t>CASE 13.017 A, FAMILIES OF VICTIMS OF THE MILITARY DICTATORSHIP, OCTOBER 1968 TO DECEMBER 1989</w:t>
      </w:r>
    </w:p>
    <w:p w:rsidR="00372982" w:rsidRPr="00365EEA" w:rsidRDefault="00372982" w:rsidP="00372982">
      <w:pPr>
        <w:tabs>
          <w:tab w:val="left" w:pos="180"/>
          <w:tab w:val="left" w:pos="1440"/>
          <w:tab w:val="center" w:pos="5400"/>
        </w:tabs>
        <w:suppressAutoHyphens/>
        <w:ind w:left="720" w:right="720"/>
        <w:jc w:val="center"/>
        <w:rPr>
          <w:rFonts w:asciiTheme="majorHAnsi" w:eastAsia="MS Mincho" w:hAnsiTheme="majorHAnsi"/>
          <w:b/>
          <w:sz w:val="20"/>
          <w:szCs w:val="20"/>
        </w:rPr>
      </w:pPr>
      <w:r w:rsidRPr="00365EEA">
        <w:rPr>
          <w:rFonts w:asciiTheme="majorHAnsi" w:hAnsiTheme="majorHAnsi"/>
          <w:b/>
          <w:sz w:val="20"/>
          <w:szCs w:val="20"/>
        </w:rPr>
        <w:t>List of Victims and Their Family Members</w:t>
      </w:r>
    </w:p>
    <w:p w:rsidR="00372982" w:rsidRPr="00365EEA" w:rsidRDefault="00372982" w:rsidP="00372982">
      <w:pPr>
        <w:tabs>
          <w:tab w:val="center" w:pos="5400"/>
        </w:tabs>
        <w:suppressAutoHyphens/>
        <w:jc w:val="both"/>
        <w:rPr>
          <w:rFonts w:asciiTheme="majorHAnsi" w:eastAsia="MS Mincho" w:hAnsiTheme="majorHAnsi"/>
          <w:b/>
          <w:sz w:val="20"/>
          <w:szCs w:val="20"/>
        </w:rPr>
      </w:pPr>
    </w:p>
    <w:tbl>
      <w:tblPr>
        <w:tblW w:w="8492" w:type="dxa"/>
        <w:jc w:val="center"/>
        <w:tblCellMar>
          <w:left w:w="70" w:type="dxa"/>
          <w:right w:w="70" w:type="dxa"/>
        </w:tblCellMar>
        <w:tblLook w:val="04A0" w:firstRow="1" w:lastRow="0" w:firstColumn="1" w:lastColumn="0" w:noHBand="0" w:noVBand="1"/>
      </w:tblPr>
      <w:tblGrid>
        <w:gridCol w:w="450"/>
        <w:gridCol w:w="1614"/>
        <w:gridCol w:w="1156"/>
        <w:gridCol w:w="2932"/>
        <w:gridCol w:w="1880"/>
        <w:gridCol w:w="460"/>
      </w:tblGrid>
      <w:tr w:rsidR="00372982" w:rsidRPr="000201A3" w:rsidTr="00766242">
        <w:trPr>
          <w:trHeight w:val="900"/>
          <w:jc w:val="center"/>
        </w:trPr>
        <w:tc>
          <w:tcPr>
            <w:tcW w:w="450" w:type="dxa"/>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372982" w:rsidRPr="000201A3" w:rsidRDefault="00372982" w:rsidP="000D61BB">
            <w:pPr>
              <w:jc w:val="center"/>
              <w:rPr>
                <w:rFonts w:asciiTheme="majorHAnsi" w:eastAsia="Times New Roman" w:hAnsiTheme="majorHAnsi"/>
                <w:b/>
                <w:bCs/>
                <w:sz w:val="18"/>
                <w:szCs w:val="18"/>
              </w:rPr>
            </w:pPr>
            <w:r w:rsidRPr="000201A3">
              <w:rPr>
                <w:rFonts w:asciiTheme="majorHAnsi" w:eastAsia="Times New Roman" w:hAnsiTheme="majorHAnsi"/>
                <w:b/>
                <w:bCs/>
                <w:sz w:val="18"/>
                <w:szCs w:val="18"/>
              </w:rPr>
              <w:t>No.</w:t>
            </w:r>
          </w:p>
        </w:tc>
        <w:tc>
          <w:tcPr>
            <w:tcW w:w="1614" w:type="dxa"/>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372982" w:rsidRPr="000201A3" w:rsidRDefault="00372982" w:rsidP="000D61BB">
            <w:pPr>
              <w:jc w:val="center"/>
              <w:rPr>
                <w:rFonts w:asciiTheme="majorHAnsi" w:eastAsia="Times New Roman" w:hAnsiTheme="majorHAnsi"/>
                <w:b/>
                <w:bCs/>
                <w:sz w:val="18"/>
                <w:szCs w:val="18"/>
              </w:rPr>
            </w:pPr>
            <w:r w:rsidRPr="000201A3">
              <w:rPr>
                <w:rFonts w:asciiTheme="majorHAnsi" w:eastAsia="Times New Roman" w:hAnsiTheme="majorHAnsi"/>
                <w:b/>
                <w:bCs/>
                <w:sz w:val="18"/>
                <w:szCs w:val="18"/>
              </w:rPr>
              <w:t>Name of the Victim</w:t>
            </w:r>
          </w:p>
        </w:tc>
        <w:tc>
          <w:tcPr>
            <w:tcW w:w="1156"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372982" w:rsidRPr="000201A3" w:rsidRDefault="00372982" w:rsidP="000D61BB">
            <w:pPr>
              <w:jc w:val="center"/>
              <w:rPr>
                <w:rFonts w:asciiTheme="majorHAnsi" w:eastAsia="Times New Roman" w:hAnsiTheme="majorHAnsi"/>
                <w:b/>
                <w:bCs/>
                <w:sz w:val="18"/>
                <w:szCs w:val="18"/>
              </w:rPr>
            </w:pPr>
            <w:r w:rsidRPr="000201A3">
              <w:rPr>
                <w:rFonts w:asciiTheme="majorHAnsi" w:eastAsia="Times New Roman" w:hAnsiTheme="majorHAnsi"/>
                <w:b/>
                <w:bCs/>
                <w:sz w:val="18"/>
                <w:szCs w:val="18"/>
              </w:rPr>
              <w:t>Truth Commission of Panama Case No.</w:t>
            </w:r>
          </w:p>
        </w:tc>
        <w:tc>
          <w:tcPr>
            <w:tcW w:w="2932" w:type="dxa"/>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372982" w:rsidRPr="000201A3" w:rsidRDefault="00372982" w:rsidP="000D61BB">
            <w:pPr>
              <w:jc w:val="center"/>
              <w:rPr>
                <w:rFonts w:asciiTheme="majorHAnsi" w:eastAsia="Times New Roman" w:hAnsiTheme="majorHAnsi"/>
                <w:b/>
                <w:bCs/>
                <w:sz w:val="18"/>
                <w:szCs w:val="18"/>
              </w:rPr>
            </w:pPr>
            <w:r w:rsidRPr="000201A3">
              <w:rPr>
                <w:rFonts w:asciiTheme="majorHAnsi" w:eastAsia="Times New Roman" w:hAnsiTheme="majorHAnsi"/>
                <w:b/>
                <w:bCs/>
                <w:sz w:val="18"/>
                <w:szCs w:val="18"/>
              </w:rPr>
              <w:t>Name of Family Member/Beneficiary</w:t>
            </w:r>
          </w:p>
        </w:tc>
        <w:tc>
          <w:tcPr>
            <w:tcW w:w="188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372982" w:rsidRPr="000201A3" w:rsidRDefault="00372982" w:rsidP="000D61BB">
            <w:pPr>
              <w:jc w:val="center"/>
              <w:rPr>
                <w:rFonts w:asciiTheme="majorHAnsi" w:eastAsia="Times New Roman" w:hAnsiTheme="majorHAnsi"/>
                <w:b/>
                <w:bCs/>
                <w:sz w:val="18"/>
                <w:szCs w:val="18"/>
              </w:rPr>
            </w:pPr>
            <w:r w:rsidRPr="000201A3">
              <w:rPr>
                <w:rFonts w:asciiTheme="majorHAnsi" w:eastAsia="Times New Roman" w:hAnsiTheme="majorHAnsi"/>
                <w:b/>
                <w:bCs/>
                <w:sz w:val="18"/>
                <w:szCs w:val="18"/>
              </w:rPr>
              <w:t>Relationship to the Victim</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372982" w:rsidRPr="000201A3" w:rsidRDefault="00372982" w:rsidP="000D61BB">
            <w:pPr>
              <w:jc w:val="center"/>
              <w:rPr>
                <w:rFonts w:asciiTheme="majorHAnsi" w:eastAsia="Times New Roman" w:hAnsiTheme="majorHAnsi"/>
                <w:b/>
                <w:bCs/>
                <w:sz w:val="18"/>
                <w:szCs w:val="18"/>
              </w:rPr>
            </w:pPr>
            <w:r w:rsidRPr="000201A3">
              <w:rPr>
                <w:rFonts w:asciiTheme="majorHAnsi" w:eastAsia="Times New Roman" w:hAnsiTheme="majorHAnsi"/>
                <w:b/>
                <w:bCs/>
                <w:sz w:val="18"/>
                <w:szCs w:val="18"/>
              </w:rPr>
              <w:t>No.</w:t>
            </w:r>
          </w:p>
        </w:tc>
      </w:tr>
      <w:tr w:rsidR="00372982" w:rsidRPr="000201A3" w:rsidTr="00766242">
        <w:trPr>
          <w:trHeight w:val="780"/>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b/>
                <w:bCs/>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b/>
                <w:bCs/>
                <w:sz w:val="18"/>
                <w:szCs w:val="18"/>
              </w:rPr>
            </w:pP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b/>
                <w:bCs/>
                <w:sz w:val="18"/>
                <w:szCs w:val="18"/>
              </w:rPr>
            </w:pPr>
          </w:p>
        </w:tc>
        <w:tc>
          <w:tcPr>
            <w:tcW w:w="2932" w:type="dxa"/>
            <w:vMerge/>
            <w:tcBorders>
              <w:top w:val="single" w:sz="4" w:space="0" w:color="auto"/>
              <w:left w:val="single" w:sz="4" w:space="0" w:color="auto"/>
              <w:bottom w:val="single" w:sz="4" w:space="0" w:color="000000"/>
              <w:right w:val="single" w:sz="4" w:space="0" w:color="auto"/>
            </w:tcBorders>
            <w:vAlign w:val="center"/>
            <w:hideMark/>
          </w:tcPr>
          <w:p w:rsidR="00372982" w:rsidRPr="000201A3" w:rsidRDefault="00372982" w:rsidP="000D61BB">
            <w:pPr>
              <w:rPr>
                <w:rFonts w:asciiTheme="majorHAnsi" w:eastAsia="Times New Roman" w:hAnsiTheme="majorHAnsi"/>
                <w:b/>
                <w:bCs/>
                <w:sz w:val="18"/>
                <w:szCs w:val="18"/>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b/>
                <w:bCs/>
                <w:sz w:val="18"/>
                <w:szCs w:val="18"/>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b/>
                <w:bCs/>
                <w:sz w:val="18"/>
                <w:szCs w:val="18"/>
              </w:rPr>
            </w:pPr>
          </w:p>
        </w:tc>
      </w:tr>
      <w:tr w:rsidR="00372982" w:rsidRPr="000201A3" w:rsidTr="00766242">
        <w:trPr>
          <w:trHeight w:val="404"/>
          <w:jc w:val="center"/>
        </w:trPr>
        <w:tc>
          <w:tcPr>
            <w:tcW w:w="450" w:type="dxa"/>
            <w:tcBorders>
              <w:top w:val="single" w:sz="4" w:space="0" w:color="auto"/>
              <w:left w:val="single" w:sz="4" w:space="0" w:color="auto"/>
              <w:bottom w:val="nil"/>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1</w:t>
            </w:r>
          </w:p>
        </w:tc>
        <w:tc>
          <w:tcPr>
            <w:tcW w:w="1614" w:type="dxa"/>
            <w:tcBorders>
              <w:top w:val="single" w:sz="4" w:space="0" w:color="auto"/>
              <w:left w:val="nil"/>
              <w:bottom w:val="nil"/>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 xml:space="preserve">José de </w:t>
            </w:r>
            <w:proofErr w:type="spellStart"/>
            <w:r w:rsidRPr="000201A3">
              <w:rPr>
                <w:rFonts w:asciiTheme="majorHAnsi" w:eastAsia="Times New Roman" w:hAnsiTheme="majorHAnsi"/>
                <w:sz w:val="18"/>
                <w:szCs w:val="18"/>
              </w:rPr>
              <w:t>Encarnación</w:t>
            </w:r>
            <w:proofErr w:type="spellEnd"/>
            <w:r w:rsidRPr="000201A3">
              <w:rPr>
                <w:rFonts w:asciiTheme="majorHAnsi" w:eastAsia="Times New Roman" w:hAnsiTheme="majorHAnsi"/>
                <w:sz w:val="18"/>
                <w:szCs w:val="18"/>
              </w:rPr>
              <w:t xml:space="preserve"> González</w:t>
            </w:r>
          </w:p>
        </w:tc>
        <w:tc>
          <w:tcPr>
            <w:tcW w:w="1156" w:type="dxa"/>
            <w:tcBorders>
              <w:top w:val="single" w:sz="4" w:space="0" w:color="auto"/>
              <w:left w:val="nil"/>
              <w:bottom w:val="nil"/>
              <w:right w:val="single" w:sz="4" w:space="0" w:color="auto"/>
            </w:tcBorders>
            <w:shd w:val="clear" w:color="000000" w:fill="FFFFFF"/>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 </w:t>
            </w:r>
          </w:p>
        </w:tc>
        <w:tc>
          <w:tcPr>
            <w:tcW w:w="2932" w:type="dxa"/>
            <w:tcBorders>
              <w:top w:val="nil"/>
              <w:left w:val="nil"/>
              <w:bottom w:val="single" w:sz="4" w:space="0" w:color="auto"/>
              <w:right w:val="single" w:sz="4" w:space="0" w:color="auto"/>
            </w:tcBorders>
            <w:shd w:val="clear" w:color="000000" w:fill="FFFFFF"/>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Antonio González Santizo</w:t>
            </w:r>
          </w:p>
        </w:tc>
        <w:tc>
          <w:tcPr>
            <w:tcW w:w="1880" w:type="dxa"/>
            <w:tcBorders>
              <w:top w:val="nil"/>
              <w:left w:val="nil"/>
              <w:bottom w:val="single" w:sz="4" w:space="0" w:color="auto"/>
              <w:right w:val="single" w:sz="4" w:space="0" w:color="auto"/>
            </w:tcBorders>
            <w:shd w:val="clear" w:color="000000" w:fill="FFFFFF"/>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Son</w:t>
            </w:r>
          </w:p>
        </w:tc>
        <w:tc>
          <w:tcPr>
            <w:tcW w:w="460"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1</w:t>
            </w:r>
          </w:p>
        </w:tc>
      </w:tr>
      <w:tr w:rsidR="00372982" w:rsidRPr="000201A3" w:rsidTr="00766242">
        <w:trPr>
          <w:trHeight w:val="341"/>
          <w:jc w:val="center"/>
        </w:trPr>
        <w:tc>
          <w:tcPr>
            <w:tcW w:w="450" w:type="dxa"/>
            <w:tcBorders>
              <w:top w:val="nil"/>
              <w:left w:val="single" w:sz="4" w:space="0" w:color="auto"/>
              <w:bottom w:val="nil"/>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b/>
                <w:bCs/>
                <w:sz w:val="18"/>
                <w:szCs w:val="18"/>
              </w:rPr>
            </w:pPr>
            <w:r w:rsidRPr="000201A3">
              <w:rPr>
                <w:rFonts w:asciiTheme="majorHAnsi" w:eastAsia="Times New Roman" w:hAnsiTheme="majorHAnsi"/>
                <w:b/>
                <w:bCs/>
                <w:sz w:val="18"/>
                <w:szCs w:val="18"/>
              </w:rPr>
              <w:t> </w:t>
            </w:r>
          </w:p>
        </w:tc>
        <w:tc>
          <w:tcPr>
            <w:tcW w:w="1614" w:type="dxa"/>
            <w:tcBorders>
              <w:top w:val="nil"/>
              <w:left w:val="nil"/>
              <w:bottom w:val="nil"/>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 </w:t>
            </w:r>
          </w:p>
        </w:tc>
        <w:tc>
          <w:tcPr>
            <w:tcW w:w="1156" w:type="dxa"/>
            <w:tcBorders>
              <w:top w:val="nil"/>
              <w:left w:val="nil"/>
              <w:bottom w:val="nil"/>
              <w:right w:val="single" w:sz="4" w:space="0" w:color="auto"/>
            </w:tcBorders>
            <w:shd w:val="clear" w:color="000000" w:fill="FFFFFF"/>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 </w:t>
            </w:r>
          </w:p>
        </w:tc>
        <w:tc>
          <w:tcPr>
            <w:tcW w:w="2932" w:type="dxa"/>
            <w:tcBorders>
              <w:top w:val="nil"/>
              <w:left w:val="nil"/>
              <w:bottom w:val="single" w:sz="4" w:space="0" w:color="auto"/>
              <w:right w:val="single" w:sz="4" w:space="0" w:color="auto"/>
            </w:tcBorders>
            <w:shd w:val="clear" w:color="000000" w:fill="FFFFFF"/>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Almecía González Santizo</w:t>
            </w:r>
          </w:p>
        </w:tc>
        <w:tc>
          <w:tcPr>
            <w:tcW w:w="1880" w:type="dxa"/>
            <w:tcBorders>
              <w:top w:val="nil"/>
              <w:left w:val="nil"/>
              <w:bottom w:val="single" w:sz="4" w:space="0" w:color="auto"/>
              <w:right w:val="single" w:sz="4" w:space="0" w:color="auto"/>
            </w:tcBorders>
            <w:shd w:val="clear" w:color="000000" w:fill="FFFFFF"/>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Son</w:t>
            </w:r>
          </w:p>
        </w:tc>
        <w:tc>
          <w:tcPr>
            <w:tcW w:w="460"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2</w:t>
            </w:r>
          </w:p>
        </w:tc>
      </w:tr>
      <w:tr w:rsidR="00372982" w:rsidRPr="000201A3" w:rsidTr="00766242">
        <w:trPr>
          <w:trHeight w:val="260"/>
          <w:jc w:val="center"/>
        </w:trPr>
        <w:tc>
          <w:tcPr>
            <w:tcW w:w="450" w:type="dxa"/>
            <w:tcBorders>
              <w:top w:val="nil"/>
              <w:left w:val="single" w:sz="4" w:space="0" w:color="auto"/>
              <w:bottom w:val="nil"/>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b/>
                <w:bCs/>
                <w:sz w:val="18"/>
                <w:szCs w:val="18"/>
              </w:rPr>
            </w:pPr>
            <w:r w:rsidRPr="000201A3">
              <w:rPr>
                <w:rFonts w:asciiTheme="majorHAnsi" w:eastAsia="Times New Roman" w:hAnsiTheme="majorHAnsi"/>
                <w:b/>
                <w:bCs/>
                <w:sz w:val="18"/>
                <w:szCs w:val="18"/>
              </w:rPr>
              <w:t> </w:t>
            </w:r>
          </w:p>
        </w:tc>
        <w:tc>
          <w:tcPr>
            <w:tcW w:w="1614" w:type="dxa"/>
            <w:tcBorders>
              <w:top w:val="nil"/>
              <w:left w:val="nil"/>
              <w:bottom w:val="nil"/>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 </w:t>
            </w:r>
          </w:p>
        </w:tc>
        <w:tc>
          <w:tcPr>
            <w:tcW w:w="1156" w:type="dxa"/>
            <w:tcBorders>
              <w:top w:val="nil"/>
              <w:left w:val="nil"/>
              <w:bottom w:val="nil"/>
              <w:right w:val="single" w:sz="4" w:space="0" w:color="auto"/>
            </w:tcBorders>
            <w:shd w:val="clear" w:color="000000" w:fill="FFFFFF"/>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CV-D-039-01</w:t>
            </w:r>
          </w:p>
        </w:tc>
        <w:tc>
          <w:tcPr>
            <w:tcW w:w="2932" w:type="dxa"/>
            <w:tcBorders>
              <w:top w:val="nil"/>
              <w:left w:val="nil"/>
              <w:bottom w:val="single" w:sz="4" w:space="0" w:color="auto"/>
              <w:right w:val="single" w:sz="4" w:space="0" w:color="auto"/>
            </w:tcBorders>
            <w:shd w:val="clear" w:color="000000" w:fill="FFFFFF"/>
            <w:vAlign w:val="center"/>
            <w:hideMark/>
          </w:tcPr>
          <w:p w:rsidR="00372982" w:rsidRPr="000201A3" w:rsidRDefault="00372982" w:rsidP="000D61BB">
            <w:pPr>
              <w:rPr>
                <w:rFonts w:asciiTheme="majorHAnsi" w:eastAsia="Times New Roman" w:hAnsiTheme="majorHAnsi"/>
                <w:sz w:val="18"/>
                <w:szCs w:val="18"/>
              </w:rPr>
            </w:pPr>
            <w:proofErr w:type="spellStart"/>
            <w:r w:rsidRPr="000201A3">
              <w:rPr>
                <w:rFonts w:asciiTheme="majorHAnsi" w:eastAsia="Times New Roman" w:hAnsiTheme="majorHAnsi"/>
                <w:sz w:val="18"/>
                <w:szCs w:val="18"/>
              </w:rPr>
              <w:t>Encarnación</w:t>
            </w:r>
            <w:proofErr w:type="spellEnd"/>
            <w:r w:rsidRPr="000201A3">
              <w:rPr>
                <w:rFonts w:asciiTheme="majorHAnsi" w:eastAsia="Times New Roman" w:hAnsiTheme="majorHAnsi"/>
                <w:sz w:val="18"/>
                <w:szCs w:val="18"/>
              </w:rPr>
              <w:t xml:space="preserve"> González </w:t>
            </w:r>
            <w:proofErr w:type="spellStart"/>
            <w:r w:rsidRPr="000201A3">
              <w:rPr>
                <w:rFonts w:asciiTheme="majorHAnsi" w:eastAsia="Times New Roman" w:hAnsiTheme="majorHAnsi"/>
                <w:sz w:val="18"/>
                <w:szCs w:val="18"/>
              </w:rPr>
              <w:t>Santizo</w:t>
            </w:r>
            <w:proofErr w:type="spellEnd"/>
          </w:p>
        </w:tc>
        <w:tc>
          <w:tcPr>
            <w:tcW w:w="1880" w:type="dxa"/>
            <w:tcBorders>
              <w:top w:val="nil"/>
              <w:left w:val="nil"/>
              <w:bottom w:val="single" w:sz="4" w:space="0" w:color="auto"/>
              <w:right w:val="single" w:sz="4" w:space="0" w:color="auto"/>
            </w:tcBorders>
            <w:shd w:val="clear" w:color="000000" w:fill="FFFFFF"/>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Daughter/Petitioner</w:t>
            </w:r>
          </w:p>
        </w:tc>
        <w:tc>
          <w:tcPr>
            <w:tcW w:w="460"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3</w:t>
            </w:r>
          </w:p>
        </w:tc>
      </w:tr>
      <w:tr w:rsidR="00372982" w:rsidRPr="000201A3" w:rsidTr="00766242">
        <w:trPr>
          <w:trHeight w:val="341"/>
          <w:jc w:val="center"/>
        </w:trPr>
        <w:tc>
          <w:tcPr>
            <w:tcW w:w="450" w:type="dxa"/>
            <w:tcBorders>
              <w:top w:val="nil"/>
              <w:left w:val="single" w:sz="4" w:space="0" w:color="auto"/>
              <w:bottom w:val="nil"/>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b/>
                <w:bCs/>
                <w:sz w:val="18"/>
                <w:szCs w:val="18"/>
              </w:rPr>
            </w:pPr>
            <w:r w:rsidRPr="000201A3">
              <w:rPr>
                <w:rFonts w:asciiTheme="majorHAnsi" w:eastAsia="Times New Roman" w:hAnsiTheme="majorHAnsi"/>
                <w:b/>
                <w:bCs/>
                <w:sz w:val="18"/>
                <w:szCs w:val="18"/>
              </w:rPr>
              <w:t> </w:t>
            </w:r>
          </w:p>
        </w:tc>
        <w:tc>
          <w:tcPr>
            <w:tcW w:w="1614" w:type="dxa"/>
            <w:tcBorders>
              <w:top w:val="nil"/>
              <w:left w:val="nil"/>
              <w:bottom w:val="nil"/>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 </w:t>
            </w:r>
          </w:p>
        </w:tc>
        <w:tc>
          <w:tcPr>
            <w:tcW w:w="1156" w:type="dxa"/>
            <w:tcBorders>
              <w:top w:val="nil"/>
              <w:left w:val="nil"/>
              <w:bottom w:val="nil"/>
              <w:right w:val="single" w:sz="4" w:space="0" w:color="auto"/>
            </w:tcBorders>
            <w:shd w:val="clear" w:color="000000" w:fill="FFFFFF"/>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 </w:t>
            </w:r>
          </w:p>
        </w:tc>
        <w:tc>
          <w:tcPr>
            <w:tcW w:w="2932" w:type="dxa"/>
            <w:tcBorders>
              <w:top w:val="nil"/>
              <w:left w:val="nil"/>
              <w:bottom w:val="single" w:sz="4" w:space="0" w:color="auto"/>
              <w:right w:val="single" w:sz="4" w:space="0" w:color="auto"/>
            </w:tcBorders>
            <w:shd w:val="clear" w:color="000000" w:fill="FFFFFF"/>
            <w:vAlign w:val="center"/>
            <w:hideMark/>
          </w:tcPr>
          <w:p w:rsidR="00372982" w:rsidRPr="00DF2496" w:rsidRDefault="00372982" w:rsidP="000D61BB">
            <w:pPr>
              <w:rPr>
                <w:rFonts w:asciiTheme="majorHAnsi" w:eastAsia="Times New Roman" w:hAnsiTheme="majorHAnsi"/>
                <w:sz w:val="18"/>
                <w:szCs w:val="18"/>
                <w:lang w:val="es-ES"/>
              </w:rPr>
            </w:pPr>
            <w:proofErr w:type="spellStart"/>
            <w:r w:rsidRPr="00DF2496">
              <w:rPr>
                <w:rFonts w:asciiTheme="majorHAnsi" w:eastAsia="Times New Roman" w:hAnsiTheme="majorHAnsi"/>
                <w:sz w:val="18"/>
                <w:szCs w:val="18"/>
                <w:lang w:val="es-ES"/>
              </w:rPr>
              <w:t>Féliz</w:t>
            </w:r>
            <w:proofErr w:type="spellEnd"/>
            <w:r w:rsidRPr="00DF2496">
              <w:rPr>
                <w:rFonts w:asciiTheme="majorHAnsi" w:eastAsia="Times New Roman" w:hAnsiTheme="majorHAnsi"/>
                <w:sz w:val="18"/>
                <w:szCs w:val="18"/>
                <w:lang w:val="es-ES"/>
              </w:rPr>
              <w:t xml:space="preserve"> González </w:t>
            </w:r>
            <w:proofErr w:type="spellStart"/>
            <w:r w:rsidRPr="00DF2496">
              <w:rPr>
                <w:rFonts w:asciiTheme="majorHAnsi" w:eastAsia="Times New Roman" w:hAnsiTheme="majorHAnsi"/>
                <w:sz w:val="18"/>
                <w:szCs w:val="18"/>
                <w:lang w:val="es-ES"/>
              </w:rPr>
              <w:t>Santizo</w:t>
            </w:r>
            <w:proofErr w:type="spellEnd"/>
            <w:r w:rsidRPr="00DF2496">
              <w:rPr>
                <w:rFonts w:asciiTheme="majorHAnsi" w:eastAsia="Times New Roman" w:hAnsiTheme="majorHAnsi"/>
                <w:sz w:val="18"/>
                <w:szCs w:val="18"/>
                <w:lang w:val="es-ES"/>
              </w:rPr>
              <w:t xml:space="preserve"> (RIP), </w:t>
            </w:r>
            <w:proofErr w:type="spellStart"/>
            <w:r w:rsidRPr="00DF2496">
              <w:rPr>
                <w:rFonts w:asciiTheme="majorHAnsi" w:eastAsia="Times New Roman" w:hAnsiTheme="majorHAnsi"/>
                <w:sz w:val="18"/>
                <w:szCs w:val="18"/>
                <w:lang w:val="es-ES"/>
              </w:rPr>
              <w:t>heirs</w:t>
            </w:r>
            <w:proofErr w:type="spellEnd"/>
            <w:r w:rsidRPr="00DF2496">
              <w:rPr>
                <w:rFonts w:asciiTheme="majorHAnsi" w:eastAsia="Times New Roman" w:hAnsiTheme="majorHAnsi"/>
                <w:sz w:val="18"/>
                <w:szCs w:val="18"/>
                <w:lang w:val="es-ES"/>
              </w:rPr>
              <w:t>:</w:t>
            </w:r>
          </w:p>
        </w:tc>
        <w:tc>
          <w:tcPr>
            <w:tcW w:w="1880" w:type="dxa"/>
            <w:tcBorders>
              <w:top w:val="nil"/>
              <w:left w:val="nil"/>
              <w:bottom w:val="single" w:sz="4" w:space="0" w:color="auto"/>
              <w:right w:val="single" w:sz="4" w:space="0" w:color="auto"/>
            </w:tcBorders>
            <w:shd w:val="clear" w:color="000000" w:fill="FFFFFF"/>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Son</w:t>
            </w:r>
          </w:p>
        </w:tc>
        <w:tc>
          <w:tcPr>
            <w:tcW w:w="460"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4</w:t>
            </w:r>
          </w:p>
        </w:tc>
      </w:tr>
      <w:tr w:rsidR="00372982" w:rsidRPr="000201A3" w:rsidTr="00766242">
        <w:trPr>
          <w:trHeight w:val="260"/>
          <w:jc w:val="center"/>
        </w:trPr>
        <w:tc>
          <w:tcPr>
            <w:tcW w:w="450" w:type="dxa"/>
            <w:tcBorders>
              <w:top w:val="nil"/>
              <w:left w:val="single" w:sz="4" w:space="0" w:color="auto"/>
              <w:bottom w:val="nil"/>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b/>
                <w:bCs/>
                <w:sz w:val="18"/>
                <w:szCs w:val="18"/>
              </w:rPr>
            </w:pPr>
            <w:r w:rsidRPr="000201A3">
              <w:rPr>
                <w:rFonts w:asciiTheme="majorHAnsi" w:eastAsia="Times New Roman" w:hAnsiTheme="majorHAnsi"/>
                <w:b/>
                <w:bCs/>
                <w:sz w:val="18"/>
                <w:szCs w:val="18"/>
              </w:rPr>
              <w:t> </w:t>
            </w:r>
          </w:p>
        </w:tc>
        <w:tc>
          <w:tcPr>
            <w:tcW w:w="1614" w:type="dxa"/>
            <w:tcBorders>
              <w:top w:val="nil"/>
              <w:left w:val="nil"/>
              <w:bottom w:val="nil"/>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 </w:t>
            </w:r>
          </w:p>
        </w:tc>
        <w:tc>
          <w:tcPr>
            <w:tcW w:w="1156" w:type="dxa"/>
            <w:tcBorders>
              <w:top w:val="nil"/>
              <w:left w:val="nil"/>
              <w:bottom w:val="nil"/>
              <w:right w:val="single" w:sz="4" w:space="0" w:color="auto"/>
            </w:tcBorders>
            <w:shd w:val="clear" w:color="000000" w:fill="FFFFFF"/>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 </w:t>
            </w:r>
          </w:p>
        </w:tc>
        <w:tc>
          <w:tcPr>
            <w:tcW w:w="2932" w:type="dxa"/>
            <w:tcBorders>
              <w:top w:val="nil"/>
              <w:left w:val="nil"/>
              <w:bottom w:val="single" w:sz="4" w:space="0" w:color="auto"/>
              <w:right w:val="single" w:sz="4" w:space="0" w:color="auto"/>
            </w:tcBorders>
            <w:shd w:val="clear" w:color="000000" w:fill="FFFFFF"/>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Stalin González Santizo</w:t>
            </w:r>
          </w:p>
        </w:tc>
        <w:tc>
          <w:tcPr>
            <w:tcW w:w="1880" w:type="dxa"/>
            <w:tcBorders>
              <w:top w:val="nil"/>
              <w:left w:val="nil"/>
              <w:bottom w:val="single" w:sz="4" w:space="0" w:color="auto"/>
              <w:right w:val="single" w:sz="4" w:space="0" w:color="auto"/>
            </w:tcBorders>
            <w:shd w:val="clear" w:color="000000" w:fill="FFFFFF"/>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Grandson</w:t>
            </w:r>
          </w:p>
        </w:tc>
        <w:tc>
          <w:tcPr>
            <w:tcW w:w="460"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5</w:t>
            </w:r>
          </w:p>
        </w:tc>
      </w:tr>
      <w:tr w:rsidR="00372982" w:rsidRPr="000201A3" w:rsidTr="00766242">
        <w:trPr>
          <w:trHeight w:val="350"/>
          <w:jc w:val="center"/>
        </w:trPr>
        <w:tc>
          <w:tcPr>
            <w:tcW w:w="450" w:type="dxa"/>
            <w:tcBorders>
              <w:top w:val="nil"/>
              <w:left w:val="single" w:sz="4" w:space="0" w:color="auto"/>
              <w:bottom w:val="nil"/>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b/>
                <w:bCs/>
                <w:sz w:val="18"/>
                <w:szCs w:val="18"/>
              </w:rPr>
            </w:pPr>
            <w:r w:rsidRPr="000201A3">
              <w:rPr>
                <w:rFonts w:asciiTheme="majorHAnsi" w:eastAsia="Times New Roman" w:hAnsiTheme="majorHAnsi"/>
                <w:b/>
                <w:bCs/>
                <w:sz w:val="18"/>
                <w:szCs w:val="18"/>
              </w:rPr>
              <w:t> </w:t>
            </w:r>
          </w:p>
        </w:tc>
        <w:tc>
          <w:tcPr>
            <w:tcW w:w="1614" w:type="dxa"/>
            <w:tcBorders>
              <w:top w:val="nil"/>
              <w:left w:val="nil"/>
              <w:bottom w:val="nil"/>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 </w:t>
            </w:r>
          </w:p>
        </w:tc>
        <w:tc>
          <w:tcPr>
            <w:tcW w:w="1156" w:type="dxa"/>
            <w:tcBorders>
              <w:top w:val="nil"/>
              <w:left w:val="nil"/>
              <w:bottom w:val="nil"/>
              <w:right w:val="single" w:sz="4" w:space="0" w:color="auto"/>
            </w:tcBorders>
            <w:shd w:val="clear" w:color="000000" w:fill="FFFFFF"/>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 </w:t>
            </w:r>
          </w:p>
        </w:tc>
        <w:tc>
          <w:tcPr>
            <w:tcW w:w="2932"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Vantroi González Santizo</w:t>
            </w:r>
          </w:p>
        </w:tc>
        <w:tc>
          <w:tcPr>
            <w:tcW w:w="1880" w:type="dxa"/>
            <w:tcBorders>
              <w:top w:val="nil"/>
              <w:left w:val="nil"/>
              <w:bottom w:val="single" w:sz="4" w:space="0" w:color="auto"/>
              <w:right w:val="single" w:sz="4" w:space="0" w:color="auto"/>
            </w:tcBorders>
            <w:shd w:val="clear" w:color="000000" w:fill="FFFFFF"/>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Grandson</w:t>
            </w:r>
          </w:p>
        </w:tc>
        <w:tc>
          <w:tcPr>
            <w:tcW w:w="460"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6</w:t>
            </w:r>
          </w:p>
        </w:tc>
      </w:tr>
      <w:tr w:rsidR="00372982" w:rsidRPr="000201A3" w:rsidTr="00766242">
        <w:trPr>
          <w:trHeight w:val="179"/>
          <w:jc w:val="center"/>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 </w:t>
            </w:r>
          </w:p>
        </w:tc>
        <w:tc>
          <w:tcPr>
            <w:tcW w:w="1614"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ind w:firstLineChars="100" w:firstLine="181"/>
              <w:rPr>
                <w:rFonts w:asciiTheme="majorHAnsi" w:eastAsia="Times New Roman" w:hAnsiTheme="majorHAnsi"/>
                <w:b/>
                <w:bCs/>
                <w:sz w:val="18"/>
                <w:szCs w:val="18"/>
              </w:rPr>
            </w:pPr>
            <w:r w:rsidRPr="000201A3">
              <w:rPr>
                <w:rFonts w:asciiTheme="majorHAnsi" w:eastAsia="Times New Roman" w:hAnsiTheme="majorHAnsi"/>
                <w:b/>
                <w:bCs/>
                <w:sz w:val="18"/>
                <w:szCs w:val="18"/>
              </w:rPr>
              <w:t> </w:t>
            </w:r>
          </w:p>
        </w:tc>
        <w:tc>
          <w:tcPr>
            <w:tcW w:w="1156"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b/>
                <w:bCs/>
                <w:sz w:val="18"/>
                <w:szCs w:val="18"/>
              </w:rPr>
            </w:pPr>
            <w:r w:rsidRPr="000201A3">
              <w:rPr>
                <w:rFonts w:asciiTheme="majorHAnsi" w:eastAsia="Times New Roman" w:hAnsiTheme="majorHAnsi"/>
                <w:b/>
                <w:bCs/>
                <w:sz w:val="18"/>
                <w:szCs w:val="18"/>
              </w:rPr>
              <w:t> </w:t>
            </w:r>
          </w:p>
        </w:tc>
        <w:tc>
          <w:tcPr>
            <w:tcW w:w="2932" w:type="dxa"/>
            <w:tcBorders>
              <w:top w:val="nil"/>
              <w:left w:val="nil"/>
              <w:bottom w:val="single" w:sz="8"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 xml:space="preserve">Féliz Antonio González </w:t>
            </w:r>
          </w:p>
        </w:tc>
        <w:tc>
          <w:tcPr>
            <w:tcW w:w="1880" w:type="dxa"/>
            <w:tcBorders>
              <w:top w:val="nil"/>
              <w:left w:val="nil"/>
              <w:bottom w:val="single" w:sz="8"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Grandson</w:t>
            </w:r>
          </w:p>
        </w:tc>
        <w:tc>
          <w:tcPr>
            <w:tcW w:w="460" w:type="dxa"/>
            <w:tcBorders>
              <w:top w:val="nil"/>
              <w:left w:val="nil"/>
              <w:bottom w:val="single" w:sz="8"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7</w:t>
            </w:r>
          </w:p>
        </w:tc>
      </w:tr>
      <w:tr w:rsidR="00372982" w:rsidRPr="000201A3" w:rsidTr="00766242">
        <w:trPr>
          <w:trHeight w:val="304"/>
          <w:jc w:val="center"/>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2</w:t>
            </w:r>
          </w:p>
        </w:tc>
        <w:tc>
          <w:tcPr>
            <w:tcW w:w="161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Floyd Britton</w:t>
            </w:r>
          </w:p>
        </w:tc>
        <w:tc>
          <w:tcPr>
            <w:tcW w:w="115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CV-A-010-01</w:t>
            </w:r>
          </w:p>
        </w:tc>
        <w:tc>
          <w:tcPr>
            <w:tcW w:w="2932"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Eloisa Fernández Agrazal</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Widow/Petitioner</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8</w:t>
            </w:r>
          </w:p>
        </w:tc>
      </w:tr>
      <w:tr w:rsidR="00372982" w:rsidRPr="000201A3" w:rsidTr="00766242">
        <w:trPr>
          <w:trHeight w:val="398"/>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Eduardo Ernesto Britton Fernández (RIP), heir:</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Son</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9</w:t>
            </w:r>
          </w:p>
        </w:tc>
      </w:tr>
      <w:tr w:rsidR="00372982" w:rsidRPr="000201A3" w:rsidTr="00766242">
        <w:trPr>
          <w:trHeight w:val="259"/>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Alexandra Maria Britton Beitía</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Granddaughter</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10</w:t>
            </w:r>
          </w:p>
        </w:tc>
      </w:tr>
      <w:tr w:rsidR="00372982" w:rsidRPr="000201A3" w:rsidTr="00766242">
        <w:trPr>
          <w:trHeight w:val="250"/>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Jaime Britton Morrinson</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Brother</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11</w:t>
            </w:r>
          </w:p>
        </w:tc>
      </w:tr>
      <w:tr w:rsidR="00372982" w:rsidRPr="000201A3" w:rsidTr="00766242">
        <w:trPr>
          <w:trHeight w:val="160"/>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Leland Britton Morrinson</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Brother</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12</w:t>
            </w:r>
          </w:p>
        </w:tc>
      </w:tr>
      <w:tr w:rsidR="00372982" w:rsidRPr="000201A3" w:rsidTr="00766242">
        <w:trPr>
          <w:trHeight w:val="398"/>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 xml:space="preserve">Federico </w:t>
            </w:r>
            <w:proofErr w:type="spellStart"/>
            <w:r w:rsidRPr="000201A3">
              <w:rPr>
                <w:rFonts w:asciiTheme="majorHAnsi" w:eastAsia="Times New Roman" w:hAnsiTheme="majorHAnsi"/>
                <w:sz w:val="18"/>
                <w:szCs w:val="18"/>
              </w:rPr>
              <w:t>Haroldo</w:t>
            </w:r>
            <w:proofErr w:type="spellEnd"/>
            <w:r w:rsidRPr="000201A3">
              <w:rPr>
                <w:rFonts w:asciiTheme="majorHAnsi" w:eastAsia="Times New Roman" w:hAnsiTheme="majorHAnsi"/>
                <w:sz w:val="18"/>
                <w:szCs w:val="18"/>
              </w:rPr>
              <w:t xml:space="preserve"> Britton </w:t>
            </w:r>
            <w:proofErr w:type="spellStart"/>
            <w:r w:rsidRPr="000201A3">
              <w:rPr>
                <w:rFonts w:asciiTheme="majorHAnsi" w:eastAsia="Times New Roman" w:hAnsiTheme="majorHAnsi"/>
                <w:sz w:val="18"/>
                <w:szCs w:val="18"/>
              </w:rPr>
              <w:t>Morrinson</w:t>
            </w:r>
            <w:proofErr w:type="spellEnd"/>
            <w:r w:rsidRPr="000201A3">
              <w:rPr>
                <w:rFonts w:asciiTheme="majorHAnsi" w:eastAsia="Times New Roman" w:hAnsiTheme="majorHAnsi"/>
                <w:sz w:val="18"/>
                <w:szCs w:val="18"/>
              </w:rPr>
              <w:t xml:space="preserve"> (RIP), heirs:</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Brother</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13</w:t>
            </w:r>
          </w:p>
        </w:tc>
      </w:tr>
      <w:tr w:rsidR="00372982" w:rsidRPr="000201A3" w:rsidTr="00766242">
        <w:trPr>
          <w:trHeight w:val="295"/>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proofErr w:type="spellStart"/>
            <w:r w:rsidRPr="000201A3">
              <w:rPr>
                <w:rFonts w:asciiTheme="majorHAnsi" w:eastAsia="Times New Roman" w:hAnsiTheme="majorHAnsi"/>
                <w:sz w:val="18"/>
                <w:szCs w:val="18"/>
              </w:rPr>
              <w:t>Fredy</w:t>
            </w:r>
            <w:proofErr w:type="spellEnd"/>
            <w:r w:rsidRPr="000201A3">
              <w:rPr>
                <w:rFonts w:asciiTheme="majorHAnsi" w:eastAsia="Times New Roman" w:hAnsiTheme="majorHAnsi"/>
                <w:sz w:val="18"/>
                <w:szCs w:val="18"/>
              </w:rPr>
              <w:t xml:space="preserve"> </w:t>
            </w:r>
            <w:proofErr w:type="spellStart"/>
            <w:r w:rsidRPr="000201A3">
              <w:rPr>
                <w:rFonts w:asciiTheme="majorHAnsi" w:eastAsia="Times New Roman" w:hAnsiTheme="majorHAnsi"/>
                <w:sz w:val="18"/>
                <w:szCs w:val="18"/>
              </w:rPr>
              <w:t>Raúl</w:t>
            </w:r>
            <w:proofErr w:type="spellEnd"/>
            <w:r w:rsidRPr="000201A3">
              <w:rPr>
                <w:rFonts w:asciiTheme="majorHAnsi" w:eastAsia="Times New Roman" w:hAnsiTheme="majorHAnsi"/>
                <w:sz w:val="18"/>
                <w:szCs w:val="18"/>
              </w:rPr>
              <w:t xml:space="preserve"> Britton</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Nephew</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14</w:t>
            </w:r>
          </w:p>
        </w:tc>
      </w:tr>
      <w:tr w:rsidR="00372982" w:rsidRPr="000201A3" w:rsidTr="00766242">
        <w:trPr>
          <w:trHeight w:val="160"/>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Carlos Vladimir Britton</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Nephew</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15</w:t>
            </w:r>
          </w:p>
        </w:tc>
      </w:tr>
      <w:tr w:rsidR="00372982" w:rsidRPr="000201A3" w:rsidTr="00766242">
        <w:trPr>
          <w:trHeight w:val="205"/>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Telma Britton</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Nephew</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 </w:t>
            </w:r>
          </w:p>
        </w:tc>
      </w:tr>
      <w:tr w:rsidR="00372982" w:rsidRPr="000201A3" w:rsidTr="00766242">
        <w:trPr>
          <w:trHeight w:val="232"/>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Luis Augusto Britton</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Nephew</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16</w:t>
            </w:r>
          </w:p>
        </w:tc>
      </w:tr>
      <w:tr w:rsidR="00372982" w:rsidRPr="000201A3" w:rsidTr="00766242">
        <w:trPr>
          <w:trHeight w:val="169"/>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Amos Augusto Britton Jiménez</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Brother</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17</w:t>
            </w:r>
          </w:p>
        </w:tc>
      </w:tr>
      <w:tr w:rsidR="00372982" w:rsidRPr="000201A3" w:rsidTr="00766242">
        <w:trPr>
          <w:trHeight w:val="115"/>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8"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Elvin Adalberto Britton Jiménez</w:t>
            </w:r>
          </w:p>
        </w:tc>
        <w:tc>
          <w:tcPr>
            <w:tcW w:w="1880" w:type="dxa"/>
            <w:tcBorders>
              <w:top w:val="nil"/>
              <w:left w:val="nil"/>
              <w:bottom w:val="single" w:sz="8"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Brother</w:t>
            </w:r>
          </w:p>
        </w:tc>
        <w:tc>
          <w:tcPr>
            <w:tcW w:w="460" w:type="dxa"/>
            <w:tcBorders>
              <w:top w:val="nil"/>
              <w:left w:val="nil"/>
              <w:bottom w:val="single" w:sz="8"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18</w:t>
            </w:r>
          </w:p>
        </w:tc>
      </w:tr>
      <w:tr w:rsidR="00372982" w:rsidRPr="000201A3" w:rsidTr="00766242">
        <w:trPr>
          <w:trHeight w:val="241"/>
          <w:jc w:val="center"/>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3</w:t>
            </w:r>
          </w:p>
        </w:tc>
        <w:tc>
          <w:tcPr>
            <w:tcW w:w="161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Félix González Santizo</w:t>
            </w:r>
          </w:p>
        </w:tc>
        <w:tc>
          <w:tcPr>
            <w:tcW w:w="115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CV-A-040-01</w:t>
            </w:r>
          </w:p>
        </w:tc>
        <w:tc>
          <w:tcPr>
            <w:tcW w:w="2932"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Stalin González Santizo</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Son</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right"/>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19</w:t>
            </w:r>
          </w:p>
        </w:tc>
      </w:tr>
      <w:tr w:rsidR="00372982" w:rsidRPr="000201A3" w:rsidTr="00766242">
        <w:trPr>
          <w:trHeight w:val="250"/>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Vantroi González Santizo</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Son</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20</w:t>
            </w:r>
          </w:p>
        </w:tc>
      </w:tr>
      <w:tr w:rsidR="00372982" w:rsidRPr="000201A3" w:rsidTr="00766242">
        <w:trPr>
          <w:trHeight w:val="259"/>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8"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 xml:space="preserve">Féliz Antonio González </w:t>
            </w:r>
          </w:p>
        </w:tc>
        <w:tc>
          <w:tcPr>
            <w:tcW w:w="1880" w:type="dxa"/>
            <w:tcBorders>
              <w:top w:val="nil"/>
              <w:left w:val="nil"/>
              <w:bottom w:val="single" w:sz="8"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Son/Petitioner</w:t>
            </w:r>
          </w:p>
        </w:tc>
        <w:tc>
          <w:tcPr>
            <w:tcW w:w="460" w:type="dxa"/>
            <w:tcBorders>
              <w:top w:val="nil"/>
              <w:left w:val="nil"/>
              <w:bottom w:val="single" w:sz="8"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21</w:t>
            </w:r>
          </w:p>
        </w:tc>
      </w:tr>
      <w:tr w:rsidR="00372982" w:rsidRPr="000201A3" w:rsidTr="00766242">
        <w:trPr>
          <w:trHeight w:val="241"/>
          <w:jc w:val="center"/>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4</w:t>
            </w:r>
          </w:p>
        </w:tc>
        <w:tc>
          <w:tcPr>
            <w:tcW w:w="161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Elias González Santizo</w:t>
            </w:r>
          </w:p>
        </w:tc>
        <w:tc>
          <w:tcPr>
            <w:tcW w:w="115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CV-A-039-01</w:t>
            </w:r>
          </w:p>
        </w:tc>
        <w:tc>
          <w:tcPr>
            <w:tcW w:w="2932"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Antonio González Santizo</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Brother</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22</w:t>
            </w:r>
          </w:p>
        </w:tc>
      </w:tr>
      <w:tr w:rsidR="00372982" w:rsidRPr="000201A3" w:rsidTr="00766242">
        <w:trPr>
          <w:trHeight w:val="259"/>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Almecía González Santizo</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Brother</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23</w:t>
            </w:r>
          </w:p>
        </w:tc>
      </w:tr>
      <w:tr w:rsidR="00372982" w:rsidRPr="000201A3" w:rsidTr="00766242">
        <w:trPr>
          <w:trHeight w:val="151"/>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8"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proofErr w:type="spellStart"/>
            <w:r w:rsidRPr="000201A3">
              <w:rPr>
                <w:rFonts w:asciiTheme="majorHAnsi" w:eastAsia="Times New Roman" w:hAnsiTheme="majorHAnsi"/>
                <w:sz w:val="18"/>
                <w:szCs w:val="18"/>
              </w:rPr>
              <w:t>Encarnación</w:t>
            </w:r>
            <w:proofErr w:type="spellEnd"/>
            <w:r w:rsidRPr="000201A3">
              <w:rPr>
                <w:rFonts w:asciiTheme="majorHAnsi" w:eastAsia="Times New Roman" w:hAnsiTheme="majorHAnsi"/>
                <w:sz w:val="18"/>
                <w:szCs w:val="18"/>
              </w:rPr>
              <w:t xml:space="preserve"> González </w:t>
            </w:r>
            <w:proofErr w:type="spellStart"/>
            <w:r w:rsidRPr="000201A3">
              <w:rPr>
                <w:rFonts w:asciiTheme="majorHAnsi" w:eastAsia="Times New Roman" w:hAnsiTheme="majorHAnsi"/>
                <w:sz w:val="18"/>
                <w:szCs w:val="18"/>
              </w:rPr>
              <w:t>Santizo</w:t>
            </w:r>
            <w:proofErr w:type="spellEnd"/>
          </w:p>
        </w:tc>
        <w:tc>
          <w:tcPr>
            <w:tcW w:w="1880" w:type="dxa"/>
            <w:tcBorders>
              <w:top w:val="nil"/>
              <w:left w:val="nil"/>
              <w:bottom w:val="single" w:sz="8"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Sister/Petitioner</w:t>
            </w:r>
          </w:p>
        </w:tc>
        <w:tc>
          <w:tcPr>
            <w:tcW w:w="460" w:type="dxa"/>
            <w:tcBorders>
              <w:top w:val="nil"/>
              <w:left w:val="nil"/>
              <w:bottom w:val="single" w:sz="8"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24</w:t>
            </w:r>
          </w:p>
        </w:tc>
      </w:tr>
      <w:tr w:rsidR="00372982" w:rsidRPr="000201A3" w:rsidTr="00766242">
        <w:trPr>
          <w:trHeight w:val="160"/>
          <w:jc w:val="center"/>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5</w:t>
            </w:r>
          </w:p>
        </w:tc>
        <w:tc>
          <w:tcPr>
            <w:tcW w:w="161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Carlos Millard González</w:t>
            </w:r>
          </w:p>
        </w:tc>
        <w:tc>
          <w:tcPr>
            <w:tcW w:w="115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CV-D-040-01</w:t>
            </w: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María Araúz</w:t>
            </w:r>
          </w:p>
        </w:tc>
        <w:tc>
          <w:tcPr>
            <w:tcW w:w="1880"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Widow</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25</w:t>
            </w:r>
          </w:p>
        </w:tc>
      </w:tr>
      <w:tr w:rsidR="00372982" w:rsidRPr="000201A3" w:rsidTr="00766242">
        <w:trPr>
          <w:trHeight w:val="398"/>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Micxely González Pitty</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Daughter/Petitioner</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26</w:t>
            </w:r>
          </w:p>
        </w:tc>
      </w:tr>
      <w:tr w:rsidR="00372982" w:rsidRPr="000201A3" w:rsidTr="00766242">
        <w:trPr>
          <w:trHeight w:val="205"/>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8"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Edgar Pitty</w:t>
            </w:r>
          </w:p>
        </w:tc>
        <w:tc>
          <w:tcPr>
            <w:tcW w:w="1880" w:type="dxa"/>
            <w:tcBorders>
              <w:top w:val="nil"/>
              <w:left w:val="nil"/>
              <w:bottom w:val="single" w:sz="8"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Son</w:t>
            </w:r>
          </w:p>
        </w:tc>
        <w:tc>
          <w:tcPr>
            <w:tcW w:w="460" w:type="dxa"/>
            <w:tcBorders>
              <w:top w:val="nil"/>
              <w:left w:val="nil"/>
              <w:bottom w:val="single" w:sz="8"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27</w:t>
            </w:r>
          </w:p>
        </w:tc>
      </w:tr>
      <w:tr w:rsidR="00372982" w:rsidRPr="000201A3" w:rsidTr="00766242">
        <w:trPr>
          <w:trHeight w:val="160"/>
          <w:jc w:val="center"/>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6</w:t>
            </w:r>
          </w:p>
        </w:tc>
        <w:tc>
          <w:tcPr>
            <w:tcW w:w="16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proofErr w:type="spellStart"/>
            <w:r w:rsidRPr="000201A3">
              <w:rPr>
                <w:rFonts w:asciiTheme="majorHAnsi" w:eastAsia="Times New Roman" w:hAnsiTheme="majorHAnsi"/>
                <w:sz w:val="18"/>
                <w:szCs w:val="18"/>
              </w:rPr>
              <w:t>Belisario</w:t>
            </w:r>
            <w:proofErr w:type="spellEnd"/>
            <w:r w:rsidRPr="000201A3">
              <w:rPr>
                <w:rFonts w:asciiTheme="majorHAnsi" w:eastAsia="Times New Roman" w:hAnsiTheme="majorHAnsi"/>
                <w:sz w:val="18"/>
                <w:szCs w:val="18"/>
              </w:rPr>
              <w:t xml:space="preserve"> </w:t>
            </w:r>
            <w:proofErr w:type="spellStart"/>
            <w:r w:rsidRPr="000201A3">
              <w:rPr>
                <w:rFonts w:asciiTheme="majorHAnsi" w:eastAsia="Times New Roman" w:hAnsiTheme="majorHAnsi"/>
                <w:sz w:val="18"/>
                <w:szCs w:val="18"/>
              </w:rPr>
              <w:t>Gantes</w:t>
            </w:r>
            <w:proofErr w:type="spellEnd"/>
          </w:p>
        </w:tc>
        <w:tc>
          <w:tcPr>
            <w:tcW w:w="11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CV-A-030-01</w:t>
            </w:r>
          </w:p>
        </w:tc>
        <w:tc>
          <w:tcPr>
            <w:tcW w:w="2932"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 xml:space="preserve">Isabel </w:t>
            </w:r>
            <w:proofErr w:type="spellStart"/>
            <w:r w:rsidRPr="000201A3">
              <w:rPr>
                <w:rFonts w:asciiTheme="majorHAnsi" w:eastAsia="Times New Roman" w:hAnsiTheme="majorHAnsi"/>
                <w:sz w:val="18"/>
                <w:szCs w:val="18"/>
              </w:rPr>
              <w:t>Gantes</w:t>
            </w:r>
            <w:proofErr w:type="spellEnd"/>
            <w:r w:rsidRPr="000201A3">
              <w:rPr>
                <w:rFonts w:asciiTheme="majorHAnsi" w:eastAsia="Times New Roman" w:hAnsiTheme="majorHAnsi"/>
                <w:sz w:val="18"/>
                <w:szCs w:val="18"/>
              </w:rPr>
              <w:t xml:space="preserve"> Guerra</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Sister</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28</w:t>
            </w:r>
          </w:p>
        </w:tc>
      </w:tr>
      <w:tr w:rsidR="00372982" w:rsidRPr="000201A3" w:rsidTr="00766242">
        <w:trPr>
          <w:trHeight w:val="296"/>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Catalina Batista de Arias</w:t>
            </w:r>
          </w:p>
        </w:tc>
        <w:tc>
          <w:tcPr>
            <w:tcW w:w="1880"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Mother</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29</w:t>
            </w:r>
          </w:p>
        </w:tc>
      </w:tr>
      <w:tr w:rsidR="00372982" w:rsidRPr="000201A3" w:rsidTr="00766242">
        <w:trPr>
          <w:trHeight w:val="269"/>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 xml:space="preserve">Pedro </w:t>
            </w:r>
            <w:proofErr w:type="spellStart"/>
            <w:r w:rsidRPr="000201A3">
              <w:rPr>
                <w:rFonts w:asciiTheme="majorHAnsi" w:eastAsia="Times New Roman" w:hAnsiTheme="majorHAnsi"/>
                <w:sz w:val="18"/>
                <w:szCs w:val="18"/>
              </w:rPr>
              <w:t>Gantes</w:t>
            </w:r>
            <w:proofErr w:type="spellEnd"/>
            <w:r w:rsidRPr="000201A3">
              <w:rPr>
                <w:rFonts w:asciiTheme="majorHAnsi" w:eastAsia="Times New Roman" w:hAnsiTheme="majorHAnsi"/>
                <w:sz w:val="18"/>
                <w:szCs w:val="18"/>
              </w:rPr>
              <w:t xml:space="preserve"> Batista</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Brother</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30</w:t>
            </w:r>
          </w:p>
        </w:tc>
      </w:tr>
      <w:tr w:rsidR="00372982" w:rsidRPr="000201A3" w:rsidTr="00766242">
        <w:trPr>
          <w:trHeight w:val="170"/>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8"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proofErr w:type="spellStart"/>
            <w:r w:rsidRPr="000201A3">
              <w:rPr>
                <w:rFonts w:asciiTheme="majorHAnsi" w:eastAsia="Times New Roman" w:hAnsiTheme="majorHAnsi"/>
                <w:sz w:val="18"/>
                <w:szCs w:val="18"/>
              </w:rPr>
              <w:t>Elisia</w:t>
            </w:r>
            <w:proofErr w:type="spellEnd"/>
            <w:r w:rsidRPr="000201A3">
              <w:rPr>
                <w:rFonts w:asciiTheme="majorHAnsi" w:eastAsia="Times New Roman" w:hAnsiTheme="majorHAnsi"/>
                <w:sz w:val="18"/>
                <w:szCs w:val="18"/>
              </w:rPr>
              <w:t xml:space="preserve"> </w:t>
            </w:r>
            <w:proofErr w:type="spellStart"/>
            <w:r w:rsidRPr="000201A3">
              <w:rPr>
                <w:rFonts w:asciiTheme="majorHAnsi" w:eastAsia="Times New Roman" w:hAnsiTheme="majorHAnsi"/>
                <w:sz w:val="18"/>
                <w:szCs w:val="18"/>
              </w:rPr>
              <w:t>Gantes</w:t>
            </w:r>
            <w:proofErr w:type="spellEnd"/>
            <w:r w:rsidRPr="000201A3">
              <w:rPr>
                <w:rFonts w:asciiTheme="majorHAnsi" w:eastAsia="Times New Roman" w:hAnsiTheme="majorHAnsi"/>
                <w:sz w:val="18"/>
                <w:szCs w:val="18"/>
              </w:rPr>
              <w:t xml:space="preserve"> Batista</w:t>
            </w:r>
          </w:p>
        </w:tc>
        <w:tc>
          <w:tcPr>
            <w:tcW w:w="1880" w:type="dxa"/>
            <w:tcBorders>
              <w:top w:val="nil"/>
              <w:left w:val="nil"/>
              <w:bottom w:val="single" w:sz="8"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Sister</w:t>
            </w:r>
          </w:p>
        </w:tc>
        <w:tc>
          <w:tcPr>
            <w:tcW w:w="460" w:type="dxa"/>
            <w:tcBorders>
              <w:top w:val="nil"/>
              <w:left w:val="nil"/>
              <w:bottom w:val="single" w:sz="8"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31</w:t>
            </w:r>
          </w:p>
        </w:tc>
      </w:tr>
      <w:tr w:rsidR="00372982" w:rsidRPr="000201A3" w:rsidTr="00766242">
        <w:trPr>
          <w:trHeight w:val="295"/>
          <w:jc w:val="center"/>
        </w:trPr>
        <w:tc>
          <w:tcPr>
            <w:tcW w:w="450" w:type="dxa"/>
            <w:tcBorders>
              <w:top w:val="single" w:sz="4" w:space="0" w:color="auto"/>
              <w:left w:val="single" w:sz="4" w:space="0" w:color="auto"/>
              <w:bottom w:val="nil"/>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 </w:t>
            </w:r>
          </w:p>
        </w:tc>
        <w:tc>
          <w:tcPr>
            <w:tcW w:w="1614" w:type="dxa"/>
            <w:tcBorders>
              <w:top w:val="single" w:sz="4" w:space="0" w:color="auto"/>
              <w:left w:val="nil"/>
              <w:bottom w:val="nil"/>
              <w:right w:val="single" w:sz="4" w:space="0" w:color="auto"/>
            </w:tcBorders>
            <w:shd w:val="clear" w:color="auto" w:fill="auto"/>
            <w:noWrap/>
            <w:vAlign w:val="center"/>
            <w:hideMark/>
          </w:tcPr>
          <w:p w:rsidR="00372982" w:rsidRPr="000201A3" w:rsidRDefault="00372982" w:rsidP="000D61BB">
            <w:pPr>
              <w:ind w:firstLineChars="100" w:firstLine="180"/>
              <w:rPr>
                <w:rFonts w:asciiTheme="majorHAnsi" w:eastAsia="Times New Roman" w:hAnsiTheme="majorHAnsi"/>
                <w:sz w:val="18"/>
                <w:szCs w:val="18"/>
              </w:rPr>
            </w:pPr>
            <w:r w:rsidRPr="000201A3">
              <w:rPr>
                <w:rFonts w:asciiTheme="majorHAnsi" w:eastAsia="Times New Roman" w:hAnsiTheme="majorHAnsi"/>
                <w:sz w:val="18"/>
                <w:szCs w:val="18"/>
              </w:rPr>
              <w:t> </w:t>
            </w:r>
          </w:p>
        </w:tc>
        <w:tc>
          <w:tcPr>
            <w:tcW w:w="1156" w:type="dxa"/>
            <w:tcBorders>
              <w:top w:val="single" w:sz="4" w:space="0" w:color="auto"/>
              <w:left w:val="nil"/>
              <w:bottom w:val="nil"/>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 </w:t>
            </w:r>
          </w:p>
        </w:tc>
        <w:tc>
          <w:tcPr>
            <w:tcW w:w="2932" w:type="dxa"/>
            <w:tcBorders>
              <w:top w:val="single" w:sz="4" w:space="0" w:color="auto"/>
              <w:left w:val="nil"/>
              <w:bottom w:val="nil"/>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 xml:space="preserve">Maritza </w:t>
            </w:r>
            <w:proofErr w:type="spellStart"/>
            <w:r w:rsidRPr="000201A3">
              <w:rPr>
                <w:rFonts w:asciiTheme="majorHAnsi" w:eastAsia="Times New Roman" w:hAnsiTheme="majorHAnsi"/>
                <w:sz w:val="18"/>
                <w:szCs w:val="18"/>
              </w:rPr>
              <w:t>Maestre</w:t>
            </w:r>
            <w:proofErr w:type="spellEnd"/>
            <w:r w:rsidRPr="000201A3">
              <w:rPr>
                <w:rFonts w:asciiTheme="majorHAnsi" w:eastAsia="Times New Roman" w:hAnsiTheme="majorHAnsi"/>
                <w:sz w:val="18"/>
                <w:szCs w:val="18"/>
              </w:rPr>
              <w:t xml:space="preserve"> </w:t>
            </w:r>
          </w:p>
        </w:tc>
        <w:tc>
          <w:tcPr>
            <w:tcW w:w="1880" w:type="dxa"/>
            <w:tcBorders>
              <w:top w:val="single" w:sz="4" w:space="0" w:color="auto"/>
              <w:left w:val="nil"/>
              <w:bottom w:val="nil"/>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Niece/Petitioner</w:t>
            </w:r>
          </w:p>
        </w:tc>
        <w:tc>
          <w:tcPr>
            <w:tcW w:w="460" w:type="dxa"/>
            <w:tcBorders>
              <w:top w:val="single" w:sz="4" w:space="0" w:color="auto"/>
              <w:left w:val="nil"/>
              <w:bottom w:val="nil"/>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32</w:t>
            </w:r>
          </w:p>
        </w:tc>
      </w:tr>
      <w:tr w:rsidR="00372982" w:rsidRPr="000201A3" w:rsidTr="00766242">
        <w:trPr>
          <w:trHeight w:val="260"/>
          <w:jc w:val="center"/>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7</w:t>
            </w:r>
          </w:p>
        </w:tc>
        <w:tc>
          <w:tcPr>
            <w:tcW w:w="1614" w:type="dxa"/>
            <w:vMerge w:val="restart"/>
            <w:tcBorders>
              <w:top w:val="nil"/>
              <w:left w:val="single" w:sz="4" w:space="0" w:color="auto"/>
              <w:bottom w:val="single" w:sz="8" w:space="0" w:color="000000"/>
              <w:right w:val="nil"/>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Alcibiades Bethancourt A.</w:t>
            </w:r>
          </w:p>
        </w:tc>
        <w:tc>
          <w:tcPr>
            <w:tcW w:w="11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CV-D-015-01</w:t>
            </w:r>
          </w:p>
        </w:tc>
        <w:tc>
          <w:tcPr>
            <w:tcW w:w="2932" w:type="dxa"/>
            <w:tcBorders>
              <w:top w:val="single" w:sz="4" w:space="0" w:color="auto"/>
              <w:left w:val="nil"/>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proofErr w:type="spellStart"/>
            <w:r w:rsidRPr="000201A3">
              <w:rPr>
                <w:rFonts w:asciiTheme="majorHAnsi" w:eastAsia="Times New Roman" w:hAnsiTheme="majorHAnsi"/>
                <w:sz w:val="18"/>
                <w:szCs w:val="18"/>
              </w:rPr>
              <w:t>Oderay</w:t>
            </w:r>
            <w:proofErr w:type="spellEnd"/>
            <w:r w:rsidRPr="000201A3">
              <w:rPr>
                <w:rFonts w:asciiTheme="majorHAnsi" w:eastAsia="Times New Roman" w:hAnsiTheme="majorHAnsi"/>
                <w:sz w:val="18"/>
                <w:szCs w:val="18"/>
              </w:rPr>
              <w:t xml:space="preserve"> </w:t>
            </w:r>
            <w:proofErr w:type="spellStart"/>
            <w:r w:rsidRPr="000201A3">
              <w:rPr>
                <w:rFonts w:asciiTheme="majorHAnsi" w:eastAsia="Times New Roman" w:hAnsiTheme="majorHAnsi"/>
                <w:sz w:val="18"/>
                <w:szCs w:val="18"/>
              </w:rPr>
              <w:t>Bethancourt</w:t>
            </w:r>
            <w:proofErr w:type="spellEnd"/>
            <w:r w:rsidRPr="000201A3">
              <w:rPr>
                <w:rFonts w:asciiTheme="majorHAnsi" w:eastAsia="Times New Roman" w:hAnsiTheme="majorHAnsi"/>
                <w:sz w:val="18"/>
                <w:szCs w:val="18"/>
              </w:rPr>
              <w:t xml:space="preserve"> </w:t>
            </w:r>
            <w:proofErr w:type="spellStart"/>
            <w:r w:rsidRPr="000201A3">
              <w:rPr>
                <w:rFonts w:asciiTheme="majorHAnsi" w:eastAsia="Times New Roman" w:hAnsiTheme="majorHAnsi"/>
                <w:sz w:val="18"/>
                <w:szCs w:val="18"/>
              </w:rPr>
              <w:t>Aparicio</w:t>
            </w:r>
            <w:proofErr w:type="spellEnd"/>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Sister</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33</w:t>
            </w:r>
          </w:p>
        </w:tc>
      </w:tr>
      <w:tr w:rsidR="00372982" w:rsidRPr="000201A3" w:rsidTr="00766242">
        <w:trPr>
          <w:trHeight w:val="250"/>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nil"/>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 xml:space="preserve">Luis Enrique </w:t>
            </w:r>
            <w:proofErr w:type="spellStart"/>
            <w:r w:rsidRPr="000201A3">
              <w:rPr>
                <w:rFonts w:asciiTheme="majorHAnsi" w:eastAsia="Times New Roman" w:hAnsiTheme="majorHAnsi"/>
                <w:sz w:val="18"/>
                <w:szCs w:val="18"/>
              </w:rPr>
              <w:t>Bethancourt</w:t>
            </w:r>
            <w:proofErr w:type="spellEnd"/>
            <w:r w:rsidRPr="000201A3">
              <w:rPr>
                <w:rFonts w:asciiTheme="majorHAnsi" w:eastAsia="Times New Roman" w:hAnsiTheme="majorHAnsi"/>
                <w:sz w:val="18"/>
                <w:szCs w:val="18"/>
              </w:rPr>
              <w:t xml:space="preserve"> </w:t>
            </w:r>
            <w:proofErr w:type="spellStart"/>
            <w:r w:rsidRPr="000201A3">
              <w:rPr>
                <w:rFonts w:asciiTheme="majorHAnsi" w:eastAsia="Times New Roman" w:hAnsiTheme="majorHAnsi"/>
                <w:sz w:val="18"/>
                <w:szCs w:val="18"/>
              </w:rPr>
              <w:t>Aparicio</w:t>
            </w:r>
            <w:proofErr w:type="spellEnd"/>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Brother</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34</w:t>
            </w:r>
          </w:p>
        </w:tc>
      </w:tr>
      <w:tr w:rsidR="00372982" w:rsidRPr="000201A3" w:rsidTr="00766242">
        <w:trPr>
          <w:trHeight w:val="398"/>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nil"/>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proofErr w:type="spellStart"/>
            <w:r w:rsidRPr="000201A3">
              <w:rPr>
                <w:rFonts w:asciiTheme="majorHAnsi" w:eastAsia="Times New Roman" w:hAnsiTheme="majorHAnsi"/>
                <w:sz w:val="18"/>
                <w:szCs w:val="18"/>
              </w:rPr>
              <w:t>Eriberto</w:t>
            </w:r>
            <w:proofErr w:type="spellEnd"/>
            <w:r w:rsidRPr="000201A3">
              <w:rPr>
                <w:rFonts w:asciiTheme="majorHAnsi" w:eastAsia="Times New Roman" w:hAnsiTheme="majorHAnsi"/>
                <w:sz w:val="18"/>
                <w:szCs w:val="18"/>
              </w:rPr>
              <w:t xml:space="preserve"> </w:t>
            </w:r>
            <w:proofErr w:type="spellStart"/>
            <w:r w:rsidRPr="000201A3">
              <w:rPr>
                <w:rFonts w:asciiTheme="majorHAnsi" w:eastAsia="Times New Roman" w:hAnsiTheme="majorHAnsi"/>
                <w:sz w:val="18"/>
                <w:szCs w:val="18"/>
              </w:rPr>
              <w:t>Bethancourt</w:t>
            </w:r>
            <w:proofErr w:type="spellEnd"/>
            <w:r w:rsidRPr="000201A3">
              <w:rPr>
                <w:rFonts w:asciiTheme="majorHAnsi" w:eastAsia="Times New Roman" w:hAnsiTheme="majorHAnsi"/>
                <w:sz w:val="18"/>
                <w:szCs w:val="18"/>
              </w:rPr>
              <w:t xml:space="preserve"> </w:t>
            </w:r>
            <w:proofErr w:type="spellStart"/>
            <w:r w:rsidRPr="000201A3">
              <w:rPr>
                <w:rFonts w:asciiTheme="majorHAnsi" w:eastAsia="Times New Roman" w:hAnsiTheme="majorHAnsi"/>
                <w:sz w:val="18"/>
                <w:szCs w:val="18"/>
              </w:rPr>
              <w:t>Aparicio</w:t>
            </w:r>
            <w:proofErr w:type="spellEnd"/>
            <w:r w:rsidRPr="000201A3">
              <w:rPr>
                <w:rFonts w:asciiTheme="majorHAnsi" w:eastAsia="Times New Roman" w:hAnsiTheme="majorHAnsi"/>
                <w:sz w:val="18"/>
                <w:szCs w:val="18"/>
              </w:rPr>
              <w:t xml:space="preserve"> (RIP), heirs:</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Brother</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35</w:t>
            </w:r>
          </w:p>
        </w:tc>
      </w:tr>
      <w:tr w:rsidR="00372982" w:rsidRPr="000201A3" w:rsidTr="00766242">
        <w:trPr>
          <w:trHeight w:val="250"/>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nil"/>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Libia Bethancourt</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Nephew</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36</w:t>
            </w:r>
          </w:p>
        </w:tc>
      </w:tr>
      <w:tr w:rsidR="00372982" w:rsidRPr="000201A3" w:rsidTr="00766242">
        <w:trPr>
          <w:trHeight w:val="259"/>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nil"/>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proofErr w:type="spellStart"/>
            <w:r w:rsidRPr="000201A3">
              <w:rPr>
                <w:rFonts w:asciiTheme="majorHAnsi" w:eastAsia="Times New Roman" w:hAnsiTheme="majorHAnsi"/>
                <w:sz w:val="18"/>
                <w:szCs w:val="18"/>
              </w:rPr>
              <w:t>Briseida</w:t>
            </w:r>
            <w:proofErr w:type="spellEnd"/>
            <w:r w:rsidRPr="000201A3">
              <w:rPr>
                <w:rFonts w:asciiTheme="majorHAnsi" w:eastAsia="Times New Roman" w:hAnsiTheme="majorHAnsi"/>
                <w:sz w:val="18"/>
                <w:szCs w:val="18"/>
              </w:rPr>
              <w:t xml:space="preserve"> </w:t>
            </w:r>
            <w:proofErr w:type="spellStart"/>
            <w:r w:rsidRPr="000201A3">
              <w:rPr>
                <w:rFonts w:asciiTheme="majorHAnsi" w:eastAsia="Times New Roman" w:hAnsiTheme="majorHAnsi"/>
                <w:sz w:val="18"/>
                <w:szCs w:val="18"/>
              </w:rPr>
              <w:t>Bethancourt</w:t>
            </w:r>
            <w:proofErr w:type="spellEnd"/>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Nephew</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37</w:t>
            </w:r>
          </w:p>
        </w:tc>
      </w:tr>
      <w:tr w:rsidR="00372982" w:rsidRPr="000201A3" w:rsidTr="00766242">
        <w:trPr>
          <w:trHeight w:val="160"/>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nil"/>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proofErr w:type="spellStart"/>
            <w:r w:rsidRPr="000201A3">
              <w:rPr>
                <w:rFonts w:asciiTheme="majorHAnsi" w:eastAsia="Times New Roman" w:hAnsiTheme="majorHAnsi"/>
                <w:sz w:val="18"/>
                <w:szCs w:val="18"/>
              </w:rPr>
              <w:t>Dominga</w:t>
            </w:r>
            <w:proofErr w:type="spellEnd"/>
            <w:r w:rsidRPr="000201A3">
              <w:rPr>
                <w:rFonts w:asciiTheme="majorHAnsi" w:eastAsia="Times New Roman" w:hAnsiTheme="majorHAnsi"/>
                <w:sz w:val="18"/>
                <w:szCs w:val="18"/>
              </w:rPr>
              <w:t xml:space="preserve"> </w:t>
            </w:r>
            <w:proofErr w:type="spellStart"/>
            <w:r w:rsidRPr="000201A3">
              <w:rPr>
                <w:rFonts w:asciiTheme="majorHAnsi" w:eastAsia="Times New Roman" w:hAnsiTheme="majorHAnsi"/>
                <w:sz w:val="18"/>
                <w:szCs w:val="18"/>
              </w:rPr>
              <w:t>Bethancourt</w:t>
            </w:r>
            <w:proofErr w:type="spellEnd"/>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Nephew</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38</w:t>
            </w:r>
          </w:p>
        </w:tc>
      </w:tr>
      <w:tr w:rsidR="00372982" w:rsidRPr="000201A3" w:rsidTr="00766242">
        <w:trPr>
          <w:trHeight w:val="196"/>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nil"/>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Eriberto E. Bethancourt</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Nephew</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39</w:t>
            </w:r>
          </w:p>
        </w:tc>
      </w:tr>
      <w:tr w:rsidR="00372982" w:rsidRPr="000201A3" w:rsidTr="00766242">
        <w:trPr>
          <w:trHeight w:val="241"/>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nil"/>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proofErr w:type="spellStart"/>
            <w:r w:rsidRPr="000201A3">
              <w:rPr>
                <w:rFonts w:asciiTheme="majorHAnsi" w:eastAsia="Times New Roman" w:hAnsiTheme="majorHAnsi"/>
                <w:sz w:val="18"/>
                <w:szCs w:val="18"/>
              </w:rPr>
              <w:t>Raúl</w:t>
            </w:r>
            <w:proofErr w:type="spellEnd"/>
            <w:r w:rsidRPr="000201A3">
              <w:rPr>
                <w:rFonts w:asciiTheme="majorHAnsi" w:eastAsia="Times New Roman" w:hAnsiTheme="majorHAnsi"/>
                <w:sz w:val="18"/>
                <w:szCs w:val="18"/>
              </w:rPr>
              <w:t xml:space="preserve"> </w:t>
            </w:r>
            <w:proofErr w:type="spellStart"/>
            <w:r w:rsidRPr="000201A3">
              <w:rPr>
                <w:rFonts w:asciiTheme="majorHAnsi" w:eastAsia="Times New Roman" w:hAnsiTheme="majorHAnsi"/>
                <w:sz w:val="18"/>
                <w:szCs w:val="18"/>
              </w:rPr>
              <w:t>Adrián</w:t>
            </w:r>
            <w:proofErr w:type="spellEnd"/>
            <w:r w:rsidRPr="000201A3">
              <w:rPr>
                <w:rFonts w:asciiTheme="majorHAnsi" w:eastAsia="Times New Roman" w:hAnsiTheme="majorHAnsi"/>
                <w:sz w:val="18"/>
                <w:szCs w:val="18"/>
              </w:rPr>
              <w:t xml:space="preserve"> </w:t>
            </w:r>
            <w:proofErr w:type="spellStart"/>
            <w:r w:rsidRPr="000201A3">
              <w:rPr>
                <w:rFonts w:asciiTheme="majorHAnsi" w:eastAsia="Times New Roman" w:hAnsiTheme="majorHAnsi"/>
                <w:sz w:val="18"/>
                <w:szCs w:val="18"/>
              </w:rPr>
              <w:t>Bethancourt</w:t>
            </w:r>
            <w:proofErr w:type="spellEnd"/>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Nephew</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40</w:t>
            </w:r>
          </w:p>
        </w:tc>
      </w:tr>
      <w:tr w:rsidR="00372982" w:rsidRPr="000201A3" w:rsidTr="00766242">
        <w:trPr>
          <w:trHeight w:val="398"/>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nil"/>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 xml:space="preserve">Luis Alberto </w:t>
            </w:r>
            <w:proofErr w:type="spellStart"/>
            <w:r w:rsidRPr="000201A3">
              <w:rPr>
                <w:rFonts w:asciiTheme="majorHAnsi" w:eastAsia="Times New Roman" w:hAnsiTheme="majorHAnsi"/>
                <w:sz w:val="18"/>
                <w:szCs w:val="18"/>
              </w:rPr>
              <w:t>Bethancourt</w:t>
            </w:r>
            <w:proofErr w:type="spellEnd"/>
            <w:r w:rsidRPr="000201A3">
              <w:rPr>
                <w:rFonts w:asciiTheme="majorHAnsi" w:eastAsia="Times New Roman" w:hAnsiTheme="majorHAnsi"/>
                <w:sz w:val="18"/>
                <w:szCs w:val="18"/>
              </w:rPr>
              <w:t xml:space="preserve"> </w:t>
            </w:r>
            <w:proofErr w:type="spellStart"/>
            <w:r w:rsidRPr="000201A3">
              <w:rPr>
                <w:rFonts w:asciiTheme="majorHAnsi" w:eastAsia="Times New Roman" w:hAnsiTheme="majorHAnsi"/>
                <w:sz w:val="18"/>
                <w:szCs w:val="18"/>
              </w:rPr>
              <w:t>Aparicio</w:t>
            </w:r>
            <w:proofErr w:type="spellEnd"/>
            <w:r w:rsidRPr="000201A3">
              <w:rPr>
                <w:rFonts w:asciiTheme="majorHAnsi" w:eastAsia="Times New Roman" w:hAnsiTheme="majorHAnsi"/>
                <w:sz w:val="18"/>
                <w:szCs w:val="18"/>
              </w:rPr>
              <w:t xml:space="preserve"> (RIP), heirs:</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Brother</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41</w:t>
            </w:r>
          </w:p>
        </w:tc>
      </w:tr>
      <w:tr w:rsidR="00372982" w:rsidRPr="000201A3" w:rsidTr="00766242">
        <w:trPr>
          <w:trHeight w:val="250"/>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nil"/>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Rubén Elias Bethancourt</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Nephew</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42</w:t>
            </w:r>
          </w:p>
        </w:tc>
      </w:tr>
      <w:tr w:rsidR="00372982" w:rsidRPr="000201A3" w:rsidTr="00766242">
        <w:trPr>
          <w:trHeight w:val="250"/>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nil"/>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Xenia Bethancourt</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Nephew</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43</w:t>
            </w:r>
          </w:p>
        </w:tc>
      </w:tr>
      <w:tr w:rsidR="00372982" w:rsidRPr="000201A3" w:rsidTr="00766242">
        <w:trPr>
          <w:trHeight w:val="250"/>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nil"/>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Luis Bethancourt</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Nephew</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44</w:t>
            </w:r>
          </w:p>
        </w:tc>
      </w:tr>
      <w:tr w:rsidR="00372982" w:rsidRPr="000201A3" w:rsidTr="00766242">
        <w:trPr>
          <w:trHeight w:val="169"/>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nil"/>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Irina Bethancourt</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Nephew</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45</w:t>
            </w:r>
          </w:p>
        </w:tc>
      </w:tr>
      <w:tr w:rsidR="00372982" w:rsidRPr="000201A3" w:rsidTr="00766242">
        <w:trPr>
          <w:trHeight w:val="398"/>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nil"/>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 xml:space="preserve">Martha Irene </w:t>
            </w:r>
            <w:proofErr w:type="spellStart"/>
            <w:r w:rsidRPr="000201A3">
              <w:rPr>
                <w:rFonts w:asciiTheme="majorHAnsi" w:eastAsia="Times New Roman" w:hAnsiTheme="majorHAnsi"/>
                <w:sz w:val="18"/>
                <w:szCs w:val="18"/>
              </w:rPr>
              <w:t>Bethancourt</w:t>
            </w:r>
            <w:proofErr w:type="spellEnd"/>
            <w:r w:rsidRPr="000201A3">
              <w:rPr>
                <w:rFonts w:asciiTheme="majorHAnsi" w:eastAsia="Times New Roman" w:hAnsiTheme="majorHAnsi"/>
                <w:sz w:val="18"/>
                <w:szCs w:val="18"/>
              </w:rPr>
              <w:t xml:space="preserve"> </w:t>
            </w:r>
            <w:proofErr w:type="spellStart"/>
            <w:r w:rsidRPr="000201A3">
              <w:rPr>
                <w:rFonts w:asciiTheme="majorHAnsi" w:eastAsia="Times New Roman" w:hAnsiTheme="majorHAnsi"/>
                <w:sz w:val="18"/>
                <w:szCs w:val="18"/>
              </w:rPr>
              <w:t>Aparicio</w:t>
            </w:r>
            <w:proofErr w:type="spellEnd"/>
            <w:r w:rsidRPr="000201A3">
              <w:rPr>
                <w:rFonts w:asciiTheme="majorHAnsi" w:eastAsia="Times New Roman" w:hAnsiTheme="majorHAnsi"/>
                <w:sz w:val="18"/>
                <w:szCs w:val="18"/>
              </w:rPr>
              <w:t xml:space="preserve"> (RIP), heirs:</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Sister</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45</w:t>
            </w:r>
          </w:p>
        </w:tc>
      </w:tr>
      <w:tr w:rsidR="00372982" w:rsidRPr="000201A3" w:rsidTr="00766242">
        <w:trPr>
          <w:trHeight w:val="205"/>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nil"/>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Luz Graciel Bethancourt</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Nephew</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47</w:t>
            </w:r>
          </w:p>
        </w:tc>
      </w:tr>
      <w:tr w:rsidR="00372982" w:rsidRPr="000201A3" w:rsidTr="00766242">
        <w:trPr>
          <w:trHeight w:val="160"/>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nil"/>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Abi Liz Bethancourt</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Nephew</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48</w:t>
            </w:r>
          </w:p>
        </w:tc>
      </w:tr>
      <w:tr w:rsidR="00372982" w:rsidRPr="000201A3" w:rsidTr="00766242">
        <w:trPr>
          <w:trHeight w:val="398"/>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nil"/>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 xml:space="preserve">Francisco </w:t>
            </w:r>
            <w:proofErr w:type="spellStart"/>
            <w:r w:rsidRPr="000201A3">
              <w:rPr>
                <w:rFonts w:asciiTheme="majorHAnsi" w:eastAsia="Times New Roman" w:hAnsiTheme="majorHAnsi"/>
                <w:sz w:val="18"/>
                <w:szCs w:val="18"/>
              </w:rPr>
              <w:t>Bethancourt</w:t>
            </w:r>
            <w:proofErr w:type="spellEnd"/>
            <w:r w:rsidRPr="000201A3">
              <w:rPr>
                <w:rFonts w:asciiTheme="majorHAnsi" w:eastAsia="Times New Roman" w:hAnsiTheme="majorHAnsi"/>
                <w:sz w:val="18"/>
                <w:szCs w:val="18"/>
              </w:rPr>
              <w:t xml:space="preserve"> </w:t>
            </w:r>
            <w:proofErr w:type="spellStart"/>
            <w:r w:rsidRPr="000201A3">
              <w:rPr>
                <w:rFonts w:asciiTheme="majorHAnsi" w:eastAsia="Times New Roman" w:hAnsiTheme="majorHAnsi"/>
                <w:sz w:val="18"/>
                <w:szCs w:val="18"/>
              </w:rPr>
              <w:t>Aparicio</w:t>
            </w:r>
            <w:proofErr w:type="spellEnd"/>
            <w:r w:rsidRPr="000201A3">
              <w:rPr>
                <w:rFonts w:asciiTheme="majorHAnsi" w:eastAsia="Times New Roman" w:hAnsiTheme="majorHAnsi"/>
                <w:sz w:val="18"/>
                <w:szCs w:val="18"/>
              </w:rPr>
              <w:t xml:space="preserve"> (RIP), heirs:</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Brother</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49</w:t>
            </w:r>
          </w:p>
        </w:tc>
      </w:tr>
      <w:tr w:rsidR="00372982" w:rsidRPr="000201A3" w:rsidTr="00766242">
        <w:trPr>
          <w:trHeight w:val="205"/>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nil"/>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8"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Grissel Bethancourt</w:t>
            </w:r>
          </w:p>
        </w:tc>
        <w:tc>
          <w:tcPr>
            <w:tcW w:w="1880" w:type="dxa"/>
            <w:tcBorders>
              <w:top w:val="nil"/>
              <w:left w:val="nil"/>
              <w:bottom w:val="single" w:sz="8"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Nephew</w:t>
            </w:r>
          </w:p>
        </w:tc>
        <w:tc>
          <w:tcPr>
            <w:tcW w:w="460" w:type="dxa"/>
            <w:tcBorders>
              <w:top w:val="nil"/>
              <w:left w:val="nil"/>
              <w:bottom w:val="single" w:sz="8"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50</w:t>
            </w:r>
          </w:p>
        </w:tc>
      </w:tr>
      <w:tr w:rsidR="00372982" w:rsidRPr="000201A3" w:rsidTr="00766242">
        <w:trPr>
          <w:trHeight w:val="241"/>
          <w:jc w:val="center"/>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8</w:t>
            </w:r>
          </w:p>
        </w:tc>
        <w:tc>
          <w:tcPr>
            <w:tcW w:w="161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 xml:space="preserve">Manuel A. </w:t>
            </w:r>
            <w:proofErr w:type="spellStart"/>
            <w:r w:rsidRPr="000201A3">
              <w:rPr>
                <w:rFonts w:asciiTheme="majorHAnsi" w:eastAsia="Times New Roman" w:hAnsiTheme="majorHAnsi"/>
                <w:sz w:val="18"/>
                <w:szCs w:val="18"/>
              </w:rPr>
              <w:t>Díaz</w:t>
            </w:r>
            <w:proofErr w:type="spellEnd"/>
            <w:r w:rsidRPr="000201A3">
              <w:rPr>
                <w:rFonts w:asciiTheme="majorHAnsi" w:eastAsia="Times New Roman" w:hAnsiTheme="majorHAnsi"/>
                <w:sz w:val="18"/>
                <w:szCs w:val="18"/>
              </w:rPr>
              <w:t xml:space="preserve"> </w:t>
            </w:r>
            <w:proofErr w:type="spellStart"/>
            <w:r w:rsidRPr="000201A3">
              <w:rPr>
                <w:rFonts w:asciiTheme="majorHAnsi" w:eastAsia="Times New Roman" w:hAnsiTheme="majorHAnsi"/>
                <w:sz w:val="18"/>
                <w:szCs w:val="18"/>
              </w:rPr>
              <w:t>Adames</w:t>
            </w:r>
            <w:proofErr w:type="spellEnd"/>
          </w:p>
        </w:tc>
        <w:tc>
          <w:tcPr>
            <w:tcW w:w="115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CV-A-024-01</w:t>
            </w:r>
          </w:p>
        </w:tc>
        <w:tc>
          <w:tcPr>
            <w:tcW w:w="2932"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 xml:space="preserve">Anette Marisol Rosas </w:t>
            </w:r>
            <w:proofErr w:type="spellStart"/>
            <w:r w:rsidRPr="000201A3">
              <w:rPr>
                <w:rFonts w:asciiTheme="majorHAnsi" w:eastAsia="Times New Roman" w:hAnsiTheme="majorHAnsi"/>
                <w:sz w:val="18"/>
                <w:szCs w:val="18"/>
              </w:rPr>
              <w:t>Adames</w:t>
            </w:r>
            <w:proofErr w:type="spellEnd"/>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Sister/Petitioner</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51</w:t>
            </w:r>
          </w:p>
        </w:tc>
      </w:tr>
      <w:tr w:rsidR="00372982" w:rsidRPr="000201A3" w:rsidTr="00766242">
        <w:trPr>
          <w:trHeight w:val="259"/>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 xml:space="preserve">Ricardo Orlando </w:t>
            </w:r>
            <w:proofErr w:type="spellStart"/>
            <w:r w:rsidRPr="000201A3">
              <w:rPr>
                <w:rFonts w:asciiTheme="majorHAnsi" w:eastAsia="Times New Roman" w:hAnsiTheme="majorHAnsi"/>
                <w:sz w:val="18"/>
                <w:szCs w:val="18"/>
              </w:rPr>
              <w:t>Belloso</w:t>
            </w:r>
            <w:proofErr w:type="spellEnd"/>
            <w:r w:rsidRPr="000201A3">
              <w:rPr>
                <w:rFonts w:asciiTheme="majorHAnsi" w:eastAsia="Times New Roman" w:hAnsiTheme="majorHAnsi"/>
                <w:sz w:val="18"/>
                <w:szCs w:val="18"/>
              </w:rPr>
              <w:t xml:space="preserve"> </w:t>
            </w:r>
            <w:proofErr w:type="spellStart"/>
            <w:r w:rsidRPr="000201A3">
              <w:rPr>
                <w:rFonts w:asciiTheme="majorHAnsi" w:eastAsia="Times New Roman" w:hAnsiTheme="majorHAnsi"/>
                <w:sz w:val="18"/>
                <w:szCs w:val="18"/>
              </w:rPr>
              <w:t>Adames</w:t>
            </w:r>
            <w:proofErr w:type="spellEnd"/>
          </w:p>
        </w:tc>
        <w:tc>
          <w:tcPr>
            <w:tcW w:w="1880"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Sister</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52</w:t>
            </w:r>
          </w:p>
        </w:tc>
      </w:tr>
      <w:tr w:rsidR="00372982" w:rsidRPr="000201A3" w:rsidTr="00766242">
        <w:trPr>
          <w:trHeight w:val="241"/>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Manuel Alberto Diaz Fernández</w:t>
            </w:r>
          </w:p>
        </w:tc>
        <w:tc>
          <w:tcPr>
            <w:tcW w:w="1880"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Son</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53</w:t>
            </w:r>
          </w:p>
        </w:tc>
      </w:tr>
      <w:tr w:rsidR="00372982" w:rsidRPr="000201A3" w:rsidTr="00766242">
        <w:trPr>
          <w:trHeight w:val="160"/>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 xml:space="preserve">Aurea </w:t>
            </w:r>
            <w:proofErr w:type="spellStart"/>
            <w:r w:rsidRPr="000201A3">
              <w:rPr>
                <w:rFonts w:asciiTheme="majorHAnsi" w:eastAsia="Times New Roman" w:hAnsiTheme="majorHAnsi"/>
                <w:sz w:val="18"/>
                <w:szCs w:val="18"/>
              </w:rPr>
              <w:t>Maruja</w:t>
            </w:r>
            <w:proofErr w:type="spellEnd"/>
            <w:r w:rsidRPr="000201A3">
              <w:rPr>
                <w:rFonts w:asciiTheme="majorHAnsi" w:eastAsia="Times New Roman" w:hAnsiTheme="majorHAnsi"/>
                <w:sz w:val="18"/>
                <w:szCs w:val="18"/>
              </w:rPr>
              <w:t xml:space="preserve"> </w:t>
            </w:r>
            <w:proofErr w:type="spellStart"/>
            <w:r w:rsidRPr="000201A3">
              <w:rPr>
                <w:rFonts w:asciiTheme="majorHAnsi" w:eastAsia="Times New Roman" w:hAnsiTheme="majorHAnsi"/>
                <w:sz w:val="18"/>
                <w:szCs w:val="18"/>
              </w:rPr>
              <w:t>Fernández</w:t>
            </w:r>
            <w:proofErr w:type="spellEnd"/>
            <w:r w:rsidRPr="000201A3">
              <w:rPr>
                <w:rFonts w:asciiTheme="majorHAnsi" w:eastAsia="Times New Roman" w:hAnsiTheme="majorHAnsi"/>
                <w:sz w:val="18"/>
                <w:szCs w:val="18"/>
              </w:rPr>
              <w:t xml:space="preserve"> Romero </w:t>
            </w:r>
          </w:p>
        </w:tc>
        <w:tc>
          <w:tcPr>
            <w:tcW w:w="1880"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Widow</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54</w:t>
            </w:r>
          </w:p>
        </w:tc>
      </w:tr>
      <w:tr w:rsidR="00372982" w:rsidRPr="000201A3" w:rsidTr="00766242">
        <w:trPr>
          <w:trHeight w:val="205"/>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proofErr w:type="spellStart"/>
            <w:r w:rsidRPr="000201A3">
              <w:rPr>
                <w:rFonts w:asciiTheme="majorHAnsi" w:eastAsia="Times New Roman" w:hAnsiTheme="majorHAnsi"/>
                <w:sz w:val="18"/>
                <w:szCs w:val="18"/>
              </w:rPr>
              <w:t>Balbina</w:t>
            </w:r>
            <w:proofErr w:type="spellEnd"/>
            <w:r w:rsidRPr="000201A3">
              <w:rPr>
                <w:rFonts w:asciiTheme="majorHAnsi" w:eastAsia="Times New Roman" w:hAnsiTheme="majorHAnsi"/>
                <w:sz w:val="18"/>
                <w:szCs w:val="18"/>
              </w:rPr>
              <w:t xml:space="preserve"> Cristina </w:t>
            </w:r>
            <w:proofErr w:type="spellStart"/>
            <w:r w:rsidRPr="000201A3">
              <w:rPr>
                <w:rFonts w:asciiTheme="majorHAnsi" w:eastAsia="Times New Roman" w:hAnsiTheme="majorHAnsi"/>
                <w:sz w:val="18"/>
                <w:szCs w:val="18"/>
              </w:rPr>
              <w:t>Díaz</w:t>
            </w:r>
            <w:proofErr w:type="spellEnd"/>
            <w:r w:rsidRPr="000201A3">
              <w:rPr>
                <w:rFonts w:asciiTheme="majorHAnsi" w:eastAsia="Times New Roman" w:hAnsiTheme="majorHAnsi"/>
                <w:sz w:val="18"/>
                <w:szCs w:val="18"/>
              </w:rPr>
              <w:t xml:space="preserve"> Camilo</w:t>
            </w:r>
          </w:p>
        </w:tc>
        <w:tc>
          <w:tcPr>
            <w:tcW w:w="1880"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Sister</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55</w:t>
            </w:r>
          </w:p>
        </w:tc>
      </w:tr>
      <w:tr w:rsidR="00372982" w:rsidRPr="000201A3" w:rsidTr="00766242">
        <w:trPr>
          <w:trHeight w:val="250"/>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DF2496" w:rsidRDefault="00372982" w:rsidP="000D61BB">
            <w:pPr>
              <w:rPr>
                <w:rFonts w:asciiTheme="majorHAnsi" w:eastAsia="Times New Roman" w:hAnsiTheme="majorHAnsi"/>
                <w:sz w:val="18"/>
                <w:szCs w:val="18"/>
                <w:lang w:val="pt-BR"/>
              </w:rPr>
            </w:pPr>
            <w:r w:rsidRPr="00DF2496">
              <w:rPr>
                <w:rFonts w:asciiTheme="majorHAnsi" w:eastAsia="Times New Roman" w:hAnsiTheme="majorHAnsi"/>
                <w:sz w:val="18"/>
                <w:szCs w:val="18"/>
                <w:lang w:val="pt-BR"/>
              </w:rPr>
              <w:t>Víctor Manuel Díaz Camilo (RIP), heirs:</w:t>
            </w:r>
          </w:p>
        </w:tc>
        <w:tc>
          <w:tcPr>
            <w:tcW w:w="1880"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Brother</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56</w:t>
            </w:r>
          </w:p>
        </w:tc>
      </w:tr>
      <w:tr w:rsidR="00372982" w:rsidRPr="000201A3" w:rsidTr="00766242">
        <w:trPr>
          <w:trHeight w:val="151"/>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Carmen Julia Díaz Anzoátegui</w:t>
            </w:r>
          </w:p>
        </w:tc>
        <w:tc>
          <w:tcPr>
            <w:tcW w:w="1880"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Nephew</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57</w:t>
            </w:r>
          </w:p>
        </w:tc>
      </w:tr>
      <w:tr w:rsidR="00372982" w:rsidRPr="000201A3" w:rsidTr="00766242">
        <w:trPr>
          <w:trHeight w:val="187"/>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Víctor Manuel Díaz Anzoátegui</w:t>
            </w:r>
          </w:p>
        </w:tc>
        <w:tc>
          <w:tcPr>
            <w:tcW w:w="1880"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Nephew</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58</w:t>
            </w:r>
          </w:p>
        </w:tc>
      </w:tr>
      <w:tr w:rsidR="00372982" w:rsidRPr="000201A3" w:rsidTr="00766242">
        <w:trPr>
          <w:trHeight w:val="232"/>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DF2496" w:rsidRDefault="00372982" w:rsidP="000D61BB">
            <w:pPr>
              <w:rPr>
                <w:rFonts w:asciiTheme="majorHAnsi" w:eastAsia="Times New Roman" w:hAnsiTheme="majorHAnsi"/>
                <w:sz w:val="18"/>
                <w:szCs w:val="18"/>
                <w:lang w:val="es-ES"/>
              </w:rPr>
            </w:pPr>
            <w:r w:rsidRPr="00DF2496">
              <w:rPr>
                <w:rFonts w:asciiTheme="majorHAnsi" w:eastAsia="Times New Roman" w:hAnsiTheme="majorHAnsi"/>
                <w:sz w:val="18"/>
                <w:szCs w:val="18"/>
                <w:lang w:val="es-ES"/>
              </w:rPr>
              <w:t xml:space="preserve">Carlos Antonio Díaz Camilo (RIP), </w:t>
            </w:r>
            <w:proofErr w:type="spellStart"/>
            <w:r w:rsidRPr="00DF2496">
              <w:rPr>
                <w:rFonts w:asciiTheme="majorHAnsi" w:eastAsia="Times New Roman" w:hAnsiTheme="majorHAnsi"/>
                <w:sz w:val="18"/>
                <w:szCs w:val="18"/>
                <w:lang w:val="es-ES"/>
              </w:rPr>
              <w:t>heirs</w:t>
            </w:r>
            <w:proofErr w:type="spellEnd"/>
            <w:r w:rsidRPr="00DF2496">
              <w:rPr>
                <w:rFonts w:asciiTheme="majorHAnsi" w:eastAsia="Times New Roman" w:hAnsiTheme="majorHAnsi"/>
                <w:sz w:val="18"/>
                <w:szCs w:val="18"/>
                <w:lang w:val="es-ES"/>
              </w:rPr>
              <w:t>:</w:t>
            </w:r>
          </w:p>
        </w:tc>
        <w:tc>
          <w:tcPr>
            <w:tcW w:w="1880"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Brother</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59</w:t>
            </w:r>
          </w:p>
        </w:tc>
      </w:tr>
      <w:tr w:rsidR="00372982" w:rsidRPr="000201A3" w:rsidTr="00766242">
        <w:trPr>
          <w:trHeight w:val="250"/>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 xml:space="preserve">Carlos Antonio </w:t>
            </w:r>
            <w:proofErr w:type="spellStart"/>
            <w:r w:rsidRPr="000201A3">
              <w:rPr>
                <w:rFonts w:asciiTheme="majorHAnsi" w:eastAsia="Times New Roman" w:hAnsiTheme="majorHAnsi"/>
                <w:sz w:val="18"/>
                <w:szCs w:val="18"/>
              </w:rPr>
              <w:t>Díaz</w:t>
            </w:r>
            <w:proofErr w:type="spellEnd"/>
            <w:r w:rsidRPr="000201A3">
              <w:rPr>
                <w:rFonts w:asciiTheme="majorHAnsi" w:eastAsia="Times New Roman" w:hAnsiTheme="majorHAnsi"/>
                <w:sz w:val="18"/>
                <w:szCs w:val="18"/>
              </w:rPr>
              <w:t xml:space="preserve"> </w:t>
            </w:r>
            <w:proofErr w:type="spellStart"/>
            <w:r w:rsidRPr="000201A3">
              <w:rPr>
                <w:rFonts w:asciiTheme="majorHAnsi" w:eastAsia="Times New Roman" w:hAnsiTheme="majorHAnsi"/>
                <w:sz w:val="18"/>
                <w:szCs w:val="18"/>
              </w:rPr>
              <w:t>Quiles</w:t>
            </w:r>
            <w:proofErr w:type="spellEnd"/>
          </w:p>
        </w:tc>
        <w:tc>
          <w:tcPr>
            <w:tcW w:w="1880" w:type="dxa"/>
            <w:tcBorders>
              <w:top w:val="nil"/>
              <w:left w:val="nil"/>
              <w:bottom w:val="single" w:sz="4" w:space="0" w:color="auto"/>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Nephew</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60</w:t>
            </w:r>
          </w:p>
        </w:tc>
      </w:tr>
      <w:tr w:rsidR="00372982" w:rsidRPr="000201A3" w:rsidTr="00766242">
        <w:trPr>
          <w:trHeight w:val="241"/>
          <w:jc w:val="center"/>
        </w:trPr>
        <w:tc>
          <w:tcPr>
            <w:tcW w:w="450" w:type="dxa"/>
            <w:vMerge/>
            <w:tcBorders>
              <w:top w:val="nil"/>
              <w:left w:val="single" w:sz="4" w:space="0" w:color="auto"/>
              <w:bottom w:val="single" w:sz="4" w:space="0" w:color="auto"/>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372982" w:rsidRPr="000201A3" w:rsidRDefault="00372982" w:rsidP="000D61BB">
            <w:pPr>
              <w:rPr>
                <w:rFonts w:asciiTheme="majorHAnsi" w:eastAsia="Times New Roman" w:hAnsiTheme="majorHAnsi"/>
                <w:sz w:val="18"/>
                <w:szCs w:val="18"/>
              </w:rPr>
            </w:pPr>
          </w:p>
        </w:tc>
        <w:tc>
          <w:tcPr>
            <w:tcW w:w="2932" w:type="dxa"/>
            <w:tcBorders>
              <w:top w:val="nil"/>
              <w:left w:val="nil"/>
              <w:bottom w:val="single" w:sz="8" w:space="0" w:color="auto"/>
              <w:right w:val="single" w:sz="4" w:space="0" w:color="auto"/>
            </w:tcBorders>
            <w:shd w:val="clear" w:color="000000" w:fill="FFFFFF"/>
            <w:noWrap/>
            <w:vAlign w:val="center"/>
            <w:hideMark/>
          </w:tcPr>
          <w:p w:rsidR="00372982" w:rsidRPr="000201A3" w:rsidRDefault="00372982" w:rsidP="000D61BB">
            <w:pPr>
              <w:rPr>
                <w:rFonts w:asciiTheme="majorHAnsi" w:eastAsia="Times New Roman" w:hAnsiTheme="majorHAnsi"/>
                <w:sz w:val="18"/>
                <w:szCs w:val="18"/>
              </w:rPr>
            </w:pPr>
            <w:r w:rsidRPr="000201A3">
              <w:rPr>
                <w:rFonts w:asciiTheme="majorHAnsi" w:eastAsia="Times New Roman" w:hAnsiTheme="majorHAnsi"/>
                <w:sz w:val="18"/>
                <w:szCs w:val="18"/>
              </w:rPr>
              <w:t xml:space="preserve">Davis Antonio Diaz </w:t>
            </w:r>
            <w:proofErr w:type="spellStart"/>
            <w:r w:rsidRPr="000201A3">
              <w:rPr>
                <w:rFonts w:asciiTheme="majorHAnsi" w:eastAsia="Times New Roman" w:hAnsiTheme="majorHAnsi"/>
                <w:sz w:val="18"/>
                <w:szCs w:val="18"/>
              </w:rPr>
              <w:t>Quiles</w:t>
            </w:r>
            <w:proofErr w:type="spellEnd"/>
          </w:p>
        </w:tc>
        <w:tc>
          <w:tcPr>
            <w:tcW w:w="1880" w:type="dxa"/>
            <w:tcBorders>
              <w:top w:val="nil"/>
              <w:left w:val="nil"/>
              <w:bottom w:val="single" w:sz="8" w:space="0" w:color="auto"/>
              <w:right w:val="single" w:sz="4" w:space="0" w:color="auto"/>
            </w:tcBorders>
            <w:shd w:val="clear" w:color="000000" w:fill="FFFFFF"/>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Nephew</w:t>
            </w:r>
          </w:p>
        </w:tc>
        <w:tc>
          <w:tcPr>
            <w:tcW w:w="460" w:type="dxa"/>
            <w:tcBorders>
              <w:top w:val="nil"/>
              <w:left w:val="nil"/>
              <w:bottom w:val="single" w:sz="8"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61</w:t>
            </w:r>
          </w:p>
        </w:tc>
      </w:tr>
      <w:tr w:rsidR="00372982" w:rsidRPr="000201A3" w:rsidTr="00766242">
        <w:trPr>
          <w:trHeight w:val="259"/>
          <w:jc w:val="center"/>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9</w:t>
            </w:r>
          </w:p>
        </w:tc>
        <w:tc>
          <w:tcPr>
            <w:tcW w:w="16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proofErr w:type="spellStart"/>
            <w:r w:rsidRPr="000201A3">
              <w:rPr>
                <w:rFonts w:asciiTheme="majorHAnsi" w:eastAsia="Times New Roman" w:hAnsiTheme="majorHAnsi"/>
                <w:sz w:val="18"/>
                <w:szCs w:val="18"/>
              </w:rPr>
              <w:t>Narciso</w:t>
            </w:r>
            <w:proofErr w:type="spellEnd"/>
            <w:r w:rsidRPr="000201A3">
              <w:rPr>
                <w:rFonts w:asciiTheme="majorHAnsi" w:eastAsia="Times New Roman" w:hAnsiTheme="majorHAnsi"/>
                <w:sz w:val="18"/>
                <w:szCs w:val="18"/>
              </w:rPr>
              <w:t xml:space="preserve"> </w:t>
            </w:r>
            <w:proofErr w:type="spellStart"/>
            <w:r w:rsidRPr="000201A3">
              <w:rPr>
                <w:rFonts w:asciiTheme="majorHAnsi" w:eastAsia="Times New Roman" w:hAnsiTheme="majorHAnsi"/>
                <w:sz w:val="18"/>
                <w:szCs w:val="18"/>
              </w:rPr>
              <w:t>Cubas</w:t>
            </w:r>
            <w:proofErr w:type="spellEnd"/>
          </w:p>
        </w:tc>
        <w:tc>
          <w:tcPr>
            <w:tcW w:w="11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CV-A-020-01</w:t>
            </w:r>
          </w:p>
        </w:tc>
        <w:tc>
          <w:tcPr>
            <w:tcW w:w="2932"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rPr>
                <w:rFonts w:asciiTheme="majorHAnsi" w:eastAsia="Times New Roman" w:hAnsiTheme="majorHAnsi"/>
                <w:sz w:val="18"/>
                <w:szCs w:val="18"/>
              </w:rPr>
            </w:pPr>
            <w:proofErr w:type="spellStart"/>
            <w:r w:rsidRPr="000201A3">
              <w:rPr>
                <w:rFonts w:asciiTheme="majorHAnsi" w:eastAsia="Times New Roman" w:hAnsiTheme="majorHAnsi"/>
                <w:sz w:val="18"/>
                <w:szCs w:val="18"/>
              </w:rPr>
              <w:t>Raúl</w:t>
            </w:r>
            <w:proofErr w:type="spellEnd"/>
            <w:r w:rsidRPr="000201A3">
              <w:rPr>
                <w:rFonts w:asciiTheme="majorHAnsi" w:eastAsia="Times New Roman" w:hAnsiTheme="majorHAnsi"/>
                <w:sz w:val="18"/>
                <w:szCs w:val="18"/>
              </w:rPr>
              <w:t xml:space="preserve"> </w:t>
            </w:r>
            <w:proofErr w:type="spellStart"/>
            <w:r w:rsidRPr="000201A3">
              <w:rPr>
                <w:rFonts w:asciiTheme="majorHAnsi" w:eastAsia="Times New Roman" w:hAnsiTheme="majorHAnsi"/>
                <w:sz w:val="18"/>
                <w:szCs w:val="18"/>
              </w:rPr>
              <w:t>Cubas</w:t>
            </w:r>
            <w:proofErr w:type="spellEnd"/>
            <w:r w:rsidRPr="000201A3">
              <w:rPr>
                <w:rFonts w:asciiTheme="majorHAnsi" w:eastAsia="Times New Roman" w:hAnsiTheme="majorHAnsi"/>
                <w:sz w:val="18"/>
                <w:szCs w:val="18"/>
              </w:rPr>
              <w:t xml:space="preserve"> Pérez</w:t>
            </w:r>
          </w:p>
        </w:tc>
        <w:tc>
          <w:tcPr>
            <w:tcW w:w="188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Son</w:t>
            </w:r>
          </w:p>
        </w:tc>
        <w:tc>
          <w:tcPr>
            <w:tcW w:w="460" w:type="dxa"/>
            <w:tcBorders>
              <w:top w:val="nil"/>
              <w:left w:val="nil"/>
              <w:bottom w:val="single" w:sz="4" w:space="0" w:color="auto"/>
              <w:right w:val="single" w:sz="4" w:space="0" w:color="auto"/>
            </w:tcBorders>
            <w:shd w:val="clear" w:color="auto" w:fill="auto"/>
            <w:noWrap/>
            <w:vAlign w:val="center"/>
            <w:hideMark/>
          </w:tcPr>
          <w:p w:rsidR="00372982" w:rsidRPr="000201A3" w:rsidRDefault="00372982" w:rsidP="000D61BB">
            <w:pPr>
              <w:jc w:val="center"/>
              <w:rPr>
                <w:rFonts w:asciiTheme="majorHAnsi" w:eastAsia="Times New Roman" w:hAnsiTheme="majorHAnsi"/>
                <w:color w:val="000000"/>
                <w:sz w:val="18"/>
                <w:szCs w:val="18"/>
              </w:rPr>
            </w:pPr>
            <w:r w:rsidRPr="000201A3">
              <w:rPr>
                <w:rFonts w:asciiTheme="majorHAnsi" w:eastAsia="Times New Roman" w:hAnsiTheme="majorHAnsi"/>
                <w:color w:val="000000"/>
                <w:sz w:val="18"/>
                <w:szCs w:val="18"/>
              </w:rPr>
              <w:t>62</w:t>
            </w:r>
          </w:p>
        </w:tc>
      </w:tr>
      <w:tr w:rsidR="005671E5" w:rsidRPr="005671E5" w:rsidTr="00766242">
        <w:trPr>
          <w:trHeight w:val="161"/>
          <w:jc w:val="center"/>
        </w:trPr>
        <w:tc>
          <w:tcPr>
            <w:tcW w:w="450" w:type="dxa"/>
            <w:vMerge/>
            <w:tcBorders>
              <w:top w:val="nil"/>
              <w:left w:val="single" w:sz="4" w:space="0" w:color="auto"/>
              <w:bottom w:val="single" w:sz="4" w:space="0" w:color="auto"/>
              <w:right w:val="single" w:sz="4" w:space="0" w:color="auto"/>
            </w:tcBorders>
            <w:vAlign w:val="center"/>
          </w:tcPr>
          <w:p w:rsidR="005671E5" w:rsidRPr="000201A3" w:rsidRDefault="005671E5" w:rsidP="000D61BB">
            <w:pPr>
              <w:rPr>
                <w:rFonts w:asciiTheme="majorHAnsi" w:eastAsia="Times New Roman" w:hAnsiTheme="majorHAnsi"/>
                <w:sz w:val="18"/>
                <w:szCs w:val="18"/>
              </w:rPr>
            </w:pPr>
          </w:p>
        </w:tc>
        <w:tc>
          <w:tcPr>
            <w:tcW w:w="1614" w:type="dxa"/>
            <w:vMerge/>
            <w:tcBorders>
              <w:top w:val="nil"/>
              <w:left w:val="single" w:sz="4" w:space="0" w:color="auto"/>
              <w:bottom w:val="single" w:sz="4" w:space="0" w:color="auto"/>
              <w:right w:val="single" w:sz="4" w:space="0" w:color="auto"/>
            </w:tcBorders>
            <w:vAlign w:val="center"/>
          </w:tcPr>
          <w:p w:rsidR="005671E5" w:rsidRPr="000201A3" w:rsidRDefault="005671E5"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tcPr>
          <w:p w:rsidR="005671E5" w:rsidRPr="000201A3" w:rsidRDefault="005671E5"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tcPr>
          <w:p w:rsidR="005671E5" w:rsidRPr="005671E5" w:rsidRDefault="005671E5" w:rsidP="000D61BB">
            <w:pPr>
              <w:rPr>
                <w:rFonts w:asciiTheme="majorHAnsi" w:eastAsia="Times New Roman" w:hAnsiTheme="majorHAnsi"/>
                <w:sz w:val="18"/>
                <w:szCs w:val="18"/>
                <w:lang w:val="es-ES"/>
              </w:rPr>
            </w:pPr>
            <w:r w:rsidRPr="005671E5">
              <w:rPr>
                <w:rFonts w:asciiTheme="majorHAnsi" w:eastAsia="Times New Roman" w:hAnsiTheme="majorHAnsi"/>
                <w:sz w:val="18"/>
                <w:szCs w:val="18"/>
                <w:lang w:val="es-ES"/>
              </w:rPr>
              <w:t>Jaime Cubas Pérez (QEPD) heredan los hermanos</w:t>
            </w:r>
          </w:p>
        </w:tc>
        <w:tc>
          <w:tcPr>
            <w:tcW w:w="1880" w:type="dxa"/>
            <w:tcBorders>
              <w:top w:val="nil"/>
              <w:left w:val="nil"/>
              <w:bottom w:val="single" w:sz="4" w:space="0" w:color="auto"/>
              <w:right w:val="single" w:sz="4" w:space="0" w:color="auto"/>
            </w:tcBorders>
            <w:shd w:val="clear" w:color="auto" w:fill="auto"/>
            <w:noWrap/>
            <w:vAlign w:val="center"/>
          </w:tcPr>
          <w:p w:rsidR="005671E5" w:rsidRPr="005671E5" w:rsidRDefault="005671E5" w:rsidP="000D61BB">
            <w:pPr>
              <w:jc w:val="center"/>
              <w:rPr>
                <w:rFonts w:asciiTheme="majorHAnsi" w:eastAsia="Times New Roman" w:hAnsiTheme="majorHAnsi"/>
                <w:sz w:val="18"/>
                <w:szCs w:val="18"/>
                <w:lang w:val="es-ES"/>
              </w:rPr>
            </w:pPr>
            <w:r>
              <w:rPr>
                <w:rFonts w:asciiTheme="majorHAnsi" w:eastAsia="Times New Roman" w:hAnsiTheme="majorHAnsi"/>
                <w:sz w:val="18"/>
                <w:szCs w:val="18"/>
                <w:lang w:val="es-ES"/>
              </w:rPr>
              <w:t>Son</w:t>
            </w:r>
          </w:p>
        </w:tc>
        <w:tc>
          <w:tcPr>
            <w:tcW w:w="460" w:type="dxa"/>
            <w:tcBorders>
              <w:top w:val="nil"/>
              <w:left w:val="nil"/>
              <w:bottom w:val="single" w:sz="4" w:space="0" w:color="auto"/>
              <w:right w:val="single" w:sz="4" w:space="0" w:color="auto"/>
            </w:tcBorders>
            <w:shd w:val="clear" w:color="auto" w:fill="auto"/>
            <w:noWrap/>
            <w:vAlign w:val="center"/>
          </w:tcPr>
          <w:p w:rsidR="005671E5" w:rsidRPr="00A371FE" w:rsidRDefault="005671E5" w:rsidP="00DB01E4">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63</w:t>
            </w:r>
          </w:p>
        </w:tc>
      </w:tr>
      <w:tr w:rsidR="005671E5" w:rsidRPr="000201A3" w:rsidTr="00766242">
        <w:trPr>
          <w:trHeight w:val="161"/>
          <w:jc w:val="center"/>
        </w:trPr>
        <w:tc>
          <w:tcPr>
            <w:tcW w:w="450" w:type="dxa"/>
            <w:vMerge/>
            <w:tcBorders>
              <w:top w:val="nil"/>
              <w:left w:val="single" w:sz="4" w:space="0" w:color="auto"/>
              <w:bottom w:val="single" w:sz="4" w:space="0" w:color="auto"/>
              <w:right w:val="single" w:sz="4" w:space="0" w:color="auto"/>
            </w:tcBorders>
            <w:vAlign w:val="center"/>
            <w:hideMark/>
          </w:tcPr>
          <w:p w:rsidR="005671E5" w:rsidRPr="005671E5" w:rsidRDefault="005671E5" w:rsidP="000D61BB">
            <w:pPr>
              <w:rPr>
                <w:rFonts w:asciiTheme="majorHAnsi" w:eastAsia="Times New Roman" w:hAnsiTheme="majorHAnsi"/>
                <w:sz w:val="18"/>
                <w:szCs w:val="18"/>
                <w:lang w:val="es-ES"/>
              </w:rPr>
            </w:pPr>
          </w:p>
        </w:tc>
        <w:tc>
          <w:tcPr>
            <w:tcW w:w="1614" w:type="dxa"/>
            <w:vMerge/>
            <w:tcBorders>
              <w:top w:val="nil"/>
              <w:left w:val="single" w:sz="4" w:space="0" w:color="auto"/>
              <w:bottom w:val="single" w:sz="4" w:space="0" w:color="auto"/>
              <w:right w:val="single" w:sz="4" w:space="0" w:color="auto"/>
            </w:tcBorders>
            <w:vAlign w:val="center"/>
            <w:hideMark/>
          </w:tcPr>
          <w:p w:rsidR="005671E5" w:rsidRPr="005671E5" w:rsidRDefault="005671E5" w:rsidP="000D61BB">
            <w:pPr>
              <w:rPr>
                <w:rFonts w:asciiTheme="majorHAnsi" w:eastAsia="Times New Roman" w:hAnsiTheme="majorHAnsi"/>
                <w:sz w:val="18"/>
                <w:szCs w:val="18"/>
                <w:lang w:val="es-ES"/>
              </w:rPr>
            </w:pPr>
          </w:p>
        </w:tc>
        <w:tc>
          <w:tcPr>
            <w:tcW w:w="1156" w:type="dxa"/>
            <w:vMerge/>
            <w:tcBorders>
              <w:top w:val="nil"/>
              <w:left w:val="single" w:sz="4" w:space="0" w:color="auto"/>
              <w:bottom w:val="single" w:sz="4" w:space="0" w:color="auto"/>
              <w:right w:val="single" w:sz="4" w:space="0" w:color="auto"/>
            </w:tcBorders>
            <w:vAlign w:val="center"/>
            <w:hideMark/>
          </w:tcPr>
          <w:p w:rsidR="005671E5" w:rsidRPr="005671E5" w:rsidRDefault="005671E5" w:rsidP="000D61BB">
            <w:pPr>
              <w:rPr>
                <w:rFonts w:asciiTheme="majorHAnsi" w:eastAsia="Times New Roman" w:hAnsiTheme="majorHAnsi"/>
                <w:sz w:val="18"/>
                <w:szCs w:val="18"/>
                <w:lang w:val="es-ES"/>
              </w:rPr>
            </w:pPr>
          </w:p>
        </w:tc>
        <w:tc>
          <w:tcPr>
            <w:tcW w:w="2932"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rPr>
                <w:rFonts w:asciiTheme="majorHAnsi" w:eastAsia="Times New Roman" w:hAnsiTheme="majorHAnsi"/>
                <w:sz w:val="18"/>
                <w:szCs w:val="18"/>
              </w:rPr>
            </w:pPr>
            <w:r w:rsidRPr="000201A3">
              <w:rPr>
                <w:rFonts w:asciiTheme="majorHAnsi" w:eastAsia="Times New Roman" w:hAnsiTheme="majorHAnsi"/>
                <w:sz w:val="18"/>
                <w:szCs w:val="18"/>
              </w:rPr>
              <w:t xml:space="preserve">Fidel </w:t>
            </w:r>
            <w:proofErr w:type="spellStart"/>
            <w:r w:rsidRPr="000201A3">
              <w:rPr>
                <w:rFonts w:asciiTheme="majorHAnsi" w:eastAsia="Times New Roman" w:hAnsiTheme="majorHAnsi"/>
                <w:sz w:val="18"/>
                <w:szCs w:val="18"/>
              </w:rPr>
              <w:t>Cubas</w:t>
            </w:r>
            <w:proofErr w:type="spellEnd"/>
            <w:r w:rsidRPr="000201A3">
              <w:rPr>
                <w:rFonts w:asciiTheme="majorHAnsi" w:eastAsia="Times New Roman" w:hAnsiTheme="majorHAnsi"/>
                <w:sz w:val="18"/>
                <w:szCs w:val="18"/>
              </w:rPr>
              <w:t xml:space="preserve"> Pérez</w:t>
            </w:r>
          </w:p>
        </w:tc>
        <w:tc>
          <w:tcPr>
            <w:tcW w:w="1880"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Son</w:t>
            </w:r>
          </w:p>
        </w:tc>
        <w:tc>
          <w:tcPr>
            <w:tcW w:w="460" w:type="dxa"/>
            <w:tcBorders>
              <w:top w:val="nil"/>
              <w:left w:val="nil"/>
              <w:bottom w:val="single" w:sz="4" w:space="0" w:color="auto"/>
              <w:right w:val="single" w:sz="4" w:space="0" w:color="auto"/>
            </w:tcBorders>
            <w:shd w:val="clear" w:color="auto" w:fill="auto"/>
            <w:noWrap/>
            <w:vAlign w:val="center"/>
            <w:hideMark/>
          </w:tcPr>
          <w:p w:rsidR="005671E5" w:rsidRPr="00A371FE" w:rsidRDefault="005671E5" w:rsidP="00DB01E4">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64</w:t>
            </w:r>
          </w:p>
        </w:tc>
      </w:tr>
      <w:tr w:rsidR="005671E5" w:rsidRPr="000201A3" w:rsidTr="00766242">
        <w:trPr>
          <w:trHeight w:val="224"/>
          <w:jc w:val="center"/>
        </w:trPr>
        <w:tc>
          <w:tcPr>
            <w:tcW w:w="450"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614"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rPr>
                <w:rFonts w:asciiTheme="majorHAnsi" w:eastAsia="Times New Roman" w:hAnsiTheme="majorHAnsi"/>
                <w:sz w:val="18"/>
                <w:szCs w:val="18"/>
              </w:rPr>
            </w:pPr>
            <w:proofErr w:type="spellStart"/>
            <w:r w:rsidRPr="000201A3">
              <w:rPr>
                <w:rFonts w:asciiTheme="majorHAnsi" w:eastAsia="Times New Roman" w:hAnsiTheme="majorHAnsi"/>
                <w:sz w:val="18"/>
                <w:szCs w:val="18"/>
              </w:rPr>
              <w:t>Narciso</w:t>
            </w:r>
            <w:proofErr w:type="spellEnd"/>
            <w:r w:rsidRPr="000201A3">
              <w:rPr>
                <w:rFonts w:asciiTheme="majorHAnsi" w:eastAsia="Times New Roman" w:hAnsiTheme="majorHAnsi"/>
                <w:sz w:val="18"/>
                <w:szCs w:val="18"/>
              </w:rPr>
              <w:t xml:space="preserve"> Mao </w:t>
            </w:r>
            <w:proofErr w:type="spellStart"/>
            <w:r w:rsidRPr="000201A3">
              <w:rPr>
                <w:rFonts w:asciiTheme="majorHAnsi" w:eastAsia="Times New Roman" w:hAnsiTheme="majorHAnsi"/>
                <w:sz w:val="18"/>
                <w:szCs w:val="18"/>
              </w:rPr>
              <w:t>Cubas</w:t>
            </w:r>
            <w:proofErr w:type="spellEnd"/>
            <w:r w:rsidRPr="000201A3">
              <w:rPr>
                <w:rFonts w:asciiTheme="majorHAnsi" w:eastAsia="Times New Roman" w:hAnsiTheme="majorHAnsi"/>
                <w:sz w:val="18"/>
                <w:szCs w:val="18"/>
              </w:rPr>
              <w:t xml:space="preserve"> Pérez</w:t>
            </w:r>
          </w:p>
        </w:tc>
        <w:tc>
          <w:tcPr>
            <w:tcW w:w="1880"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Son/Petitioner</w:t>
            </w:r>
          </w:p>
        </w:tc>
        <w:tc>
          <w:tcPr>
            <w:tcW w:w="460" w:type="dxa"/>
            <w:tcBorders>
              <w:top w:val="nil"/>
              <w:left w:val="nil"/>
              <w:bottom w:val="single" w:sz="4" w:space="0" w:color="auto"/>
              <w:right w:val="single" w:sz="4" w:space="0" w:color="auto"/>
            </w:tcBorders>
            <w:shd w:val="clear" w:color="auto" w:fill="auto"/>
            <w:noWrap/>
            <w:vAlign w:val="center"/>
            <w:hideMark/>
          </w:tcPr>
          <w:p w:rsidR="005671E5" w:rsidRPr="00A371FE" w:rsidRDefault="005671E5" w:rsidP="00DB01E4">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65</w:t>
            </w:r>
          </w:p>
        </w:tc>
      </w:tr>
      <w:tr w:rsidR="005671E5" w:rsidRPr="000201A3" w:rsidTr="00766242">
        <w:trPr>
          <w:trHeight w:val="161"/>
          <w:jc w:val="center"/>
        </w:trPr>
        <w:tc>
          <w:tcPr>
            <w:tcW w:w="450"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614"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5671E5" w:rsidRPr="005671E5" w:rsidRDefault="005671E5" w:rsidP="000D61BB">
            <w:pPr>
              <w:rPr>
                <w:rFonts w:asciiTheme="majorHAnsi" w:eastAsia="Times New Roman" w:hAnsiTheme="majorHAnsi"/>
                <w:sz w:val="18"/>
                <w:szCs w:val="18"/>
              </w:rPr>
            </w:pPr>
            <w:r w:rsidRPr="005671E5">
              <w:rPr>
                <w:rFonts w:asciiTheme="majorHAnsi" w:eastAsia="Times New Roman" w:hAnsiTheme="majorHAnsi"/>
                <w:sz w:val="18"/>
                <w:szCs w:val="18"/>
              </w:rPr>
              <w:t xml:space="preserve">Ricardo Stalin </w:t>
            </w:r>
            <w:proofErr w:type="spellStart"/>
            <w:r w:rsidRPr="005671E5">
              <w:rPr>
                <w:rFonts w:asciiTheme="majorHAnsi" w:eastAsia="Times New Roman" w:hAnsiTheme="majorHAnsi"/>
                <w:sz w:val="18"/>
                <w:szCs w:val="18"/>
              </w:rPr>
              <w:t>Cubas</w:t>
            </w:r>
            <w:proofErr w:type="spellEnd"/>
            <w:r w:rsidRPr="005671E5">
              <w:rPr>
                <w:rFonts w:asciiTheme="majorHAnsi" w:eastAsia="Times New Roman" w:hAnsiTheme="majorHAnsi"/>
                <w:sz w:val="18"/>
                <w:szCs w:val="18"/>
              </w:rPr>
              <w:t xml:space="preserve"> Pérez (RIP), heir:</w:t>
            </w:r>
          </w:p>
        </w:tc>
        <w:tc>
          <w:tcPr>
            <w:tcW w:w="1880" w:type="dxa"/>
            <w:tcBorders>
              <w:top w:val="nil"/>
              <w:left w:val="nil"/>
              <w:bottom w:val="single" w:sz="4" w:space="0" w:color="auto"/>
              <w:right w:val="single" w:sz="4" w:space="0" w:color="auto"/>
            </w:tcBorders>
            <w:shd w:val="clear" w:color="auto" w:fill="auto"/>
            <w:noWrap/>
            <w:vAlign w:val="center"/>
            <w:hideMark/>
          </w:tcPr>
          <w:p w:rsidR="005671E5" w:rsidRPr="005671E5" w:rsidRDefault="005671E5" w:rsidP="000D61BB">
            <w:pPr>
              <w:jc w:val="center"/>
              <w:rPr>
                <w:rFonts w:asciiTheme="majorHAnsi" w:eastAsia="Times New Roman" w:hAnsiTheme="majorHAnsi"/>
                <w:sz w:val="18"/>
                <w:szCs w:val="18"/>
              </w:rPr>
            </w:pPr>
            <w:r w:rsidRPr="005671E5">
              <w:rPr>
                <w:rFonts w:asciiTheme="majorHAnsi" w:eastAsia="Times New Roman" w:hAnsiTheme="majorHAnsi"/>
                <w:sz w:val="18"/>
                <w:szCs w:val="18"/>
              </w:rPr>
              <w:t>Son</w:t>
            </w:r>
          </w:p>
        </w:tc>
        <w:tc>
          <w:tcPr>
            <w:tcW w:w="460" w:type="dxa"/>
            <w:tcBorders>
              <w:top w:val="nil"/>
              <w:left w:val="nil"/>
              <w:bottom w:val="single" w:sz="4" w:space="0" w:color="auto"/>
              <w:right w:val="single" w:sz="4" w:space="0" w:color="auto"/>
            </w:tcBorders>
            <w:shd w:val="clear" w:color="auto" w:fill="auto"/>
            <w:noWrap/>
            <w:vAlign w:val="center"/>
            <w:hideMark/>
          </w:tcPr>
          <w:p w:rsidR="005671E5" w:rsidRPr="00A371FE" w:rsidRDefault="005671E5" w:rsidP="00DB01E4">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66</w:t>
            </w:r>
          </w:p>
        </w:tc>
      </w:tr>
      <w:tr w:rsidR="005671E5" w:rsidRPr="000201A3" w:rsidTr="00766242">
        <w:trPr>
          <w:trHeight w:val="206"/>
          <w:jc w:val="center"/>
        </w:trPr>
        <w:tc>
          <w:tcPr>
            <w:tcW w:w="450"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614"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000000" w:fill="FFFFFF"/>
            <w:noWrap/>
            <w:vAlign w:val="center"/>
            <w:hideMark/>
          </w:tcPr>
          <w:p w:rsidR="005671E5" w:rsidRPr="005671E5" w:rsidRDefault="005671E5" w:rsidP="000D61BB">
            <w:pPr>
              <w:rPr>
                <w:rFonts w:asciiTheme="majorHAnsi" w:eastAsia="Times New Roman" w:hAnsiTheme="majorHAnsi"/>
                <w:sz w:val="18"/>
                <w:szCs w:val="18"/>
              </w:rPr>
            </w:pPr>
            <w:r w:rsidRPr="005671E5">
              <w:rPr>
                <w:rFonts w:asciiTheme="majorHAnsi" w:eastAsia="Times New Roman" w:hAnsiTheme="majorHAnsi"/>
                <w:sz w:val="18"/>
                <w:szCs w:val="18"/>
                <w:lang w:val="es-CO" w:eastAsia="es-ES"/>
              </w:rPr>
              <w:t>Dairón Julio Cubas Gonzalez</w:t>
            </w:r>
          </w:p>
        </w:tc>
        <w:tc>
          <w:tcPr>
            <w:tcW w:w="1880" w:type="dxa"/>
            <w:tcBorders>
              <w:top w:val="nil"/>
              <w:left w:val="nil"/>
              <w:bottom w:val="single" w:sz="4" w:space="0" w:color="auto"/>
              <w:right w:val="single" w:sz="4" w:space="0" w:color="auto"/>
            </w:tcBorders>
            <w:shd w:val="clear" w:color="auto" w:fill="auto"/>
            <w:noWrap/>
            <w:vAlign w:val="center"/>
            <w:hideMark/>
          </w:tcPr>
          <w:p w:rsidR="005671E5" w:rsidRPr="005671E5" w:rsidRDefault="005671E5" w:rsidP="000D61BB">
            <w:pPr>
              <w:jc w:val="center"/>
              <w:rPr>
                <w:rFonts w:asciiTheme="majorHAnsi" w:eastAsia="Times New Roman" w:hAnsiTheme="majorHAnsi"/>
                <w:sz w:val="18"/>
                <w:szCs w:val="18"/>
              </w:rPr>
            </w:pPr>
            <w:r w:rsidRPr="005671E5">
              <w:rPr>
                <w:rFonts w:asciiTheme="majorHAnsi" w:eastAsia="Times New Roman" w:hAnsiTheme="majorHAnsi"/>
                <w:sz w:val="18"/>
                <w:szCs w:val="18"/>
              </w:rPr>
              <w:t>Grandson</w:t>
            </w:r>
          </w:p>
        </w:tc>
        <w:tc>
          <w:tcPr>
            <w:tcW w:w="460" w:type="dxa"/>
            <w:tcBorders>
              <w:top w:val="nil"/>
              <w:left w:val="nil"/>
              <w:bottom w:val="single" w:sz="4" w:space="0" w:color="auto"/>
              <w:right w:val="single" w:sz="4" w:space="0" w:color="auto"/>
            </w:tcBorders>
            <w:shd w:val="clear" w:color="auto" w:fill="auto"/>
            <w:noWrap/>
            <w:vAlign w:val="center"/>
            <w:hideMark/>
          </w:tcPr>
          <w:p w:rsidR="005671E5" w:rsidRPr="009F0376" w:rsidRDefault="005671E5" w:rsidP="00DB01E4">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67</w:t>
            </w:r>
          </w:p>
        </w:tc>
      </w:tr>
      <w:tr w:rsidR="005671E5" w:rsidRPr="000201A3" w:rsidTr="00766242">
        <w:trPr>
          <w:trHeight w:val="259"/>
          <w:jc w:val="center"/>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10</w:t>
            </w:r>
          </w:p>
        </w:tc>
        <w:tc>
          <w:tcPr>
            <w:tcW w:w="1614"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5671E5" w:rsidRPr="000201A3" w:rsidRDefault="005671E5" w:rsidP="000D61BB">
            <w:pPr>
              <w:rPr>
                <w:rFonts w:asciiTheme="majorHAnsi" w:eastAsia="Times New Roman" w:hAnsiTheme="majorHAnsi"/>
                <w:sz w:val="18"/>
                <w:szCs w:val="18"/>
              </w:rPr>
            </w:pPr>
            <w:r w:rsidRPr="000201A3">
              <w:rPr>
                <w:rFonts w:asciiTheme="majorHAnsi" w:eastAsia="Times New Roman" w:hAnsiTheme="majorHAnsi"/>
                <w:sz w:val="18"/>
                <w:szCs w:val="18"/>
              </w:rPr>
              <w:t>Daniel Emilio Heart</w:t>
            </w:r>
          </w:p>
        </w:tc>
        <w:tc>
          <w:tcPr>
            <w:tcW w:w="115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CV-D-045-01</w:t>
            </w:r>
          </w:p>
        </w:tc>
        <w:tc>
          <w:tcPr>
            <w:tcW w:w="2932" w:type="dxa"/>
            <w:tcBorders>
              <w:top w:val="single" w:sz="8" w:space="0" w:color="auto"/>
              <w:left w:val="nil"/>
              <w:bottom w:val="single" w:sz="4" w:space="0" w:color="auto"/>
              <w:right w:val="single" w:sz="4" w:space="0" w:color="auto"/>
            </w:tcBorders>
            <w:shd w:val="clear" w:color="000000" w:fill="FFFFFF"/>
            <w:noWrap/>
            <w:vAlign w:val="center"/>
            <w:hideMark/>
          </w:tcPr>
          <w:p w:rsidR="005671E5" w:rsidRPr="000201A3" w:rsidRDefault="005671E5" w:rsidP="000D61BB">
            <w:pPr>
              <w:rPr>
                <w:rFonts w:asciiTheme="majorHAnsi" w:eastAsia="Times New Roman" w:hAnsiTheme="majorHAnsi"/>
                <w:sz w:val="18"/>
                <w:szCs w:val="18"/>
              </w:rPr>
            </w:pPr>
            <w:r w:rsidRPr="000201A3">
              <w:rPr>
                <w:rFonts w:asciiTheme="majorHAnsi" w:eastAsia="Times New Roman" w:hAnsiTheme="majorHAnsi"/>
                <w:sz w:val="18"/>
                <w:szCs w:val="18"/>
              </w:rPr>
              <w:t>Yadiera Emilia Pianetta Trujillo</w:t>
            </w:r>
          </w:p>
        </w:tc>
        <w:tc>
          <w:tcPr>
            <w:tcW w:w="1880" w:type="dxa"/>
            <w:tcBorders>
              <w:top w:val="single" w:sz="8" w:space="0" w:color="auto"/>
              <w:left w:val="nil"/>
              <w:bottom w:val="single" w:sz="4" w:space="0" w:color="auto"/>
              <w:right w:val="single" w:sz="4" w:space="0" w:color="auto"/>
            </w:tcBorders>
            <w:shd w:val="clear" w:color="000000" w:fill="FFFFFF"/>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Widow</w:t>
            </w:r>
          </w:p>
        </w:tc>
        <w:tc>
          <w:tcPr>
            <w:tcW w:w="460" w:type="dxa"/>
            <w:tcBorders>
              <w:top w:val="single" w:sz="8" w:space="0" w:color="auto"/>
              <w:left w:val="nil"/>
              <w:bottom w:val="single" w:sz="4" w:space="0" w:color="auto"/>
              <w:right w:val="single" w:sz="4" w:space="0" w:color="auto"/>
            </w:tcBorders>
            <w:shd w:val="clear" w:color="000000" w:fill="FFFFFF"/>
            <w:noWrap/>
            <w:vAlign w:val="center"/>
            <w:hideMark/>
          </w:tcPr>
          <w:p w:rsidR="005671E5" w:rsidRPr="00A371FE" w:rsidRDefault="005671E5" w:rsidP="00DB01E4">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68</w:t>
            </w:r>
          </w:p>
        </w:tc>
      </w:tr>
      <w:tr w:rsidR="005671E5" w:rsidRPr="000201A3" w:rsidTr="00766242">
        <w:trPr>
          <w:trHeight w:val="241"/>
          <w:jc w:val="center"/>
        </w:trPr>
        <w:tc>
          <w:tcPr>
            <w:tcW w:w="450"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614" w:type="dxa"/>
            <w:vMerge/>
            <w:tcBorders>
              <w:top w:val="single" w:sz="8" w:space="0" w:color="auto"/>
              <w:left w:val="single" w:sz="4" w:space="0" w:color="auto"/>
              <w:bottom w:val="single" w:sz="8" w:space="0" w:color="000000"/>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156" w:type="dxa"/>
            <w:vMerge/>
            <w:tcBorders>
              <w:top w:val="single" w:sz="8" w:space="0" w:color="auto"/>
              <w:left w:val="single" w:sz="4" w:space="0" w:color="auto"/>
              <w:bottom w:val="single" w:sz="8" w:space="0" w:color="000000"/>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2932" w:type="dxa"/>
            <w:tcBorders>
              <w:top w:val="nil"/>
              <w:left w:val="nil"/>
              <w:bottom w:val="single" w:sz="8" w:space="0" w:color="auto"/>
              <w:right w:val="single" w:sz="4" w:space="0" w:color="auto"/>
            </w:tcBorders>
            <w:shd w:val="clear" w:color="auto" w:fill="auto"/>
            <w:noWrap/>
            <w:vAlign w:val="center"/>
            <w:hideMark/>
          </w:tcPr>
          <w:p w:rsidR="005671E5" w:rsidRPr="000201A3" w:rsidRDefault="005671E5" w:rsidP="000D61BB">
            <w:pPr>
              <w:rPr>
                <w:rFonts w:asciiTheme="majorHAnsi" w:eastAsia="Times New Roman" w:hAnsiTheme="majorHAnsi"/>
                <w:sz w:val="18"/>
                <w:szCs w:val="18"/>
              </w:rPr>
            </w:pPr>
            <w:r w:rsidRPr="000201A3">
              <w:rPr>
                <w:rFonts w:asciiTheme="majorHAnsi" w:eastAsia="Times New Roman" w:hAnsiTheme="majorHAnsi"/>
                <w:sz w:val="18"/>
                <w:szCs w:val="18"/>
              </w:rPr>
              <w:t>Yariela Emilia Heart Pianetta</w:t>
            </w:r>
          </w:p>
        </w:tc>
        <w:tc>
          <w:tcPr>
            <w:tcW w:w="1880" w:type="dxa"/>
            <w:tcBorders>
              <w:top w:val="nil"/>
              <w:left w:val="nil"/>
              <w:bottom w:val="single" w:sz="8" w:space="0" w:color="auto"/>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Daughter</w:t>
            </w:r>
          </w:p>
        </w:tc>
        <w:tc>
          <w:tcPr>
            <w:tcW w:w="460" w:type="dxa"/>
            <w:tcBorders>
              <w:top w:val="nil"/>
              <w:left w:val="nil"/>
              <w:bottom w:val="single" w:sz="8" w:space="0" w:color="auto"/>
              <w:right w:val="single" w:sz="4" w:space="0" w:color="auto"/>
            </w:tcBorders>
            <w:shd w:val="clear" w:color="auto" w:fill="auto"/>
            <w:noWrap/>
            <w:vAlign w:val="center"/>
            <w:hideMark/>
          </w:tcPr>
          <w:p w:rsidR="005671E5" w:rsidRPr="00A371FE" w:rsidRDefault="005671E5" w:rsidP="00DB01E4">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69</w:t>
            </w:r>
          </w:p>
        </w:tc>
      </w:tr>
      <w:tr w:rsidR="005671E5" w:rsidRPr="000201A3" w:rsidTr="00766242">
        <w:trPr>
          <w:trHeight w:val="241"/>
          <w:jc w:val="center"/>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11</w:t>
            </w:r>
          </w:p>
        </w:tc>
        <w:tc>
          <w:tcPr>
            <w:tcW w:w="161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5671E5" w:rsidRPr="000201A3" w:rsidRDefault="005671E5" w:rsidP="000D61BB">
            <w:pPr>
              <w:rPr>
                <w:rFonts w:asciiTheme="majorHAnsi" w:eastAsia="Times New Roman" w:hAnsiTheme="majorHAnsi"/>
                <w:sz w:val="18"/>
                <w:szCs w:val="18"/>
              </w:rPr>
            </w:pPr>
            <w:r w:rsidRPr="000201A3">
              <w:rPr>
                <w:rFonts w:asciiTheme="majorHAnsi" w:eastAsia="Times New Roman" w:hAnsiTheme="majorHAnsi"/>
                <w:sz w:val="18"/>
                <w:szCs w:val="18"/>
              </w:rPr>
              <w:t>Manuel Alexis Guerra</w:t>
            </w:r>
          </w:p>
        </w:tc>
        <w:tc>
          <w:tcPr>
            <w:tcW w:w="115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CV-A-041-01</w:t>
            </w:r>
          </w:p>
        </w:tc>
        <w:tc>
          <w:tcPr>
            <w:tcW w:w="2932"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rPr>
                <w:rFonts w:asciiTheme="majorHAnsi" w:eastAsia="Times New Roman" w:hAnsiTheme="majorHAnsi"/>
                <w:sz w:val="18"/>
                <w:szCs w:val="18"/>
              </w:rPr>
            </w:pPr>
            <w:r w:rsidRPr="000201A3">
              <w:rPr>
                <w:rFonts w:asciiTheme="majorHAnsi" w:eastAsia="Times New Roman" w:hAnsiTheme="majorHAnsi"/>
                <w:sz w:val="18"/>
                <w:szCs w:val="18"/>
              </w:rPr>
              <w:t xml:space="preserve">Margarita Morales </w:t>
            </w:r>
            <w:proofErr w:type="spellStart"/>
            <w:r w:rsidRPr="000201A3">
              <w:rPr>
                <w:rFonts w:asciiTheme="majorHAnsi" w:eastAsia="Times New Roman" w:hAnsiTheme="majorHAnsi"/>
                <w:sz w:val="18"/>
                <w:szCs w:val="18"/>
              </w:rPr>
              <w:t>Lezcano</w:t>
            </w:r>
            <w:proofErr w:type="spellEnd"/>
          </w:p>
        </w:tc>
        <w:tc>
          <w:tcPr>
            <w:tcW w:w="1880"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Mother</w:t>
            </w:r>
          </w:p>
        </w:tc>
        <w:tc>
          <w:tcPr>
            <w:tcW w:w="460" w:type="dxa"/>
            <w:tcBorders>
              <w:top w:val="nil"/>
              <w:left w:val="nil"/>
              <w:bottom w:val="single" w:sz="4" w:space="0" w:color="auto"/>
              <w:right w:val="single" w:sz="4" w:space="0" w:color="auto"/>
            </w:tcBorders>
            <w:shd w:val="clear" w:color="auto" w:fill="auto"/>
            <w:noWrap/>
            <w:vAlign w:val="center"/>
            <w:hideMark/>
          </w:tcPr>
          <w:p w:rsidR="005671E5" w:rsidRPr="00A371FE" w:rsidRDefault="005671E5" w:rsidP="00DB01E4">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70</w:t>
            </w:r>
          </w:p>
        </w:tc>
      </w:tr>
      <w:tr w:rsidR="005671E5" w:rsidRPr="000201A3" w:rsidTr="00766242">
        <w:trPr>
          <w:trHeight w:val="178"/>
          <w:jc w:val="center"/>
        </w:trPr>
        <w:tc>
          <w:tcPr>
            <w:tcW w:w="450"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rPr>
                <w:rFonts w:asciiTheme="majorHAnsi" w:eastAsia="Times New Roman" w:hAnsiTheme="majorHAnsi"/>
                <w:sz w:val="18"/>
                <w:szCs w:val="18"/>
              </w:rPr>
            </w:pPr>
            <w:r w:rsidRPr="000201A3">
              <w:rPr>
                <w:rFonts w:asciiTheme="majorHAnsi" w:eastAsia="Times New Roman" w:hAnsiTheme="majorHAnsi"/>
                <w:sz w:val="18"/>
                <w:szCs w:val="18"/>
              </w:rPr>
              <w:t>Manuel Guerra López</w:t>
            </w:r>
          </w:p>
        </w:tc>
        <w:tc>
          <w:tcPr>
            <w:tcW w:w="1880"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Father</w:t>
            </w:r>
          </w:p>
        </w:tc>
        <w:tc>
          <w:tcPr>
            <w:tcW w:w="460" w:type="dxa"/>
            <w:tcBorders>
              <w:top w:val="nil"/>
              <w:left w:val="nil"/>
              <w:bottom w:val="single" w:sz="4" w:space="0" w:color="auto"/>
              <w:right w:val="single" w:sz="4" w:space="0" w:color="auto"/>
            </w:tcBorders>
            <w:shd w:val="clear" w:color="auto" w:fill="auto"/>
            <w:noWrap/>
            <w:vAlign w:val="center"/>
            <w:hideMark/>
          </w:tcPr>
          <w:p w:rsidR="005671E5" w:rsidRPr="00A371FE" w:rsidRDefault="005671E5" w:rsidP="00DB01E4">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71</w:t>
            </w:r>
          </w:p>
        </w:tc>
      </w:tr>
      <w:tr w:rsidR="005671E5" w:rsidRPr="000201A3" w:rsidTr="00766242">
        <w:trPr>
          <w:trHeight w:val="300"/>
          <w:jc w:val="center"/>
        </w:trPr>
        <w:tc>
          <w:tcPr>
            <w:tcW w:w="450"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rPr>
                <w:rFonts w:asciiTheme="majorHAnsi" w:eastAsia="Times New Roman" w:hAnsiTheme="majorHAnsi"/>
                <w:sz w:val="18"/>
                <w:szCs w:val="18"/>
              </w:rPr>
            </w:pPr>
            <w:r w:rsidRPr="000201A3">
              <w:rPr>
                <w:rFonts w:asciiTheme="majorHAnsi" w:eastAsia="Times New Roman" w:hAnsiTheme="majorHAnsi"/>
                <w:sz w:val="18"/>
                <w:szCs w:val="18"/>
              </w:rPr>
              <w:t>Estervina Guerra Morales</w:t>
            </w:r>
          </w:p>
        </w:tc>
        <w:tc>
          <w:tcPr>
            <w:tcW w:w="1880"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Sister</w:t>
            </w:r>
          </w:p>
        </w:tc>
        <w:tc>
          <w:tcPr>
            <w:tcW w:w="460" w:type="dxa"/>
            <w:tcBorders>
              <w:top w:val="nil"/>
              <w:left w:val="nil"/>
              <w:bottom w:val="single" w:sz="4" w:space="0" w:color="auto"/>
              <w:right w:val="single" w:sz="4" w:space="0" w:color="auto"/>
            </w:tcBorders>
            <w:shd w:val="clear" w:color="auto" w:fill="auto"/>
            <w:noWrap/>
            <w:vAlign w:val="center"/>
            <w:hideMark/>
          </w:tcPr>
          <w:p w:rsidR="005671E5" w:rsidRPr="00A371FE" w:rsidRDefault="005671E5" w:rsidP="00DB01E4">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72</w:t>
            </w:r>
          </w:p>
        </w:tc>
      </w:tr>
      <w:tr w:rsidR="005671E5" w:rsidRPr="000201A3" w:rsidTr="00766242">
        <w:trPr>
          <w:trHeight w:val="300"/>
          <w:jc w:val="center"/>
        </w:trPr>
        <w:tc>
          <w:tcPr>
            <w:tcW w:w="450"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rPr>
                <w:rFonts w:asciiTheme="majorHAnsi" w:eastAsia="Times New Roman" w:hAnsiTheme="majorHAnsi"/>
                <w:sz w:val="18"/>
                <w:szCs w:val="18"/>
              </w:rPr>
            </w:pPr>
            <w:r w:rsidRPr="000201A3">
              <w:rPr>
                <w:rFonts w:asciiTheme="majorHAnsi" w:eastAsia="Times New Roman" w:hAnsiTheme="majorHAnsi"/>
                <w:sz w:val="18"/>
                <w:szCs w:val="18"/>
              </w:rPr>
              <w:t>Manuel Javier Guerra Morales</w:t>
            </w:r>
          </w:p>
        </w:tc>
        <w:tc>
          <w:tcPr>
            <w:tcW w:w="1880"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Brother</w:t>
            </w:r>
          </w:p>
        </w:tc>
        <w:tc>
          <w:tcPr>
            <w:tcW w:w="460" w:type="dxa"/>
            <w:tcBorders>
              <w:top w:val="nil"/>
              <w:left w:val="nil"/>
              <w:bottom w:val="single" w:sz="4" w:space="0" w:color="auto"/>
              <w:right w:val="single" w:sz="4" w:space="0" w:color="auto"/>
            </w:tcBorders>
            <w:shd w:val="clear" w:color="auto" w:fill="auto"/>
            <w:noWrap/>
            <w:vAlign w:val="center"/>
            <w:hideMark/>
          </w:tcPr>
          <w:p w:rsidR="005671E5" w:rsidRPr="00A371FE" w:rsidRDefault="005671E5" w:rsidP="00DB01E4">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73</w:t>
            </w:r>
          </w:p>
        </w:tc>
      </w:tr>
      <w:tr w:rsidR="005671E5" w:rsidRPr="000201A3" w:rsidTr="00766242">
        <w:trPr>
          <w:trHeight w:val="300"/>
          <w:jc w:val="center"/>
        </w:trPr>
        <w:tc>
          <w:tcPr>
            <w:tcW w:w="450"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2932" w:type="dxa"/>
            <w:tcBorders>
              <w:top w:val="nil"/>
              <w:left w:val="nil"/>
              <w:bottom w:val="single" w:sz="8" w:space="0" w:color="auto"/>
              <w:right w:val="single" w:sz="4" w:space="0" w:color="auto"/>
            </w:tcBorders>
            <w:shd w:val="clear" w:color="auto" w:fill="auto"/>
            <w:noWrap/>
            <w:vAlign w:val="center"/>
            <w:hideMark/>
          </w:tcPr>
          <w:p w:rsidR="005671E5" w:rsidRPr="000201A3" w:rsidRDefault="005671E5" w:rsidP="000D61BB">
            <w:pPr>
              <w:rPr>
                <w:rFonts w:asciiTheme="majorHAnsi" w:eastAsia="Times New Roman" w:hAnsiTheme="majorHAnsi"/>
                <w:sz w:val="18"/>
                <w:szCs w:val="18"/>
              </w:rPr>
            </w:pPr>
            <w:r w:rsidRPr="000201A3">
              <w:rPr>
                <w:rFonts w:asciiTheme="majorHAnsi" w:eastAsia="Times New Roman" w:hAnsiTheme="majorHAnsi"/>
                <w:sz w:val="18"/>
                <w:szCs w:val="18"/>
              </w:rPr>
              <w:t>Manuel Excelio Guerra Morales</w:t>
            </w:r>
          </w:p>
        </w:tc>
        <w:tc>
          <w:tcPr>
            <w:tcW w:w="1880" w:type="dxa"/>
            <w:tcBorders>
              <w:top w:val="nil"/>
              <w:left w:val="nil"/>
              <w:bottom w:val="single" w:sz="8" w:space="0" w:color="auto"/>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Brother/Petitioner</w:t>
            </w:r>
          </w:p>
        </w:tc>
        <w:tc>
          <w:tcPr>
            <w:tcW w:w="460" w:type="dxa"/>
            <w:tcBorders>
              <w:top w:val="nil"/>
              <w:left w:val="nil"/>
              <w:bottom w:val="single" w:sz="8" w:space="0" w:color="auto"/>
              <w:right w:val="single" w:sz="4" w:space="0" w:color="auto"/>
            </w:tcBorders>
            <w:shd w:val="clear" w:color="auto" w:fill="auto"/>
            <w:noWrap/>
            <w:vAlign w:val="center"/>
            <w:hideMark/>
          </w:tcPr>
          <w:p w:rsidR="005671E5" w:rsidRPr="00A371FE" w:rsidRDefault="005671E5" w:rsidP="00DB01E4">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74</w:t>
            </w:r>
          </w:p>
        </w:tc>
      </w:tr>
      <w:tr w:rsidR="005671E5" w:rsidRPr="000201A3" w:rsidTr="00766242">
        <w:trPr>
          <w:trHeight w:val="133"/>
          <w:jc w:val="center"/>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12</w:t>
            </w:r>
          </w:p>
        </w:tc>
        <w:tc>
          <w:tcPr>
            <w:tcW w:w="161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5671E5" w:rsidRPr="000201A3" w:rsidRDefault="005671E5" w:rsidP="000D61BB">
            <w:pPr>
              <w:ind w:firstLineChars="100" w:firstLine="180"/>
              <w:rPr>
                <w:rFonts w:asciiTheme="majorHAnsi" w:eastAsia="Times New Roman" w:hAnsiTheme="majorHAnsi"/>
                <w:sz w:val="18"/>
                <w:szCs w:val="18"/>
              </w:rPr>
            </w:pPr>
            <w:proofErr w:type="spellStart"/>
            <w:r w:rsidRPr="000201A3">
              <w:rPr>
                <w:rFonts w:asciiTheme="majorHAnsi" w:eastAsia="Times New Roman" w:hAnsiTheme="majorHAnsi"/>
                <w:sz w:val="18"/>
                <w:szCs w:val="18"/>
              </w:rPr>
              <w:t>Hipólito</w:t>
            </w:r>
            <w:proofErr w:type="spellEnd"/>
            <w:r w:rsidRPr="000201A3">
              <w:rPr>
                <w:rFonts w:asciiTheme="majorHAnsi" w:eastAsia="Times New Roman" w:hAnsiTheme="majorHAnsi"/>
                <w:sz w:val="18"/>
                <w:szCs w:val="18"/>
              </w:rPr>
              <w:t xml:space="preserve"> Quintero</w:t>
            </w:r>
          </w:p>
        </w:tc>
        <w:tc>
          <w:tcPr>
            <w:tcW w:w="115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CV-A-077-01</w:t>
            </w:r>
          </w:p>
        </w:tc>
        <w:tc>
          <w:tcPr>
            <w:tcW w:w="2932"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rPr>
                <w:rFonts w:asciiTheme="majorHAnsi" w:eastAsia="Times New Roman" w:hAnsiTheme="majorHAnsi"/>
                <w:sz w:val="18"/>
                <w:szCs w:val="18"/>
              </w:rPr>
            </w:pPr>
            <w:r w:rsidRPr="000201A3">
              <w:rPr>
                <w:rFonts w:asciiTheme="majorHAnsi" w:eastAsia="Times New Roman" w:hAnsiTheme="majorHAnsi"/>
                <w:sz w:val="18"/>
                <w:szCs w:val="18"/>
              </w:rPr>
              <w:t>Maritza Esther Quintero</w:t>
            </w:r>
          </w:p>
        </w:tc>
        <w:tc>
          <w:tcPr>
            <w:tcW w:w="1880"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Daughter/Petitioner</w:t>
            </w:r>
          </w:p>
        </w:tc>
        <w:tc>
          <w:tcPr>
            <w:tcW w:w="460" w:type="dxa"/>
            <w:tcBorders>
              <w:top w:val="nil"/>
              <w:left w:val="nil"/>
              <w:bottom w:val="single" w:sz="4" w:space="0" w:color="auto"/>
              <w:right w:val="single" w:sz="4" w:space="0" w:color="auto"/>
            </w:tcBorders>
            <w:shd w:val="clear" w:color="auto" w:fill="auto"/>
            <w:noWrap/>
            <w:vAlign w:val="center"/>
            <w:hideMark/>
          </w:tcPr>
          <w:p w:rsidR="005671E5" w:rsidRPr="00A371FE" w:rsidRDefault="005671E5" w:rsidP="00DB01E4">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75</w:t>
            </w:r>
          </w:p>
        </w:tc>
      </w:tr>
      <w:tr w:rsidR="005671E5" w:rsidRPr="000201A3" w:rsidTr="00766242">
        <w:trPr>
          <w:trHeight w:val="178"/>
          <w:jc w:val="center"/>
        </w:trPr>
        <w:tc>
          <w:tcPr>
            <w:tcW w:w="450"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rPr>
                <w:rFonts w:asciiTheme="majorHAnsi" w:eastAsia="Times New Roman" w:hAnsiTheme="majorHAnsi"/>
                <w:sz w:val="18"/>
                <w:szCs w:val="18"/>
              </w:rPr>
            </w:pPr>
            <w:r w:rsidRPr="000201A3">
              <w:rPr>
                <w:rFonts w:asciiTheme="majorHAnsi" w:eastAsia="Times New Roman" w:hAnsiTheme="majorHAnsi"/>
                <w:sz w:val="18"/>
                <w:szCs w:val="18"/>
              </w:rPr>
              <w:t>Luis Alberto Rodríguez Sánchez</w:t>
            </w:r>
          </w:p>
        </w:tc>
        <w:tc>
          <w:tcPr>
            <w:tcW w:w="1880"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Son</w:t>
            </w:r>
          </w:p>
        </w:tc>
        <w:tc>
          <w:tcPr>
            <w:tcW w:w="460" w:type="dxa"/>
            <w:tcBorders>
              <w:top w:val="nil"/>
              <w:left w:val="nil"/>
              <w:bottom w:val="single" w:sz="4" w:space="0" w:color="auto"/>
              <w:right w:val="single" w:sz="4" w:space="0" w:color="auto"/>
            </w:tcBorders>
            <w:shd w:val="clear" w:color="auto" w:fill="auto"/>
            <w:noWrap/>
            <w:vAlign w:val="center"/>
            <w:hideMark/>
          </w:tcPr>
          <w:p w:rsidR="005671E5" w:rsidRPr="00A371FE" w:rsidRDefault="005671E5" w:rsidP="00DB01E4">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76</w:t>
            </w:r>
          </w:p>
        </w:tc>
      </w:tr>
      <w:tr w:rsidR="005671E5" w:rsidRPr="000201A3" w:rsidTr="00766242">
        <w:trPr>
          <w:trHeight w:val="205"/>
          <w:jc w:val="center"/>
        </w:trPr>
        <w:tc>
          <w:tcPr>
            <w:tcW w:w="450"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rPr>
                <w:rFonts w:asciiTheme="majorHAnsi" w:eastAsia="Times New Roman" w:hAnsiTheme="majorHAnsi"/>
                <w:sz w:val="18"/>
                <w:szCs w:val="18"/>
              </w:rPr>
            </w:pPr>
            <w:r w:rsidRPr="000201A3">
              <w:rPr>
                <w:rFonts w:asciiTheme="majorHAnsi" w:eastAsia="Times New Roman" w:hAnsiTheme="majorHAnsi"/>
                <w:sz w:val="18"/>
                <w:szCs w:val="18"/>
              </w:rPr>
              <w:t>Rubén Alexis Quintero Sánchez</w:t>
            </w:r>
          </w:p>
        </w:tc>
        <w:tc>
          <w:tcPr>
            <w:tcW w:w="1880"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Son</w:t>
            </w:r>
          </w:p>
        </w:tc>
        <w:tc>
          <w:tcPr>
            <w:tcW w:w="460" w:type="dxa"/>
            <w:tcBorders>
              <w:top w:val="nil"/>
              <w:left w:val="nil"/>
              <w:bottom w:val="single" w:sz="4" w:space="0" w:color="auto"/>
              <w:right w:val="single" w:sz="4" w:space="0" w:color="auto"/>
            </w:tcBorders>
            <w:shd w:val="clear" w:color="auto" w:fill="auto"/>
            <w:noWrap/>
            <w:vAlign w:val="center"/>
            <w:hideMark/>
          </w:tcPr>
          <w:p w:rsidR="005671E5" w:rsidRPr="00A371FE" w:rsidRDefault="005671E5" w:rsidP="00DB01E4">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77</w:t>
            </w:r>
          </w:p>
        </w:tc>
      </w:tr>
      <w:tr w:rsidR="005671E5" w:rsidRPr="000201A3" w:rsidTr="00766242">
        <w:trPr>
          <w:trHeight w:val="160"/>
          <w:jc w:val="center"/>
        </w:trPr>
        <w:tc>
          <w:tcPr>
            <w:tcW w:w="450"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614" w:type="dxa"/>
            <w:vMerge/>
            <w:tcBorders>
              <w:top w:val="nil"/>
              <w:left w:val="single" w:sz="4" w:space="0" w:color="auto"/>
              <w:bottom w:val="single" w:sz="8" w:space="0" w:color="000000"/>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156" w:type="dxa"/>
            <w:vMerge/>
            <w:tcBorders>
              <w:top w:val="nil"/>
              <w:left w:val="single" w:sz="4" w:space="0" w:color="auto"/>
              <w:bottom w:val="single" w:sz="8" w:space="0" w:color="000000"/>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2932" w:type="dxa"/>
            <w:tcBorders>
              <w:top w:val="nil"/>
              <w:left w:val="nil"/>
              <w:bottom w:val="single" w:sz="8" w:space="0" w:color="auto"/>
              <w:right w:val="single" w:sz="4" w:space="0" w:color="auto"/>
            </w:tcBorders>
            <w:shd w:val="clear" w:color="auto" w:fill="auto"/>
            <w:noWrap/>
            <w:vAlign w:val="center"/>
            <w:hideMark/>
          </w:tcPr>
          <w:p w:rsidR="005671E5" w:rsidRPr="000201A3" w:rsidRDefault="005671E5" w:rsidP="000D61BB">
            <w:pPr>
              <w:rPr>
                <w:rFonts w:asciiTheme="majorHAnsi" w:eastAsia="Times New Roman" w:hAnsiTheme="majorHAnsi"/>
                <w:sz w:val="18"/>
                <w:szCs w:val="18"/>
              </w:rPr>
            </w:pPr>
            <w:proofErr w:type="spellStart"/>
            <w:r w:rsidRPr="000201A3">
              <w:rPr>
                <w:rFonts w:asciiTheme="majorHAnsi" w:eastAsia="Times New Roman" w:hAnsiTheme="majorHAnsi"/>
                <w:sz w:val="18"/>
                <w:szCs w:val="18"/>
              </w:rPr>
              <w:t>Amarilis</w:t>
            </w:r>
            <w:proofErr w:type="spellEnd"/>
            <w:r w:rsidRPr="000201A3">
              <w:rPr>
                <w:rFonts w:asciiTheme="majorHAnsi" w:eastAsia="Times New Roman" w:hAnsiTheme="majorHAnsi"/>
                <w:sz w:val="18"/>
                <w:szCs w:val="18"/>
              </w:rPr>
              <w:t xml:space="preserve"> Edith Quintero Sánchez</w:t>
            </w:r>
          </w:p>
        </w:tc>
        <w:tc>
          <w:tcPr>
            <w:tcW w:w="1880" w:type="dxa"/>
            <w:tcBorders>
              <w:top w:val="nil"/>
              <w:left w:val="nil"/>
              <w:bottom w:val="single" w:sz="8" w:space="0" w:color="auto"/>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Son</w:t>
            </w:r>
          </w:p>
        </w:tc>
        <w:tc>
          <w:tcPr>
            <w:tcW w:w="460" w:type="dxa"/>
            <w:tcBorders>
              <w:top w:val="nil"/>
              <w:left w:val="nil"/>
              <w:bottom w:val="single" w:sz="8" w:space="0" w:color="auto"/>
              <w:right w:val="single" w:sz="4" w:space="0" w:color="auto"/>
            </w:tcBorders>
            <w:shd w:val="clear" w:color="auto" w:fill="auto"/>
            <w:noWrap/>
            <w:vAlign w:val="center"/>
            <w:hideMark/>
          </w:tcPr>
          <w:p w:rsidR="005671E5" w:rsidRPr="00A371FE" w:rsidRDefault="005671E5" w:rsidP="00DB01E4">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78</w:t>
            </w:r>
          </w:p>
        </w:tc>
      </w:tr>
      <w:tr w:rsidR="005671E5" w:rsidRPr="000201A3" w:rsidTr="00766242">
        <w:trPr>
          <w:trHeight w:val="286"/>
          <w:jc w:val="center"/>
        </w:trPr>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13</w:t>
            </w:r>
          </w:p>
        </w:tc>
        <w:tc>
          <w:tcPr>
            <w:tcW w:w="16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71E5" w:rsidRPr="000201A3" w:rsidRDefault="005671E5" w:rsidP="000D61BB">
            <w:pPr>
              <w:ind w:firstLineChars="100" w:firstLine="180"/>
              <w:rPr>
                <w:rFonts w:asciiTheme="majorHAnsi" w:eastAsia="Times New Roman" w:hAnsiTheme="majorHAnsi"/>
                <w:sz w:val="18"/>
                <w:szCs w:val="18"/>
              </w:rPr>
            </w:pPr>
            <w:r w:rsidRPr="000201A3">
              <w:rPr>
                <w:rFonts w:asciiTheme="majorHAnsi" w:eastAsia="Times New Roman" w:hAnsiTheme="majorHAnsi"/>
                <w:sz w:val="18"/>
                <w:szCs w:val="18"/>
              </w:rPr>
              <w:t>Bettzy Mendizabal</w:t>
            </w:r>
          </w:p>
        </w:tc>
        <w:tc>
          <w:tcPr>
            <w:tcW w:w="11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CV-A-056-01</w:t>
            </w:r>
          </w:p>
        </w:tc>
        <w:tc>
          <w:tcPr>
            <w:tcW w:w="2932" w:type="dxa"/>
            <w:tcBorders>
              <w:top w:val="nil"/>
              <w:left w:val="nil"/>
              <w:bottom w:val="single" w:sz="4" w:space="0" w:color="auto"/>
              <w:right w:val="single" w:sz="4" w:space="0" w:color="auto"/>
            </w:tcBorders>
            <w:shd w:val="clear" w:color="000000" w:fill="FFFFFF"/>
            <w:noWrap/>
            <w:vAlign w:val="center"/>
            <w:hideMark/>
          </w:tcPr>
          <w:p w:rsidR="005671E5" w:rsidRPr="000201A3" w:rsidRDefault="005671E5" w:rsidP="000D61BB">
            <w:pPr>
              <w:rPr>
                <w:rFonts w:asciiTheme="majorHAnsi" w:eastAsia="Times New Roman" w:hAnsiTheme="majorHAnsi"/>
                <w:sz w:val="18"/>
                <w:szCs w:val="18"/>
              </w:rPr>
            </w:pPr>
            <w:r w:rsidRPr="000201A3">
              <w:rPr>
                <w:rFonts w:asciiTheme="majorHAnsi" w:eastAsia="Times New Roman" w:hAnsiTheme="majorHAnsi"/>
                <w:sz w:val="18"/>
                <w:szCs w:val="18"/>
              </w:rPr>
              <w:t>Estela María Hill Herrera</w:t>
            </w:r>
          </w:p>
        </w:tc>
        <w:tc>
          <w:tcPr>
            <w:tcW w:w="1880" w:type="dxa"/>
            <w:tcBorders>
              <w:top w:val="nil"/>
              <w:left w:val="nil"/>
              <w:bottom w:val="single" w:sz="4" w:space="0" w:color="auto"/>
              <w:right w:val="single" w:sz="4" w:space="0" w:color="auto"/>
            </w:tcBorders>
            <w:shd w:val="clear" w:color="000000" w:fill="FFFFFF"/>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Mother</w:t>
            </w:r>
          </w:p>
        </w:tc>
        <w:tc>
          <w:tcPr>
            <w:tcW w:w="460" w:type="dxa"/>
            <w:tcBorders>
              <w:top w:val="nil"/>
              <w:left w:val="nil"/>
              <w:bottom w:val="single" w:sz="4" w:space="0" w:color="auto"/>
              <w:right w:val="single" w:sz="4" w:space="0" w:color="auto"/>
            </w:tcBorders>
            <w:shd w:val="clear" w:color="000000" w:fill="FFFFFF"/>
            <w:noWrap/>
            <w:vAlign w:val="center"/>
            <w:hideMark/>
          </w:tcPr>
          <w:p w:rsidR="005671E5" w:rsidRPr="00A371FE" w:rsidRDefault="005671E5" w:rsidP="00DB01E4">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79</w:t>
            </w:r>
          </w:p>
        </w:tc>
      </w:tr>
      <w:tr w:rsidR="005671E5" w:rsidRPr="000201A3" w:rsidTr="00766242">
        <w:trPr>
          <w:trHeight w:val="170"/>
          <w:jc w:val="center"/>
        </w:trPr>
        <w:tc>
          <w:tcPr>
            <w:tcW w:w="450"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614"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5671E5" w:rsidRPr="00DF2496" w:rsidRDefault="005671E5" w:rsidP="000D61BB">
            <w:pPr>
              <w:rPr>
                <w:rFonts w:asciiTheme="majorHAnsi" w:eastAsia="Times New Roman" w:hAnsiTheme="majorHAnsi"/>
                <w:sz w:val="18"/>
                <w:szCs w:val="18"/>
                <w:lang w:val="es-ES"/>
              </w:rPr>
            </w:pPr>
            <w:r w:rsidRPr="00DF2496">
              <w:rPr>
                <w:rFonts w:asciiTheme="majorHAnsi" w:eastAsia="Times New Roman" w:hAnsiTheme="majorHAnsi"/>
                <w:sz w:val="18"/>
                <w:szCs w:val="18"/>
                <w:lang w:val="es-ES"/>
              </w:rPr>
              <w:t>Sofía del Carmen Mendizabal Hill</w:t>
            </w:r>
          </w:p>
        </w:tc>
        <w:tc>
          <w:tcPr>
            <w:tcW w:w="1880"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Sister</w:t>
            </w:r>
          </w:p>
        </w:tc>
        <w:tc>
          <w:tcPr>
            <w:tcW w:w="460" w:type="dxa"/>
            <w:tcBorders>
              <w:top w:val="nil"/>
              <w:left w:val="nil"/>
              <w:bottom w:val="single" w:sz="4" w:space="0" w:color="auto"/>
              <w:right w:val="single" w:sz="4" w:space="0" w:color="auto"/>
            </w:tcBorders>
            <w:shd w:val="clear" w:color="auto" w:fill="auto"/>
            <w:noWrap/>
            <w:vAlign w:val="center"/>
            <w:hideMark/>
          </w:tcPr>
          <w:p w:rsidR="005671E5" w:rsidRPr="00A371FE" w:rsidRDefault="005671E5" w:rsidP="00DB01E4">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80</w:t>
            </w:r>
          </w:p>
        </w:tc>
      </w:tr>
      <w:tr w:rsidR="005671E5" w:rsidRPr="000201A3" w:rsidTr="00766242">
        <w:trPr>
          <w:trHeight w:val="215"/>
          <w:jc w:val="center"/>
        </w:trPr>
        <w:tc>
          <w:tcPr>
            <w:tcW w:w="450"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614"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rPr>
                <w:rFonts w:asciiTheme="majorHAnsi" w:eastAsia="Times New Roman" w:hAnsiTheme="majorHAnsi"/>
                <w:sz w:val="18"/>
                <w:szCs w:val="18"/>
              </w:rPr>
            </w:pPr>
            <w:r w:rsidRPr="000201A3">
              <w:rPr>
                <w:rFonts w:asciiTheme="majorHAnsi" w:eastAsia="Times New Roman" w:hAnsiTheme="majorHAnsi"/>
                <w:sz w:val="18"/>
                <w:szCs w:val="18"/>
              </w:rPr>
              <w:t>Carlos Eduardo Mendizabal Hill</w:t>
            </w:r>
          </w:p>
        </w:tc>
        <w:tc>
          <w:tcPr>
            <w:tcW w:w="1880"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Brother</w:t>
            </w:r>
          </w:p>
        </w:tc>
        <w:tc>
          <w:tcPr>
            <w:tcW w:w="460" w:type="dxa"/>
            <w:tcBorders>
              <w:top w:val="nil"/>
              <w:left w:val="nil"/>
              <w:bottom w:val="single" w:sz="4" w:space="0" w:color="auto"/>
              <w:right w:val="single" w:sz="4" w:space="0" w:color="auto"/>
            </w:tcBorders>
            <w:shd w:val="clear" w:color="auto" w:fill="auto"/>
            <w:noWrap/>
            <w:vAlign w:val="center"/>
            <w:hideMark/>
          </w:tcPr>
          <w:p w:rsidR="005671E5" w:rsidRPr="00A371FE" w:rsidRDefault="005671E5" w:rsidP="00DB01E4">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81</w:t>
            </w:r>
          </w:p>
        </w:tc>
      </w:tr>
      <w:tr w:rsidR="005671E5" w:rsidRPr="000201A3" w:rsidTr="00766242">
        <w:trPr>
          <w:trHeight w:val="260"/>
          <w:jc w:val="center"/>
        </w:trPr>
        <w:tc>
          <w:tcPr>
            <w:tcW w:w="450"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614"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rPr>
                <w:rFonts w:asciiTheme="majorHAnsi" w:eastAsia="Times New Roman" w:hAnsiTheme="majorHAnsi"/>
                <w:sz w:val="18"/>
                <w:szCs w:val="18"/>
              </w:rPr>
            </w:pPr>
            <w:r w:rsidRPr="000201A3">
              <w:rPr>
                <w:rFonts w:asciiTheme="majorHAnsi" w:eastAsia="Times New Roman" w:hAnsiTheme="majorHAnsi"/>
                <w:sz w:val="18"/>
                <w:szCs w:val="18"/>
              </w:rPr>
              <w:t>Cesar Rafael Mendizabal Hill</w:t>
            </w:r>
          </w:p>
        </w:tc>
        <w:tc>
          <w:tcPr>
            <w:tcW w:w="1880"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Brother</w:t>
            </w:r>
          </w:p>
        </w:tc>
        <w:tc>
          <w:tcPr>
            <w:tcW w:w="460" w:type="dxa"/>
            <w:tcBorders>
              <w:top w:val="nil"/>
              <w:left w:val="nil"/>
              <w:bottom w:val="single" w:sz="4" w:space="0" w:color="auto"/>
              <w:right w:val="single" w:sz="4" w:space="0" w:color="auto"/>
            </w:tcBorders>
            <w:shd w:val="clear" w:color="auto" w:fill="auto"/>
            <w:noWrap/>
            <w:vAlign w:val="center"/>
            <w:hideMark/>
          </w:tcPr>
          <w:p w:rsidR="005671E5" w:rsidRPr="00A371FE" w:rsidRDefault="005671E5" w:rsidP="00DB01E4">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82</w:t>
            </w:r>
          </w:p>
        </w:tc>
      </w:tr>
      <w:tr w:rsidR="005671E5" w:rsidRPr="000201A3" w:rsidTr="00766242">
        <w:trPr>
          <w:trHeight w:val="179"/>
          <w:jc w:val="center"/>
        </w:trPr>
        <w:tc>
          <w:tcPr>
            <w:tcW w:w="450"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614"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rPr>
                <w:rFonts w:asciiTheme="majorHAnsi" w:eastAsia="Times New Roman" w:hAnsiTheme="majorHAnsi"/>
                <w:sz w:val="18"/>
                <w:szCs w:val="18"/>
              </w:rPr>
            </w:pPr>
            <w:r w:rsidRPr="000201A3">
              <w:rPr>
                <w:rFonts w:asciiTheme="majorHAnsi" w:eastAsia="Times New Roman" w:hAnsiTheme="majorHAnsi"/>
                <w:sz w:val="18"/>
                <w:szCs w:val="18"/>
              </w:rPr>
              <w:t>Marco Antonio Mendizabal Hill</w:t>
            </w:r>
          </w:p>
        </w:tc>
        <w:tc>
          <w:tcPr>
            <w:tcW w:w="1880"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Brother</w:t>
            </w:r>
          </w:p>
        </w:tc>
        <w:tc>
          <w:tcPr>
            <w:tcW w:w="460" w:type="dxa"/>
            <w:tcBorders>
              <w:top w:val="nil"/>
              <w:left w:val="nil"/>
              <w:bottom w:val="single" w:sz="4" w:space="0" w:color="auto"/>
              <w:right w:val="single" w:sz="4" w:space="0" w:color="auto"/>
            </w:tcBorders>
            <w:shd w:val="clear" w:color="auto" w:fill="auto"/>
            <w:noWrap/>
            <w:vAlign w:val="center"/>
            <w:hideMark/>
          </w:tcPr>
          <w:p w:rsidR="005671E5" w:rsidRPr="00A371FE" w:rsidRDefault="005671E5" w:rsidP="00DB01E4">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83</w:t>
            </w:r>
          </w:p>
        </w:tc>
      </w:tr>
      <w:tr w:rsidR="005671E5" w:rsidRPr="000201A3" w:rsidTr="00766242">
        <w:trPr>
          <w:trHeight w:val="465"/>
          <w:jc w:val="center"/>
        </w:trPr>
        <w:tc>
          <w:tcPr>
            <w:tcW w:w="450"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614"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1156" w:type="dxa"/>
            <w:vMerge/>
            <w:tcBorders>
              <w:top w:val="nil"/>
              <w:left w:val="single" w:sz="4" w:space="0" w:color="auto"/>
              <w:bottom w:val="single" w:sz="4" w:space="0" w:color="auto"/>
              <w:right w:val="single" w:sz="4" w:space="0" w:color="auto"/>
            </w:tcBorders>
            <w:vAlign w:val="center"/>
            <w:hideMark/>
          </w:tcPr>
          <w:p w:rsidR="005671E5" w:rsidRPr="000201A3" w:rsidRDefault="005671E5" w:rsidP="000D61BB">
            <w:pPr>
              <w:rPr>
                <w:rFonts w:asciiTheme="majorHAnsi" w:eastAsia="Times New Roman" w:hAnsiTheme="majorHAnsi"/>
                <w:sz w:val="18"/>
                <w:szCs w:val="18"/>
              </w:rPr>
            </w:pPr>
          </w:p>
        </w:tc>
        <w:tc>
          <w:tcPr>
            <w:tcW w:w="2932"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rPr>
                <w:rFonts w:asciiTheme="majorHAnsi" w:eastAsia="Times New Roman" w:hAnsiTheme="majorHAnsi"/>
                <w:sz w:val="18"/>
                <w:szCs w:val="18"/>
              </w:rPr>
            </w:pPr>
            <w:r w:rsidRPr="000201A3">
              <w:rPr>
                <w:rFonts w:asciiTheme="majorHAnsi" w:eastAsia="Times New Roman" w:hAnsiTheme="majorHAnsi"/>
                <w:sz w:val="18"/>
                <w:szCs w:val="18"/>
              </w:rPr>
              <w:t>Kilmara Estela Mendizabal Hill</w:t>
            </w:r>
          </w:p>
        </w:tc>
        <w:tc>
          <w:tcPr>
            <w:tcW w:w="1880" w:type="dxa"/>
            <w:tcBorders>
              <w:top w:val="nil"/>
              <w:left w:val="nil"/>
              <w:bottom w:val="single" w:sz="4" w:space="0" w:color="auto"/>
              <w:right w:val="single" w:sz="4" w:space="0" w:color="auto"/>
            </w:tcBorders>
            <w:shd w:val="clear" w:color="auto" w:fill="auto"/>
            <w:noWrap/>
            <w:vAlign w:val="center"/>
            <w:hideMark/>
          </w:tcPr>
          <w:p w:rsidR="005671E5" w:rsidRPr="000201A3" w:rsidRDefault="005671E5" w:rsidP="000D61BB">
            <w:pPr>
              <w:jc w:val="center"/>
              <w:rPr>
                <w:rFonts w:asciiTheme="majorHAnsi" w:eastAsia="Times New Roman" w:hAnsiTheme="majorHAnsi"/>
                <w:sz w:val="18"/>
                <w:szCs w:val="18"/>
              </w:rPr>
            </w:pPr>
            <w:r w:rsidRPr="000201A3">
              <w:rPr>
                <w:rFonts w:asciiTheme="majorHAnsi" w:eastAsia="Times New Roman" w:hAnsiTheme="majorHAnsi"/>
                <w:sz w:val="18"/>
                <w:szCs w:val="18"/>
              </w:rPr>
              <w:t>Sister/Petitioner</w:t>
            </w:r>
          </w:p>
        </w:tc>
        <w:tc>
          <w:tcPr>
            <w:tcW w:w="460" w:type="dxa"/>
            <w:tcBorders>
              <w:top w:val="nil"/>
              <w:left w:val="nil"/>
              <w:bottom w:val="single" w:sz="4" w:space="0" w:color="auto"/>
              <w:right w:val="single" w:sz="4" w:space="0" w:color="auto"/>
            </w:tcBorders>
            <w:shd w:val="clear" w:color="auto" w:fill="auto"/>
            <w:noWrap/>
            <w:vAlign w:val="center"/>
            <w:hideMark/>
          </w:tcPr>
          <w:p w:rsidR="005671E5" w:rsidRPr="00A371FE" w:rsidRDefault="005671E5" w:rsidP="00DB01E4">
            <w:pPr>
              <w:jc w:val="center"/>
              <w:rPr>
                <w:rFonts w:asciiTheme="majorHAnsi" w:eastAsia="Times New Roman" w:hAnsiTheme="majorHAnsi"/>
                <w:color w:val="000000"/>
                <w:sz w:val="18"/>
                <w:szCs w:val="18"/>
                <w:lang w:val="es-CO" w:eastAsia="es-ES"/>
              </w:rPr>
            </w:pPr>
            <w:r>
              <w:rPr>
                <w:rFonts w:asciiTheme="majorHAnsi" w:eastAsia="Times New Roman" w:hAnsiTheme="majorHAnsi"/>
                <w:color w:val="000000"/>
                <w:sz w:val="18"/>
                <w:szCs w:val="18"/>
                <w:lang w:val="es-CO" w:eastAsia="es-ES"/>
              </w:rPr>
              <w:t>84</w:t>
            </w:r>
          </w:p>
        </w:tc>
      </w:tr>
    </w:tbl>
    <w:p w:rsidR="00372982" w:rsidRPr="000201A3" w:rsidRDefault="00372982" w:rsidP="00372982">
      <w:pPr>
        <w:tabs>
          <w:tab w:val="center" w:pos="5400"/>
        </w:tabs>
        <w:suppressAutoHyphens/>
        <w:jc w:val="both"/>
        <w:rPr>
          <w:rFonts w:asciiTheme="majorHAnsi" w:eastAsia="MS Mincho" w:hAnsiTheme="majorHAnsi"/>
          <w:sz w:val="20"/>
          <w:szCs w:val="20"/>
        </w:rPr>
      </w:pPr>
    </w:p>
    <w:p w:rsidR="00372982" w:rsidRPr="000201A3" w:rsidRDefault="00372982" w:rsidP="00372982">
      <w:pPr>
        <w:tabs>
          <w:tab w:val="center" w:pos="5400"/>
        </w:tabs>
        <w:suppressAutoHyphens/>
        <w:jc w:val="both"/>
        <w:rPr>
          <w:rFonts w:asciiTheme="majorHAnsi" w:eastAsia="MS Mincho" w:hAnsiTheme="majorHAnsi"/>
          <w:sz w:val="20"/>
          <w:szCs w:val="20"/>
        </w:rPr>
      </w:pPr>
    </w:p>
    <w:p w:rsidR="00372982" w:rsidRPr="000201A3" w:rsidRDefault="00372982" w:rsidP="00372982">
      <w:pPr>
        <w:pStyle w:val="ListParagraph"/>
        <w:numPr>
          <w:ilvl w:val="0"/>
          <w:numId w:val="105"/>
        </w:numPr>
        <w:ind w:left="0" w:firstLine="720"/>
        <w:jc w:val="both"/>
        <w:rPr>
          <w:rFonts w:asciiTheme="majorHAnsi" w:eastAsia="MS Mincho" w:hAnsiTheme="majorHAnsi"/>
          <w:b/>
          <w:color w:val="auto"/>
          <w:sz w:val="20"/>
          <w:szCs w:val="20"/>
        </w:rPr>
      </w:pPr>
      <w:r w:rsidRPr="000201A3">
        <w:rPr>
          <w:rFonts w:asciiTheme="majorHAnsi" w:eastAsia="MS Mincho" w:hAnsiTheme="majorHAnsi"/>
          <w:b/>
          <w:bCs/>
          <w:color w:val="auto"/>
          <w:sz w:val="20"/>
          <w:szCs w:val="20"/>
        </w:rPr>
        <w:t>DETERMINATION OF COMPATIBILITY AND COMPLIANCE</w:t>
      </w:r>
    </w:p>
    <w:p w:rsidR="00372982" w:rsidRPr="000201A3" w:rsidRDefault="00372982" w:rsidP="00372982">
      <w:pPr>
        <w:tabs>
          <w:tab w:val="num" w:pos="1440"/>
        </w:tabs>
        <w:ind w:firstLine="720"/>
        <w:jc w:val="both"/>
        <w:rPr>
          <w:rFonts w:asciiTheme="majorHAnsi" w:eastAsia="MS Mincho" w:hAnsiTheme="majorHAnsi"/>
          <w:b/>
          <w:sz w:val="20"/>
          <w:szCs w:val="20"/>
        </w:rPr>
      </w:pPr>
    </w:p>
    <w:p w:rsidR="00372982" w:rsidRPr="000201A3" w:rsidRDefault="00372982" w:rsidP="00372982">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auto"/>
          <w:sz w:val="20"/>
          <w:szCs w:val="20"/>
        </w:rPr>
      </w:pPr>
      <w:r w:rsidRPr="000201A3">
        <w:rPr>
          <w:rFonts w:asciiTheme="majorHAnsi" w:hAnsiTheme="majorHAnsi"/>
          <w:color w:val="auto"/>
          <w:sz w:val="20"/>
          <w:szCs w:val="20"/>
          <w:bdr w:val="none" w:sz="0" w:space="0" w:color="auto" w:frame="1"/>
        </w:rPr>
        <w:t>The IACHR reiterates that, under Articles 48(1</w:t>
      </w:r>
      <w:proofErr w:type="gramStart"/>
      <w:r w:rsidRPr="000201A3">
        <w:rPr>
          <w:rFonts w:asciiTheme="majorHAnsi" w:hAnsiTheme="majorHAnsi"/>
          <w:color w:val="auto"/>
          <w:sz w:val="20"/>
          <w:szCs w:val="20"/>
          <w:bdr w:val="none" w:sz="0" w:space="0" w:color="auto" w:frame="1"/>
        </w:rPr>
        <w:t>)(</w:t>
      </w:r>
      <w:proofErr w:type="gramEnd"/>
      <w:r w:rsidRPr="000201A3">
        <w:rPr>
          <w:rFonts w:asciiTheme="majorHAnsi" w:hAnsiTheme="majorHAnsi"/>
          <w:color w:val="auto"/>
          <w:sz w:val="20"/>
          <w:szCs w:val="20"/>
          <w:bdr w:val="none" w:sz="0" w:space="0" w:color="auto" w:frame="1"/>
        </w:rPr>
        <w:t xml:space="preserve">f) and 49 of the American Convention, this procedure has the objective of “reaching a friendly settlement of the matter on the basis of respect for the human rights recognized in this Convention.” The State’s consent to pursue this avenue is evidence of its good faith to honor the Convention’s purposes and objectives, based on the principle of </w:t>
      </w:r>
      <w:r w:rsidRPr="000201A3">
        <w:rPr>
          <w:rFonts w:asciiTheme="majorHAnsi" w:hAnsiTheme="majorHAnsi"/>
          <w:i/>
          <w:iCs/>
          <w:color w:val="auto"/>
          <w:sz w:val="20"/>
          <w:szCs w:val="20"/>
          <w:bdr w:val="none" w:sz="0" w:space="0" w:color="auto" w:frame="1"/>
        </w:rPr>
        <w:t>pacta sunt servanda</w:t>
      </w:r>
      <w:r w:rsidRPr="000201A3">
        <w:rPr>
          <w:rFonts w:asciiTheme="majorHAnsi" w:hAnsiTheme="majorHAnsi"/>
          <w:color w:val="auto"/>
          <w:sz w:val="20"/>
          <w:szCs w:val="20"/>
          <w:bdr w:val="none" w:sz="0" w:space="0" w:color="auto" w:frame="1"/>
        </w:rPr>
        <w:t>. According to that principle, States must comply in good faith with the obligations undertaken in treaties.</w:t>
      </w:r>
      <w:r w:rsidRPr="000201A3">
        <w:rPr>
          <w:rFonts w:asciiTheme="majorHAnsi" w:hAnsiTheme="majorHAnsi"/>
          <w:color w:val="auto"/>
          <w:sz w:val="20"/>
          <w:szCs w:val="20"/>
          <w:bdr w:val="none" w:sz="0" w:space="0" w:color="auto" w:frame="1"/>
          <w:vertAlign w:val="superscript"/>
        </w:rPr>
        <w:footnoteReference w:id="5"/>
      </w:r>
      <w:r w:rsidRPr="000201A3">
        <w:rPr>
          <w:rFonts w:asciiTheme="majorHAnsi" w:hAnsiTheme="majorHAnsi"/>
          <w:color w:val="auto"/>
          <w:sz w:val="20"/>
          <w:szCs w:val="20"/>
          <w:bdr w:val="none" w:sz="0" w:space="0" w:color="auto" w:frame="1"/>
        </w:rPr>
        <w:t xml:space="preserve"> The IACHR also wishes to point out that, with the friendly settlement procedure provided for in the Convention, individual cases can be settled in a non-contentious manner. In cases involving a number of countries, the friendly settlement procedure has proven to be a useful vehicle that both parties can utilize to arrive at a solution.</w:t>
      </w:r>
    </w:p>
    <w:p w:rsidR="00372982" w:rsidRPr="000201A3" w:rsidRDefault="00372982" w:rsidP="00372982">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sz w:val="20"/>
          <w:szCs w:val="20"/>
        </w:rPr>
      </w:pPr>
    </w:p>
    <w:p w:rsidR="00372982" w:rsidRPr="000201A3" w:rsidRDefault="00372982" w:rsidP="0037298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0201A3">
        <w:rPr>
          <w:rFonts w:asciiTheme="majorHAnsi" w:eastAsia="MS Mincho" w:hAnsiTheme="majorHAnsi"/>
          <w:sz w:val="20"/>
          <w:szCs w:val="20"/>
        </w:rPr>
        <w:t>The Inter-American Commission has closely monitored the progress of the friendly settlement reached in the present case and greatly values the efforts that both parties in negotiating this friendly settlement agreement, which is compatible with the object and purpose of the Convention.</w:t>
      </w:r>
    </w:p>
    <w:p w:rsidR="00372982" w:rsidRPr="000201A3" w:rsidRDefault="00372982" w:rsidP="00372982">
      <w:pPr>
        <w:pStyle w:val="ListParagraph"/>
        <w:ind w:left="0" w:firstLine="720"/>
        <w:rPr>
          <w:rFonts w:asciiTheme="majorHAnsi" w:eastAsia="MS Mincho" w:hAnsiTheme="majorHAnsi"/>
          <w:color w:val="auto"/>
          <w:sz w:val="20"/>
          <w:szCs w:val="20"/>
        </w:rPr>
      </w:pPr>
    </w:p>
    <w:p w:rsidR="00372982" w:rsidRPr="000201A3" w:rsidRDefault="00372982" w:rsidP="0037298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0201A3">
        <w:rPr>
          <w:rFonts w:asciiTheme="majorHAnsi" w:eastAsia="MS Mincho" w:hAnsiTheme="majorHAnsi"/>
          <w:color w:val="000000"/>
          <w:sz w:val="20"/>
          <w:szCs w:val="20"/>
        </w:rPr>
        <w:t xml:space="preserve">The Commission notes that the parties have included an annex (Annex A) to the friendly settlement agreement that contains a list of the victims and their family members, together with their respective personal details, </w:t>
      </w:r>
      <w:r w:rsidRPr="000201A3">
        <w:rPr>
          <w:rFonts w:asciiTheme="majorHAnsi" w:eastAsia="MS Mincho" w:hAnsiTheme="majorHAnsi"/>
          <w:sz w:val="20"/>
          <w:szCs w:val="20"/>
        </w:rPr>
        <w:t xml:space="preserve">and it therefore declares same to be an integral part of the agreement signed by the parties. </w:t>
      </w:r>
    </w:p>
    <w:p w:rsidR="00372982" w:rsidRPr="000201A3" w:rsidRDefault="00372982" w:rsidP="00372982">
      <w:pPr>
        <w:pStyle w:val="ListParagraph"/>
        <w:ind w:left="0" w:firstLine="720"/>
        <w:rPr>
          <w:rFonts w:asciiTheme="majorHAnsi" w:hAnsiTheme="majorHAnsi" w:cs="Calibri"/>
          <w:color w:val="auto"/>
          <w:sz w:val="20"/>
          <w:szCs w:val="20"/>
        </w:rPr>
      </w:pPr>
    </w:p>
    <w:p w:rsidR="00372982" w:rsidRPr="005671E5" w:rsidRDefault="00372982" w:rsidP="0037298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rPr>
      </w:pPr>
      <w:r w:rsidRPr="005671E5">
        <w:rPr>
          <w:rFonts w:asciiTheme="majorHAnsi" w:hAnsiTheme="majorHAnsi" w:cs="Calibri"/>
          <w:sz w:val="20"/>
          <w:szCs w:val="20"/>
        </w:rPr>
        <w:t xml:space="preserve">According to Clause 7 of the friendly settlement agreement, </w:t>
      </w:r>
      <w:r w:rsidR="005671E5" w:rsidRPr="005671E5">
        <w:rPr>
          <w:rFonts w:asciiTheme="majorHAnsi" w:hAnsiTheme="majorHAnsi" w:cs="Calibri"/>
          <w:sz w:val="20"/>
          <w:szCs w:val="20"/>
        </w:rPr>
        <w:t xml:space="preserve">on June 26, 2019 </w:t>
      </w:r>
      <w:r w:rsidRPr="005671E5">
        <w:rPr>
          <w:rFonts w:asciiTheme="majorHAnsi" w:hAnsiTheme="majorHAnsi" w:cs="Calibri"/>
          <w:sz w:val="20"/>
          <w:szCs w:val="20"/>
        </w:rPr>
        <w:t>the parties request</w:t>
      </w:r>
      <w:r w:rsidR="005671E5" w:rsidRPr="005671E5">
        <w:rPr>
          <w:rFonts w:asciiTheme="majorHAnsi" w:hAnsiTheme="majorHAnsi" w:cs="Calibri"/>
          <w:sz w:val="20"/>
          <w:szCs w:val="20"/>
        </w:rPr>
        <w:t>ed</w:t>
      </w:r>
      <w:r w:rsidRPr="005671E5">
        <w:rPr>
          <w:rFonts w:asciiTheme="majorHAnsi" w:hAnsiTheme="majorHAnsi" w:cs="Calibri"/>
          <w:sz w:val="20"/>
          <w:szCs w:val="20"/>
        </w:rPr>
        <w:t xml:space="preserve"> the Commission to issue the report envisaged in Articl</w:t>
      </w:r>
      <w:r w:rsidR="005671E5" w:rsidRPr="005671E5">
        <w:rPr>
          <w:rFonts w:asciiTheme="majorHAnsi" w:hAnsiTheme="majorHAnsi" w:cs="Calibri"/>
          <w:sz w:val="20"/>
          <w:szCs w:val="20"/>
        </w:rPr>
        <w:t>e 49 of the American Convention</w:t>
      </w:r>
      <w:r w:rsidRPr="005671E5">
        <w:rPr>
          <w:rFonts w:asciiTheme="majorHAnsi" w:hAnsiTheme="majorHAnsi" w:cs="Calibri"/>
          <w:sz w:val="20"/>
          <w:szCs w:val="20"/>
        </w:rPr>
        <w:t>.</w:t>
      </w:r>
    </w:p>
    <w:p w:rsidR="00372982" w:rsidRPr="000201A3" w:rsidRDefault="00372982" w:rsidP="00372982">
      <w:pPr>
        <w:pStyle w:val="ListParagraph"/>
        <w:ind w:left="0" w:firstLine="720"/>
        <w:rPr>
          <w:rFonts w:asciiTheme="majorHAnsi" w:hAnsiTheme="majorHAnsi" w:cs="Calibri"/>
          <w:sz w:val="20"/>
          <w:szCs w:val="20"/>
        </w:rPr>
      </w:pPr>
    </w:p>
    <w:p w:rsidR="00372982" w:rsidRPr="000201A3" w:rsidRDefault="00372982" w:rsidP="0037298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Calibri"/>
          <w:sz w:val="20"/>
          <w:szCs w:val="20"/>
        </w:rPr>
      </w:pPr>
      <w:r w:rsidRPr="000201A3">
        <w:rPr>
          <w:rFonts w:asciiTheme="majorHAnsi" w:hAnsiTheme="majorHAnsi" w:cs="Calibri"/>
          <w:sz w:val="20"/>
          <w:szCs w:val="20"/>
        </w:rPr>
        <w:t>The Commission takes note of the commitments assumed by the State in Clauses 1 and 2, which include the obligation to provide reparation to the victims by acknowledging pecuniary damages, loss of earnings, and non-pecuniary damages It also takes note of the provisions contained in Clause 3 referring to the payment of pecuniary reparations to the 13 victims and their 83 family members recognized as such in Annex A to the friendly settlement agreement. Accordingly, it declares that compliance with clauses 1, 2, and 3 is pending.</w:t>
      </w:r>
    </w:p>
    <w:p w:rsidR="00372982" w:rsidRPr="000201A3" w:rsidRDefault="00372982" w:rsidP="003729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cs="Calibri"/>
          <w:sz w:val="20"/>
          <w:szCs w:val="20"/>
        </w:rPr>
      </w:pPr>
    </w:p>
    <w:p w:rsidR="00372982" w:rsidRPr="000201A3" w:rsidRDefault="00372982" w:rsidP="0037298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0201A3">
        <w:rPr>
          <w:rFonts w:asciiTheme="majorHAnsi" w:eastAsia="MS Mincho" w:hAnsiTheme="majorHAnsi"/>
          <w:color w:val="000000"/>
          <w:sz w:val="20"/>
          <w:szCs w:val="20"/>
        </w:rPr>
        <w:t xml:space="preserve">In relation to Clause 4, concerning measures of satisfaction and guarantees of non-repetition, the Commission finds it to be a declaratory clause, for which reason there is no call to supervise its performance.  </w:t>
      </w:r>
    </w:p>
    <w:p w:rsidR="00372982" w:rsidRPr="000201A3" w:rsidRDefault="00372982" w:rsidP="00372982">
      <w:pPr>
        <w:pStyle w:val="ListParagraph"/>
        <w:ind w:left="0" w:firstLine="720"/>
        <w:rPr>
          <w:rFonts w:asciiTheme="majorHAnsi" w:hAnsiTheme="majorHAnsi" w:cs="Calibri"/>
          <w:sz w:val="20"/>
          <w:szCs w:val="20"/>
        </w:rPr>
      </w:pPr>
    </w:p>
    <w:p w:rsidR="00372982" w:rsidRPr="000201A3" w:rsidRDefault="00372982" w:rsidP="0037298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0201A3">
        <w:rPr>
          <w:rFonts w:asciiTheme="majorHAnsi" w:eastAsia="MS Mincho" w:hAnsiTheme="majorHAnsi"/>
          <w:color w:val="000000"/>
          <w:sz w:val="20"/>
          <w:szCs w:val="20"/>
        </w:rPr>
        <w:t xml:space="preserve">In relation to Clauses 4.1 (Public Pronouncement on the Facts), 4.2 (Investigation and punishment of those responsible), and 4.3 (Monument to the Murdered and Disappeared), all of which relate to measures of satisfaction and guarantees of non-repetition, the IACHR declares that compliance therewith is pending and that it will continue to monitor them until they have been fully complied with. </w:t>
      </w:r>
    </w:p>
    <w:p w:rsidR="00372982" w:rsidRPr="000201A3" w:rsidRDefault="00372982" w:rsidP="00372982">
      <w:pPr>
        <w:pStyle w:val="ListParagraph"/>
        <w:ind w:left="0" w:firstLine="720"/>
        <w:rPr>
          <w:rFonts w:asciiTheme="majorHAnsi" w:eastAsia="MS Mincho" w:hAnsiTheme="majorHAnsi"/>
          <w:sz w:val="20"/>
          <w:szCs w:val="20"/>
        </w:rPr>
      </w:pPr>
    </w:p>
    <w:p w:rsidR="00372982" w:rsidRPr="000201A3" w:rsidRDefault="00372982" w:rsidP="0037298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0201A3">
        <w:rPr>
          <w:rFonts w:asciiTheme="majorHAnsi" w:eastAsia="MS Mincho" w:hAnsiTheme="majorHAnsi"/>
          <w:color w:val="000000"/>
          <w:sz w:val="20"/>
          <w:szCs w:val="20"/>
        </w:rPr>
        <w:t xml:space="preserve">With respect to Clause 5 of the agreement, relating to the Implementation Schedule, the Commission will remain attentive to the State's review of the actuarial studies for the purposes of payment of the financial obligations within the time limit established in said clause, and it urges the parties to keep it </w:t>
      </w:r>
      <w:r w:rsidR="00365EEA">
        <w:rPr>
          <w:rFonts w:asciiTheme="majorHAnsi" w:eastAsia="MS Mincho" w:hAnsiTheme="majorHAnsi"/>
          <w:color w:val="000000"/>
          <w:sz w:val="20"/>
          <w:szCs w:val="20"/>
        </w:rPr>
        <w:t>informed</w:t>
      </w:r>
      <w:r w:rsidRPr="000201A3">
        <w:rPr>
          <w:rFonts w:asciiTheme="majorHAnsi" w:eastAsia="MS Mincho" w:hAnsiTheme="majorHAnsi"/>
          <w:color w:val="000000"/>
          <w:sz w:val="20"/>
          <w:szCs w:val="20"/>
        </w:rPr>
        <w:t xml:space="preserve"> of progress in the implementation of that clause. Accordingly, the IACHR declares that compliance with Clause 5 of the agreement is pending. </w:t>
      </w:r>
    </w:p>
    <w:p w:rsidR="00372982" w:rsidRPr="000201A3" w:rsidRDefault="00372982" w:rsidP="003729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olor w:val="000000"/>
          <w:sz w:val="20"/>
          <w:szCs w:val="20"/>
        </w:rPr>
      </w:pPr>
    </w:p>
    <w:p w:rsidR="00372982" w:rsidRPr="000201A3" w:rsidRDefault="00372982" w:rsidP="0037298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0201A3">
        <w:rPr>
          <w:rFonts w:asciiTheme="majorHAnsi" w:eastAsia="MS Mincho" w:hAnsiTheme="majorHAnsi"/>
          <w:color w:val="000000"/>
          <w:sz w:val="20"/>
          <w:szCs w:val="20"/>
        </w:rPr>
        <w:t xml:space="preserve">As for Clauses 6 (Approval and Follow-up), 7 (Publication and Completion of the Agreement), and 8 (Supervision and Compliance), the IACHR finds them to be declaratory and declares them as such. </w:t>
      </w:r>
    </w:p>
    <w:p w:rsidR="00372982" w:rsidRPr="000201A3" w:rsidRDefault="00372982" w:rsidP="00372982">
      <w:pPr>
        <w:pStyle w:val="ListParagraph"/>
        <w:ind w:left="0" w:firstLine="720"/>
        <w:rPr>
          <w:rFonts w:asciiTheme="majorHAnsi" w:hAnsiTheme="majorHAnsi" w:cs="Calibri"/>
          <w:sz w:val="20"/>
          <w:szCs w:val="20"/>
        </w:rPr>
      </w:pPr>
    </w:p>
    <w:p w:rsidR="00372982" w:rsidRPr="000201A3" w:rsidRDefault="00372982" w:rsidP="00372982">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rPr>
      </w:pPr>
      <w:r w:rsidRPr="000201A3">
        <w:rPr>
          <w:rFonts w:asciiTheme="majorHAnsi" w:hAnsiTheme="majorHAnsi" w:cs="Calibri"/>
          <w:sz w:val="20"/>
          <w:szCs w:val="20"/>
        </w:rPr>
        <w:t xml:space="preserve">The Commission finds that all the clauses in this friendly settlement agreement are pending compliance and it requests the parties to </w:t>
      </w:r>
      <w:r w:rsidR="00365EEA">
        <w:rPr>
          <w:rFonts w:asciiTheme="majorHAnsi" w:hAnsiTheme="majorHAnsi" w:cs="Calibri"/>
          <w:sz w:val="20"/>
          <w:szCs w:val="20"/>
        </w:rPr>
        <w:t>keep it informed in</w:t>
      </w:r>
      <w:r w:rsidRPr="000201A3">
        <w:rPr>
          <w:rFonts w:asciiTheme="majorHAnsi" w:hAnsiTheme="majorHAnsi" w:cs="Calibri"/>
          <w:sz w:val="20"/>
          <w:szCs w:val="20"/>
        </w:rPr>
        <w:t xml:space="preserve"> timely manner about the effective implementation </w:t>
      </w:r>
      <w:r w:rsidRPr="000201A3">
        <w:rPr>
          <w:rFonts w:asciiTheme="majorHAnsi" w:hAnsiTheme="majorHAnsi" w:cs="Calibri"/>
          <w:sz w:val="20"/>
          <w:szCs w:val="20"/>
        </w:rPr>
        <w:lastRenderedPageBreak/>
        <w:t xml:space="preserve">of the different points of the agreement. The IACHR will closely monitor implementation of the obligations assumed in the agreement and will apply the guidelines prescribed in Article 49 of the Convention. </w:t>
      </w:r>
    </w:p>
    <w:p w:rsidR="00372982" w:rsidRPr="000201A3" w:rsidRDefault="00372982" w:rsidP="00372982">
      <w:pPr>
        <w:tabs>
          <w:tab w:val="num" w:pos="1440"/>
        </w:tabs>
        <w:ind w:firstLine="720"/>
        <w:jc w:val="both"/>
        <w:rPr>
          <w:rFonts w:asciiTheme="majorHAnsi" w:eastAsia="MS Mincho" w:hAnsiTheme="majorHAnsi"/>
          <w:b/>
          <w:sz w:val="20"/>
          <w:szCs w:val="20"/>
        </w:rPr>
      </w:pPr>
    </w:p>
    <w:p w:rsidR="00372982" w:rsidRPr="000201A3" w:rsidRDefault="00372982" w:rsidP="00372982">
      <w:pPr>
        <w:pStyle w:val="ListParagraph"/>
        <w:numPr>
          <w:ilvl w:val="0"/>
          <w:numId w:val="105"/>
        </w:numPr>
        <w:ind w:left="0" w:firstLine="720"/>
        <w:rPr>
          <w:rFonts w:asciiTheme="majorHAnsi" w:eastAsia="MS Mincho" w:hAnsiTheme="majorHAnsi"/>
          <w:b/>
          <w:color w:val="auto"/>
          <w:sz w:val="20"/>
          <w:szCs w:val="20"/>
        </w:rPr>
      </w:pPr>
      <w:r w:rsidRPr="000201A3">
        <w:rPr>
          <w:rFonts w:asciiTheme="majorHAnsi" w:eastAsia="MS Mincho" w:hAnsiTheme="majorHAnsi"/>
          <w:b/>
          <w:bCs/>
          <w:color w:val="auto"/>
          <w:sz w:val="20"/>
          <w:szCs w:val="20"/>
        </w:rPr>
        <w:t>CONCLUSIONS</w:t>
      </w:r>
    </w:p>
    <w:p w:rsidR="00372982" w:rsidRPr="000201A3" w:rsidRDefault="00372982" w:rsidP="00372982">
      <w:pPr>
        <w:pStyle w:val="ListParagraph"/>
        <w:tabs>
          <w:tab w:val="left" w:pos="1440"/>
        </w:tabs>
        <w:ind w:left="0" w:firstLine="720"/>
        <w:jc w:val="both"/>
        <w:rPr>
          <w:rFonts w:asciiTheme="majorHAnsi" w:eastAsia="MS Mincho" w:hAnsiTheme="majorHAnsi"/>
          <w:color w:val="auto"/>
          <w:sz w:val="20"/>
          <w:szCs w:val="20"/>
        </w:rPr>
      </w:pPr>
    </w:p>
    <w:p w:rsidR="00372982" w:rsidRPr="000201A3" w:rsidRDefault="00372982" w:rsidP="00372982">
      <w:pPr>
        <w:pStyle w:val="ListParagraph"/>
        <w:numPr>
          <w:ilvl w:val="0"/>
          <w:numId w:val="106"/>
        </w:numPr>
        <w:tabs>
          <w:tab w:val="left" w:pos="1440"/>
        </w:tabs>
        <w:ind w:left="0" w:firstLine="720"/>
        <w:jc w:val="both"/>
        <w:rPr>
          <w:rFonts w:asciiTheme="majorHAnsi" w:eastAsia="MS Mincho" w:hAnsiTheme="majorHAnsi"/>
          <w:color w:val="auto"/>
          <w:sz w:val="20"/>
          <w:szCs w:val="20"/>
        </w:rPr>
      </w:pPr>
      <w:r w:rsidRPr="000201A3">
        <w:rPr>
          <w:rFonts w:asciiTheme="majorHAnsi" w:eastAsia="MS Mincho" w:hAnsiTheme="majorHAnsi"/>
          <w:color w:val="auto"/>
          <w:sz w:val="20"/>
          <w:szCs w:val="20"/>
        </w:rPr>
        <w:t>Based on the foregoing and in keeping with the procedure provided for in Articles 48(1</w:t>
      </w:r>
      <w:proofErr w:type="gramStart"/>
      <w:r w:rsidRPr="000201A3">
        <w:rPr>
          <w:rFonts w:asciiTheme="majorHAnsi" w:eastAsia="MS Mincho" w:hAnsiTheme="majorHAnsi"/>
          <w:color w:val="auto"/>
          <w:sz w:val="20"/>
          <w:szCs w:val="20"/>
        </w:rPr>
        <w:t>)(</w:t>
      </w:r>
      <w:proofErr w:type="gramEnd"/>
      <w:r w:rsidRPr="000201A3">
        <w:rPr>
          <w:rFonts w:asciiTheme="majorHAnsi" w:eastAsia="MS Mincho" w:hAnsiTheme="majorHAnsi"/>
          <w:color w:val="auto"/>
          <w:sz w:val="20"/>
          <w:szCs w:val="20"/>
        </w:rPr>
        <w:t xml:space="preserve">f) and 49 of the American Convention, the Commission would like to reiterate its profound appreciation of the efforts made by the parties and its satisfaction that a friendly settlement has been arrived at in the present case on the basis of respect for human rights and consistent with the object and purpose of the American Convention.  </w:t>
      </w:r>
    </w:p>
    <w:p w:rsidR="00372982" w:rsidRPr="000201A3" w:rsidRDefault="00372982" w:rsidP="00372982">
      <w:pPr>
        <w:pStyle w:val="ListParagraph"/>
        <w:tabs>
          <w:tab w:val="left" w:pos="1440"/>
        </w:tabs>
        <w:ind w:left="0" w:firstLine="720"/>
        <w:jc w:val="both"/>
        <w:rPr>
          <w:rFonts w:asciiTheme="majorHAnsi" w:eastAsia="MS Mincho" w:hAnsiTheme="majorHAnsi"/>
          <w:color w:val="auto"/>
          <w:sz w:val="20"/>
          <w:szCs w:val="20"/>
        </w:rPr>
      </w:pPr>
    </w:p>
    <w:p w:rsidR="00372982" w:rsidRPr="000201A3" w:rsidRDefault="00372982" w:rsidP="00372982">
      <w:pPr>
        <w:pStyle w:val="ListParagraph"/>
        <w:numPr>
          <w:ilvl w:val="0"/>
          <w:numId w:val="106"/>
        </w:numPr>
        <w:tabs>
          <w:tab w:val="left" w:pos="1440"/>
        </w:tabs>
        <w:ind w:left="0" w:firstLine="720"/>
        <w:jc w:val="both"/>
        <w:rPr>
          <w:rFonts w:asciiTheme="majorHAnsi" w:eastAsia="MS Mincho" w:hAnsiTheme="majorHAnsi"/>
          <w:color w:val="auto"/>
          <w:sz w:val="20"/>
          <w:szCs w:val="20"/>
        </w:rPr>
      </w:pPr>
      <w:r w:rsidRPr="000201A3">
        <w:rPr>
          <w:rFonts w:asciiTheme="majorHAnsi" w:eastAsia="MS Mincho" w:hAnsiTheme="majorHAnsi"/>
          <w:color w:val="auto"/>
          <w:sz w:val="20"/>
          <w:szCs w:val="20"/>
        </w:rPr>
        <w:t xml:space="preserve">Based on the considerations and conclusions contained in this report, </w:t>
      </w:r>
    </w:p>
    <w:p w:rsidR="00372982" w:rsidRPr="000201A3" w:rsidRDefault="00372982" w:rsidP="00372982">
      <w:pPr>
        <w:ind w:firstLine="720"/>
        <w:jc w:val="both"/>
        <w:rPr>
          <w:rFonts w:asciiTheme="majorHAnsi" w:eastAsia="MS Mincho" w:hAnsiTheme="majorHAnsi"/>
          <w:sz w:val="20"/>
          <w:szCs w:val="20"/>
        </w:rPr>
      </w:pPr>
    </w:p>
    <w:p w:rsidR="00372982" w:rsidRPr="000201A3" w:rsidRDefault="00372982" w:rsidP="00372982">
      <w:pPr>
        <w:tabs>
          <w:tab w:val="left" w:pos="1440"/>
        </w:tabs>
        <w:ind w:firstLine="1440"/>
        <w:jc w:val="both"/>
        <w:rPr>
          <w:rFonts w:asciiTheme="majorHAnsi" w:eastAsia="MS Mincho" w:hAnsiTheme="majorHAnsi"/>
          <w:b/>
          <w:bCs/>
          <w:sz w:val="20"/>
          <w:szCs w:val="20"/>
        </w:rPr>
      </w:pPr>
      <w:r w:rsidRPr="000201A3">
        <w:rPr>
          <w:rFonts w:asciiTheme="majorHAnsi" w:eastAsia="MS Mincho" w:hAnsiTheme="majorHAnsi"/>
          <w:b/>
          <w:bCs/>
          <w:sz w:val="20"/>
          <w:szCs w:val="20"/>
        </w:rPr>
        <w:t>THE INTER-AMERICAN COMMISSION ON HUMAN RIGHTS</w:t>
      </w:r>
    </w:p>
    <w:p w:rsidR="00372982" w:rsidRPr="000201A3" w:rsidRDefault="00372982" w:rsidP="00372982">
      <w:pPr>
        <w:tabs>
          <w:tab w:val="left" w:pos="1440"/>
        </w:tabs>
        <w:ind w:firstLine="1440"/>
        <w:jc w:val="both"/>
        <w:rPr>
          <w:rFonts w:asciiTheme="majorHAnsi" w:eastAsia="MS Mincho" w:hAnsiTheme="majorHAnsi"/>
          <w:b/>
          <w:bCs/>
          <w:color w:val="0070C0"/>
          <w:sz w:val="20"/>
          <w:szCs w:val="20"/>
        </w:rPr>
      </w:pPr>
    </w:p>
    <w:p w:rsidR="00372982" w:rsidRPr="000201A3" w:rsidRDefault="00372982" w:rsidP="00372982">
      <w:pPr>
        <w:jc w:val="both"/>
        <w:rPr>
          <w:rFonts w:asciiTheme="majorHAnsi" w:eastAsia="MS Mincho" w:hAnsiTheme="majorHAnsi"/>
          <w:sz w:val="20"/>
          <w:szCs w:val="20"/>
        </w:rPr>
      </w:pPr>
      <w:r w:rsidRPr="000201A3">
        <w:rPr>
          <w:rFonts w:asciiTheme="majorHAnsi" w:eastAsia="MS Mincho" w:hAnsiTheme="majorHAnsi"/>
          <w:b/>
          <w:bCs/>
          <w:sz w:val="20"/>
          <w:szCs w:val="20"/>
        </w:rPr>
        <w:t>DECIDES:</w:t>
      </w:r>
    </w:p>
    <w:p w:rsidR="00372982" w:rsidRPr="000201A3" w:rsidRDefault="00372982" w:rsidP="00372982">
      <w:pPr>
        <w:tabs>
          <w:tab w:val="left" w:pos="1260"/>
        </w:tabs>
        <w:ind w:firstLine="720"/>
        <w:jc w:val="both"/>
        <w:rPr>
          <w:rFonts w:asciiTheme="majorHAnsi" w:eastAsia="MS Mincho" w:hAnsiTheme="majorHAnsi"/>
          <w:sz w:val="20"/>
          <w:szCs w:val="20"/>
        </w:rPr>
      </w:pPr>
    </w:p>
    <w:p w:rsidR="00372982" w:rsidRPr="000201A3" w:rsidRDefault="00372982" w:rsidP="0037298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rPr>
      </w:pPr>
      <w:r w:rsidRPr="000201A3">
        <w:rPr>
          <w:rFonts w:asciiTheme="majorHAnsi" w:hAnsiTheme="majorHAnsi"/>
          <w:sz w:val="20"/>
          <w:szCs w:val="20"/>
        </w:rPr>
        <w:t>To approve the terms of the agreement signed by the parties on June 21, 2019, as well as Annex A to the friendly settlement agreement.</w:t>
      </w:r>
    </w:p>
    <w:p w:rsidR="00372982" w:rsidRPr="000201A3" w:rsidRDefault="00372982" w:rsidP="00372982">
      <w:pPr>
        <w:ind w:firstLine="720"/>
        <w:rPr>
          <w:rFonts w:asciiTheme="majorHAnsi" w:eastAsia="MS Mincho" w:hAnsiTheme="majorHAnsi"/>
          <w:sz w:val="20"/>
          <w:szCs w:val="20"/>
        </w:rPr>
      </w:pPr>
    </w:p>
    <w:p w:rsidR="00372982" w:rsidRPr="000201A3" w:rsidRDefault="00372982" w:rsidP="0037298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0201A3">
        <w:rPr>
          <w:rFonts w:asciiTheme="majorHAnsi" w:eastAsia="MS Mincho" w:hAnsiTheme="majorHAnsi"/>
          <w:sz w:val="20"/>
          <w:szCs w:val="20"/>
        </w:rPr>
        <w:t xml:space="preserve">To declare pending compliance Clauses 1 (Pecuniary Damages), 2 (Non-pecuniary Damages), 3 (Payment of Pecuniary Reparation), </w:t>
      </w:r>
      <w:r w:rsidRPr="000201A3">
        <w:rPr>
          <w:rFonts w:asciiTheme="majorHAnsi" w:eastAsia="MS Mincho" w:hAnsiTheme="majorHAnsi"/>
          <w:color w:val="000000"/>
          <w:sz w:val="20"/>
          <w:szCs w:val="20"/>
        </w:rPr>
        <w:t xml:space="preserve">4.1 (Public Pronouncement on the Facts), 4.2 (Investigation and Punishment of Those Responsible), 4.3 (Monument to the Murdered and Disappeared), </w:t>
      </w:r>
      <w:r w:rsidRPr="000201A3">
        <w:rPr>
          <w:rFonts w:asciiTheme="majorHAnsi" w:eastAsia="MS Mincho" w:hAnsiTheme="majorHAnsi"/>
          <w:sz w:val="20"/>
          <w:szCs w:val="20"/>
        </w:rPr>
        <w:t xml:space="preserve">and 5 (Implementation Schedule). </w:t>
      </w:r>
    </w:p>
    <w:p w:rsidR="00372982" w:rsidRPr="000201A3" w:rsidRDefault="00372982" w:rsidP="00372982">
      <w:pPr>
        <w:rPr>
          <w:rFonts w:asciiTheme="majorHAnsi" w:eastAsia="MS Mincho" w:hAnsiTheme="majorHAnsi"/>
          <w:sz w:val="20"/>
          <w:szCs w:val="20"/>
        </w:rPr>
      </w:pPr>
    </w:p>
    <w:p w:rsidR="00372982" w:rsidRPr="000201A3" w:rsidRDefault="00372982" w:rsidP="0037298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0201A3">
        <w:rPr>
          <w:rFonts w:asciiTheme="majorHAnsi" w:eastAsia="MS Mincho" w:hAnsiTheme="majorHAnsi"/>
          <w:sz w:val="20"/>
          <w:szCs w:val="20"/>
        </w:rPr>
        <w:t>To continue to supervise Clauses 1, 2, 3, 4.1, 4.2, 4.3, and 5 of the friendly settlement agreement until they have been fully complied with in accordance with the analysis contained in this report. To that end, to remind the Parties of their commitment to periodically inform the IACHR regarding compliance therewith.</w:t>
      </w:r>
    </w:p>
    <w:p w:rsidR="00372982" w:rsidRPr="000201A3" w:rsidRDefault="00372982" w:rsidP="00372982">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Theme="majorHAnsi" w:eastAsia="MS Mincho" w:hAnsiTheme="majorHAnsi"/>
          <w:sz w:val="20"/>
          <w:szCs w:val="20"/>
        </w:rPr>
      </w:pPr>
    </w:p>
    <w:p w:rsidR="00372982" w:rsidRPr="000201A3" w:rsidRDefault="00372982" w:rsidP="00372982">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rPr>
      </w:pPr>
      <w:r w:rsidRPr="000201A3">
        <w:rPr>
          <w:rFonts w:asciiTheme="majorHAnsi" w:eastAsia="MS Mincho" w:hAnsiTheme="majorHAnsi"/>
          <w:sz w:val="20"/>
          <w:szCs w:val="20"/>
        </w:rPr>
        <w:t>To make the present report public and include it in its Annual Report to the General Assembly of the OAS.</w:t>
      </w:r>
    </w:p>
    <w:p w:rsidR="00372982" w:rsidRPr="000201A3" w:rsidRDefault="00372982" w:rsidP="00C67BCE">
      <w:pPr>
        <w:pStyle w:val="ListParagraph"/>
        <w:ind w:left="0" w:firstLine="720"/>
        <w:jc w:val="both"/>
        <w:rPr>
          <w:rFonts w:asciiTheme="majorHAnsi" w:eastAsia="MS Mincho" w:hAnsiTheme="majorHAnsi"/>
          <w:sz w:val="20"/>
          <w:szCs w:val="20"/>
        </w:rPr>
      </w:pPr>
    </w:p>
    <w:p w:rsidR="00C55560" w:rsidRPr="00145EDC" w:rsidRDefault="00B02C3D" w:rsidP="00C67BCE">
      <w:pPr>
        <w:ind w:firstLine="720"/>
        <w:jc w:val="both"/>
        <w:rPr>
          <w:rFonts w:asciiTheme="majorHAnsi" w:hAnsiTheme="majorHAnsi"/>
          <w:sz w:val="20"/>
          <w:szCs w:val="20"/>
        </w:rPr>
      </w:pPr>
      <w:r w:rsidRPr="00921F4E">
        <w:rPr>
          <w:rFonts w:asciiTheme="majorHAnsi" w:hAnsiTheme="majorHAnsi" w:cs="Arial"/>
          <w:sz w:val="20"/>
          <w:szCs w:val="20"/>
          <w:lang w:eastAsia="ja-JP"/>
        </w:rPr>
        <w:t xml:space="preserve">Approved by the Inter-American Commission on Human Rights on the </w:t>
      </w:r>
      <w:r>
        <w:rPr>
          <w:rFonts w:asciiTheme="majorHAnsi" w:hAnsiTheme="majorHAnsi" w:cs="Arial"/>
          <w:sz w:val="20"/>
          <w:szCs w:val="20"/>
          <w:lang w:eastAsia="ja-JP"/>
        </w:rPr>
        <w:t>13</w:t>
      </w:r>
      <w:r w:rsidRPr="00921F4E">
        <w:rPr>
          <w:rFonts w:asciiTheme="majorHAnsi" w:hAnsiTheme="majorHAnsi" w:cs="Arial"/>
          <w:sz w:val="20"/>
          <w:szCs w:val="20"/>
          <w:lang w:eastAsia="ja-JP"/>
        </w:rPr>
        <w:t xml:space="preserve"> day of </w:t>
      </w:r>
      <w:r>
        <w:rPr>
          <w:rFonts w:asciiTheme="majorHAnsi" w:hAnsiTheme="majorHAnsi" w:cs="Arial"/>
          <w:sz w:val="20"/>
          <w:szCs w:val="20"/>
          <w:lang w:eastAsia="ja-JP"/>
        </w:rPr>
        <w:t>July</w:t>
      </w:r>
      <w:r w:rsidRPr="00921F4E">
        <w:rPr>
          <w:rFonts w:asciiTheme="majorHAnsi" w:hAnsiTheme="majorHAnsi" w:cs="Arial"/>
          <w:sz w:val="20"/>
          <w:szCs w:val="20"/>
          <w:lang w:eastAsia="ja-JP"/>
        </w:rPr>
        <w:t xml:space="preserve"> 2019. (Signed):</w:t>
      </w:r>
      <w:r>
        <w:rPr>
          <w:rFonts w:asciiTheme="majorHAnsi" w:hAnsiTheme="majorHAnsi" w:cs="Arial"/>
          <w:sz w:val="20"/>
          <w:szCs w:val="20"/>
          <w:lang w:eastAsia="ja-JP"/>
        </w:rPr>
        <w:t xml:space="preserve"> Joel Hernández, First Vice-President; Antonia Urrejola; Second Vice-President; </w:t>
      </w:r>
      <w:r w:rsidR="00122975">
        <w:rPr>
          <w:rFonts w:asciiTheme="majorHAnsi" w:hAnsiTheme="majorHAnsi" w:cs="Arial"/>
          <w:sz w:val="20"/>
          <w:szCs w:val="20"/>
          <w:lang w:eastAsia="ja-JP"/>
        </w:rPr>
        <w:t>Margarette May Mac</w:t>
      </w:r>
      <w:r w:rsidR="00C67BCE">
        <w:rPr>
          <w:rFonts w:asciiTheme="majorHAnsi" w:hAnsiTheme="majorHAnsi" w:cs="Arial"/>
          <w:sz w:val="20"/>
          <w:szCs w:val="20"/>
          <w:lang w:eastAsia="ja-JP"/>
        </w:rPr>
        <w:t>a</w:t>
      </w:r>
      <w:r w:rsidR="00122975">
        <w:rPr>
          <w:rFonts w:asciiTheme="majorHAnsi" w:hAnsiTheme="majorHAnsi" w:cs="Arial"/>
          <w:sz w:val="20"/>
          <w:szCs w:val="20"/>
          <w:lang w:eastAsia="ja-JP"/>
        </w:rPr>
        <w:t xml:space="preserve">ulay, </w:t>
      </w:r>
      <w:r>
        <w:rPr>
          <w:rFonts w:asciiTheme="majorHAnsi" w:hAnsiTheme="majorHAnsi" w:cs="Arial"/>
          <w:sz w:val="20"/>
          <w:szCs w:val="20"/>
          <w:lang w:eastAsia="ja-JP"/>
        </w:rPr>
        <w:t xml:space="preserve">Francisco José Eguiguren, </w:t>
      </w:r>
      <w:r w:rsidR="00122975">
        <w:rPr>
          <w:rFonts w:asciiTheme="majorHAnsi" w:hAnsiTheme="majorHAnsi" w:cs="Arial"/>
          <w:sz w:val="20"/>
          <w:szCs w:val="20"/>
          <w:lang w:eastAsia="ja-JP"/>
        </w:rPr>
        <w:t>Luis Ernesto Vargas Silva</w:t>
      </w:r>
      <w:r w:rsidR="00C67BCE">
        <w:rPr>
          <w:rFonts w:asciiTheme="majorHAnsi" w:hAnsiTheme="majorHAnsi" w:cs="Arial"/>
          <w:sz w:val="20"/>
          <w:szCs w:val="20"/>
          <w:lang w:eastAsia="ja-JP"/>
        </w:rPr>
        <w:t xml:space="preserve"> and </w:t>
      </w:r>
      <w:proofErr w:type="spellStart"/>
      <w:r w:rsidR="00C67BCE">
        <w:rPr>
          <w:rFonts w:asciiTheme="majorHAnsi" w:hAnsiTheme="majorHAnsi" w:cs="Arial"/>
          <w:sz w:val="20"/>
          <w:szCs w:val="20"/>
          <w:lang w:eastAsia="ja-JP"/>
        </w:rPr>
        <w:t>Flá</w:t>
      </w:r>
      <w:r>
        <w:rPr>
          <w:rFonts w:asciiTheme="majorHAnsi" w:hAnsiTheme="majorHAnsi" w:cs="Arial"/>
          <w:sz w:val="20"/>
          <w:szCs w:val="20"/>
          <w:lang w:eastAsia="ja-JP"/>
        </w:rPr>
        <w:t>via</w:t>
      </w:r>
      <w:proofErr w:type="spellEnd"/>
      <w:r>
        <w:rPr>
          <w:rFonts w:asciiTheme="majorHAnsi" w:hAnsiTheme="majorHAnsi" w:cs="Arial"/>
          <w:sz w:val="20"/>
          <w:szCs w:val="20"/>
          <w:lang w:eastAsia="ja-JP"/>
        </w:rPr>
        <w:t xml:space="preserve"> </w:t>
      </w:r>
      <w:proofErr w:type="spellStart"/>
      <w:r>
        <w:rPr>
          <w:rFonts w:asciiTheme="majorHAnsi" w:hAnsiTheme="majorHAnsi" w:cs="Arial"/>
          <w:sz w:val="20"/>
          <w:szCs w:val="20"/>
          <w:lang w:eastAsia="ja-JP"/>
        </w:rPr>
        <w:t>Piovesan</w:t>
      </w:r>
      <w:proofErr w:type="spellEnd"/>
      <w:r>
        <w:rPr>
          <w:rFonts w:asciiTheme="majorHAnsi" w:hAnsiTheme="majorHAnsi" w:cs="Arial"/>
          <w:sz w:val="20"/>
          <w:szCs w:val="20"/>
          <w:lang w:eastAsia="ja-JP"/>
        </w:rPr>
        <w:t>, Members of the Commission.</w:t>
      </w:r>
      <w:r w:rsidR="00C67BCE" w:rsidRPr="000201A3">
        <w:rPr>
          <w:rFonts w:asciiTheme="majorHAnsi" w:hAnsiTheme="majorHAnsi" w:cs="Calibri"/>
          <w:b/>
          <w:sz w:val="20"/>
          <w:szCs w:val="20"/>
        </w:rPr>
        <w:t xml:space="preserve"> </w:t>
      </w:r>
    </w:p>
    <w:sectPr w:rsidR="00C55560" w:rsidRPr="00145EDC" w:rsidSect="0037298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045" w:rsidRDefault="00B82045" w:rsidP="00036A8A">
      <w:r>
        <w:separator/>
      </w:r>
    </w:p>
  </w:endnote>
  <w:endnote w:type="continuationSeparator" w:id="0">
    <w:p w:rsidR="00B82045" w:rsidRDefault="00B8204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AEE" w:rsidRDefault="00DC3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0D61BB" w:rsidRPr="006311DA" w:rsidRDefault="000D61BB">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85A83">
          <w:rPr>
            <w:noProof/>
            <w:sz w:val="16"/>
          </w:rPr>
          <w:t>13</w:t>
        </w:r>
        <w:r w:rsidRPr="006311DA">
          <w:rPr>
            <w:noProof/>
            <w:sz w:val="16"/>
          </w:rPr>
          <w:fldChar w:fldCharType="end"/>
        </w:r>
      </w:p>
    </w:sdtContent>
  </w:sdt>
  <w:p w:rsidR="000D61BB" w:rsidRDefault="000D61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1BB" w:rsidRDefault="000D61BB">
    <w:pPr>
      <w:pStyle w:val="Footer"/>
      <w:jc w:val="center"/>
    </w:pPr>
  </w:p>
  <w:p w:rsidR="000D61BB" w:rsidRDefault="000D61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045" w:rsidRPr="00036A8A" w:rsidRDefault="00B8204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B82045" w:rsidRPr="00036A8A" w:rsidRDefault="00B82045" w:rsidP="00036A8A">
      <w:pPr>
        <w:rPr>
          <w:rFonts w:asciiTheme="majorHAnsi" w:hAnsiTheme="majorHAnsi"/>
          <w:sz w:val="16"/>
          <w:szCs w:val="16"/>
        </w:rPr>
      </w:pPr>
      <w:r w:rsidRPr="00036A8A">
        <w:rPr>
          <w:rFonts w:asciiTheme="majorHAnsi" w:hAnsiTheme="majorHAnsi"/>
          <w:sz w:val="16"/>
          <w:szCs w:val="16"/>
        </w:rPr>
        <w:separator/>
      </w:r>
    </w:p>
    <w:p w:rsidR="00B82045" w:rsidRPr="00036A8A" w:rsidRDefault="00B8204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B82045" w:rsidRPr="0093441A" w:rsidRDefault="00B82045"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0D61BB" w:rsidRPr="00D31E39" w:rsidRDefault="000D61BB" w:rsidP="00372982">
      <w:pPr>
        <w:pStyle w:val="FootnoteText"/>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In accordance with Article 17(2</w:t>
      </w:r>
      <w:proofErr w:type="gramStart"/>
      <w:r>
        <w:rPr>
          <w:rFonts w:asciiTheme="majorHAnsi" w:hAnsiTheme="majorHAnsi"/>
          <w:sz w:val="16"/>
          <w:szCs w:val="16"/>
        </w:rPr>
        <w:t>)(</w:t>
      </w:r>
      <w:proofErr w:type="gramEnd"/>
      <w:r>
        <w:rPr>
          <w:rFonts w:asciiTheme="majorHAnsi" w:hAnsiTheme="majorHAnsi"/>
          <w:sz w:val="16"/>
          <w:szCs w:val="16"/>
        </w:rPr>
        <w:t>a) of the Rules of Procedure of the IACHR, Commissioner Esmeralda Arosemena de Troitiño, a Panamanian national, did not participate in the discussion or decision on this case.</w:t>
      </w:r>
    </w:p>
  </w:footnote>
  <w:footnote w:id="3">
    <w:p w:rsidR="000D61BB" w:rsidRPr="00D31E39" w:rsidRDefault="000D61BB" w:rsidP="00372982">
      <w:pPr>
        <w:pStyle w:val="FootnoteText"/>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 According to the petition, no judicial proceedings were conducted in the cases of the following alleged victims: Javier Sánchez, disappeared in 1969; Carlos </w:t>
      </w:r>
      <w:proofErr w:type="spellStart"/>
      <w:r>
        <w:rPr>
          <w:rFonts w:asciiTheme="majorHAnsi" w:hAnsiTheme="majorHAnsi"/>
          <w:sz w:val="16"/>
          <w:szCs w:val="16"/>
        </w:rPr>
        <w:t>Milar</w:t>
      </w:r>
      <w:proofErr w:type="spellEnd"/>
      <w:r>
        <w:rPr>
          <w:rFonts w:asciiTheme="majorHAnsi" w:hAnsiTheme="majorHAnsi"/>
          <w:sz w:val="16"/>
          <w:szCs w:val="16"/>
        </w:rPr>
        <w:t xml:space="preserve"> González Caballero, disappeared in 1969; Marta Morán Jiménez, disappeared in 1989; Leopoldo Rafael Allen </w:t>
      </w:r>
      <w:proofErr w:type="spellStart"/>
      <w:r>
        <w:rPr>
          <w:rFonts w:asciiTheme="majorHAnsi" w:hAnsiTheme="majorHAnsi"/>
          <w:sz w:val="16"/>
          <w:szCs w:val="16"/>
        </w:rPr>
        <w:t>Serracín</w:t>
      </w:r>
      <w:proofErr w:type="spellEnd"/>
      <w:r>
        <w:rPr>
          <w:rFonts w:asciiTheme="majorHAnsi" w:hAnsiTheme="majorHAnsi"/>
          <w:sz w:val="16"/>
          <w:szCs w:val="16"/>
        </w:rPr>
        <w:t xml:space="preserve">, executed in 1969; Walter </w:t>
      </w:r>
      <w:proofErr w:type="spellStart"/>
      <w:r>
        <w:rPr>
          <w:rFonts w:asciiTheme="majorHAnsi" w:hAnsiTheme="majorHAnsi"/>
          <w:sz w:val="16"/>
          <w:szCs w:val="16"/>
        </w:rPr>
        <w:t>Sandiñas</w:t>
      </w:r>
      <w:proofErr w:type="spellEnd"/>
      <w:r>
        <w:rPr>
          <w:rFonts w:asciiTheme="majorHAnsi" w:hAnsiTheme="majorHAnsi"/>
          <w:sz w:val="16"/>
          <w:szCs w:val="16"/>
        </w:rPr>
        <w:t xml:space="preserve"> </w:t>
      </w:r>
      <w:proofErr w:type="spellStart"/>
      <w:r>
        <w:rPr>
          <w:rFonts w:asciiTheme="majorHAnsi" w:hAnsiTheme="majorHAnsi"/>
          <w:sz w:val="16"/>
          <w:szCs w:val="16"/>
        </w:rPr>
        <w:t>Iguini</w:t>
      </w:r>
      <w:proofErr w:type="spellEnd"/>
      <w:r>
        <w:rPr>
          <w:rFonts w:asciiTheme="majorHAnsi" w:hAnsiTheme="majorHAnsi"/>
          <w:sz w:val="16"/>
          <w:szCs w:val="16"/>
        </w:rPr>
        <w:t xml:space="preserve">, executed in 1970; and </w:t>
      </w:r>
      <w:proofErr w:type="spellStart"/>
      <w:r>
        <w:rPr>
          <w:rFonts w:asciiTheme="majorHAnsi" w:hAnsiTheme="majorHAnsi"/>
          <w:sz w:val="16"/>
          <w:szCs w:val="16"/>
        </w:rPr>
        <w:t>Tomás</w:t>
      </w:r>
      <w:proofErr w:type="spellEnd"/>
      <w:r>
        <w:rPr>
          <w:rFonts w:asciiTheme="majorHAnsi" w:hAnsiTheme="majorHAnsi"/>
          <w:sz w:val="16"/>
          <w:szCs w:val="16"/>
        </w:rPr>
        <w:t xml:space="preserve"> Rojas </w:t>
      </w:r>
      <w:proofErr w:type="spellStart"/>
      <w:r>
        <w:rPr>
          <w:rFonts w:asciiTheme="majorHAnsi" w:hAnsiTheme="majorHAnsi"/>
          <w:sz w:val="16"/>
          <w:szCs w:val="16"/>
        </w:rPr>
        <w:t>Hinestroza</w:t>
      </w:r>
      <w:proofErr w:type="spellEnd"/>
      <w:r>
        <w:rPr>
          <w:rFonts w:asciiTheme="majorHAnsi" w:hAnsiTheme="majorHAnsi"/>
          <w:sz w:val="16"/>
          <w:szCs w:val="16"/>
        </w:rPr>
        <w:t>, executed in 1979.</w:t>
      </w:r>
    </w:p>
  </w:footnote>
  <w:footnote w:id="4">
    <w:p w:rsidR="000D61BB" w:rsidRPr="00D31E39" w:rsidRDefault="000D61BB" w:rsidP="00372982">
      <w:pPr>
        <w:pStyle w:val="FootnoteText"/>
        <w:spacing w:after="120"/>
        <w:jc w:val="both"/>
        <w:rPr>
          <w:rFonts w:asciiTheme="majorHAnsi" w:hAnsiTheme="majorHAnsi"/>
          <w:sz w:val="16"/>
          <w:szCs w:val="16"/>
        </w:rPr>
      </w:pPr>
      <w:r>
        <w:rPr>
          <w:rStyle w:val="FootnoteReference"/>
          <w:rFonts w:asciiTheme="majorHAnsi" w:hAnsiTheme="majorHAnsi"/>
          <w:sz w:val="16"/>
          <w:szCs w:val="16"/>
        </w:rPr>
        <w:footnoteRef/>
      </w:r>
      <w:r>
        <w:rPr>
          <w:rFonts w:asciiTheme="majorHAnsi" w:hAnsiTheme="majorHAnsi"/>
          <w:sz w:val="16"/>
          <w:szCs w:val="16"/>
        </w:rPr>
        <w:t xml:space="preserve"> The petitioners indicate that the five remaining cases in which sentences were issued were: (</w:t>
      </w:r>
      <w:proofErr w:type="spellStart"/>
      <w:r>
        <w:rPr>
          <w:rFonts w:asciiTheme="majorHAnsi" w:hAnsiTheme="majorHAnsi"/>
          <w:sz w:val="16"/>
          <w:szCs w:val="16"/>
        </w:rPr>
        <w:t>i</w:t>
      </w:r>
      <w:proofErr w:type="spellEnd"/>
      <w:r>
        <w:rPr>
          <w:rFonts w:asciiTheme="majorHAnsi" w:hAnsiTheme="majorHAnsi"/>
          <w:sz w:val="16"/>
          <w:szCs w:val="16"/>
        </w:rPr>
        <w:t xml:space="preserve">) the execution of Father </w:t>
      </w:r>
      <w:proofErr w:type="spellStart"/>
      <w:r>
        <w:rPr>
          <w:rFonts w:asciiTheme="majorHAnsi" w:hAnsiTheme="majorHAnsi"/>
          <w:sz w:val="16"/>
          <w:szCs w:val="16"/>
        </w:rPr>
        <w:t>Nicolás</w:t>
      </w:r>
      <w:proofErr w:type="spellEnd"/>
      <w:r>
        <w:rPr>
          <w:rFonts w:asciiTheme="majorHAnsi" w:hAnsiTheme="majorHAnsi"/>
          <w:sz w:val="16"/>
          <w:szCs w:val="16"/>
        </w:rPr>
        <w:t xml:space="preserve"> Johannes Van </w:t>
      </w:r>
      <w:proofErr w:type="spellStart"/>
      <w:r>
        <w:rPr>
          <w:rFonts w:asciiTheme="majorHAnsi" w:hAnsiTheme="majorHAnsi"/>
          <w:sz w:val="16"/>
          <w:szCs w:val="16"/>
        </w:rPr>
        <w:t>Kleef</w:t>
      </w:r>
      <w:proofErr w:type="spellEnd"/>
      <w:r>
        <w:rPr>
          <w:rFonts w:asciiTheme="majorHAnsi" w:hAnsiTheme="majorHAnsi"/>
          <w:sz w:val="16"/>
          <w:szCs w:val="16"/>
        </w:rPr>
        <w:t xml:space="preserve"> </w:t>
      </w:r>
      <w:proofErr w:type="spellStart"/>
      <w:r>
        <w:rPr>
          <w:rFonts w:asciiTheme="majorHAnsi" w:hAnsiTheme="majorHAnsi"/>
          <w:sz w:val="16"/>
          <w:szCs w:val="16"/>
        </w:rPr>
        <w:t>Filcz</w:t>
      </w:r>
      <w:proofErr w:type="spellEnd"/>
      <w:r>
        <w:rPr>
          <w:rFonts w:asciiTheme="majorHAnsi" w:hAnsiTheme="majorHAnsi"/>
          <w:sz w:val="16"/>
          <w:szCs w:val="16"/>
        </w:rPr>
        <w:t xml:space="preserve">; a judgment in 1992 sentenced the accused, </w:t>
      </w:r>
      <w:proofErr w:type="spellStart"/>
      <w:r>
        <w:rPr>
          <w:rFonts w:asciiTheme="majorHAnsi" w:hAnsiTheme="majorHAnsi"/>
          <w:sz w:val="16"/>
          <w:szCs w:val="16"/>
        </w:rPr>
        <w:t>Olmedo</w:t>
      </w:r>
      <w:proofErr w:type="spellEnd"/>
      <w:r>
        <w:rPr>
          <w:rFonts w:asciiTheme="majorHAnsi" w:hAnsiTheme="majorHAnsi"/>
          <w:sz w:val="16"/>
          <w:szCs w:val="16"/>
        </w:rPr>
        <w:t xml:space="preserve"> Espinoza </w:t>
      </w:r>
      <w:proofErr w:type="spellStart"/>
      <w:r>
        <w:rPr>
          <w:rFonts w:asciiTheme="majorHAnsi" w:hAnsiTheme="majorHAnsi"/>
          <w:sz w:val="16"/>
          <w:szCs w:val="16"/>
        </w:rPr>
        <w:t>Espinoza</w:t>
      </w:r>
      <w:proofErr w:type="spellEnd"/>
      <w:r>
        <w:rPr>
          <w:rFonts w:asciiTheme="majorHAnsi" w:hAnsiTheme="majorHAnsi"/>
          <w:sz w:val="16"/>
          <w:szCs w:val="16"/>
        </w:rPr>
        <w:t xml:space="preserve">, to 16 years in prison, which was upheld by the Supreme Court of Justice; (ii) the forced disappearance of Father Jesús Héctor Gallego Herrera in 1993; a jury of conscious sentenced three military officers to 15 years in prison; (iii) the execution of Daniel </w:t>
      </w:r>
      <w:proofErr w:type="spellStart"/>
      <w:r>
        <w:rPr>
          <w:rFonts w:asciiTheme="majorHAnsi" w:hAnsiTheme="majorHAnsi"/>
          <w:sz w:val="16"/>
          <w:szCs w:val="16"/>
        </w:rPr>
        <w:t>Simoné</w:t>
      </w:r>
      <w:proofErr w:type="spellEnd"/>
      <w:r>
        <w:rPr>
          <w:rFonts w:asciiTheme="majorHAnsi" w:hAnsiTheme="majorHAnsi"/>
          <w:sz w:val="16"/>
          <w:szCs w:val="16"/>
        </w:rPr>
        <w:t xml:space="preserve"> Hernández; a default judgment was handed down in 1995; (iv) the execution of Hugo </w:t>
      </w:r>
      <w:proofErr w:type="spellStart"/>
      <w:r>
        <w:rPr>
          <w:rFonts w:asciiTheme="majorHAnsi" w:hAnsiTheme="majorHAnsi"/>
          <w:sz w:val="16"/>
          <w:szCs w:val="16"/>
        </w:rPr>
        <w:t>Spadafora</w:t>
      </w:r>
      <w:proofErr w:type="spellEnd"/>
      <w:r>
        <w:rPr>
          <w:rFonts w:asciiTheme="majorHAnsi" w:hAnsiTheme="majorHAnsi"/>
          <w:sz w:val="16"/>
          <w:szCs w:val="16"/>
        </w:rPr>
        <w:t xml:space="preserve"> Franco; sentence handed down by the Superior Court of the Third Judicial District, Chiriquí; (v) the execution of </w:t>
      </w:r>
      <w:proofErr w:type="spellStart"/>
      <w:r>
        <w:rPr>
          <w:rFonts w:asciiTheme="majorHAnsi" w:hAnsiTheme="majorHAnsi"/>
          <w:sz w:val="16"/>
          <w:szCs w:val="16"/>
        </w:rPr>
        <w:t>Yito</w:t>
      </w:r>
      <w:proofErr w:type="spellEnd"/>
      <w:r>
        <w:rPr>
          <w:rFonts w:asciiTheme="majorHAnsi" w:hAnsiTheme="majorHAnsi"/>
          <w:sz w:val="16"/>
          <w:szCs w:val="16"/>
        </w:rPr>
        <w:t xml:space="preserve"> </w:t>
      </w:r>
      <w:proofErr w:type="spellStart"/>
      <w:r>
        <w:rPr>
          <w:rFonts w:asciiTheme="majorHAnsi" w:hAnsiTheme="majorHAnsi"/>
          <w:sz w:val="16"/>
          <w:szCs w:val="16"/>
        </w:rPr>
        <w:t>Barrante</w:t>
      </w:r>
      <w:proofErr w:type="spellEnd"/>
      <w:r>
        <w:rPr>
          <w:rFonts w:asciiTheme="majorHAnsi" w:hAnsiTheme="majorHAnsi"/>
          <w:sz w:val="16"/>
          <w:szCs w:val="16"/>
        </w:rPr>
        <w:t xml:space="preserve"> Méndez; default judgment handed down.</w:t>
      </w:r>
    </w:p>
  </w:footnote>
  <w:footnote w:id="5">
    <w:p w:rsidR="000D61BB" w:rsidRPr="00FC499C" w:rsidRDefault="000D61BB" w:rsidP="00372982">
      <w:pPr>
        <w:pStyle w:val="FootnoteText"/>
        <w:jc w:val="both"/>
        <w:rPr>
          <w:rFonts w:asciiTheme="majorHAnsi" w:hAnsiTheme="majorHAnsi"/>
          <w:sz w:val="16"/>
          <w:szCs w:val="16"/>
          <w:bdr w:val="none" w:sz="0" w:space="0" w:color="auto" w:frame="1"/>
        </w:rPr>
      </w:pPr>
      <w:r>
        <w:rPr>
          <w:rStyle w:val="FootnoteReference"/>
          <w:rFonts w:asciiTheme="majorHAnsi" w:hAnsiTheme="majorHAnsi"/>
          <w:sz w:val="16"/>
          <w:szCs w:val="16"/>
        </w:rPr>
        <w:footnoteRef/>
      </w:r>
      <w:r>
        <w:rPr>
          <w:rFonts w:asciiTheme="majorHAnsi" w:hAnsiTheme="majorHAnsi"/>
          <w:sz w:val="16"/>
          <w:szCs w:val="16"/>
        </w:rPr>
        <w:t xml:space="preserve"> Vienna Convention on the Law of Treaties, U.N. Doc A/CONF.39/27 (1969), Article 26: </w:t>
      </w:r>
      <w:r>
        <w:rPr>
          <w:rFonts w:asciiTheme="majorHAnsi" w:hAnsiTheme="majorHAnsi"/>
          <w:b/>
          <w:bCs/>
          <w:sz w:val="16"/>
          <w:szCs w:val="16"/>
        </w:rPr>
        <w:t>"Pacta sunt servanda".</w:t>
      </w:r>
      <w:r>
        <w:rPr>
          <w:rFonts w:asciiTheme="majorHAnsi" w:hAnsiTheme="majorHAnsi"/>
          <w:sz w:val="16"/>
          <w:szCs w:val="16"/>
        </w:rPr>
        <w:t xml:space="preserve"> </w:t>
      </w:r>
      <w:r>
        <w:rPr>
          <w:rFonts w:asciiTheme="majorHAnsi" w:hAnsiTheme="majorHAnsi"/>
          <w:i/>
          <w:iCs/>
          <w:sz w:val="16"/>
          <w:szCs w:val="16"/>
        </w:rPr>
        <w:t>Every treaty in force is binding upon the parties to it and must be performed by them in good faith</w:t>
      </w:r>
      <w:r>
        <w:rPr>
          <w:rFonts w:asciiTheme="majorHAnsi" w:hAnsiTheme="maj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1BB" w:rsidRDefault="000D61BB" w:rsidP="000D61B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D61BB" w:rsidRDefault="000D61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1BB" w:rsidRDefault="000D61BB"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D61BB" w:rsidRPr="00EC7D62" w:rsidRDefault="00B82045"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AEE" w:rsidRDefault="00DC3A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0F62FD"/>
    <w:multiLevelType w:val="hybridMultilevel"/>
    <w:tmpl w:val="A726F648"/>
    <w:lvl w:ilvl="0" w:tplc="180A000F">
      <w:start w:val="1"/>
      <w:numFmt w:val="decimal"/>
      <w:lvlText w:val="%1."/>
      <w:lvlJc w:val="left"/>
      <w:pPr>
        <w:ind w:left="360" w:hanging="360"/>
      </w:pPr>
    </w:lvl>
    <w:lvl w:ilvl="1" w:tplc="180A0019">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993AD6"/>
    <w:multiLevelType w:val="multilevel"/>
    <w:tmpl w:val="641CEE2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9EA3EF8"/>
    <w:multiLevelType w:val="hybridMultilevel"/>
    <w:tmpl w:val="A46E89F8"/>
    <w:lvl w:ilvl="0" w:tplc="180A0019">
      <w:start w:val="1"/>
      <w:numFmt w:val="lowerLetter"/>
      <w:lvlText w:val="%1."/>
      <w:lvlJc w:val="left"/>
      <w:pPr>
        <w:ind w:left="360" w:hanging="360"/>
      </w:pPr>
    </w:lvl>
    <w:lvl w:ilvl="1" w:tplc="180A0019">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1"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5300302"/>
    <w:multiLevelType w:val="hybridMultilevel"/>
    <w:tmpl w:val="F9028C9A"/>
    <w:lvl w:ilvl="0" w:tplc="962C9F7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6FAC73BC"/>
    <w:multiLevelType w:val="hybridMultilevel"/>
    <w:tmpl w:val="E140FB6A"/>
    <w:lvl w:ilvl="0" w:tplc="DFF8E140">
      <w:start w:val="1"/>
      <w:numFmt w:val="decimal"/>
      <w:lvlText w:val="%1."/>
      <w:lvlJc w:val="left"/>
      <w:pPr>
        <w:ind w:left="720" w:hanging="360"/>
      </w:pPr>
      <w:rPr>
        <w:rFonts w:eastAsia="Arial"/>
        <w:color w:val="000000"/>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2"/>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5"/>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1"/>
  </w:num>
  <w:num w:numId="12">
    <w:abstractNumId w:val="59"/>
  </w:num>
  <w:num w:numId="13">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4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1"/>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3"/>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2"/>
  </w:num>
  <w:num w:numId="55">
    <w:abstractNumId w:val="43"/>
  </w:num>
  <w:num w:numId="56">
    <w:abstractNumId w:val="48"/>
  </w:num>
  <w:num w:numId="57">
    <w:abstractNumId w:val="1"/>
  </w:num>
  <w:num w:numId="58">
    <w:abstractNumId w:val="2"/>
  </w:num>
  <w:num w:numId="59">
    <w:abstractNumId w:val="9"/>
  </w:num>
  <w:num w:numId="60">
    <w:abstractNumId w:val="11"/>
  </w:num>
  <w:num w:numId="61">
    <w:abstractNumId w:val="12"/>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2"/>
  </w:num>
  <w:num w:numId="69">
    <w:abstractNumId w:val="23"/>
  </w:num>
  <w:num w:numId="70">
    <w:abstractNumId w:val="26"/>
  </w:num>
  <w:num w:numId="71">
    <w:abstractNumId w:val="27"/>
  </w:num>
  <w:num w:numId="72">
    <w:abstractNumId w:val="28"/>
  </w:num>
  <w:num w:numId="73">
    <w:abstractNumId w:val="30"/>
  </w:num>
  <w:num w:numId="74">
    <w:abstractNumId w:val="32"/>
  </w:num>
  <w:num w:numId="75">
    <w:abstractNumId w:val="33"/>
  </w:num>
  <w:num w:numId="76">
    <w:abstractNumId w:val="34"/>
  </w:num>
  <w:num w:numId="77">
    <w:abstractNumId w:val="35"/>
  </w:num>
  <w:num w:numId="78">
    <w:abstractNumId w:val="36"/>
  </w:num>
  <w:num w:numId="79">
    <w:abstractNumId w:val="38"/>
  </w:num>
  <w:num w:numId="80">
    <w:abstractNumId w:val="39"/>
  </w:num>
  <w:num w:numId="81">
    <w:abstractNumId w:val="40"/>
  </w:num>
  <w:num w:numId="82">
    <w:abstractNumId w:val="44"/>
  </w:num>
  <w:num w:numId="83">
    <w:abstractNumId w:val="45"/>
  </w:num>
  <w:num w:numId="84">
    <w:abstractNumId w:val="50"/>
  </w:num>
  <w:num w:numId="85">
    <w:abstractNumId w:val="53"/>
  </w:num>
  <w:num w:numId="86">
    <w:abstractNumId w:val="55"/>
  </w:num>
  <w:num w:numId="87">
    <w:abstractNumId w:val="58"/>
  </w:num>
  <w:num w:numId="88">
    <w:abstractNumId w:val="61"/>
  </w:num>
  <w:num w:numId="89">
    <w:abstractNumId w:val="63"/>
  </w:num>
  <w:num w:numId="90">
    <w:abstractNumId w:val="64"/>
  </w:num>
  <w:num w:numId="91">
    <w:abstractNumId w:val="65"/>
  </w:num>
  <w:num w:numId="92">
    <w:abstractNumId w:val="66"/>
  </w:num>
  <w:num w:numId="93">
    <w:abstractNumId w:val="67"/>
  </w:num>
  <w:num w:numId="94">
    <w:abstractNumId w:val="24"/>
  </w:num>
  <w:num w:numId="95">
    <w:abstractNumId w:val="46"/>
  </w:num>
  <w:num w:numId="96">
    <w:abstractNumId w:val="57"/>
  </w:num>
  <w:num w:numId="97">
    <w:abstractNumId w:val="54"/>
  </w:num>
  <w:num w:numId="98">
    <w:abstractNumId w:val="49"/>
  </w:num>
  <w:num w:numId="99">
    <w:abstractNumId w:val="41"/>
  </w:num>
  <w:num w:numId="100">
    <w:abstractNumId w:val="3"/>
  </w:num>
  <w:num w:numId="101">
    <w:abstractNumId w:val="29"/>
  </w:num>
  <w:num w:numId="102">
    <w:abstractNumId w:val="51"/>
  </w:num>
  <w:num w:numId="103">
    <w:abstractNumId w:val="5"/>
  </w:num>
  <w:num w:numId="1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0"/>
  </w:num>
  <w:num w:numId="106">
    <w:abstractNumId w:val="37"/>
  </w:num>
  <w:num w:numId="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36A8A"/>
    <w:rsid w:val="00040C3A"/>
    <w:rsid w:val="000639C0"/>
    <w:rsid w:val="00070F3A"/>
    <w:rsid w:val="000716C5"/>
    <w:rsid w:val="00074FA0"/>
    <w:rsid w:val="00075E23"/>
    <w:rsid w:val="00092F32"/>
    <w:rsid w:val="0009344A"/>
    <w:rsid w:val="000A575F"/>
    <w:rsid w:val="000D10DB"/>
    <w:rsid w:val="000D61BB"/>
    <w:rsid w:val="00122975"/>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B704A"/>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65EEA"/>
    <w:rsid w:val="00372982"/>
    <w:rsid w:val="00385A83"/>
    <w:rsid w:val="00386CF0"/>
    <w:rsid w:val="003C32BC"/>
    <w:rsid w:val="003F1BBF"/>
    <w:rsid w:val="004165C2"/>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671E5"/>
    <w:rsid w:val="0057402A"/>
    <w:rsid w:val="005771D0"/>
    <w:rsid w:val="0059191A"/>
    <w:rsid w:val="005921FF"/>
    <w:rsid w:val="005A6D0E"/>
    <w:rsid w:val="005B204D"/>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1A6"/>
    <w:rsid w:val="006A17D2"/>
    <w:rsid w:val="006A73E6"/>
    <w:rsid w:val="006B2D5C"/>
    <w:rsid w:val="006C4EB1"/>
    <w:rsid w:val="006E0166"/>
    <w:rsid w:val="006E7B34"/>
    <w:rsid w:val="00701B24"/>
    <w:rsid w:val="00745899"/>
    <w:rsid w:val="007607C4"/>
    <w:rsid w:val="00766242"/>
    <w:rsid w:val="0076643F"/>
    <w:rsid w:val="007A2F70"/>
    <w:rsid w:val="007C3334"/>
    <w:rsid w:val="007C52BB"/>
    <w:rsid w:val="007D2B98"/>
    <w:rsid w:val="00803F1C"/>
    <w:rsid w:val="0080600E"/>
    <w:rsid w:val="00817612"/>
    <w:rsid w:val="00837C45"/>
    <w:rsid w:val="00853419"/>
    <w:rsid w:val="00897E12"/>
    <w:rsid w:val="008D43BA"/>
    <w:rsid w:val="008E3759"/>
    <w:rsid w:val="009041DC"/>
    <w:rsid w:val="009104B4"/>
    <w:rsid w:val="00925FCD"/>
    <w:rsid w:val="0093441A"/>
    <w:rsid w:val="00954BF7"/>
    <w:rsid w:val="0096706E"/>
    <w:rsid w:val="00981FBA"/>
    <w:rsid w:val="009B381B"/>
    <w:rsid w:val="009D7611"/>
    <w:rsid w:val="009E53DE"/>
    <w:rsid w:val="00A43458"/>
    <w:rsid w:val="00A528D1"/>
    <w:rsid w:val="00A66BE5"/>
    <w:rsid w:val="00AD37C1"/>
    <w:rsid w:val="00AE66EC"/>
    <w:rsid w:val="00AE6F91"/>
    <w:rsid w:val="00AF5571"/>
    <w:rsid w:val="00B02C3D"/>
    <w:rsid w:val="00B167E9"/>
    <w:rsid w:val="00B314DB"/>
    <w:rsid w:val="00B31EBE"/>
    <w:rsid w:val="00B3718B"/>
    <w:rsid w:val="00B4632A"/>
    <w:rsid w:val="00B82045"/>
    <w:rsid w:val="00BA276C"/>
    <w:rsid w:val="00BB306F"/>
    <w:rsid w:val="00BD232B"/>
    <w:rsid w:val="00BD4B89"/>
    <w:rsid w:val="00C21762"/>
    <w:rsid w:val="00C24543"/>
    <w:rsid w:val="00C256A2"/>
    <w:rsid w:val="00C3492D"/>
    <w:rsid w:val="00C55560"/>
    <w:rsid w:val="00C66B72"/>
    <w:rsid w:val="00C67BCE"/>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DC3AEE"/>
    <w:rsid w:val="00E01538"/>
    <w:rsid w:val="00E43157"/>
    <w:rsid w:val="00E533FF"/>
    <w:rsid w:val="00E709B3"/>
    <w:rsid w:val="00E8789F"/>
    <w:rsid w:val="00E97B71"/>
    <w:rsid w:val="00EB454D"/>
    <w:rsid w:val="00EE3522"/>
    <w:rsid w:val="00EF619B"/>
    <w:rsid w:val="00F00B55"/>
    <w:rsid w:val="00F1380F"/>
    <w:rsid w:val="00F14F0E"/>
    <w:rsid w:val="00F24C29"/>
    <w:rsid w:val="00F253CC"/>
    <w:rsid w:val="00F32E88"/>
    <w:rsid w:val="00F56BA5"/>
    <w:rsid w:val="00F644E6"/>
    <w:rsid w:val="00F7270E"/>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paragraph" w:customStyle="1" w:styleId="Default">
    <w:name w:val="Default"/>
    <w:link w:val="DefaultChar"/>
    <w:rsid w:val="003729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character" w:customStyle="1" w:styleId="DefaultChar">
    <w:name w:val="Default Char"/>
    <w:link w:val="Default"/>
    <w:rsid w:val="00372982"/>
    <w:rPr>
      <w:rFonts w:eastAsia="Times New Roman"/>
      <w:color w:val="000000"/>
      <w:sz w:val="24"/>
      <w:szCs w:val="24"/>
      <w:bdr w:val="none" w:sz="0" w:space="0" w:color="auto"/>
      <w:lang w:val="en-US" w:eastAsia="en-US"/>
    </w:rPr>
  </w:style>
  <w:style w:type="character" w:customStyle="1" w:styleId="ListParagraphChar">
    <w:name w:val="List Paragraph Char"/>
    <w:link w:val="ListParagraph"/>
    <w:uiPriority w:val="34"/>
    <w:rsid w:val="00372982"/>
    <w:rPr>
      <w:rFonts w:ascii="Cambria" w:eastAsia="Cambria" w:hAnsi="Cambria" w:cs="Cambria"/>
      <w:color w:val="000000"/>
      <w:sz w:val="24"/>
      <w:szCs w:val="24"/>
      <w:u w:color="000000"/>
      <w:lang w:val="en-US"/>
    </w:rPr>
  </w:style>
  <w:style w:type="character" w:customStyle="1" w:styleId="ilfuvd">
    <w:name w:val="ilfuvd"/>
    <w:basedOn w:val="DefaultParagraphFont"/>
    <w:rsid w:val="00372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22D14-7351-4CAF-8B24-A2027773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5897</Words>
  <Characters>33617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102/19</dc:title>
  <dc:creator/>
  <cp:lastModifiedBy/>
  <cp:revision>1</cp:revision>
  <dcterms:created xsi:type="dcterms:W3CDTF">2019-07-22T15:12:00Z</dcterms:created>
  <dcterms:modified xsi:type="dcterms:W3CDTF">2020-04-22T14:23:00Z</dcterms:modified>
</cp:coreProperties>
</file>