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92732" w14:textId="77777777" w:rsidR="00040C3A" w:rsidRPr="003C32BC" w:rsidRDefault="006311DA" w:rsidP="00627C9F">
      <w:pPr>
        <w:jc w:val="both"/>
        <w:rPr>
          <w:rFonts w:asciiTheme="majorHAnsi" w:hAnsiTheme="majorHAnsi" w:cs="Univers"/>
          <w:b/>
          <w:bCs/>
          <w:sz w:val="22"/>
          <w:szCs w:val="22"/>
          <w:lang w:val="es-ES_tradnl"/>
        </w:rPr>
      </w:pPr>
      <w:bookmarkStart w:id="0" w:name="_GoBack"/>
      <w:bookmarkEnd w:id="0"/>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E8FEB72" wp14:editId="12483814">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A3023"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79C0B90" wp14:editId="38748B46">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04174E" w14:textId="77777777" w:rsidR="00CB2660" w:rsidRDefault="002C1641">
                            <w:r>
                              <w:rPr>
                                <w:noProof/>
                              </w:rPr>
                              <w:drawing>
                                <wp:inline distT="0" distB="0" distL="0" distR="0" wp14:anchorId="1E7DADD1" wp14:editId="5681F807">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9C0B90"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1E04174E" w14:textId="77777777" w:rsidR="00CB2660" w:rsidRDefault="002C1641">
                      <w:r>
                        <w:rPr>
                          <w:noProof/>
                        </w:rPr>
                        <w:drawing>
                          <wp:inline distT="0" distB="0" distL="0" distR="0" wp14:anchorId="1E7DADD1" wp14:editId="5681F807">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08F18A33"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354F829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4652DB2A"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3AEA61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E266CF1"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32E1005"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4929920B"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AD47E25"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24F83C97"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62393CF4"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48E43D2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70AB2D8"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07BF2B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1B4632" w14:textId="4B821FAB" w:rsidR="00040C3A" w:rsidRPr="003C32BC" w:rsidRDefault="00163CD8"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CFB30C4" wp14:editId="50E1684D">
                <wp:simplePos x="0" y="0"/>
                <wp:positionH relativeFrom="column">
                  <wp:posOffset>-492981</wp:posOffset>
                </wp:positionH>
                <wp:positionV relativeFrom="paragraph">
                  <wp:posOffset>124212</wp:posOffset>
                </wp:positionV>
                <wp:extent cx="145340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45340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567C27" w14:textId="6A18E85B" w:rsidR="00627C9F" w:rsidRPr="00163CD8" w:rsidRDefault="009E566A" w:rsidP="00163CD8">
                            <w:pPr>
                              <w:spacing w:line="360" w:lineRule="auto"/>
                              <w:jc w:val="right"/>
                              <w:rPr>
                                <w:rFonts w:asciiTheme="minorHAnsi" w:hAnsiTheme="minorHAnsi"/>
                                <w:color w:val="FFFFFF" w:themeColor="background1"/>
                                <w:sz w:val="22"/>
                                <w:lang w:val="pt-BR"/>
                              </w:rPr>
                            </w:pPr>
                            <w:r w:rsidRPr="00163CD8">
                              <w:rPr>
                                <w:rFonts w:asciiTheme="minorHAnsi" w:hAnsiTheme="minorHAnsi"/>
                                <w:color w:val="FFFFFF" w:themeColor="background1"/>
                                <w:sz w:val="22"/>
                                <w:lang w:val="pt-BR"/>
                              </w:rPr>
                              <w:t>OEA/Ser.L/V/II.</w:t>
                            </w:r>
                          </w:p>
                          <w:p w14:paraId="10E5837E" w14:textId="33233E47" w:rsidR="00627C9F" w:rsidRPr="00163CD8" w:rsidRDefault="00CA6577" w:rsidP="00163CD8">
                            <w:pPr>
                              <w:spacing w:line="360" w:lineRule="auto"/>
                              <w:jc w:val="right"/>
                              <w:rPr>
                                <w:rFonts w:asciiTheme="minorHAnsi" w:hAnsiTheme="minorHAnsi"/>
                                <w:color w:val="FFFFFF" w:themeColor="background1"/>
                                <w:sz w:val="22"/>
                                <w:lang w:val="pt-BR"/>
                              </w:rPr>
                            </w:pPr>
                            <w:r w:rsidRPr="00163CD8">
                              <w:rPr>
                                <w:rFonts w:asciiTheme="minorHAnsi" w:hAnsiTheme="minorHAnsi"/>
                                <w:color w:val="FFFFFF" w:themeColor="background1"/>
                                <w:sz w:val="22"/>
                                <w:lang w:val="pt-BR"/>
                              </w:rPr>
                              <w:t xml:space="preserve">Doc. </w:t>
                            </w:r>
                            <w:r w:rsidR="00163CD8" w:rsidRPr="00163CD8">
                              <w:rPr>
                                <w:rFonts w:asciiTheme="minorHAnsi" w:hAnsiTheme="minorHAnsi"/>
                                <w:color w:val="FFFFFF" w:themeColor="background1"/>
                                <w:sz w:val="22"/>
                                <w:lang w:val="pt-BR"/>
                              </w:rPr>
                              <w:t>243</w:t>
                            </w:r>
                          </w:p>
                          <w:p w14:paraId="4FF22967" w14:textId="4ED297AF" w:rsidR="00627C9F" w:rsidRPr="00163CD8" w:rsidRDefault="00022CF5" w:rsidP="00163CD8">
                            <w:pPr>
                              <w:spacing w:line="360" w:lineRule="auto"/>
                              <w:jc w:val="right"/>
                              <w:rPr>
                                <w:rFonts w:asciiTheme="minorHAnsi" w:hAnsiTheme="minorHAnsi"/>
                                <w:color w:val="FFFFFF" w:themeColor="background1"/>
                                <w:sz w:val="22"/>
                              </w:rPr>
                            </w:pPr>
                            <w:r w:rsidRPr="00163CD8">
                              <w:rPr>
                                <w:rFonts w:asciiTheme="minorHAnsi" w:hAnsiTheme="minorHAnsi"/>
                                <w:color w:val="FFFFFF" w:themeColor="background1"/>
                                <w:sz w:val="22"/>
                                <w:lang w:val="pt-BR"/>
                              </w:rPr>
                              <w:t xml:space="preserve"> </w:t>
                            </w:r>
                            <w:r w:rsidR="00163CD8" w:rsidRPr="00163CD8">
                              <w:rPr>
                                <w:rFonts w:asciiTheme="minorHAnsi" w:hAnsiTheme="minorHAnsi"/>
                                <w:color w:val="FFFFFF" w:themeColor="background1"/>
                                <w:sz w:val="22"/>
                              </w:rPr>
                              <w:t>11 September</w:t>
                            </w:r>
                            <w:r w:rsidR="000C4365" w:rsidRPr="00163CD8">
                              <w:rPr>
                                <w:rFonts w:asciiTheme="minorHAnsi" w:hAnsiTheme="minorHAnsi"/>
                                <w:color w:val="FFFFFF" w:themeColor="background1"/>
                                <w:sz w:val="22"/>
                              </w:rPr>
                              <w:t xml:space="preserve"> </w:t>
                            </w:r>
                            <w:r w:rsidR="00F42B71" w:rsidRPr="00163CD8">
                              <w:rPr>
                                <w:rFonts w:asciiTheme="minorHAnsi" w:hAnsiTheme="minorHAnsi"/>
                                <w:color w:val="FFFFFF" w:themeColor="background1"/>
                                <w:sz w:val="22"/>
                              </w:rPr>
                              <w:t>20</w:t>
                            </w:r>
                            <w:r w:rsidR="0096075F" w:rsidRPr="00163CD8">
                              <w:rPr>
                                <w:rFonts w:asciiTheme="minorHAnsi" w:hAnsiTheme="minorHAnsi"/>
                                <w:color w:val="FFFFFF" w:themeColor="background1"/>
                                <w:sz w:val="22"/>
                              </w:rPr>
                              <w:t>19</w:t>
                            </w:r>
                          </w:p>
                          <w:p w14:paraId="182B3835" w14:textId="4DF1126A" w:rsidR="00627C9F" w:rsidRPr="00163CD8" w:rsidRDefault="00627C9F" w:rsidP="00163CD8">
                            <w:pPr>
                              <w:spacing w:line="360" w:lineRule="auto"/>
                              <w:jc w:val="right"/>
                              <w:rPr>
                                <w:rFonts w:asciiTheme="minorHAnsi" w:hAnsiTheme="minorHAnsi"/>
                                <w:color w:val="FFFFFF" w:themeColor="background1"/>
                                <w:sz w:val="22"/>
                              </w:rPr>
                            </w:pPr>
                            <w:r w:rsidRPr="00163CD8">
                              <w:rPr>
                                <w:rFonts w:asciiTheme="minorHAnsi" w:hAnsiTheme="minorHAnsi"/>
                                <w:color w:val="FFFFFF" w:themeColor="background1"/>
                                <w:sz w:val="22"/>
                              </w:rPr>
                              <w:t>Original:</w:t>
                            </w:r>
                            <w:r w:rsidR="002C1641" w:rsidRPr="00163CD8">
                              <w:rPr>
                                <w:rFonts w:asciiTheme="minorHAnsi" w:hAnsiTheme="minorHAnsi"/>
                                <w:color w:val="FFFFFF" w:themeColor="background1"/>
                                <w:sz w:val="22"/>
                              </w:rPr>
                              <w:t xml:space="preserve"> </w:t>
                            </w:r>
                            <w:r w:rsidR="00F42B71" w:rsidRPr="00163CD8">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B30C4" id="Text Box 8" o:spid="_x0000_s1027" type="#_x0000_t202" style="position:absolute;left:0;text-align:left;margin-left:-38.8pt;margin-top:9.8pt;width:114.4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" filled="f" stroked="f" strokeweight=".5pt">
                <v:textbox>
                  <w:txbxContent>
                    <w:p w14:paraId="00567C27" w14:textId="6A18E85B" w:rsidR="00627C9F" w:rsidRPr="00163CD8" w:rsidRDefault="009E566A" w:rsidP="00163CD8">
                      <w:pPr>
                        <w:spacing w:line="360" w:lineRule="auto"/>
                        <w:jc w:val="right"/>
                        <w:rPr>
                          <w:rFonts w:asciiTheme="minorHAnsi" w:hAnsiTheme="minorHAnsi"/>
                          <w:color w:val="FFFFFF" w:themeColor="background1"/>
                          <w:sz w:val="22"/>
                          <w:lang w:val="pt-BR"/>
                        </w:rPr>
                      </w:pPr>
                      <w:r w:rsidRPr="00163CD8">
                        <w:rPr>
                          <w:rFonts w:asciiTheme="minorHAnsi" w:hAnsiTheme="minorHAnsi"/>
                          <w:color w:val="FFFFFF" w:themeColor="background1"/>
                          <w:sz w:val="22"/>
                          <w:lang w:val="pt-BR"/>
                        </w:rPr>
                        <w:t>OEA/Ser.L/V/II.</w:t>
                      </w:r>
                    </w:p>
                    <w:p w14:paraId="10E5837E" w14:textId="33233E47" w:rsidR="00627C9F" w:rsidRPr="00163CD8" w:rsidRDefault="00CA6577" w:rsidP="00163CD8">
                      <w:pPr>
                        <w:spacing w:line="360" w:lineRule="auto"/>
                        <w:jc w:val="right"/>
                        <w:rPr>
                          <w:rFonts w:asciiTheme="minorHAnsi" w:hAnsiTheme="minorHAnsi"/>
                          <w:color w:val="FFFFFF" w:themeColor="background1"/>
                          <w:sz w:val="22"/>
                          <w:lang w:val="pt-BR"/>
                        </w:rPr>
                      </w:pPr>
                      <w:r w:rsidRPr="00163CD8">
                        <w:rPr>
                          <w:rFonts w:asciiTheme="minorHAnsi" w:hAnsiTheme="minorHAnsi"/>
                          <w:color w:val="FFFFFF" w:themeColor="background1"/>
                          <w:sz w:val="22"/>
                          <w:lang w:val="pt-BR"/>
                        </w:rPr>
                        <w:t xml:space="preserve">Doc. </w:t>
                      </w:r>
                      <w:r w:rsidR="00163CD8" w:rsidRPr="00163CD8">
                        <w:rPr>
                          <w:rFonts w:asciiTheme="minorHAnsi" w:hAnsiTheme="minorHAnsi"/>
                          <w:color w:val="FFFFFF" w:themeColor="background1"/>
                          <w:sz w:val="22"/>
                          <w:lang w:val="pt-BR"/>
                        </w:rPr>
                        <w:t>243</w:t>
                      </w:r>
                    </w:p>
                    <w:p w14:paraId="4FF22967" w14:textId="4ED297AF" w:rsidR="00627C9F" w:rsidRPr="00163CD8" w:rsidRDefault="00022CF5" w:rsidP="00163CD8">
                      <w:pPr>
                        <w:spacing w:line="360" w:lineRule="auto"/>
                        <w:jc w:val="right"/>
                        <w:rPr>
                          <w:rFonts w:asciiTheme="minorHAnsi" w:hAnsiTheme="minorHAnsi"/>
                          <w:color w:val="FFFFFF" w:themeColor="background1"/>
                          <w:sz w:val="22"/>
                        </w:rPr>
                      </w:pPr>
                      <w:r w:rsidRPr="00163CD8">
                        <w:rPr>
                          <w:rFonts w:asciiTheme="minorHAnsi" w:hAnsiTheme="minorHAnsi"/>
                          <w:color w:val="FFFFFF" w:themeColor="background1"/>
                          <w:sz w:val="22"/>
                          <w:lang w:val="pt-BR"/>
                        </w:rPr>
                        <w:t xml:space="preserve"> </w:t>
                      </w:r>
                      <w:r w:rsidR="00163CD8" w:rsidRPr="00163CD8">
                        <w:rPr>
                          <w:rFonts w:asciiTheme="minorHAnsi" w:hAnsiTheme="minorHAnsi"/>
                          <w:color w:val="FFFFFF" w:themeColor="background1"/>
                          <w:sz w:val="22"/>
                        </w:rPr>
                        <w:t>11 September</w:t>
                      </w:r>
                      <w:r w:rsidR="000C4365" w:rsidRPr="00163CD8">
                        <w:rPr>
                          <w:rFonts w:asciiTheme="minorHAnsi" w:hAnsiTheme="minorHAnsi"/>
                          <w:color w:val="FFFFFF" w:themeColor="background1"/>
                          <w:sz w:val="22"/>
                        </w:rPr>
                        <w:t xml:space="preserve"> </w:t>
                      </w:r>
                      <w:r w:rsidR="00F42B71" w:rsidRPr="00163CD8">
                        <w:rPr>
                          <w:rFonts w:asciiTheme="minorHAnsi" w:hAnsiTheme="minorHAnsi"/>
                          <w:color w:val="FFFFFF" w:themeColor="background1"/>
                          <w:sz w:val="22"/>
                        </w:rPr>
                        <w:t>20</w:t>
                      </w:r>
                      <w:r w:rsidR="0096075F" w:rsidRPr="00163CD8">
                        <w:rPr>
                          <w:rFonts w:asciiTheme="minorHAnsi" w:hAnsiTheme="minorHAnsi"/>
                          <w:color w:val="FFFFFF" w:themeColor="background1"/>
                          <w:sz w:val="22"/>
                        </w:rPr>
                        <w:t>19</w:t>
                      </w:r>
                    </w:p>
                    <w:p w14:paraId="182B3835" w14:textId="4DF1126A" w:rsidR="00627C9F" w:rsidRPr="00163CD8" w:rsidRDefault="00627C9F" w:rsidP="00163CD8">
                      <w:pPr>
                        <w:spacing w:line="360" w:lineRule="auto"/>
                        <w:jc w:val="right"/>
                        <w:rPr>
                          <w:rFonts w:asciiTheme="minorHAnsi" w:hAnsiTheme="minorHAnsi"/>
                          <w:color w:val="FFFFFF" w:themeColor="background1"/>
                          <w:sz w:val="22"/>
                        </w:rPr>
                      </w:pPr>
                      <w:r w:rsidRPr="00163CD8">
                        <w:rPr>
                          <w:rFonts w:asciiTheme="minorHAnsi" w:hAnsiTheme="minorHAnsi"/>
                          <w:color w:val="FFFFFF" w:themeColor="background1"/>
                          <w:sz w:val="22"/>
                        </w:rPr>
                        <w:t>Original:</w:t>
                      </w:r>
                      <w:r w:rsidR="002C1641" w:rsidRPr="00163CD8">
                        <w:rPr>
                          <w:rFonts w:asciiTheme="minorHAnsi" w:hAnsiTheme="minorHAnsi"/>
                          <w:color w:val="FFFFFF" w:themeColor="background1"/>
                          <w:sz w:val="22"/>
                        </w:rPr>
                        <w:t xml:space="preserve"> </w:t>
                      </w:r>
                      <w:r w:rsidR="00F42B71" w:rsidRPr="00163CD8">
                        <w:rPr>
                          <w:rFonts w:asciiTheme="minorHAnsi" w:hAnsiTheme="minorHAnsi"/>
                          <w:color w:val="FFFFFF" w:themeColor="background1"/>
                          <w:sz w:val="22"/>
                        </w:rPr>
                        <w:t>Spanish</w:t>
                      </w:r>
                    </w:p>
                  </w:txbxContent>
                </v:textbox>
              </v:shape>
            </w:pict>
          </mc:Fallback>
        </mc:AlternateContent>
      </w:r>
      <w:r w:rsidR="00E533FF"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A0FCEEC" wp14:editId="5A05C7AC">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C2ADEB" w14:textId="38CDB839" w:rsidR="0096075F" w:rsidRPr="0096075F" w:rsidRDefault="00163CD8" w:rsidP="0096075F">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w:t>
                            </w:r>
                            <w:r w:rsidR="0096075F" w:rsidRPr="0096075F">
                              <w:rPr>
                                <w:rFonts w:asciiTheme="majorHAnsi" w:hAnsiTheme="majorHAnsi" w:cs="Arial"/>
                                <w:b/>
                                <w:bCs/>
                                <w:color w:val="0D0D0D" w:themeColor="text1" w:themeTint="F2"/>
                                <w:sz w:val="36"/>
                                <w:szCs w:val="40"/>
                              </w:rPr>
                              <w:t>.</w:t>
                            </w:r>
                            <w:r w:rsidR="0096075F">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216</w:t>
                            </w:r>
                            <w:r w:rsidR="0096075F" w:rsidRPr="0096075F">
                              <w:rPr>
                                <w:rFonts w:asciiTheme="majorHAnsi" w:hAnsiTheme="majorHAnsi" w:cs="Arial"/>
                                <w:b/>
                                <w:bCs/>
                                <w:color w:val="0D0D0D" w:themeColor="text1" w:themeTint="F2"/>
                                <w:sz w:val="36"/>
                                <w:szCs w:val="40"/>
                              </w:rPr>
                              <w:t>/19</w:t>
                            </w:r>
                          </w:p>
                          <w:p w14:paraId="1D2DCB2D" w14:textId="7196CC50" w:rsidR="00322450" w:rsidRPr="004B7EB6" w:rsidRDefault="0096075F" w:rsidP="0096075F">
                            <w:pPr>
                              <w:spacing w:line="276" w:lineRule="auto"/>
                              <w:rPr>
                                <w:rFonts w:asciiTheme="majorHAnsi" w:hAnsiTheme="majorHAnsi" w:cs="Arial"/>
                                <w:b/>
                                <w:bCs/>
                                <w:color w:val="0D0D0D" w:themeColor="text1" w:themeTint="F2"/>
                                <w:sz w:val="36"/>
                                <w:szCs w:val="40"/>
                              </w:rPr>
                            </w:pPr>
                            <w:r w:rsidRPr="0096075F">
                              <w:rPr>
                                <w:rFonts w:asciiTheme="majorHAnsi" w:hAnsiTheme="majorHAnsi" w:cs="Arial"/>
                                <w:b/>
                                <w:bCs/>
                                <w:color w:val="0D0D0D" w:themeColor="text1" w:themeTint="F2"/>
                                <w:sz w:val="36"/>
                                <w:szCs w:val="40"/>
                              </w:rPr>
                              <w:t>PETITION 1355-07</w:t>
                            </w:r>
                          </w:p>
                          <w:p w14:paraId="00D82CDB" w14:textId="63ADDD9F"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2C1641" w:rsidRPr="004B7EB6">
                              <w:rPr>
                                <w:rFonts w:asciiTheme="majorHAnsi" w:hAnsiTheme="majorHAnsi" w:cs="Arial"/>
                                <w:color w:val="0D0D0D" w:themeColor="text1" w:themeTint="F2"/>
                                <w:szCs w:val="22"/>
                              </w:rPr>
                              <w:t xml:space="preserve"> </w:t>
                            </w:r>
                          </w:p>
                          <w:p w14:paraId="003D872F" w14:textId="77777777" w:rsidR="00450A4A" w:rsidRPr="004B7EB6" w:rsidRDefault="00450A4A" w:rsidP="004B7EB6">
                            <w:pPr>
                              <w:spacing w:line="276" w:lineRule="auto"/>
                              <w:rPr>
                                <w:rFonts w:asciiTheme="majorHAnsi" w:hAnsiTheme="majorHAnsi" w:cs="Arial"/>
                                <w:color w:val="0D0D0D" w:themeColor="text1" w:themeTint="F2"/>
                                <w:szCs w:val="22"/>
                              </w:rPr>
                            </w:pPr>
                          </w:p>
                          <w:p w14:paraId="5473262B" w14:textId="77777777" w:rsidR="0096075F" w:rsidRPr="0096075F" w:rsidRDefault="0096075F" w:rsidP="0096075F">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96075F">
                              <w:rPr>
                                <w:rFonts w:ascii="Cambria" w:hAnsi="Cambria" w:cs="Arial"/>
                                <w:color w:val="0D0D0D"/>
                                <w:szCs w:val="22"/>
                              </w:rPr>
                              <w:t>RONAL ISAAC FIGUEROA ÁVILA</w:t>
                            </w:r>
                          </w:p>
                          <w:p w14:paraId="33A7787A" w14:textId="608C1989" w:rsidR="00F42B71" w:rsidRPr="004B625D" w:rsidRDefault="0096075F" w:rsidP="0096075F">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96075F">
                              <w:rPr>
                                <w:rFonts w:ascii="Cambria" w:hAnsi="Cambria" w:cs="Arial"/>
                                <w:color w:val="0D0D0D"/>
                                <w:szCs w:val="22"/>
                              </w:rPr>
                              <w:t>PERU</w:t>
                            </w:r>
                          </w:p>
                          <w:p w14:paraId="3AC5A16F"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FCEEC" id="Text Box 5" o:spid="_x0000_s1028"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BktpUQ&#10;fwIAAGoFAAAOAAAAAAAAAAAAAAAAAC4CAABkcnMvZTJvRG9jLnhtbFBLAQItABQABgAIAAAAIQDq&#10;sof94QAAAAoBAAAPAAAAAAAAAAAAAAAAANkEAABkcnMvZG93bnJldi54bWxQSwUGAAAAAAQABADz&#10;AAAA5wUAAAAA&#10;" filled="f" stroked="f" strokeweight=".5pt">
                <v:textbox>
                  <w:txbxContent>
                    <w:p w14:paraId="32C2ADEB" w14:textId="38CDB839" w:rsidR="0096075F" w:rsidRPr="0096075F" w:rsidRDefault="00163CD8" w:rsidP="0096075F">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w:t>
                      </w:r>
                      <w:r w:rsidR="0096075F" w:rsidRPr="0096075F">
                        <w:rPr>
                          <w:rFonts w:asciiTheme="majorHAnsi" w:hAnsiTheme="majorHAnsi" w:cs="Arial"/>
                          <w:b/>
                          <w:bCs/>
                          <w:color w:val="0D0D0D" w:themeColor="text1" w:themeTint="F2"/>
                          <w:sz w:val="36"/>
                          <w:szCs w:val="40"/>
                        </w:rPr>
                        <w:t>.</w:t>
                      </w:r>
                      <w:r w:rsidR="0096075F">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216</w:t>
                      </w:r>
                      <w:r w:rsidR="0096075F" w:rsidRPr="0096075F">
                        <w:rPr>
                          <w:rFonts w:asciiTheme="majorHAnsi" w:hAnsiTheme="majorHAnsi" w:cs="Arial"/>
                          <w:b/>
                          <w:bCs/>
                          <w:color w:val="0D0D0D" w:themeColor="text1" w:themeTint="F2"/>
                          <w:sz w:val="36"/>
                          <w:szCs w:val="40"/>
                        </w:rPr>
                        <w:t>/19</w:t>
                      </w:r>
                    </w:p>
                    <w:p w14:paraId="1D2DCB2D" w14:textId="7196CC50" w:rsidR="00322450" w:rsidRPr="004B7EB6" w:rsidRDefault="0096075F" w:rsidP="0096075F">
                      <w:pPr>
                        <w:spacing w:line="276" w:lineRule="auto"/>
                        <w:rPr>
                          <w:rFonts w:asciiTheme="majorHAnsi" w:hAnsiTheme="majorHAnsi" w:cs="Arial"/>
                          <w:b/>
                          <w:bCs/>
                          <w:color w:val="0D0D0D" w:themeColor="text1" w:themeTint="F2"/>
                          <w:sz w:val="36"/>
                          <w:szCs w:val="40"/>
                        </w:rPr>
                      </w:pPr>
                      <w:r w:rsidRPr="0096075F">
                        <w:rPr>
                          <w:rFonts w:asciiTheme="majorHAnsi" w:hAnsiTheme="majorHAnsi" w:cs="Arial"/>
                          <w:b/>
                          <w:bCs/>
                          <w:color w:val="0D0D0D" w:themeColor="text1" w:themeTint="F2"/>
                          <w:sz w:val="36"/>
                          <w:szCs w:val="40"/>
                        </w:rPr>
                        <w:t>PETITION 1355-07</w:t>
                      </w:r>
                    </w:p>
                    <w:p w14:paraId="00D82CDB" w14:textId="63ADDD9F"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002C1641" w:rsidRPr="004B7EB6">
                        <w:rPr>
                          <w:rFonts w:asciiTheme="majorHAnsi" w:hAnsiTheme="majorHAnsi" w:cs="Arial"/>
                          <w:color w:val="0D0D0D" w:themeColor="text1" w:themeTint="F2"/>
                          <w:szCs w:val="22"/>
                        </w:rPr>
                        <w:t xml:space="preserve"> </w:t>
                      </w:r>
                    </w:p>
                    <w:p w14:paraId="003D872F" w14:textId="77777777" w:rsidR="00450A4A" w:rsidRPr="004B7EB6" w:rsidRDefault="00450A4A" w:rsidP="004B7EB6">
                      <w:pPr>
                        <w:spacing w:line="276" w:lineRule="auto"/>
                        <w:rPr>
                          <w:rFonts w:asciiTheme="majorHAnsi" w:hAnsiTheme="majorHAnsi" w:cs="Arial"/>
                          <w:color w:val="0D0D0D" w:themeColor="text1" w:themeTint="F2"/>
                          <w:szCs w:val="22"/>
                        </w:rPr>
                      </w:pPr>
                    </w:p>
                    <w:p w14:paraId="5473262B" w14:textId="77777777" w:rsidR="0096075F" w:rsidRPr="0096075F" w:rsidRDefault="0096075F" w:rsidP="0096075F">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96075F">
                        <w:rPr>
                          <w:rFonts w:ascii="Cambria" w:hAnsi="Cambria" w:cs="Arial"/>
                          <w:color w:val="0D0D0D"/>
                          <w:szCs w:val="22"/>
                        </w:rPr>
                        <w:t>RONAL ISAAC FIGUEROA ÁVILA</w:t>
                      </w:r>
                    </w:p>
                    <w:p w14:paraId="33A7787A" w14:textId="608C1989" w:rsidR="00F42B71" w:rsidRPr="004B625D" w:rsidRDefault="0096075F" w:rsidP="0096075F">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96075F">
                        <w:rPr>
                          <w:rFonts w:ascii="Cambria" w:hAnsi="Cambria" w:cs="Arial"/>
                          <w:color w:val="0D0D0D"/>
                          <w:szCs w:val="22"/>
                        </w:rPr>
                        <w:t>PERU</w:t>
                      </w:r>
                    </w:p>
                    <w:p w14:paraId="3AC5A16F"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p>
    <w:p w14:paraId="5760E5C6"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B5BAF34"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475D224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AF9B79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90510F8"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268D04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A0A6FD5"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D7121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82DBD55"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6DC544BC"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43EADEDA"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24742318"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67317A7"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85F238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E2E548"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F82E2E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B48B44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37FBC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C1E26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616266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ACB6F9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983F21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5EAD26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C961A1A" w14:textId="55AD17E3" w:rsidR="002C1641" w:rsidRPr="003C32BC" w:rsidRDefault="002C1641" w:rsidP="00040C3A">
      <w:pPr>
        <w:tabs>
          <w:tab w:val="center" w:pos="5400"/>
        </w:tabs>
        <w:suppressAutoHyphens/>
        <w:jc w:val="center"/>
        <w:rPr>
          <w:rFonts w:asciiTheme="majorHAnsi" w:hAnsiTheme="majorHAnsi"/>
          <w:sz w:val="18"/>
          <w:szCs w:val="22"/>
          <w:lang w:val="es-ES_tradnl"/>
        </w:rPr>
      </w:pPr>
    </w:p>
    <w:p w14:paraId="75740DC4" w14:textId="6C7A322F" w:rsidR="002C1641" w:rsidRPr="003C32BC" w:rsidRDefault="00760618"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70086DBD" wp14:editId="18629CF8">
                <wp:simplePos x="0" y="0"/>
                <wp:positionH relativeFrom="column">
                  <wp:posOffset>1208598</wp:posOffset>
                </wp:positionH>
                <wp:positionV relativeFrom="paragraph">
                  <wp:posOffset>54747</wp:posOffset>
                </wp:positionV>
                <wp:extent cx="4595495" cy="648197"/>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481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E53FA3" w14:textId="7917F7AD" w:rsidR="00D514D0" w:rsidRPr="00D514D0" w:rsidRDefault="00D514D0" w:rsidP="00D514D0">
                            <w:pPr>
                              <w:tabs>
                                <w:tab w:val="center" w:pos="5400"/>
                              </w:tabs>
                              <w:suppressAutoHyphens/>
                              <w:spacing w:before="60"/>
                              <w:rPr>
                                <w:rFonts w:asciiTheme="majorHAnsi" w:hAnsiTheme="majorHAnsi"/>
                                <w:color w:val="0D0D0D" w:themeColor="text1" w:themeTint="F2"/>
                                <w:sz w:val="18"/>
                                <w:szCs w:val="22"/>
                              </w:rPr>
                            </w:pPr>
                            <w:r w:rsidRPr="00D514D0">
                              <w:rPr>
                                <w:rFonts w:asciiTheme="majorHAnsi" w:hAnsiTheme="majorHAnsi"/>
                                <w:color w:val="0D0D0D" w:themeColor="text1" w:themeTint="F2"/>
                                <w:sz w:val="18"/>
                                <w:szCs w:val="22"/>
                              </w:rPr>
                              <w:t xml:space="preserve">Electronically approved by the Commission on </w:t>
                            </w:r>
                            <w:r w:rsidR="00163CD8">
                              <w:rPr>
                                <w:rFonts w:asciiTheme="majorHAnsi" w:hAnsiTheme="majorHAnsi"/>
                                <w:color w:val="0D0D0D" w:themeColor="text1" w:themeTint="F2"/>
                                <w:sz w:val="18"/>
                                <w:szCs w:val="22"/>
                              </w:rPr>
                              <w:t>September 11</w:t>
                            </w:r>
                            <w:r w:rsidRPr="00D514D0">
                              <w:rPr>
                                <w:rFonts w:asciiTheme="majorHAnsi" w:hAnsiTheme="majorHAnsi"/>
                                <w:color w:val="0D0D0D" w:themeColor="text1" w:themeTint="F2"/>
                                <w:sz w:val="18"/>
                                <w:szCs w:val="22"/>
                              </w:rPr>
                              <w:t>, 201</w:t>
                            </w:r>
                            <w:r w:rsidR="00760618">
                              <w:rPr>
                                <w:rFonts w:asciiTheme="majorHAnsi" w:hAnsiTheme="majorHAnsi"/>
                                <w:color w:val="0D0D0D" w:themeColor="text1" w:themeTint="F2"/>
                                <w:sz w:val="18"/>
                                <w:szCs w:val="22"/>
                              </w:rPr>
                              <w:t>9</w:t>
                            </w:r>
                            <w:r w:rsidR="00163CD8">
                              <w:rPr>
                                <w:rFonts w:asciiTheme="majorHAnsi" w:hAnsiTheme="majorHAnsi"/>
                                <w:color w:val="0D0D0D" w:themeColor="text1" w:themeTint="F2"/>
                                <w:sz w:val="18"/>
                                <w:szCs w:val="22"/>
                              </w:rPr>
                              <w:t>.</w:t>
                            </w:r>
                          </w:p>
                          <w:p w14:paraId="40488A0F" w14:textId="77777777" w:rsidR="00D514D0" w:rsidRPr="003C32BC" w:rsidRDefault="00D514D0"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86DBD" id="Text Box 7" o:spid="_x0000_s1029" type="#_x0000_t202" style="position:absolute;left:0;text-align:left;margin-left:95.15pt;margin-top:4.3pt;width:361.85pt;height:5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" filled="f" stroked="f" strokeweight=".5pt">
                <v:textbox>
                  <w:txbxContent>
                    <w:p w14:paraId="39E53FA3" w14:textId="7917F7AD" w:rsidR="00D514D0" w:rsidRPr="00D514D0" w:rsidRDefault="00D514D0" w:rsidP="00D514D0">
                      <w:pPr>
                        <w:tabs>
                          <w:tab w:val="center" w:pos="5400"/>
                        </w:tabs>
                        <w:suppressAutoHyphens/>
                        <w:spacing w:before="60"/>
                        <w:rPr>
                          <w:rFonts w:asciiTheme="majorHAnsi" w:hAnsiTheme="majorHAnsi"/>
                          <w:color w:val="0D0D0D" w:themeColor="text1" w:themeTint="F2"/>
                          <w:sz w:val="18"/>
                          <w:szCs w:val="22"/>
                        </w:rPr>
                      </w:pPr>
                      <w:r w:rsidRPr="00D514D0">
                        <w:rPr>
                          <w:rFonts w:asciiTheme="majorHAnsi" w:hAnsiTheme="majorHAnsi"/>
                          <w:color w:val="0D0D0D" w:themeColor="text1" w:themeTint="F2"/>
                          <w:sz w:val="18"/>
                          <w:szCs w:val="22"/>
                        </w:rPr>
                        <w:t xml:space="preserve">Electronically approved by the Commission on </w:t>
                      </w:r>
                      <w:r w:rsidR="00163CD8">
                        <w:rPr>
                          <w:rFonts w:asciiTheme="majorHAnsi" w:hAnsiTheme="majorHAnsi"/>
                          <w:color w:val="0D0D0D" w:themeColor="text1" w:themeTint="F2"/>
                          <w:sz w:val="18"/>
                          <w:szCs w:val="22"/>
                        </w:rPr>
                        <w:t>September 11</w:t>
                      </w:r>
                      <w:r w:rsidRPr="00D514D0">
                        <w:rPr>
                          <w:rFonts w:asciiTheme="majorHAnsi" w:hAnsiTheme="majorHAnsi"/>
                          <w:color w:val="0D0D0D" w:themeColor="text1" w:themeTint="F2"/>
                          <w:sz w:val="18"/>
                          <w:szCs w:val="22"/>
                        </w:rPr>
                        <w:t>, 201</w:t>
                      </w:r>
                      <w:r w:rsidR="00760618">
                        <w:rPr>
                          <w:rFonts w:asciiTheme="majorHAnsi" w:hAnsiTheme="majorHAnsi"/>
                          <w:color w:val="0D0D0D" w:themeColor="text1" w:themeTint="F2"/>
                          <w:sz w:val="18"/>
                          <w:szCs w:val="22"/>
                        </w:rPr>
                        <w:t>9</w:t>
                      </w:r>
                      <w:r w:rsidR="00163CD8">
                        <w:rPr>
                          <w:rFonts w:asciiTheme="majorHAnsi" w:hAnsiTheme="majorHAnsi"/>
                          <w:color w:val="0D0D0D" w:themeColor="text1" w:themeTint="F2"/>
                          <w:sz w:val="18"/>
                          <w:szCs w:val="22"/>
                        </w:rPr>
                        <w:t>.</w:t>
                      </w:r>
                    </w:p>
                    <w:p w14:paraId="40488A0F" w14:textId="77777777" w:rsidR="00D514D0" w:rsidRPr="003C32BC" w:rsidRDefault="00D514D0"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00410C7F" w14:textId="63CF6908" w:rsidR="002C1641" w:rsidRPr="003C32BC" w:rsidRDefault="002C1641" w:rsidP="00040C3A">
      <w:pPr>
        <w:tabs>
          <w:tab w:val="center" w:pos="5400"/>
        </w:tabs>
        <w:suppressAutoHyphens/>
        <w:jc w:val="center"/>
        <w:rPr>
          <w:rFonts w:asciiTheme="majorHAnsi" w:hAnsiTheme="majorHAnsi"/>
          <w:sz w:val="18"/>
          <w:szCs w:val="22"/>
          <w:lang w:val="es-ES_tradnl"/>
        </w:rPr>
      </w:pPr>
    </w:p>
    <w:p w14:paraId="5A89140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7D1B9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3D633C8"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8D371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387CA2C"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8AAC621" wp14:editId="6A7F90D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2C62DE" w14:textId="1F820681" w:rsidR="00F644E6" w:rsidRPr="003C32BC" w:rsidRDefault="00F644E6" w:rsidP="0096075F">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w:t>
                            </w:r>
                            <w:r w:rsidR="00163CD8">
                              <w:rPr>
                                <w:rFonts w:asciiTheme="majorHAnsi" w:hAnsiTheme="majorHAnsi"/>
                                <w:color w:val="595959" w:themeColor="text1" w:themeTint="A6"/>
                                <w:sz w:val="18"/>
                              </w:rPr>
                              <w:t xml:space="preserve"> Report No. 216/19</w:t>
                            </w:r>
                            <w:r w:rsidR="0096075F" w:rsidRPr="0096075F">
                              <w:rPr>
                                <w:rFonts w:asciiTheme="majorHAnsi" w:hAnsiTheme="majorHAnsi"/>
                                <w:color w:val="595959" w:themeColor="text1" w:themeTint="A6"/>
                                <w:sz w:val="18"/>
                              </w:rPr>
                              <w:t xml:space="preserve">. Petition 1355-07. </w:t>
                            </w:r>
                            <w:r w:rsidR="00163CD8">
                              <w:rPr>
                                <w:rFonts w:asciiTheme="majorHAnsi" w:hAnsiTheme="majorHAnsi"/>
                                <w:color w:val="595959" w:themeColor="text1" w:themeTint="A6"/>
                                <w:sz w:val="18"/>
                                <w:lang w:val="pt-BR"/>
                              </w:rPr>
                              <w:t>Admissibility. Ronal Isaac Figueroa Ávila. Peru</w:t>
                            </w:r>
                            <w:r w:rsidR="0096075F" w:rsidRPr="0096075F">
                              <w:rPr>
                                <w:rFonts w:asciiTheme="majorHAnsi" w:hAnsiTheme="majorHAnsi"/>
                                <w:color w:val="595959" w:themeColor="text1" w:themeTint="A6"/>
                                <w:sz w:val="18"/>
                                <w:lang w:val="pt-BR"/>
                              </w:rPr>
                              <w:t xml:space="preserve">. </w:t>
                            </w:r>
                            <w:r w:rsidR="00163CD8">
                              <w:rPr>
                                <w:rFonts w:asciiTheme="majorHAnsi" w:hAnsiTheme="majorHAnsi"/>
                                <w:color w:val="595959" w:themeColor="text1" w:themeTint="A6"/>
                                <w:sz w:val="18"/>
                              </w:rPr>
                              <w:t>September 11, 2019</w:t>
                            </w:r>
                            <w:r w:rsidR="0096075F" w:rsidRPr="0096075F">
                              <w:rPr>
                                <w:rFonts w:asciiTheme="majorHAnsi" w:hAnsiTheme="majorHAnsi"/>
                                <w:color w:val="595959" w:themeColor="text1" w:themeTint="A6"/>
                                <w:sz w:val="18"/>
                              </w:rPr>
                              <w:t>.</w:t>
                            </w:r>
                            <w:r w:rsidR="000D0F59">
                              <w:rPr>
                                <w:rFonts w:asciiTheme="majorHAnsi" w:hAnsiTheme="majorHAnsi"/>
                                <w:color w:val="595959" w:themeColor="text1" w:themeTint="A6"/>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AC621"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252C62DE" w14:textId="1F820681" w:rsidR="00F644E6" w:rsidRPr="003C32BC" w:rsidRDefault="00F644E6" w:rsidP="0096075F">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w:t>
                      </w:r>
                      <w:r w:rsidR="00163CD8">
                        <w:rPr>
                          <w:rFonts w:asciiTheme="majorHAnsi" w:hAnsiTheme="majorHAnsi"/>
                          <w:color w:val="595959" w:themeColor="text1" w:themeTint="A6"/>
                          <w:sz w:val="18"/>
                        </w:rPr>
                        <w:t xml:space="preserve"> Report No. 216/19</w:t>
                      </w:r>
                      <w:r w:rsidR="0096075F" w:rsidRPr="0096075F">
                        <w:rPr>
                          <w:rFonts w:asciiTheme="majorHAnsi" w:hAnsiTheme="majorHAnsi"/>
                          <w:color w:val="595959" w:themeColor="text1" w:themeTint="A6"/>
                          <w:sz w:val="18"/>
                        </w:rPr>
                        <w:t xml:space="preserve">. Petition 1355-07. </w:t>
                      </w:r>
                      <w:r w:rsidR="00163CD8">
                        <w:rPr>
                          <w:rFonts w:asciiTheme="majorHAnsi" w:hAnsiTheme="majorHAnsi"/>
                          <w:color w:val="595959" w:themeColor="text1" w:themeTint="A6"/>
                          <w:sz w:val="18"/>
                          <w:lang w:val="pt-BR"/>
                        </w:rPr>
                        <w:t>Admissibility. Ronal Isaac Figueroa Ávila. Peru</w:t>
                      </w:r>
                      <w:r w:rsidR="0096075F" w:rsidRPr="0096075F">
                        <w:rPr>
                          <w:rFonts w:asciiTheme="majorHAnsi" w:hAnsiTheme="majorHAnsi"/>
                          <w:color w:val="595959" w:themeColor="text1" w:themeTint="A6"/>
                          <w:sz w:val="18"/>
                          <w:lang w:val="pt-BR"/>
                        </w:rPr>
                        <w:t xml:space="preserve">. </w:t>
                      </w:r>
                      <w:r w:rsidR="00163CD8">
                        <w:rPr>
                          <w:rFonts w:asciiTheme="majorHAnsi" w:hAnsiTheme="majorHAnsi"/>
                          <w:color w:val="595959" w:themeColor="text1" w:themeTint="A6"/>
                          <w:sz w:val="18"/>
                        </w:rPr>
                        <w:t>September 11, 2019</w:t>
                      </w:r>
                      <w:r w:rsidR="0096075F" w:rsidRPr="0096075F">
                        <w:rPr>
                          <w:rFonts w:asciiTheme="majorHAnsi" w:hAnsiTheme="majorHAnsi"/>
                          <w:color w:val="595959" w:themeColor="text1" w:themeTint="A6"/>
                          <w:sz w:val="18"/>
                        </w:rPr>
                        <w:t>.</w:t>
                      </w:r>
                      <w:r w:rsidR="000D0F59">
                        <w:rPr>
                          <w:rFonts w:asciiTheme="majorHAnsi" w:hAnsiTheme="majorHAnsi"/>
                          <w:color w:val="595959" w:themeColor="text1" w:themeTint="A6"/>
                          <w:sz w:val="18"/>
                        </w:rPr>
                        <w:t xml:space="preserve"> </w:t>
                      </w:r>
                    </w:p>
                  </w:txbxContent>
                </v:textbox>
              </v:shape>
            </w:pict>
          </mc:Fallback>
        </mc:AlternateContent>
      </w:r>
    </w:p>
    <w:p w14:paraId="2B63B8D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BB745E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100BBE8" w14:textId="77777777" w:rsidR="003C32BC" w:rsidRPr="003C32BC" w:rsidRDefault="003C32BC" w:rsidP="003C32BC">
      <w:pPr>
        <w:tabs>
          <w:tab w:val="center" w:pos="5400"/>
        </w:tabs>
        <w:suppressAutoHyphens/>
        <w:jc w:val="center"/>
        <w:rPr>
          <w:rFonts w:asciiTheme="majorHAnsi" w:hAnsiTheme="majorHAnsi"/>
          <w:sz w:val="18"/>
          <w:szCs w:val="22"/>
        </w:rPr>
      </w:pPr>
    </w:p>
    <w:p w14:paraId="04356DBB"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3AE4726E" wp14:editId="6906B622">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0941CA"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4726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630941CA"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1861DD4" wp14:editId="513321EF">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68F106" w14:textId="77777777" w:rsidR="003C32BC" w:rsidRDefault="003C32BC">
                            <w:r>
                              <w:rPr>
                                <w:noProof/>
                              </w:rPr>
                              <w:drawing>
                                <wp:inline distT="0" distB="0" distL="0" distR="0" wp14:anchorId="5314FADC" wp14:editId="66E8AD5A">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61DD4"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7B68F106" w14:textId="77777777" w:rsidR="003C32BC" w:rsidRDefault="003C32BC">
                      <w:r>
                        <w:rPr>
                          <w:noProof/>
                        </w:rPr>
                        <w:drawing>
                          <wp:inline distT="0" distB="0" distL="0" distR="0" wp14:anchorId="5314FADC" wp14:editId="66E8AD5A">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10BF4620"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14F1ED07" w14:textId="77777777"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96075F" w:rsidRPr="000B6B7A" w14:paraId="6144DCE7" w14:textId="77777777" w:rsidTr="00E100C5">
        <w:tc>
          <w:tcPr>
            <w:tcW w:w="3690" w:type="dxa"/>
            <w:tcBorders>
              <w:top w:val="single" w:sz="4" w:space="0" w:color="auto"/>
              <w:bottom w:val="single" w:sz="6" w:space="0" w:color="auto"/>
            </w:tcBorders>
            <w:shd w:val="clear" w:color="auto" w:fill="67AE3C"/>
            <w:vAlign w:val="center"/>
          </w:tcPr>
          <w:p w14:paraId="201EF040" w14:textId="77777777" w:rsidR="0096075F" w:rsidRPr="000B6B7A" w:rsidRDefault="0096075F" w:rsidP="0096075F">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Pr="000B6B7A">
              <w:rPr>
                <w:rFonts w:ascii="Cambria" w:hAnsi="Cambria"/>
                <w:b/>
                <w:bCs/>
                <w:color w:val="FFFFFF" w:themeColor="background1"/>
                <w:sz w:val="20"/>
                <w:szCs w:val="20"/>
              </w:rPr>
              <w:t>:</w:t>
            </w:r>
          </w:p>
        </w:tc>
        <w:tc>
          <w:tcPr>
            <w:tcW w:w="5670" w:type="dxa"/>
          </w:tcPr>
          <w:p w14:paraId="5DF37E65" w14:textId="59947B4C" w:rsidR="0096075F" w:rsidRPr="00B348D4" w:rsidRDefault="0096075F" w:rsidP="0096075F">
            <w:pPr>
              <w:jc w:val="both"/>
              <w:rPr>
                <w:rFonts w:ascii="Cambria" w:hAnsi="Cambria"/>
                <w:bCs/>
                <w:sz w:val="20"/>
                <w:szCs w:val="20"/>
              </w:rPr>
            </w:pPr>
            <w:r w:rsidRPr="00B348D4">
              <w:rPr>
                <w:rFonts w:ascii="Cambria" w:hAnsi="Cambria"/>
                <w:sz w:val="20"/>
                <w:szCs w:val="20"/>
              </w:rPr>
              <w:t>Tomás A. Morán Ortega</w:t>
            </w:r>
          </w:p>
        </w:tc>
      </w:tr>
      <w:tr w:rsidR="0096075F" w:rsidRPr="000B6B7A" w14:paraId="33858FA2" w14:textId="77777777" w:rsidTr="00E100C5">
        <w:tc>
          <w:tcPr>
            <w:tcW w:w="3690" w:type="dxa"/>
            <w:tcBorders>
              <w:top w:val="single" w:sz="6" w:space="0" w:color="auto"/>
              <w:bottom w:val="single" w:sz="6" w:space="0" w:color="auto"/>
            </w:tcBorders>
            <w:shd w:val="clear" w:color="auto" w:fill="67AE3C"/>
            <w:vAlign w:val="center"/>
          </w:tcPr>
          <w:p w14:paraId="29DB7F8F" w14:textId="448FA81D" w:rsidR="0096075F" w:rsidRPr="000B6B7A" w:rsidRDefault="00E100C5" w:rsidP="0096075F">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5E4A92916D3B4957831E87F2350FE7BC"/>
                </w:placeholder>
                <w:dropDownList>
                  <w:listItem w:value="Choose an item."/>
                  <w:listItem w:displayText="Alleged victim" w:value="Alleged victim"/>
                  <w:listItem w:displayText="Alleged victims" w:value="Alleged victims"/>
                </w:dropDownList>
              </w:sdtPr>
              <w:sdtContent>
                <w:r w:rsidR="00163CD8">
                  <w:rPr>
                    <w:rFonts w:ascii="Cambria" w:hAnsi="Cambria"/>
                    <w:b/>
                    <w:bCs/>
                    <w:color w:val="FFFFFF" w:themeColor="background1"/>
                    <w:sz w:val="20"/>
                    <w:szCs w:val="20"/>
                  </w:rPr>
                  <w:t>Alleged victim</w:t>
                </w:r>
              </w:sdtContent>
            </w:sdt>
            <w:r w:rsidR="0096075F" w:rsidRPr="000C4365">
              <w:rPr>
                <w:rFonts w:ascii="Cambria" w:hAnsi="Cambria"/>
                <w:b/>
                <w:bCs/>
                <w:color w:val="FFFFFF" w:themeColor="background1"/>
                <w:sz w:val="20"/>
                <w:szCs w:val="20"/>
              </w:rPr>
              <w:t>:</w:t>
            </w:r>
          </w:p>
        </w:tc>
        <w:tc>
          <w:tcPr>
            <w:tcW w:w="5670" w:type="dxa"/>
          </w:tcPr>
          <w:p w14:paraId="64B94B2B" w14:textId="0BD8D0E8" w:rsidR="0096075F" w:rsidRPr="00B348D4" w:rsidRDefault="0096075F" w:rsidP="0096075F">
            <w:pPr>
              <w:jc w:val="both"/>
              <w:rPr>
                <w:rFonts w:ascii="Cambria" w:hAnsi="Cambria"/>
                <w:bCs/>
                <w:sz w:val="20"/>
                <w:szCs w:val="20"/>
              </w:rPr>
            </w:pPr>
            <w:r w:rsidRPr="00B348D4">
              <w:rPr>
                <w:rFonts w:ascii="Cambria" w:hAnsi="Cambria"/>
                <w:sz w:val="20"/>
                <w:szCs w:val="20"/>
              </w:rPr>
              <w:t>Ronal Isaac Figueroa Ávila</w:t>
            </w:r>
            <w:r w:rsidRPr="00B348D4">
              <w:rPr>
                <w:rStyle w:val="FootnoteReference"/>
                <w:rFonts w:ascii="Cambria" w:hAnsi="Cambria"/>
                <w:sz w:val="20"/>
                <w:szCs w:val="20"/>
              </w:rPr>
              <w:footnoteReference w:id="2"/>
            </w:r>
          </w:p>
        </w:tc>
      </w:tr>
      <w:tr w:rsidR="0096075F" w:rsidRPr="000B6B7A" w14:paraId="36C8BDE6" w14:textId="77777777" w:rsidTr="00E100C5">
        <w:tc>
          <w:tcPr>
            <w:tcW w:w="3690" w:type="dxa"/>
            <w:tcBorders>
              <w:top w:val="single" w:sz="6" w:space="0" w:color="auto"/>
              <w:bottom w:val="single" w:sz="6" w:space="0" w:color="auto"/>
            </w:tcBorders>
            <w:shd w:val="clear" w:color="auto" w:fill="67AE3C"/>
            <w:vAlign w:val="center"/>
          </w:tcPr>
          <w:p w14:paraId="25E3F99E" w14:textId="77777777" w:rsidR="0096075F" w:rsidRPr="000B6B7A" w:rsidRDefault="0096075F" w:rsidP="0096075F">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Pr="000B6B7A">
              <w:rPr>
                <w:rFonts w:ascii="Cambria" w:hAnsi="Cambria"/>
                <w:b/>
                <w:bCs/>
                <w:color w:val="FFFFFF" w:themeColor="background1"/>
                <w:sz w:val="20"/>
                <w:szCs w:val="20"/>
              </w:rPr>
              <w:t>State:</w:t>
            </w:r>
          </w:p>
        </w:tc>
        <w:tc>
          <w:tcPr>
            <w:tcW w:w="5670" w:type="dxa"/>
          </w:tcPr>
          <w:p w14:paraId="35EBEBFB" w14:textId="7D1D0787" w:rsidR="0096075F" w:rsidRPr="00B348D4" w:rsidRDefault="0096075F" w:rsidP="0096075F">
            <w:pPr>
              <w:jc w:val="both"/>
              <w:rPr>
                <w:rFonts w:ascii="Cambria" w:hAnsi="Cambria"/>
                <w:bCs/>
                <w:sz w:val="20"/>
                <w:szCs w:val="20"/>
              </w:rPr>
            </w:pPr>
            <w:r w:rsidRPr="00B348D4">
              <w:rPr>
                <w:rFonts w:ascii="Cambria" w:hAnsi="Cambria"/>
                <w:bCs/>
                <w:sz w:val="20"/>
                <w:szCs w:val="20"/>
              </w:rPr>
              <w:t>Peru</w:t>
            </w:r>
            <w:r w:rsidRPr="00B348D4">
              <w:rPr>
                <w:rStyle w:val="FootnoteReference"/>
                <w:rFonts w:ascii="Cambria" w:hAnsi="Cambria"/>
                <w:bCs/>
                <w:sz w:val="20"/>
                <w:szCs w:val="20"/>
              </w:rPr>
              <w:footnoteReference w:id="3"/>
            </w:r>
          </w:p>
        </w:tc>
      </w:tr>
      <w:tr w:rsidR="0096075F" w:rsidRPr="000B6B7A" w14:paraId="5843386D" w14:textId="77777777" w:rsidTr="00E100C5">
        <w:tc>
          <w:tcPr>
            <w:tcW w:w="3690" w:type="dxa"/>
            <w:tcBorders>
              <w:top w:val="single" w:sz="6" w:space="0" w:color="auto"/>
              <w:bottom w:val="single" w:sz="6" w:space="0" w:color="auto"/>
            </w:tcBorders>
            <w:shd w:val="clear" w:color="auto" w:fill="67AE3C"/>
            <w:vAlign w:val="center"/>
          </w:tcPr>
          <w:p w14:paraId="4E29DF7E" w14:textId="77777777" w:rsidR="0096075F" w:rsidRPr="000B6B7A" w:rsidRDefault="0096075F" w:rsidP="0096075F">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5670" w:type="dxa"/>
          </w:tcPr>
          <w:p w14:paraId="376FD4CB" w14:textId="194309CF" w:rsidR="0096075F" w:rsidRPr="00B348D4" w:rsidRDefault="0096075F" w:rsidP="0096075F">
            <w:pPr>
              <w:jc w:val="both"/>
              <w:rPr>
                <w:rFonts w:ascii="Cambria" w:hAnsi="Cambria"/>
                <w:bCs/>
                <w:sz w:val="20"/>
                <w:szCs w:val="20"/>
              </w:rPr>
            </w:pPr>
            <w:r w:rsidRPr="00B348D4">
              <w:rPr>
                <w:rFonts w:ascii="Cambria" w:hAnsi="Cambria"/>
                <w:bCs/>
                <w:sz w:val="20"/>
                <w:szCs w:val="20"/>
              </w:rPr>
              <w:t>Articles 8 (fair trial), 21 (property), 24 (equal treatment) and 25 (judicial protection) of the American Convention on Human Rights</w:t>
            </w:r>
            <w:r w:rsidRPr="00B348D4">
              <w:rPr>
                <w:rStyle w:val="FootnoteReference"/>
                <w:rFonts w:ascii="Cambria" w:hAnsi="Cambria"/>
                <w:bCs/>
                <w:sz w:val="20"/>
                <w:szCs w:val="20"/>
              </w:rPr>
              <w:footnoteReference w:id="4"/>
            </w:r>
            <w:r w:rsidRPr="00B348D4">
              <w:rPr>
                <w:rFonts w:ascii="Cambria" w:hAnsi="Cambria"/>
                <w:bCs/>
                <w:sz w:val="20"/>
                <w:szCs w:val="20"/>
              </w:rPr>
              <w:t xml:space="preserve"> in connection with its Article 1 (obligation to respect rights); XVI (social security), XVIII (fair trial) and XXIII (property) of the American Declaration of the Rights and Duties of Man;</w:t>
            </w:r>
            <w:r w:rsidRPr="00B348D4">
              <w:rPr>
                <w:rStyle w:val="FootnoteReference"/>
                <w:rFonts w:ascii="Cambria" w:hAnsi="Cambria"/>
                <w:bCs/>
                <w:sz w:val="20"/>
                <w:szCs w:val="20"/>
              </w:rPr>
              <w:footnoteReference w:id="5"/>
            </w:r>
            <w:r w:rsidRPr="00B348D4">
              <w:rPr>
                <w:rFonts w:ascii="Cambria" w:hAnsi="Cambria"/>
                <w:bCs/>
                <w:sz w:val="20"/>
                <w:szCs w:val="20"/>
              </w:rPr>
              <w:t xml:space="preserve"> and 6 (work), 9 (social security), 10 (health), 17 (protection of the elderly) of the Additional Protocol to the American Convention on Human Rights in the Area of Economic, Social and Cultural Rights “Protocol of San Salvador”</w:t>
            </w:r>
            <w:r w:rsidRPr="00B348D4">
              <w:rPr>
                <w:rStyle w:val="FootnoteReference"/>
                <w:rFonts w:ascii="Cambria" w:hAnsi="Cambria"/>
                <w:bCs/>
                <w:sz w:val="20"/>
                <w:szCs w:val="20"/>
              </w:rPr>
              <w:footnoteReference w:id="6"/>
            </w:r>
          </w:p>
        </w:tc>
      </w:tr>
    </w:tbl>
    <w:p w14:paraId="25D88EC8"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PROCEDURE BEFORE THE IACHR</w:t>
      </w:r>
      <w:r w:rsidR="00653EA6" w:rsidRPr="00653EA6">
        <w:rPr>
          <w:rStyle w:val="FootnoteReference"/>
          <w:rFonts w:ascii="Cambria" w:hAnsi="Cambria"/>
          <w:b/>
          <w:sz w:val="20"/>
          <w:szCs w:val="20"/>
        </w:rPr>
        <w:footnoteReference w:id="7"/>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61BE14BB" w14:textId="77777777" w:rsidTr="00B06BB7">
        <w:tc>
          <w:tcPr>
            <w:tcW w:w="3690" w:type="dxa"/>
            <w:tcBorders>
              <w:top w:val="single" w:sz="6" w:space="0" w:color="auto"/>
              <w:bottom w:val="single" w:sz="6" w:space="0" w:color="auto"/>
            </w:tcBorders>
            <w:shd w:val="clear" w:color="auto" w:fill="67AE3C"/>
            <w:vAlign w:val="center"/>
          </w:tcPr>
          <w:p w14:paraId="7FEA58AF" w14:textId="77777777"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14:paraId="5C591D18" w14:textId="570F37E4" w:rsidR="00F621C3" w:rsidRPr="000B6B7A" w:rsidRDefault="00EC7A24" w:rsidP="00EC7A24">
            <w:pPr>
              <w:jc w:val="both"/>
              <w:rPr>
                <w:rFonts w:ascii="Cambria" w:hAnsi="Cambria"/>
                <w:bCs/>
                <w:sz w:val="20"/>
                <w:szCs w:val="20"/>
              </w:rPr>
            </w:pPr>
            <w:r w:rsidRPr="00EC7A24">
              <w:rPr>
                <w:rFonts w:ascii="Cambria" w:hAnsi="Cambria"/>
                <w:bCs/>
                <w:sz w:val="20"/>
                <w:szCs w:val="20"/>
              </w:rPr>
              <w:t>October 18, 2007</w:t>
            </w:r>
          </w:p>
        </w:tc>
      </w:tr>
      <w:tr w:rsidR="00F621C3" w:rsidRPr="000B6B7A" w14:paraId="0A712187" w14:textId="77777777" w:rsidTr="00B06BB7">
        <w:tc>
          <w:tcPr>
            <w:tcW w:w="3690" w:type="dxa"/>
            <w:tcBorders>
              <w:top w:val="single" w:sz="6" w:space="0" w:color="auto"/>
              <w:bottom w:val="single" w:sz="6" w:space="0" w:color="auto"/>
            </w:tcBorders>
            <w:shd w:val="clear" w:color="auto" w:fill="67AE3C"/>
            <w:vAlign w:val="center"/>
          </w:tcPr>
          <w:p w14:paraId="542E432B" w14:textId="77777777" w:rsidR="00F621C3" w:rsidRPr="000B6B7A" w:rsidRDefault="00F621C3"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sidR="003771A3">
              <w:rPr>
                <w:rFonts w:ascii="Cambria" w:hAnsi="Cambria"/>
                <w:b/>
                <w:color w:val="FFFFFF" w:themeColor="background1"/>
                <w:sz w:val="20"/>
                <w:szCs w:val="20"/>
              </w:rPr>
              <w:t>s</w:t>
            </w:r>
            <w:r w:rsidRPr="000B6B7A">
              <w:rPr>
                <w:rFonts w:ascii="Cambria" w:hAnsi="Cambria"/>
                <w:b/>
                <w:color w:val="FFFFFF" w:themeColor="background1"/>
                <w:sz w:val="20"/>
                <w:szCs w:val="20"/>
              </w:rPr>
              <w:t>tage</w:t>
            </w:r>
            <w:r w:rsidR="003771A3">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14:paraId="0DD39E6B" w14:textId="3A83382F" w:rsidR="00F621C3" w:rsidRPr="000B6B7A" w:rsidRDefault="00EC7A24" w:rsidP="00E100C5">
            <w:pPr>
              <w:jc w:val="both"/>
              <w:rPr>
                <w:rFonts w:ascii="Cambria" w:hAnsi="Cambria"/>
                <w:bCs/>
                <w:sz w:val="20"/>
                <w:szCs w:val="20"/>
              </w:rPr>
            </w:pPr>
            <w:r w:rsidRPr="00EC7A24">
              <w:rPr>
                <w:rFonts w:ascii="Cambria" w:hAnsi="Cambria"/>
                <w:bCs/>
                <w:sz w:val="20"/>
                <w:szCs w:val="20"/>
              </w:rPr>
              <w:t>February 10, 2009; August 28, 2012</w:t>
            </w:r>
          </w:p>
        </w:tc>
      </w:tr>
      <w:tr w:rsidR="00F621C3" w:rsidRPr="000B6B7A" w14:paraId="444BFD1C" w14:textId="77777777" w:rsidTr="00B06BB7">
        <w:tc>
          <w:tcPr>
            <w:tcW w:w="3690" w:type="dxa"/>
            <w:tcBorders>
              <w:top w:val="single" w:sz="6" w:space="0" w:color="auto"/>
              <w:bottom w:val="single" w:sz="6" w:space="0" w:color="auto"/>
            </w:tcBorders>
            <w:shd w:val="clear" w:color="auto" w:fill="67AE3C"/>
            <w:vAlign w:val="center"/>
          </w:tcPr>
          <w:p w14:paraId="311FE36D" w14:textId="77777777"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670" w:type="dxa"/>
            <w:vAlign w:val="center"/>
          </w:tcPr>
          <w:p w14:paraId="2F64ACF5" w14:textId="279798A5" w:rsidR="00F621C3" w:rsidRPr="000B6B7A" w:rsidRDefault="00EC7A24" w:rsidP="00EC7A24">
            <w:pPr>
              <w:jc w:val="both"/>
              <w:rPr>
                <w:rFonts w:ascii="Cambria" w:hAnsi="Cambria"/>
                <w:bCs/>
                <w:sz w:val="20"/>
                <w:szCs w:val="20"/>
              </w:rPr>
            </w:pPr>
            <w:r w:rsidRPr="00EC7A24">
              <w:rPr>
                <w:rFonts w:ascii="Cambria" w:hAnsi="Cambria"/>
                <w:bCs/>
                <w:sz w:val="20"/>
                <w:szCs w:val="20"/>
              </w:rPr>
              <w:t>May 27, 2016</w:t>
            </w:r>
          </w:p>
        </w:tc>
      </w:tr>
      <w:tr w:rsidR="00F621C3" w:rsidRPr="000B6B7A" w14:paraId="1720713E" w14:textId="77777777" w:rsidTr="00B06BB7">
        <w:trPr>
          <w:trHeight w:val="264"/>
        </w:trPr>
        <w:tc>
          <w:tcPr>
            <w:tcW w:w="3690" w:type="dxa"/>
            <w:tcBorders>
              <w:top w:val="single" w:sz="6" w:space="0" w:color="auto"/>
              <w:bottom w:val="single" w:sz="6" w:space="0" w:color="auto"/>
            </w:tcBorders>
            <w:shd w:val="clear" w:color="auto" w:fill="67AE3C"/>
            <w:vAlign w:val="center"/>
          </w:tcPr>
          <w:p w14:paraId="3239E74D" w14:textId="77777777" w:rsidR="00F621C3" w:rsidRPr="000B6B7A" w:rsidRDefault="00F621C3" w:rsidP="00E100C5">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726B3D6D" w14:textId="7DC7B453" w:rsidR="00F621C3" w:rsidRPr="000B6B7A" w:rsidRDefault="00EC7A24" w:rsidP="00E100C5">
            <w:pPr>
              <w:jc w:val="both"/>
              <w:rPr>
                <w:rFonts w:ascii="Cambria" w:hAnsi="Cambria"/>
                <w:bCs/>
                <w:sz w:val="20"/>
                <w:szCs w:val="20"/>
              </w:rPr>
            </w:pPr>
            <w:r w:rsidRPr="00EC7A24">
              <w:rPr>
                <w:rFonts w:ascii="Cambria" w:hAnsi="Cambria"/>
                <w:bCs/>
                <w:sz w:val="20"/>
                <w:szCs w:val="20"/>
              </w:rPr>
              <w:t>August 29, 2016</w:t>
            </w:r>
          </w:p>
        </w:tc>
      </w:tr>
      <w:tr w:rsidR="003771A3" w:rsidRPr="000B6B7A" w14:paraId="536EFCAF" w14:textId="77777777" w:rsidTr="00B06BB7">
        <w:tc>
          <w:tcPr>
            <w:tcW w:w="3690" w:type="dxa"/>
            <w:tcBorders>
              <w:top w:val="single" w:sz="6" w:space="0" w:color="auto"/>
              <w:bottom w:val="single" w:sz="6" w:space="0" w:color="auto"/>
            </w:tcBorders>
            <w:shd w:val="clear" w:color="auto" w:fill="67AE3C"/>
            <w:vAlign w:val="center"/>
          </w:tcPr>
          <w:p w14:paraId="52A507B4" w14:textId="77777777" w:rsidR="003771A3" w:rsidRPr="000B6B7A" w:rsidRDefault="003771A3"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sidR="0023351C">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14:paraId="2025565D" w14:textId="5A6F6E32" w:rsidR="003771A3" w:rsidRPr="000B6B7A" w:rsidRDefault="00EC7A24" w:rsidP="00EC7A24">
            <w:pPr>
              <w:jc w:val="both"/>
              <w:rPr>
                <w:rFonts w:ascii="Cambria" w:hAnsi="Cambria"/>
                <w:bCs/>
                <w:sz w:val="20"/>
                <w:szCs w:val="20"/>
              </w:rPr>
            </w:pPr>
            <w:r w:rsidRPr="00EC7A24">
              <w:rPr>
                <w:rFonts w:ascii="Cambria" w:hAnsi="Cambria"/>
                <w:bCs/>
                <w:sz w:val="20"/>
                <w:szCs w:val="20"/>
              </w:rPr>
              <w:t>July 5, 2017</w:t>
            </w:r>
          </w:p>
        </w:tc>
      </w:tr>
      <w:tr w:rsidR="003771A3" w:rsidRPr="000B6B7A" w14:paraId="1CA7A420" w14:textId="77777777" w:rsidTr="00B06BB7">
        <w:tc>
          <w:tcPr>
            <w:tcW w:w="3690" w:type="dxa"/>
            <w:tcBorders>
              <w:top w:val="single" w:sz="6" w:space="0" w:color="auto"/>
              <w:bottom w:val="single" w:sz="6" w:space="0" w:color="auto"/>
            </w:tcBorders>
            <w:shd w:val="clear" w:color="auto" w:fill="67AE3C"/>
            <w:vAlign w:val="center"/>
          </w:tcPr>
          <w:p w14:paraId="63E0A9AD" w14:textId="77777777" w:rsidR="003771A3" w:rsidRPr="000B6B7A" w:rsidRDefault="003771A3" w:rsidP="00653EA6">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p>
        </w:tc>
        <w:tc>
          <w:tcPr>
            <w:tcW w:w="5670" w:type="dxa"/>
            <w:vAlign w:val="center"/>
          </w:tcPr>
          <w:p w14:paraId="3CDA4576" w14:textId="7FE362FB" w:rsidR="003771A3" w:rsidRPr="000B6B7A" w:rsidRDefault="00EC7A24" w:rsidP="00E100C5">
            <w:pPr>
              <w:jc w:val="both"/>
              <w:rPr>
                <w:rFonts w:ascii="Cambria" w:hAnsi="Cambria"/>
                <w:bCs/>
                <w:sz w:val="20"/>
                <w:szCs w:val="20"/>
              </w:rPr>
            </w:pPr>
            <w:r w:rsidRPr="00EC7A24">
              <w:rPr>
                <w:rFonts w:ascii="Cambria" w:hAnsi="Cambria"/>
                <w:bCs/>
                <w:sz w:val="20"/>
                <w:szCs w:val="20"/>
              </w:rPr>
              <w:t>June 11, 2018</w:t>
            </w:r>
          </w:p>
        </w:tc>
      </w:tr>
    </w:tbl>
    <w:p w14:paraId="23A1790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9"/>
        <w:gridCol w:w="5593"/>
      </w:tblGrid>
      <w:tr w:rsidR="00F621C3" w:rsidRPr="000B6B7A" w14:paraId="47576797" w14:textId="77777777" w:rsidTr="001F1902">
        <w:trPr>
          <w:cantSplit/>
        </w:trPr>
        <w:tc>
          <w:tcPr>
            <w:tcW w:w="3690" w:type="dxa"/>
            <w:tcBorders>
              <w:top w:val="single" w:sz="4" w:space="0" w:color="auto"/>
              <w:bottom w:val="single" w:sz="6" w:space="0" w:color="auto"/>
            </w:tcBorders>
            <w:shd w:val="clear" w:color="auto" w:fill="67AE3C"/>
            <w:vAlign w:val="center"/>
          </w:tcPr>
          <w:p w14:paraId="04ABF07C" w14:textId="77777777" w:rsidR="00F621C3" w:rsidRPr="000B6B7A" w:rsidRDefault="00F621C3" w:rsidP="00E100C5">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14:paraId="533585B6" w14:textId="62A341AA" w:rsidR="00F621C3" w:rsidRPr="00B348D4" w:rsidRDefault="00BB6FA8" w:rsidP="00E100C5">
            <w:pPr>
              <w:rPr>
                <w:rFonts w:ascii="Cambria" w:hAnsi="Cambria"/>
                <w:bCs/>
                <w:sz w:val="20"/>
                <w:szCs w:val="20"/>
              </w:rPr>
            </w:pPr>
            <w:r w:rsidRPr="00B348D4">
              <w:rPr>
                <w:rFonts w:ascii="Cambria" w:hAnsi="Cambria"/>
                <w:bCs/>
                <w:sz w:val="20"/>
                <w:szCs w:val="20"/>
              </w:rPr>
              <w:t>Yes</w:t>
            </w:r>
          </w:p>
        </w:tc>
      </w:tr>
      <w:tr w:rsidR="00F621C3" w:rsidRPr="000B6B7A" w14:paraId="04CDAF0B" w14:textId="77777777" w:rsidTr="001F1902">
        <w:trPr>
          <w:cantSplit/>
        </w:trPr>
        <w:tc>
          <w:tcPr>
            <w:tcW w:w="3690" w:type="dxa"/>
            <w:tcBorders>
              <w:top w:val="single" w:sz="6" w:space="0" w:color="auto"/>
              <w:bottom w:val="single" w:sz="6" w:space="0" w:color="auto"/>
            </w:tcBorders>
            <w:shd w:val="clear" w:color="auto" w:fill="67AE3C"/>
            <w:vAlign w:val="center"/>
          </w:tcPr>
          <w:p w14:paraId="7F2DE8D7" w14:textId="77777777" w:rsidR="00F621C3" w:rsidRPr="000B6B7A" w:rsidRDefault="00F621C3" w:rsidP="00E100C5">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14:paraId="1F4A69E8" w14:textId="3206013B" w:rsidR="00F621C3" w:rsidRPr="00B348D4" w:rsidRDefault="00BB6FA8" w:rsidP="00E100C5">
            <w:pPr>
              <w:rPr>
                <w:rFonts w:ascii="Cambria" w:hAnsi="Cambria"/>
                <w:bCs/>
                <w:sz w:val="20"/>
                <w:szCs w:val="20"/>
              </w:rPr>
            </w:pPr>
            <w:r w:rsidRPr="00B348D4">
              <w:rPr>
                <w:rFonts w:ascii="Cambria" w:hAnsi="Cambria"/>
                <w:bCs/>
                <w:sz w:val="20"/>
                <w:szCs w:val="20"/>
              </w:rPr>
              <w:t>Yes</w:t>
            </w:r>
          </w:p>
        </w:tc>
      </w:tr>
      <w:tr w:rsidR="00F621C3" w:rsidRPr="000B6B7A" w14:paraId="014B4CDE" w14:textId="77777777" w:rsidTr="001F1902">
        <w:trPr>
          <w:cantSplit/>
        </w:trPr>
        <w:tc>
          <w:tcPr>
            <w:tcW w:w="3690" w:type="dxa"/>
            <w:tcBorders>
              <w:top w:val="single" w:sz="6" w:space="0" w:color="auto"/>
              <w:bottom w:val="single" w:sz="6" w:space="0" w:color="auto"/>
            </w:tcBorders>
            <w:shd w:val="clear" w:color="auto" w:fill="67AE3C"/>
            <w:vAlign w:val="center"/>
          </w:tcPr>
          <w:p w14:paraId="61C0F097" w14:textId="77777777" w:rsidR="00F621C3" w:rsidRPr="000B6B7A" w:rsidRDefault="00F621C3" w:rsidP="00E100C5">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14:paraId="41DAC884" w14:textId="2B69FD1E" w:rsidR="00F621C3" w:rsidRPr="00B348D4" w:rsidRDefault="00BB6FA8" w:rsidP="00E100C5">
            <w:pPr>
              <w:rPr>
                <w:rFonts w:ascii="Cambria" w:hAnsi="Cambria"/>
                <w:bCs/>
                <w:sz w:val="20"/>
                <w:szCs w:val="20"/>
              </w:rPr>
            </w:pPr>
            <w:r w:rsidRPr="00B348D4">
              <w:rPr>
                <w:rFonts w:ascii="Cambria" w:hAnsi="Cambria"/>
                <w:bCs/>
                <w:sz w:val="20"/>
                <w:szCs w:val="20"/>
              </w:rPr>
              <w:t>Yes</w:t>
            </w:r>
          </w:p>
        </w:tc>
      </w:tr>
      <w:tr w:rsidR="00F621C3" w:rsidRPr="000B6B7A" w14:paraId="0BD62859" w14:textId="77777777" w:rsidTr="001F1902">
        <w:trPr>
          <w:cantSplit/>
        </w:trPr>
        <w:tc>
          <w:tcPr>
            <w:tcW w:w="3690" w:type="dxa"/>
            <w:tcBorders>
              <w:top w:val="single" w:sz="6" w:space="0" w:color="auto"/>
              <w:bottom w:val="single" w:sz="6" w:space="0" w:color="auto"/>
            </w:tcBorders>
            <w:shd w:val="clear" w:color="auto" w:fill="67AE3C"/>
            <w:vAlign w:val="center"/>
          </w:tcPr>
          <w:p w14:paraId="40D09D1E" w14:textId="77777777" w:rsidR="00F621C3" w:rsidRPr="000B6B7A" w:rsidRDefault="00F621C3" w:rsidP="00E100C5">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14:paraId="1E2851C8" w14:textId="580543C2" w:rsidR="00F621C3" w:rsidRPr="00B348D4" w:rsidRDefault="00BB6FA8" w:rsidP="00E100C5">
            <w:pPr>
              <w:jc w:val="both"/>
              <w:rPr>
                <w:rFonts w:ascii="Cambria" w:hAnsi="Cambria"/>
                <w:bCs/>
                <w:sz w:val="20"/>
                <w:szCs w:val="20"/>
              </w:rPr>
            </w:pPr>
            <w:r w:rsidRPr="00B348D4">
              <w:rPr>
                <w:rFonts w:ascii="Cambria" w:hAnsi="Cambria"/>
                <w:bCs/>
                <w:sz w:val="20"/>
                <w:szCs w:val="20"/>
              </w:rPr>
              <w:t>Yes, American Convention (deposit of ratification instrument on July 28, 1978)</w:t>
            </w:r>
          </w:p>
        </w:tc>
      </w:tr>
    </w:tbl>
    <w:p w14:paraId="31D684C5"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1"/>
        <w:gridCol w:w="5591"/>
      </w:tblGrid>
      <w:tr w:rsidR="00F621C3" w:rsidRPr="000B6B7A" w14:paraId="1506495D" w14:textId="77777777" w:rsidTr="001F1902">
        <w:trPr>
          <w:cantSplit/>
        </w:trPr>
        <w:tc>
          <w:tcPr>
            <w:tcW w:w="3690" w:type="dxa"/>
            <w:tcBorders>
              <w:top w:val="single" w:sz="4" w:space="0" w:color="auto"/>
              <w:bottom w:val="single" w:sz="6" w:space="0" w:color="auto"/>
            </w:tcBorders>
            <w:shd w:val="clear" w:color="auto" w:fill="67AE3C"/>
            <w:vAlign w:val="center"/>
          </w:tcPr>
          <w:p w14:paraId="0DB05A61" w14:textId="77777777" w:rsidR="00F621C3" w:rsidRPr="000B6B7A" w:rsidRDefault="00F621C3" w:rsidP="00E100C5">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187E26D" w14:textId="2D44F3FD" w:rsidR="00F621C3" w:rsidRPr="000B6B7A" w:rsidRDefault="00BB6FA8" w:rsidP="00E100C5">
            <w:pPr>
              <w:jc w:val="both"/>
              <w:rPr>
                <w:rFonts w:ascii="Cambria" w:hAnsi="Cambria"/>
                <w:bCs/>
                <w:sz w:val="20"/>
                <w:szCs w:val="20"/>
              </w:rPr>
            </w:pPr>
            <w:r>
              <w:rPr>
                <w:rFonts w:ascii="Cambria" w:hAnsi="Cambria"/>
                <w:bCs/>
                <w:sz w:val="20"/>
                <w:szCs w:val="20"/>
              </w:rPr>
              <w:t>No</w:t>
            </w:r>
          </w:p>
        </w:tc>
      </w:tr>
      <w:tr w:rsidR="00F621C3" w:rsidRPr="000B6B7A" w14:paraId="6CAFDA95" w14:textId="77777777" w:rsidTr="001F1902">
        <w:trPr>
          <w:cantSplit/>
        </w:trPr>
        <w:tc>
          <w:tcPr>
            <w:tcW w:w="3690" w:type="dxa"/>
            <w:tcBorders>
              <w:top w:val="single" w:sz="6" w:space="0" w:color="auto"/>
              <w:bottom w:val="single" w:sz="6" w:space="0" w:color="auto"/>
            </w:tcBorders>
            <w:shd w:val="clear" w:color="auto" w:fill="67AE3C"/>
            <w:vAlign w:val="center"/>
          </w:tcPr>
          <w:p w14:paraId="2D393F7D" w14:textId="77777777" w:rsidR="00F621C3" w:rsidRPr="000B6B7A" w:rsidRDefault="00F621C3" w:rsidP="00E100C5">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08457BED" w14:textId="6A5AD1B3" w:rsidR="00F621C3" w:rsidRPr="000B6B7A" w:rsidRDefault="00BB6FA8" w:rsidP="00E100C5">
            <w:pPr>
              <w:jc w:val="both"/>
              <w:rPr>
                <w:rFonts w:ascii="Cambria" w:hAnsi="Cambria"/>
                <w:bCs/>
                <w:sz w:val="20"/>
                <w:szCs w:val="20"/>
              </w:rPr>
            </w:pPr>
            <w:r w:rsidRPr="00BB6FA8">
              <w:rPr>
                <w:rFonts w:ascii="Cambria" w:hAnsi="Cambria"/>
                <w:bCs/>
                <w:sz w:val="20"/>
                <w:szCs w:val="20"/>
              </w:rPr>
              <w:t xml:space="preserve">Articles 8 (fair trial), 9 (freedom from </w:t>
            </w:r>
            <w:r w:rsidRPr="00BB6FA8">
              <w:rPr>
                <w:rFonts w:ascii="Cambria" w:hAnsi="Cambria"/>
                <w:bCs/>
                <w:i/>
                <w:sz w:val="20"/>
                <w:szCs w:val="20"/>
              </w:rPr>
              <w:t>ex post facto</w:t>
            </w:r>
            <w:r w:rsidRPr="00BB6FA8">
              <w:rPr>
                <w:rFonts w:ascii="Cambria" w:hAnsi="Cambria"/>
                <w:bCs/>
                <w:sz w:val="20"/>
                <w:szCs w:val="20"/>
              </w:rPr>
              <w:t xml:space="preserve"> laws), 21 (property), 25 (judicial protection) and 26 (economic, social and cultural rights) of the American Convention in connection with its Article 1.1 (obligation to respect rights)</w:t>
            </w:r>
          </w:p>
        </w:tc>
      </w:tr>
      <w:tr w:rsidR="00F621C3" w:rsidRPr="000B6B7A" w14:paraId="3D9AEA74" w14:textId="77777777" w:rsidTr="001F1902">
        <w:trPr>
          <w:cantSplit/>
        </w:trPr>
        <w:tc>
          <w:tcPr>
            <w:tcW w:w="3690" w:type="dxa"/>
            <w:tcBorders>
              <w:top w:val="single" w:sz="6" w:space="0" w:color="auto"/>
              <w:bottom w:val="single" w:sz="6" w:space="0" w:color="auto"/>
            </w:tcBorders>
            <w:shd w:val="clear" w:color="auto" w:fill="67AE3C"/>
            <w:vAlign w:val="center"/>
          </w:tcPr>
          <w:p w14:paraId="31617BC4" w14:textId="77777777" w:rsidR="00F621C3" w:rsidRPr="000B6B7A" w:rsidRDefault="00F621C3" w:rsidP="00E100C5">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lastRenderedPageBreak/>
              <w:t>Exhaustion of domestic remedies or applicability of an exception to the rule:</w:t>
            </w:r>
          </w:p>
        </w:tc>
        <w:tc>
          <w:tcPr>
            <w:tcW w:w="5670" w:type="dxa"/>
            <w:vAlign w:val="center"/>
          </w:tcPr>
          <w:p w14:paraId="413C33C5" w14:textId="748DE0B4" w:rsidR="00F621C3" w:rsidRPr="000B6B7A" w:rsidRDefault="00BB6FA8" w:rsidP="00BB6FA8">
            <w:pPr>
              <w:rPr>
                <w:rFonts w:ascii="Cambria" w:hAnsi="Cambria"/>
                <w:bCs/>
                <w:sz w:val="20"/>
                <w:szCs w:val="20"/>
              </w:rPr>
            </w:pPr>
            <w:r w:rsidRPr="00BB6FA8">
              <w:rPr>
                <w:rFonts w:ascii="Cambria" w:hAnsi="Cambria"/>
                <w:bCs/>
                <w:sz w:val="20"/>
                <w:szCs w:val="20"/>
              </w:rPr>
              <w:t>Yes, June 14, 2011</w:t>
            </w:r>
          </w:p>
        </w:tc>
      </w:tr>
      <w:tr w:rsidR="00F621C3" w:rsidRPr="000B6B7A" w14:paraId="0805E6A9" w14:textId="77777777" w:rsidTr="001F1902">
        <w:trPr>
          <w:cantSplit/>
        </w:trPr>
        <w:tc>
          <w:tcPr>
            <w:tcW w:w="3690" w:type="dxa"/>
            <w:tcBorders>
              <w:top w:val="single" w:sz="6" w:space="0" w:color="auto"/>
              <w:bottom w:val="single" w:sz="6" w:space="0" w:color="auto"/>
            </w:tcBorders>
            <w:shd w:val="clear" w:color="auto" w:fill="67AE3C"/>
            <w:vAlign w:val="center"/>
          </w:tcPr>
          <w:p w14:paraId="7B212E77" w14:textId="77777777" w:rsidR="00F621C3" w:rsidRPr="000B6B7A" w:rsidRDefault="00F621C3" w:rsidP="00E100C5">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430092A0" w14:textId="0A97D990" w:rsidR="00F621C3" w:rsidRPr="000B6B7A" w:rsidRDefault="00BB6FA8" w:rsidP="00E100C5">
            <w:pPr>
              <w:rPr>
                <w:rFonts w:asciiTheme="majorHAnsi" w:hAnsiTheme="majorHAnsi"/>
                <w:bCs/>
                <w:sz w:val="20"/>
                <w:szCs w:val="20"/>
              </w:rPr>
            </w:pPr>
            <w:r w:rsidRPr="00BB6FA8">
              <w:rPr>
                <w:rFonts w:asciiTheme="majorHAnsi" w:hAnsiTheme="majorHAnsi"/>
                <w:bCs/>
                <w:sz w:val="20"/>
                <w:szCs w:val="20"/>
              </w:rPr>
              <w:t>Yes, October 18, 2007</w:t>
            </w:r>
          </w:p>
        </w:tc>
      </w:tr>
    </w:tbl>
    <w:p w14:paraId="5D802A1F" w14:textId="392BA1BC" w:rsidR="00B06BB7" w:rsidRDefault="00B06BB7">
      <w:pPr>
        <w:rPr>
          <w:rFonts w:asciiTheme="majorHAnsi" w:hAnsiTheme="majorHAnsi"/>
          <w:b/>
          <w:sz w:val="20"/>
          <w:szCs w:val="20"/>
        </w:rPr>
      </w:pPr>
    </w:p>
    <w:p w14:paraId="18DCE0F3" w14:textId="77777777"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t xml:space="preserve">ALLEGED FACTS </w:t>
      </w:r>
    </w:p>
    <w:p w14:paraId="4A53F3A5" w14:textId="7F7891DB" w:rsidR="00A53B01" w:rsidRPr="00A53B01" w:rsidRDefault="00E829D5" w:rsidP="00A53B0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petitioning party</w:t>
      </w:r>
      <w:r w:rsidR="00A53B01" w:rsidRPr="00A53B01">
        <w:rPr>
          <w:rFonts w:ascii="Cambria" w:hAnsi="Cambria"/>
          <w:sz w:val="20"/>
          <w:szCs w:val="20"/>
        </w:rPr>
        <w:t xml:space="preserve"> claims that in 1990 the State officially recognized the alleged victim’s right to</w:t>
      </w:r>
      <w:r w:rsidR="00BF2FF7">
        <w:rPr>
          <w:rFonts w:ascii="Cambria" w:hAnsi="Cambria"/>
          <w:sz w:val="20"/>
          <w:szCs w:val="20"/>
        </w:rPr>
        <w:t xml:space="preserve"> </w:t>
      </w:r>
      <w:r w:rsidR="00A53B01" w:rsidRPr="00A53B01">
        <w:rPr>
          <w:rFonts w:ascii="Cambria" w:hAnsi="Cambria"/>
          <w:sz w:val="20"/>
          <w:szCs w:val="20"/>
        </w:rPr>
        <w:t>unemployment insurance, which has not been paid yet.</w:t>
      </w:r>
    </w:p>
    <w:p w14:paraId="6CAE7D27" w14:textId="03A0CEC9" w:rsidR="00F621C3" w:rsidRDefault="00A53B01" w:rsidP="00A53B0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53B01">
        <w:rPr>
          <w:rFonts w:ascii="Cambria" w:hAnsi="Cambria"/>
          <w:sz w:val="20"/>
          <w:szCs w:val="20"/>
        </w:rPr>
        <w:t>According to the petition, Mr. Figueroa Ávila began to work at the Bank and Insurance Superintendency (</w:t>
      </w:r>
      <w:r w:rsidR="0019062E" w:rsidRPr="0019062E">
        <w:rPr>
          <w:rFonts w:ascii="Cambria" w:hAnsi="Cambria"/>
          <w:i/>
          <w:sz w:val="20"/>
          <w:szCs w:val="20"/>
        </w:rPr>
        <w:t>Superintendencia de Banca y Seguros</w:t>
      </w:r>
      <w:r w:rsidR="0019062E">
        <w:rPr>
          <w:rFonts w:ascii="Cambria" w:hAnsi="Cambria"/>
          <w:sz w:val="20"/>
          <w:szCs w:val="20"/>
        </w:rPr>
        <w:t>,</w:t>
      </w:r>
      <w:r w:rsidRPr="00A53B01">
        <w:rPr>
          <w:rFonts w:ascii="Cambria" w:hAnsi="Cambria"/>
          <w:sz w:val="20"/>
          <w:szCs w:val="20"/>
        </w:rPr>
        <w:t xml:space="preserve"> “SBS”) on December 21, 1964, where he </w:t>
      </w:r>
      <w:r w:rsidR="00233ED9">
        <w:rPr>
          <w:rFonts w:ascii="Cambria" w:hAnsi="Cambria"/>
          <w:sz w:val="20"/>
          <w:szCs w:val="20"/>
        </w:rPr>
        <w:t>worked</w:t>
      </w:r>
      <w:r w:rsidRPr="00A53B01">
        <w:rPr>
          <w:rFonts w:ascii="Cambria" w:hAnsi="Cambria"/>
          <w:sz w:val="20"/>
          <w:szCs w:val="20"/>
        </w:rPr>
        <w:t xml:space="preserve"> for 28 years</w:t>
      </w:r>
      <w:r w:rsidR="00233ED9">
        <w:rPr>
          <w:rFonts w:ascii="Cambria" w:hAnsi="Cambria"/>
          <w:sz w:val="20"/>
          <w:szCs w:val="20"/>
        </w:rPr>
        <w:t xml:space="preserve"> </w:t>
      </w:r>
      <w:r w:rsidR="00233ED9" w:rsidRPr="00A53B01">
        <w:rPr>
          <w:rFonts w:ascii="Cambria" w:hAnsi="Cambria"/>
          <w:sz w:val="20"/>
          <w:szCs w:val="20"/>
        </w:rPr>
        <w:t>uninterruptedly</w:t>
      </w:r>
      <w:r w:rsidR="00233ED9">
        <w:rPr>
          <w:rFonts w:ascii="Cambria" w:hAnsi="Cambria"/>
          <w:sz w:val="20"/>
          <w:szCs w:val="20"/>
        </w:rPr>
        <w:t xml:space="preserve">, </w:t>
      </w:r>
      <w:r w:rsidR="00E829D5">
        <w:rPr>
          <w:rFonts w:ascii="Cambria" w:hAnsi="Cambria"/>
          <w:sz w:val="20"/>
          <w:szCs w:val="20"/>
        </w:rPr>
        <w:t xml:space="preserve">plus 4 </w:t>
      </w:r>
      <w:r w:rsidRPr="00A53B01">
        <w:rPr>
          <w:rFonts w:ascii="Cambria" w:hAnsi="Cambria"/>
          <w:sz w:val="20"/>
          <w:szCs w:val="20"/>
        </w:rPr>
        <w:t>university</w:t>
      </w:r>
      <w:r w:rsidR="00E829D5">
        <w:rPr>
          <w:rFonts w:ascii="Cambria" w:hAnsi="Cambria"/>
          <w:sz w:val="20"/>
          <w:szCs w:val="20"/>
        </w:rPr>
        <w:t xml:space="preserve"> years</w:t>
      </w:r>
      <w:r w:rsidRPr="00A53B01">
        <w:rPr>
          <w:rFonts w:ascii="Cambria" w:hAnsi="Cambria"/>
          <w:sz w:val="20"/>
          <w:szCs w:val="20"/>
        </w:rPr>
        <w:t>, which</w:t>
      </w:r>
      <w:r w:rsidR="00E829D5">
        <w:rPr>
          <w:rFonts w:ascii="Cambria" w:hAnsi="Cambria"/>
          <w:sz w:val="20"/>
          <w:szCs w:val="20"/>
        </w:rPr>
        <w:t xml:space="preserve"> were</w:t>
      </w:r>
      <w:r w:rsidRPr="00A53B01">
        <w:rPr>
          <w:rFonts w:ascii="Cambria" w:hAnsi="Cambria"/>
          <w:sz w:val="20"/>
          <w:szCs w:val="20"/>
        </w:rPr>
        <w:t xml:space="preserve"> accumulated </w:t>
      </w:r>
      <w:r w:rsidR="00233ED9">
        <w:rPr>
          <w:rFonts w:ascii="Cambria" w:hAnsi="Cambria"/>
          <w:sz w:val="20"/>
          <w:szCs w:val="20"/>
        </w:rPr>
        <w:t>under</w:t>
      </w:r>
      <w:r w:rsidRPr="00A53B01">
        <w:rPr>
          <w:rFonts w:ascii="Cambria" w:hAnsi="Cambria"/>
          <w:sz w:val="20"/>
          <w:szCs w:val="20"/>
        </w:rPr>
        <w:t xml:space="preserve"> the applicable law. It indicates that on January 1, 1982, due to a reform </w:t>
      </w:r>
      <w:r w:rsidR="00BF2FF7">
        <w:rPr>
          <w:rFonts w:ascii="Cambria" w:hAnsi="Cambria"/>
          <w:sz w:val="20"/>
          <w:szCs w:val="20"/>
        </w:rPr>
        <w:t xml:space="preserve">of the pension system in </w:t>
      </w:r>
      <w:r w:rsidRPr="00A53B01">
        <w:rPr>
          <w:rFonts w:ascii="Cambria" w:hAnsi="Cambria"/>
          <w:sz w:val="20"/>
          <w:szCs w:val="20"/>
        </w:rPr>
        <w:t xml:space="preserve">Peru, employees of the above institution were </w:t>
      </w:r>
      <w:r w:rsidR="00233ED9">
        <w:rPr>
          <w:rFonts w:ascii="Cambria" w:hAnsi="Cambria"/>
          <w:sz w:val="20"/>
          <w:szCs w:val="20"/>
        </w:rPr>
        <w:t>transferred</w:t>
      </w:r>
      <w:r w:rsidRPr="00A53B01">
        <w:rPr>
          <w:rFonts w:ascii="Cambria" w:hAnsi="Cambria"/>
          <w:sz w:val="20"/>
          <w:szCs w:val="20"/>
        </w:rPr>
        <w:t xml:space="preserve"> from the national social security fund to the National Pension System (</w:t>
      </w:r>
      <w:r w:rsidRPr="00FE3BF6">
        <w:rPr>
          <w:rFonts w:ascii="Cambria" w:hAnsi="Cambria"/>
          <w:i/>
          <w:sz w:val="20"/>
          <w:szCs w:val="20"/>
        </w:rPr>
        <w:t>Sistema Nacional de Pensiones</w:t>
      </w:r>
      <w:r w:rsidRPr="00A53B01">
        <w:rPr>
          <w:rFonts w:ascii="Cambria" w:hAnsi="Cambria"/>
          <w:sz w:val="20"/>
          <w:szCs w:val="20"/>
        </w:rPr>
        <w:t>, “SNP”)</w:t>
      </w:r>
      <w:r w:rsidR="00BF2FF7">
        <w:rPr>
          <w:rFonts w:ascii="Cambria" w:hAnsi="Cambria"/>
          <w:sz w:val="20"/>
          <w:szCs w:val="20"/>
        </w:rPr>
        <w:t xml:space="preserve">, and </w:t>
      </w:r>
      <w:r w:rsidRPr="00A53B01">
        <w:rPr>
          <w:rFonts w:ascii="Cambria" w:hAnsi="Cambria"/>
          <w:sz w:val="20"/>
          <w:szCs w:val="20"/>
        </w:rPr>
        <w:t>the former was discontinued. It is alleged that in 1986, when he had an administrative career of almost 22 years, he was enrolled in the pension system governed by Decree Law 20530, under Law 24366.</w:t>
      </w:r>
      <w:r>
        <w:rPr>
          <w:rStyle w:val="FootnoteReference"/>
          <w:rFonts w:ascii="Cambria" w:hAnsi="Cambria"/>
          <w:sz w:val="20"/>
          <w:szCs w:val="20"/>
        </w:rPr>
        <w:footnoteReference w:id="8"/>
      </w:r>
      <w:r w:rsidR="00233ED9">
        <w:rPr>
          <w:rFonts w:ascii="Cambria" w:hAnsi="Cambria"/>
          <w:sz w:val="20"/>
          <w:szCs w:val="20"/>
        </w:rPr>
        <w:t xml:space="preserve"> </w:t>
      </w:r>
    </w:p>
    <w:p w14:paraId="0131653D" w14:textId="4351CA23" w:rsidR="00A53B01" w:rsidRPr="00A53B01" w:rsidRDefault="00A53B01" w:rsidP="00A53B0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53B01">
        <w:rPr>
          <w:rFonts w:ascii="Cambria" w:hAnsi="Cambria"/>
          <w:sz w:val="20"/>
          <w:szCs w:val="20"/>
        </w:rPr>
        <w:t>According to the petition, in 1990 the SBS recognized Mr. Figueroa Ávila’s uninterrupted 30-year career as a state employee, by Administrative Resolution No. 713-90. The petition states that on December 20, 1990</w:t>
      </w:r>
      <w:r w:rsidR="00BF2FF7">
        <w:rPr>
          <w:rFonts w:ascii="Cambria" w:hAnsi="Cambria"/>
          <w:sz w:val="20"/>
          <w:szCs w:val="20"/>
        </w:rPr>
        <w:t>,</w:t>
      </w:r>
      <w:r w:rsidRPr="00A53B01">
        <w:rPr>
          <w:rFonts w:ascii="Cambria" w:hAnsi="Cambria"/>
          <w:sz w:val="20"/>
          <w:szCs w:val="20"/>
        </w:rPr>
        <w:t xml:space="preserve"> he was unlawfully dismissed and</w:t>
      </w:r>
      <w:r w:rsidR="005D742F">
        <w:rPr>
          <w:rFonts w:ascii="Cambria" w:hAnsi="Cambria"/>
          <w:sz w:val="20"/>
          <w:szCs w:val="20"/>
        </w:rPr>
        <w:t>,</w:t>
      </w:r>
      <w:r w:rsidRPr="00A53B01">
        <w:rPr>
          <w:rFonts w:ascii="Cambria" w:hAnsi="Cambria"/>
          <w:sz w:val="20"/>
          <w:szCs w:val="20"/>
        </w:rPr>
        <w:t xml:space="preserve"> </w:t>
      </w:r>
      <w:r w:rsidR="005D742F">
        <w:rPr>
          <w:rFonts w:ascii="Cambria" w:hAnsi="Cambria"/>
          <w:sz w:val="20"/>
          <w:szCs w:val="20"/>
        </w:rPr>
        <w:t>accordingly,</w:t>
      </w:r>
      <w:r w:rsidRPr="00A53B01">
        <w:rPr>
          <w:rFonts w:ascii="Cambria" w:hAnsi="Cambria"/>
          <w:sz w:val="20"/>
          <w:szCs w:val="20"/>
        </w:rPr>
        <w:t xml:space="preserve"> the SBS issued Resolution No. 715-90 ruling the payment of unemployment insurance along with </w:t>
      </w:r>
      <w:r w:rsidR="005D742F">
        <w:rPr>
          <w:rFonts w:ascii="Cambria" w:hAnsi="Cambria"/>
          <w:sz w:val="20"/>
          <w:szCs w:val="20"/>
        </w:rPr>
        <w:t>the</w:t>
      </w:r>
      <w:r w:rsidRPr="00A53B01">
        <w:rPr>
          <w:rFonts w:ascii="Cambria" w:hAnsi="Cambria"/>
          <w:sz w:val="20"/>
          <w:szCs w:val="20"/>
        </w:rPr>
        <w:t xml:space="preserve"> bonuses earned </w:t>
      </w:r>
      <w:r w:rsidR="005D742F">
        <w:rPr>
          <w:rFonts w:ascii="Cambria" w:hAnsi="Cambria"/>
          <w:sz w:val="20"/>
          <w:szCs w:val="20"/>
        </w:rPr>
        <w:t xml:space="preserve">up </w:t>
      </w:r>
      <w:r w:rsidRPr="00A53B01">
        <w:rPr>
          <w:rFonts w:ascii="Cambria" w:hAnsi="Cambria"/>
          <w:sz w:val="20"/>
          <w:szCs w:val="20"/>
        </w:rPr>
        <w:t>to his dismissal. It indicates that although he was reinstated after a successful constitutional remedy,</w:t>
      </w:r>
      <w:r>
        <w:rPr>
          <w:rStyle w:val="FootnoteReference"/>
          <w:rFonts w:ascii="Cambria" w:hAnsi="Cambria"/>
          <w:sz w:val="20"/>
          <w:szCs w:val="20"/>
        </w:rPr>
        <w:footnoteReference w:id="9"/>
      </w:r>
      <w:r w:rsidRPr="00A53B01">
        <w:rPr>
          <w:rFonts w:ascii="Cambria" w:hAnsi="Cambria"/>
          <w:sz w:val="20"/>
          <w:szCs w:val="20"/>
        </w:rPr>
        <w:t xml:space="preserve"> Mr. Figueroa Ávila resigned in 1992. </w:t>
      </w:r>
      <w:r>
        <w:rPr>
          <w:rFonts w:ascii="Cambria" w:hAnsi="Cambria"/>
          <w:sz w:val="20"/>
          <w:szCs w:val="20"/>
        </w:rPr>
        <w:t>The petition</w:t>
      </w:r>
      <w:r w:rsidRPr="00A53B01">
        <w:rPr>
          <w:rFonts w:ascii="Cambria" w:hAnsi="Cambria"/>
          <w:sz w:val="20"/>
          <w:szCs w:val="20"/>
        </w:rPr>
        <w:t xml:space="preserve"> further states that despite numerous requests, the SBS has not paid his </w:t>
      </w:r>
      <w:r w:rsidR="004B6E45">
        <w:rPr>
          <w:rFonts w:ascii="Cambria" w:hAnsi="Cambria"/>
          <w:sz w:val="20"/>
          <w:szCs w:val="20"/>
        </w:rPr>
        <w:t>pension</w:t>
      </w:r>
      <w:r w:rsidRPr="00A53B01">
        <w:rPr>
          <w:rFonts w:ascii="Cambria" w:hAnsi="Cambria"/>
          <w:sz w:val="20"/>
          <w:szCs w:val="20"/>
        </w:rPr>
        <w:t xml:space="preserve"> and that in 1994, the alleged victim began to work at a private university, hence he was enrolled in the private pension system, as per the requirements of the law.</w:t>
      </w:r>
      <w:r w:rsidR="00233ED9">
        <w:rPr>
          <w:rFonts w:ascii="Cambria" w:hAnsi="Cambria"/>
          <w:sz w:val="20"/>
          <w:szCs w:val="20"/>
        </w:rPr>
        <w:t xml:space="preserve"> </w:t>
      </w:r>
    </w:p>
    <w:p w14:paraId="3B174C22" w14:textId="6A4F284F" w:rsidR="00A53B01" w:rsidRDefault="004B6E45" w:rsidP="00A53B0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petitioning party</w:t>
      </w:r>
      <w:r w:rsidR="00A53B01" w:rsidRPr="00A53B01">
        <w:rPr>
          <w:rFonts w:ascii="Cambria" w:hAnsi="Cambria"/>
          <w:sz w:val="20"/>
          <w:szCs w:val="20"/>
        </w:rPr>
        <w:t xml:space="preserve"> argues that the SBS had never challenged the validity of the resolutions issued in favor of the alleged victim. However, in 2004, the Pension Standardization Office</w:t>
      </w:r>
      <w:r w:rsidR="00A53B01">
        <w:rPr>
          <w:rStyle w:val="FootnoteReference"/>
          <w:rFonts w:ascii="Cambria" w:hAnsi="Cambria"/>
          <w:sz w:val="20"/>
          <w:szCs w:val="20"/>
        </w:rPr>
        <w:footnoteReference w:id="10"/>
      </w:r>
      <w:r w:rsidR="00A53B01" w:rsidRPr="00A53B01">
        <w:rPr>
          <w:rFonts w:ascii="Cambria" w:hAnsi="Cambria"/>
          <w:sz w:val="20"/>
          <w:szCs w:val="20"/>
        </w:rPr>
        <w:t xml:space="preserve"> (</w:t>
      </w:r>
      <w:r w:rsidR="00A53B01" w:rsidRPr="00A53B01">
        <w:rPr>
          <w:rFonts w:ascii="Cambria" w:hAnsi="Cambria"/>
          <w:i/>
          <w:sz w:val="20"/>
          <w:szCs w:val="20"/>
        </w:rPr>
        <w:t>Oficina de Normalización Previsional</w:t>
      </w:r>
      <w:r w:rsidR="00A53B01" w:rsidRPr="00A53B01">
        <w:rPr>
          <w:rFonts w:ascii="Cambria" w:hAnsi="Cambria"/>
          <w:sz w:val="20"/>
          <w:szCs w:val="20"/>
        </w:rPr>
        <w:t>, “ONP”), and then the SBS—ONP’s legal successor—appealed the resolutions on the grounds that Mr. Figueroa’s enrollment in the SBS pension system and, hence, the resolution on his entitlement to an unemployment insurance were irregular. He alleges that</w:t>
      </w:r>
      <w:r w:rsidR="00601284">
        <w:rPr>
          <w:rFonts w:ascii="Cambria" w:hAnsi="Cambria"/>
          <w:sz w:val="20"/>
          <w:szCs w:val="20"/>
        </w:rPr>
        <w:t>,</w:t>
      </w:r>
      <w:r w:rsidR="00A53B01" w:rsidRPr="00A53B01">
        <w:rPr>
          <w:rFonts w:ascii="Cambria" w:hAnsi="Cambria"/>
          <w:sz w:val="20"/>
          <w:szCs w:val="20"/>
        </w:rPr>
        <w:t xml:space="preserve"> in the appeal</w:t>
      </w:r>
      <w:r w:rsidR="00601284">
        <w:rPr>
          <w:rFonts w:ascii="Cambria" w:hAnsi="Cambria"/>
          <w:sz w:val="20"/>
          <w:szCs w:val="20"/>
        </w:rPr>
        <w:t>,</w:t>
      </w:r>
      <w:r w:rsidR="00A53B01" w:rsidRPr="00A53B01">
        <w:rPr>
          <w:rFonts w:ascii="Cambria" w:hAnsi="Cambria"/>
          <w:sz w:val="20"/>
          <w:szCs w:val="20"/>
        </w:rPr>
        <w:t xml:space="preserve"> the SBS sought that Mr. Figueroa “return the full amount received for pensions,” although it had not paid him anything. The petitioner claims that the</w:t>
      </w:r>
      <w:r>
        <w:rPr>
          <w:rFonts w:ascii="Cambria" w:hAnsi="Cambria"/>
          <w:sz w:val="20"/>
          <w:szCs w:val="20"/>
        </w:rPr>
        <w:t xml:space="preserve"> Transitional</w:t>
      </w:r>
      <w:r w:rsidR="00A53B01" w:rsidRPr="00A53B01">
        <w:rPr>
          <w:rFonts w:ascii="Cambria" w:hAnsi="Cambria"/>
          <w:sz w:val="20"/>
          <w:szCs w:val="20"/>
        </w:rPr>
        <w:t xml:space="preserve"> Constitutional and Social</w:t>
      </w:r>
      <w:r>
        <w:rPr>
          <w:rFonts w:ascii="Cambria" w:hAnsi="Cambria"/>
          <w:sz w:val="20"/>
          <w:szCs w:val="20"/>
        </w:rPr>
        <w:t xml:space="preserve"> Chamber</w:t>
      </w:r>
      <w:r w:rsidR="00A53B01" w:rsidRPr="00A53B01">
        <w:rPr>
          <w:rFonts w:ascii="Cambria" w:hAnsi="Cambria"/>
          <w:sz w:val="20"/>
          <w:szCs w:val="20"/>
        </w:rPr>
        <w:t xml:space="preserve"> of the Supreme Court of Justice settled the appeal proceedings by declaring the alleged victim’s statute of limitations exception admissible.</w:t>
      </w:r>
      <w:r w:rsidR="004F7A67">
        <w:rPr>
          <w:rFonts w:ascii="Cambria" w:hAnsi="Cambria"/>
          <w:sz w:val="20"/>
          <w:szCs w:val="20"/>
        </w:rPr>
        <w:t xml:space="preserve"> They argue that this decision constitutes a </w:t>
      </w:r>
      <w:r w:rsidR="004F7A67" w:rsidRPr="00FD694F">
        <w:rPr>
          <w:rFonts w:ascii="Cambria" w:hAnsi="Cambria"/>
          <w:i/>
          <w:sz w:val="20"/>
          <w:szCs w:val="20"/>
        </w:rPr>
        <w:t>res judicata</w:t>
      </w:r>
      <w:r w:rsidR="004F7A67">
        <w:rPr>
          <w:rFonts w:ascii="Cambria" w:hAnsi="Cambria"/>
          <w:sz w:val="20"/>
          <w:szCs w:val="20"/>
        </w:rPr>
        <w:t xml:space="preserve"> ruling on the alleged nullity of the resolutions, because of which their validity can no longer be questioned. </w:t>
      </w:r>
    </w:p>
    <w:p w14:paraId="4E50C82E" w14:textId="44EC6422" w:rsidR="00A53B01" w:rsidRDefault="00A53B01" w:rsidP="00A53B0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53B01">
        <w:rPr>
          <w:rFonts w:ascii="Cambria" w:hAnsi="Cambria"/>
          <w:sz w:val="20"/>
          <w:szCs w:val="20"/>
        </w:rPr>
        <w:t xml:space="preserve">According to the petition, the alleged victim filed an amparo action against the SBS for lack of payment of his unemployment insurance. The trial court </w:t>
      </w:r>
      <w:r w:rsidR="00601284">
        <w:rPr>
          <w:rFonts w:ascii="Cambria" w:hAnsi="Cambria"/>
          <w:sz w:val="20"/>
          <w:szCs w:val="20"/>
        </w:rPr>
        <w:t>admitted t</w:t>
      </w:r>
      <w:r w:rsidRPr="00A53B01">
        <w:rPr>
          <w:rFonts w:ascii="Cambria" w:hAnsi="Cambria"/>
          <w:sz w:val="20"/>
          <w:szCs w:val="20"/>
        </w:rPr>
        <w:t xml:space="preserve">he remedy on considering the expiration of the period for an </w:t>
      </w:r>
      <w:r w:rsidRPr="00601284">
        <w:rPr>
          <w:rFonts w:ascii="Cambria" w:hAnsi="Cambria"/>
          <w:i/>
          <w:sz w:val="20"/>
          <w:szCs w:val="20"/>
        </w:rPr>
        <w:t>ex officio</w:t>
      </w:r>
      <w:r w:rsidRPr="00A53B01">
        <w:rPr>
          <w:rFonts w:ascii="Cambria" w:hAnsi="Cambria"/>
          <w:sz w:val="20"/>
          <w:szCs w:val="20"/>
        </w:rPr>
        <w:t xml:space="preserve"> annulment of the resolutions, ruling that the above non-payment violated the alleged victim’s right to social security. Later, the SBS appealed the decision. The Fourth Civil Division of the Superior </w:t>
      </w:r>
      <w:r w:rsidRPr="00A53B01">
        <w:rPr>
          <w:rFonts w:ascii="Cambria" w:hAnsi="Cambria"/>
          <w:sz w:val="20"/>
          <w:szCs w:val="20"/>
        </w:rPr>
        <w:lastRenderedPageBreak/>
        <w:t>Court of Justice of Lima revoked the lower</w:t>
      </w:r>
      <w:r w:rsidR="004A489E">
        <w:rPr>
          <w:rFonts w:ascii="Cambria" w:hAnsi="Cambria"/>
          <w:sz w:val="20"/>
          <w:szCs w:val="20"/>
        </w:rPr>
        <w:t xml:space="preserve"> </w:t>
      </w:r>
      <w:r w:rsidR="00CE6483">
        <w:rPr>
          <w:rFonts w:ascii="Cambria" w:hAnsi="Cambria"/>
          <w:sz w:val="20"/>
          <w:szCs w:val="20"/>
        </w:rPr>
        <w:t>court’s decision</w:t>
      </w:r>
      <w:r w:rsidRPr="00A53B01">
        <w:rPr>
          <w:rFonts w:ascii="Cambria" w:hAnsi="Cambria"/>
          <w:sz w:val="20"/>
          <w:szCs w:val="20"/>
        </w:rPr>
        <w:t>.</w:t>
      </w:r>
      <w:r w:rsidR="00CE6483">
        <w:rPr>
          <w:rStyle w:val="FootnoteReference"/>
          <w:rFonts w:ascii="Cambria" w:hAnsi="Cambria"/>
          <w:sz w:val="20"/>
          <w:szCs w:val="20"/>
        </w:rPr>
        <w:footnoteReference w:id="11"/>
      </w:r>
      <w:r w:rsidRPr="00A53B01">
        <w:rPr>
          <w:rFonts w:ascii="Cambria" w:hAnsi="Cambria"/>
          <w:sz w:val="20"/>
          <w:szCs w:val="20"/>
        </w:rPr>
        <w:t xml:space="preserve"> Therefore, Mr. Figueroa Ávila presented a constitutional remedy, but the court dismissed it.</w:t>
      </w:r>
      <w:r>
        <w:rPr>
          <w:rStyle w:val="FootnoteReference"/>
          <w:rFonts w:ascii="Cambria" w:hAnsi="Cambria"/>
          <w:sz w:val="20"/>
          <w:szCs w:val="20"/>
        </w:rPr>
        <w:footnoteReference w:id="12"/>
      </w:r>
      <w:r w:rsidR="00233ED9">
        <w:rPr>
          <w:rFonts w:ascii="Cambria" w:hAnsi="Cambria"/>
          <w:sz w:val="20"/>
          <w:szCs w:val="20"/>
        </w:rPr>
        <w:t xml:space="preserve"> </w:t>
      </w:r>
    </w:p>
    <w:p w14:paraId="1A3F42D4" w14:textId="1580586D" w:rsidR="00A53B01" w:rsidRPr="006318B2" w:rsidRDefault="00A53B01" w:rsidP="00A53B0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53B01">
        <w:rPr>
          <w:rFonts w:ascii="Cambria" w:hAnsi="Cambria"/>
          <w:sz w:val="20"/>
          <w:szCs w:val="20"/>
        </w:rPr>
        <w:t xml:space="preserve">The petition further states that, later and </w:t>
      </w:r>
      <w:r w:rsidR="00FD694F">
        <w:rPr>
          <w:rFonts w:ascii="Cambria" w:hAnsi="Cambria"/>
          <w:sz w:val="20"/>
          <w:szCs w:val="20"/>
        </w:rPr>
        <w:t xml:space="preserve">with base on the favorable ruling which rejected </w:t>
      </w:r>
      <w:r w:rsidRPr="00A53B01">
        <w:rPr>
          <w:rFonts w:ascii="Cambria" w:hAnsi="Cambria"/>
          <w:sz w:val="20"/>
          <w:szCs w:val="20"/>
        </w:rPr>
        <w:t xml:space="preserve">the SBS </w:t>
      </w:r>
      <w:r w:rsidR="00601284">
        <w:rPr>
          <w:rFonts w:ascii="Cambria" w:hAnsi="Cambria"/>
          <w:sz w:val="20"/>
          <w:szCs w:val="20"/>
        </w:rPr>
        <w:t>appeal against</w:t>
      </w:r>
      <w:r w:rsidRPr="00A53B01">
        <w:rPr>
          <w:rFonts w:ascii="Cambria" w:hAnsi="Cambria"/>
          <w:sz w:val="20"/>
          <w:szCs w:val="20"/>
        </w:rPr>
        <w:t xml:space="preserve"> the resolutions recognizing his rights</w:t>
      </w:r>
      <w:r w:rsidR="00FD694F">
        <w:rPr>
          <w:rFonts w:ascii="Cambria" w:hAnsi="Cambria"/>
          <w:sz w:val="20"/>
          <w:szCs w:val="20"/>
        </w:rPr>
        <w:t>,</w:t>
      </w:r>
      <w:r w:rsidRPr="00A53B01">
        <w:rPr>
          <w:rFonts w:ascii="Cambria" w:hAnsi="Cambria"/>
          <w:sz w:val="20"/>
          <w:szCs w:val="20"/>
        </w:rPr>
        <w:t xml:space="preserve"> </w:t>
      </w:r>
      <w:r w:rsidR="00601284">
        <w:rPr>
          <w:rFonts w:ascii="Cambria" w:hAnsi="Cambria"/>
          <w:sz w:val="20"/>
          <w:szCs w:val="20"/>
        </w:rPr>
        <w:t>Mr. Figueroa</w:t>
      </w:r>
      <w:r w:rsidRPr="00A53B01">
        <w:rPr>
          <w:rFonts w:ascii="Cambria" w:hAnsi="Cambria"/>
          <w:sz w:val="20"/>
          <w:szCs w:val="20"/>
        </w:rPr>
        <w:t xml:space="preserve"> lodged a mandamus</w:t>
      </w:r>
      <w:r w:rsidR="00FD694F">
        <w:rPr>
          <w:rFonts w:ascii="Cambria" w:hAnsi="Cambria"/>
          <w:sz w:val="20"/>
          <w:szCs w:val="20"/>
        </w:rPr>
        <w:t xml:space="preserve"> petition against the SBS officer in contempt</w:t>
      </w:r>
      <w:r w:rsidRPr="00A53B01">
        <w:rPr>
          <w:rFonts w:ascii="Cambria" w:hAnsi="Cambria"/>
          <w:sz w:val="20"/>
          <w:szCs w:val="20"/>
        </w:rPr>
        <w:t xml:space="preserve">. However, it indicates that the two courts of justice that heard the case dismissed the petition. Then, he filed another constitutional remedy for the violation of the </w:t>
      </w:r>
      <w:r w:rsidRPr="00FE3BF6">
        <w:rPr>
          <w:rFonts w:ascii="Cambria" w:hAnsi="Cambria"/>
          <w:i/>
          <w:sz w:val="20"/>
          <w:szCs w:val="20"/>
        </w:rPr>
        <w:t>res judicata</w:t>
      </w:r>
      <w:r w:rsidRPr="00A53B01">
        <w:rPr>
          <w:rFonts w:ascii="Cambria" w:hAnsi="Cambria"/>
          <w:sz w:val="20"/>
          <w:szCs w:val="20"/>
        </w:rPr>
        <w:t xml:space="preserve"> principle, but the Constitutional Court dismissed it on the grounds that it had already ruled on that matter. Finally, the alleged victim appealed the Constitutional Court’s resolution, yet the remedy was found inadmissible on the grounds that decisions by the Constitutional Court may not be </w:t>
      </w:r>
      <w:r w:rsidR="00963991">
        <w:rPr>
          <w:rFonts w:ascii="Cambria" w:hAnsi="Cambria"/>
          <w:sz w:val="20"/>
          <w:szCs w:val="20"/>
        </w:rPr>
        <w:t>challenged</w:t>
      </w:r>
      <w:r w:rsidRPr="00A53B01">
        <w:rPr>
          <w:rFonts w:ascii="Cambria" w:hAnsi="Cambria"/>
          <w:sz w:val="20"/>
          <w:szCs w:val="20"/>
        </w:rPr>
        <w:t>. According to the petition, he insisted by submitting a written petition seeking the court’s annulment of the judgment; but it replied with a warning that sanctions would apply unless he stopped filing remedies aiming at the same goal.</w:t>
      </w:r>
      <w:r w:rsidR="00233ED9">
        <w:rPr>
          <w:rFonts w:ascii="Cambria" w:hAnsi="Cambria"/>
          <w:sz w:val="20"/>
          <w:szCs w:val="20"/>
        </w:rPr>
        <w:t xml:space="preserve"> </w:t>
      </w:r>
    </w:p>
    <w:p w14:paraId="7D0427D1" w14:textId="77777777" w:rsidR="00F621C3" w:rsidRPr="000B6B7A" w:rsidRDefault="00F621C3" w:rsidP="00F621C3">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001F1902" w:rsidRPr="000B6B7A">
        <w:rPr>
          <w:rFonts w:asciiTheme="majorHAnsi" w:hAnsiTheme="majorHAnsi"/>
          <w:b/>
          <w:bCs/>
          <w:sz w:val="20"/>
          <w:szCs w:val="20"/>
        </w:rPr>
        <w:t xml:space="preserve">ANALYSIS OF </w:t>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38A145D1" w14:textId="7111616B" w:rsidR="00A53B01" w:rsidRPr="00A53B01" w:rsidRDefault="00A53B01" w:rsidP="00A53B0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53B01">
        <w:rPr>
          <w:rFonts w:ascii="Cambria" w:hAnsi="Cambria"/>
          <w:sz w:val="20"/>
          <w:szCs w:val="20"/>
        </w:rPr>
        <w:t>In the initial petition, the petitioner states that he considered that domestic remedies were exhausted with the Constitutional Court’s dismissal of the alleged victim’s first constitutional remedy, a decision notified on April 18, 2007. Later, he informed of subsequent remedies, all of which were decided contrary to his interests—the last decision was the Constitutional Court’s resolution of June 14, 2011</w:t>
      </w:r>
      <w:r w:rsidR="00E93548">
        <w:rPr>
          <w:rFonts w:ascii="Cambria" w:hAnsi="Cambria"/>
          <w:sz w:val="20"/>
          <w:szCs w:val="20"/>
        </w:rPr>
        <w:t>,</w:t>
      </w:r>
      <w:r w:rsidRPr="00A53B01">
        <w:rPr>
          <w:rFonts w:ascii="Cambria" w:hAnsi="Cambria"/>
          <w:sz w:val="20"/>
          <w:szCs w:val="20"/>
        </w:rPr>
        <w:t xml:space="preserve"> regarding the alleged victim’s appeal for annulment.</w:t>
      </w:r>
      <w:r w:rsidR="00233ED9">
        <w:rPr>
          <w:rFonts w:ascii="Cambria" w:hAnsi="Cambria"/>
          <w:sz w:val="20"/>
          <w:szCs w:val="20"/>
        </w:rPr>
        <w:t xml:space="preserve"> </w:t>
      </w:r>
    </w:p>
    <w:p w14:paraId="1E003187" w14:textId="77FA8656" w:rsidR="00A53B01" w:rsidRPr="00A53B01" w:rsidRDefault="00A53B01" w:rsidP="00A53B0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53B01">
        <w:rPr>
          <w:rFonts w:ascii="Cambria" w:hAnsi="Cambria"/>
          <w:sz w:val="20"/>
          <w:szCs w:val="20"/>
        </w:rPr>
        <w:t xml:space="preserve">The State contends that </w:t>
      </w:r>
      <w:r w:rsidR="008F203E">
        <w:rPr>
          <w:rFonts w:ascii="Cambria" w:hAnsi="Cambria"/>
          <w:sz w:val="20"/>
          <w:szCs w:val="20"/>
        </w:rPr>
        <w:t>there is nothing to indicate that the alleged victim filed</w:t>
      </w:r>
      <w:r w:rsidRPr="00A53B01">
        <w:rPr>
          <w:rFonts w:ascii="Cambria" w:hAnsi="Cambria"/>
          <w:sz w:val="20"/>
          <w:szCs w:val="20"/>
        </w:rPr>
        <w:t xml:space="preserve"> a claim for compensation. It argues that the domestic legal system foresees that remedy and that </w:t>
      </w:r>
      <w:r w:rsidR="008F203E">
        <w:rPr>
          <w:rFonts w:ascii="Cambria" w:hAnsi="Cambria"/>
          <w:sz w:val="20"/>
          <w:szCs w:val="20"/>
        </w:rPr>
        <w:t>it</w:t>
      </w:r>
      <w:r w:rsidRPr="00A53B01">
        <w:rPr>
          <w:rFonts w:ascii="Cambria" w:hAnsi="Cambria"/>
          <w:sz w:val="20"/>
          <w:szCs w:val="20"/>
        </w:rPr>
        <w:t xml:space="preserve"> would have allowed him to claim compensation for the damages alleged in the complaint </w:t>
      </w:r>
      <w:r w:rsidR="008F203E">
        <w:rPr>
          <w:rFonts w:ascii="Cambria" w:hAnsi="Cambria"/>
          <w:sz w:val="20"/>
          <w:szCs w:val="20"/>
        </w:rPr>
        <w:t>filed with the I</w:t>
      </w:r>
      <w:r w:rsidRPr="00A53B01">
        <w:rPr>
          <w:rFonts w:ascii="Cambria" w:hAnsi="Cambria"/>
          <w:sz w:val="20"/>
          <w:szCs w:val="20"/>
        </w:rPr>
        <w:t xml:space="preserve">nter-American system. Therefore, the State deems that, considering the non-exhaustion of a claim for compensation at the </w:t>
      </w:r>
      <w:r w:rsidR="00E93548">
        <w:rPr>
          <w:rFonts w:ascii="Cambria" w:hAnsi="Cambria"/>
          <w:sz w:val="20"/>
          <w:szCs w:val="20"/>
        </w:rPr>
        <w:t>national</w:t>
      </w:r>
      <w:r w:rsidRPr="00A53B01">
        <w:rPr>
          <w:rFonts w:ascii="Cambria" w:hAnsi="Cambria"/>
          <w:sz w:val="20"/>
          <w:szCs w:val="20"/>
        </w:rPr>
        <w:t xml:space="preserve"> level, the Commission should dismiss this petition, for it does not fulfill the requirement established in Article 46.1(a) of the American Convention.</w:t>
      </w:r>
      <w:r w:rsidR="00233ED9">
        <w:rPr>
          <w:rFonts w:ascii="Cambria" w:hAnsi="Cambria"/>
          <w:sz w:val="20"/>
          <w:szCs w:val="20"/>
        </w:rPr>
        <w:t xml:space="preserve"> </w:t>
      </w:r>
    </w:p>
    <w:p w14:paraId="23787770" w14:textId="42D340D4" w:rsidR="00F621C3" w:rsidRPr="000B6B7A" w:rsidRDefault="00A53B01" w:rsidP="00A53B0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53B01">
        <w:rPr>
          <w:rFonts w:ascii="Cambria" w:hAnsi="Cambria"/>
          <w:sz w:val="20"/>
          <w:szCs w:val="20"/>
        </w:rPr>
        <w:t>The Commission believes that there is nothing to indicate that a claim for compensation for damages is an appropriate and effective remedy to settle the matter of this petition, for the Constitutional Court has already dismissed the claim and warned to apply sanctions if similar claims were filed. As a result, the Commission deems that domestic remedies were exhausted with the di</w:t>
      </w:r>
      <w:r w:rsidR="00233ED9">
        <w:rPr>
          <w:rFonts w:ascii="Cambria" w:hAnsi="Cambria"/>
          <w:sz w:val="20"/>
          <w:szCs w:val="20"/>
        </w:rPr>
        <w:t>s</w:t>
      </w:r>
      <w:r w:rsidRPr="00A53B01">
        <w:rPr>
          <w:rFonts w:ascii="Cambria" w:hAnsi="Cambria"/>
          <w:sz w:val="20"/>
          <w:szCs w:val="20"/>
        </w:rPr>
        <w:t>missal of the alleged victim’s appeal before the Constitutional Court. Considering that the resolution was issued on June 14, 2011</w:t>
      </w:r>
      <w:r w:rsidR="00E93548">
        <w:rPr>
          <w:rFonts w:ascii="Cambria" w:hAnsi="Cambria"/>
          <w:sz w:val="20"/>
          <w:szCs w:val="20"/>
        </w:rPr>
        <w:t>,</w:t>
      </w:r>
      <w:r w:rsidRPr="00A53B01">
        <w:rPr>
          <w:rFonts w:ascii="Cambria" w:hAnsi="Cambria"/>
          <w:sz w:val="20"/>
          <w:szCs w:val="20"/>
        </w:rPr>
        <w:t xml:space="preserve"> and the petition was filed on October 18, 2007, domestic remedies were exhausted while the petition was under study at the Commission. According to the doctrine of the IACHR, the analysis of the requirements set forth in Article 46.1(b) of the Convention should be done in light of the situation as of the moment the decision is issued regarding the admissibility of the claim.</w:t>
      </w:r>
      <w:r>
        <w:rPr>
          <w:rStyle w:val="FootnoteReference"/>
          <w:rFonts w:ascii="Cambria" w:hAnsi="Cambria"/>
          <w:sz w:val="20"/>
          <w:szCs w:val="20"/>
        </w:rPr>
        <w:footnoteReference w:id="13"/>
      </w:r>
      <w:r w:rsidR="00233ED9">
        <w:rPr>
          <w:rFonts w:ascii="Cambria" w:hAnsi="Cambria"/>
          <w:sz w:val="20"/>
          <w:szCs w:val="20"/>
        </w:rPr>
        <w:t xml:space="preserve"> </w:t>
      </w:r>
    </w:p>
    <w:p w14:paraId="5F8AB690" w14:textId="77777777" w:rsidR="00F621C3" w:rsidRPr="000B6B7A" w:rsidRDefault="00F621C3" w:rsidP="00F621C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r>
      <w:r w:rsidR="001F1902" w:rsidRPr="000B6B7A">
        <w:rPr>
          <w:rFonts w:asciiTheme="majorHAnsi" w:hAnsiTheme="majorHAnsi"/>
          <w:b/>
          <w:bCs/>
          <w:sz w:val="20"/>
          <w:szCs w:val="20"/>
        </w:rPr>
        <w:t xml:space="preserve">ANALYSIS OF </w:t>
      </w:r>
      <w:r w:rsidRPr="000B6B7A">
        <w:rPr>
          <w:rFonts w:asciiTheme="majorHAnsi" w:hAnsiTheme="majorHAnsi"/>
          <w:b/>
          <w:bCs/>
          <w:sz w:val="20"/>
          <w:szCs w:val="20"/>
        </w:rPr>
        <w:t>COLORABLE CLAIM</w:t>
      </w:r>
    </w:p>
    <w:p w14:paraId="6100993C" w14:textId="7AF8F6F4" w:rsidR="008F203E" w:rsidRDefault="00A53B01" w:rsidP="00A53B0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53B01">
        <w:rPr>
          <w:rFonts w:ascii="Cambria" w:hAnsi="Cambria"/>
          <w:sz w:val="20"/>
          <w:szCs w:val="20"/>
        </w:rPr>
        <w:t xml:space="preserve">According to the petition, the alleged victim’s rights were violated </w:t>
      </w:r>
      <w:r w:rsidR="004660EF">
        <w:rPr>
          <w:rFonts w:ascii="Cambria" w:hAnsi="Cambria"/>
          <w:sz w:val="20"/>
          <w:szCs w:val="20"/>
        </w:rPr>
        <w:t>given</w:t>
      </w:r>
      <w:r w:rsidRPr="00A53B01">
        <w:rPr>
          <w:rFonts w:ascii="Cambria" w:hAnsi="Cambria"/>
          <w:sz w:val="20"/>
          <w:szCs w:val="20"/>
        </w:rPr>
        <w:t xml:space="preserve"> the State’s failure to enforce his pension right, legally recognized in resolutions that are still valid and in force. </w:t>
      </w:r>
      <w:r w:rsidR="008F203E">
        <w:rPr>
          <w:rFonts w:ascii="Cambria" w:hAnsi="Cambria"/>
          <w:sz w:val="20"/>
          <w:szCs w:val="20"/>
        </w:rPr>
        <w:t xml:space="preserve">Additionality, because the judicial authorities </w:t>
      </w:r>
      <w:r w:rsidR="00522C1F">
        <w:rPr>
          <w:rFonts w:ascii="Cambria" w:hAnsi="Cambria"/>
          <w:sz w:val="20"/>
          <w:szCs w:val="20"/>
        </w:rPr>
        <w:t xml:space="preserve">have violated </w:t>
      </w:r>
      <w:r w:rsidR="00522C1F" w:rsidRPr="00522C1F">
        <w:rPr>
          <w:rFonts w:ascii="Cambria" w:hAnsi="Cambria"/>
          <w:i/>
          <w:sz w:val="20"/>
          <w:szCs w:val="20"/>
        </w:rPr>
        <w:t>res judicata</w:t>
      </w:r>
      <w:r w:rsidR="00522C1F">
        <w:rPr>
          <w:rFonts w:ascii="Cambria" w:hAnsi="Cambria"/>
          <w:i/>
          <w:sz w:val="20"/>
          <w:szCs w:val="20"/>
        </w:rPr>
        <w:t xml:space="preserve"> </w:t>
      </w:r>
      <w:r w:rsidR="00522C1F">
        <w:rPr>
          <w:rFonts w:ascii="Cambria" w:hAnsi="Cambria"/>
          <w:sz w:val="20"/>
          <w:szCs w:val="20"/>
        </w:rPr>
        <w:t xml:space="preserve">and deviated from the jurisdiction established in the law by invoking a supposed nullity of the resolutions as ground for dismissing his remedies, even though the competent domestic tribunals had already ruled at the </w:t>
      </w:r>
      <w:r w:rsidR="00522C1F">
        <w:rPr>
          <w:rFonts w:ascii="Cambria" w:hAnsi="Cambria"/>
          <w:i/>
          <w:sz w:val="20"/>
          <w:szCs w:val="20"/>
        </w:rPr>
        <w:t>res judicata</w:t>
      </w:r>
      <w:r w:rsidR="00522C1F">
        <w:rPr>
          <w:rFonts w:ascii="Cambria" w:hAnsi="Cambria"/>
          <w:sz w:val="20"/>
          <w:szCs w:val="20"/>
        </w:rPr>
        <w:t xml:space="preserve"> level that the nullity appeal was barred</w:t>
      </w:r>
      <w:r w:rsidR="008E21FE">
        <w:rPr>
          <w:rFonts w:ascii="Cambria" w:hAnsi="Cambria"/>
          <w:sz w:val="20"/>
          <w:szCs w:val="20"/>
        </w:rPr>
        <w:t xml:space="preserve"> by the statute of limitations. It points out that the ruling from the Constitutional Court which rejected the alleged </w:t>
      </w:r>
      <w:r w:rsidR="008E21FE">
        <w:rPr>
          <w:rFonts w:ascii="Cambria" w:hAnsi="Cambria"/>
          <w:sz w:val="20"/>
          <w:szCs w:val="20"/>
        </w:rPr>
        <w:lastRenderedPageBreak/>
        <w:t xml:space="preserve">victim’s constitutional remedy did not </w:t>
      </w:r>
      <w:r w:rsidR="0024461A">
        <w:rPr>
          <w:rFonts w:ascii="Cambria" w:hAnsi="Cambria"/>
          <w:sz w:val="20"/>
          <w:szCs w:val="20"/>
        </w:rPr>
        <w:t xml:space="preserve">revoke the resolutions nor the Supreme Court’s ruling that had been favorable to the alleged victim; highlighting that it was not within the Constitutional Court’s powers to </w:t>
      </w:r>
      <w:r w:rsidR="00DC1F21">
        <w:rPr>
          <w:rFonts w:ascii="Cambria" w:hAnsi="Cambria"/>
          <w:sz w:val="20"/>
          <w:szCs w:val="20"/>
        </w:rPr>
        <w:t>revoke an administrative act while deciding on said constitutional remedy.</w:t>
      </w:r>
    </w:p>
    <w:p w14:paraId="08685CCE" w14:textId="2C4A9B13" w:rsidR="00A53B01" w:rsidRPr="00A53B01" w:rsidRDefault="00A53B01" w:rsidP="00A53B0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53B01">
        <w:rPr>
          <w:rFonts w:ascii="Cambria" w:hAnsi="Cambria"/>
          <w:sz w:val="20"/>
          <w:szCs w:val="20"/>
        </w:rPr>
        <w:t xml:space="preserve">It </w:t>
      </w:r>
      <w:r w:rsidR="00DC1F21">
        <w:rPr>
          <w:rFonts w:ascii="Cambria" w:hAnsi="Cambria"/>
          <w:sz w:val="20"/>
          <w:szCs w:val="20"/>
        </w:rPr>
        <w:t>also alleges that, in any case, the alleged nullity of the resolutions is groundless.</w:t>
      </w:r>
      <w:r w:rsidRPr="00A53B01">
        <w:rPr>
          <w:rFonts w:ascii="Cambria" w:hAnsi="Cambria"/>
          <w:sz w:val="20"/>
          <w:szCs w:val="20"/>
        </w:rPr>
        <w:t xml:space="preserve"> </w:t>
      </w:r>
      <w:r w:rsidR="00DC1F21">
        <w:rPr>
          <w:rFonts w:ascii="Cambria" w:hAnsi="Cambria"/>
          <w:sz w:val="20"/>
          <w:szCs w:val="20"/>
        </w:rPr>
        <w:t xml:space="preserve">It indicates </w:t>
      </w:r>
      <w:r w:rsidRPr="00A53B01">
        <w:rPr>
          <w:rFonts w:ascii="Cambria" w:hAnsi="Cambria"/>
          <w:sz w:val="20"/>
          <w:szCs w:val="20"/>
        </w:rPr>
        <w:t>that the alleged victim fulfilled the requirements of Law 24366 when the resolution by which he was enrolled in the Pension System under Decree Law 20530 was passed (to be a state employee with seven years or more of uninterrupted work in the public sector</w:t>
      </w:r>
      <w:r w:rsidR="008509B9">
        <w:rPr>
          <w:rFonts w:ascii="Cambria" w:hAnsi="Cambria"/>
          <w:sz w:val="20"/>
          <w:szCs w:val="20"/>
        </w:rPr>
        <w:t xml:space="preserve">). Likewise, it states </w:t>
      </w:r>
      <w:r w:rsidRPr="00A53B01">
        <w:rPr>
          <w:rFonts w:ascii="Cambria" w:hAnsi="Cambria"/>
          <w:sz w:val="20"/>
          <w:szCs w:val="20"/>
        </w:rPr>
        <w:t xml:space="preserve">that the SBS and the Constitutional Court have deprived him of his right on the grounds of an extra requirement, “to be under the Law on Public Sector Employment on the effective date of the legal exception,” mentioned only in subsequent laws that do not apply to his case. </w:t>
      </w:r>
      <w:r w:rsidR="008509B9">
        <w:rPr>
          <w:rFonts w:ascii="Cambria" w:hAnsi="Cambria"/>
          <w:sz w:val="20"/>
          <w:szCs w:val="20"/>
        </w:rPr>
        <w:t>The petition further indicates</w:t>
      </w:r>
      <w:r w:rsidRPr="00A53B01">
        <w:rPr>
          <w:rFonts w:ascii="Cambria" w:hAnsi="Cambria"/>
          <w:sz w:val="20"/>
          <w:szCs w:val="20"/>
        </w:rPr>
        <w:t xml:space="preserve"> that, regardless of the pension reform, the alleged victim remained a state employee throughout his years of work at the SBS because this institution has always been a state body. The petitioner highlights that, after the discontinuance of the national social security fund, the National Pension System became the only pension system; that as a result</w:t>
      </w:r>
      <w:r w:rsidR="009F43FD">
        <w:rPr>
          <w:rFonts w:ascii="Cambria" w:hAnsi="Cambria"/>
          <w:sz w:val="20"/>
          <w:szCs w:val="20"/>
        </w:rPr>
        <w:t>,</w:t>
      </w:r>
      <w:r w:rsidRPr="00A53B01">
        <w:rPr>
          <w:rFonts w:ascii="Cambria" w:hAnsi="Cambria"/>
          <w:sz w:val="20"/>
          <w:szCs w:val="20"/>
        </w:rPr>
        <w:t xml:space="preserve"> the alleged victim’s admission to the latter did not aff</w:t>
      </w:r>
      <w:r w:rsidR="00567F6C">
        <w:rPr>
          <w:rFonts w:ascii="Cambria" w:hAnsi="Cambria"/>
          <w:sz w:val="20"/>
          <w:szCs w:val="20"/>
        </w:rPr>
        <w:t>ect his being a state employee.</w:t>
      </w:r>
      <w:r w:rsidR="00567F6C">
        <w:rPr>
          <w:rStyle w:val="FootnoteReference"/>
          <w:rFonts w:ascii="Cambria" w:hAnsi="Cambria"/>
          <w:sz w:val="20"/>
          <w:szCs w:val="20"/>
        </w:rPr>
        <w:footnoteReference w:id="14"/>
      </w:r>
    </w:p>
    <w:p w14:paraId="26BD0A87" w14:textId="646FDE94" w:rsidR="00A53B01" w:rsidRPr="00A53B01" w:rsidRDefault="00A53B01" w:rsidP="00A53B0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53B01">
        <w:rPr>
          <w:rFonts w:ascii="Cambria" w:hAnsi="Cambria"/>
          <w:sz w:val="20"/>
          <w:szCs w:val="20"/>
        </w:rPr>
        <w:t>According to the petition, only after two years of being dismissed from the SBS without receiving insurance was the alleged victim enrolled in the private pension system, as per the requirements of the law, when he began working at a private university. It is alleged that this is not incompatible with the alleged victim’s entitlement to a previously recognized insurance.</w:t>
      </w:r>
      <w:r w:rsidR="00233ED9">
        <w:rPr>
          <w:rFonts w:ascii="Cambria" w:hAnsi="Cambria"/>
          <w:sz w:val="20"/>
          <w:szCs w:val="20"/>
        </w:rPr>
        <w:t xml:space="preserve"> </w:t>
      </w:r>
    </w:p>
    <w:p w14:paraId="678A98F6" w14:textId="163E79AF" w:rsidR="00F621C3" w:rsidRDefault="00A53B01" w:rsidP="00A53B0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53B01">
        <w:rPr>
          <w:rFonts w:ascii="Cambria" w:hAnsi="Cambria"/>
          <w:sz w:val="20"/>
          <w:szCs w:val="20"/>
        </w:rPr>
        <w:t>The petitioner also claims that the State has violated the alleged victim’s right to equality because its denial to recognize Mr. Figueroa’s right to pension contradicts the previous criterion of the Constitutional Court and the judgment by the Inter-American Court of Human Rights on the “Five Pensioners” case.</w:t>
      </w:r>
      <w:r>
        <w:rPr>
          <w:rStyle w:val="FootnoteReference"/>
          <w:rFonts w:ascii="Cambria" w:hAnsi="Cambria"/>
          <w:sz w:val="20"/>
          <w:szCs w:val="20"/>
        </w:rPr>
        <w:footnoteReference w:id="15"/>
      </w:r>
      <w:r w:rsidRPr="00A53B01">
        <w:rPr>
          <w:rFonts w:ascii="Cambria" w:hAnsi="Cambria"/>
          <w:sz w:val="20"/>
          <w:szCs w:val="20"/>
        </w:rPr>
        <w:t xml:space="preserve"> He moreover alleges the violation of the alleged victim’s right to due process and judicial protection for two reasons. First, when the court revoked the amparo resolution favorable to Mr. Figueroa, it did not state the purported legal or factual errors by the trial court. Secondly, the mandamus petition was dismissed based on the Constitutional Court’s decision on the first constitutional remedy, although </w:t>
      </w:r>
      <w:r w:rsidR="00567F6C">
        <w:rPr>
          <w:rFonts w:ascii="Cambria" w:hAnsi="Cambria"/>
          <w:sz w:val="20"/>
          <w:szCs w:val="20"/>
        </w:rPr>
        <w:t xml:space="preserve">this decision had not revoke the </w:t>
      </w:r>
      <w:r w:rsidR="00567F6C">
        <w:rPr>
          <w:rFonts w:ascii="Cambria" w:hAnsi="Cambria"/>
          <w:i/>
          <w:sz w:val="20"/>
          <w:szCs w:val="20"/>
        </w:rPr>
        <w:t xml:space="preserve">res judicata </w:t>
      </w:r>
      <w:r w:rsidR="00774197">
        <w:rPr>
          <w:rFonts w:ascii="Cambria" w:hAnsi="Cambria"/>
          <w:sz w:val="20"/>
          <w:szCs w:val="20"/>
        </w:rPr>
        <w:t xml:space="preserve">level </w:t>
      </w:r>
      <w:r w:rsidR="00567F6C">
        <w:rPr>
          <w:rFonts w:ascii="Cambria" w:hAnsi="Cambria"/>
          <w:sz w:val="20"/>
          <w:szCs w:val="20"/>
        </w:rPr>
        <w:t>ruling referred to in the mandamus petition</w:t>
      </w:r>
      <w:r w:rsidRPr="00A53B01">
        <w:rPr>
          <w:rFonts w:ascii="Cambria" w:hAnsi="Cambria"/>
          <w:sz w:val="20"/>
          <w:szCs w:val="20"/>
        </w:rPr>
        <w:t xml:space="preserve">. Thirdly, the Constitutional Court decided on the second constitutional remedy without ruling on the claims at issue, including the alleged violation of the </w:t>
      </w:r>
      <w:r w:rsidRPr="00A53B01">
        <w:rPr>
          <w:rFonts w:ascii="Cambria" w:hAnsi="Cambria"/>
          <w:i/>
          <w:sz w:val="20"/>
          <w:szCs w:val="20"/>
        </w:rPr>
        <w:t>res judicata</w:t>
      </w:r>
      <w:r w:rsidRPr="00A53B01">
        <w:rPr>
          <w:rFonts w:ascii="Cambria" w:hAnsi="Cambria"/>
          <w:sz w:val="20"/>
          <w:szCs w:val="20"/>
        </w:rPr>
        <w:t xml:space="preserve"> principle.</w:t>
      </w:r>
      <w:r w:rsidR="00FF5974">
        <w:rPr>
          <w:rFonts w:ascii="Cambria" w:hAnsi="Cambria"/>
          <w:sz w:val="20"/>
          <w:szCs w:val="20"/>
        </w:rPr>
        <w:t xml:space="preserve"> </w:t>
      </w:r>
    </w:p>
    <w:p w14:paraId="6E7FEDE2" w14:textId="30E2D322" w:rsidR="00A53B01" w:rsidRPr="00A53B01" w:rsidRDefault="00A53B01" w:rsidP="00A53B0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53B01">
        <w:rPr>
          <w:rFonts w:ascii="Cambria" w:hAnsi="Cambria"/>
          <w:sz w:val="20"/>
          <w:szCs w:val="20"/>
        </w:rPr>
        <w:t xml:space="preserve">For its part, the State believes that this petition should be declared inadmissible under Article 47 of the American Convention, as the facts alleged do not establish human rights violations. It claims that Mr. Figueroa Ávila’s enrollment in the pension system under Decree Law No. 20530 was a mistake, for he did not meet the requirement of uninterrupted services in the public sector. </w:t>
      </w:r>
      <w:r w:rsidR="00601284">
        <w:rPr>
          <w:rFonts w:ascii="Cambria" w:hAnsi="Cambria"/>
          <w:sz w:val="20"/>
          <w:szCs w:val="20"/>
        </w:rPr>
        <w:t>The State</w:t>
      </w:r>
      <w:r w:rsidRPr="00A53B01">
        <w:rPr>
          <w:rFonts w:ascii="Cambria" w:hAnsi="Cambria"/>
          <w:sz w:val="20"/>
          <w:szCs w:val="20"/>
        </w:rPr>
        <w:t xml:space="preserve"> indicates that, after the pension reform of 1982, the alleged victim worked in the private sector; thus</w:t>
      </w:r>
      <w:r w:rsidR="00601284">
        <w:rPr>
          <w:rFonts w:ascii="Cambria" w:hAnsi="Cambria"/>
          <w:sz w:val="20"/>
          <w:szCs w:val="20"/>
        </w:rPr>
        <w:t>,</w:t>
      </w:r>
      <w:r w:rsidRPr="00A53B01">
        <w:rPr>
          <w:rFonts w:ascii="Cambria" w:hAnsi="Cambria"/>
          <w:sz w:val="20"/>
          <w:szCs w:val="20"/>
        </w:rPr>
        <w:t xml:space="preserve"> it stresses that services rendered under different laws on employment may not accumulate. It contends that the resolutions recognizing Mr. Figueroa’s pension coverage and his entitlement to an unemployment insurance are legally void under the applicable law. </w:t>
      </w:r>
      <w:r w:rsidR="00601284">
        <w:rPr>
          <w:rFonts w:ascii="Cambria" w:hAnsi="Cambria"/>
          <w:sz w:val="20"/>
          <w:szCs w:val="20"/>
        </w:rPr>
        <w:t>The State</w:t>
      </w:r>
      <w:r w:rsidRPr="00A53B01">
        <w:rPr>
          <w:rFonts w:ascii="Cambria" w:hAnsi="Cambria"/>
          <w:sz w:val="20"/>
          <w:szCs w:val="20"/>
        </w:rPr>
        <w:t xml:space="preserve"> </w:t>
      </w:r>
      <w:r w:rsidR="00601284">
        <w:rPr>
          <w:rFonts w:ascii="Cambria" w:hAnsi="Cambria"/>
          <w:sz w:val="20"/>
          <w:szCs w:val="20"/>
        </w:rPr>
        <w:t>claims</w:t>
      </w:r>
      <w:r w:rsidRPr="00A53B01">
        <w:rPr>
          <w:rFonts w:ascii="Cambria" w:hAnsi="Cambria"/>
          <w:sz w:val="20"/>
          <w:szCs w:val="20"/>
        </w:rPr>
        <w:t xml:space="preserve"> that since he worked at a private university and was enrolled in the private pension system, the alleged victim lost his former beneficiary status, as now he may not receive a pension from both systems.</w:t>
      </w:r>
      <w:r w:rsidR="00FF5974">
        <w:rPr>
          <w:rFonts w:ascii="Cambria" w:hAnsi="Cambria"/>
          <w:sz w:val="20"/>
          <w:szCs w:val="20"/>
        </w:rPr>
        <w:t xml:space="preserve"> </w:t>
      </w:r>
    </w:p>
    <w:p w14:paraId="04F6B3A6" w14:textId="73D86A63" w:rsidR="00A53B01" w:rsidRPr="00FF5974" w:rsidRDefault="00A53B01" w:rsidP="00E100C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F5974">
        <w:rPr>
          <w:rFonts w:ascii="Cambria" w:hAnsi="Cambria"/>
          <w:sz w:val="20"/>
          <w:szCs w:val="20"/>
        </w:rPr>
        <w:t>It indicates that the petitioner invokes rights from the Protocol of San Salvador and the American Declaration regarding which the Commission is not competent to rule upon—in the case of the latter, because the State has ratified the Convention.</w:t>
      </w:r>
      <w:r w:rsidR="00FF5974" w:rsidRPr="00FF5974">
        <w:rPr>
          <w:rFonts w:ascii="Cambria" w:hAnsi="Cambria"/>
          <w:sz w:val="20"/>
          <w:szCs w:val="20"/>
        </w:rPr>
        <w:t xml:space="preserve"> </w:t>
      </w:r>
      <w:r w:rsidRPr="00FF5974">
        <w:rPr>
          <w:rFonts w:ascii="Cambria" w:hAnsi="Cambria"/>
          <w:sz w:val="20"/>
          <w:szCs w:val="20"/>
        </w:rPr>
        <w:t xml:space="preserve">It argues that the </w:t>
      </w:r>
      <w:r w:rsidR="00FF5974" w:rsidRPr="00FF5974">
        <w:rPr>
          <w:rFonts w:ascii="Cambria" w:hAnsi="Cambria"/>
          <w:sz w:val="20"/>
          <w:szCs w:val="20"/>
        </w:rPr>
        <w:t xml:space="preserve">pension </w:t>
      </w:r>
      <w:r w:rsidRPr="00FF5974">
        <w:rPr>
          <w:rFonts w:ascii="Cambria" w:hAnsi="Cambria"/>
          <w:sz w:val="20"/>
          <w:szCs w:val="20"/>
        </w:rPr>
        <w:t>right the alleged victim claims is not recognized; that, consequently, it may not be considered within the right to property established in Article 21 of the American Convention.</w:t>
      </w:r>
      <w:r w:rsidR="00FF5974" w:rsidRPr="00FF5974">
        <w:rPr>
          <w:rFonts w:ascii="Cambria" w:hAnsi="Cambria"/>
          <w:sz w:val="20"/>
          <w:szCs w:val="20"/>
        </w:rPr>
        <w:t xml:space="preserve"> </w:t>
      </w:r>
      <w:r w:rsidRPr="00FF5974">
        <w:rPr>
          <w:rFonts w:ascii="Cambria" w:hAnsi="Cambria"/>
          <w:sz w:val="20"/>
          <w:szCs w:val="20"/>
        </w:rPr>
        <w:t>It repudiates the allegation that the decision on the alleged victim’s case differs from previous decisions on similar cases; therefore, it claims that it did not violate his right to equality before the law.</w:t>
      </w:r>
      <w:r w:rsidR="00FF5974">
        <w:rPr>
          <w:rFonts w:ascii="Cambria" w:hAnsi="Cambria"/>
          <w:sz w:val="20"/>
          <w:szCs w:val="20"/>
        </w:rPr>
        <w:t xml:space="preserve"> </w:t>
      </w:r>
    </w:p>
    <w:p w14:paraId="075688CD" w14:textId="6B14E390" w:rsidR="00A53B01" w:rsidRPr="00A53B01" w:rsidRDefault="00A53B01" w:rsidP="00A53B0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53B01">
        <w:rPr>
          <w:rFonts w:ascii="Cambria" w:hAnsi="Cambria"/>
          <w:sz w:val="20"/>
          <w:szCs w:val="20"/>
        </w:rPr>
        <w:lastRenderedPageBreak/>
        <w:t xml:space="preserve">It affirms that Mr. Figueroa Ávila had the opportunity to pursue all the remedies he deemed adequate and that all the decisions adopted regarding his pension rights were made pursuant to due process and his right of defense. It alleges that the petitioning party </w:t>
      </w:r>
      <w:r w:rsidR="005B772D" w:rsidRPr="00A53B01">
        <w:rPr>
          <w:rFonts w:ascii="Cambria" w:hAnsi="Cambria"/>
          <w:sz w:val="20"/>
          <w:szCs w:val="20"/>
        </w:rPr>
        <w:t>seeks</w:t>
      </w:r>
      <w:r w:rsidRPr="00A53B01">
        <w:rPr>
          <w:rFonts w:ascii="Cambria" w:hAnsi="Cambria"/>
          <w:sz w:val="20"/>
          <w:szCs w:val="20"/>
        </w:rPr>
        <w:t xml:space="preserve"> </w:t>
      </w:r>
      <w:r w:rsidR="005B772D">
        <w:rPr>
          <w:rFonts w:ascii="Cambria" w:hAnsi="Cambria"/>
          <w:sz w:val="20"/>
          <w:szCs w:val="20"/>
        </w:rPr>
        <w:t xml:space="preserve">that </w:t>
      </w:r>
      <w:r w:rsidRPr="00A53B01">
        <w:rPr>
          <w:rFonts w:ascii="Cambria" w:hAnsi="Cambria"/>
          <w:sz w:val="20"/>
          <w:szCs w:val="20"/>
        </w:rPr>
        <w:t>the Commission work as a court of appeal and review the decision by the Constitutional Court, out of sheer disagreement with the resolution.</w:t>
      </w:r>
      <w:r w:rsidR="00FF5974">
        <w:rPr>
          <w:rFonts w:ascii="Cambria" w:hAnsi="Cambria"/>
          <w:sz w:val="20"/>
          <w:szCs w:val="20"/>
        </w:rPr>
        <w:t xml:space="preserve"> </w:t>
      </w:r>
    </w:p>
    <w:p w14:paraId="1DCADB5E" w14:textId="50763B18" w:rsidR="00A53B01" w:rsidRPr="00A53B01" w:rsidRDefault="00A53B01" w:rsidP="00A53B0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53B01">
        <w:rPr>
          <w:rFonts w:ascii="Cambria" w:hAnsi="Cambria"/>
          <w:sz w:val="20"/>
          <w:szCs w:val="20"/>
        </w:rPr>
        <w:t xml:space="preserve"> The Commission considers that the facts alleged by the petitioner concerning a pension right recognized in favor of the alleged victim, which has not been enforced through domestic mechanisms, and the fact that state authorities have wrongfully and retroactively applied damaging norms, if proven, could </w:t>
      </w:r>
      <w:r w:rsidRPr="00516347">
        <w:rPr>
          <w:rFonts w:ascii="Cambria" w:hAnsi="Cambria"/>
          <w:i/>
          <w:sz w:val="20"/>
          <w:szCs w:val="20"/>
        </w:rPr>
        <w:t>prima facie</w:t>
      </w:r>
      <w:r w:rsidRPr="00A53B01">
        <w:rPr>
          <w:rFonts w:ascii="Cambria" w:hAnsi="Cambria"/>
          <w:sz w:val="20"/>
          <w:szCs w:val="20"/>
        </w:rPr>
        <w:t xml:space="preserve"> establish violations of Articles 8 (fair trial), 9 (freedom from ex post facto laws), 21 (property), 25 (judicial protection) and 26 (economic, social and cultural rights) of the American Convention in connection with its Article 1.1 (obligation to respect rights).</w:t>
      </w:r>
      <w:r w:rsidR="00FF5974">
        <w:rPr>
          <w:rFonts w:ascii="Cambria" w:hAnsi="Cambria"/>
          <w:sz w:val="20"/>
          <w:szCs w:val="20"/>
        </w:rPr>
        <w:t xml:space="preserve"> </w:t>
      </w:r>
    </w:p>
    <w:p w14:paraId="0A4E7626" w14:textId="5E36E7ED" w:rsidR="00A53B01" w:rsidRPr="00A53B01" w:rsidRDefault="00A53B01" w:rsidP="00A53B0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53B01">
        <w:rPr>
          <w:rFonts w:ascii="Cambria" w:hAnsi="Cambria"/>
          <w:sz w:val="20"/>
          <w:szCs w:val="20"/>
        </w:rPr>
        <w:t xml:space="preserve">As to the claim about a possible violation of Article 24 (equal protection) of the American Convention, the Commission notes that the petitioner has not provided enough allegations or evidence to </w:t>
      </w:r>
      <w:r w:rsidRPr="00516347">
        <w:rPr>
          <w:rFonts w:ascii="Cambria" w:hAnsi="Cambria"/>
          <w:i/>
          <w:sz w:val="20"/>
          <w:szCs w:val="20"/>
        </w:rPr>
        <w:t>prima facie</w:t>
      </w:r>
      <w:r w:rsidRPr="00A53B01">
        <w:rPr>
          <w:rFonts w:ascii="Cambria" w:hAnsi="Cambria"/>
          <w:sz w:val="20"/>
          <w:szCs w:val="20"/>
        </w:rPr>
        <w:t xml:space="preserve"> establish a possible violation.</w:t>
      </w:r>
      <w:r w:rsidR="00FF5974">
        <w:rPr>
          <w:rFonts w:ascii="Cambria" w:hAnsi="Cambria"/>
          <w:sz w:val="20"/>
          <w:szCs w:val="20"/>
        </w:rPr>
        <w:t xml:space="preserve"> </w:t>
      </w:r>
    </w:p>
    <w:p w14:paraId="7F1750D7" w14:textId="2605DE7F" w:rsidR="00A53B01" w:rsidRPr="00A53B01" w:rsidRDefault="00A53B01" w:rsidP="00A53B0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53B01">
        <w:rPr>
          <w:rFonts w:ascii="Cambria" w:hAnsi="Cambria"/>
          <w:sz w:val="20"/>
          <w:szCs w:val="20"/>
        </w:rPr>
        <w:t xml:space="preserve"> In regard to the alleged violations of articles of the American Declaration, the Commission has previously established that once the American Convention becomes effective in relation to a State, it is this and not the Declaration that becomes the primary source of law applicable by the Commission, provided that the petition concerns a violation of similar rights set forth in both instruments and that the matter is not an ongoing situation. In this case, the purported violations of the American Declaration fall within Articles 8, 21, 25</w:t>
      </w:r>
      <w:r w:rsidR="009F43FD">
        <w:rPr>
          <w:rFonts w:ascii="Cambria" w:hAnsi="Cambria"/>
          <w:sz w:val="20"/>
          <w:szCs w:val="20"/>
        </w:rPr>
        <w:t>,</w:t>
      </w:r>
      <w:r w:rsidRPr="00A53B01">
        <w:rPr>
          <w:rFonts w:ascii="Cambria" w:hAnsi="Cambria"/>
          <w:sz w:val="20"/>
          <w:szCs w:val="20"/>
        </w:rPr>
        <w:t xml:space="preserve"> and 26 of the American Convention. Therefore, the Commission will analyze these allegations in light of the American Convention.</w:t>
      </w:r>
      <w:r w:rsidR="00FF5974">
        <w:rPr>
          <w:rFonts w:ascii="Cambria" w:hAnsi="Cambria"/>
          <w:sz w:val="20"/>
          <w:szCs w:val="20"/>
        </w:rPr>
        <w:t xml:space="preserve"> </w:t>
      </w:r>
    </w:p>
    <w:p w14:paraId="51600D05" w14:textId="66AA2210" w:rsidR="00A53B01" w:rsidRPr="000B6B7A" w:rsidRDefault="00A53B01" w:rsidP="00A53B0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53B01">
        <w:rPr>
          <w:rFonts w:ascii="Cambria" w:hAnsi="Cambria"/>
          <w:sz w:val="20"/>
          <w:szCs w:val="20"/>
        </w:rPr>
        <w:t xml:space="preserve">As for the purported violations of articles 6 (work), 9 (social security), 10 (health) and 17 (protection of the elderly) of the Protocol of San Salvador, the Commission notes that the competence to determine violations in an individual petition is limited to articles 8 and 13, under its article 19.6. Regarding the other articles, the Commission may consider them to interpret or apply the Convention or other applicable instruments, </w:t>
      </w:r>
      <w:r w:rsidR="00846181">
        <w:rPr>
          <w:rFonts w:ascii="Cambria" w:hAnsi="Cambria"/>
          <w:sz w:val="20"/>
          <w:szCs w:val="20"/>
        </w:rPr>
        <w:t>under</w:t>
      </w:r>
      <w:r w:rsidRPr="00A53B01">
        <w:rPr>
          <w:rFonts w:ascii="Cambria" w:hAnsi="Cambria"/>
          <w:sz w:val="20"/>
          <w:szCs w:val="20"/>
        </w:rPr>
        <w:t xml:space="preserve"> Article 29 of the American Convention.</w:t>
      </w:r>
      <w:r w:rsidR="00FF5974">
        <w:rPr>
          <w:rFonts w:ascii="Cambria" w:hAnsi="Cambria"/>
          <w:sz w:val="20"/>
          <w:szCs w:val="20"/>
        </w:rPr>
        <w:t xml:space="preserve"> </w:t>
      </w:r>
    </w:p>
    <w:p w14:paraId="4B1B0FBA" w14:textId="77777777"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601D46BA" w14:textId="37712C9B" w:rsidR="00A53B01" w:rsidRPr="00D172C3" w:rsidRDefault="00F621C3" w:rsidP="00E100C5">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172C3">
        <w:rPr>
          <w:rFonts w:ascii="Cambria" w:hAnsi="Cambria"/>
          <w:sz w:val="20"/>
          <w:szCs w:val="20"/>
        </w:rPr>
        <w:t>To find the instant petition admissible in relation to Articles</w:t>
      </w:r>
      <w:r w:rsidR="00A53B01" w:rsidRPr="00D172C3">
        <w:rPr>
          <w:rFonts w:ascii="Cambria" w:hAnsi="Cambria"/>
        </w:rPr>
        <w:t xml:space="preserve"> </w:t>
      </w:r>
      <w:r w:rsidR="00A53B01" w:rsidRPr="00D172C3">
        <w:rPr>
          <w:rFonts w:ascii="Cambria" w:hAnsi="Cambria"/>
          <w:sz w:val="20"/>
          <w:szCs w:val="20"/>
        </w:rPr>
        <w:t>8, 9, 21, 25 and 26 of the American Convention in accordance with its Article 1.1</w:t>
      </w:r>
      <w:r w:rsidRPr="00D172C3">
        <w:rPr>
          <w:rFonts w:ascii="Cambria" w:hAnsi="Cambria"/>
          <w:sz w:val="20"/>
          <w:szCs w:val="20"/>
        </w:rPr>
        <w:t>;</w:t>
      </w:r>
      <w:r w:rsidR="00C511D1">
        <w:rPr>
          <w:rFonts w:ascii="Cambria" w:hAnsi="Cambria"/>
          <w:sz w:val="20"/>
          <w:szCs w:val="20"/>
        </w:rPr>
        <w:t xml:space="preserve"> </w:t>
      </w:r>
    </w:p>
    <w:p w14:paraId="0B87C8B8" w14:textId="0BC9012A" w:rsidR="00A53B01" w:rsidRPr="00D172C3" w:rsidRDefault="00F621C3" w:rsidP="00A53B01">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172C3">
        <w:rPr>
          <w:rFonts w:ascii="Cambria" w:hAnsi="Cambria"/>
          <w:sz w:val="20"/>
          <w:szCs w:val="20"/>
        </w:rPr>
        <w:t>To find the instant petition inadmissible in relation to</w:t>
      </w:r>
      <w:r w:rsidR="00FF5974" w:rsidRPr="00D172C3">
        <w:rPr>
          <w:rFonts w:ascii="Cambria" w:hAnsi="Cambria"/>
        </w:rPr>
        <w:t xml:space="preserve"> </w:t>
      </w:r>
      <w:r w:rsidR="00FF5974" w:rsidRPr="00D172C3">
        <w:rPr>
          <w:rFonts w:ascii="Cambria" w:hAnsi="Cambria"/>
          <w:sz w:val="20"/>
          <w:szCs w:val="20"/>
        </w:rPr>
        <w:t>Article 24 of the Convention</w:t>
      </w:r>
      <w:r w:rsidRPr="00D172C3">
        <w:rPr>
          <w:rFonts w:ascii="Cambria" w:hAnsi="Cambria"/>
          <w:sz w:val="20"/>
          <w:szCs w:val="20"/>
        </w:rPr>
        <w:t>;</w:t>
      </w:r>
      <w:r w:rsidR="001F1902" w:rsidRPr="00D172C3">
        <w:rPr>
          <w:rFonts w:ascii="Cambria" w:hAnsi="Cambria"/>
          <w:sz w:val="20"/>
          <w:szCs w:val="20"/>
        </w:rPr>
        <w:t xml:space="preserve"> and</w:t>
      </w:r>
      <w:r w:rsidR="00C511D1">
        <w:rPr>
          <w:rFonts w:ascii="Cambria" w:hAnsi="Cambria"/>
          <w:sz w:val="20"/>
          <w:szCs w:val="20"/>
        </w:rPr>
        <w:t xml:space="preserve"> </w:t>
      </w:r>
    </w:p>
    <w:p w14:paraId="7D5D0A1C" w14:textId="7BFF485B" w:rsidR="00F621C3" w:rsidRPr="00D172C3" w:rsidRDefault="00F621C3" w:rsidP="00C511D1">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172C3">
        <w:rPr>
          <w:rFonts w:ascii="Cambria" w:hAnsi="Cambria"/>
          <w:sz w:val="20"/>
          <w:szCs w:val="20"/>
        </w:rPr>
        <w:t>To notify the parties of this decision;</w:t>
      </w:r>
      <w:r w:rsidR="001F1902" w:rsidRPr="00D172C3">
        <w:rPr>
          <w:rFonts w:ascii="Cambria" w:hAnsi="Cambria"/>
          <w:sz w:val="20"/>
          <w:szCs w:val="20"/>
        </w:rPr>
        <w:t xml:space="preserve"> t</w:t>
      </w:r>
      <w:r w:rsidRPr="00D172C3">
        <w:rPr>
          <w:rFonts w:ascii="Cambria" w:hAnsi="Cambria"/>
          <w:sz w:val="20"/>
          <w:szCs w:val="20"/>
        </w:rPr>
        <w:t xml:space="preserve">o continue with the analysis on the merits; and </w:t>
      </w:r>
      <w:r w:rsidR="001F1902" w:rsidRPr="00D172C3">
        <w:rPr>
          <w:rFonts w:ascii="Cambria" w:hAnsi="Cambria"/>
          <w:sz w:val="20"/>
          <w:szCs w:val="20"/>
        </w:rPr>
        <w:t>t</w:t>
      </w:r>
      <w:r w:rsidRPr="00D172C3">
        <w:rPr>
          <w:rFonts w:ascii="Cambria" w:hAnsi="Cambria"/>
          <w:sz w:val="20"/>
          <w:szCs w:val="20"/>
        </w:rPr>
        <w:t>o publish this decision and include it in its Annual Report to the General Assembly of the Organization of American States.</w:t>
      </w:r>
    </w:p>
    <w:p w14:paraId="0D3AA9C7" w14:textId="7D2B48E9" w:rsidR="00C55560" w:rsidRPr="00145EDC" w:rsidRDefault="00163CD8" w:rsidP="00163CD8">
      <w:pPr>
        <w:pStyle w:val="ListParagraph"/>
        <w:suppressAutoHyphens/>
        <w:ind w:left="0" w:firstLine="720"/>
        <w:jc w:val="both"/>
        <w:rPr>
          <w:rFonts w:asciiTheme="majorHAnsi" w:hAnsiTheme="majorHAnsi"/>
          <w:sz w:val="20"/>
          <w:szCs w:val="20"/>
        </w:rPr>
      </w:pPr>
      <w:r w:rsidRPr="00163CD8">
        <w:rPr>
          <w:spacing w:val="-2"/>
          <w:sz w:val="20"/>
        </w:rPr>
        <w:t xml:space="preserve">Approved by the Inter-American Commission on Human Rights on the </w:t>
      </w:r>
      <w:r>
        <w:rPr>
          <w:spacing w:val="-2"/>
          <w:sz w:val="20"/>
        </w:rPr>
        <w:t>11</w:t>
      </w:r>
      <w:r w:rsidRPr="00163CD8">
        <w:rPr>
          <w:spacing w:val="-2"/>
          <w:sz w:val="20"/>
          <w:vertAlign w:val="superscript"/>
        </w:rPr>
        <w:t>th</w:t>
      </w:r>
      <w:r w:rsidRPr="00163CD8">
        <w:rPr>
          <w:spacing w:val="-2"/>
          <w:sz w:val="20"/>
        </w:rPr>
        <w:t xml:space="preserve"> day of the month of </w:t>
      </w:r>
      <w:r>
        <w:rPr>
          <w:spacing w:val="-2"/>
          <w:sz w:val="20"/>
        </w:rPr>
        <w:t>September</w:t>
      </w:r>
      <w:r w:rsidRPr="00163CD8">
        <w:rPr>
          <w:spacing w:val="-2"/>
          <w:sz w:val="20"/>
        </w:rPr>
        <w:t xml:space="preserve">, 2019. (Signed):  </w:t>
      </w:r>
      <w:r w:rsidRPr="00163CD8">
        <w:rPr>
          <w:rFonts w:cs="Arial"/>
          <w:noProof/>
          <w:spacing w:val="-2"/>
          <w:sz w:val="20"/>
        </w:rPr>
        <w:t xml:space="preserve">Esmeralda E. Arosemena Bernal de Troitiño, </w:t>
      </w:r>
      <w:r w:rsidRPr="00163CD8">
        <w:rPr>
          <w:sz w:val="20"/>
        </w:rPr>
        <w:t xml:space="preserve">President; </w:t>
      </w:r>
      <w:r w:rsidRPr="00163CD8">
        <w:rPr>
          <w:rFonts w:cs="Arial"/>
          <w:noProof/>
          <w:spacing w:val="-2"/>
          <w:sz w:val="20"/>
        </w:rPr>
        <w:t xml:space="preserve">Joel Hernández, </w:t>
      </w:r>
      <w:r w:rsidRPr="00163CD8">
        <w:rPr>
          <w:spacing w:val="-2"/>
          <w:sz w:val="20"/>
        </w:rPr>
        <w:t>First Vice President;</w:t>
      </w:r>
      <w:r w:rsidRPr="00163CD8">
        <w:rPr>
          <w:rFonts w:cs="Arial"/>
          <w:noProof/>
          <w:spacing w:val="-2"/>
          <w:sz w:val="20"/>
        </w:rPr>
        <w:t xml:space="preserve"> Antonia Urrejola, Second Vice President; Margarette May Macaulay, Luis Ernesto Vargas Silva, and Flávia Piovesan, </w:t>
      </w:r>
      <w:r w:rsidRPr="00163CD8">
        <w:rPr>
          <w:spacing w:val="-2"/>
          <w:sz w:val="20"/>
        </w:rPr>
        <w:t>Commissioners.</w:t>
      </w: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897B27" w14:textId="77777777" w:rsidR="000F6845" w:rsidRDefault="000F6845" w:rsidP="00036A8A">
      <w:r>
        <w:separator/>
      </w:r>
    </w:p>
  </w:endnote>
  <w:endnote w:type="continuationSeparator" w:id="0">
    <w:p w14:paraId="2BB6BEE4" w14:textId="77777777" w:rsidR="000F6845" w:rsidRDefault="000F6845"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8EC3F" w14:textId="77777777" w:rsidR="00B67932" w:rsidRDefault="00B679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09EA854A" w14:textId="6A26EB8F"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B67932">
          <w:rPr>
            <w:noProof/>
            <w:sz w:val="16"/>
          </w:rPr>
          <w:t>1</w:t>
        </w:r>
        <w:r w:rsidRPr="006311DA">
          <w:rPr>
            <w:noProof/>
            <w:sz w:val="16"/>
          </w:rPr>
          <w:fldChar w:fldCharType="end"/>
        </w:r>
      </w:p>
    </w:sdtContent>
  </w:sdt>
  <w:p w14:paraId="05081777"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B71CC" w14:textId="77777777" w:rsidR="007607C4" w:rsidRDefault="007607C4">
    <w:pPr>
      <w:pStyle w:val="Footer"/>
      <w:jc w:val="center"/>
    </w:pPr>
  </w:p>
  <w:p w14:paraId="760959DA"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A90F4" w14:textId="77777777" w:rsidR="000F6845" w:rsidRPr="00036A8A" w:rsidRDefault="000F6845"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288867A0" w14:textId="77777777" w:rsidR="000F6845" w:rsidRPr="00036A8A" w:rsidRDefault="000F6845" w:rsidP="00036A8A">
      <w:pPr>
        <w:rPr>
          <w:rFonts w:asciiTheme="majorHAnsi" w:hAnsiTheme="majorHAnsi"/>
          <w:sz w:val="16"/>
          <w:szCs w:val="16"/>
        </w:rPr>
      </w:pPr>
      <w:r w:rsidRPr="00036A8A">
        <w:rPr>
          <w:rFonts w:asciiTheme="majorHAnsi" w:hAnsiTheme="majorHAnsi"/>
          <w:sz w:val="16"/>
          <w:szCs w:val="16"/>
        </w:rPr>
        <w:separator/>
      </w:r>
    </w:p>
    <w:p w14:paraId="13FC1B60" w14:textId="77777777" w:rsidR="000F6845" w:rsidRPr="00036A8A" w:rsidRDefault="000F6845"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7200DDBD" w14:textId="77777777" w:rsidR="000F6845" w:rsidRPr="0093441A" w:rsidRDefault="000F6845"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17D3012B" w14:textId="772D937C" w:rsidR="0096075F" w:rsidRPr="0096075F" w:rsidRDefault="0096075F" w:rsidP="00163CD8">
      <w:pPr>
        <w:pStyle w:val="FootnoteText"/>
        <w:jc w:val="both"/>
        <w:rPr>
          <w:rFonts w:ascii="Cambria" w:hAnsi="Cambria"/>
          <w:sz w:val="16"/>
          <w:szCs w:val="16"/>
        </w:rPr>
      </w:pPr>
      <w:r w:rsidRPr="0096075F">
        <w:rPr>
          <w:rStyle w:val="FootnoteReference"/>
          <w:sz w:val="16"/>
        </w:rPr>
        <w:footnoteRef/>
      </w:r>
      <w:r>
        <w:t xml:space="preserve"> </w:t>
      </w:r>
      <w:r w:rsidRPr="0096075F">
        <w:rPr>
          <w:rFonts w:ascii="Cambria" w:hAnsi="Cambria"/>
          <w:sz w:val="16"/>
          <w:szCs w:val="16"/>
        </w:rPr>
        <w:t xml:space="preserve">Mr. Ronal Isaac Figueroa Ávila died in September 2011; however, his surviving spouse, Mrs. </w:t>
      </w:r>
      <w:proofErr w:type="spellStart"/>
      <w:r w:rsidRPr="0096075F">
        <w:rPr>
          <w:rFonts w:ascii="Cambria" w:hAnsi="Cambria"/>
          <w:sz w:val="16"/>
          <w:szCs w:val="16"/>
        </w:rPr>
        <w:t>Neyla</w:t>
      </w:r>
      <w:proofErr w:type="spellEnd"/>
      <w:r w:rsidRPr="0096075F">
        <w:rPr>
          <w:rFonts w:ascii="Cambria" w:hAnsi="Cambria"/>
          <w:sz w:val="16"/>
          <w:szCs w:val="16"/>
        </w:rPr>
        <w:t xml:space="preserve"> </w:t>
      </w:r>
      <w:proofErr w:type="spellStart"/>
      <w:r w:rsidRPr="0096075F">
        <w:rPr>
          <w:rFonts w:ascii="Cambria" w:hAnsi="Cambria"/>
          <w:sz w:val="16"/>
          <w:szCs w:val="16"/>
        </w:rPr>
        <w:t>Paquita</w:t>
      </w:r>
      <w:proofErr w:type="spellEnd"/>
      <w:r w:rsidRPr="0096075F">
        <w:rPr>
          <w:rFonts w:ascii="Cambria" w:hAnsi="Cambria"/>
          <w:sz w:val="16"/>
          <w:szCs w:val="16"/>
        </w:rPr>
        <w:t xml:space="preserve"> </w:t>
      </w:r>
      <w:proofErr w:type="spellStart"/>
      <w:r w:rsidRPr="0096075F">
        <w:rPr>
          <w:rFonts w:ascii="Cambria" w:hAnsi="Cambria"/>
          <w:sz w:val="16"/>
          <w:szCs w:val="16"/>
        </w:rPr>
        <w:t>Panduro</w:t>
      </w:r>
      <w:proofErr w:type="spellEnd"/>
      <w:r w:rsidRPr="0096075F">
        <w:rPr>
          <w:rFonts w:ascii="Cambria" w:hAnsi="Cambria"/>
          <w:sz w:val="16"/>
          <w:szCs w:val="16"/>
        </w:rPr>
        <w:t xml:space="preserve"> </w:t>
      </w:r>
      <w:proofErr w:type="spellStart"/>
      <w:r w:rsidRPr="0096075F">
        <w:rPr>
          <w:rFonts w:ascii="Cambria" w:hAnsi="Cambria"/>
          <w:sz w:val="16"/>
          <w:szCs w:val="16"/>
        </w:rPr>
        <w:t>Cachay</w:t>
      </w:r>
      <w:proofErr w:type="spellEnd"/>
      <w:r w:rsidRPr="0096075F">
        <w:rPr>
          <w:rFonts w:ascii="Cambria" w:hAnsi="Cambria"/>
          <w:sz w:val="16"/>
          <w:szCs w:val="16"/>
        </w:rPr>
        <w:t xml:space="preserve"> (Mrs. Figueroa) requested the Commission to continue processing the petition consider her the alleged victim’s legal succe</w:t>
      </w:r>
      <w:r>
        <w:rPr>
          <w:rFonts w:ascii="Cambria" w:hAnsi="Cambria"/>
          <w:sz w:val="16"/>
          <w:szCs w:val="16"/>
        </w:rPr>
        <w:t>s</w:t>
      </w:r>
      <w:r w:rsidRPr="0096075F">
        <w:rPr>
          <w:rFonts w:ascii="Cambria" w:hAnsi="Cambria"/>
          <w:sz w:val="16"/>
          <w:szCs w:val="16"/>
        </w:rPr>
        <w:t>sor entitled to hold his pension rights as heiress.</w:t>
      </w:r>
    </w:p>
  </w:footnote>
  <w:footnote w:id="3">
    <w:p w14:paraId="5DB6B89B" w14:textId="6592B7D1" w:rsidR="0096075F" w:rsidRPr="0096075F" w:rsidRDefault="0096075F" w:rsidP="00163CD8">
      <w:pPr>
        <w:pStyle w:val="FootnoteText"/>
        <w:jc w:val="both"/>
        <w:rPr>
          <w:rFonts w:ascii="Cambria" w:hAnsi="Cambria"/>
          <w:sz w:val="16"/>
          <w:szCs w:val="16"/>
        </w:rPr>
      </w:pPr>
      <w:r w:rsidRPr="0096075F">
        <w:rPr>
          <w:rFonts w:ascii="Cambria" w:hAnsi="Cambria"/>
          <w:sz w:val="16"/>
          <w:szCs w:val="16"/>
          <w:vertAlign w:val="superscript"/>
        </w:rPr>
        <w:footnoteRef/>
      </w:r>
      <w:r w:rsidRPr="0096075F">
        <w:rPr>
          <w:rFonts w:ascii="Cambria" w:hAnsi="Cambria"/>
          <w:sz w:val="16"/>
          <w:szCs w:val="16"/>
        </w:rPr>
        <w:t xml:space="preserve"> Pursuant to Article 17.2.</w:t>
      </w:r>
      <w:proofErr w:type="spellStart"/>
      <w:r w:rsidRPr="0096075F">
        <w:rPr>
          <w:rFonts w:ascii="Cambria" w:hAnsi="Cambria"/>
          <w:sz w:val="16"/>
          <w:szCs w:val="16"/>
        </w:rPr>
        <w:t>a</w:t>
      </w:r>
      <w:proofErr w:type="spellEnd"/>
      <w:r w:rsidRPr="0096075F">
        <w:rPr>
          <w:rFonts w:ascii="Cambria" w:hAnsi="Cambria"/>
          <w:sz w:val="16"/>
          <w:szCs w:val="16"/>
        </w:rPr>
        <w:t xml:space="preserve"> of the IACHR Rules of Procedure, Commissioner Francisco José </w:t>
      </w:r>
      <w:proofErr w:type="spellStart"/>
      <w:r w:rsidRPr="0096075F">
        <w:rPr>
          <w:rFonts w:ascii="Cambria" w:hAnsi="Cambria"/>
          <w:sz w:val="16"/>
          <w:szCs w:val="16"/>
        </w:rPr>
        <w:t>Eguirguren</w:t>
      </w:r>
      <w:proofErr w:type="spellEnd"/>
      <w:r w:rsidRPr="0096075F">
        <w:rPr>
          <w:rFonts w:ascii="Cambria" w:hAnsi="Cambria"/>
          <w:sz w:val="16"/>
          <w:szCs w:val="16"/>
        </w:rPr>
        <w:t xml:space="preserve"> Praeli, a Peruvian national, did not take part in the discussion or voting on this petition.</w:t>
      </w:r>
    </w:p>
  </w:footnote>
  <w:footnote w:id="4">
    <w:p w14:paraId="1191DCB2" w14:textId="100FA343" w:rsidR="0096075F" w:rsidRPr="0096075F" w:rsidRDefault="0096075F" w:rsidP="00163CD8">
      <w:pPr>
        <w:rPr>
          <w:rFonts w:ascii="Cambria" w:eastAsia="Calibri" w:hAnsi="Cambria" w:cs="Calibri"/>
          <w:color w:val="000000"/>
          <w:sz w:val="16"/>
          <w:szCs w:val="16"/>
          <w:u w:color="000000"/>
          <w:lang w:eastAsia="es-ES"/>
        </w:rPr>
      </w:pPr>
      <w:r w:rsidRPr="0096075F">
        <w:rPr>
          <w:rFonts w:ascii="Cambria" w:eastAsia="Calibri" w:hAnsi="Cambria" w:cs="Calibri"/>
          <w:color w:val="000000"/>
          <w:sz w:val="16"/>
          <w:szCs w:val="16"/>
          <w:u w:color="000000"/>
          <w:vertAlign w:val="superscript"/>
          <w:lang w:eastAsia="es-ES"/>
        </w:rPr>
        <w:footnoteRef/>
      </w:r>
      <w:r w:rsidRPr="0096075F">
        <w:rPr>
          <w:rFonts w:ascii="Cambria" w:eastAsia="Calibri" w:hAnsi="Cambria" w:cs="Calibri"/>
          <w:color w:val="000000"/>
          <w:sz w:val="16"/>
          <w:szCs w:val="16"/>
          <w:u w:color="000000"/>
          <w:lang w:eastAsia="es-ES"/>
        </w:rPr>
        <w:t xml:space="preserve"> Hereinafter, “Convention” or “American Convention.”</w:t>
      </w:r>
    </w:p>
  </w:footnote>
  <w:footnote w:id="5">
    <w:p w14:paraId="18347AED" w14:textId="4B766D11" w:rsidR="0096075F" w:rsidRPr="0096075F" w:rsidRDefault="0096075F" w:rsidP="00163CD8">
      <w:pPr>
        <w:rPr>
          <w:rFonts w:ascii="Cambria" w:eastAsia="Calibri" w:hAnsi="Cambria" w:cs="Calibri"/>
          <w:color w:val="000000"/>
          <w:sz w:val="16"/>
          <w:szCs w:val="16"/>
          <w:u w:color="000000"/>
          <w:lang w:eastAsia="es-ES"/>
        </w:rPr>
      </w:pPr>
      <w:r w:rsidRPr="0096075F">
        <w:rPr>
          <w:rFonts w:ascii="Cambria" w:eastAsia="Calibri" w:hAnsi="Cambria" w:cs="Calibri"/>
          <w:color w:val="000000"/>
          <w:sz w:val="16"/>
          <w:szCs w:val="16"/>
          <w:u w:color="000000"/>
          <w:vertAlign w:val="superscript"/>
          <w:lang w:eastAsia="es-ES"/>
        </w:rPr>
        <w:footnoteRef/>
      </w:r>
      <w:r w:rsidRPr="0096075F">
        <w:rPr>
          <w:rFonts w:ascii="Cambria" w:eastAsia="Calibri" w:hAnsi="Cambria" w:cs="Calibri"/>
          <w:color w:val="000000"/>
          <w:sz w:val="16"/>
          <w:szCs w:val="16"/>
          <w:u w:color="000000"/>
          <w:lang w:eastAsia="es-ES"/>
        </w:rPr>
        <w:t xml:space="preserve"> Hereinafter, “Declaration” or “American Declaration.”</w:t>
      </w:r>
    </w:p>
  </w:footnote>
  <w:footnote w:id="6">
    <w:p w14:paraId="3BDBFB81" w14:textId="319A421A" w:rsidR="0096075F" w:rsidRPr="0096075F" w:rsidRDefault="0096075F" w:rsidP="00163CD8">
      <w:pPr>
        <w:pStyle w:val="FootnoteText"/>
        <w:jc w:val="both"/>
        <w:rPr>
          <w:rFonts w:ascii="Cambria" w:hAnsi="Cambria"/>
          <w:sz w:val="16"/>
          <w:szCs w:val="16"/>
        </w:rPr>
      </w:pPr>
      <w:r w:rsidRPr="0096075F">
        <w:rPr>
          <w:rFonts w:ascii="Cambria" w:hAnsi="Cambria"/>
          <w:sz w:val="16"/>
          <w:szCs w:val="16"/>
          <w:vertAlign w:val="superscript"/>
        </w:rPr>
        <w:footnoteRef/>
      </w:r>
      <w:r w:rsidRPr="0096075F">
        <w:rPr>
          <w:rFonts w:ascii="Cambria" w:hAnsi="Cambria"/>
          <w:sz w:val="16"/>
          <w:szCs w:val="16"/>
        </w:rPr>
        <w:t xml:space="preserve"> Hereinafter, “Protocol of San Salvador.”</w:t>
      </w:r>
    </w:p>
  </w:footnote>
  <w:footnote w:id="7">
    <w:p w14:paraId="5F419F3E" w14:textId="77777777" w:rsidR="00653EA6" w:rsidRPr="000B6B7A" w:rsidRDefault="00653EA6" w:rsidP="00163CD8">
      <w:pPr>
        <w:pStyle w:val="FootnoteText"/>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926D2F">
        <w:rPr>
          <w:rFonts w:ascii="Cambria" w:hAnsi="Cambria"/>
          <w:sz w:val="16"/>
          <w:szCs w:val="16"/>
        </w:rPr>
        <w:t>submitted</w:t>
      </w:r>
      <w:r>
        <w:rPr>
          <w:rFonts w:ascii="Cambria" w:hAnsi="Cambria"/>
          <w:sz w:val="16"/>
          <w:szCs w:val="16"/>
        </w:rPr>
        <w:t xml:space="preserve"> by each party were duly transmitted to the opposing party.</w:t>
      </w:r>
    </w:p>
  </w:footnote>
  <w:footnote w:id="8">
    <w:p w14:paraId="5D17F990" w14:textId="2A837CAF" w:rsidR="00A53B01" w:rsidRPr="00FE3BF6" w:rsidRDefault="00A53B01" w:rsidP="00163CD8">
      <w:pPr>
        <w:pStyle w:val="FootnoteText"/>
        <w:jc w:val="both"/>
        <w:rPr>
          <w:rFonts w:ascii="Cambria" w:hAnsi="Cambria"/>
          <w:sz w:val="16"/>
          <w:szCs w:val="16"/>
        </w:rPr>
      </w:pPr>
      <w:r w:rsidRPr="00FE3BF6">
        <w:rPr>
          <w:rStyle w:val="FootnoteReference"/>
          <w:rFonts w:ascii="Cambria" w:hAnsi="Cambria"/>
          <w:sz w:val="16"/>
          <w:szCs w:val="16"/>
        </w:rPr>
        <w:footnoteRef/>
      </w:r>
      <w:r w:rsidRPr="00FE3BF6">
        <w:rPr>
          <w:rFonts w:ascii="Cambria" w:hAnsi="Cambria"/>
          <w:sz w:val="16"/>
          <w:szCs w:val="16"/>
        </w:rPr>
        <w:t xml:space="preserve"> The alleged victim is said to have met the requirement established in article 1: “State officials and employees who, at the time Decree Law No. 20530 was promulgated, had seven years of service or more, are entitled to coverage by the public pension system established by the said Decree Law, provided that they have rendered services to the State uninterruptedly.”</w:t>
      </w:r>
    </w:p>
  </w:footnote>
  <w:footnote w:id="9">
    <w:p w14:paraId="3D00BA5C" w14:textId="0458717D" w:rsidR="00A53B01" w:rsidRPr="00FE3BF6" w:rsidRDefault="00A53B01" w:rsidP="00163CD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16"/>
          <w:szCs w:val="16"/>
        </w:rPr>
      </w:pPr>
      <w:r w:rsidRPr="00FE3BF6">
        <w:rPr>
          <w:rStyle w:val="FootnoteReference"/>
          <w:rFonts w:ascii="Cambria" w:hAnsi="Cambria"/>
          <w:sz w:val="16"/>
          <w:szCs w:val="16"/>
        </w:rPr>
        <w:footnoteRef/>
      </w:r>
      <w:r w:rsidRPr="00FE3BF6">
        <w:rPr>
          <w:rFonts w:ascii="Cambria" w:hAnsi="Cambria"/>
          <w:sz w:val="16"/>
          <w:szCs w:val="16"/>
        </w:rPr>
        <w:t xml:space="preserve"> No information about this constitutional remedy or its outcome appear on the case file.</w:t>
      </w:r>
    </w:p>
  </w:footnote>
  <w:footnote w:id="10">
    <w:p w14:paraId="3937F9A7" w14:textId="48BC32CB" w:rsidR="00A53B01" w:rsidRPr="00A53B01" w:rsidRDefault="00A53B01" w:rsidP="00163CD8">
      <w:pPr>
        <w:pStyle w:val="FootnoteText"/>
        <w:jc w:val="both"/>
      </w:pPr>
      <w:r w:rsidRPr="00FE3BF6">
        <w:rPr>
          <w:rStyle w:val="FootnoteReference"/>
          <w:rFonts w:ascii="Cambria" w:hAnsi="Cambria"/>
          <w:sz w:val="16"/>
          <w:szCs w:val="16"/>
        </w:rPr>
        <w:footnoteRef/>
      </w:r>
      <w:r w:rsidRPr="00FE3BF6">
        <w:rPr>
          <w:rFonts w:ascii="Cambria" w:hAnsi="Cambria"/>
          <w:sz w:val="16"/>
          <w:szCs w:val="16"/>
        </w:rPr>
        <w:t xml:space="preserve"> The institution responsible for the settlement of pensions concerning Decree Law No. 20530. It </w:t>
      </w:r>
      <w:r w:rsidR="00933C15" w:rsidRPr="00FE3BF6">
        <w:rPr>
          <w:rFonts w:ascii="Cambria" w:hAnsi="Cambria"/>
          <w:sz w:val="16"/>
          <w:szCs w:val="16"/>
        </w:rPr>
        <w:t>oversees</w:t>
      </w:r>
      <w:r w:rsidRPr="00FE3BF6">
        <w:rPr>
          <w:rFonts w:ascii="Cambria" w:hAnsi="Cambria"/>
          <w:sz w:val="16"/>
          <w:szCs w:val="16"/>
        </w:rPr>
        <w:t xml:space="preserve"> the National Pension System (SNP) in the Republic of Peru.</w:t>
      </w:r>
    </w:p>
  </w:footnote>
  <w:footnote w:id="11">
    <w:p w14:paraId="3BCA5241" w14:textId="76E23F69" w:rsidR="00CE6483" w:rsidRPr="00CE6483" w:rsidRDefault="00CE6483" w:rsidP="00163CD8">
      <w:pPr>
        <w:pStyle w:val="FootnoteText"/>
        <w:jc w:val="both"/>
      </w:pPr>
      <w:r>
        <w:rPr>
          <w:rStyle w:val="FootnoteReference"/>
        </w:rPr>
        <w:footnoteRef/>
      </w:r>
      <w:r>
        <w:t xml:space="preserve"> </w:t>
      </w:r>
      <w:r w:rsidRPr="00CE6483">
        <w:rPr>
          <w:rFonts w:ascii="Cambria" w:hAnsi="Cambria"/>
          <w:sz w:val="16"/>
          <w:szCs w:val="16"/>
        </w:rPr>
        <w:t>The Chamber considered that in 1994 the alleged victim was enrolled in</w:t>
      </w:r>
      <w:r>
        <w:rPr>
          <w:rFonts w:ascii="Cambria" w:hAnsi="Cambria"/>
          <w:sz w:val="16"/>
          <w:szCs w:val="16"/>
        </w:rPr>
        <w:t xml:space="preserve"> the private pension system and </w:t>
      </w:r>
      <w:r w:rsidRPr="00CE6483">
        <w:rPr>
          <w:rFonts w:ascii="Cambria" w:hAnsi="Cambria"/>
          <w:sz w:val="16"/>
          <w:szCs w:val="16"/>
        </w:rPr>
        <w:t>rejected the alleged victim’s claim by stating that workers may not be under two different pension systems.</w:t>
      </w:r>
    </w:p>
  </w:footnote>
  <w:footnote w:id="12">
    <w:p w14:paraId="23941ABB" w14:textId="07E7FBF4" w:rsidR="00A53B01" w:rsidRPr="00601284" w:rsidRDefault="00A53B01" w:rsidP="00163CD8">
      <w:pPr>
        <w:pStyle w:val="FootnoteText"/>
        <w:jc w:val="both"/>
        <w:rPr>
          <w:rFonts w:asciiTheme="majorHAnsi" w:hAnsiTheme="majorHAnsi"/>
          <w:sz w:val="16"/>
          <w:szCs w:val="16"/>
        </w:rPr>
      </w:pPr>
      <w:r w:rsidRPr="00FE3BF6">
        <w:rPr>
          <w:rStyle w:val="FootnoteReference"/>
          <w:rFonts w:asciiTheme="majorHAnsi" w:hAnsiTheme="majorHAnsi"/>
          <w:sz w:val="16"/>
          <w:szCs w:val="16"/>
        </w:rPr>
        <w:footnoteRef/>
      </w:r>
      <w:r w:rsidRPr="00FE3BF6">
        <w:rPr>
          <w:rFonts w:asciiTheme="majorHAnsi" w:hAnsiTheme="majorHAnsi"/>
          <w:sz w:val="16"/>
          <w:szCs w:val="16"/>
        </w:rPr>
        <w:t xml:space="preserve"> The Cons</w:t>
      </w:r>
      <w:r w:rsidR="00FE3BF6" w:rsidRPr="00FE3BF6">
        <w:rPr>
          <w:rFonts w:asciiTheme="majorHAnsi" w:hAnsiTheme="majorHAnsi"/>
          <w:sz w:val="16"/>
          <w:szCs w:val="16"/>
        </w:rPr>
        <w:t>t</w:t>
      </w:r>
      <w:r w:rsidRPr="00FE3BF6">
        <w:rPr>
          <w:rFonts w:asciiTheme="majorHAnsi" w:hAnsiTheme="majorHAnsi"/>
          <w:sz w:val="16"/>
          <w:szCs w:val="16"/>
        </w:rPr>
        <w:t>itutional Court ruled that, although the alleged victim met the requirements of Law No. 24366, “...he does not meet the additional requirement of being under the Public Sector Employment</w:t>
      </w:r>
      <w:r w:rsidR="00CE6483">
        <w:rPr>
          <w:rFonts w:asciiTheme="majorHAnsi" w:hAnsiTheme="majorHAnsi"/>
          <w:sz w:val="16"/>
          <w:szCs w:val="16"/>
        </w:rPr>
        <w:t xml:space="preserve"> regime</w:t>
      </w:r>
      <w:r w:rsidRPr="00FE3BF6">
        <w:rPr>
          <w:rFonts w:asciiTheme="majorHAnsi" w:hAnsiTheme="majorHAnsi"/>
          <w:sz w:val="16"/>
          <w:szCs w:val="16"/>
        </w:rPr>
        <w:t xml:space="preserve"> on the effective date of </w:t>
      </w:r>
      <w:r w:rsidR="00FD694F">
        <w:rPr>
          <w:rFonts w:asciiTheme="majorHAnsi" w:hAnsiTheme="majorHAnsi"/>
          <w:sz w:val="16"/>
          <w:szCs w:val="16"/>
        </w:rPr>
        <w:t>the legal exception, for this law is subsequent to his employment regime change</w:t>
      </w:r>
      <w:r w:rsidRPr="00FE3BF6">
        <w:rPr>
          <w:rFonts w:asciiTheme="majorHAnsi" w:hAnsiTheme="majorHAnsi"/>
          <w:sz w:val="16"/>
          <w:szCs w:val="16"/>
        </w:rPr>
        <w:t xml:space="preserve">. A different interpretation would allow for the retroactive application of the legal exception or the accumulation of services rendered under the </w:t>
      </w:r>
      <w:r w:rsidR="00601284">
        <w:rPr>
          <w:rFonts w:asciiTheme="majorHAnsi" w:hAnsiTheme="majorHAnsi"/>
          <w:sz w:val="16"/>
          <w:szCs w:val="16"/>
        </w:rPr>
        <w:t>L</w:t>
      </w:r>
      <w:r w:rsidRPr="00FE3BF6">
        <w:rPr>
          <w:rFonts w:asciiTheme="majorHAnsi" w:hAnsiTheme="majorHAnsi"/>
          <w:sz w:val="16"/>
          <w:szCs w:val="16"/>
        </w:rPr>
        <w:t xml:space="preserve">aw on </w:t>
      </w:r>
      <w:r w:rsidR="00601284">
        <w:rPr>
          <w:rFonts w:asciiTheme="majorHAnsi" w:hAnsiTheme="majorHAnsi"/>
          <w:sz w:val="16"/>
          <w:szCs w:val="16"/>
        </w:rPr>
        <w:t>P</w:t>
      </w:r>
      <w:r w:rsidRPr="00FE3BF6">
        <w:rPr>
          <w:rFonts w:asciiTheme="majorHAnsi" w:hAnsiTheme="majorHAnsi"/>
          <w:sz w:val="16"/>
          <w:szCs w:val="16"/>
        </w:rPr>
        <w:t xml:space="preserve">ublic </w:t>
      </w:r>
      <w:r w:rsidR="00601284">
        <w:rPr>
          <w:rFonts w:asciiTheme="majorHAnsi" w:hAnsiTheme="majorHAnsi"/>
          <w:sz w:val="16"/>
          <w:szCs w:val="16"/>
        </w:rPr>
        <w:t>S</w:t>
      </w:r>
      <w:r w:rsidRPr="00FE3BF6">
        <w:rPr>
          <w:rFonts w:asciiTheme="majorHAnsi" w:hAnsiTheme="majorHAnsi"/>
          <w:sz w:val="16"/>
          <w:szCs w:val="16"/>
        </w:rPr>
        <w:t xml:space="preserve">ector </w:t>
      </w:r>
      <w:r w:rsidR="00601284">
        <w:rPr>
          <w:rFonts w:asciiTheme="majorHAnsi" w:hAnsiTheme="majorHAnsi"/>
          <w:sz w:val="16"/>
          <w:szCs w:val="16"/>
        </w:rPr>
        <w:t>E</w:t>
      </w:r>
      <w:r w:rsidRPr="00FE3BF6">
        <w:rPr>
          <w:rFonts w:asciiTheme="majorHAnsi" w:hAnsiTheme="majorHAnsi"/>
          <w:sz w:val="16"/>
          <w:szCs w:val="16"/>
        </w:rPr>
        <w:t xml:space="preserve">mployment and the </w:t>
      </w:r>
      <w:r w:rsidR="00601284">
        <w:rPr>
          <w:rFonts w:asciiTheme="majorHAnsi" w:hAnsiTheme="majorHAnsi"/>
          <w:sz w:val="16"/>
          <w:szCs w:val="16"/>
        </w:rPr>
        <w:t>L</w:t>
      </w:r>
      <w:r w:rsidRPr="00FE3BF6">
        <w:rPr>
          <w:rFonts w:asciiTheme="majorHAnsi" w:hAnsiTheme="majorHAnsi"/>
          <w:sz w:val="16"/>
          <w:szCs w:val="16"/>
        </w:rPr>
        <w:t xml:space="preserve">aw on </w:t>
      </w:r>
      <w:r w:rsidR="00601284">
        <w:rPr>
          <w:rFonts w:asciiTheme="majorHAnsi" w:hAnsiTheme="majorHAnsi"/>
          <w:sz w:val="16"/>
          <w:szCs w:val="16"/>
        </w:rPr>
        <w:t>P</w:t>
      </w:r>
      <w:r w:rsidRPr="00FE3BF6">
        <w:rPr>
          <w:rFonts w:asciiTheme="majorHAnsi" w:hAnsiTheme="majorHAnsi"/>
          <w:sz w:val="16"/>
          <w:szCs w:val="16"/>
        </w:rPr>
        <w:t xml:space="preserve">rivate </w:t>
      </w:r>
      <w:r w:rsidR="00601284">
        <w:rPr>
          <w:rFonts w:asciiTheme="majorHAnsi" w:hAnsiTheme="majorHAnsi"/>
          <w:sz w:val="16"/>
          <w:szCs w:val="16"/>
        </w:rPr>
        <w:t>S</w:t>
      </w:r>
      <w:r w:rsidRPr="00FE3BF6">
        <w:rPr>
          <w:rFonts w:asciiTheme="majorHAnsi" w:hAnsiTheme="majorHAnsi"/>
          <w:sz w:val="16"/>
          <w:szCs w:val="16"/>
        </w:rPr>
        <w:t xml:space="preserve">ector </w:t>
      </w:r>
      <w:r w:rsidR="00601284">
        <w:rPr>
          <w:rFonts w:asciiTheme="majorHAnsi" w:hAnsiTheme="majorHAnsi"/>
          <w:sz w:val="16"/>
          <w:szCs w:val="16"/>
        </w:rPr>
        <w:t>E</w:t>
      </w:r>
      <w:r w:rsidRPr="00FE3BF6">
        <w:rPr>
          <w:rFonts w:asciiTheme="majorHAnsi" w:hAnsiTheme="majorHAnsi"/>
          <w:sz w:val="16"/>
          <w:szCs w:val="16"/>
        </w:rPr>
        <w:t>mployment (...)</w:t>
      </w:r>
      <w:r w:rsidR="00601284">
        <w:rPr>
          <w:rFonts w:asciiTheme="majorHAnsi" w:hAnsiTheme="majorHAnsi"/>
          <w:sz w:val="16"/>
          <w:szCs w:val="16"/>
        </w:rPr>
        <w:t>.</w:t>
      </w:r>
      <w:r w:rsidRPr="00FE3BF6">
        <w:rPr>
          <w:rFonts w:asciiTheme="majorHAnsi" w:hAnsiTheme="majorHAnsi"/>
          <w:sz w:val="16"/>
          <w:szCs w:val="16"/>
        </w:rPr>
        <w:t>” Judgment on constitutional remedy proceedings, FILE 04013-2006-PA/TC, April 16, 2007.</w:t>
      </w:r>
    </w:p>
  </w:footnote>
  <w:footnote w:id="13">
    <w:p w14:paraId="727C8D03" w14:textId="7695B2C2" w:rsidR="00A53B01" w:rsidRPr="00FE3BF6" w:rsidRDefault="00A53B01" w:rsidP="00163CD8">
      <w:pPr>
        <w:pStyle w:val="FootnoteText"/>
        <w:jc w:val="both"/>
      </w:pPr>
      <w:r w:rsidRPr="00FE3BF6">
        <w:rPr>
          <w:rStyle w:val="FootnoteReference"/>
          <w:rFonts w:asciiTheme="majorHAnsi" w:hAnsiTheme="majorHAnsi"/>
          <w:sz w:val="16"/>
          <w:szCs w:val="16"/>
        </w:rPr>
        <w:footnoteRef/>
      </w:r>
      <w:r w:rsidRPr="00FE3BF6">
        <w:rPr>
          <w:rFonts w:asciiTheme="majorHAnsi" w:hAnsiTheme="majorHAnsi"/>
          <w:sz w:val="16"/>
          <w:szCs w:val="16"/>
        </w:rPr>
        <w:t xml:space="preserve"> IACHR, Report No. 10/16, Petition 387-02, Admissibility. </w:t>
      </w:r>
      <w:r w:rsidRPr="00E100C5">
        <w:rPr>
          <w:rFonts w:asciiTheme="majorHAnsi" w:hAnsiTheme="majorHAnsi"/>
          <w:sz w:val="16"/>
          <w:szCs w:val="16"/>
          <w:lang w:val="es-US"/>
        </w:rPr>
        <w:t xml:space="preserve">Carlos Andrés </w:t>
      </w:r>
      <w:proofErr w:type="spellStart"/>
      <w:r w:rsidRPr="00E100C5">
        <w:rPr>
          <w:rFonts w:asciiTheme="majorHAnsi" w:hAnsiTheme="majorHAnsi"/>
          <w:sz w:val="16"/>
          <w:szCs w:val="16"/>
          <w:lang w:val="es-US"/>
        </w:rPr>
        <w:t>Fraticelli</w:t>
      </w:r>
      <w:proofErr w:type="spellEnd"/>
      <w:r w:rsidRPr="00E100C5">
        <w:rPr>
          <w:rFonts w:asciiTheme="majorHAnsi" w:hAnsiTheme="majorHAnsi"/>
          <w:sz w:val="16"/>
          <w:szCs w:val="16"/>
          <w:lang w:val="es-US"/>
        </w:rPr>
        <w:t xml:space="preserve">, Argentina, </w:t>
      </w:r>
      <w:proofErr w:type="spellStart"/>
      <w:r w:rsidRPr="00E100C5">
        <w:rPr>
          <w:rFonts w:asciiTheme="majorHAnsi" w:hAnsiTheme="majorHAnsi"/>
          <w:sz w:val="16"/>
          <w:szCs w:val="16"/>
          <w:lang w:val="es-US"/>
        </w:rPr>
        <w:t>April</w:t>
      </w:r>
      <w:proofErr w:type="spellEnd"/>
      <w:r w:rsidRPr="00E100C5">
        <w:rPr>
          <w:rFonts w:asciiTheme="majorHAnsi" w:hAnsiTheme="majorHAnsi"/>
          <w:sz w:val="16"/>
          <w:szCs w:val="16"/>
          <w:lang w:val="es-US"/>
        </w:rPr>
        <w:t xml:space="preserve"> 14, 2016, para. </w:t>
      </w:r>
      <w:r w:rsidRPr="00FE3BF6">
        <w:rPr>
          <w:rFonts w:asciiTheme="majorHAnsi" w:hAnsiTheme="majorHAnsi"/>
          <w:sz w:val="16"/>
          <w:szCs w:val="16"/>
        </w:rPr>
        <w:t>46.</w:t>
      </w:r>
    </w:p>
  </w:footnote>
  <w:footnote w:id="14">
    <w:p w14:paraId="47753D8E" w14:textId="2803E78B" w:rsidR="00567F6C" w:rsidRPr="00567F6C" w:rsidRDefault="00567F6C" w:rsidP="00163CD8">
      <w:pPr>
        <w:pStyle w:val="FootnoteText"/>
        <w:jc w:val="both"/>
      </w:pPr>
      <w:r>
        <w:rPr>
          <w:rStyle w:val="FootnoteReference"/>
        </w:rPr>
        <w:footnoteRef/>
      </w:r>
      <w:r>
        <w:t xml:space="preserve"> </w:t>
      </w:r>
      <w:r w:rsidRPr="00567F6C">
        <w:rPr>
          <w:rFonts w:ascii="Cambria" w:hAnsi="Cambria"/>
          <w:sz w:val="16"/>
          <w:szCs w:val="16"/>
        </w:rPr>
        <w:t>The petitioner further claims that the Constitutional Court and the State have wrongfully applied a provision of the Constitution of 1993 that bans the accumulation of services rendered in the public sector and the private sector, although the alleged victim’s enrollment in the pension system of Decree Law 20530 was in 1986.</w:t>
      </w:r>
    </w:p>
  </w:footnote>
  <w:footnote w:id="15">
    <w:p w14:paraId="3413C437" w14:textId="4CB6EFAC" w:rsidR="00A53B01" w:rsidRPr="00FE3BF6" w:rsidRDefault="00A53B01" w:rsidP="00163CD8">
      <w:pPr>
        <w:pStyle w:val="FootnoteText"/>
        <w:jc w:val="both"/>
        <w:rPr>
          <w:rFonts w:asciiTheme="majorHAnsi" w:hAnsiTheme="majorHAnsi"/>
          <w:sz w:val="16"/>
          <w:szCs w:val="16"/>
        </w:rPr>
      </w:pPr>
      <w:r w:rsidRPr="00FE3BF6">
        <w:rPr>
          <w:rStyle w:val="FootnoteReference"/>
          <w:rFonts w:asciiTheme="majorHAnsi" w:hAnsiTheme="majorHAnsi"/>
          <w:sz w:val="16"/>
          <w:szCs w:val="16"/>
        </w:rPr>
        <w:footnoteRef/>
      </w:r>
      <w:r w:rsidRPr="00FE3BF6">
        <w:rPr>
          <w:rFonts w:asciiTheme="majorHAnsi" w:hAnsiTheme="majorHAnsi"/>
          <w:sz w:val="16"/>
          <w:szCs w:val="16"/>
        </w:rPr>
        <w:t xml:space="preserve"> I/A Court H.R., Case of the “Five Pensioners” v. Peru. Merits, Reparations and Costs. Judgment of February 28, 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6B9CD" w14:textId="77777777" w:rsidR="00040C3A" w:rsidRDefault="00040C3A" w:rsidP="00E100C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4A2D326"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E7569"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6704C12" wp14:editId="5D2319D7">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091B2034" w14:textId="77777777" w:rsidR="00040C3A" w:rsidRPr="00EC7D62" w:rsidRDefault="00E100C5" w:rsidP="002C1641">
    <w:pPr>
      <w:pStyle w:val="Header"/>
      <w:tabs>
        <w:tab w:val="clear" w:pos="4320"/>
        <w:tab w:val="clear" w:pos="8640"/>
      </w:tabs>
      <w:jc w:val="center"/>
      <w:rPr>
        <w:sz w:val="22"/>
        <w:szCs w:val="22"/>
      </w:rPr>
    </w:pPr>
    <w:r>
      <w:rPr>
        <w:sz w:val="22"/>
        <w:szCs w:val="22"/>
      </w:rPr>
      <w:pict w14:anchorId="26A33C00">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26AF" w14:textId="77777777" w:rsidR="00B67932" w:rsidRDefault="00B679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788C"/>
    <w:rsid w:val="00022CF5"/>
    <w:rsid w:val="00025C8D"/>
    <w:rsid w:val="00036A8A"/>
    <w:rsid w:val="00040C3A"/>
    <w:rsid w:val="000438DC"/>
    <w:rsid w:val="000639C0"/>
    <w:rsid w:val="00070F3A"/>
    <w:rsid w:val="000716C5"/>
    <w:rsid w:val="00075E23"/>
    <w:rsid w:val="00092F32"/>
    <w:rsid w:val="0009344A"/>
    <w:rsid w:val="000A575F"/>
    <w:rsid w:val="000C4365"/>
    <w:rsid w:val="000D0F59"/>
    <w:rsid w:val="000D10DB"/>
    <w:rsid w:val="000F6845"/>
    <w:rsid w:val="00107F8B"/>
    <w:rsid w:val="00124116"/>
    <w:rsid w:val="0013104F"/>
    <w:rsid w:val="00137EBA"/>
    <w:rsid w:val="00145EDC"/>
    <w:rsid w:val="00153084"/>
    <w:rsid w:val="00163CD8"/>
    <w:rsid w:val="00167A34"/>
    <w:rsid w:val="001714B4"/>
    <w:rsid w:val="0018037F"/>
    <w:rsid w:val="0019062E"/>
    <w:rsid w:val="00192231"/>
    <w:rsid w:val="0019460A"/>
    <w:rsid w:val="001A5F27"/>
    <w:rsid w:val="001A65E4"/>
    <w:rsid w:val="001A7870"/>
    <w:rsid w:val="001C1B41"/>
    <w:rsid w:val="001E366B"/>
    <w:rsid w:val="001F1902"/>
    <w:rsid w:val="00210E0E"/>
    <w:rsid w:val="00210F4B"/>
    <w:rsid w:val="00230163"/>
    <w:rsid w:val="0023351C"/>
    <w:rsid w:val="00233ED9"/>
    <w:rsid w:val="0024461A"/>
    <w:rsid w:val="00247403"/>
    <w:rsid w:val="00247542"/>
    <w:rsid w:val="00257893"/>
    <w:rsid w:val="00266092"/>
    <w:rsid w:val="00266B61"/>
    <w:rsid w:val="0026712A"/>
    <w:rsid w:val="002704DB"/>
    <w:rsid w:val="002760CE"/>
    <w:rsid w:val="002B7A85"/>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771A3"/>
    <w:rsid w:val="00386CF0"/>
    <w:rsid w:val="003A4348"/>
    <w:rsid w:val="003C32BC"/>
    <w:rsid w:val="003E3E03"/>
    <w:rsid w:val="003F1BBF"/>
    <w:rsid w:val="004162B1"/>
    <w:rsid w:val="004165C2"/>
    <w:rsid w:val="00450A4A"/>
    <w:rsid w:val="004660EF"/>
    <w:rsid w:val="004666FB"/>
    <w:rsid w:val="00466D0B"/>
    <w:rsid w:val="00467B7E"/>
    <w:rsid w:val="0049419D"/>
    <w:rsid w:val="004A489E"/>
    <w:rsid w:val="004B2762"/>
    <w:rsid w:val="004B6E45"/>
    <w:rsid w:val="004B7EB6"/>
    <w:rsid w:val="004C41DE"/>
    <w:rsid w:val="004C4B62"/>
    <w:rsid w:val="004D6025"/>
    <w:rsid w:val="004D72BC"/>
    <w:rsid w:val="004F6B67"/>
    <w:rsid w:val="004F7A67"/>
    <w:rsid w:val="00501399"/>
    <w:rsid w:val="00507BC4"/>
    <w:rsid w:val="005128E4"/>
    <w:rsid w:val="005151C0"/>
    <w:rsid w:val="00516347"/>
    <w:rsid w:val="00522C1F"/>
    <w:rsid w:val="00525560"/>
    <w:rsid w:val="005357A6"/>
    <w:rsid w:val="00544C49"/>
    <w:rsid w:val="00567F6C"/>
    <w:rsid w:val="0057402A"/>
    <w:rsid w:val="005771D0"/>
    <w:rsid w:val="0059191A"/>
    <w:rsid w:val="005921FF"/>
    <w:rsid w:val="00592718"/>
    <w:rsid w:val="005A6D0E"/>
    <w:rsid w:val="005B222D"/>
    <w:rsid w:val="005B52B0"/>
    <w:rsid w:val="005B6806"/>
    <w:rsid w:val="005B772D"/>
    <w:rsid w:val="005C00F9"/>
    <w:rsid w:val="005C4225"/>
    <w:rsid w:val="005D742F"/>
    <w:rsid w:val="005F0F33"/>
    <w:rsid w:val="00600DEB"/>
    <w:rsid w:val="00601284"/>
    <w:rsid w:val="00613027"/>
    <w:rsid w:val="00627C9F"/>
    <w:rsid w:val="006311DA"/>
    <w:rsid w:val="006311E9"/>
    <w:rsid w:val="006318B2"/>
    <w:rsid w:val="00632354"/>
    <w:rsid w:val="00642810"/>
    <w:rsid w:val="00652333"/>
    <w:rsid w:val="00653EA6"/>
    <w:rsid w:val="0068009E"/>
    <w:rsid w:val="006A17D2"/>
    <w:rsid w:val="006A73E6"/>
    <w:rsid w:val="006B2D5C"/>
    <w:rsid w:val="006C4EB1"/>
    <w:rsid w:val="006D4707"/>
    <w:rsid w:val="006E0166"/>
    <w:rsid w:val="006E7B34"/>
    <w:rsid w:val="00701B24"/>
    <w:rsid w:val="00703714"/>
    <w:rsid w:val="0071495F"/>
    <w:rsid w:val="0073798E"/>
    <w:rsid w:val="00745899"/>
    <w:rsid w:val="00760618"/>
    <w:rsid w:val="007607C4"/>
    <w:rsid w:val="0076643F"/>
    <w:rsid w:val="00774197"/>
    <w:rsid w:val="00781653"/>
    <w:rsid w:val="007A2F70"/>
    <w:rsid w:val="007C3334"/>
    <w:rsid w:val="007C52BB"/>
    <w:rsid w:val="007D2B98"/>
    <w:rsid w:val="00803F1C"/>
    <w:rsid w:val="0080600E"/>
    <w:rsid w:val="00817612"/>
    <w:rsid w:val="00837C45"/>
    <w:rsid w:val="00846181"/>
    <w:rsid w:val="008509B9"/>
    <w:rsid w:val="00853419"/>
    <w:rsid w:val="00897E12"/>
    <w:rsid w:val="008D43BA"/>
    <w:rsid w:val="008E21FE"/>
    <w:rsid w:val="008E3759"/>
    <w:rsid w:val="008F203E"/>
    <w:rsid w:val="009041DC"/>
    <w:rsid w:val="009104B4"/>
    <w:rsid w:val="009228DA"/>
    <w:rsid w:val="00925FCD"/>
    <w:rsid w:val="00926D2F"/>
    <w:rsid w:val="00933C15"/>
    <w:rsid w:val="0093441A"/>
    <w:rsid w:val="00954BF7"/>
    <w:rsid w:val="0096075F"/>
    <w:rsid w:val="00963991"/>
    <w:rsid w:val="0096706E"/>
    <w:rsid w:val="00981FBA"/>
    <w:rsid w:val="009B381B"/>
    <w:rsid w:val="009D7611"/>
    <w:rsid w:val="009E53DE"/>
    <w:rsid w:val="009E566A"/>
    <w:rsid w:val="009F43FD"/>
    <w:rsid w:val="00A00121"/>
    <w:rsid w:val="00A12DBC"/>
    <w:rsid w:val="00A43458"/>
    <w:rsid w:val="00A528D1"/>
    <w:rsid w:val="00A53B01"/>
    <w:rsid w:val="00A66BE5"/>
    <w:rsid w:val="00A70CAB"/>
    <w:rsid w:val="00AA31C3"/>
    <w:rsid w:val="00AD37C1"/>
    <w:rsid w:val="00AE66EC"/>
    <w:rsid w:val="00AE6F91"/>
    <w:rsid w:val="00AF5571"/>
    <w:rsid w:val="00B06BB7"/>
    <w:rsid w:val="00B167E9"/>
    <w:rsid w:val="00B179ED"/>
    <w:rsid w:val="00B314DB"/>
    <w:rsid w:val="00B31EBE"/>
    <w:rsid w:val="00B348D4"/>
    <w:rsid w:val="00B3718B"/>
    <w:rsid w:val="00B44B23"/>
    <w:rsid w:val="00B4632A"/>
    <w:rsid w:val="00B67932"/>
    <w:rsid w:val="00B92E49"/>
    <w:rsid w:val="00BA276C"/>
    <w:rsid w:val="00BB306F"/>
    <w:rsid w:val="00BB6FA8"/>
    <w:rsid w:val="00BD232B"/>
    <w:rsid w:val="00BD2E42"/>
    <w:rsid w:val="00BD4B89"/>
    <w:rsid w:val="00BF2FF7"/>
    <w:rsid w:val="00C21762"/>
    <w:rsid w:val="00C24543"/>
    <w:rsid w:val="00C256A2"/>
    <w:rsid w:val="00C3492D"/>
    <w:rsid w:val="00C511D1"/>
    <w:rsid w:val="00C55560"/>
    <w:rsid w:val="00C66B72"/>
    <w:rsid w:val="00C9567A"/>
    <w:rsid w:val="00CA6577"/>
    <w:rsid w:val="00CB2660"/>
    <w:rsid w:val="00CC5E90"/>
    <w:rsid w:val="00CD046C"/>
    <w:rsid w:val="00CE5199"/>
    <w:rsid w:val="00CE6483"/>
    <w:rsid w:val="00CE66D5"/>
    <w:rsid w:val="00D172C3"/>
    <w:rsid w:val="00D34786"/>
    <w:rsid w:val="00D40A1E"/>
    <w:rsid w:val="00D514D0"/>
    <w:rsid w:val="00D533C0"/>
    <w:rsid w:val="00D712D3"/>
    <w:rsid w:val="00D71422"/>
    <w:rsid w:val="00D7145E"/>
    <w:rsid w:val="00D75084"/>
    <w:rsid w:val="00D7558D"/>
    <w:rsid w:val="00D81D92"/>
    <w:rsid w:val="00D93446"/>
    <w:rsid w:val="00DA7B5F"/>
    <w:rsid w:val="00DC1F21"/>
    <w:rsid w:val="00DC2815"/>
    <w:rsid w:val="00DF078B"/>
    <w:rsid w:val="00DF350D"/>
    <w:rsid w:val="00E100C5"/>
    <w:rsid w:val="00E227C1"/>
    <w:rsid w:val="00E43157"/>
    <w:rsid w:val="00E47F3D"/>
    <w:rsid w:val="00E533FF"/>
    <w:rsid w:val="00E709B3"/>
    <w:rsid w:val="00E7588C"/>
    <w:rsid w:val="00E829D5"/>
    <w:rsid w:val="00E850B6"/>
    <w:rsid w:val="00E8789F"/>
    <w:rsid w:val="00E93548"/>
    <w:rsid w:val="00E97B71"/>
    <w:rsid w:val="00EB454D"/>
    <w:rsid w:val="00EC7A24"/>
    <w:rsid w:val="00ED0D1B"/>
    <w:rsid w:val="00EE3522"/>
    <w:rsid w:val="00EF619B"/>
    <w:rsid w:val="00F00B55"/>
    <w:rsid w:val="00F01D38"/>
    <w:rsid w:val="00F1380F"/>
    <w:rsid w:val="00F14F0E"/>
    <w:rsid w:val="00F15A3B"/>
    <w:rsid w:val="00F24C29"/>
    <w:rsid w:val="00F253CC"/>
    <w:rsid w:val="00F42B71"/>
    <w:rsid w:val="00F56BA5"/>
    <w:rsid w:val="00F621C3"/>
    <w:rsid w:val="00F644E6"/>
    <w:rsid w:val="00F9653B"/>
    <w:rsid w:val="00FB62CF"/>
    <w:rsid w:val="00FC3EB4"/>
    <w:rsid w:val="00FC6C58"/>
    <w:rsid w:val="00FD694F"/>
    <w:rsid w:val="00FE3BF6"/>
    <w:rsid w:val="00FE6B45"/>
    <w:rsid w:val="00FF5851"/>
    <w:rsid w:val="00FF5974"/>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6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1">
    <w:name w:val="List 21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1">
    <w:name w:val="List 31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1">
    <w:name w:val="List 41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1">
    <w:name w:val="List 51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E4A92916D3B4957831E87F2350FE7BC"/>
        <w:category>
          <w:name w:val="General"/>
          <w:gallery w:val="placeholder"/>
        </w:category>
        <w:types>
          <w:type w:val="bbPlcHdr"/>
        </w:types>
        <w:behaviors>
          <w:behavior w:val="content"/>
        </w:behaviors>
        <w:guid w:val="{A6F66001-1C9E-4E18-9F33-8629F7E45B76}"/>
      </w:docPartPr>
      <w:docPartBody>
        <w:p w:rsidR="00E076D9" w:rsidRDefault="004926DD" w:rsidP="004926DD">
          <w:pPr>
            <w:pStyle w:val="5E4A92916D3B4957831E87F2350FE7BC"/>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1154D6"/>
    <w:rsid w:val="001748D3"/>
    <w:rsid w:val="003037C1"/>
    <w:rsid w:val="004108B1"/>
    <w:rsid w:val="004926DD"/>
    <w:rsid w:val="0092032A"/>
    <w:rsid w:val="00AB44F1"/>
    <w:rsid w:val="00BF48BC"/>
    <w:rsid w:val="00E076D9"/>
    <w:rsid w:val="00E40917"/>
    <w:rsid w:val="00E715BD"/>
    <w:rsid w:val="00EA0868"/>
    <w:rsid w:val="00EC3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26DD"/>
    <w:rPr>
      <w:color w:val="808080"/>
    </w:rPr>
  </w:style>
  <w:style w:type="paragraph" w:customStyle="1" w:styleId="4DBB5F3FC358F64B9E5EFB773263C7D2">
    <w:name w:val="4DBB5F3FC358F64B9E5EFB773263C7D2"/>
    <w:rsid w:val="00AB44F1"/>
  </w:style>
  <w:style w:type="paragraph" w:customStyle="1" w:styleId="5E4A92916D3B4957831E87F2350FE7BC">
    <w:name w:val="5E4A92916D3B4957831E87F2350FE7BC"/>
    <w:rsid w:val="004926DD"/>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AE17B-FB1C-4B93-BA73-A0BF8C8EB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2475</Words>
  <Characters>14113</Characters>
  <Application>Microsoft Office Word</Application>
  <DocSecurity>0</DocSecurity>
  <Lines>117</Lines>
  <Paragraphs>33</Paragraphs>
  <ScaleCrop>false</ScaleCrop>
  <Company/>
  <LinksUpToDate>false</LinksUpToDate>
  <CharactersWithSpaces>16555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216/19</dc:title>
  <dc:subject/>
  <dc:creator/>
  <cp:keywords/>
  <dc:description/>
  <cp:lastModifiedBy/>
  <cp:revision>1</cp:revision>
  <dcterms:created xsi:type="dcterms:W3CDTF">2020-05-14T19:15:00Z</dcterms:created>
  <dcterms:modified xsi:type="dcterms:W3CDTF">2020-05-14T19:15:00Z</dcterms:modified>
</cp:coreProperties>
</file>