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1B3" w:rsidRPr="00006B74" w:rsidRDefault="00DF5840"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B59D13"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" fillcolor="#67ae3c"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01B3" w:rsidRDefault="003F6F9A"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3435985" cy="8108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achr-en.jpg"/>
                                          <pic:cNvPicPr/>
                                        </pic:nvPicPr>
                                        <pic:blipFill>
                                          <a:blip r:embed="rId8">
                                            <a:extLst>
                                              <a:ext uri="{28A0092B-C50C-407E-A947-70E740481C1C}">
                                                <a14:useLocalDpi xmlns:a14="http://schemas.microsoft.com/office/drawing/2010/main" val="0"/>
                                              </a:ext>
                                            </a:extLst>
                                          </a:blip>
                                          <a:stretch>
                                            <a:fillRect/>
                                          </a:stretch>
                                        </pic:blipFill>
                                        <pic:spPr>
                                          <a:xfrm>
                                            <a:off x="0" y="0"/>
                                            <a:ext cx="3435985" cy="810895"/>
                                          </a:xfrm>
                                          <a:prstGeom prst="rect">
                                            <a:avLst/>
                                          </a:prstGeom>
                                        </pic:spPr>
                                      </pic:pic>
                                    </a:graphicData>
                                  </a:graphic>
                                </wp:inline>
                              </w:drawing>
                            </w:r>
                            <w:r w:rsidR="00C901B3">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kctQIAALs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" filled="f" stroked="f" strokeweight=".5pt">
                <v:textbox>
                  <w:txbxContent>
                    <w:p w:rsidR="00C901B3" w:rsidRDefault="003F6F9A"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3435985" cy="8108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achr-en.jpg"/>
                                    <pic:cNvPicPr/>
                                  </pic:nvPicPr>
                                  <pic:blipFill>
                                    <a:blip r:embed="rId8">
                                      <a:extLst>
                                        <a:ext uri="{28A0092B-C50C-407E-A947-70E740481C1C}">
                                          <a14:useLocalDpi xmlns:a14="http://schemas.microsoft.com/office/drawing/2010/main" val="0"/>
                                        </a:ext>
                                      </a:extLst>
                                    </a:blip>
                                    <a:stretch>
                                      <a:fillRect/>
                                    </a:stretch>
                                  </pic:blipFill>
                                  <pic:spPr>
                                    <a:xfrm>
                                      <a:off x="0" y="0"/>
                                      <a:ext cx="3435985" cy="810895"/>
                                    </a:xfrm>
                                    <a:prstGeom prst="rect">
                                      <a:avLst/>
                                    </a:prstGeom>
                                  </pic:spPr>
                                </pic:pic>
                              </a:graphicData>
                            </a:graphic>
                          </wp:inline>
                        </w:drawing>
                      </w:r>
                      <w:r w:rsidR="00C901B3">
                        <w:tab/>
                        <w:t xml:space="preserve">                              </w:t>
                      </w:r>
                    </w:p>
                  </w:txbxContent>
                </v:textbox>
              </v:shape>
            </w:pict>
          </mc:Fallback>
        </mc:AlternateContent>
      </w: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C901B3" w:rsidRPr="00006B74" w:rsidRDefault="00C901B3"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901B3" w:rsidRPr="00006B74" w:rsidRDefault="00C901B3"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901B3" w:rsidRPr="00006B74" w:rsidRDefault="00C901B3"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901B3" w:rsidRPr="00006B74" w:rsidRDefault="00C901B3"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901B3" w:rsidRPr="00006B74" w:rsidRDefault="00C901B3"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901B3" w:rsidRPr="00006B74" w:rsidRDefault="00DF584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19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01B3" w:rsidRPr="00FA0157" w:rsidRDefault="00C901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sidRPr="00FA0157">
                              <w:rPr>
                                <w:rFonts w:ascii="Cambria" w:hAnsi="Cambria" w:cs="Arial"/>
                                <w:b/>
                                <w:bCs/>
                                <w:color w:val="0D0D0D"/>
                                <w:sz w:val="36"/>
                                <w:szCs w:val="22"/>
                              </w:rPr>
                              <w:t xml:space="preserve">REPORT </w:t>
                            </w:r>
                            <w:r w:rsidRPr="00FA0157">
                              <w:rPr>
                                <w:rFonts w:ascii="Cambria" w:hAnsi="Cambria" w:cs="Arial"/>
                                <w:b/>
                                <w:bCs/>
                                <w:color w:val="0D0D0D"/>
                                <w:sz w:val="36"/>
                                <w:szCs w:val="40"/>
                              </w:rPr>
                              <w:t>No.</w:t>
                            </w:r>
                            <w:r w:rsidRPr="00FA0157">
                              <w:rPr>
                                <w:rFonts w:ascii="Cambria" w:hAnsi="Cambria" w:cs="Arial"/>
                                <w:b/>
                                <w:bCs/>
                                <w:color w:val="0D0D0D"/>
                                <w:sz w:val="36"/>
                                <w:szCs w:val="22"/>
                              </w:rPr>
                              <w:t xml:space="preserve"> </w:t>
                            </w:r>
                            <w:r w:rsidR="00D335B2">
                              <w:rPr>
                                <w:rFonts w:ascii="Cambria" w:hAnsi="Cambria" w:cs="Arial"/>
                                <w:b/>
                                <w:bCs/>
                                <w:color w:val="0D0D0D"/>
                                <w:sz w:val="36"/>
                                <w:szCs w:val="22"/>
                              </w:rPr>
                              <w:t>129</w:t>
                            </w:r>
                            <w:r w:rsidRPr="00FA0157">
                              <w:rPr>
                                <w:rFonts w:ascii="Cambria" w:hAnsi="Cambria" w:cs="Arial"/>
                                <w:b/>
                                <w:bCs/>
                                <w:color w:val="0D0D0D"/>
                                <w:sz w:val="36"/>
                                <w:szCs w:val="22"/>
                              </w:rPr>
                              <w:t>/19</w:t>
                            </w:r>
                          </w:p>
                          <w:p w:rsidR="00C901B3" w:rsidRPr="00FA0157" w:rsidRDefault="00C901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sidRPr="00FA0157">
                              <w:rPr>
                                <w:rFonts w:ascii="Cambria" w:hAnsi="Cambria" w:cs="Arial"/>
                                <w:b/>
                                <w:color w:val="0D0D0D"/>
                                <w:sz w:val="36"/>
                                <w:szCs w:val="22"/>
                              </w:rPr>
                              <w:t>PETITION</w:t>
                            </w:r>
                            <w:r w:rsidR="00D335B2">
                              <w:rPr>
                                <w:rFonts w:ascii="Cambria" w:hAnsi="Cambria" w:cs="Arial"/>
                                <w:b/>
                                <w:color w:val="0D0D0D"/>
                                <w:sz w:val="36"/>
                                <w:szCs w:val="22"/>
                              </w:rPr>
                              <w:t xml:space="preserve"> </w:t>
                            </w:r>
                            <w:r w:rsidRPr="00FA0157">
                              <w:rPr>
                                <w:rFonts w:ascii="Cambria" w:hAnsi="Cambria" w:cs="Arial"/>
                                <w:b/>
                                <w:color w:val="0D0D0D"/>
                                <w:sz w:val="36"/>
                                <w:szCs w:val="22"/>
                              </w:rPr>
                              <w:t>153-10</w:t>
                            </w:r>
                          </w:p>
                          <w:p w:rsidR="00C901B3" w:rsidRPr="00FA0157" w:rsidRDefault="00C901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A0157">
                              <w:rPr>
                                <w:rFonts w:ascii="Cambria" w:hAnsi="Cambria" w:cs="Arial"/>
                                <w:color w:val="0D0D0D"/>
                                <w:szCs w:val="22"/>
                              </w:rPr>
                              <w:t>ADMISSIBILITY REPORT</w:t>
                            </w:r>
                          </w:p>
                          <w:p w:rsidR="00C901B3" w:rsidRPr="00FA0157" w:rsidRDefault="00C901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0" w:name="_ftnref1"/>
                          </w:p>
                          <w:p w:rsidR="00C901B3" w:rsidRPr="00FA0157" w:rsidRDefault="00C901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FA0157">
                              <w:rPr>
                                <w:rFonts w:ascii="Cambria" w:hAnsi="Cambria" w:cs="Arial"/>
                                <w:color w:val="0D0D0D"/>
                                <w:szCs w:val="22"/>
                                <w:lang w:val="es-ES_tradnl"/>
                              </w:rPr>
                              <w:t>ROGELIO MONTEMAYOR SEGUY</w:t>
                            </w:r>
                          </w:p>
                          <w:bookmarkEnd w:id="0"/>
                          <w:p w:rsidR="00C901B3" w:rsidRPr="00FA0157" w:rsidRDefault="00C901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FA0157">
                              <w:rPr>
                                <w:rFonts w:ascii="Cambria" w:hAnsi="Cambria" w:cs="Arial"/>
                                <w:color w:val="0D0D0D"/>
                                <w:szCs w:val="22"/>
                                <w:lang w:val="es-ES_tradnl"/>
                              </w:rPr>
                              <w:t>MEXICO</w:t>
                            </w:r>
                          </w:p>
                          <w:p w:rsidR="00C901B3" w:rsidRPr="00FA0157" w:rsidRDefault="00C901B3"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m5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PYC&#10;mbm5AgAAwQUAAA4AAAAAAAAAAAAAAAAALgIAAGRycy9lMm9Eb2MueG1sUEsBAi0AFAAGAAgAAAAh&#10;AICKHzfiAAAACgEAAA8AAAAAAAAAAAAAAAAAEwUAAGRycy9kb3ducmV2LnhtbFBLBQYAAAAABAAE&#10;APMAAAAiBgAAAAA=&#10;" filled="f" stroked="f" strokeweight=".5pt">
                <v:textbox>
                  <w:txbxContent>
                    <w:p w:rsidR="00C901B3" w:rsidRPr="00FA0157" w:rsidRDefault="00C901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sidRPr="00FA0157">
                        <w:rPr>
                          <w:rFonts w:ascii="Cambria" w:hAnsi="Cambria" w:cs="Arial"/>
                          <w:b/>
                          <w:bCs/>
                          <w:color w:val="0D0D0D"/>
                          <w:sz w:val="36"/>
                          <w:szCs w:val="22"/>
                        </w:rPr>
                        <w:t xml:space="preserve">REPORT </w:t>
                      </w:r>
                      <w:r w:rsidRPr="00FA0157">
                        <w:rPr>
                          <w:rFonts w:ascii="Cambria" w:hAnsi="Cambria" w:cs="Arial"/>
                          <w:b/>
                          <w:bCs/>
                          <w:color w:val="0D0D0D"/>
                          <w:sz w:val="36"/>
                          <w:szCs w:val="40"/>
                        </w:rPr>
                        <w:t>No.</w:t>
                      </w:r>
                      <w:r w:rsidRPr="00FA0157">
                        <w:rPr>
                          <w:rFonts w:ascii="Cambria" w:hAnsi="Cambria" w:cs="Arial"/>
                          <w:b/>
                          <w:bCs/>
                          <w:color w:val="0D0D0D"/>
                          <w:sz w:val="36"/>
                          <w:szCs w:val="22"/>
                        </w:rPr>
                        <w:t xml:space="preserve"> </w:t>
                      </w:r>
                      <w:r w:rsidR="00D335B2">
                        <w:rPr>
                          <w:rFonts w:ascii="Cambria" w:hAnsi="Cambria" w:cs="Arial"/>
                          <w:b/>
                          <w:bCs/>
                          <w:color w:val="0D0D0D"/>
                          <w:sz w:val="36"/>
                          <w:szCs w:val="22"/>
                        </w:rPr>
                        <w:t>129</w:t>
                      </w:r>
                      <w:r w:rsidRPr="00FA0157">
                        <w:rPr>
                          <w:rFonts w:ascii="Cambria" w:hAnsi="Cambria" w:cs="Arial"/>
                          <w:b/>
                          <w:bCs/>
                          <w:color w:val="0D0D0D"/>
                          <w:sz w:val="36"/>
                          <w:szCs w:val="22"/>
                        </w:rPr>
                        <w:t>/19</w:t>
                      </w:r>
                    </w:p>
                    <w:p w:rsidR="00C901B3" w:rsidRPr="00FA0157" w:rsidRDefault="00C901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sidRPr="00FA0157">
                        <w:rPr>
                          <w:rFonts w:ascii="Cambria" w:hAnsi="Cambria" w:cs="Arial"/>
                          <w:b/>
                          <w:color w:val="0D0D0D"/>
                          <w:sz w:val="36"/>
                          <w:szCs w:val="22"/>
                        </w:rPr>
                        <w:t>PETITION</w:t>
                      </w:r>
                      <w:r w:rsidR="00D335B2">
                        <w:rPr>
                          <w:rFonts w:ascii="Cambria" w:hAnsi="Cambria" w:cs="Arial"/>
                          <w:b/>
                          <w:color w:val="0D0D0D"/>
                          <w:sz w:val="36"/>
                          <w:szCs w:val="22"/>
                        </w:rPr>
                        <w:t xml:space="preserve"> </w:t>
                      </w:r>
                      <w:r w:rsidRPr="00FA0157">
                        <w:rPr>
                          <w:rFonts w:ascii="Cambria" w:hAnsi="Cambria" w:cs="Arial"/>
                          <w:b/>
                          <w:color w:val="0D0D0D"/>
                          <w:sz w:val="36"/>
                          <w:szCs w:val="22"/>
                        </w:rPr>
                        <w:t>153-10</w:t>
                      </w:r>
                    </w:p>
                    <w:p w:rsidR="00C901B3" w:rsidRPr="00FA0157" w:rsidRDefault="00C901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A0157">
                        <w:rPr>
                          <w:rFonts w:ascii="Cambria" w:hAnsi="Cambria" w:cs="Arial"/>
                          <w:color w:val="0D0D0D"/>
                          <w:szCs w:val="22"/>
                        </w:rPr>
                        <w:t>ADMISSIBILITY REPORT</w:t>
                      </w:r>
                    </w:p>
                    <w:p w:rsidR="00C901B3" w:rsidRPr="00FA0157" w:rsidRDefault="00C901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1" w:name="_ftnref1"/>
                    </w:p>
                    <w:p w:rsidR="00C901B3" w:rsidRPr="00FA0157" w:rsidRDefault="00C901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FA0157">
                        <w:rPr>
                          <w:rFonts w:ascii="Cambria" w:hAnsi="Cambria" w:cs="Arial"/>
                          <w:color w:val="0D0D0D"/>
                          <w:szCs w:val="22"/>
                          <w:lang w:val="es-ES_tradnl"/>
                        </w:rPr>
                        <w:t>ROGELIO MONTEMAYOR SEGUY</w:t>
                      </w:r>
                    </w:p>
                    <w:bookmarkEnd w:id="1"/>
                    <w:p w:rsidR="00C901B3" w:rsidRPr="00FA0157" w:rsidRDefault="00C901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FA0157">
                        <w:rPr>
                          <w:rFonts w:ascii="Cambria" w:hAnsi="Cambria" w:cs="Arial"/>
                          <w:color w:val="0D0D0D"/>
                          <w:szCs w:val="22"/>
                          <w:lang w:val="es-ES_tradnl"/>
                        </w:rPr>
                        <w:t>MEXICO</w:t>
                      </w:r>
                    </w:p>
                    <w:p w:rsidR="00C901B3" w:rsidRPr="00FA0157" w:rsidRDefault="00C901B3"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01B3" w:rsidRPr="00D335B2" w:rsidRDefault="00C901B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D335B2">
                              <w:rPr>
                                <w:rFonts w:ascii="Calibri" w:hAnsi="Calibri"/>
                                <w:color w:val="FFFFFF"/>
                                <w:sz w:val="22"/>
                              </w:rPr>
                              <w:t>OEA/</w:t>
                            </w:r>
                            <w:proofErr w:type="spellStart"/>
                            <w:r w:rsidRPr="00D335B2">
                              <w:rPr>
                                <w:rFonts w:ascii="Calibri" w:hAnsi="Calibri"/>
                                <w:color w:val="FFFFFF"/>
                                <w:sz w:val="22"/>
                              </w:rPr>
                              <w:t>Ser.L</w:t>
                            </w:r>
                            <w:proofErr w:type="spellEnd"/>
                            <w:r w:rsidRPr="00D335B2">
                              <w:rPr>
                                <w:rFonts w:ascii="Calibri" w:hAnsi="Calibri"/>
                                <w:color w:val="FFFFFF"/>
                                <w:sz w:val="22"/>
                              </w:rPr>
                              <w:t>/V/II.</w:t>
                            </w:r>
                          </w:p>
                          <w:p w:rsidR="00C901B3" w:rsidRPr="00D335B2" w:rsidRDefault="00D335B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D335B2">
                              <w:rPr>
                                <w:rFonts w:ascii="Calibri" w:hAnsi="Calibri"/>
                                <w:color w:val="FFFFFF"/>
                                <w:sz w:val="22"/>
                              </w:rPr>
                              <w:t>Doc. 13</w:t>
                            </w:r>
                            <w:r>
                              <w:rPr>
                                <w:rFonts w:ascii="Calibri" w:hAnsi="Calibri"/>
                                <w:color w:val="FFFFFF"/>
                                <w:sz w:val="22"/>
                              </w:rPr>
                              <w:t>8</w:t>
                            </w:r>
                          </w:p>
                          <w:p w:rsidR="00C901B3" w:rsidRPr="00FA0157" w:rsidRDefault="00D335B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rPr>
                              <w:t>14 August</w:t>
                            </w:r>
                            <w:r w:rsidR="00C901B3" w:rsidRPr="00FA0157">
                              <w:rPr>
                                <w:rFonts w:ascii="Calibri" w:hAnsi="Calibri"/>
                                <w:color w:val="FFFFFF"/>
                                <w:sz w:val="22"/>
                              </w:rPr>
                              <w:t xml:space="preserve"> 2019</w:t>
                            </w:r>
                          </w:p>
                          <w:p w:rsidR="00C901B3" w:rsidRPr="00FA0157" w:rsidRDefault="00C901B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FA0157">
                              <w:rPr>
                                <w:rFonts w:ascii="Calibri" w:hAnsi="Calibri"/>
                                <w:color w:val="FFFFFF"/>
                                <w:sz w:val="22"/>
                              </w:rPr>
                              <w:t>Original: 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oB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" filled="f" stroked="f" strokeweight=".5pt">
                <v:textbox>
                  <w:txbxContent>
                    <w:p w:rsidR="00C901B3" w:rsidRPr="00D335B2" w:rsidRDefault="00C901B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D335B2">
                        <w:rPr>
                          <w:rFonts w:ascii="Calibri" w:hAnsi="Calibri"/>
                          <w:color w:val="FFFFFF"/>
                          <w:sz w:val="22"/>
                        </w:rPr>
                        <w:t>OEA/</w:t>
                      </w:r>
                      <w:proofErr w:type="spellStart"/>
                      <w:r w:rsidRPr="00D335B2">
                        <w:rPr>
                          <w:rFonts w:ascii="Calibri" w:hAnsi="Calibri"/>
                          <w:color w:val="FFFFFF"/>
                          <w:sz w:val="22"/>
                        </w:rPr>
                        <w:t>Ser.L</w:t>
                      </w:r>
                      <w:proofErr w:type="spellEnd"/>
                      <w:r w:rsidRPr="00D335B2">
                        <w:rPr>
                          <w:rFonts w:ascii="Calibri" w:hAnsi="Calibri"/>
                          <w:color w:val="FFFFFF"/>
                          <w:sz w:val="22"/>
                        </w:rPr>
                        <w:t>/V/II.</w:t>
                      </w:r>
                    </w:p>
                    <w:p w:rsidR="00C901B3" w:rsidRPr="00D335B2" w:rsidRDefault="00D335B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D335B2">
                        <w:rPr>
                          <w:rFonts w:ascii="Calibri" w:hAnsi="Calibri"/>
                          <w:color w:val="FFFFFF"/>
                          <w:sz w:val="22"/>
                        </w:rPr>
                        <w:t>Doc. 13</w:t>
                      </w:r>
                      <w:r>
                        <w:rPr>
                          <w:rFonts w:ascii="Calibri" w:hAnsi="Calibri"/>
                          <w:color w:val="FFFFFF"/>
                          <w:sz w:val="22"/>
                        </w:rPr>
                        <w:t>8</w:t>
                      </w:r>
                    </w:p>
                    <w:p w:rsidR="00C901B3" w:rsidRPr="00FA0157" w:rsidRDefault="00D335B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rPr>
                        <w:t>14 August</w:t>
                      </w:r>
                      <w:r w:rsidR="00C901B3" w:rsidRPr="00FA0157">
                        <w:rPr>
                          <w:rFonts w:ascii="Calibri" w:hAnsi="Calibri"/>
                          <w:color w:val="FFFFFF"/>
                          <w:sz w:val="22"/>
                        </w:rPr>
                        <w:t xml:space="preserve"> 2019</w:t>
                      </w:r>
                    </w:p>
                    <w:p w:rsidR="00C901B3" w:rsidRPr="00FA0157" w:rsidRDefault="00C901B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FA0157">
                        <w:rPr>
                          <w:rFonts w:ascii="Calibri" w:hAnsi="Calibri"/>
                          <w:color w:val="FFFFFF"/>
                          <w:sz w:val="22"/>
                        </w:rPr>
                        <w:t>Original: Spanish</w:t>
                      </w:r>
                    </w:p>
                  </w:txbxContent>
                </v:textbox>
              </v:shape>
            </w:pict>
          </mc:Fallback>
        </mc:AlternateContent>
      </w: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bookmarkStart w:id="2" w:name="_GoBack"/>
      <w:bookmarkEnd w:id="2"/>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901B3" w:rsidRPr="00006B74" w:rsidRDefault="00DF584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127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01B3" w:rsidRPr="00FA0157" w:rsidRDefault="00C901B3"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FA0157">
                              <w:rPr>
                                <w:rFonts w:ascii="Cambria" w:hAnsi="Cambria"/>
                                <w:color w:val="0D0D0D"/>
                                <w:sz w:val="18"/>
                                <w:szCs w:val="22"/>
                              </w:rPr>
                              <w:t xml:space="preserve">Approved electronically by the </w:t>
                            </w:r>
                            <w:r w:rsidR="003F6F9A" w:rsidRPr="00FA0157">
                              <w:rPr>
                                <w:rFonts w:ascii="Cambria" w:hAnsi="Cambria"/>
                                <w:color w:val="0D0D0D"/>
                                <w:sz w:val="18"/>
                                <w:szCs w:val="22"/>
                              </w:rPr>
                              <w:t>Commission</w:t>
                            </w:r>
                            <w:r w:rsidRPr="00FA0157">
                              <w:rPr>
                                <w:rFonts w:ascii="Cambria" w:hAnsi="Cambria"/>
                                <w:color w:val="0D0D0D"/>
                                <w:sz w:val="18"/>
                                <w:szCs w:val="22"/>
                              </w:rPr>
                              <w:t xml:space="preserve"> on </w:t>
                            </w:r>
                            <w:r w:rsidR="003F6F9A">
                              <w:rPr>
                                <w:rFonts w:ascii="Cambria" w:hAnsi="Cambria"/>
                                <w:color w:val="0D0D0D"/>
                                <w:sz w:val="18"/>
                                <w:szCs w:val="22"/>
                              </w:rPr>
                              <w:t>August 14,</w:t>
                            </w:r>
                            <w:r w:rsidRPr="00FA0157">
                              <w:rPr>
                                <w:rFonts w:ascii="Cambria" w:hAnsi="Cambria"/>
                                <w:color w:val="0D0D0D"/>
                                <w:sz w:val="18"/>
                                <w:szCs w:val="22"/>
                              </w:rPr>
                              <w:t xml:space="preserve"> 2019</w:t>
                            </w:r>
                            <w:r w:rsidR="003F6F9A">
                              <w:rPr>
                                <w:rFonts w:ascii="Cambria" w:hAnsi="Cambria"/>
                                <w:color w:val="0D0D0D"/>
                                <w:sz w:val="18"/>
                                <w:szCs w:val="22"/>
                              </w:rPr>
                              <w:t>.</w:t>
                            </w:r>
                          </w:p>
                          <w:p w:rsidR="00C901B3" w:rsidRPr="00FA0157" w:rsidRDefault="00C901B3"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rPr>
                            </w:pPr>
                          </w:p>
                          <w:p w:rsidR="00C901B3" w:rsidRPr="00FA0157" w:rsidRDefault="00C901B3"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2vuAIAAMA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" filled="f" stroked="f" strokeweight=".5pt">
                <v:textbox>
                  <w:txbxContent>
                    <w:p w:rsidR="00C901B3" w:rsidRPr="00FA0157" w:rsidRDefault="00C901B3"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FA0157">
                        <w:rPr>
                          <w:rFonts w:ascii="Cambria" w:hAnsi="Cambria"/>
                          <w:color w:val="0D0D0D"/>
                          <w:sz w:val="18"/>
                          <w:szCs w:val="22"/>
                        </w:rPr>
                        <w:t xml:space="preserve">Approved electronically by the </w:t>
                      </w:r>
                      <w:r w:rsidR="003F6F9A" w:rsidRPr="00FA0157">
                        <w:rPr>
                          <w:rFonts w:ascii="Cambria" w:hAnsi="Cambria"/>
                          <w:color w:val="0D0D0D"/>
                          <w:sz w:val="18"/>
                          <w:szCs w:val="22"/>
                        </w:rPr>
                        <w:t>Commission</w:t>
                      </w:r>
                      <w:r w:rsidRPr="00FA0157">
                        <w:rPr>
                          <w:rFonts w:ascii="Cambria" w:hAnsi="Cambria"/>
                          <w:color w:val="0D0D0D"/>
                          <w:sz w:val="18"/>
                          <w:szCs w:val="22"/>
                        </w:rPr>
                        <w:t xml:space="preserve"> on </w:t>
                      </w:r>
                      <w:r w:rsidR="003F6F9A">
                        <w:rPr>
                          <w:rFonts w:ascii="Cambria" w:hAnsi="Cambria"/>
                          <w:color w:val="0D0D0D"/>
                          <w:sz w:val="18"/>
                          <w:szCs w:val="22"/>
                        </w:rPr>
                        <w:t>August 14,</w:t>
                      </w:r>
                      <w:r w:rsidRPr="00FA0157">
                        <w:rPr>
                          <w:rFonts w:ascii="Cambria" w:hAnsi="Cambria"/>
                          <w:color w:val="0D0D0D"/>
                          <w:sz w:val="18"/>
                          <w:szCs w:val="22"/>
                        </w:rPr>
                        <w:t xml:space="preserve"> 2019</w:t>
                      </w:r>
                      <w:r w:rsidR="003F6F9A">
                        <w:rPr>
                          <w:rFonts w:ascii="Cambria" w:hAnsi="Cambria"/>
                          <w:color w:val="0D0D0D"/>
                          <w:sz w:val="18"/>
                          <w:szCs w:val="22"/>
                        </w:rPr>
                        <w:t>.</w:t>
                      </w:r>
                    </w:p>
                    <w:p w:rsidR="00C901B3" w:rsidRPr="00FA0157" w:rsidRDefault="00C901B3"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rPr>
                      </w:pPr>
                    </w:p>
                    <w:p w:rsidR="00C901B3" w:rsidRPr="00FA0157" w:rsidRDefault="00C901B3"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rPr>
                      </w:pPr>
                    </w:p>
                  </w:txbxContent>
                </v:textbox>
              </v:shape>
            </w:pict>
          </mc:Fallback>
        </mc:AlternateContent>
      </w: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901B3" w:rsidRPr="00006B74" w:rsidRDefault="00DF584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317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01B3" w:rsidRPr="00D22479" w:rsidRDefault="00C901B3"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rPr>
                            </w:pPr>
                            <w:r w:rsidRPr="00D22479">
                              <w:rPr>
                                <w:rFonts w:ascii="Cambria" w:hAnsi="Cambria"/>
                                <w:b/>
                                <w:color w:val="595959"/>
                                <w:sz w:val="18"/>
                                <w:szCs w:val="18"/>
                              </w:rPr>
                              <w:t>Cite as:</w:t>
                            </w:r>
                            <w:r w:rsidRPr="00D22479">
                              <w:rPr>
                                <w:rFonts w:ascii="Cambria" w:hAnsi="Cambria"/>
                                <w:color w:val="595959"/>
                                <w:sz w:val="18"/>
                                <w:szCs w:val="18"/>
                              </w:rPr>
                              <w:t xml:space="preserve"> IACHR. Report No.</w:t>
                            </w:r>
                            <w:r w:rsidR="003F6F9A">
                              <w:rPr>
                                <w:rFonts w:ascii="Cambria" w:hAnsi="Cambria"/>
                                <w:color w:val="595959"/>
                                <w:sz w:val="18"/>
                                <w:szCs w:val="18"/>
                              </w:rPr>
                              <w:t xml:space="preserve"> 129</w:t>
                            </w:r>
                            <w:r w:rsidRPr="00D22479">
                              <w:rPr>
                                <w:rFonts w:ascii="Cambria" w:hAnsi="Cambria"/>
                                <w:color w:val="595959"/>
                                <w:sz w:val="18"/>
                                <w:szCs w:val="18"/>
                              </w:rPr>
                              <w:t>/19]. [Admissibi</w:t>
                            </w:r>
                            <w:r w:rsidR="003F6F9A">
                              <w:rPr>
                                <w:rFonts w:ascii="Cambria" w:hAnsi="Cambria"/>
                                <w:color w:val="595959"/>
                                <w:sz w:val="18"/>
                                <w:szCs w:val="18"/>
                              </w:rPr>
                              <w:t xml:space="preserve">lity. Rogelio </w:t>
                            </w:r>
                            <w:proofErr w:type="spellStart"/>
                            <w:r w:rsidR="003F6F9A">
                              <w:rPr>
                                <w:rFonts w:ascii="Cambria" w:hAnsi="Cambria"/>
                                <w:color w:val="595959"/>
                                <w:sz w:val="18"/>
                                <w:szCs w:val="18"/>
                              </w:rPr>
                              <w:t>Montemayor</w:t>
                            </w:r>
                            <w:proofErr w:type="spellEnd"/>
                            <w:r w:rsidR="003F6F9A">
                              <w:rPr>
                                <w:rFonts w:ascii="Cambria" w:hAnsi="Cambria"/>
                                <w:color w:val="595959"/>
                                <w:sz w:val="18"/>
                                <w:szCs w:val="18"/>
                              </w:rPr>
                              <w:t xml:space="preserve"> </w:t>
                            </w:r>
                            <w:proofErr w:type="spellStart"/>
                            <w:r w:rsidR="003F6F9A">
                              <w:rPr>
                                <w:rFonts w:ascii="Cambria" w:hAnsi="Cambria"/>
                                <w:color w:val="595959"/>
                                <w:sz w:val="18"/>
                                <w:szCs w:val="18"/>
                              </w:rPr>
                              <w:t>Seguy</w:t>
                            </w:r>
                            <w:proofErr w:type="spellEnd"/>
                            <w:r w:rsidR="003F6F9A">
                              <w:rPr>
                                <w:rFonts w:ascii="Cambria" w:hAnsi="Cambria"/>
                                <w:color w:val="595959"/>
                                <w:sz w:val="18"/>
                                <w:szCs w:val="18"/>
                              </w:rPr>
                              <w:t>. Mexico. August 14,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eDuAIAAME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" filled="f" stroked="f" strokeweight=".5pt">
                <v:textbox>
                  <w:txbxContent>
                    <w:p w:rsidR="00C901B3" w:rsidRPr="00D22479" w:rsidRDefault="00C901B3"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rPr>
                      </w:pPr>
                      <w:r w:rsidRPr="00D22479">
                        <w:rPr>
                          <w:rFonts w:ascii="Cambria" w:hAnsi="Cambria"/>
                          <w:b/>
                          <w:color w:val="595959"/>
                          <w:sz w:val="18"/>
                          <w:szCs w:val="18"/>
                        </w:rPr>
                        <w:t>Cite as:</w:t>
                      </w:r>
                      <w:r w:rsidRPr="00D22479">
                        <w:rPr>
                          <w:rFonts w:ascii="Cambria" w:hAnsi="Cambria"/>
                          <w:color w:val="595959"/>
                          <w:sz w:val="18"/>
                          <w:szCs w:val="18"/>
                        </w:rPr>
                        <w:t xml:space="preserve"> IACHR. Report No.</w:t>
                      </w:r>
                      <w:r w:rsidR="003F6F9A">
                        <w:rPr>
                          <w:rFonts w:ascii="Cambria" w:hAnsi="Cambria"/>
                          <w:color w:val="595959"/>
                          <w:sz w:val="18"/>
                          <w:szCs w:val="18"/>
                        </w:rPr>
                        <w:t xml:space="preserve"> 129</w:t>
                      </w:r>
                      <w:r w:rsidRPr="00D22479">
                        <w:rPr>
                          <w:rFonts w:ascii="Cambria" w:hAnsi="Cambria"/>
                          <w:color w:val="595959"/>
                          <w:sz w:val="18"/>
                          <w:szCs w:val="18"/>
                        </w:rPr>
                        <w:t>/19]. [Admissibi</w:t>
                      </w:r>
                      <w:r w:rsidR="003F6F9A">
                        <w:rPr>
                          <w:rFonts w:ascii="Cambria" w:hAnsi="Cambria"/>
                          <w:color w:val="595959"/>
                          <w:sz w:val="18"/>
                          <w:szCs w:val="18"/>
                        </w:rPr>
                        <w:t xml:space="preserve">lity. Rogelio </w:t>
                      </w:r>
                      <w:proofErr w:type="spellStart"/>
                      <w:r w:rsidR="003F6F9A">
                        <w:rPr>
                          <w:rFonts w:ascii="Cambria" w:hAnsi="Cambria"/>
                          <w:color w:val="595959"/>
                          <w:sz w:val="18"/>
                          <w:szCs w:val="18"/>
                        </w:rPr>
                        <w:t>Montemayor</w:t>
                      </w:r>
                      <w:proofErr w:type="spellEnd"/>
                      <w:r w:rsidR="003F6F9A">
                        <w:rPr>
                          <w:rFonts w:ascii="Cambria" w:hAnsi="Cambria"/>
                          <w:color w:val="595959"/>
                          <w:sz w:val="18"/>
                          <w:szCs w:val="18"/>
                        </w:rPr>
                        <w:t xml:space="preserve"> </w:t>
                      </w:r>
                      <w:proofErr w:type="spellStart"/>
                      <w:r w:rsidR="003F6F9A">
                        <w:rPr>
                          <w:rFonts w:ascii="Cambria" w:hAnsi="Cambria"/>
                          <w:color w:val="595959"/>
                          <w:sz w:val="18"/>
                          <w:szCs w:val="18"/>
                        </w:rPr>
                        <w:t>Seguy</w:t>
                      </w:r>
                      <w:proofErr w:type="spellEnd"/>
                      <w:r w:rsidR="003F6F9A">
                        <w:rPr>
                          <w:rFonts w:ascii="Cambria" w:hAnsi="Cambria"/>
                          <w:color w:val="595959"/>
                          <w:sz w:val="18"/>
                          <w:szCs w:val="18"/>
                        </w:rPr>
                        <w:t>. Mexico. August 14, 2019.</w:t>
                      </w:r>
                    </w:p>
                  </w:txbxContent>
                </v:textbox>
              </v:shape>
            </w:pict>
          </mc:Fallback>
        </mc:AlternateContent>
      </w:r>
    </w:p>
    <w:p w:rsidR="00C901B3" w:rsidRPr="00006B74" w:rsidRDefault="00C901B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901B3" w:rsidRPr="00006B74" w:rsidRDefault="00DF5840"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pPr>
      <w:r>
        <w:rPr>
          <w:noProof/>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901B3" w:rsidRPr="00FA0157" w:rsidRDefault="003F6F9A" w:rsidP="00F02AD1">
                            <w:pPr>
                              <w:pBdr>
                                <w:top w:val="none" w:sz="0" w:space="0" w:color="auto"/>
                                <w:left w:val="none" w:sz="0" w:space="0" w:color="auto"/>
                                <w:bottom w:val="none" w:sz="0" w:space="0" w:color="auto"/>
                                <w:right w:val="none" w:sz="0" w:space="0" w:color="auto"/>
                                <w:bar w:val="none" w:sz="0" w:color="auto"/>
                              </w:pBdr>
                              <w:rPr>
                                <w:color w:val="FFFFFF"/>
                              </w:rPr>
                            </w:pPr>
                            <w:r>
                              <w:rPr>
                                <w:noProof/>
                              </w:rPr>
                              <w:drawing>
                                <wp:inline distT="0" distB="0" distL="0" distR="0" wp14:anchorId="7C8B8360" wp14:editId="0B7F9CCF">
                                  <wp:extent cx="1519555" cy="387985"/>
                                  <wp:effectExtent l="0" t="0" r="4445" b="0"/>
                                  <wp:docPr id="12" name="Picture 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C901B3" w:rsidRPr="00FA0157" w:rsidRDefault="003F6F9A" w:rsidP="00F02AD1">
                      <w:pPr>
                        <w:pBdr>
                          <w:top w:val="none" w:sz="0" w:space="0" w:color="auto"/>
                          <w:left w:val="none" w:sz="0" w:space="0" w:color="auto"/>
                          <w:bottom w:val="none" w:sz="0" w:space="0" w:color="auto"/>
                          <w:right w:val="none" w:sz="0" w:space="0" w:color="auto"/>
                          <w:bar w:val="none" w:sz="0" w:color="auto"/>
                        </w:pBdr>
                        <w:rPr>
                          <w:color w:val="FFFFFF"/>
                        </w:rPr>
                      </w:pPr>
                      <w:r>
                        <w:rPr>
                          <w:noProof/>
                        </w:rPr>
                        <w:drawing>
                          <wp:inline distT="0" distB="0" distL="0" distR="0" wp14:anchorId="7C8B8360" wp14:editId="0B7F9CCF">
                            <wp:extent cx="1519555" cy="387985"/>
                            <wp:effectExtent l="0" t="0" r="4445" b="0"/>
                            <wp:docPr id="12" name="Picture 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381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01B3" w:rsidRPr="00FA0157" w:rsidRDefault="00C901B3"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FA0157">
                              <w:rPr>
                                <w:rFonts w:ascii="Calibri" w:hAnsi="Calibri"/>
                                <w:b/>
                                <w:color w:val="FFFFFF"/>
                                <w:lang w:val="pt-BR"/>
                              </w:rPr>
                              <w:t>www.cidh.org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" filled="f" stroked="f" strokeweight=".5pt">
                <v:textbox>
                  <w:txbxContent>
                    <w:p w:rsidR="00C901B3" w:rsidRPr="00FA0157" w:rsidRDefault="00C901B3"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FA0157">
                        <w:rPr>
                          <w:rFonts w:ascii="Calibri" w:hAnsi="Calibri"/>
                          <w:b/>
                          <w:color w:val="FFFFFF"/>
                          <w:lang w:val="pt-BR"/>
                        </w:rPr>
                        <w:t>www.cidh.org</w:t>
                      </w:r>
                    </w:p>
                  </w:txbxContent>
                </v:textbox>
              </v:shape>
            </w:pict>
          </mc:Fallback>
        </mc:AlternateContent>
      </w:r>
    </w:p>
    <w:p w:rsidR="00C901B3" w:rsidRPr="00006B74" w:rsidRDefault="00C901B3"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sectPr w:rsidR="00C901B3" w:rsidRPr="00006B74" w:rsidSect="006F0406">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rtlGutter/>
          <w:docGrid w:linePitch="326"/>
        </w:sectPr>
      </w:pPr>
      <w:r w:rsidRPr="00006B74">
        <w:rPr>
          <w:rFonts w:ascii="Cambria" w:hAnsi="Cambria"/>
          <w:b/>
          <w:sz w:val="20"/>
          <w:lang w:val="es-ES"/>
        </w:rPr>
        <w:tab/>
      </w:r>
    </w:p>
    <w:p w:rsidR="00C901B3" w:rsidRPr="00B065E6" w:rsidRDefault="00C901B3" w:rsidP="007C402A">
      <w:pPr>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b/>
          <w:bCs/>
          <w:sz w:val="20"/>
          <w:szCs w:val="20"/>
        </w:rPr>
      </w:pPr>
      <w:r w:rsidRPr="00B065E6">
        <w:rPr>
          <w:rFonts w:ascii="Cambria" w:hAnsi="Cambria"/>
          <w:b/>
          <w:bCs/>
          <w:sz w:val="20"/>
          <w:szCs w:val="20"/>
        </w:rPr>
        <w:lastRenderedPageBreak/>
        <w:t>I.</w:t>
      </w:r>
      <w:r w:rsidRPr="00B065E6">
        <w:rPr>
          <w:rFonts w:ascii="Cambria" w:hAnsi="Cambria"/>
          <w:b/>
          <w:bCs/>
          <w:sz w:val="20"/>
          <w:szCs w:val="20"/>
        </w:rPr>
        <w:tab/>
        <w:t xml:space="preserve">INFORMATION ABOUT THE PETITION </w:t>
      </w:r>
    </w:p>
    <w:tbl>
      <w:tblPr>
        <w:tblW w:w="9360" w:type="dxa"/>
        <w:tblInd w:w="108" w:type="dxa"/>
        <w:tblBorders>
          <w:top w:val="single" w:sz="4" w:space="0" w:color="auto"/>
          <w:left w:val="single" w:sz="4" w:space="0" w:color="auto"/>
          <w:bottom w:val="single" w:sz="4" w:space="0" w:color="auto"/>
          <w:right w:val="single" w:sz="6" w:space="0" w:color="auto"/>
          <w:insideH w:val="single" w:sz="6" w:space="0" w:color="auto"/>
          <w:insideV w:val="single" w:sz="6" w:space="0" w:color="auto"/>
        </w:tblBorders>
        <w:tblLook w:val="00A0" w:firstRow="1" w:lastRow="0" w:firstColumn="1" w:lastColumn="0" w:noHBand="0" w:noVBand="0"/>
      </w:tblPr>
      <w:tblGrid>
        <w:gridCol w:w="2790"/>
        <w:gridCol w:w="6570"/>
      </w:tblGrid>
      <w:tr w:rsidR="00C901B3" w:rsidRPr="00006B74" w:rsidTr="006F0406">
        <w:tc>
          <w:tcPr>
            <w:tcW w:w="2790" w:type="dxa"/>
            <w:tcBorders>
              <w:top w:val="single" w:sz="4" w:space="0" w:color="auto"/>
              <w:bottom w:val="single" w:sz="6" w:space="0" w:color="auto"/>
            </w:tcBorders>
            <w:shd w:val="clear" w:color="auto" w:fill="67AE3C"/>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FA0157">
              <w:rPr>
                <w:rFonts w:ascii="Cambria" w:hAnsi="Cambria"/>
                <w:bCs/>
                <w:color w:val="FFFFFF"/>
                <w:sz w:val="19"/>
                <w:szCs w:val="19"/>
                <w:lang w:val="es-ES"/>
              </w:rPr>
              <w:t>Petitioner</w:t>
            </w:r>
            <w:proofErr w:type="spellEnd"/>
          </w:p>
        </w:tc>
        <w:tc>
          <w:tcPr>
            <w:tcW w:w="6570" w:type="dxa"/>
            <w:tcBorders>
              <w:top w:val="single" w:sz="4" w:space="0" w:color="auto"/>
              <w:bottom w:val="single" w:sz="6" w:space="0" w:color="auto"/>
            </w:tcBorders>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FA0157">
              <w:rPr>
                <w:rFonts w:ascii="Cambria" w:hAnsi="Cambria"/>
                <w:bCs/>
                <w:sz w:val="19"/>
                <w:szCs w:val="19"/>
                <w:lang w:val="es-ES"/>
              </w:rPr>
              <w:t xml:space="preserve">Rogelio Montemayor </w:t>
            </w:r>
            <w:proofErr w:type="spellStart"/>
            <w:r w:rsidRPr="00FA0157">
              <w:rPr>
                <w:rFonts w:ascii="Cambria" w:hAnsi="Cambria"/>
                <w:bCs/>
                <w:sz w:val="19"/>
                <w:szCs w:val="19"/>
                <w:lang w:val="es-ES"/>
              </w:rPr>
              <w:t>Seguy</w:t>
            </w:r>
            <w:proofErr w:type="spellEnd"/>
          </w:p>
        </w:tc>
      </w:tr>
      <w:tr w:rsidR="00C901B3" w:rsidRPr="00006B74" w:rsidTr="006F0406">
        <w:tc>
          <w:tcPr>
            <w:tcW w:w="2790" w:type="dxa"/>
            <w:tcBorders>
              <w:top w:val="single" w:sz="6" w:space="0" w:color="auto"/>
              <w:bottom w:val="single" w:sz="6" w:space="0" w:color="auto"/>
            </w:tcBorders>
            <w:shd w:val="clear" w:color="auto" w:fill="67AE3C"/>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FA0157">
              <w:rPr>
                <w:rFonts w:ascii="Cambria" w:hAnsi="Cambria"/>
                <w:bCs/>
                <w:color w:val="FFFFFF"/>
                <w:sz w:val="19"/>
                <w:szCs w:val="19"/>
                <w:lang w:val="es-ES"/>
              </w:rPr>
              <w:t>Alleged</w:t>
            </w:r>
            <w:proofErr w:type="spellEnd"/>
            <w:r w:rsidRPr="00FA0157">
              <w:rPr>
                <w:rFonts w:ascii="Cambria" w:hAnsi="Cambria"/>
                <w:bCs/>
                <w:color w:val="FFFFFF"/>
                <w:sz w:val="19"/>
                <w:szCs w:val="19"/>
                <w:lang w:val="es-ES"/>
              </w:rPr>
              <w:t xml:space="preserve"> </w:t>
            </w:r>
            <w:proofErr w:type="spellStart"/>
            <w:r w:rsidRPr="00FA0157">
              <w:rPr>
                <w:rFonts w:ascii="Cambria" w:hAnsi="Cambria"/>
                <w:bCs/>
                <w:color w:val="FFFFFF"/>
                <w:sz w:val="19"/>
                <w:szCs w:val="19"/>
                <w:lang w:val="es-ES"/>
              </w:rPr>
              <w:t>Victim</w:t>
            </w:r>
            <w:proofErr w:type="spellEnd"/>
          </w:p>
        </w:tc>
        <w:tc>
          <w:tcPr>
            <w:tcW w:w="6570" w:type="dxa"/>
            <w:tcBorders>
              <w:top w:val="single" w:sz="6" w:space="0" w:color="auto"/>
              <w:bottom w:val="single" w:sz="6" w:space="0" w:color="auto"/>
            </w:tcBorders>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FA0157">
              <w:rPr>
                <w:rFonts w:ascii="Cambria" w:hAnsi="Cambria"/>
                <w:bCs/>
                <w:sz w:val="19"/>
                <w:szCs w:val="19"/>
                <w:lang w:val="es-ES"/>
              </w:rPr>
              <w:t xml:space="preserve">Rogelio Montemayor </w:t>
            </w:r>
            <w:proofErr w:type="spellStart"/>
            <w:r w:rsidRPr="00FA0157">
              <w:rPr>
                <w:rFonts w:ascii="Cambria" w:hAnsi="Cambria"/>
                <w:bCs/>
                <w:sz w:val="19"/>
                <w:szCs w:val="19"/>
                <w:lang w:val="es-ES"/>
              </w:rPr>
              <w:t>Seguy</w:t>
            </w:r>
            <w:proofErr w:type="spellEnd"/>
          </w:p>
        </w:tc>
      </w:tr>
      <w:tr w:rsidR="00C901B3" w:rsidRPr="00006B74" w:rsidTr="006F0406">
        <w:tc>
          <w:tcPr>
            <w:tcW w:w="2790" w:type="dxa"/>
            <w:tcBorders>
              <w:top w:val="single" w:sz="6" w:space="0" w:color="auto"/>
              <w:bottom w:val="single" w:sz="6" w:space="0" w:color="auto"/>
            </w:tcBorders>
            <w:shd w:val="clear" w:color="auto" w:fill="67AE3C"/>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FA0157">
              <w:rPr>
                <w:rFonts w:ascii="Cambria" w:hAnsi="Cambria"/>
                <w:bCs/>
                <w:color w:val="FFFFFF"/>
                <w:sz w:val="19"/>
                <w:szCs w:val="19"/>
                <w:lang w:val="es-ES"/>
              </w:rPr>
              <w:t>Respondent</w:t>
            </w:r>
            <w:proofErr w:type="spellEnd"/>
            <w:r w:rsidRPr="00FA0157">
              <w:rPr>
                <w:rFonts w:ascii="Cambria" w:hAnsi="Cambria"/>
                <w:bCs/>
                <w:color w:val="FFFFFF"/>
                <w:sz w:val="19"/>
                <w:szCs w:val="19"/>
                <w:lang w:val="es-ES"/>
              </w:rPr>
              <w:t xml:space="preserve"> </w:t>
            </w:r>
            <w:proofErr w:type="spellStart"/>
            <w:r w:rsidRPr="00FA0157">
              <w:rPr>
                <w:rFonts w:ascii="Cambria" w:hAnsi="Cambria"/>
                <w:bCs/>
                <w:color w:val="FFFFFF"/>
                <w:sz w:val="19"/>
                <w:szCs w:val="19"/>
                <w:lang w:val="es-ES"/>
              </w:rPr>
              <w:t>State</w:t>
            </w:r>
            <w:proofErr w:type="spellEnd"/>
          </w:p>
        </w:tc>
        <w:tc>
          <w:tcPr>
            <w:tcW w:w="6570" w:type="dxa"/>
            <w:tcBorders>
              <w:top w:val="single" w:sz="6" w:space="0" w:color="auto"/>
              <w:bottom w:val="single" w:sz="6" w:space="0" w:color="auto"/>
            </w:tcBorders>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FA0157">
              <w:rPr>
                <w:rFonts w:ascii="Cambria" w:hAnsi="Cambria"/>
                <w:bCs/>
                <w:sz w:val="19"/>
                <w:szCs w:val="19"/>
                <w:lang w:val="es-PA"/>
              </w:rPr>
              <w:t>México</w:t>
            </w:r>
            <w:r w:rsidRPr="00FA0157">
              <w:rPr>
                <w:rStyle w:val="FootnoteReference"/>
                <w:rFonts w:ascii="Cambria" w:hAnsi="Cambria"/>
                <w:bCs/>
                <w:sz w:val="19"/>
                <w:szCs w:val="19"/>
                <w:lang w:val="es-ES"/>
              </w:rPr>
              <w:footnoteReference w:id="2"/>
            </w:r>
            <w:r w:rsidRPr="00FA0157">
              <w:rPr>
                <w:rFonts w:ascii="Cambria" w:hAnsi="Cambria"/>
                <w:bCs/>
                <w:sz w:val="19"/>
                <w:szCs w:val="19"/>
                <w:lang w:val="es-PA"/>
              </w:rPr>
              <w:t xml:space="preserve"> </w:t>
            </w:r>
          </w:p>
        </w:tc>
      </w:tr>
      <w:tr w:rsidR="00C901B3" w:rsidRPr="00B05EA8" w:rsidTr="006F0406">
        <w:tc>
          <w:tcPr>
            <w:tcW w:w="2790" w:type="dxa"/>
            <w:tcBorders>
              <w:top w:val="single" w:sz="6" w:space="0" w:color="auto"/>
              <w:bottom w:val="single" w:sz="4" w:space="0" w:color="auto"/>
            </w:tcBorders>
            <w:shd w:val="clear" w:color="auto" w:fill="67AE3C"/>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FA0157">
              <w:rPr>
                <w:rFonts w:ascii="Cambria" w:hAnsi="Cambria"/>
                <w:bCs/>
                <w:color w:val="FFFFFF"/>
                <w:sz w:val="19"/>
                <w:szCs w:val="19"/>
                <w:lang w:val="es-ES"/>
              </w:rPr>
              <w:t>Rights</w:t>
            </w:r>
            <w:proofErr w:type="spellEnd"/>
            <w:r w:rsidRPr="00FA0157">
              <w:rPr>
                <w:rFonts w:ascii="Cambria" w:hAnsi="Cambria"/>
                <w:bCs/>
                <w:color w:val="FFFFFF"/>
                <w:sz w:val="19"/>
                <w:szCs w:val="19"/>
                <w:lang w:val="es-ES"/>
              </w:rPr>
              <w:t xml:space="preserve"> </w:t>
            </w:r>
            <w:proofErr w:type="spellStart"/>
            <w:r w:rsidRPr="00FA0157">
              <w:rPr>
                <w:rFonts w:ascii="Cambria" w:hAnsi="Cambria"/>
                <w:bCs/>
                <w:color w:val="FFFFFF"/>
                <w:sz w:val="19"/>
                <w:szCs w:val="19"/>
                <w:lang w:val="es-ES"/>
              </w:rPr>
              <w:t>invoked</w:t>
            </w:r>
            <w:proofErr w:type="spellEnd"/>
          </w:p>
        </w:tc>
        <w:tc>
          <w:tcPr>
            <w:tcW w:w="6570" w:type="dxa"/>
            <w:tcBorders>
              <w:top w:val="single" w:sz="6" w:space="0" w:color="auto"/>
              <w:bottom w:val="single" w:sz="4" w:space="0" w:color="auto"/>
            </w:tcBorders>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FA0157">
              <w:rPr>
                <w:rFonts w:ascii="Cambria" w:hAnsi="Cambria"/>
                <w:bCs/>
                <w:sz w:val="19"/>
                <w:szCs w:val="19"/>
              </w:rPr>
              <w:t>Articles 5 (humane treatment), 7 (personal liberty), 8 (fair trial), 11 (privacy) and 23 (participate in government) of the American Convention on Human Rights;</w:t>
            </w:r>
            <w:r w:rsidRPr="00FA0157">
              <w:rPr>
                <w:rStyle w:val="FootnoteReference"/>
                <w:rFonts w:ascii="Cambria" w:hAnsi="Cambria"/>
                <w:bCs/>
                <w:sz w:val="19"/>
                <w:szCs w:val="19"/>
                <w:lang w:val="es-ES"/>
              </w:rPr>
              <w:footnoteReference w:id="3"/>
            </w:r>
            <w:r w:rsidRPr="00FA0157">
              <w:rPr>
                <w:rFonts w:ascii="Cambria" w:hAnsi="Cambria"/>
                <w:bCs/>
                <w:sz w:val="19"/>
                <w:szCs w:val="19"/>
              </w:rPr>
              <w:t xml:space="preserve"> and Articles V (protection of honor, personal reputation, and private and family life), XIV (work and fair remuneration), XVI (social security), XVIII (fair trial), XX (vote and participate in government) and XXVI (due process of law) of the American Declaration on the Rights and Duties of Men</w:t>
            </w:r>
            <w:r w:rsidRPr="00FA0157">
              <w:rPr>
                <w:rStyle w:val="FootnoteReference"/>
                <w:rFonts w:ascii="Cambria" w:hAnsi="Cambria"/>
                <w:bCs/>
                <w:sz w:val="19"/>
                <w:szCs w:val="19"/>
                <w:lang w:val="es-ES"/>
              </w:rPr>
              <w:footnoteReference w:id="4"/>
            </w:r>
            <w:r w:rsidRPr="00FA0157">
              <w:rPr>
                <w:rFonts w:ascii="Cambria" w:hAnsi="Cambria"/>
                <w:bCs/>
                <w:sz w:val="19"/>
                <w:szCs w:val="19"/>
              </w:rPr>
              <w:t xml:space="preserve"> and other international instruments</w:t>
            </w:r>
            <w:r w:rsidRPr="00D22479">
              <w:rPr>
                <w:rFonts w:ascii="Cambria" w:hAnsi="Cambria"/>
                <w:bCs/>
                <w:sz w:val="19"/>
                <w:szCs w:val="19"/>
              </w:rPr>
              <w:t>.</w:t>
            </w:r>
            <w:r w:rsidRPr="00D22479">
              <w:rPr>
                <w:rStyle w:val="FootnoteReference"/>
                <w:rFonts w:ascii="Cambria" w:hAnsi="Cambria"/>
                <w:bCs/>
                <w:sz w:val="20"/>
                <w:szCs w:val="20"/>
                <w:lang w:val="es-ES"/>
              </w:rPr>
              <w:footnoteReference w:id="5"/>
            </w:r>
          </w:p>
        </w:tc>
      </w:tr>
    </w:tbl>
    <w:p w:rsidR="00C901B3" w:rsidRPr="00B05EA8" w:rsidRDefault="00C901B3"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rPr>
      </w:pPr>
      <w:r w:rsidRPr="00B05EA8">
        <w:rPr>
          <w:rFonts w:ascii="Cambria" w:hAnsi="Cambria"/>
          <w:b/>
          <w:bCs/>
          <w:sz w:val="20"/>
          <w:szCs w:val="20"/>
        </w:rPr>
        <w:t>II.</w:t>
      </w:r>
      <w:r w:rsidRPr="00B05EA8">
        <w:rPr>
          <w:rFonts w:ascii="Cambria" w:hAnsi="Cambria"/>
          <w:b/>
          <w:bCs/>
          <w:sz w:val="20"/>
          <w:szCs w:val="20"/>
        </w:rPr>
        <w:tab/>
        <w:t>PROCEEDINGS BEFORE THE IACHR</w:t>
      </w:r>
      <w:r w:rsidRPr="00006B74">
        <w:rPr>
          <w:rStyle w:val="FootnoteReference"/>
          <w:rFonts w:ascii="Cambria" w:hAnsi="Cambria"/>
          <w:b/>
          <w:sz w:val="20"/>
          <w:szCs w:val="20"/>
          <w:lang w:val="es-ES"/>
        </w:rPr>
        <w:footnoteReference w:id="6"/>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C901B3" w:rsidRPr="00006B74" w:rsidTr="006F0406">
        <w:tc>
          <w:tcPr>
            <w:tcW w:w="2790" w:type="dxa"/>
            <w:tcBorders>
              <w:top w:val="single" w:sz="4" w:space="0" w:color="auto"/>
              <w:bottom w:val="single" w:sz="6" w:space="0" w:color="auto"/>
            </w:tcBorders>
            <w:shd w:val="clear" w:color="auto" w:fill="67AE3C"/>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FA0157">
              <w:rPr>
                <w:rFonts w:ascii="Cambria" w:hAnsi="Cambria"/>
                <w:bCs/>
                <w:color w:val="FFFFFF"/>
                <w:sz w:val="19"/>
                <w:szCs w:val="19"/>
                <w:lang w:val="es-ES"/>
              </w:rPr>
              <w:t>F</w:t>
            </w:r>
            <w:proofErr w:type="spellStart"/>
            <w:r w:rsidRPr="00FA0157">
              <w:rPr>
                <w:rFonts w:ascii="Cambria" w:hAnsi="Cambria"/>
                <w:bCs/>
                <w:color w:val="FFFFFF"/>
                <w:sz w:val="19"/>
                <w:szCs w:val="19"/>
              </w:rPr>
              <w:t>iling</w:t>
            </w:r>
            <w:proofErr w:type="spellEnd"/>
            <w:r w:rsidRPr="00FA0157">
              <w:rPr>
                <w:rFonts w:ascii="Cambria" w:hAnsi="Cambria"/>
                <w:bCs/>
                <w:color w:val="FFFFFF"/>
                <w:sz w:val="19"/>
                <w:szCs w:val="19"/>
              </w:rPr>
              <w:t xml:space="preserve"> of the petition</w:t>
            </w:r>
          </w:p>
        </w:tc>
        <w:tc>
          <w:tcPr>
            <w:tcW w:w="6570" w:type="dxa"/>
            <w:tcBorders>
              <w:top w:val="single" w:sz="4" w:space="0" w:color="auto"/>
            </w:tcBorders>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proofErr w:type="spellStart"/>
            <w:r w:rsidRPr="00FA0157">
              <w:rPr>
                <w:rFonts w:ascii="Cambria" w:hAnsi="Cambria"/>
                <w:bCs/>
                <w:sz w:val="19"/>
                <w:szCs w:val="19"/>
                <w:lang w:val="es-ES"/>
              </w:rPr>
              <w:t>February</w:t>
            </w:r>
            <w:proofErr w:type="spellEnd"/>
            <w:r w:rsidRPr="00FA0157">
              <w:rPr>
                <w:rFonts w:ascii="Cambria" w:hAnsi="Cambria"/>
                <w:bCs/>
                <w:sz w:val="19"/>
                <w:szCs w:val="19"/>
                <w:lang w:val="es-ES"/>
              </w:rPr>
              <w:t xml:space="preserve"> 3, 2010</w:t>
            </w:r>
          </w:p>
        </w:tc>
      </w:tr>
      <w:tr w:rsidR="00C901B3" w:rsidRPr="00006B74" w:rsidTr="006F0406">
        <w:tc>
          <w:tcPr>
            <w:tcW w:w="2790" w:type="dxa"/>
            <w:tcBorders>
              <w:top w:val="single" w:sz="6" w:space="0" w:color="auto"/>
              <w:bottom w:val="single" w:sz="6" w:space="0" w:color="auto"/>
            </w:tcBorders>
            <w:shd w:val="clear" w:color="auto" w:fill="67AE3C"/>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FA0157">
              <w:rPr>
                <w:rFonts w:ascii="Cambria" w:hAnsi="Cambria"/>
                <w:color w:val="FFFFFF"/>
                <w:sz w:val="19"/>
                <w:szCs w:val="19"/>
              </w:rPr>
              <w:t>Notification of the petition to the State</w:t>
            </w:r>
          </w:p>
        </w:tc>
        <w:tc>
          <w:tcPr>
            <w:tcW w:w="6570" w:type="dxa"/>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proofErr w:type="spellStart"/>
            <w:r w:rsidRPr="00FA0157">
              <w:rPr>
                <w:rFonts w:ascii="Cambria" w:hAnsi="Cambria"/>
                <w:bCs/>
                <w:sz w:val="19"/>
                <w:szCs w:val="19"/>
                <w:lang w:val="es-ES"/>
              </w:rPr>
              <w:t>April</w:t>
            </w:r>
            <w:proofErr w:type="spellEnd"/>
            <w:r w:rsidRPr="00FA0157">
              <w:rPr>
                <w:rFonts w:ascii="Cambria" w:hAnsi="Cambria"/>
                <w:bCs/>
                <w:sz w:val="19"/>
                <w:szCs w:val="19"/>
                <w:lang w:val="es-ES"/>
              </w:rPr>
              <w:t xml:space="preserve"> 4, 2016</w:t>
            </w:r>
          </w:p>
        </w:tc>
      </w:tr>
      <w:tr w:rsidR="00C901B3" w:rsidRPr="00006B74" w:rsidTr="006F0406">
        <w:tc>
          <w:tcPr>
            <w:tcW w:w="2790" w:type="dxa"/>
            <w:tcBorders>
              <w:top w:val="single" w:sz="6" w:space="0" w:color="auto"/>
              <w:bottom w:val="single" w:sz="6" w:space="0" w:color="auto"/>
            </w:tcBorders>
            <w:shd w:val="clear" w:color="auto" w:fill="67AE3C"/>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FA0157">
              <w:rPr>
                <w:rFonts w:ascii="Cambria" w:hAnsi="Cambria"/>
                <w:color w:val="FFFFFF"/>
                <w:sz w:val="19"/>
                <w:szCs w:val="19"/>
                <w:lang w:val="es-ES"/>
              </w:rPr>
              <w:t>State’s</w:t>
            </w:r>
            <w:proofErr w:type="spellEnd"/>
            <w:r w:rsidRPr="00FA0157">
              <w:rPr>
                <w:rFonts w:ascii="Cambria" w:hAnsi="Cambria"/>
                <w:color w:val="FFFFFF"/>
                <w:sz w:val="19"/>
                <w:szCs w:val="19"/>
                <w:lang w:val="es-ES"/>
              </w:rPr>
              <w:t xml:space="preserve"> </w:t>
            </w:r>
            <w:proofErr w:type="spellStart"/>
            <w:r w:rsidRPr="00FA0157">
              <w:rPr>
                <w:rFonts w:ascii="Cambria" w:hAnsi="Cambria"/>
                <w:color w:val="FFFFFF"/>
                <w:sz w:val="19"/>
                <w:szCs w:val="19"/>
                <w:lang w:val="es-ES"/>
              </w:rPr>
              <w:t>first</w:t>
            </w:r>
            <w:proofErr w:type="spellEnd"/>
            <w:r w:rsidRPr="00FA0157">
              <w:rPr>
                <w:rFonts w:ascii="Cambria" w:hAnsi="Cambria"/>
                <w:color w:val="FFFFFF"/>
                <w:sz w:val="19"/>
                <w:szCs w:val="19"/>
                <w:lang w:val="es-ES"/>
              </w:rPr>
              <w:t xml:space="preserve"> response</w:t>
            </w:r>
          </w:p>
        </w:tc>
        <w:tc>
          <w:tcPr>
            <w:tcW w:w="6570" w:type="dxa"/>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proofErr w:type="spellStart"/>
            <w:r w:rsidRPr="00FA0157">
              <w:rPr>
                <w:rFonts w:ascii="Cambria" w:hAnsi="Cambria"/>
                <w:bCs/>
                <w:sz w:val="19"/>
                <w:szCs w:val="19"/>
                <w:lang w:val="es-ES"/>
              </w:rPr>
              <w:t>August</w:t>
            </w:r>
            <w:proofErr w:type="spellEnd"/>
            <w:r w:rsidRPr="00FA0157">
              <w:rPr>
                <w:rFonts w:ascii="Cambria" w:hAnsi="Cambria"/>
                <w:bCs/>
                <w:sz w:val="19"/>
                <w:szCs w:val="19"/>
                <w:lang w:val="es-ES"/>
              </w:rPr>
              <w:t xml:space="preserve"> 7, 2016</w:t>
            </w:r>
          </w:p>
        </w:tc>
      </w:tr>
      <w:tr w:rsidR="00C901B3" w:rsidRPr="00FD0D80" w:rsidTr="006F0406">
        <w:tc>
          <w:tcPr>
            <w:tcW w:w="2790" w:type="dxa"/>
            <w:tcBorders>
              <w:top w:val="single" w:sz="6" w:space="0" w:color="auto"/>
              <w:bottom w:val="single" w:sz="4" w:space="0" w:color="auto"/>
            </w:tcBorders>
            <w:shd w:val="clear" w:color="auto" w:fill="67AE3C"/>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FA0157">
              <w:rPr>
                <w:rFonts w:ascii="Cambria" w:hAnsi="Cambria"/>
                <w:bCs/>
                <w:color w:val="FFFFFF"/>
                <w:sz w:val="19"/>
                <w:szCs w:val="19"/>
              </w:rPr>
              <w:t>Addition observations from the petitioner</w:t>
            </w:r>
          </w:p>
        </w:tc>
        <w:tc>
          <w:tcPr>
            <w:tcW w:w="6570" w:type="dxa"/>
            <w:tcBorders>
              <w:bottom w:val="single" w:sz="4" w:space="0" w:color="auto"/>
            </w:tcBorders>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FA0157">
              <w:rPr>
                <w:rFonts w:ascii="Cambria" w:hAnsi="Cambria"/>
                <w:bCs/>
                <w:sz w:val="19"/>
                <w:szCs w:val="19"/>
                <w:lang w:val="es-ES"/>
              </w:rPr>
              <w:t>June 12, 2017</w:t>
            </w:r>
          </w:p>
        </w:tc>
      </w:tr>
    </w:tbl>
    <w:p w:rsidR="00C901B3" w:rsidRPr="00006B74" w:rsidRDefault="00C901B3"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 xml:space="preserve">III. </w:t>
      </w:r>
      <w:r w:rsidRPr="00006B74">
        <w:rPr>
          <w:rFonts w:ascii="Cambria" w:hAnsi="Cambria"/>
          <w:b/>
          <w:bCs/>
          <w:sz w:val="20"/>
          <w:szCs w:val="20"/>
          <w:lang w:val="es-ES"/>
        </w:rPr>
        <w:tab/>
      </w:r>
      <w:r>
        <w:rPr>
          <w:rFonts w:ascii="Cambria" w:hAnsi="Cambria"/>
          <w:b/>
          <w:bCs/>
          <w:sz w:val="20"/>
          <w:szCs w:val="20"/>
          <w:lang w:val="es-ES"/>
        </w:rPr>
        <w:t>COMPETENCE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C901B3" w:rsidRPr="00006B74" w:rsidTr="006F0406">
        <w:trPr>
          <w:cantSplit/>
        </w:trPr>
        <w:tc>
          <w:tcPr>
            <w:tcW w:w="2790" w:type="dxa"/>
            <w:tcBorders>
              <w:top w:val="single" w:sz="4" w:space="0" w:color="auto"/>
              <w:bottom w:val="single" w:sz="6" w:space="0" w:color="auto"/>
            </w:tcBorders>
            <w:shd w:val="clear" w:color="auto" w:fill="67AE3C"/>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proofErr w:type="spellStart"/>
            <w:r w:rsidRPr="00FA0157">
              <w:rPr>
                <w:rFonts w:ascii="Cambria" w:hAnsi="Cambria"/>
                <w:bCs/>
                <w:i/>
                <w:color w:val="FFFFFF"/>
                <w:sz w:val="19"/>
                <w:szCs w:val="19"/>
                <w:lang w:val="es-ES"/>
              </w:rPr>
              <w:t>Competence</w:t>
            </w:r>
            <w:proofErr w:type="spellEnd"/>
            <w:r w:rsidRPr="00FA0157">
              <w:rPr>
                <w:rFonts w:ascii="Cambria" w:hAnsi="Cambria"/>
                <w:bCs/>
                <w:i/>
                <w:color w:val="FFFFFF"/>
                <w:sz w:val="19"/>
                <w:szCs w:val="19"/>
                <w:lang w:val="es-ES"/>
              </w:rPr>
              <w:t xml:space="preserve"> </w:t>
            </w:r>
            <w:proofErr w:type="spellStart"/>
            <w:r w:rsidRPr="00FA0157">
              <w:rPr>
                <w:rFonts w:ascii="Cambria" w:hAnsi="Cambria"/>
                <w:bCs/>
                <w:i/>
                <w:color w:val="FFFFFF"/>
                <w:sz w:val="19"/>
                <w:szCs w:val="19"/>
                <w:lang w:val="es-ES"/>
              </w:rPr>
              <w:t>ratione</w:t>
            </w:r>
            <w:proofErr w:type="spellEnd"/>
            <w:r w:rsidRPr="00FA0157">
              <w:rPr>
                <w:rFonts w:ascii="Cambria" w:hAnsi="Cambria"/>
                <w:bCs/>
                <w:i/>
                <w:color w:val="FFFFFF"/>
                <w:sz w:val="19"/>
                <w:szCs w:val="19"/>
                <w:lang w:val="es-ES"/>
              </w:rPr>
              <w:t xml:space="preserve"> </w:t>
            </w:r>
            <w:proofErr w:type="spellStart"/>
            <w:r w:rsidRPr="00FA0157">
              <w:rPr>
                <w:rFonts w:ascii="Cambria" w:hAnsi="Cambria"/>
                <w:bCs/>
                <w:i/>
                <w:color w:val="FFFFFF"/>
                <w:sz w:val="19"/>
                <w:szCs w:val="19"/>
                <w:lang w:val="es-ES"/>
              </w:rPr>
              <w:t>personae</w:t>
            </w:r>
            <w:proofErr w:type="spellEnd"/>
          </w:p>
        </w:tc>
        <w:tc>
          <w:tcPr>
            <w:tcW w:w="6570" w:type="dxa"/>
            <w:tcBorders>
              <w:top w:val="single" w:sz="4" w:space="0" w:color="auto"/>
            </w:tcBorders>
            <w:vAlign w:val="center"/>
          </w:tcPr>
          <w:p w:rsidR="00C901B3" w:rsidRPr="00FA0157" w:rsidRDefault="00C901B3" w:rsidP="005F22C2">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FA0157">
              <w:rPr>
                <w:rFonts w:ascii="Cambria" w:hAnsi="Cambria"/>
                <w:bCs/>
                <w:sz w:val="19"/>
                <w:szCs w:val="19"/>
                <w:lang w:val="es-ES"/>
              </w:rPr>
              <w:t>Yes</w:t>
            </w:r>
          </w:p>
        </w:tc>
      </w:tr>
      <w:tr w:rsidR="00C901B3" w:rsidRPr="00006B74" w:rsidTr="006F0406">
        <w:trPr>
          <w:cantSplit/>
        </w:trPr>
        <w:tc>
          <w:tcPr>
            <w:tcW w:w="2790" w:type="dxa"/>
            <w:tcBorders>
              <w:top w:val="single" w:sz="6" w:space="0" w:color="auto"/>
              <w:bottom w:val="single" w:sz="6" w:space="0" w:color="auto"/>
            </w:tcBorders>
            <w:shd w:val="clear" w:color="auto" w:fill="67AE3C"/>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FA0157">
              <w:rPr>
                <w:rFonts w:ascii="Cambria" w:hAnsi="Cambria"/>
                <w:bCs/>
                <w:i/>
                <w:color w:val="FFFFFF"/>
                <w:sz w:val="19"/>
                <w:szCs w:val="19"/>
                <w:lang w:val="es-ES"/>
              </w:rPr>
              <w:t>Competence</w:t>
            </w:r>
            <w:proofErr w:type="spellEnd"/>
            <w:r w:rsidRPr="00FA0157">
              <w:rPr>
                <w:rFonts w:ascii="Cambria" w:hAnsi="Cambria"/>
                <w:bCs/>
                <w:i/>
                <w:color w:val="FFFFFF"/>
                <w:sz w:val="19"/>
                <w:szCs w:val="19"/>
                <w:lang w:val="es-ES"/>
              </w:rPr>
              <w:t xml:space="preserve"> </w:t>
            </w:r>
            <w:proofErr w:type="spellStart"/>
            <w:r w:rsidRPr="00FA0157">
              <w:rPr>
                <w:rFonts w:ascii="Cambria" w:hAnsi="Cambria"/>
                <w:bCs/>
                <w:i/>
                <w:color w:val="FFFFFF"/>
                <w:sz w:val="19"/>
                <w:szCs w:val="19"/>
                <w:lang w:val="es-ES"/>
              </w:rPr>
              <w:t>ratione</w:t>
            </w:r>
            <w:proofErr w:type="spellEnd"/>
            <w:r w:rsidRPr="00FA0157">
              <w:rPr>
                <w:rFonts w:ascii="Cambria" w:hAnsi="Cambria"/>
                <w:bCs/>
                <w:i/>
                <w:color w:val="FFFFFF"/>
                <w:sz w:val="19"/>
                <w:szCs w:val="19"/>
                <w:lang w:val="es-ES"/>
              </w:rPr>
              <w:t xml:space="preserve"> </w:t>
            </w:r>
            <w:proofErr w:type="spellStart"/>
            <w:r w:rsidRPr="00FA0157">
              <w:rPr>
                <w:rFonts w:ascii="Cambria" w:hAnsi="Cambria"/>
                <w:bCs/>
                <w:i/>
                <w:color w:val="FFFFFF"/>
                <w:sz w:val="19"/>
                <w:szCs w:val="19"/>
                <w:lang w:val="es-ES"/>
              </w:rPr>
              <w:t>loci</w:t>
            </w:r>
            <w:proofErr w:type="spellEnd"/>
          </w:p>
        </w:tc>
        <w:tc>
          <w:tcPr>
            <w:tcW w:w="6570" w:type="dxa"/>
            <w:vAlign w:val="center"/>
          </w:tcPr>
          <w:p w:rsidR="00C901B3" w:rsidRPr="00FA0157" w:rsidRDefault="00C901B3" w:rsidP="005F22C2">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FA0157">
              <w:rPr>
                <w:rFonts w:ascii="Cambria" w:hAnsi="Cambria"/>
                <w:bCs/>
                <w:sz w:val="19"/>
                <w:szCs w:val="19"/>
                <w:lang w:val="es-ES"/>
              </w:rPr>
              <w:t>Yes</w:t>
            </w:r>
          </w:p>
        </w:tc>
      </w:tr>
      <w:tr w:rsidR="00C901B3" w:rsidRPr="00006B74" w:rsidTr="006F0406">
        <w:trPr>
          <w:cantSplit/>
        </w:trPr>
        <w:tc>
          <w:tcPr>
            <w:tcW w:w="2790" w:type="dxa"/>
            <w:tcBorders>
              <w:top w:val="single" w:sz="6" w:space="0" w:color="auto"/>
              <w:bottom w:val="single" w:sz="6" w:space="0" w:color="auto"/>
            </w:tcBorders>
            <w:shd w:val="clear" w:color="auto" w:fill="67AE3C"/>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FA0157">
              <w:rPr>
                <w:rFonts w:ascii="Cambria" w:hAnsi="Cambria"/>
                <w:bCs/>
                <w:i/>
                <w:color w:val="FFFFFF"/>
                <w:sz w:val="19"/>
                <w:szCs w:val="19"/>
                <w:lang w:val="es-ES"/>
              </w:rPr>
              <w:t>Competence</w:t>
            </w:r>
            <w:proofErr w:type="spellEnd"/>
            <w:r w:rsidRPr="00FA0157">
              <w:rPr>
                <w:rFonts w:ascii="Cambria" w:hAnsi="Cambria"/>
                <w:bCs/>
                <w:i/>
                <w:color w:val="FFFFFF"/>
                <w:sz w:val="19"/>
                <w:szCs w:val="19"/>
                <w:lang w:val="es-ES"/>
              </w:rPr>
              <w:t xml:space="preserve"> </w:t>
            </w:r>
            <w:proofErr w:type="spellStart"/>
            <w:r w:rsidRPr="00FA0157">
              <w:rPr>
                <w:rFonts w:ascii="Cambria" w:hAnsi="Cambria"/>
                <w:bCs/>
                <w:i/>
                <w:color w:val="FFFFFF"/>
                <w:sz w:val="19"/>
                <w:szCs w:val="19"/>
                <w:lang w:val="es-ES"/>
              </w:rPr>
              <w:t>ratione</w:t>
            </w:r>
            <w:proofErr w:type="spellEnd"/>
            <w:r w:rsidRPr="00FA0157">
              <w:rPr>
                <w:rFonts w:ascii="Cambria" w:hAnsi="Cambria"/>
                <w:bCs/>
                <w:i/>
                <w:color w:val="FFFFFF"/>
                <w:sz w:val="19"/>
                <w:szCs w:val="19"/>
                <w:lang w:val="es-ES"/>
              </w:rPr>
              <w:t xml:space="preserve"> </w:t>
            </w:r>
            <w:proofErr w:type="spellStart"/>
            <w:r w:rsidRPr="00FA0157">
              <w:rPr>
                <w:rFonts w:ascii="Cambria" w:hAnsi="Cambria"/>
                <w:bCs/>
                <w:i/>
                <w:color w:val="FFFFFF"/>
                <w:sz w:val="19"/>
                <w:szCs w:val="19"/>
                <w:lang w:val="es-ES"/>
              </w:rPr>
              <w:t>temporis</w:t>
            </w:r>
            <w:proofErr w:type="spellEnd"/>
          </w:p>
        </w:tc>
        <w:tc>
          <w:tcPr>
            <w:tcW w:w="6570" w:type="dxa"/>
            <w:vAlign w:val="center"/>
          </w:tcPr>
          <w:p w:rsidR="00C901B3" w:rsidRPr="00FA0157" w:rsidRDefault="00C901B3" w:rsidP="005F22C2">
            <w:pPr>
              <w:pBdr>
                <w:top w:val="none" w:sz="0" w:space="0" w:color="auto"/>
                <w:left w:val="none" w:sz="0" w:space="0" w:color="auto"/>
                <w:bottom w:val="none" w:sz="0" w:space="0" w:color="auto"/>
                <w:right w:val="none" w:sz="0" w:space="0" w:color="auto"/>
                <w:bar w:val="none" w:sz="0" w:color="auto"/>
              </w:pBdr>
              <w:rPr>
                <w:bCs/>
                <w:sz w:val="19"/>
                <w:szCs w:val="19"/>
                <w:lang w:val="es-ES"/>
              </w:rPr>
            </w:pPr>
            <w:r w:rsidRPr="00FA0157">
              <w:rPr>
                <w:bCs/>
                <w:sz w:val="19"/>
                <w:szCs w:val="19"/>
                <w:lang w:val="es-ES"/>
              </w:rPr>
              <w:t>Yes</w:t>
            </w:r>
          </w:p>
        </w:tc>
      </w:tr>
      <w:tr w:rsidR="00C901B3" w:rsidRPr="004B04D2" w:rsidTr="006F0406">
        <w:trPr>
          <w:cantSplit/>
        </w:trPr>
        <w:tc>
          <w:tcPr>
            <w:tcW w:w="2790" w:type="dxa"/>
            <w:tcBorders>
              <w:top w:val="single" w:sz="6" w:space="0" w:color="auto"/>
              <w:bottom w:val="single" w:sz="4" w:space="0" w:color="auto"/>
            </w:tcBorders>
            <w:shd w:val="clear" w:color="auto" w:fill="67AE3C"/>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FA0157">
              <w:rPr>
                <w:rFonts w:ascii="Cambria" w:hAnsi="Cambria"/>
                <w:bCs/>
                <w:i/>
                <w:color w:val="FFFFFF"/>
                <w:sz w:val="19"/>
                <w:szCs w:val="19"/>
                <w:lang w:val="es-ES"/>
              </w:rPr>
              <w:t>Competence</w:t>
            </w:r>
            <w:proofErr w:type="spellEnd"/>
            <w:r w:rsidRPr="00FA0157">
              <w:rPr>
                <w:rFonts w:ascii="Cambria" w:hAnsi="Cambria"/>
                <w:bCs/>
                <w:i/>
                <w:color w:val="FFFFFF"/>
                <w:sz w:val="19"/>
                <w:szCs w:val="19"/>
                <w:lang w:val="es-ES"/>
              </w:rPr>
              <w:t xml:space="preserve"> </w:t>
            </w:r>
            <w:proofErr w:type="spellStart"/>
            <w:r w:rsidRPr="00FA0157">
              <w:rPr>
                <w:rFonts w:ascii="Cambria" w:hAnsi="Cambria"/>
                <w:bCs/>
                <w:i/>
                <w:color w:val="FFFFFF"/>
                <w:sz w:val="19"/>
                <w:szCs w:val="19"/>
                <w:lang w:val="es-ES"/>
              </w:rPr>
              <w:t>ratione</w:t>
            </w:r>
            <w:proofErr w:type="spellEnd"/>
            <w:r w:rsidRPr="00FA0157">
              <w:rPr>
                <w:rFonts w:ascii="Cambria" w:hAnsi="Cambria"/>
                <w:bCs/>
                <w:i/>
                <w:color w:val="FFFFFF"/>
                <w:sz w:val="19"/>
                <w:szCs w:val="19"/>
                <w:lang w:val="es-ES"/>
              </w:rPr>
              <w:t xml:space="preserve"> </w:t>
            </w:r>
            <w:proofErr w:type="spellStart"/>
            <w:r w:rsidRPr="00FA0157">
              <w:rPr>
                <w:rFonts w:ascii="Cambria" w:hAnsi="Cambria"/>
                <w:bCs/>
                <w:i/>
                <w:color w:val="FFFFFF"/>
                <w:sz w:val="19"/>
                <w:szCs w:val="19"/>
                <w:lang w:val="es-ES"/>
              </w:rPr>
              <w:t>materiae</w:t>
            </w:r>
            <w:proofErr w:type="spellEnd"/>
          </w:p>
        </w:tc>
        <w:tc>
          <w:tcPr>
            <w:tcW w:w="6570" w:type="dxa"/>
            <w:tcBorders>
              <w:bottom w:val="single" w:sz="4" w:space="0" w:color="auto"/>
            </w:tcBorders>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FA0157">
              <w:rPr>
                <w:rFonts w:ascii="Cambria" w:hAnsi="Cambria"/>
                <w:bCs/>
                <w:sz w:val="20"/>
                <w:szCs w:val="20"/>
              </w:rPr>
              <w:t>Yes, American Convention (deposit of instrument of ratification on March 24, 1981)</w:t>
            </w:r>
          </w:p>
        </w:tc>
      </w:tr>
    </w:tbl>
    <w:p w:rsidR="00C901B3" w:rsidRPr="00A061BF" w:rsidRDefault="00C901B3"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rPr>
      </w:pPr>
      <w:r w:rsidRPr="00FE07C3">
        <w:rPr>
          <w:rFonts w:ascii="Cambria" w:hAnsi="Cambria"/>
          <w:b/>
          <w:bCs/>
          <w:sz w:val="20"/>
          <w:szCs w:val="20"/>
        </w:rPr>
        <w:t xml:space="preserve">IV. </w:t>
      </w:r>
      <w:r w:rsidRPr="00FE07C3">
        <w:rPr>
          <w:rFonts w:ascii="Cambria" w:hAnsi="Cambria"/>
          <w:b/>
          <w:bCs/>
          <w:sz w:val="20"/>
          <w:szCs w:val="20"/>
        </w:rPr>
        <w:tab/>
      </w:r>
      <w:r w:rsidRPr="00666340">
        <w:rPr>
          <w:rFonts w:ascii="Cambria" w:hAnsi="Cambria"/>
          <w:b/>
          <w:bCs/>
          <w:sz w:val="20"/>
          <w:szCs w:val="20"/>
        </w:rPr>
        <w:t>DUPLICATION OF PROCEDURES AND INTERNATIONAL RES JUDICATA,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C901B3" w:rsidRPr="00FD0D80" w:rsidTr="006F0406">
        <w:trPr>
          <w:cantSplit/>
        </w:trPr>
        <w:tc>
          <w:tcPr>
            <w:tcW w:w="2790" w:type="dxa"/>
            <w:tcBorders>
              <w:top w:val="single" w:sz="4" w:space="0" w:color="auto"/>
              <w:bottom w:val="single" w:sz="6" w:space="0" w:color="auto"/>
            </w:tcBorders>
            <w:shd w:val="clear" w:color="auto" w:fill="67AE3C"/>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FA0157">
              <w:rPr>
                <w:rFonts w:ascii="Cambria" w:hAnsi="Cambria"/>
                <w:bCs/>
                <w:color w:val="FFFFFF"/>
                <w:sz w:val="19"/>
                <w:szCs w:val="19"/>
              </w:rPr>
              <w:t>Duplication of procedures and International res judicata:</w:t>
            </w:r>
          </w:p>
        </w:tc>
        <w:tc>
          <w:tcPr>
            <w:tcW w:w="6570" w:type="dxa"/>
            <w:tcBorders>
              <w:top w:val="single" w:sz="4" w:space="0" w:color="auto"/>
            </w:tcBorders>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FA0157">
              <w:rPr>
                <w:rFonts w:ascii="Cambria" w:hAnsi="Cambria"/>
                <w:bCs/>
                <w:sz w:val="19"/>
                <w:szCs w:val="19"/>
                <w:lang w:val="es-ES"/>
              </w:rPr>
              <w:t>No</w:t>
            </w:r>
          </w:p>
        </w:tc>
      </w:tr>
      <w:tr w:rsidR="00C901B3" w:rsidRPr="004B04D2" w:rsidTr="006F0406">
        <w:trPr>
          <w:cantSplit/>
        </w:trPr>
        <w:tc>
          <w:tcPr>
            <w:tcW w:w="2790" w:type="dxa"/>
            <w:tcBorders>
              <w:top w:val="single" w:sz="6" w:space="0" w:color="auto"/>
              <w:bottom w:val="single" w:sz="6" w:space="0" w:color="auto"/>
            </w:tcBorders>
            <w:shd w:val="clear" w:color="auto" w:fill="67AE3C"/>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proofErr w:type="spellStart"/>
            <w:r w:rsidRPr="00FA0157">
              <w:rPr>
                <w:rFonts w:ascii="Cambria" w:hAnsi="Cambria"/>
                <w:bCs/>
                <w:color w:val="FFFFFF"/>
                <w:sz w:val="19"/>
                <w:szCs w:val="19"/>
                <w:lang w:val="es-ES"/>
              </w:rPr>
              <w:t>Rights</w:t>
            </w:r>
            <w:proofErr w:type="spellEnd"/>
            <w:r w:rsidRPr="00FA0157">
              <w:rPr>
                <w:rFonts w:ascii="Cambria" w:hAnsi="Cambria"/>
                <w:bCs/>
                <w:color w:val="FFFFFF"/>
                <w:sz w:val="19"/>
                <w:szCs w:val="19"/>
                <w:lang w:val="es-ES"/>
              </w:rPr>
              <w:t xml:space="preserve"> </w:t>
            </w:r>
            <w:proofErr w:type="spellStart"/>
            <w:r w:rsidRPr="00FA0157">
              <w:rPr>
                <w:rFonts w:ascii="Cambria" w:hAnsi="Cambria"/>
                <w:bCs/>
                <w:color w:val="FFFFFF"/>
                <w:sz w:val="19"/>
                <w:szCs w:val="19"/>
                <w:lang w:val="es-ES"/>
              </w:rPr>
              <w:t>declared</w:t>
            </w:r>
            <w:proofErr w:type="spellEnd"/>
            <w:r w:rsidRPr="00FA0157">
              <w:rPr>
                <w:rFonts w:ascii="Cambria" w:hAnsi="Cambria"/>
                <w:bCs/>
                <w:color w:val="FFFFFF"/>
                <w:sz w:val="19"/>
                <w:szCs w:val="19"/>
                <w:lang w:val="es-ES"/>
              </w:rPr>
              <w:t xml:space="preserve"> </w:t>
            </w:r>
            <w:proofErr w:type="spellStart"/>
            <w:r w:rsidRPr="00FA0157">
              <w:rPr>
                <w:rFonts w:ascii="Cambria" w:hAnsi="Cambria"/>
                <w:bCs/>
                <w:color w:val="FFFFFF"/>
                <w:sz w:val="19"/>
                <w:szCs w:val="19"/>
                <w:lang w:val="es-ES"/>
              </w:rPr>
              <w:t>admissible</w:t>
            </w:r>
            <w:proofErr w:type="spellEnd"/>
          </w:p>
        </w:tc>
        <w:tc>
          <w:tcPr>
            <w:tcW w:w="6570" w:type="dxa"/>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FA0157">
              <w:rPr>
                <w:rFonts w:ascii="Cambria" w:hAnsi="Cambria"/>
                <w:bCs/>
                <w:sz w:val="19"/>
                <w:szCs w:val="19"/>
              </w:rPr>
              <w:t xml:space="preserve">Articles </w:t>
            </w:r>
            <w:r w:rsidR="003C7518" w:rsidRPr="00FA0157">
              <w:rPr>
                <w:rFonts w:ascii="Cambria" w:hAnsi="Cambria"/>
                <w:bCs/>
                <w:sz w:val="19"/>
                <w:szCs w:val="19"/>
              </w:rPr>
              <w:t xml:space="preserve">5 (humane treatment), </w:t>
            </w:r>
            <w:r w:rsidRPr="00FA0157">
              <w:rPr>
                <w:rFonts w:ascii="Cambria" w:hAnsi="Cambria"/>
                <w:bCs/>
                <w:sz w:val="19"/>
                <w:szCs w:val="19"/>
              </w:rPr>
              <w:t>8 (fair trial), 11 (privacy), 23 (participate in government), 25 (judicial protection) and 26 (economic, social and cultural rights) of the American Convention, in relation to articles 1.1. (obligation to respect rights) and 2 (domestic legal effects).</w:t>
            </w:r>
          </w:p>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p>
        </w:tc>
      </w:tr>
      <w:tr w:rsidR="00C901B3" w:rsidRPr="00A061BF" w:rsidTr="006F0406">
        <w:trPr>
          <w:cantSplit/>
        </w:trPr>
        <w:tc>
          <w:tcPr>
            <w:tcW w:w="2790" w:type="dxa"/>
            <w:tcBorders>
              <w:top w:val="single" w:sz="6" w:space="0" w:color="auto"/>
              <w:bottom w:val="single" w:sz="6" w:space="0" w:color="auto"/>
            </w:tcBorders>
            <w:shd w:val="clear" w:color="auto" w:fill="67AE3C"/>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FA0157">
              <w:rPr>
                <w:rFonts w:ascii="Cambria" w:hAnsi="Cambria"/>
                <w:bCs/>
                <w:color w:val="FFFFFF"/>
                <w:sz w:val="19"/>
                <w:szCs w:val="19"/>
              </w:rPr>
              <w:t>Exhaustion of domestic remedies or applicability of an exception to the rule:</w:t>
            </w:r>
          </w:p>
        </w:tc>
        <w:tc>
          <w:tcPr>
            <w:tcW w:w="6570" w:type="dxa"/>
            <w:vAlign w:val="center"/>
          </w:tcPr>
          <w:p w:rsidR="00C901B3" w:rsidRPr="00FA0157" w:rsidRDefault="00C901B3" w:rsidP="00BB3FBD">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FA0157">
              <w:rPr>
                <w:rFonts w:ascii="Cambria" w:hAnsi="Cambria"/>
                <w:bCs/>
                <w:sz w:val="19"/>
                <w:szCs w:val="19"/>
                <w:lang w:val="es-ES"/>
              </w:rPr>
              <w:t xml:space="preserve">Yes, </w:t>
            </w:r>
            <w:proofErr w:type="spellStart"/>
            <w:r w:rsidRPr="00FA0157">
              <w:rPr>
                <w:rFonts w:ascii="Cambria" w:hAnsi="Cambria"/>
                <w:bCs/>
                <w:sz w:val="19"/>
                <w:szCs w:val="19"/>
                <w:lang w:val="es-ES"/>
              </w:rPr>
              <w:t>August</w:t>
            </w:r>
            <w:proofErr w:type="spellEnd"/>
            <w:r w:rsidRPr="00FA0157">
              <w:rPr>
                <w:rFonts w:ascii="Cambria" w:hAnsi="Cambria"/>
                <w:bCs/>
                <w:sz w:val="19"/>
                <w:szCs w:val="19"/>
                <w:lang w:val="es-ES"/>
              </w:rPr>
              <w:t xml:space="preserve"> 25, 2009</w:t>
            </w:r>
          </w:p>
        </w:tc>
      </w:tr>
      <w:tr w:rsidR="00C901B3" w:rsidRPr="00A061BF" w:rsidTr="006F0406">
        <w:trPr>
          <w:cantSplit/>
        </w:trPr>
        <w:tc>
          <w:tcPr>
            <w:tcW w:w="2790" w:type="dxa"/>
            <w:tcBorders>
              <w:top w:val="single" w:sz="6" w:space="0" w:color="auto"/>
              <w:bottom w:val="single" w:sz="4" w:space="0" w:color="auto"/>
            </w:tcBorders>
            <w:shd w:val="clear" w:color="auto" w:fill="67AE3C"/>
            <w:vAlign w:val="center"/>
          </w:tcPr>
          <w:p w:rsidR="00C901B3" w:rsidRPr="00FA0157" w:rsidRDefault="00C901B3" w:rsidP="00FA0157">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FA0157">
              <w:rPr>
                <w:rFonts w:ascii="Cambria" w:hAnsi="Cambria"/>
                <w:bCs/>
                <w:color w:val="FFFFFF"/>
                <w:sz w:val="19"/>
                <w:szCs w:val="19"/>
                <w:lang w:val="es-ES"/>
              </w:rPr>
              <w:t>Timeliness</w:t>
            </w:r>
            <w:proofErr w:type="spellEnd"/>
            <w:r w:rsidRPr="00FA0157">
              <w:rPr>
                <w:rFonts w:ascii="Cambria" w:hAnsi="Cambria"/>
                <w:bCs/>
                <w:color w:val="FFFFFF"/>
                <w:sz w:val="19"/>
                <w:szCs w:val="19"/>
                <w:lang w:val="es-ES"/>
              </w:rPr>
              <w:t xml:space="preserve"> of </w:t>
            </w:r>
            <w:proofErr w:type="spellStart"/>
            <w:r w:rsidRPr="00FA0157">
              <w:rPr>
                <w:rFonts w:ascii="Cambria" w:hAnsi="Cambria"/>
                <w:bCs/>
                <w:color w:val="FFFFFF"/>
                <w:sz w:val="19"/>
                <w:szCs w:val="19"/>
                <w:lang w:val="es-ES"/>
              </w:rPr>
              <w:t>the</w:t>
            </w:r>
            <w:proofErr w:type="spellEnd"/>
            <w:r w:rsidRPr="00FA0157">
              <w:rPr>
                <w:rFonts w:ascii="Cambria" w:hAnsi="Cambria"/>
                <w:bCs/>
                <w:color w:val="FFFFFF"/>
                <w:sz w:val="19"/>
                <w:szCs w:val="19"/>
                <w:lang w:val="es-ES"/>
              </w:rPr>
              <w:t xml:space="preserve"> </w:t>
            </w:r>
            <w:proofErr w:type="spellStart"/>
            <w:r w:rsidRPr="00FA0157">
              <w:rPr>
                <w:rFonts w:ascii="Cambria" w:hAnsi="Cambria"/>
                <w:bCs/>
                <w:color w:val="FFFFFF"/>
                <w:sz w:val="19"/>
                <w:szCs w:val="19"/>
                <w:lang w:val="es-ES"/>
              </w:rPr>
              <w:t>petition</w:t>
            </w:r>
            <w:proofErr w:type="spellEnd"/>
          </w:p>
        </w:tc>
        <w:tc>
          <w:tcPr>
            <w:tcW w:w="6570" w:type="dxa"/>
            <w:tcBorders>
              <w:bottom w:val="single" w:sz="4" w:space="0" w:color="auto"/>
            </w:tcBorders>
            <w:vAlign w:val="center"/>
          </w:tcPr>
          <w:p w:rsidR="00C901B3" w:rsidRPr="00FA0157" w:rsidRDefault="00C901B3" w:rsidP="005F22C2">
            <w:pPr>
              <w:pBdr>
                <w:top w:val="none" w:sz="0" w:space="0" w:color="auto"/>
                <w:left w:val="none" w:sz="0" w:space="0" w:color="auto"/>
                <w:bottom w:val="none" w:sz="0" w:space="0" w:color="auto"/>
                <w:right w:val="none" w:sz="0" w:space="0" w:color="auto"/>
                <w:bar w:val="none" w:sz="0" w:color="auto"/>
              </w:pBdr>
              <w:rPr>
                <w:bCs/>
                <w:sz w:val="19"/>
                <w:szCs w:val="19"/>
                <w:lang w:val="es-ES"/>
              </w:rPr>
            </w:pPr>
            <w:r w:rsidRPr="00FA0157">
              <w:rPr>
                <w:bCs/>
                <w:sz w:val="19"/>
                <w:szCs w:val="19"/>
                <w:lang w:val="es-ES"/>
              </w:rPr>
              <w:t xml:space="preserve">Yes, </w:t>
            </w:r>
            <w:proofErr w:type="spellStart"/>
            <w:r w:rsidRPr="00FA0157">
              <w:rPr>
                <w:bCs/>
                <w:sz w:val="19"/>
                <w:szCs w:val="19"/>
                <w:lang w:val="es-ES"/>
              </w:rPr>
              <w:t>February</w:t>
            </w:r>
            <w:proofErr w:type="spellEnd"/>
            <w:r w:rsidRPr="00FA0157">
              <w:rPr>
                <w:bCs/>
                <w:sz w:val="19"/>
                <w:szCs w:val="19"/>
                <w:lang w:val="es-ES"/>
              </w:rPr>
              <w:t xml:space="preserve"> 3, 2010</w:t>
            </w:r>
          </w:p>
        </w:tc>
      </w:tr>
    </w:tbl>
    <w:p w:rsidR="00C901B3" w:rsidRPr="00006B74" w:rsidRDefault="00C901B3" w:rsidP="00647756">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sz w:val="20"/>
          <w:szCs w:val="20"/>
          <w:lang w:val="es-ES"/>
        </w:rPr>
      </w:pPr>
      <w:r w:rsidRPr="00006B74">
        <w:rPr>
          <w:rFonts w:ascii="Cambria" w:hAnsi="Cambria"/>
          <w:b/>
          <w:sz w:val="20"/>
          <w:szCs w:val="20"/>
          <w:lang w:val="es-ES"/>
        </w:rPr>
        <w:t xml:space="preserve">V. </w:t>
      </w:r>
      <w:r w:rsidRPr="00006B74">
        <w:rPr>
          <w:rFonts w:ascii="Cambria" w:hAnsi="Cambria"/>
          <w:b/>
          <w:sz w:val="20"/>
          <w:szCs w:val="20"/>
          <w:lang w:val="es-ES"/>
        </w:rPr>
        <w:tab/>
      </w:r>
      <w:r>
        <w:rPr>
          <w:rFonts w:ascii="Cambria" w:hAnsi="Cambria"/>
          <w:b/>
          <w:sz w:val="20"/>
          <w:szCs w:val="20"/>
          <w:lang w:val="es-ES"/>
        </w:rPr>
        <w:t>SUMMARY OF ALLEGED FACTS</w:t>
      </w:r>
    </w:p>
    <w:p w:rsidR="00C901B3" w:rsidRDefault="00C901B3" w:rsidP="00647756">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sidRPr="004B04D2">
        <w:rPr>
          <w:rFonts w:ascii="Cambria" w:hAnsi="Cambria"/>
          <w:sz w:val="20"/>
          <w:szCs w:val="20"/>
        </w:rPr>
        <w:t xml:space="preserve">Rogelio </w:t>
      </w:r>
      <w:proofErr w:type="spellStart"/>
      <w:r w:rsidRPr="004B04D2">
        <w:rPr>
          <w:rFonts w:ascii="Cambria" w:hAnsi="Cambria"/>
          <w:sz w:val="20"/>
          <w:szCs w:val="20"/>
        </w:rPr>
        <w:t>Montemayor</w:t>
      </w:r>
      <w:proofErr w:type="spellEnd"/>
      <w:r w:rsidRPr="004B04D2">
        <w:rPr>
          <w:rFonts w:ascii="Cambria" w:hAnsi="Cambria"/>
          <w:sz w:val="20"/>
          <w:szCs w:val="20"/>
        </w:rPr>
        <w:t xml:space="preserve"> </w:t>
      </w:r>
      <w:proofErr w:type="spellStart"/>
      <w:r w:rsidRPr="004B04D2">
        <w:rPr>
          <w:rFonts w:ascii="Cambria" w:hAnsi="Cambria"/>
          <w:sz w:val="20"/>
          <w:szCs w:val="20"/>
        </w:rPr>
        <w:t>Seguy</w:t>
      </w:r>
      <w:proofErr w:type="spellEnd"/>
      <w:r w:rsidRPr="004B04D2">
        <w:rPr>
          <w:rFonts w:ascii="Cambria" w:hAnsi="Cambria"/>
          <w:sz w:val="20"/>
          <w:szCs w:val="20"/>
        </w:rPr>
        <w:t xml:space="preserve"> (hereinafter “the peti</w:t>
      </w:r>
      <w:r>
        <w:rPr>
          <w:rFonts w:ascii="Cambria" w:hAnsi="Cambria"/>
          <w:sz w:val="20"/>
          <w:szCs w:val="20"/>
        </w:rPr>
        <w:t xml:space="preserve">tioner” or “ the alleged victim”) affirms that he was the Director-General of </w:t>
      </w:r>
      <w:proofErr w:type="spellStart"/>
      <w:r>
        <w:rPr>
          <w:rFonts w:ascii="Cambria" w:hAnsi="Cambria"/>
          <w:sz w:val="20"/>
          <w:szCs w:val="20"/>
        </w:rPr>
        <w:t>Petróleos</w:t>
      </w:r>
      <w:proofErr w:type="spellEnd"/>
      <w:r>
        <w:rPr>
          <w:rFonts w:ascii="Cambria" w:hAnsi="Cambria"/>
          <w:sz w:val="20"/>
          <w:szCs w:val="20"/>
        </w:rPr>
        <w:t xml:space="preserve"> </w:t>
      </w:r>
      <w:proofErr w:type="spellStart"/>
      <w:r>
        <w:rPr>
          <w:rFonts w:ascii="Cambria" w:hAnsi="Cambria"/>
          <w:sz w:val="20"/>
          <w:szCs w:val="20"/>
        </w:rPr>
        <w:t>Mexicanos</w:t>
      </w:r>
      <w:proofErr w:type="spellEnd"/>
      <w:r>
        <w:rPr>
          <w:rFonts w:ascii="Cambria" w:hAnsi="Cambria"/>
          <w:sz w:val="20"/>
          <w:szCs w:val="20"/>
        </w:rPr>
        <w:t xml:space="preserve"> (PEMEX) on the dates in which Vicente Fox Quesada was campaigning for the country’s presidency. He alleges that he was publicly threatened on multiple times during the election campaign by Fox Quesada, for example by warning the petitioner that he “should be careful not to put his hand in the jar, as the first thing we are going to do is to conduct an audit to ensure that </w:t>
      </w:r>
      <w:r>
        <w:rPr>
          <w:rFonts w:ascii="Cambria" w:hAnsi="Cambria"/>
          <w:sz w:val="20"/>
          <w:szCs w:val="20"/>
        </w:rPr>
        <w:lastRenderedPageBreak/>
        <w:t xml:space="preserve">resources from PEMEX and Mexicans have not been used as petty cash for Labastida’s campaign”. He adds that such threats continued after Fox Quesada was elected, citing as an example that the Secretary of </w:t>
      </w:r>
      <w:proofErr w:type="spellStart"/>
      <w:r>
        <w:rPr>
          <w:rFonts w:ascii="Cambria" w:hAnsi="Cambria"/>
          <w:sz w:val="20"/>
          <w:szCs w:val="20"/>
        </w:rPr>
        <w:t>Comptrolling</w:t>
      </w:r>
      <w:proofErr w:type="spellEnd"/>
      <w:r>
        <w:rPr>
          <w:rFonts w:ascii="Cambria" w:hAnsi="Cambria"/>
          <w:sz w:val="20"/>
          <w:szCs w:val="20"/>
        </w:rPr>
        <w:t xml:space="preserve"> and Administrative Development spoke about the petitioner announcing, at the beginning of 2002, that “… we have meat in the pan and we are going to fry good sized fish…”. </w:t>
      </w:r>
      <w:r w:rsidRPr="00A239D1">
        <w:rPr>
          <w:rFonts w:ascii="Cambria" w:hAnsi="Cambria"/>
          <w:sz w:val="20"/>
          <w:szCs w:val="20"/>
        </w:rPr>
        <w:t xml:space="preserve">He argues that since that date he was the victim of persecution by the State institutions in order to establish a precedent and </w:t>
      </w:r>
      <w:r>
        <w:rPr>
          <w:rFonts w:ascii="Cambria" w:hAnsi="Cambria"/>
          <w:sz w:val="20"/>
          <w:szCs w:val="20"/>
        </w:rPr>
        <w:t>punish</w:t>
      </w:r>
      <w:r w:rsidRPr="00A239D1">
        <w:rPr>
          <w:rFonts w:ascii="Cambria" w:hAnsi="Cambria"/>
          <w:sz w:val="20"/>
          <w:szCs w:val="20"/>
        </w:rPr>
        <w:t xml:space="preserve"> whom they considered a political adversary.</w:t>
      </w:r>
    </w:p>
    <w:p w:rsidR="00C901B3" w:rsidRDefault="00C901B3" w:rsidP="00647756">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He points out that he was subjected to three distinct criminal prosecutions, all of them related to administrative collective bargaining agreements that, during his term as Director-General, were agreed to between PEMEX and the Mexican Republic Oil Workers Union, which were legally concluded and paid. On April 12, 2002, a criminal prosecution was initiated against him for the crime of embezzlement that resulted in an arrest order against him, which was ultimately revoked on October 10, 2006 by the Fourth Criminal District Court of the Federal District, which considered in an </w:t>
      </w:r>
      <w:r w:rsidRPr="008956FA">
        <w:rPr>
          <w:rFonts w:ascii="Cambria" w:hAnsi="Cambria" w:cs="Cambria"/>
          <w:sz w:val="20"/>
          <w:szCs w:val="20"/>
          <w:u w:color="000000"/>
          <w:lang w:eastAsia="es-ES"/>
        </w:rPr>
        <w:t>amparo</w:t>
      </w:r>
      <w:r>
        <w:rPr>
          <w:rFonts w:ascii="Cambria" w:hAnsi="Cambria" w:cs="Cambria"/>
          <w:sz w:val="20"/>
          <w:szCs w:val="20"/>
          <w:u w:color="000000"/>
          <w:lang w:eastAsia="es-ES"/>
        </w:rPr>
        <w:t xml:space="preserve"> trial -action for protection of constitutional rights- </w:t>
      </w:r>
      <w:r>
        <w:rPr>
          <w:rFonts w:ascii="Cambria" w:hAnsi="Cambria"/>
          <w:sz w:val="20"/>
          <w:szCs w:val="20"/>
        </w:rPr>
        <w:t>that the information gathered in the previous inquiry was insufficient to prove that the petitioner had diverted funds from PEMEX to benefit a third party that did not have a labor relationship with the company.</w:t>
      </w:r>
      <w:r w:rsidRPr="006D76B3">
        <w:rPr>
          <w:rStyle w:val="FootnoteReference"/>
          <w:rFonts w:ascii="Cambria" w:hAnsi="Cambria"/>
          <w:sz w:val="20"/>
          <w:szCs w:val="20"/>
          <w:lang w:val="es-ES"/>
        </w:rPr>
        <w:footnoteReference w:id="7"/>
      </w:r>
      <w:r>
        <w:rPr>
          <w:rFonts w:ascii="Cambria" w:hAnsi="Cambria"/>
          <w:sz w:val="20"/>
          <w:szCs w:val="20"/>
        </w:rPr>
        <w:t xml:space="preserve"> He was also prosecuted for the crime of undue exercise of attributions and faculties, with the criminal court in charge concluding on September 11, 2004, that the presence of the elements of the crime had not been established.</w:t>
      </w:r>
      <w:r w:rsidRPr="006D76B3">
        <w:rPr>
          <w:rStyle w:val="FootnoteReference"/>
          <w:rFonts w:ascii="Cambria" w:hAnsi="Cambria"/>
          <w:sz w:val="20"/>
          <w:szCs w:val="20"/>
          <w:lang w:val="es-ES"/>
        </w:rPr>
        <w:footnoteReference w:id="8"/>
      </w:r>
      <w:r>
        <w:rPr>
          <w:rFonts w:ascii="Cambria" w:hAnsi="Cambria"/>
          <w:sz w:val="20"/>
          <w:szCs w:val="20"/>
        </w:rPr>
        <w:t xml:space="preserve"> Similarly, he was prosecuted for an electoral crime and his capture was ordered on October 4, 2002. He filed an amparo that resulted in the court concluding that the petitioner’s constitutional rights had been violated as there was no evidence “to establish that the participation of the petitioner in the conclusion of the agreement in question constituted a scheme to divert public funds to the Institutional Revolutionary Party (PRI)”. </w:t>
      </w:r>
    </w:p>
    <w:p w:rsidR="00C901B3" w:rsidRPr="009C1F9D" w:rsidRDefault="00C901B3" w:rsidP="005F22C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sidRPr="009C1F9D">
        <w:rPr>
          <w:rFonts w:ascii="Cambria" w:hAnsi="Cambria"/>
          <w:sz w:val="20"/>
          <w:szCs w:val="20"/>
        </w:rPr>
        <w:t>The petition points out that, on the basis of the same facts, he was subjected to a responsibility administrative procedure by the General Direction of Responsibilities and A</w:t>
      </w:r>
      <w:r>
        <w:rPr>
          <w:rFonts w:ascii="Cambria" w:hAnsi="Cambria"/>
          <w:sz w:val="20"/>
          <w:szCs w:val="20"/>
        </w:rPr>
        <w:t>sset Situation of the  Secretariat</w:t>
      </w:r>
      <w:r w:rsidRPr="009C1F9D">
        <w:rPr>
          <w:rFonts w:ascii="Cambria" w:hAnsi="Cambria"/>
          <w:sz w:val="20"/>
          <w:szCs w:val="20"/>
        </w:rPr>
        <w:t xml:space="preserve"> of the Public Function (former SECODAM) which was started on 2002 </w:t>
      </w:r>
      <w:r>
        <w:rPr>
          <w:rFonts w:ascii="Cambria" w:hAnsi="Cambria"/>
          <w:sz w:val="20"/>
          <w:szCs w:val="20"/>
        </w:rPr>
        <w:t xml:space="preserve">and </w:t>
      </w:r>
      <w:r w:rsidRPr="009C1F9D">
        <w:rPr>
          <w:rFonts w:ascii="Cambria" w:hAnsi="Cambria"/>
          <w:sz w:val="20"/>
          <w:szCs w:val="20"/>
        </w:rPr>
        <w:t xml:space="preserve">resulted in this organ issuing a resolution on April 27, 2005, sanctioning him with: 20 years disqualification from employment, office or commission in the public service, as well as a </w:t>
      </w:r>
      <w:r>
        <w:rPr>
          <w:rFonts w:ascii="Cambria" w:hAnsi="Cambria"/>
          <w:sz w:val="20"/>
          <w:szCs w:val="20"/>
        </w:rPr>
        <w:t>pecuniary</w:t>
      </w:r>
      <w:r w:rsidRPr="009C1F9D">
        <w:rPr>
          <w:rFonts w:ascii="Cambria" w:hAnsi="Cambria"/>
          <w:sz w:val="20"/>
          <w:szCs w:val="20"/>
        </w:rPr>
        <w:t xml:space="preserve"> sanction.</w:t>
      </w:r>
      <w:r w:rsidRPr="006D76B3">
        <w:rPr>
          <w:rStyle w:val="FootnoteReference"/>
          <w:rFonts w:ascii="Cambria" w:hAnsi="Cambria"/>
          <w:sz w:val="20"/>
          <w:szCs w:val="20"/>
          <w:lang w:val="es-ES"/>
        </w:rPr>
        <w:footnoteReference w:id="9"/>
      </w:r>
      <w:r>
        <w:rPr>
          <w:rFonts w:ascii="Cambria" w:hAnsi="Cambria"/>
          <w:sz w:val="20"/>
          <w:szCs w:val="20"/>
        </w:rPr>
        <w:t xml:space="preserve"> </w:t>
      </w:r>
      <w:r w:rsidRPr="009C1F9D">
        <w:rPr>
          <w:rFonts w:ascii="Cambria" w:hAnsi="Cambria"/>
          <w:sz w:val="20"/>
          <w:szCs w:val="20"/>
        </w:rPr>
        <w:t>Against this resolution, the petitioner filed a motion for annulment</w:t>
      </w:r>
      <w:r w:rsidRPr="006D76B3">
        <w:rPr>
          <w:rStyle w:val="FootnoteReference"/>
          <w:rFonts w:ascii="Cambria" w:hAnsi="Cambria"/>
          <w:sz w:val="20"/>
          <w:szCs w:val="20"/>
          <w:lang w:val="es-ES"/>
        </w:rPr>
        <w:footnoteReference w:id="10"/>
      </w:r>
      <w:r w:rsidRPr="009C1F9D">
        <w:rPr>
          <w:rFonts w:ascii="Cambria" w:hAnsi="Cambria"/>
          <w:sz w:val="20"/>
          <w:szCs w:val="20"/>
        </w:rPr>
        <w:t xml:space="preserve"> on July 1, 2005 before the Federal </w:t>
      </w:r>
      <w:r>
        <w:rPr>
          <w:rFonts w:ascii="Cambria" w:hAnsi="Cambria"/>
          <w:sz w:val="20"/>
          <w:szCs w:val="20"/>
        </w:rPr>
        <w:t>Tribunal</w:t>
      </w:r>
      <w:r w:rsidRPr="009C1F9D">
        <w:rPr>
          <w:rFonts w:ascii="Cambria" w:hAnsi="Cambria"/>
          <w:sz w:val="20"/>
          <w:szCs w:val="20"/>
        </w:rPr>
        <w:t xml:space="preserve"> of Fiscal and Administrative Justice</w:t>
      </w:r>
      <w:r>
        <w:rPr>
          <w:rStyle w:val="FootnoteReference"/>
          <w:rFonts w:ascii="Cambria" w:hAnsi="Cambria"/>
          <w:sz w:val="20"/>
          <w:szCs w:val="20"/>
        </w:rPr>
        <w:footnoteReference w:id="11"/>
      </w:r>
      <w:r w:rsidRPr="009C1F9D">
        <w:rPr>
          <w:rFonts w:ascii="Cambria" w:hAnsi="Cambria"/>
          <w:sz w:val="20"/>
          <w:szCs w:val="20"/>
        </w:rPr>
        <w:t xml:space="preserve"> who confirmed the validity of the sanctions on November 17, 2007. Then, on February 21, 2008, the petitioner promoted </w:t>
      </w:r>
      <w:r>
        <w:rPr>
          <w:rFonts w:ascii="Cambria" w:hAnsi="Cambria"/>
          <w:sz w:val="20"/>
          <w:szCs w:val="20"/>
        </w:rPr>
        <w:t xml:space="preserve">a </w:t>
      </w:r>
      <w:r w:rsidRPr="009C1F9D">
        <w:rPr>
          <w:rFonts w:ascii="Cambria" w:hAnsi="Cambria"/>
          <w:sz w:val="20"/>
          <w:szCs w:val="20"/>
        </w:rPr>
        <w:t xml:space="preserve">direct </w:t>
      </w:r>
      <w:r>
        <w:rPr>
          <w:rFonts w:ascii="Cambria" w:hAnsi="Cambria"/>
          <w:sz w:val="20"/>
          <w:szCs w:val="20"/>
        </w:rPr>
        <w:t>amparo action</w:t>
      </w:r>
      <w:r w:rsidRPr="009C1F9D">
        <w:rPr>
          <w:rFonts w:ascii="Cambria" w:hAnsi="Cambria"/>
          <w:sz w:val="20"/>
          <w:szCs w:val="20"/>
        </w:rPr>
        <w:t xml:space="preserve"> against the resolution resulting in </w:t>
      </w:r>
      <w:r>
        <w:rPr>
          <w:rFonts w:ascii="Cambria" w:hAnsi="Cambria"/>
          <w:sz w:val="20"/>
          <w:szCs w:val="20"/>
        </w:rPr>
        <w:t xml:space="preserve">a decision on </w:t>
      </w:r>
      <w:r w:rsidRPr="009C1F9D">
        <w:rPr>
          <w:rFonts w:ascii="Cambria" w:hAnsi="Cambria"/>
          <w:sz w:val="20"/>
          <w:szCs w:val="20"/>
        </w:rPr>
        <w:t xml:space="preserve">January 12, 2009 </w:t>
      </w:r>
      <w:r>
        <w:rPr>
          <w:rFonts w:ascii="Cambria" w:hAnsi="Cambria"/>
          <w:sz w:val="20"/>
          <w:szCs w:val="20"/>
        </w:rPr>
        <w:t xml:space="preserve">in which </w:t>
      </w:r>
      <w:r w:rsidRPr="009C1F9D">
        <w:rPr>
          <w:rFonts w:ascii="Cambria" w:hAnsi="Cambria"/>
          <w:sz w:val="20"/>
          <w:szCs w:val="20"/>
        </w:rPr>
        <w:t>the Third Collegiate Court on Administrative Matters of the First Circuit</w:t>
      </w:r>
      <w:r>
        <w:rPr>
          <w:rFonts w:ascii="Cambria" w:hAnsi="Cambria"/>
          <w:sz w:val="20"/>
          <w:szCs w:val="20"/>
        </w:rPr>
        <w:t xml:space="preserve"> reviewed the legality and constitutionality of the impugned resolution and</w:t>
      </w:r>
      <w:r w:rsidRPr="009C1F9D">
        <w:rPr>
          <w:rFonts w:ascii="Cambria" w:hAnsi="Cambria"/>
          <w:sz w:val="20"/>
          <w:szCs w:val="20"/>
        </w:rPr>
        <w:t xml:space="preserve"> grant</w:t>
      </w:r>
      <w:r>
        <w:rPr>
          <w:rFonts w:ascii="Cambria" w:hAnsi="Cambria"/>
          <w:sz w:val="20"/>
          <w:szCs w:val="20"/>
        </w:rPr>
        <w:t>ed</w:t>
      </w:r>
      <w:r w:rsidRPr="009C1F9D">
        <w:rPr>
          <w:rFonts w:ascii="Cambria" w:hAnsi="Cambria"/>
          <w:sz w:val="20"/>
          <w:szCs w:val="20"/>
        </w:rPr>
        <w:t xml:space="preserve"> the </w:t>
      </w:r>
      <w:r w:rsidRPr="00FE07C3">
        <w:rPr>
          <w:rFonts w:ascii="Cambria" w:hAnsi="Cambria"/>
          <w:sz w:val="20"/>
          <w:szCs w:val="20"/>
        </w:rPr>
        <w:t>amparo</w:t>
      </w:r>
      <w:r w:rsidRPr="009C1F9D">
        <w:rPr>
          <w:rFonts w:ascii="Cambria" w:hAnsi="Cambria"/>
          <w:sz w:val="20"/>
          <w:szCs w:val="20"/>
        </w:rPr>
        <w:t xml:space="preserve"> with respect to the pecuniary sanction</w:t>
      </w:r>
      <w:r w:rsidRPr="006D76B3">
        <w:rPr>
          <w:rStyle w:val="FootnoteReference"/>
          <w:rFonts w:ascii="Cambria" w:hAnsi="Cambria"/>
          <w:sz w:val="20"/>
          <w:szCs w:val="20"/>
          <w:lang w:val="es-ES"/>
        </w:rPr>
        <w:footnoteReference w:id="12"/>
      </w:r>
      <w:r w:rsidRPr="009C1F9D">
        <w:rPr>
          <w:rFonts w:ascii="Cambria" w:hAnsi="Cambria"/>
          <w:sz w:val="20"/>
          <w:szCs w:val="20"/>
        </w:rPr>
        <w:t xml:space="preserve"> but den</w:t>
      </w:r>
      <w:r>
        <w:rPr>
          <w:rFonts w:ascii="Cambria" w:hAnsi="Cambria"/>
          <w:sz w:val="20"/>
          <w:szCs w:val="20"/>
        </w:rPr>
        <w:t>ied it</w:t>
      </w:r>
      <w:r w:rsidRPr="009C1F9D">
        <w:rPr>
          <w:rFonts w:ascii="Cambria" w:hAnsi="Cambria"/>
          <w:sz w:val="20"/>
          <w:szCs w:val="20"/>
        </w:rPr>
        <w:t xml:space="preserve"> with respect to</w:t>
      </w:r>
      <w:r>
        <w:rPr>
          <w:rFonts w:ascii="Cambria" w:hAnsi="Cambria"/>
          <w:sz w:val="20"/>
          <w:szCs w:val="20"/>
        </w:rPr>
        <w:t xml:space="preserve"> the</w:t>
      </w:r>
      <w:r w:rsidRPr="009C1F9D">
        <w:rPr>
          <w:rFonts w:ascii="Cambria" w:hAnsi="Cambria"/>
          <w:sz w:val="20"/>
          <w:szCs w:val="20"/>
        </w:rPr>
        <w:t xml:space="preserve"> disqualification.</w:t>
      </w:r>
      <w:r w:rsidRPr="003E0725">
        <w:rPr>
          <w:rStyle w:val="FootnoteReference"/>
          <w:rFonts w:ascii="Cambria" w:hAnsi="Cambria"/>
          <w:sz w:val="20"/>
          <w:szCs w:val="20"/>
        </w:rPr>
        <w:t xml:space="preserve"> </w:t>
      </w:r>
      <w:r>
        <w:rPr>
          <w:rStyle w:val="FootnoteReference"/>
          <w:rFonts w:ascii="Cambria" w:hAnsi="Cambria"/>
          <w:sz w:val="20"/>
          <w:szCs w:val="20"/>
        </w:rPr>
        <w:footnoteReference w:id="13"/>
      </w:r>
      <w:r w:rsidRPr="009C1F9D">
        <w:rPr>
          <w:rFonts w:ascii="Cambria" w:hAnsi="Cambria"/>
          <w:sz w:val="20"/>
          <w:szCs w:val="20"/>
        </w:rPr>
        <w:t xml:space="preserve"> </w:t>
      </w:r>
      <w:r>
        <w:rPr>
          <w:rFonts w:ascii="Cambria" w:hAnsi="Cambria"/>
          <w:sz w:val="20"/>
          <w:szCs w:val="20"/>
        </w:rPr>
        <w:t>In disagreement</w:t>
      </w:r>
      <w:r w:rsidRPr="009C1F9D">
        <w:rPr>
          <w:rFonts w:ascii="Cambria" w:hAnsi="Cambria"/>
          <w:sz w:val="20"/>
          <w:szCs w:val="20"/>
        </w:rPr>
        <w:t xml:space="preserve"> with this decision, the petitioner filed an appeal for review before the Supreme Court of Justice arguing that the Secretariat lacked constitutional jurisdiction and that it did not comply with the constitutional standards of an impartial and independent tribunal.</w:t>
      </w:r>
      <w:r w:rsidRPr="006256D5">
        <w:rPr>
          <w:rStyle w:val="FootnoteReference"/>
          <w:rFonts w:ascii="Cambria" w:hAnsi="Cambria"/>
          <w:sz w:val="20"/>
          <w:szCs w:val="20"/>
        </w:rPr>
        <w:t xml:space="preserve"> </w:t>
      </w:r>
      <w:r w:rsidRPr="006D76B3">
        <w:rPr>
          <w:rStyle w:val="FootnoteReference"/>
          <w:rFonts w:ascii="Cambria" w:hAnsi="Cambria"/>
          <w:sz w:val="20"/>
          <w:szCs w:val="20"/>
          <w:lang w:val="es-ES"/>
        </w:rPr>
        <w:footnoteReference w:id="14"/>
      </w:r>
      <w:r w:rsidRPr="009C1F9D">
        <w:rPr>
          <w:rFonts w:ascii="Cambria" w:hAnsi="Cambria"/>
          <w:sz w:val="20"/>
          <w:szCs w:val="20"/>
        </w:rPr>
        <w:t xml:space="preserve"> On May 20, 2009, the Supreme Court upheld the judgment appealed, </w:t>
      </w:r>
      <w:r w:rsidRPr="009C1F9D">
        <w:rPr>
          <w:rFonts w:ascii="Cambria" w:hAnsi="Cambria"/>
          <w:sz w:val="20"/>
          <w:szCs w:val="20"/>
        </w:rPr>
        <w:lastRenderedPageBreak/>
        <w:t>so on July 1, 2009, the Federal Court of Fiscal and Administrative Justice issued a new judgment against the petitioner, imposing only the sanction of disqualification.</w:t>
      </w:r>
      <w:r w:rsidRPr="006256D5">
        <w:rPr>
          <w:rStyle w:val="FootnoteReference"/>
          <w:rFonts w:ascii="Cambria" w:hAnsi="Cambria"/>
          <w:sz w:val="20"/>
          <w:szCs w:val="20"/>
        </w:rPr>
        <w:t xml:space="preserve"> </w:t>
      </w:r>
      <w:r w:rsidRPr="006D76B3">
        <w:rPr>
          <w:rStyle w:val="FootnoteReference"/>
          <w:rFonts w:ascii="Cambria" w:hAnsi="Cambria"/>
          <w:sz w:val="20"/>
          <w:szCs w:val="20"/>
          <w:lang w:val="es-ES"/>
        </w:rPr>
        <w:footnoteReference w:id="15"/>
      </w:r>
    </w:p>
    <w:p w:rsidR="00C901B3" w:rsidRPr="006F75DB" w:rsidRDefault="00C901B3" w:rsidP="005F22C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sidRPr="006F75DB">
        <w:rPr>
          <w:rFonts w:ascii="Cambria" w:hAnsi="Cambria"/>
          <w:sz w:val="20"/>
          <w:szCs w:val="20"/>
        </w:rPr>
        <w:t xml:space="preserve">The State </w:t>
      </w:r>
      <w:r>
        <w:rPr>
          <w:rFonts w:ascii="Cambria" w:hAnsi="Cambria"/>
          <w:sz w:val="20"/>
          <w:szCs w:val="20"/>
        </w:rPr>
        <w:t>did</w:t>
      </w:r>
      <w:r w:rsidRPr="006F75DB">
        <w:rPr>
          <w:rFonts w:ascii="Cambria" w:hAnsi="Cambria"/>
          <w:sz w:val="20"/>
          <w:szCs w:val="20"/>
        </w:rPr>
        <w:t xml:space="preserve"> not question the facts as described by the petitioner. </w:t>
      </w:r>
      <w:r>
        <w:rPr>
          <w:rFonts w:ascii="Cambria" w:hAnsi="Cambria"/>
          <w:sz w:val="20"/>
          <w:szCs w:val="20"/>
        </w:rPr>
        <w:t>However, it requested that the petition be declared inadmissible as it considers that the claim of the petitioner is for the Commission to act as an appeals court, in contradiction to its subsidiary nature.</w:t>
      </w:r>
    </w:p>
    <w:p w:rsidR="00C901B3" w:rsidRPr="006F75DB" w:rsidRDefault="00C901B3" w:rsidP="00647756">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rPr>
      </w:pPr>
      <w:r w:rsidRPr="006F75DB">
        <w:rPr>
          <w:b/>
          <w:bCs/>
          <w:sz w:val="20"/>
          <w:szCs w:val="20"/>
        </w:rPr>
        <w:t xml:space="preserve">VI. </w:t>
      </w:r>
      <w:r w:rsidRPr="006F75DB">
        <w:rPr>
          <w:b/>
          <w:bCs/>
          <w:sz w:val="20"/>
          <w:szCs w:val="20"/>
        </w:rPr>
        <w:tab/>
        <w:t>EXHAUSTION OF LOCAL REMEDIES AND TIMELINESS OF THE PETITION</w:t>
      </w:r>
    </w:p>
    <w:p w:rsidR="00C901B3" w:rsidRPr="004D47C6" w:rsidRDefault="00C901B3" w:rsidP="00051E53">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sidRPr="004D47C6">
        <w:rPr>
          <w:rFonts w:ascii="Cambria" w:hAnsi="Cambria"/>
          <w:sz w:val="20"/>
          <w:szCs w:val="20"/>
        </w:rPr>
        <w:t>The petitioner considers that the domestic remedies were exhausted with the judgment issued by the Federal Court of Fiscal and Administrative Justice on July 1, 2009, which imposed</w:t>
      </w:r>
      <w:r>
        <w:rPr>
          <w:rFonts w:ascii="Cambria" w:hAnsi="Cambria"/>
          <w:sz w:val="20"/>
          <w:szCs w:val="20"/>
        </w:rPr>
        <w:t xml:space="preserve"> him</w:t>
      </w:r>
      <w:r w:rsidRPr="004D47C6">
        <w:rPr>
          <w:rFonts w:ascii="Cambria" w:hAnsi="Cambria"/>
          <w:sz w:val="20"/>
          <w:szCs w:val="20"/>
        </w:rPr>
        <w:t xml:space="preserve"> a</w:t>
      </w:r>
      <w:r>
        <w:rPr>
          <w:rFonts w:ascii="Cambria" w:hAnsi="Cambria"/>
          <w:sz w:val="20"/>
          <w:szCs w:val="20"/>
        </w:rPr>
        <w:t xml:space="preserve"> sanction disqualifying him from </w:t>
      </w:r>
      <w:r w:rsidRPr="004D47C6">
        <w:rPr>
          <w:rFonts w:ascii="Cambria" w:hAnsi="Cambria"/>
          <w:sz w:val="20"/>
          <w:szCs w:val="20"/>
        </w:rPr>
        <w:t>public service for a term of 20 years, and that this is not susceptible to subsequent challenge</w:t>
      </w:r>
      <w:r>
        <w:rPr>
          <w:rStyle w:val="FootnoteReference"/>
          <w:rFonts w:ascii="Cambria" w:hAnsi="Cambria"/>
          <w:sz w:val="20"/>
          <w:szCs w:val="20"/>
          <w:lang w:val="es-ES"/>
        </w:rPr>
        <w:footnoteReference w:id="16"/>
      </w:r>
      <w:r w:rsidRPr="004D47C6">
        <w:rPr>
          <w:rFonts w:ascii="Cambria" w:hAnsi="Cambria"/>
          <w:sz w:val="20"/>
          <w:szCs w:val="20"/>
        </w:rPr>
        <w:t>. It also notes that since this judgment was notified on August 25, 2009, his petition was filed in a timely manner</w:t>
      </w:r>
      <w:r>
        <w:rPr>
          <w:rStyle w:val="FootnoteReference"/>
          <w:rFonts w:ascii="Cambria" w:hAnsi="Cambria"/>
          <w:sz w:val="20"/>
          <w:szCs w:val="20"/>
          <w:lang w:val="es-ES"/>
        </w:rPr>
        <w:footnoteReference w:id="17"/>
      </w:r>
      <w:r w:rsidRPr="004D47C6">
        <w:rPr>
          <w:rFonts w:ascii="Cambria" w:hAnsi="Cambria"/>
          <w:sz w:val="20"/>
          <w:szCs w:val="20"/>
        </w:rPr>
        <w:t>. The State, for its part, has not made reference to remedies that have not been exhausted by the petitioner that could be suitable for his claims to be addressed at the domestic level, nor argued that the petition has been filed extemporaneously.</w:t>
      </w:r>
    </w:p>
    <w:p w:rsidR="00C901B3" w:rsidRPr="004D47C6" w:rsidRDefault="00C901B3" w:rsidP="008C5751">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szCs w:val="20"/>
        </w:rPr>
        <w:t>On account of</w:t>
      </w:r>
      <w:r w:rsidRPr="004D47C6">
        <w:rPr>
          <w:rFonts w:ascii="Cambria" w:hAnsi="Cambria"/>
          <w:sz w:val="20"/>
          <w:szCs w:val="20"/>
        </w:rPr>
        <w:t xml:space="preserve"> the information </w:t>
      </w:r>
      <w:r>
        <w:rPr>
          <w:rFonts w:ascii="Cambria" w:hAnsi="Cambria"/>
          <w:sz w:val="20"/>
          <w:szCs w:val="20"/>
        </w:rPr>
        <w:t>on</w:t>
      </w:r>
      <w:r w:rsidRPr="004D47C6">
        <w:rPr>
          <w:rFonts w:ascii="Cambria" w:hAnsi="Cambria"/>
          <w:sz w:val="20"/>
          <w:szCs w:val="20"/>
        </w:rPr>
        <w:t xml:space="preserve"> file, the Commission considers that </w:t>
      </w:r>
      <w:r>
        <w:rPr>
          <w:rFonts w:ascii="Cambria" w:hAnsi="Cambria"/>
          <w:sz w:val="20"/>
          <w:szCs w:val="20"/>
        </w:rPr>
        <w:t>local</w:t>
      </w:r>
      <w:r w:rsidRPr="004D47C6">
        <w:rPr>
          <w:rFonts w:ascii="Cambria" w:hAnsi="Cambria"/>
          <w:sz w:val="20"/>
          <w:szCs w:val="20"/>
        </w:rPr>
        <w:t xml:space="preserve"> remedies were exhausted with the judgment of July 1, 2009, </w:t>
      </w:r>
      <w:r>
        <w:rPr>
          <w:rFonts w:ascii="Cambria" w:hAnsi="Cambria"/>
          <w:sz w:val="20"/>
          <w:szCs w:val="20"/>
        </w:rPr>
        <w:t>and hence</w:t>
      </w:r>
      <w:r w:rsidRPr="004D47C6">
        <w:rPr>
          <w:rFonts w:ascii="Cambria" w:hAnsi="Cambria"/>
          <w:sz w:val="20"/>
          <w:szCs w:val="20"/>
        </w:rPr>
        <w:t xml:space="preserve"> this petition meets the requirements of Article 46.1 (a) of the American Convention. Since this </w:t>
      </w:r>
      <w:r>
        <w:rPr>
          <w:rFonts w:ascii="Cambria" w:hAnsi="Cambria"/>
          <w:sz w:val="20"/>
          <w:szCs w:val="20"/>
        </w:rPr>
        <w:t>judgment</w:t>
      </w:r>
      <w:r w:rsidRPr="004D47C6">
        <w:rPr>
          <w:rFonts w:ascii="Cambria" w:hAnsi="Cambria"/>
          <w:sz w:val="20"/>
          <w:szCs w:val="20"/>
        </w:rPr>
        <w:t xml:space="preserve"> was notified to the petitioner on August 25, 2009 and the present petition</w:t>
      </w:r>
      <w:r>
        <w:rPr>
          <w:rFonts w:ascii="Cambria" w:hAnsi="Cambria"/>
          <w:sz w:val="20"/>
          <w:szCs w:val="20"/>
        </w:rPr>
        <w:t xml:space="preserve"> was</w:t>
      </w:r>
      <w:r w:rsidRPr="004D47C6">
        <w:rPr>
          <w:rFonts w:ascii="Cambria" w:hAnsi="Cambria"/>
          <w:sz w:val="20"/>
          <w:szCs w:val="20"/>
        </w:rPr>
        <w:t xml:space="preserve"> filed on February 3, 2010, the Commission considers that it meets the deadline for presentation established in Article 46.1 (b) of the Convention.</w:t>
      </w:r>
    </w:p>
    <w:p w:rsidR="00C901B3" w:rsidRPr="00006B74" w:rsidRDefault="00C901B3" w:rsidP="00647756">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lang w:val="es-ES"/>
        </w:rPr>
      </w:pPr>
      <w:r w:rsidRPr="00006B74">
        <w:rPr>
          <w:b/>
          <w:bCs/>
          <w:sz w:val="20"/>
          <w:szCs w:val="20"/>
          <w:lang w:val="es-ES"/>
        </w:rPr>
        <w:t xml:space="preserve">VII. </w:t>
      </w:r>
      <w:r w:rsidRPr="00006B74">
        <w:rPr>
          <w:b/>
          <w:bCs/>
          <w:sz w:val="20"/>
          <w:szCs w:val="20"/>
          <w:lang w:val="es-ES"/>
        </w:rPr>
        <w:tab/>
        <w:t>C</w:t>
      </w:r>
      <w:r>
        <w:rPr>
          <w:b/>
          <w:bCs/>
          <w:sz w:val="20"/>
          <w:szCs w:val="20"/>
          <w:lang w:val="es-ES"/>
        </w:rPr>
        <w:t>OLORABLE CLAIM</w:t>
      </w:r>
    </w:p>
    <w:p w:rsidR="00C901B3" w:rsidRDefault="00C901B3" w:rsidP="000B0579">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sidRPr="004D47C6">
        <w:rPr>
          <w:rFonts w:ascii="Cambria" w:hAnsi="Cambria"/>
          <w:sz w:val="20"/>
          <w:szCs w:val="20"/>
        </w:rPr>
        <w:t xml:space="preserve">The petitioner considers that his right to </w:t>
      </w:r>
      <w:r>
        <w:rPr>
          <w:rFonts w:ascii="Cambria" w:hAnsi="Cambria"/>
          <w:sz w:val="20"/>
          <w:szCs w:val="20"/>
        </w:rPr>
        <w:t>have access under conditions of equality to public service had been violated as a result of being sanctioned with disqualification from public service for 20 years by a merely administrative authority and despite never having been convicted by a criminal judge. Likewise,  that his right to work was violated due to him being barred from public service, the licit and freely chosen activity that corresponded to his vocation and to which he had devoted the totality of his academic and professional life. He also argues that the administrative procedure that resulted in this sanction did not meet due process standards</w:t>
      </w:r>
      <w:r w:rsidRPr="003F3AB0">
        <w:rPr>
          <w:rFonts w:ascii="Cambria" w:hAnsi="Cambria"/>
          <w:sz w:val="20"/>
          <w:szCs w:val="20"/>
        </w:rPr>
        <w:t>,</w:t>
      </w:r>
      <w:r>
        <w:rPr>
          <w:rStyle w:val="FootnoteReference"/>
          <w:rFonts w:ascii="Cambria" w:hAnsi="Cambria"/>
          <w:sz w:val="20"/>
          <w:szCs w:val="20"/>
          <w:lang w:val="es-ES"/>
        </w:rPr>
        <w:footnoteReference w:id="18"/>
      </w:r>
      <w:r w:rsidRPr="003F3AB0">
        <w:rPr>
          <w:rFonts w:ascii="Cambria" w:hAnsi="Cambria"/>
          <w:sz w:val="20"/>
          <w:szCs w:val="20"/>
        </w:rPr>
        <w:t xml:space="preserve"> </w:t>
      </w:r>
      <w:r>
        <w:rPr>
          <w:rFonts w:ascii="Cambria" w:hAnsi="Cambria"/>
          <w:sz w:val="20"/>
          <w:szCs w:val="20"/>
        </w:rPr>
        <w:t xml:space="preserve">among other reasons because: 1) the sanctioning authority lacked competence because the Constitution establishes that the </w:t>
      </w:r>
      <w:r w:rsidRPr="00FD0C70">
        <w:rPr>
          <w:rFonts w:ascii="Cambria" w:hAnsi="Cambria"/>
          <w:sz w:val="20"/>
          <w:szCs w:val="20"/>
        </w:rPr>
        <w:t xml:space="preserve">determination of </w:t>
      </w:r>
      <w:r>
        <w:rPr>
          <w:rFonts w:ascii="Cambria" w:hAnsi="Cambria"/>
          <w:sz w:val="20"/>
          <w:szCs w:val="20"/>
        </w:rPr>
        <w:t>liability</w:t>
      </w:r>
      <w:r w:rsidRPr="00FD0C70">
        <w:rPr>
          <w:rFonts w:ascii="Cambria" w:hAnsi="Cambria"/>
          <w:sz w:val="20"/>
          <w:szCs w:val="20"/>
        </w:rPr>
        <w:t xml:space="preserve"> of whoever had occupied the position of director of PEMEX had to be carried out through </w:t>
      </w:r>
      <w:r>
        <w:rPr>
          <w:rFonts w:ascii="Cambria" w:hAnsi="Cambria"/>
          <w:sz w:val="20"/>
          <w:szCs w:val="20"/>
        </w:rPr>
        <w:t>impeachment;</w:t>
      </w:r>
      <w:r>
        <w:rPr>
          <w:rStyle w:val="FootnoteReference"/>
          <w:rFonts w:ascii="Cambria" w:hAnsi="Cambria"/>
          <w:sz w:val="20"/>
          <w:szCs w:val="20"/>
        </w:rPr>
        <w:footnoteReference w:id="19"/>
      </w:r>
      <w:r>
        <w:rPr>
          <w:rFonts w:ascii="Cambria" w:hAnsi="Cambria"/>
          <w:sz w:val="20"/>
          <w:szCs w:val="20"/>
        </w:rPr>
        <w:t xml:space="preserve"> 2) the prohibition of double-jeopardy was violated as he had been judged and acquitted by a criminal judge over the same facts (highlighting that the crimes for which he had been accused carried with them a disqualification penalty had he been convicted); 3) the sanctioning authority was hierarchically and budgetary subordinated to the Federal Executive and, therefore, lacked independence; 4) the sanctioning authority was not impartial as it acted as “judge” to ascertain liability and impose sanctions on the basis of its own investigation; 5) the </w:t>
      </w:r>
      <w:r w:rsidRPr="009C1F9D">
        <w:rPr>
          <w:rFonts w:ascii="Cambria" w:hAnsi="Cambria"/>
          <w:sz w:val="20"/>
          <w:szCs w:val="20"/>
        </w:rPr>
        <w:t xml:space="preserve">Federal </w:t>
      </w:r>
      <w:r>
        <w:rPr>
          <w:rFonts w:ascii="Cambria" w:hAnsi="Cambria"/>
          <w:sz w:val="20"/>
          <w:szCs w:val="20"/>
        </w:rPr>
        <w:t>Tribunal</w:t>
      </w:r>
      <w:r w:rsidRPr="009C1F9D">
        <w:rPr>
          <w:rFonts w:ascii="Cambria" w:hAnsi="Cambria"/>
          <w:sz w:val="20"/>
          <w:szCs w:val="20"/>
        </w:rPr>
        <w:t xml:space="preserve"> of Fiscal and Administrative Justice</w:t>
      </w:r>
      <w:r>
        <w:rPr>
          <w:rFonts w:ascii="Cambria" w:hAnsi="Cambria"/>
          <w:sz w:val="20"/>
          <w:szCs w:val="20"/>
        </w:rPr>
        <w:t xml:space="preserve"> which decided the annulment action filed against the sanction also lacked independence due to being </w:t>
      </w:r>
      <w:proofErr w:type="spellStart"/>
      <w:r>
        <w:rPr>
          <w:rFonts w:ascii="Cambria" w:hAnsi="Cambria"/>
          <w:sz w:val="20"/>
          <w:szCs w:val="20"/>
        </w:rPr>
        <w:t>budgetarily</w:t>
      </w:r>
      <w:proofErr w:type="spellEnd"/>
      <w:r>
        <w:rPr>
          <w:rFonts w:ascii="Cambria" w:hAnsi="Cambria"/>
          <w:sz w:val="20"/>
          <w:szCs w:val="20"/>
        </w:rPr>
        <w:t xml:space="preserve"> subordinated to the Executive Power; 6) the public statements of the President of the Republic and the head of SECODAM denoted their personal interest in the process and their prejudgment and partiality against him. </w:t>
      </w:r>
    </w:p>
    <w:p w:rsidR="00C901B3" w:rsidRPr="004D47C6" w:rsidRDefault="00C901B3" w:rsidP="000B0579">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szCs w:val="20"/>
        </w:rPr>
        <w:lastRenderedPageBreak/>
        <w:t>The petitioner adds that the sanction that was imposed on him did not meet the standards of legality and proportionality because: 1) the law on which the sanction was based established that disqualification from 10 to 20 years would be applicable to “serious behaviors of public servants” without any other provision providing parameters for the interpretation of the term “serious”, which therefore granted an unacceptable degree of discretion and arbitrariness to the sanctioning authority; 2) it is cruel and unusual for an administrative authority to apply a 20 years disqualification sanction when applicable criminal law established a maximum of 14 years disqualification as punishment for those committing the acts that he was charged with; 3) unlike criminal law, the law that was applied to him did not provide parameters for individualizing and calibrating the penalty; 4) the application of the maximum 20 years penalty was disproportionate as there was no recidivism nor any other kind of aggravating circumstance justifying it.</w:t>
      </w:r>
    </w:p>
    <w:p w:rsidR="00C901B3" w:rsidRPr="00564D24" w:rsidRDefault="00C901B3" w:rsidP="000B0579">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sidRPr="00564D24">
        <w:rPr>
          <w:rFonts w:ascii="Cambria" w:hAnsi="Cambria"/>
          <w:sz w:val="20"/>
          <w:szCs w:val="20"/>
        </w:rPr>
        <w:t xml:space="preserve">For its part, the State points out that the petitioner improperly </w:t>
      </w:r>
      <w:r>
        <w:rPr>
          <w:rFonts w:ascii="Cambria" w:hAnsi="Cambria"/>
          <w:sz w:val="20"/>
          <w:szCs w:val="20"/>
        </w:rPr>
        <w:t>requests</w:t>
      </w:r>
      <w:r w:rsidRPr="00564D24">
        <w:rPr>
          <w:rFonts w:ascii="Cambria" w:hAnsi="Cambria"/>
          <w:sz w:val="20"/>
          <w:szCs w:val="20"/>
        </w:rPr>
        <w:t xml:space="preserve"> that the Commission </w:t>
      </w:r>
      <w:r w:rsidRPr="00993222">
        <w:rPr>
          <w:rFonts w:ascii="Cambria" w:hAnsi="Cambria"/>
          <w:sz w:val="20"/>
          <w:szCs w:val="20"/>
        </w:rPr>
        <w:t xml:space="preserve">act as a fourth instance to review decisions of the domestic authorities, on account of his mere disagreement with them. It highlights that the petitioner had the opportunity to file all the judicial remedies that he considered prudent, which were resolved timely </w:t>
      </w:r>
      <w:r>
        <w:rPr>
          <w:rFonts w:ascii="Cambria" w:hAnsi="Cambria"/>
          <w:sz w:val="20"/>
          <w:szCs w:val="20"/>
        </w:rPr>
        <w:t>through duly</w:t>
      </w:r>
      <w:r w:rsidRPr="00993222">
        <w:rPr>
          <w:rFonts w:ascii="Cambria" w:hAnsi="Cambria"/>
          <w:sz w:val="20"/>
          <w:szCs w:val="20"/>
        </w:rPr>
        <w:t xml:space="preserve"> reasoned judgment</w:t>
      </w:r>
      <w:r>
        <w:rPr>
          <w:rFonts w:ascii="Cambria" w:hAnsi="Cambria"/>
          <w:sz w:val="20"/>
          <w:szCs w:val="20"/>
        </w:rPr>
        <w:t>s</w:t>
      </w:r>
      <w:r w:rsidRPr="00993222">
        <w:rPr>
          <w:rFonts w:ascii="Cambria" w:hAnsi="Cambria"/>
          <w:sz w:val="20"/>
          <w:szCs w:val="20"/>
        </w:rPr>
        <w:t>.</w:t>
      </w:r>
    </w:p>
    <w:p w:rsidR="00C901B3" w:rsidRPr="001E2680" w:rsidRDefault="00C901B3" w:rsidP="000B0579">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sidRPr="001E2680">
        <w:rPr>
          <w:rFonts w:ascii="Cambria" w:hAnsi="Cambria"/>
          <w:sz w:val="20"/>
          <w:szCs w:val="20"/>
        </w:rPr>
        <w:t xml:space="preserve">The Commission has reviewed all </w:t>
      </w:r>
      <w:r>
        <w:rPr>
          <w:rFonts w:ascii="Cambria" w:hAnsi="Cambria"/>
          <w:sz w:val="20"/>
          <w:szCs w:val="20"/>
        </w:rPr>
        <w:t>factual and legal elements submitted by the parties. The mere fact that administrative and criminal authorities reach different conclusions with regards to a person’s liability over the same facts does not, in and on itself, constitute a violation of the American Convention. However, taking into account the precedents of the Inter-American Court</w:t>
      </w:r>
      <w:r>
        <w:rPr>
          <w:rStyle w:val="FootnoteReference"/>
          <w:rFonts w:ascii="Cambria" w:hAnsi="Cambria"/>
          <w:sz w:val="20"/>
          <w:szCs w:val="20"/>
          <w:lang w:val="es-ES"/>
        </w:rPr>
        <w:footnoteReference w:id="20"/>
      </w:r>
      <w:r>
        <w:rPr>
          <w:rFonts w:ascii="Cambria" w:hAnsi="Cambria"/>
          <w:sz w:val="20"/>
          <w:szCs w:val="20"/>
        </w:rPr>
        <w:t>, as well as its own</w:t>
      </w:r>
      <w:r>
        <w:rPr>
          <w:rStyle w:val="FootnoteReference"/>
          <w:rFonts w:ascii="Cambria" w:hAnsi="Cambria"/>
          <w:sz w:val="20"/>
          <w:szCs w:val="20"/>
          <w:lang w:val="es-ES"/>
        </w:rPr>
        <w:footnoteReference w:id="21"/>
      </w:r>
      <w:r>
        <w:rPr>
          <w:rFonts w:ascii="Cambria" w:hAnsi="Cambria"/>
          <w:sz w:val="20"/>
          <w:szCs w:val="20"/>
        </w:rPr>
        <w:t xml:space="preserve">, the Commission considers that the alleged application to the petitioner of a sanction of disqualification from public service by an authority that did not possess the nature of a criminal judge requires a study of the merits as the alleged facts, if corroborated, could amount to a violation of article 23(2) of the American Convention. Similarly, the Commission considers that the allegations of the petitioner with regards to the lack of competence, independence and impartiality of the authority that sanctioned him, his prejudgment through public statements from public officials and the failure of the sanction applied to meet the standards of legality and proportionality, are not manifestly unfounded and required to be examined on the merits as the allegations, if corroborated, could be characterized as violations of articles 5 (humane treatment), 8 (fair trial), 11 (privacy), 23 (participate in government) and 25 (judicial protection) of the American Convention in relation to articles 1.1. (obligation to respect rights) and 2 (domestic legal effects). As to the alleged undue restrictions to the petitioner right to choose his profession freely and to follow his vocation, the Commission will examine these arguments on the merits’ stage under article 26 (economic, social and cultural rights) of the American Convention. </w:t>
      </w:r>
    </w:p>
    <w:p w:rsidR="00C901B3" w:rsidRPr="00450824" w:rsidRDefault="00C901B3" w:rsidP="000B0579">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sidRPr="00450824">
        <w:rPr>
          <w:rFonts w:ascii="Cambria" w:hAnsi="Cambria"/>
          <w:sz w:val="20"/>
          <w:szCs w:val="20"/>
        </w:rPr>
        <w:t>As for</w:t>
      </w:r>
      <w:r>
        <w:rPr>
          <w:rFonts w:ascii="Cambria" w:hAnsi="Cambria"/>
          <w:sz w:val="20"/>
          <w:szCs w:val="20"/>
        </w:rPr>
        <w:t xml:space="preserve"> the alleged violations to article 7 (personal liberty) of the American Convention, the Commission considers that the file does not allow to ascertain arguments or sufficient grounds to conclude, </w:t>
      </w:r>
      <w:r w:rsidRPr="004B4301">
        <w:rPr>
          <w:rFonts w:ascii="Cambria" w:hAnsi="Cambria"/>
          <w:i/>
          <w:sz w:val="20"/>
          <w:szCs w:val="20"/>
        </w:rPr>
        <w:t>prima facie,</w:t>
      </w:r>
      <w:r>
        <w:rPr>
          <w:rFonts w:ascii="Cambria" w:hAnsi="Cambria"/>
          <w:sz w:val="20"/>
          <w:szCs w:val="20"/>
        </w:rPr>
        <w:t xml:space="preserve"> its possible violation.</w:t>
      </w:r>
    </w:p>
    <w:p w:rsidR="00C901B3" w:rsidRDefault="00C901B3" w:rsidP="009E0BA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sidRPr="00450824">
        <w:rPr>
          <w:rFonts w:ascii="Cambria" w:hAnsi="Cambria"/>
          <w:sz w:val="20"/>
          <w:szCs w:val="20"/>
        </w:rPr>
        <w:t>With regards to the alleged violations to the American Declaration, the Inter</w:t>
      </w:r>
      <w:r>
        <w:rPr>
          <w:rFonts w:ascii="Cambria" w:hAnsi="Cambria"/>
          <w:sz w:val="20"/>
          <w:szCs w:val="20"/>
        </w:rPr>
        <w:t>-A</w:t>
      </w:r>
      <w:r w:rsidRPr="00450824">
        <w:rPr>
          <w:rFonts w:ascii="Cambria" w:hAnsi="Cambria"/>
          <w:sz w:val="20"/>
          <w:szCs w:val="20"/>
        </w:rPr>
        <w:t>merican</w:t>
      </w:r>
      <w:r>
        <w:rPr>
          <w:rFonts w:ascii="Cambria" w:hAnsi="Cambria"/>
          <w:sz w:val="20"/>
          <w:szCs w:val="20"/>
        </w:rPr>
        <w:t xml:space="preserve"> Commission has previously established that, once the American Convention enters into force in relation to a State, it is it and not the Declaration that becomes the primary source of applicable law for the Commission, to the extent that the petition refers to the alleged violation of identical rights in both instruments and does not involve a situation of continuous violation. In the instant case, the Commission considers that the alleged violations of the American Declaration do not go beyond the scope of protection of articles 8, 11, 23, 25 and 26 of the American Convention. Therefore, the Commission will examine these allegations in light of the American Convention. With regards to the alleged violations of articles 3, 6 and 7 of the Protocol of San Salvador, the International Covenant on Civil and Political Rights and the Universal Declaration of Human Rights, the IACHR lacks competence </w:t>
      </w:r>
      <w:proofErr w:type="spellStart"/>
      <w:r>
        <w:rPr>
          <w:rFonts w:ascii="Cambria" w:hAnsi="Cambria"/>
          <w:i/>
          <w:iCs/>
          <w:sz w:val="20"/>
          <w:szCs w:val="20"/>
        </w:rPr>
        <w:t>ratione</w:t>
      </w:r>
      <w:proofErr w:type="spellEnd"/>
      <w:r>
        <w:rPr>
          <w:rFonts w:ascii="Cambria" w:hAnsi="Cambria"/>
          <w:i/>
          <w:iCs/>
          <w:sz w:val="20"/>
          <w:szCs w:val="20"/>
        </w:rPr>
        <w:t xml:space="preserve"> </w:t>
      </w:r>
      <w:proofErr w:type="spellStart"/>
      <w:r>
        <w:rPr>
          <w:rFonts w:ascii="Cambria" w:hAnsi="Cambria"/>
          <w:i/>
          <w:iCs/>
          <w:sz w:val="20"/>
          <w:szCs w:val="20"/>
        </w:rPr>
        <w:t>materiae</w:t>
      </w:r>
      <w:proofErr w:type="spellEnd"/>
      <w:r>
        <w:rPr>
          <w:rFonts w:ascii="Cambria" w:hAnsi="Cambria"/>
          <w:i/>
          <w:iCs/>
          <w:sz w:val="20"/>
          <w:szCs w:val="20"/>
        </w:rPr>
        <w:t xml:space="preserve"> </w:t>
      </w:r>
      <w:r>
        <w:rPr>
          <w:rFonts w:ascii="Cambria" w:hAnsi="Cambria"/>
          <w:sz w:val="20"/>
          <w:szCs w:val="20"/>
        </w:rPr>
        <w:t>to issue a decision on their violation in the framework of analyzing an individual petition, although it may have recourse to the standards established in these instruments to interpret the rules of the Convention in light of its article 29.</w:t>
      </w:r>
      <w:r w:rsidRPr="0055550A">
        <w:rPr>
          <w:rStyle w:val="FootnoteReference"/>
          <w:rFonts w:cs="Calibri"/>
          <w:sz w:val="20"/>
          <w:szCs w:val="20"/>
        </w:rPr>
        <w:t xml:space="preserve"> </w:t>
      </w:r>
      <w:r w:rsidRPr="00640343">
        <w:rPr>
          <w:rStyle w:val="FootnoteReference"/>
          <w:rFonts w:cs="Calibri"/>
          <w:sz w:val="20"/>
          <w:szCs w:val="20"/>
          <w:lang w:val="es-ES"/>
        </w:rPr>
        <w:footnoteReference w:id="22"/>
      </w:r>
    </w:p>
    <w:p w:rsidR="00C901B3" w:rsidRPr="00197487" w:rsidRDefault="00C901B3" w:rsidP="009E0BA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szCs w:val="20"/>
        </w:rPr>
        <w:lastRenderedPageBreak/>
        <w:t>With regards to the State’s allegations in relation to the fourth instance formula, the Commission recognizes that it lacks competence to review judgments passed by national courts acting within their sphere of competence and applying due process of law and judicial guarantees. Nevertheless, it reiterates that, within its mandate, it is competent to declare admissible a petition and decide on the merits when it refers to domestic processes that may have violated rights recognized by the American Convention.</w:t>
      </w:r>
    </w:p>
    <w:p w:rsidR="00C901B3" w:rsidRPr="00FE07C3" w:rsidRDefault="00C901B3" w:rsidP="009E0BA4">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C901B3" w:rsidRPr="00006B74" w:rsidRDefault="00C901B3" w:rsidP="008C5751">
      <w:pPr>
        <w:pBdr>
          <w:top w:val="none" w:sz="0" w:space="0" w:color="auto"/>
          <w:left w:val="none" w:sz="0" w:space="0" w:color="auto"/>
          <w:bottom w:val="none" w:sz="0" w:space="0" w:color="auto"/>
          <w:right w:val="none" w:sz="0" w:space="0" w:color="auto"/>
          <w:bar w:val="none" w:sz="0" w:color="auto"/>
        </w:pBdr>
        <w:suppressAutoHyphens/>
        <w:spacing w:after="120"/>
        <w:ind w:left="720"/>
        <w:jc w:val="both"/>
        <w:rPr>
          <w:rFonts w:ascii="Cambria" w:hAnsi="Cambria"/>
          <w:b/>
          <w:bCs/>
          <w:sz w:val="20"/>
          <w:szCs w:val="20"/>
          <w:lang w:val="es-ES"/>
        </w:rPr>
      </w:pPr>
      <w:r w:rsidRPr="00006B74">
        <w:rPr>
          <w:rFonts w:ascii="Cambria" w:hAnsi="Cambria"/>
          <w:b/>
          <w:bCs/>
          <w:sz w:val="20"/>
          <w:szCs w:val="20"/>
          <w:lang w:val="es-ES"/>
        </w:rPr>
        <w:t xml:space="preserve">VIII. </w:t>
      </w:r>
      <w:r w:rsidRPr="00006B74">
        <w:rPr>
          <w:rFonts w:ascii="Cambria" w:hAnsi="Cambria"/>
          <w:b/>
          <w:bCs/>
          <w:sz w:val="20"/>
          <w:szCs w:val="20"/>
          <w:lang w:val="es-ES"/>
        </w:rPr>
        <w:tab/>
        <w:t>DECISI</w:t>
      </w:r>
      <w:r>
        <w:rPr>
          <w:rFonts w:ascii="Cambria" w:hAnsi="Cambria"/>
          <w:b/>
          <w:bCs/>
          <w:sz w:val="20"/>
          <w:szCs w:val="20"/>
          <w:lang w:val="es-ES"/>
        </w:rPr>
        <w:t>ON</w:t>
      </w:r>
    </w:p>
    <w:p w:rsidR="00C901B3" w:rsidRDefault="00C901B3" w:rsidP="004A59CC">
      <w:pPr>
        <w:numPr>
          <w:ilvl w:val="0"/>
          <w:numId w:val="109"/>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sidRPr="00197487">
        <w:rPr>
          <w:rFonts w:ascii="Cambria" w:hAnsi="Cambria"/>
          <w:sz w:val="20"/>
          <w:szCs w:val="20"/>
        </w:rPr>
        <w:t>To find the instant petition admissible in relation to articles</w:t>
      </w:r>
      <w:r>
        <w:rPr>
          <w:rFonts w:ascii="Cambria" w:hAnsi="Cambria"/>
          <w:sz w:val="20"/>
          <w:szCs w:val="20"/>
        </w:rPr>
        <w:t xml:space="preserve"> 5,</w:t>
      </w:r>
      <w:r w:rsidRPr="00197487">
        <w:rPr>
          <w:rFonts w:ascii="Cambria" w:hAnsi="Cambria"/>
          <w:sz w:val="20"/>
          <w:szCs w:val="20"/>
        </w:rPr>
        <w:t xml:space="preserve"> 8, 11, 23</w:t>
      </w:r>
      <w:r>
        <w:rPr>
          <w:rFonts w:ascii="Cambria" w:hAnsi="Cambria"/>
          <w:sz w:val="20"/>
          <w:szCs w:val="20"/>
        </w:rPr>
        <w:t>, 25 and 26 of the American Convention, in accordance with articles 1.1. and 2 of the same instrument;</w:t>
      </w:r>
    </w:p>
    <w:p w:rsidR="00C901B3" w:rsidRPr="00197487" w:rsidRDefault="00C901B3" w:rsidP="004A59CC">
      <w:pPr>
        <w:numPr>
          <w:ilvl w:val="0"/>
          <w:numId w:val="109"/>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szCs w:val="20"/>
        </w:rPr>
        <w:t>To find the instant petition inadmissible in relation to article 7 of the American Convention.</w:t>
      </w:r>
    </w:p>
    <w:p w:rsidR="008B21F9" w:rsidRDefault="00C901B3" w:rsidP="008B21F9">
      <w:pPr>
        <w:numPr>
          <w:ilvl w:val="0"/>
          <w:numId w:val="109"/>
        </w:numPr>
        <w:pBdr>
          <w:top w:val="none" w:sz="0" w:space="0" w:color="auto"/>
          <w:left w:val="none" w:sz="0" w:space="0" w:color="auto"/>
          <w:bottom w:val="none" w:sz="0" w:space="0" w:color="auto"/>
          <w:right w:val="none" w:sz="0" w:space="0" w:color="auto"/>
          <w:bar w:val="none" w:sz="0" w:color="auto"/>
        </w:pBdr>
        <w:suppressAutoHyphens/>
        <w:spacing w:before="240" w:after="120"/>
        <w:jc w:val="both"/>
        <w:rPr>
          <w:sz w:val="20"/>
          <w:szCs w:val="20"/>
        </w:rPr>
      </w:pPr>
      <w:r w:rsidRPr="008B21F9">
        <w:rPr>
          <w:rFonts w:ascii="Cambria" w:hAnsi="Cambria"/>
          <w:sz w:val="20"/>
          <w:szCs w:val="20"/>
        </w:rPr>
        <w:t>To notify the parties of the decision; to continue with the analysis on the merits and to publish this decision and to include it in its Annual Report to the General Assembly of the Organization of American States.</w:t>
      </w:r>
    </w:p>
    <w:p w:rsidR="008B21F9" w:rsidRPr="003F6F9A" w:rsidRDefault="008B21F9" w:rsidP="003F6F9A">
      <w:pPr>
        <w:pBdr>
          <w:top w:val="none" w:sz="0" w:space="0" w:color="auto"/>
          <w:left w:val="none" w:sz="0" w:space="0" w:color="auto"/>
          <w:bottom w:val="none" w:sz="0" w:space="0" w:color="auto"/>
          <w:right w:val="none" w:sz="0" w:space="0" w:color="auto"/>
          <w:bar w:val="none" w:sz="0" w:color="auto"/>
        </w:pBdr>
        <w:suppressAutoHyphens/>
        <w:spacing w:before="240" w:after="120"/>
        <w:jc w:val="both"/>
        <w:rPr>
          <w:rFonts w:ascii="Cambria" w:hAnsi="Cambria"/>
          <w:sz w:val="20"/>
          <w:szCs w:val="20"/>
        </w:rPr>
      </w:pPr>
      <w:r w:rsidRPr="003F6F9A">
        <w:rPr>
          <w:rFonts w:ascii="Cambria" w:hAnsi="Cambria"/>
          <w:sz w:val="20"/>
          <w:szCs w:val="20"/>
        </w:rPr>
        <w:tab/>
        <w:t>Approved by the Inter-American Commission on Human Rights on the 14</w:t>
      </w:r>
      <w:r w:rsidRPr="003F6F9A">
        <w:rPr>
          <w:rFonts w:ascii="Cambria" w:hAnsi="Cambria"/>
          <w:sz w:val="20"/>
          <w:szCs w:val="20"/>
          <w:vertAlign w:val="superscript"/>
        </w:rPr>
        <w:t>th</w:t>
      </w:r>
      <w:r w:rsidRPr="003F6F9A">
        <w:rPr>
          <w:rFonts w:ascii="Cambria" w:hAnsi="Cambria"/>
          <w:sz w:val="20"/>
          <w:szCs w:val="20"/>
        </w:rPr>
        <w:t xml:space="preserve"> day of the month of August, 2019. (Signed):  Esmeralda E. Arosemena Bernal de Troitiño, President; Antonia Urrejola, Second Vice President; Margarette May Macaulay, Francisco José Eguiguren Praeli, Luis Ernesto Vargas Silva and Flávia Piovesan, Commissioners.</w:t>
      </w:r>
    </w:p>
    <w:sectPr w:rsidR="008B21F9" w:rsidRPr="003F6F9A" w:rsidSect="006F0406">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72" w:rsidRDefault="00F50C7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50C72" w:rsidRDefault="00F50C7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2D" w:rsidRDefault="00F21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B3" w:rsidRPr="00934A2C" w:rsidRDefault="00C901B3">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2122D">
      <w:rPr>
        <w:noProof/>
        <w:sz w:val="16"/>
        <w:szCs w:val="22"/>
      </w:rPr>
      <w:t>1</w:t>
    </w:r>
    <w:r w:rsidRPr="00934A2C">
      <w:rPr>
        <w:sz w:val="16"/>
        <w:szCs w:val="22"/>
      </w:rPr>
      <w:fldChar w:fldCharType="end"/>
    </w:r>
  </w:p>
  <w:p w:rsidR="00C901B3" w:rsidRDefault="00C901B3">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B3" w:rsidRPr="00934A2C" w:rsidRDefault="00C901B3">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C901B3" w:rsidRDefault="00C901B3">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72" w:rsidRPr="000F35ED" w:rsidRDefault="00F50C72">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F50C72" w:rsidRPr="000F35ED" w:rsidRDefault="00F50C72"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F50C72" w:rsidRPr="000F35ED" w:rsidRDefault="00F50C72"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rsidR="00F50C72" w:rsidRPr="000F35ED" w:rsidRDefault="00F50C72"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w:t>
      </w:r>
      <w:proofErr w:type="gramStart"/>
      <w:r>
        <w:rPr>
          <w:rFonts w:ascii="Cambria" w:hAnsi="Cambria"/>
          <w:sz w:val="16"/>
          <w:szCs w:val="16"/>
          <w:lang w:val="es-ES"/>
        </w:rPr>
        <w:t>c</w:t>
      </w:r>
      <w:r w:rsidRPr="000F35ED">
        <w:rPr>
          <w:rFonts w:ascii="Cambria" w:hAnsi="Cambria"/>
          <w:sz w:val="16"/>
          <w:szCs w:val="16"/>
          <w:lang w:val="es-ES"/>
        </w:rPr>
        <w:t>ontinúa</w:t>
      </w:r>
      <w:proofErr w:type="gramEnd"/>
      <w:r w:rsidRPr="000F35ED">
        <w:rPr>
          <w:rFonts w:ascii="Cambria" w:hAnsi="Cambria"/>
          <w:sz w:val="16"/>
          <w:szCs w:val="16"/>
          <w:lang w:val="es-ES"/>
        </w:rPr>
        <w:t>…</w:t>
      </w:r>
      <w:r>
        <w:rPr>
          <w:rFonts w:ascii="Cambria" w:hAnsi="Cambria"/>
          <w:sz w:val="16"/>
          <w:szCs w:val="16"/>
          <w:lang w:val="es-ES"/>
        </w:rPr>
        <w:t>]</w:t>
      </w:r>
    </w:p>
  </w:footnote>
  <w:footnote w:id="2">
    <w:p w:rsidR="00C901B3" w:rsidRPr="00DF5840" w:rsidRDefault="00C901B3" w:rsidP="00257E06">
      <w:pPr>
        <w:pStyle w:val="FootnoteText"/>
        <w:pBdr>
          <w:top w:val="none" w:sz="0" w:space="0" w:color="auto"/>
          <w:left w:val="none" w:sz="0" w:space="0" w:color="auto"/>
          <w:bottom w:val="none" w:sz="0" w:space="0" w:color="auto"/>
          <w:right w:val="none" w:sz="0" w:space="0" w:color="auto"/>
          <w:bar w:val="none" w:sz="0" w:color="auto"/>
        </w:pBdr>
        <w:ind w:firstLine="720"/>
        <w:jc w:val="both"/>
        <w:rPr>
          <w:sz w:val="16"/>
          <w:szCs w:val="16"/>
        </w:rPr>
      </w:pPr>
      <w:r w:rsidRPr="00DF5840">
        <w:rPr>
          <w:rStyle w:val="FootnoteReference"/>
          <w:rFonts w:ascii="Cambria" w:hAnsi="Cambria"/>
          <w:sz w:val="16"/>
          <w:szCs w:val="16"/>
          <w:vertAlign w:val="baseline"/>
        </w:rPr>
        <w:footnoteRef/>
      </w:r>
      <w:r w:rsidRPr="00DF5840">
        <w:rPr>
          <w:rFonts w:ascii="Cambria" w:hAnsi="Cambria"/>
          <w:sz w:val="16"/>
          <w:szCs w:val="16"/>
        </w:rPr>
        <w:t xml:space="preserve"> In accordance with article 17.2.</w:t>
      </w:r>
      <w:proofErr w:type="spellStart"/>
      <w:r w:rsidRPr="00DF5840">
        <w:rPr>
          <w:rFonts w:ascii="Cambria" w:hAnsi="Cambria"/>
          <w:sz w:val="16"/>
          <w:szCs w:val="16"/>
        </w:rPr>
        <w:t>a</w:t>
      </w:r>
      <w:proofErr w:type="spellEnd"/>
      <w:r w:rsidRPr="00DF5840">
        <w:rPr>
          <w:rFonts w:ascii="Cambria" w:hAnsi="Cambria"/>
          <w:sz w:val="16"/>
          <w:szCs w:val="16"/>
        </w:rPr>
        <w:t xml:space="preserve"> of the Commission’s Rules of Procedure, Commissioner Joel Hernández García, a Mexican national, did not take part in the discussion or decision of the instant petition.</w:t>
      </w:r>
    </w:p>
  </w:footnote>
  <w:footnote w:id="3">
    <w:p w:rsidR="00C901B3" w:rsidRPr="00DF5840" w:rsidRDefault="00C901B3" w:rsidP="00257E06">
      <w:pPr>
        <w:pStyle w:val="FootnoteText"/>
        <w:pBdr>
          <w:top w:val="none" w:sz="0" w:space="0" w:color="auto"/>
          <w:left w:val="none" w:sz="0" w:space="0" w:color="auto"/>
          <w:bottom w:val="none" w:sz="0" w:space="0" w:color="auto"/>
          <w:right w:val="none" w:sz="0" w:space="0" w:color="auto"/>
          <w:bar w:val="none" w:sz="0" w:color="auto"/>
        </w:pBdr>
        <w:ind w:firstLine="720"/>
        <w:jc w:val="both"/>
        <w:rPr>
          <w:sz w:val="16"/>
          <w:szCs w:val="16"/>
        </w:rPr>
      </w:pPr>
      <w:r w:rsidRPr="00DF5840">
        <w:rPr>
          <w:rStyle w:val="FootnoteReference"/>
          <w:rFonts w:ascii="Cambria" w:hAnsi="Cambria"/>
          <w:sz w:val="16"/>
          <w:szCs w:val="16"/>
          <w:vertAlign w:val="baseline"/>
        </w:rPr>
        <w:footnoteRef/>
      </w:r>
      <w:r w:rsidRPr="00DF5840">
        <w:rPr>
          <w:rFonts w:ascii="Cambria" w:hAnsi="Cambria"/>
          <w:sz w:val="16"/>
          <w:szCs w:val="16"/>
        </w:rPr>
        <w:t xml:space="preserve"> Hereinafter, the “American Convention” or the “Convention”.</w:t>
      </w:r>
    </w:p>
  </w:footnote>
  <w:footnote w:id="4">
    <w:p w:rsidR="00C901B3" w:rsidRPr="00DF5840" w:rsidRDefault="00C901B3" w:rsidP="00257E06">
      <w:pPr>
        <w:pStyle w:val="FootnoteText"/>
        <w:pBdr>
          <w:top w:val="none" w:sz="0" w:space="0" w:color="auto"/>
          <w:left w:val="none" w:sz="0" w:space="0" w:color="auto"/>
          <w:bottom w:val="none" w:sz="0" w:space="0" w:color="auto"/>
          <w:right w:val="none" w:sz="0" w:space="0" w:color="auto"/>
          <w:bar w:val="none" w:sz="0" w:color="auto"/>
        </w:pBdr>
        <w:ind w:firstLine="720"/>
        <w:jc w:val="both"/>
        <w:rPr>
          <w:sz w:val="16"/>
          <w:szCs w:val="16"/>
        </w:rPr>
      </w:pPr>
      <w:r w:rsidRPr="00DF5840">
        <w:rPr>
          <w:rStyle w:val="FootnoteReference"/>
          <w:rFonts w:ascii="Cambria" w:hAnsi="Cambria"/>
          <w:sz w:val="16"/>
          <w:szCs w:val="16"/>
          <w:vertAlign w:val="baseline"/>
        </w:rPr>
        <w:footnoteRef/>
      </w:r>
      <w:r w:rsidRPr="00DF5840">
        <w:rPr>
          <w:rFonts w:ascii="Cambria" w:hAnsi="Cambria"/>
          <w:sz w:val="16"/>
          <w:szCs w:val="16"/>
        </w:rPr>
        <w:t xml:space="preserve"> Hereinafter, the “American Declaration” or the “Declaration”.</w:t>
      </w:r>
    </w:p>
  </w:footnote>
  <w:footnote w:id="5">
    <w:p w:rsidR="00C901B3" w:rsidRPr="00DF5840" w:rsidRDefault="00C901B3" w:rsidP="00257E06">
      <w:pPr>
        <w:pStyle w:val="FootnoteText"/>
        <w:pBdr>
          <w:top w:val="none" w:sz="0" w:space="0" w:color="auto"/>
          <w:left w:val="none" w:sz="0" w:space="0" w:color="auto"/>
          <w:bottom w:val="none" w:sz="0" w:space="0" w:color="auto"/>
          <w:right w:val="none" w:sz="0" w:space="0" w:color="auto"/>
          <w:bar w:val="none" w:sz="0" w:color="auto"/>
        </w:pBdr>
        <w:ind w:firstLine="720"/>
        <w:jc w:val="both"/>
        <w:rPr>
          <w:sz w:val="16"/>
          <w:szCs w:val="16"/>
        </w:rPr>
      </w:pPr>
      <w:r w:rsidRPr="00DF5840">
        <w:rPr>
          <w:rStyle w:val="FootnoteReference"/>
          <w:rFonts w:ascii="Cambria" w:hAnsi="Cambria"/>
          <w:sz w:val="16"/>
          <w:szCs w:val="16"/>
          <w:vertAlign w:val="baseline"/>
        </w:rPr>
        <w:footnoteRef/>
      </w:r>
      <w:r w:rsidRPr="00DF5840">
        <w:rPr>
          <w:rFonts w:ascii="Cambria" w:hAnsi="Cambria"/>
          <w:sz w:val="16"/>
          <w:szCs w:val="16"/>
        </w:rPr>
        <w:t xml:space="preserve"> Articles 3, 6 and 7 of the Additional Protocol to the American Convention on Human Rights in the Area of Economic, Social and Cultural Rights (Protocol of San Salvador); Universal Declaration of Human Rights, and International Covenant on Civil and Political Rights.</w:t>
      </w:r>
    </w:p>
  </w:footnote>
  <w:footnote w:id="6">
    <w:p w:rsidR="00C901B3" w:rsidRPr="00DF5840" w:rsidRDefault="00C901B3" w:rsidP="00D5382C">
      <w:pPr>
        <w:pStyle w:val="FootnoteText"/>
        <w:pBdr>
          <w:top w:val="none" w:sz="0" w:space="0" w:color="auto"/>
          <w:left w:val="none" w:sz="0" w:space="0" w:color="auto"/>
          <w:bottom w:val="none" w:sz="0" w:space="0" w:color="auto"/>
          <w:right w:val="none" w:sz="0" w:space="0" w:color="auto"/>
          <w:bar w:val="none" w:sz="0" w:color="auto"/>
        </w:pBdr>
        <w:ind w:firstLine="720"/>
        <w:jc w:val="both"/>
        <w:rPr>
          <w:sz w:val="16"/>
          <w:szCs w:val="16"/>
        </w:rPr>
      </w:pPr>
      <w:r w:rsidRPr="00DF5840">
        <w:rPr>
          <w:rStyle w:val="FootnoteReference"/>
          <w:rFonts w:ascii="Cambria" w:hAnsi="Cambria"/>
          <w:sz w:val="16"/>
          <w:szCs w:val="16"/>
          <w:vertAlign w:val="baseline"/>
        </w:rPr>
        <w:footnoteRef/>
      </w:r>
      <w:r w:rsidRPr="00DF5840">
        <w:rPr>
          <w:rFonts w:ascii="Cambria" w:hAnsi="Cambria"/>
          <w:sz w:val="16"/>
          <w:szCs w:val="16"/>
        </w:rPr>
        <w:t xml:space="preserve"> Observations from each party were duly notified to the opposing party.</w:t>
      </w:r>
    </w:p>
  </w:footnote>
  <w:footnote w:id="7">
    <w:p w:rsidR="00C901B3" w:rsidRDefault="00C901B3" w:rsidP="0085443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B145DD">
        <w:rPr>
          <w:rStyle w:val="FootnoteReference"/>
          <w:rFonts w:ascii="Cambria" w:hAnsi="Cambria"/>
          <w:sz w:val="16"/>
          <w:szCs w:val="16"/>
          <w:vertAlign w:val="baseline"/>
        </w:rPr>
        <w:footnoteRef/>
      </w:r>
      <w:r w:rsidRPr="00B145DD">
        <w:rPr>
          <w:rFonts w:ascii="Cambria" w:hAnsi="Cambria"/>
          <w:sz w:val="16"/>
          <w:szCs w:val="16"/>
        </w:rPr>
        <w:t xml:space="preserve"> Consequently, the competent criminal court rescinded the arrest order and issued a release order in favor of the petitioner on November 16, 2006. </w:t>
      </w:r>
    </w:p>
  </w:footnote>
  <w:footnote w:id="8">
    <w:p w:rsidR="00C901B3" w:rsidRDefault="00C901B3" w:rsidP="0085443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B145DD">
        <w:rPr>
          <w:rStyle w:val="FootnoteReference"/>
          <w:rFonts w:ascii="Cambria" w:hAnsi="Cambria"/>
          <w:sz w:val="16"/>
          <w:szCs w:val="16"/>
          <w:vertAlign w:val="baseline"/>
        </w:rPr>
        <w:footnoteRef/>
      </w:r>
      <w:r w:rsidRPr="00B145DD">
        <w:rPr>
          <w:rStyle w:val="FootnoteReference"/>
          <w:rFonts w:ascii="Cambria" w:hAnsi="Cambria"/>
          <w:sz w:val="16"/>
          <w:szCs w:val="16"/>
          <w:vertAlign w:val="baseline"/>
        </w:rPr>
        <w:t xml:space="preserve"> This decision</w:t>
      </w:r>
      <w:r w:rsidRPr="00B145DD">
        <w:rPr>
          <w:rFonts w:ascii="Cambria" w:hAnsi="Cambria"/>
          <w:sz w:val="16"/>
          <w:szCs w:val="16"/>
        </w:rPr>
        <w:t xml:space="preserve"> </w:t>
      </w:r>
      <w:r w:rsidRPr="00B145DD">
        <w:rPr>
          <w:rStyle w:val="FootnoteReference"/>
          <w:rFonts w:ascii="Cambria" w:hAnsi="Cambria"/>
          <w:sz w:val="16"/>
          <w:szCs w:val="16"/>
          <w:vertAlign w:val="baseline"/>
        </w:rPr>
        <w:t>was later confirmed on appeal by the Fourth Unitary Criminal Tribunal on December 14, 2004.</w:t>
      </w:r>
    </w:p>
  </w:footnote>
  <w:footnote w:id="9">
    <w:p w:rsidR="00C901B3" w:rsidRDefault="00C901B3" w:rsidP="0085443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B145DD">
        <w:rPr>
          <w:rStyle w:val="FootnoteReference"/>
          <w:rFonts w:ascii="Cambria" w:hAnsi="Cambria"/>
          <w:sz w:val="16"/>
          <w:szCs w:val="16"/>
          <w:vertAlign w:val="baseline"/>
        </w:rPr>
        <w:footnoteRef/>
      </w:r>
      <w:r w:rsidRPr="00B145DD">
        <w:rPr>
          <w:rStyle w:val="FootnoteReference"/>
          <w:rFonts w:ascii="Cambria" w:hAnsi="Cambria"/>
          <w:sz w:val="16"/>
          <w:szCs w:val="16"/>
          <w:vertAlign w:val="baseline"/>
        </w:rPr>
        <w:t xml:space="preserve"> The Secretary based the</w:t>
      </w:r>
      <w:r w:rsidRPr="00B145DD">
        <w:rPr>
          <w:rFonts w:ascii="Cambria" w:hAnsi="Cambria"/>
          <w:sz w:val="16"/>
          <w:szCs w:val="16"/>
        </w:rPr>
        <w:t xml:space="preserve"> imposition of the</w:t>
      </w:r>
      <w:r w:rsidRPr="00B145DD">
        <w:rPr>
          <w:rStyle w:val="FootnoteReference"/>
          <w:rFonts w:ascii="Cambria" w:hAnsi="Cambria"/>
          <w:sz w:val="16"/>
          <w:szCs w:val="16"/>
          <w:vertAlign w:val="baseline"/>
        </w:rPr>
        <w:t xml:space="preserve"> sanctions on the Federal Law on Responsibilities of Public Servants.</w:t>
      </w:r>
    </w:p>
  </w:footnote>
  <w:footnote w:id="10">
    <w:p w:rsidR="00C901B3" w:rsidRDefault="00C901B3" w:rsidP="0085443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B145DD">
        <w:rPr>
          <w:rStyle w:val="FootnoteReference"/>
          <w:rFonts w:ascii="Cambria" w:hAnsi="Cambria"/>
          <w:sz w:val="16"/>
          <w:szCs w:val="16"/>
          <w:vertAlign w:val="baseline"/>
        </w:rPr>
        <w:footnoteRef/>
      </w:r>
      <w:r w:rsidRPr="00B145DD">
        <w:rPr>
          <w:rStyle w:val="FootnoteReference"/>
          <w:rFonts w:ascii="Cambria" w:hAnsi="Cambria"/>
          <w:sz w:val="16"/>
          <w:szCs w:val="16"/>
          <w:vertAlign w:val="baseline"/>
        </w:rPr>
        <w:t xml:space="preserve"> The petitioner alleged that the Secretary of the Public Function lacked constitutional competence to initiate disciplinary procedures and impose sanctions on a former PEMEX Director-General.</w:t>
      </w:r>
    </w:p>
  </w:footnote>
  <w:footnote w:id="11">
    <w:p w:rsidR="00C901B3" w:rsidRDefault="00C901B3" w:rsidP="0085443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B145DD">
        <w:rPr>
          <w:rStyle w:val="FootnoteReference"/>
          <w:rFonts w:ascii="Cambria" w:hAnsi="Cambria"/>
          <w:sz w:val="16"/>
          <w:szCs w:val="16"/>
        </w:rPr>
        <w:footnoteRef/>
      </w:r>
      <w:r w:rsidRPr="00B145DD">
        <w:rPr>
          <w:rFonts w:ascii="Cambria" w:hAnsi="Cambria"/>
          <w:sz w:val="16"/>
          <w:szCs w:val="16"/>
        </w:rPr>
        <w:t xml:space="preserve"> The petitioner highlights that this tribunal does not belong to the Judicial Power and </w:t>
      </w:r>
      <w:proofErr w:type="spellStart"/>
      <w:proofErr w:type="gramStart"/>
      <w:r w:rsidRPr="00B145DD">
        <w:rPr>
          <w:rFonts w:ascii="Cambria" w:hAnsi="Cambria"/>
          <w:sz w:val="16"/>
          <w:szCs w:val="16"/>
        </w:rPr>
        <w:t>its</w:t>
      </w:r>
      <w:proofErr w:type="spellEnd"/>
      <w:proofErr w:type="gramEnd"/>
      <w:r w:rsidRPr="00B145DD">
        <w:rPr>
          <w:rFonts w:ascii="Cambria" w:hAnsi="Cambria"/>
          <w:sz w:val="16"/>
          <w:szCs w:val="16"/>
        </w:rPr>
        <w:t xml:space="preserve"> under the Executive Branch for budgetary purposes.</w:t>
      </w:r>
    </w:p>
  </w:footnote>
  <w:footnote w:id="12">
    <w:p w:rsidR="00C901B3" w:rsidRDefault="00C901B3" w:rsidP="0085443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D22479">
        <w:rPr>
          <w:rStyle w:val="FootnoteReference"/>
          <w:rFonts w:ascii="Cambria" w:hAnsi="Cambria"/>
          <w:sz w:val="12"/>
          <w:szCs w:val="12"/>
          <w:vertAlign w:val="baseline"/>
        </w:rPr>
        <w:footnoteRef/>
      </w:r>
      <w:r w:rsidRPr="00D22479">
        <w:rPr>
          <w:rFonts w:ascii="Cambria" w:hAnsi="Cambria"/>
          <w:sz w:val="12"/>
          <w:szCs w:val="12"/>
        </w:rPr>
        <w:t xml:space="preserve"> </w:t>
      </w:r>
      <w:r w:rsidRPr="00B145DD">
        <w:rPr>
          <w:rFonts w:ascii="Cambria" w:hAnsi="Cambria"/>
          <w:sz w:val="16"/>
          <w:szCs w:val="16"/>
        </w:rPr>
        <w:t>The court considered that the impugned resolution did not sufficiently detail the legal bases used for the imposition of the pecuniary sanction.</w:t>
      </w:r>
    </w:p>
  </w:footnote>
  <w:footnote w:id="13">
    <w:p w:rsidR="00C901B3" w:rsidRDefault="00C901B3" w:rsidP="003E0725">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0616EA">
        <w:rPr>
          <w:rStyle w:val="FootnoteReference"/>
          <w:rFonts w:ascii="Cambria" w:hAnsi="Cambria"/>
          <w:sz w:val="16"/>
          <w:szCs w:val="16"/>
        </w:rPr>
        <w:footnoteRef/>
      </w:r>
      <w:r w:rsidRPr="000616EA">
        <w:rPr>
          <w:rFonts w:ascii="Cambria" w:hAnsi="Cambria"/>
          <w:sz w:val="16"/>
          <w:szCs w:val="16"/>
        </w:rPr>
        <w:t xml:space="preserve"> The Court considered that the petitioner’s arguments regarding the Secretariat of the Public Function were groundless given that, in its opinion, there’s a separation between the political responsibility and the administrative responsibility of public servants; because of which the fact that the statute of limitations for the initiation of an impeachment process against the petitioner had expired, having transpired more than a year since he had left his office, did not imply that he couldn’t be held administratively liable in accordance with article 113 of the Constitution.  </w:t>
      </w:r>
    </w:p>
  </w:footnote>
  <w:footnote w:id="14">
    <w:p w:rsidR="00C901B3" w:rsidRDefault="00C901B3" w:rsidP="006256D5">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D22479">
        <w:rPr>
          <w:rStyle w:val="FootnoteReference"/>
          <w:rFonts w:ascii="Cambria" w:hAnsi="Cambria"/>
          <w:sz w:val="12"/>
          <w:szCs w:val="12"/>
          <w:vertAlign w:val="baseline"/>
        </w:rPr>
        <w:footnoteRef/>
      </w:r>
      <w:r w:rsidRPr="000616EA">
        <w:rPr>
          <w:rFonts w:ascii="Cambria" w:hAnsi="Cambria"/>
          <w:sz w:val="16"/>
          <w:szCs w:val="16"/>
        </w:rPr>
        <w:t xml:space="preserve"> To these effects, he argued that article 64 of the Federal Law on Responsibilities of Public Servants, regulating procedure before the Secretary of the Public Function, was unconstitutional.</w:t>
      </w:r>
    </w:p>
  </w:footnote>
  <w:footnote w:id="15">
    <w:p w:rsidR="00C901B3" w:rsidRPr="00D22479" w:rsidRDefault="00C901B3" w:rsidP="00D22479">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D22479">
        <w:rPr>
          <w:rStyle w:val="FootnoteReference"/>
          <w:rFonts w:ascii="Cambria" w:hAnsi="Cambria"/>
          <w:sz w:val="12"/>
          <w:szCs w:val="12"/>
          <w:vertAlign w:val="baseline"/>
        </w:rPr>
        <w:footnoteRef/>
      </w:r>
      <w:r w:rsidRPr="000616EA">
        <w:rPr>
          <w:rFonts w:ascii="Cambria" w:hAnsi="Cambria"/>
          <w:sz w:val="16"/>
          <w:szCs w:val="16"/>
        </w:rPr>
        <w:t xml:space="preserve"> The petitioner adds that, on December 9, 2009, the Secretary of the Public Function issued a resolution reestablishing, under a different legal argumentation, the previously annulled pecuniary sanction.</w:t>
      </w:r>
    </w:p>
  </w:footnote>
  <w:footnote w:id="16">
    <w:p w:rsidR="00C901B3" w:rsidRDefault="00C901B3" w:rsidP="00AC2C56">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D22479">
        <w:rPr>
          <w:rStyle w:val="FootnoteReference"/>
          <w:rFonts w:ascii="Cambria" w:hAnsi="Cambria"/>
          <w:sz w:val="12"/>
          <w:szCs w:val="12"/>
          <w:vertAlign w:val="baseline"/>
        </w:rPr>
        <w:footnoteRef/>
      </w:r>
      <w:r w:rsidRPr="000616EA">
        <w:rPr>
          <w:rFonts w:ascii="Cambria" w:hAnsi="Cambria"/>
          <w:sz w:val="16"/>
          <w:szCs w:val="16"/>
        </w:rPr>
        <w:t xml:space="preserve"> The petitioner argues that it would not be appropriate to challenge this new ruling as there are already pronouncements by the Third Collegiate Tribunal on Administrative Matters of the First Circuit and the Supreme Court of Justice of the Nation confirming the legality and constitutionality of the sanction of disqualification.</w:t>
      </w:r>
    </w:p>
  </w:footnote>
  <w:footnote w:id="17">
    <w:p w:rsidR="00C901B3" w:rsidRDefault="00C901B3" w:rsidP="00AC2C56">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D22479">
        <w:rPr>
          <w:rStyle w:val="FootnoteReference"/>
          <w:rFonts w:ascii="Cambria" w:hAnsi="Cambria"/>
          <w:sz w:val="12"/>
          <w:szCs w:val="12"/>
          <w:vertAlign w:val="baseline"/>
        </w:rPr>
        <w:footnoteRef/>
      </w:r>
      <w:r w:rsidRPr="000616EA">
        <w:rPr>
          <w:rFonts w:ascii="Cambria" w:hAnsi="Cambria"/>
          <w:sz w:val="16"/>
          <w:szCs w:val="16"/>
        </w:rPr>
        <w:t xml:space="preserve"> The petitioner acknowledges that, at the time of filing his petition, local remedies were not exhausted with respect to the pecuniary sanction imposed against him and declares that it is not part of the object of his petition, which is limited to the disqualification sanction.</w:t>
      </w:r>
    </w:p>
  </w:footnote>
  <w:footnote w:id="18">
    <w:p w:rsidR="00C901B3" w:rsidRDefault="00C901B3" w:rsidP="000616EA">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D22479">
        <w:rPr>
          <w:rStyle w:val="FootnoteReference"/>
          <w:rFonts w:ascii="Cambria" w:hAnsi="Cambria"/>
          <w:sz w:val="12"/>
          <w:szCs w:val="12"/>
          <w:vertAlign w:val="baseline"/>
        </w:rPr>
        <w:footnoteRef/>
      </w:r>
      <w:r w:rsidRPr="000616EA">
        <w:rPr>
          <w:rFonts w:ascii="Cambria" w:hAnsi="Cambria"/>
          <w:sz w:val="16"/>
          <w:szCs w:val="16"/>
        </w:rPr>
        <w:t xml:space="preserve"> He also points out that, although these finally resulted in his innocence being corroborated, due process was also violated in the various criminal proceedings that were brought against him.</w:t>
      </w:r>
    </w:p>
  </w:footnote>
  <w:footnote w:id="19">
    <w:p w:rsidR="00C901B3" w:rsidRDefault="00C901B3" w:rsidP="000616EA">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0616EA">
        <w:rPr>
          <w:rStyle w:val="FootnoteReference"/>
          <w:rFonts w:ascii="Cambria" w:hAnsi="Cambria"/>
          <w:sz w:val="16"/>
          <w:szCs w:val="16"/>
        </w:rPr>
        <w:footnoteRef/>
      </w:r>
      <w:r w:rsidRPr="000616EA">
        <w:rPr>
          <w:rFonts w:ascii="Cambria" w:hAnsi="Cambria"/>
          <w:sz w:val="16"/>
          <w:szCs w:val="16"/>
        </w:rPr>
        <w:t xml:space="preserve"> </w:t>
      </w:r>
      <w:r>
        <w:rPr>
          <w:rFonts w:ascii="Cambria" w:hAnsi="Cambria"/>
          <w:sz w:val="16"/>
          <w:szCs w:val="16"/>
        </w:rPr>
        <w:t xml:space="preserve">The petitioner cites article 109 of the Constitution which at the time of the events established that “The sanctions indicated in article 110 would be imposed through an impeachment process to the public servants detailed in the same article, when they incur in the exercise of their functions in actions or omissions w detrimental to the fundamental public interests or the good of their office”; as well as article 110 which established that “Could be subjected to an impeachment process... the General Directors and their equivalents of decentralized bodies, enterprises in which State participation corresponds to the majority, corporations and associations similar to these” and “the sanctions will consist on the destitution of the public servant and his disqualification to perform functions, employment, offices or commissions of any nature on the public sector”. </w:t>
      </w:r>
    </w:p>
  </w:footnote>
  <w:footnote w:id="20">
    <w:p w:rsidR="00C901B3" w:rsidRDefault="00C901B3" w:rsidP="00AC2C56">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D22479">
        <w:rPr>
          <w:rStyle w:val="FootnoteReference"/>
          <w:rFonts w:ascii="Cambria" w:hAnsi="Cambria"/>
          <w:sz w:val="12"/>
          <w:szCs w:val="12"/>
          <w:vertAlign w:val="baseline"/>
        </w:rPr>
        <w:footnoteRef/>
      </w:r>
      <w:r w:rsidRPr="00D22479">
        <w:rPr>
          <w:rFonts w:ascii="Cambria" w:hAnsi="Cambria"/>
          <w:sz w:val="16"/>
          <w:szCs w:val="16"/>
        </w:rPr>
        <w:t xml:space="preserve"> </w:t>
      </w:r>
      <w:r w:rsidRPr="00AC2C56">
        <w:rPr>
          <w:rFonts w:ascii="Cambria" w:hAnsi="Cambria"/>
          <w:sz w:val="16"/>
          <w:szCs w:val="16"/>
        </w:rPr>
        <w:t xml:space="preserve">I/A Court H.R., Case of López Mendoza v. Venezuela. Merits, Reparations, and Costs. Judgment of September 1, 2011. </w:t>
      </w:r>
      <w:r w:rsidRPr="00D22479">
        <w:rPr>
          <w:rFonts w:ascii="Cambria" w:hAnsi="Cambria"/>
          <w:sz w:val="16"/>
          <w:szCs w:val="16"/>
        </w:rPr>
        <w:t xml:space="preserve">Series C No. 233, para. 107-109. </w:t>
      </w:r>
    </w:p>
  </w:footnote>
  <w:footnote w:id="21">
    <w:p w:rsidR="00C901B3" w:rsidRDefault="00C901B3" w:rsidP="001E2680">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D22479">
        <w:rPr>
          <w:rStyle w:val="FootnoteReference"/>
          <w:rFonts w:ascii="Cambria" w:hAnsi="Cambria"/>
          <w:color w:val="auto"/>
          <w:sz w:val="12"/>
          <w:szCs w:val="12"/>
          <w:vertAlign w:val="baseline"/>
        </w:rPr>
        <w:footnoteRef/>
      </w:r>
      <w:r w:rsidRPr="008B21F9">
        <w:rPr>
          <w:rFonts w:ascii="Cambria" w:hAnsi="Cambria"/>
          <w:color w:val="auto"/>
          <w:sz w:val="16"/>
          <w:szCs w:val="16"/>
          <w:lang w:val="pt-BR"/>
        </w:rPr>
        <w:t xml:space="preserve"> IACHR, Report Nº 130/07 (Merits), Case 13.044, Gustavo Francisco Petro Urrego, October 25, 2017, para. </w:t>
      </w:r>
      <w:r w:rsidRPr="00FE07C3">
        <w:rPr>
          <w:rFonts w:ascii="Cambria" w:hAnsi="Cambria"/>
          <w:color w:val="auto"/>
          <w:sz w:val="16"/>
          <w:szCs w:val="16"/>
        </w:rPr>
        <w:t>122-123.</w:t>
      </w:r>
    </w:p>
  </w:footnote>
  <w:footnote w:id="22">
    <w:p w:rsidR="00C901B3" w:rsidRDefault="00C901B3" w:rsidP="0055550A">
      <w:pPr>
        <w:pStyle w:val="FootnoteText"/>
        <w:pBdr>
          <w:top w:val="none" w:sz="0" w:space="0" w:color="auto"/>
          <w:left w:val="none" w:sz="0" w:space="0" w:color="auto"/>
          <w:bottom w:val="none" w:sz="0" w:space="0" w:color="auto"/>
          <w:right w:val="none" w:sz="0" w:space="0" w:color="auto"/>
          <w:bar w:val="none" w:sz="0" w:color="auto"/>
        </w:pBdr>
        <w:jc w:val="both"/>
      </w:pPr>
      <w:r w:rsidRPr="00FE07C3">
        <w:rPr>
          <w:rFonts w:ascii="Cambria" w:hAnsi="Cambria"/>
          <w:sz w:val="16"/>
          <w:szCs w:val="16"/>
        </w:rPr>
        <w:tab/>
      </w:r>
      <w:r w:rsidRPr="00D22479">
        <w:rPr>
          <w:rStyle w:val="FootnoteReference"/>
          <w:rFonts w:ascii="Cambria" w:hAnsi="Cambria"/>
          <w:sz w:val="12"/>
          <w:szCs w:val="12"/>
          <w:vertAlign w:val="baseline"/>
          <w:lang w:val="es-ES"/>
        </w:rPr>
        <w:footnoteRef/>
      </w:r>
      <w:r w:rsidRPr="00AC2C56">
        <w:rPr>
          <w:rFonts w:ascii="Cambria" w:hAnsi="Cambria"/>
          <w:sz w:val="16"/>
          <w:szCs w:val="16"/>
        </w:rPr>
        <w:t xml:space="preserve"> IACHR, Report No. 26/17</w:t>
      </w:r>
      <w:r>
        <w:rPr>
          <w:rFonts w:ascii="Cambria" w:hAnsi="Cambria"/>
          <w:sz w:val="16"/>
          <w:szCs w:val="16"/>
        </w:rPr>
        <w:t>.</w:t>
      </w:r>
      <w:r w:rsidRPr="00AC2C56">
        <w:rPr>
          <w:rFonts w:ascii="Cambria" w:hAnsi="Cambria"/>
          <w:sz w:val="16"/>
          <w:szCs w:val="16"/>
        </w:rPr>
        <w:t xml:space="preserve"> Petition 1</w:t>
      </w:r>
      <w:r>
        <w:rPr>
          <w:rFonts w:ascii="Cambria" w:hAnsi="Cambria"/>
          <w:sz w:val="16"/>
          <w:szCs w:val="16"/>
        </w:rPr>
        <w:t xml:space="preserve">208-08. Admissibility. William </w:t>
      </w:r>
      <w:proofErr w:type="spellStart"/>
      <w:r>
        <w:rPr>
          <w:rFonts w:ascii="Cambria" w:hAnsi="Cambria"/>
          <w:sz w:val="16"/>
          <w:szCs w:val="16"/>
        </w:rPr>
        <w:t>Olaya</w:t>
      </w:r>
      <w:proofErr w:type="spellEnd"/>
      <w:r>
        <w:rPr>
          <w:rFonts w:ascii="Cambria" w:hAnsi="Cambria"/>
          <w:sz w:val="16"/>
          <w:szCs w:val="16"/>
        </w:rPr>
        <w:t xml:space="preserve"> Moreno and family. Colombia. March 18, 2017, para.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B3" w:rsidRDefault="00C901B3" w:rsidP="005F22C2">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C901B3" w:rsidRDefault="00C90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A" w:rsidRDefault="003F6F9A" w:rsidP="003F6F9A">
    <w:pPr>
      <w:pStyle w:val="Header"/>
      <w:tabs>
        <w:tab w:val="clear" w:pos="4320"/>
        <w:tab w:val="clear" w:pos="8640"/>
      </w:tabs>
      <w:jc w:val="center"/>
      <w:rPr>
        <w:sz w:val="22"/>
        <w:szCs w:val="22"/>
      </w:rPr>
    </w:pPr>
    <w:r>
      <w:rPr>
        <w:noProof/>
        <w:sz w:val="22"/>
        <w:szCs w:val="22"/>
      </w:rPr>
      <w:drawing>
        <wp:inline distT="0" distB="0" distL="0" distR="0" wp14:anchorId="2AF8F136" wp14:editId="2B4A5DB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3F6F9A" w:rsidRPr="00EC7D62" w:rsidRDefault="003F6F9A" w:rsidP="003F6F9A">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2D" w:rsidRDefault="00F21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Times New Roman"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cs="Times New Roman" w:hint="default"/>
      </w:rPr>
    </w:lvl>
    <w:lvl w:ilvl="1" w:tplc="83BC664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Calibri" w:eastAsia="Times New Roman"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Times New Roman" w:cs="Calibri" w:hint="default"/>
      </w:rPr>
    </w:lvl>
    <w:lvl w:ilvl="1">
      <w:start w:val="2"/>
      <w:numFmt w:val="decimal"/>
      <w:lvlText w:val="%1.%2"/>
      <w:lvlJc w:val="left"/>
      <w:pPr>
        <w:ind w:left="1068" w:hanging="360"/>
      </w:pPr>
      <w:rPr>
        <w:rFonts w:eastAsia="Times New Roman" w:cs="Calibri" w:hint="default"/>
      </w:rPr>
    </w:lvl>
    <w:lvl w:ilvl="2">
      <w:start w:val="1"/>
      <w:numFmt w:val="decimal"/>
      <w:lvlText w:val="%1.%2.%3"/>
      <w:lvlJc w:val="left"/>
      <w:pPr>
        <w:ind w:left="2136" w:hanging="720"/>
      </w:pPr>
      <w:rPr>
        <w:rFonts w:eastAsia="Times New Roman" w:cs="Calibri" w:hint="default"/>
      </w:rPr>
    </w:lvl>
    <w:lvl w:ilvl="3">
      <w:start w:val="1"/>
      <w:numFmt w:val="decimal"/>
      <w:lvlText w:val="%1.%2.%3.%4"/>
      <w:lvlJc w:val="left"/>
      <w:pPr>
        <w:ind w:left="2844" w:hanging="720"/>
      </w:pPr>
      <w:rPr>
        <w:rFonts w:eastAsia="Times New Roman" w:cs="Calibri" w:hint="default"/>
      </w:rPr>
    </w:lvl>
    <w:lvl w:ilvl="4">
      <w:start w:val="1"/>
      <w:numFmt w:val="decimal"/>
      <w:lvlText w:val="%1.%2.%3.%4.%5"/>
      <w:lvlJc w:val="left"/>
      <w:pPr>
        <w:ind w:left="3912" w:hanging="1080"/>
      </w:pPr>
      <w:rPr>
        <w:rFonts w:eastAsia="Times New Roman" w:cs="Calibri" w:hint="default"/>
      </w:rPr>
    </w:lvl>
    <w:lvl w:ilvl="5">
      <w:start w:val="1"/>
      <w:numFmt w:val="decimal"/>
      <w:lvlText w:val="%1.%2.%3.%4.%5.%6"/>
      <w:lvlJc w:val="left"/>
      <w:pPr>
        <w:ind w:left="4620" w:hanging="1080"/>
      </w:pPr>
      <w:rPr>
        <w:rFonts w:eastAsia="Times New Roman" w:cs="Calibri" w:hint="default"/>
      </w:rPr>
    </w:lvl>
    <w:lvl w:ilvl="6">
      <w:start w:val="1"/>
      <w:numFmt w:val="decimal"/>
      <w:lvlText w:val="%1.%2.%3.%4.%5.%6.%7"/>
      <w:lvlJc w:val="left"/>
      <w:pPr>
        <w:ind w:left="5688" w:hanging="1440"/>
      </w:pPr>
      <w:rPr>
        <w:rFonts w:eastAsia="Times New Roman" w:cs="Calibri" w:hint="default"/>
      </w:rPr>
    </w:lvl>
    <w:lvl w:ilvl="7">
      <w:start w:val="1"/>
      <w:numFmt w:val="decimal"/>
      <w:lvlText w:val="%1.%2.%3.%4.%5.%6.%7.%8"/>
      <w:lvlJc w:val="left"/>
      <w:pPr>
        <w:ind w:left="6396" w:hanging="1440"/>
      </w:pPr>
      <w:rPr>
        <w:rFonts w:eastAsia="Times New Roman" w:cs="Calibri" w:hint="default"/>
      </w:rPr>
    </w:lvl>
    <w:lvl w:ilvl="8">
      <w:start w:val="1"/>
      <w:numFmt w:val="decimal"/>
      <w:lvlText w:val="%1.%2.%3.%4.%5.%6.%7.%8.%9"/>
      <w:lvlJc w:val="left"/>
      <w:pPr>
        <w:ind w:left="7464" w:hanging="1800"/>
      </w:pPr>
      <w:rPr>
        <w:rFonts w:eastAsia="Times New Roman"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cs="Times New Roman" w:hint="default"/>
        <w:b w:val="0"/>
        <w:color w:val="auto"/>
        <w:sz w:val="20"/>
        <w:szCs w:val="20"/>
      </w:rPr>
    </w:lvl>
    <w:lvl w:ilvl="1" w:tplc="04090019">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0"/>
    <w:lvlOverride w:ilvl="0">
      <w:lvl w:ilvl="0">
        <w:start w:val="1"/>
        <w:numFmt w:val="upperRoman"/>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4">
    <w:abstractNumId w:val="22"/>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Calibri" w:eastAsia="Times New Roman" w:hAnsi="Calibri" w:cs="Trebuchet MS" w:hint="default"/>
          <w:b/>
          <w:bCs/>
          <w:i w:val="0"/>
          <w:color w:val="000000"/>
          <w:position w:val="0"/>
          <w:sz w:val="22"/>
          <w:szCs w:val="22"/>
          <w:u w:color="000000"/>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4">
    <w:abstractNumId w:val="1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5">
    <w:abstractNumId w:val="9"/>
    <w:lvlOverride w:ilvl="0">
      <w:lvl w:ilvl="0">
        <w:start w:val="2"/>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16">
    <w:abstractNumId w:val="2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7">
    <w:abstractNumId w:val="2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8">
    <w:abstractNumId w:val="12"/>
    <w:lvlOverride w:ilvl="0">
      <w:lvl w:ilvl="0">
        <w:start w:val="2"/>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2850"/>
          </w:tabs>
          <w:ind w:left="2850" w:hanging="330"/>
        </w:pPr>
        <w:rPr>
          <w:rFonts w:ascii="Calibri" w:eastAsia="Times New Roman" w:hAnsi="Calibri" w:cs="Calibri"/>
          <w:b w:val="0"/>
          <w:bCs/>
          <w:color w:val="000000"/>
          <w:position w:val="0"/>
          <w:sz w:val="22"/>
          <w:szCs w:val="22"/>
          <w:u w:color="000000"/>
        </w:rPr>
      </w:lvl>
    </w:lvlOverride>
  </w:num>
  <w:num w:numId="19">
    <w:abstractNumId w:val="56"/>
    <w:lvlOverride w:ilvl="0">
      <w:lvl w:ilvl="0">
        <w:start w:val="2"/>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0">
    <w:abstractNumId w:val="8"/>
  </w:num>
  <w:num w:numId="21">
    <w:abstractNumId w:val="38"/>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2">
    <w:abstractNumId w:val="25"/>
    <w:lvlOverride w:ilvl="0">
      <w:lvl w:ilvl="0">
        <w:start w:val="1"/>
        <w:numFmt w:val="decimal"/>
        <w:lvlText w:val="%1."/>
        <w:lvlJc w:val="left"/>
        <w:pPr>
          <w:ind w:left="1440" w:hanging="360"/>
        </w:pPr>
        <w:rPr>
          <w:rFonts w:cs="Times New Roman" w:hint="default"/>
          <w:color w:val="auto"/>
        </w:rPr>
      </w:lvl>
    </w:lvlOverride>
    <w:lvlOverride w:ilvl="1">
      <w:lvl w:ilvl="1">
        <w:start w:val="1"/>
        <w:numFmt w:val="lowerLetter"/>
        <w:lvlText w:val="%2."/>
        <w:lvlJc w:val="left"/>
        <w:pPr>
          <w:ind w:left="2160" w:hanging="360"/>
        </w:pPr>
        <w:rPr>
          <w:rFonts w:cs="Times New Roman"/>
        </w:rPr>
      </w:lvl>
    </w:lvlOverride>
    <w:lvlOverride w:ilvl="2">
      <w:lvl w:ilvl="2" w:tentative="1">
        <w:start w:val="1"/>
        <w:numFmt w:val="lowerRoman"/>
        <w:lvlText w:val="%3."/>
        <w:lvlJc w:val="right"/>
        <w:pPr>
          <w:ind w:left="2880" w:hanging="180"/>
        </w:pPr>
        <w:rPr>
          <w:rFonts w:cs="Times New Roman"/>
        </w:rPr>
      </w:lvl>
    </w:lvlOverride>
    <w:lvlOverride w:ilvl="3">
      <w:lvl w:ilvl="3" w:tentative="1">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23">
    <w:abstractNumId w:val="11"/>
    <w:lvlOverride w:ilvl="0">
      <w:lvl w:ilvl="0">
        <w:start w:val="6"/>
        <w:numFmt w:val="decimal"/>
        <w:lvlText w:val="%1."/>
        <w:lvlJc w:val="left"/>
        <w:pPr>
          <w:tabs>
            <w:tab w:val="num" w:pos="360"/>
          </w:tabs>
          <w:ind w:left="360" w:hanging="360"/>
        </w:pPr>
        <w:rPr>
          <w:rFonts w:ascii="Calibri" w:eastAsia="Times New Roman" w:hAnsi="Calibri" w:cs="Calibri" w:hint="default"/>
          <w:color w:val="000000"/>
          <w:position w:val="0"/>
          <w:sz w:val="22"/>
          <w:szCs w:val="22"/>
          <w:u w:color="000000"/>
        </w:rPr>
      </w:lvl>
    </w:lvlOverride>
  </w:num>
  <w:num w:numId="24">
    <w:abstractNumId w:val="48"/>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25">
    <w:abstractNumId w:val="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6">
    <w:abstractNumId w:val="6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7">
    <w:abstractNumId w:val="5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8">
    <w:abstractNumId w:val="2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9">
    <w:abstractNumId w:val="3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0">
    <w:abstractNumId w:val="3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1">
    <w:abstractNumId w:val="6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2">
    <w:abstractNumId w:val="6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3">
    <w:abstractNumId w:val="21"/>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34">
    <w:abstractNumId w:val="40"/>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7">
    <w:abstractNumId w:val="6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8">
    <w:abstractNumId w:val="3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9">
    <w:abstractNumId w:val="6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0">
    <w:abstractNumId w:val="1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1">
    <w:abstractNumId w:val="58"/>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2">
    <w:abstractNumId w:val="41"/>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3">
    <w:abstractNumId w:val="1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4">
    <w:abstractNumId w:val="4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5">
    <w:abstractNumId w:val="1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6">
    <w:abstractNumId w:val="18"/>
    <w:lvlOverride w:ilvl="0">
      <w:lvl w:ilvl="0">
        <w:start w:val="1"/>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7">
    <w:abstractNumId w:val="26"/>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8">
    <w:abstractNumId w:val="67"/>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9">
    <w:abstractNumId w:val="4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0">
    <w:abstractNumId w:val="3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1">
    <w:abstractNumId w:val="3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104F5"/>
    <w:rsid w:val="00015701"/>
    <w:rsid w:val="0001788C"/>
    <w:rsid w:val="0002186F"/>
    <w:rsid w:val="00032D94"/>
    <w:rsid w:val="000337EF"/>
    <w:rsid w:val="00040C3A"/>
    <w:rsid w:val="000419AD"/>
    <w:rsid w:val="00051E53"/>
    <w:rsid w:val="000616EA"/>
    <w:rsid w:val="000716C5"/>
    <w:rsid w:val="00074E19"/>
    <w:rsid w:val="00075E23"/>
    <w:rsid w:val="000920C5"/>
    <w:rsid w:val="0009344A"/>
    <w:rsid w:val="000A3254"/>
    <w:rsid w:val="000A392E"/>
    <w:rsid w:val="000A575F"/>
    <w:rsid w:val="000B0579"/>
    <w:rsid w:val="000C1C69"/>
    <w:rsid w:val="000D10DB"/>
    <w:rsid w:val="000E0EA6"/>
    <w:rsid w:val="000E2789"/>
    <w:rsid w:val="000E5EB5"/>
    <w:rsid w:val="000E700D"/>
    <w:rsid w:val="000F31E5"/>
    <w:rsid w:val="000F35ED"/>
    <w:rsid w:val="00102EDE"/>
    <w:rsid w:val="00104BEE"/>
    <w:rsid w:val="00107131"/>
    <w:rsid w:val="0010736F"/>
    <w:rsid w:val="00111A8A"/>
    <w:rsid w:val="00113F73"/>
    <w:rsid w:val="00121CC2"/>
    <w:rsid w:val="00131D8B"/>
    <w:rsid w:val="00133EE5"/>
    <w:rsid w:val="00135520"/>
    <w:rsid w:val="00136E3D"/>
    <w:rsid w:val="00143EFE"/>
    <w:rsid w:val="001479C0"/>
    <w:rsid w:val="0015330B"/>
    <w:rsid w:val="00163558"/>
    <w:rsid w:val="00167A34"/>
    <w:rsid w:val="001738A1"/>
    <w:rsid w:val="00177EEF"/>
    <w:rsid w:val="00184897"/>
    <w:rsid w:val="0018624C"/>
    <w:rsid w:val="00197487"/>
    <w:rsid w:val="001A7870"/>
    <w:rsid w:val="001B3A00"/>
    <w:rsid w:val="001C1B41"/>
    <w:rsid w:val="001D65EF"/>
    <w:rsid w:val="001E2680"/>
    <w:rsid w:val="001E49E7"/>
    <w:rsid w:val="001F271B"/>
    <w:rsid w:val="001F6BD3"/>
    <w:rsid w:val="001F7201"/>
    <w:rsid w:val="0020256C"/>
    <w:rsid w:val="00204931"/>
    <w:rsid w:val="002225C1"/>
    <w:rsid w:val="00223A29"/>
    <w:rsid w:val="002250A3"/>
    <w:rsid w:val="002253FD"/>
    <w:rsid w:val="00231294"/>
    <w:rsid w:val="00234863"/>
    <w:rsid w:val="00235217"/>
    <w:rsid w:val="00246D1F"/>
    <w:rsid w:val="00247403"/>
    <w:rsid w:val="00247542"/>
    <w:rsid w:val="00257E06"/>
    <w:rsid w:val="00266B61"/>
    <w:rsid w:val="0026712A"/>
    <w:rsid w:val="002704DB"/>
    <w:rsid w:val="00277BDA"/>
    <w:rsid w:val="00282EF5"/>
    <w:rsid w:val="0029575A"/>
    <w:rsid w:val="002A0AAE"/>
    <w:rsid w:val="002A5820"/>
    <w:rsid w:val="002B496D"/>
    <w:rsid w:val="002C3350"/>
    <w:rsid w:val="002D2B26"/>
    <w:rsid w:val="002D7EA2"/>
    <w:rsid w:val="002E187C"/>
    <w:rsid w:val="002E7512"/>
    <w:rsid w:val="00302733"/>
    <w:rsid w:val="003121D5"/>
    <w:rsid w:val="00314078"/>
    <w:rsid w:val="0031535D"/>
    <w:rsid w:val="00322AD2"/>
    <w:rsid w:val="003239B8"/>
    <w:rsid w:val="0033169F"/>
    <w:rsid w:val="00337236"/>
    <w:rsid w:val="0034224A"/>
    <w:rsid w:val="00343438"/>
    <w:rsid w:val="00344977"/>
    <w:rsid w:val="00346C95"/>
    <w:rsid w:val="00350976"/>
    <w:rsid w:val="00351155"/>
    <w:rsid w:val="00356185"/>
    <w:rsid w:val="00360380"/>
    <w:rsid w:val="0037519E"/>
    <w:rsid w:val="00386C6C"/>
    <w:rsid w:val="00386CF0"/>
    <w:rsid w:val="003A44AF"/>
    <w:rsid w:val="003A6337"/>
    <w:rsid w:val="003B4FF6"/>
    <w:rsid w:val="003B70FB"/>
    <w:rsid w:val="003C676B"/>
    <w:rsid w:val="003C7518"/>
    <w:rsid w:val="003D0A55"/>
    <w:rsid w:val="003D3BC2"/>
    <w:rsid w:val="003D45D2"/>
    <w:rsid w:val="003E0725"/>
    <w:rsid w:val="003E6CA1"/>
    <w:rsid w:val="003F3AB0"/>
    <w:rsid w:val="003F6F9A"/>
    <w:rsid w:val="004065A8"/>
    <w:rsid w:val="004165C2"/>
    <w:rsid w:val="004304AD"/>
    <w:rsid w:val="00430F47"/>
    <w:rsid w:val="00441ECB"/>
    <w:rsid w:val="00445193"/>
    <w:rsid w:val="00445C16"/>
    <w:rsid w:val="00447CCF"/>
    <w:rsid w:val="00450824"/>
    <w:rsid w:val="004565BA"/>
    <w:rsid w:val="00462C1B"/>
    <w:rsid w:val="00467B7E"/>
    <w:rsid w:val="00473BB4"/>
    <w:rsid w:val="00477592"/>
    <w:rsid w:val="0048612A"/>
    <w:rsid w:val="00486F1C"/>
    <w:rsid w:val="0049419D"/>
    <w:rsid w:val="004A4B11"/>
    <w:rsid w:val="004A59CC"/>
    <w:rsid w:val="004A6A54"/>
    <w:rsid w:val="004B04D2"/>
    <w:rsid w:val="004B372E"/>
    <w:rsid w:val="004B4301"/>
    <w:rsid w:val="004C20D2"/>
    <w:rsid w:val="004C2312"/>
    <w:rsid w:val="004C4B62"/>
    <w:rsid w:val="004C54C9"/>
    <w:rsid w:val="004C5932"/>
    <w:rsid w:val="004C616A"/>
    <w:rsid w:val="004D47C6"/>
    <w:rsid w:val="004D4ABA"/>
    <w:rsid w:val="004D6025"/>
    <w:rsid w:val="004E19B1"/>
    <w:rsid w:val="004E2649"/>
    <w:rsid w:val="00501399"/>
    <w:rsid w:val="00501652"/>
    <w:rsid w:val="0050633D"/>
    <w:rsid w:val="00507BC4"/>
    <w:rsid w:val="00507FDA"/>
    <w:rsid w:val="00510C42"/>
    <w:rsid w:val="005128E4"/>
    <w:rsid w:val="005133DB"/>
    <w:rsid w:val="0051685C"/>
    <w:rsid w:val="00522951"/>
    <w:rsid w:val="00525560"/>
    <w:rsid w:val="005415E6"/>
    <w:rsid w:val="00544216"/>
    <w:rsid w:val="00544C49"/>
    <w:rsid w:val="005451A2"/>
    <w:rsid w:val="005516A1"/>
    <w:rsid w:val="0055550A"/>
    <w:rsid w:val="00560292"/>
    <w:rsid w:val="00563557"/>
    <w:rsid w:val="00564D24"/>
    <w:rsid w:val="00571257"/>
    <w:rsid w:val="0057402A"/>
    <w:rsid w:val="00574CB7"/>
    <w:rsid w:val="005771D0"/>
    <w:rsid w:val="00577AE5"/>
    <w:rsid w:val="00587E1B"/>
    <w:rsid w:val="0059062C"/>
    <w:rsid w:val="0059191A"/>
    <w:rsid w:val="005921FF"/>
    <w:rsid w:val="005A24ED"/>
    <w:rsid w:val="005A6D0E"/>
    <w:rsid w:val="005B37CC"/>
    <w:rsid w:val="005B52B0"/>
    <w:rsid w:val="005B6806"/>
    <w:rsid w:val="005B6B23"/>
    <w:rsid w:val="005B6D22"/>
    <w:rsid w:val="005C1DED"/>
    <w:rsid w:val="005C261A"/>
    <w:rsid w:val="005C274A"/>
    <w:rsid w:val="005C4225"/>
    <w:rsid w:val="005C7989"/>
    <w:rsid w:val="005E0B65"/>
    <w:rsid w:val="005E11B2"/>
    <w:rsid w:val="005F0DAD"/>
    <w:rsid w:val="005F0F33"/>
    <w:rsid w:val="005F22C2"/>
    <w:rsid w:val="00600DEB"/>
    <w:rsid w:val="006032E5"/>
    <w:rsid w:val="00614616"/>
    <w:rsid w:val="006256D5"/>
    <w:rsid w:val="006277DE"/>
    <w:rsid w:val="00627C9F"/>
    <w:rsid w:val="006311E9"/>
    <w:rsid w:val="00632354"/>
    <w:rsid w:val="00636FD5"/>
    <w:rsid w:val="00640343"/>
    <w:rsid w:val="00642810"/>
    <w:rsid w:val="00642C59"/>
    <w:rsid w:val="0064368D"/>
    <w:rsid w:val="00647756"/>
    <w:rsid w:val="006509DA"/>
    <w:rsid w:val="00652333"/>
    <w:rsid w:val="006541BB"/>
    <w:rsid w:val="00666340"/>
    <w:rsid w:val="0068009E"/>
    <w:rsid w:val="00680C50"/>
    <w:rsid w:val="00681543"/>
    <w:rsid w:val="006819E9"/>
    <w:rsid w:val="00686471"/>
    <w:rsid w:val="00691BBE"/>
    <w:rsid w:val="00692219"/>
    <w:rsid w:val="00695E4D"/>
    <w:rsid w:val="006A17D2"/>
    <w:rsid w:val="006A73E6"/>
    <w:rsid w:val="006B2D5C"/>
    <w:rsid w:val="006C4EB1"/>
    <w:rsid w:val="006D76B3"/>
    <w:rsid w:val="006E0166"/>
    <w:rsid w:val="006E29E0"/>
    <w:rsid w:val="006E7B34"/>
    <w:rsid w:val="006F0406"/>
    <w:rsid w:val="006F75DB"/>
    <w:rsid w:val="0070697F"/>
    <w:rsid w:val="00714B15"/>
    <w:rsid w:val="0072199C"/>
    <w:rsid w:val="00722C9F"/>
    <w:rsid w:val="007253B8"/>
    <w:rsid w:val="0073598C"/>
    <w:rsid w:val="0073741F"/>
    <w:rsid w:val="00752C65"/>
    <w:rsid w:val="0076643F"/>
    <w:rsid w:val="00775311"/>
    <w:rsid w:val="00777F63"/>
    <w:rsid w:val="007852B5"/>
    <w:rsid w:val="007872E0"/>
    <w:rsid w:val="007A4E21"/>
    <w:rsid w:val="007A5817"/>
    <w:rsid w:val="007B05C4"/>
    <w:rsid w:val="007B60E9"/>
    <w:rsid w:val="007B6CC3"/>
    <w:rsid w:val="007C3334"/>
    <w:rsid w:val="007C3A9B"/>
    <w:rsid w:val="007C402A"/>
    <w:rsid w:val="007C6947"/>
    <w:rsid w:val="007D2B98"/>
    <w:rsid w:val="007D3985"/>
    <w:rsid w:val="007D7C02"/>
    <w:rsid w:val="007E13E7"/>
    <w:rsid w:val="007E21BC"/>
    <w:rsid w:val="007E58FE"/>
    <w:rsid w:val="007E7C82"/>
    <w:rsid w:val="007F588D"/>
    <w:rsid w:val="00802748"/>
    <w:rsid w:val="00803F1C"/>
    <w:rsid w:val="00803FF1"/>
    <w:rsid w:val="0080600E"/>
    <w:rsid w:val="00817398"/>
    <w:rsid w:val="00817612"/>
    <w:rsid w:val="008200E4"/>
    <w:rsid w:val="008338A4"/>
    <w:rsid w:val="00834D49"/>
    <w:rsid w:val="00837C45"/>
    <w:rsid w:val="008411F0"/>
    <w:rsid w:val="00844730"/>
    <w:rsid w:val="008457C2"/>
    <w:rsid w:val="008474EA"/>
    <w:rsid w:val="00847976"/>
    <w:rsid w:val="008518BC"/>
    <w:rsid w:val="0085443C"/>
    <w:rsid w:val="00857A82"/>
    <w:rsid w:val="00860E85"/>
    <w:rsid w:val="00861EB4"/>
    <w:rsid w:val="00871526"/>
    <w:rsid w:val="00873836"/>
    <w:rsid w:val="008773FD"/>
    <w:rsid w:val="00885737"/>
    <w:rsid w:val="00887138"/>
    <w:rsid w:val="00890650"/>
    <w:rsid w:val="008956FA"/>
    <w:rsid w:val="00897E12"/>
    <w:rsid w:val="008A0E5A"/>
    <w:rsid w:val="008A0F81"/>
    <w:rsid w:val="008A7E0F"/>
    <w:rsid w:val="008B12F5"/>
    <w:rsid w:val="008B21F9"/>
    <w:rsid w:val="008B5932"/>
    <w:rsid w:val="008C5751"/>
    <w:rsid w:val="008D0734"/>
    <w:rsid w:val="008D3FB4"/>
    <w:rsid w:val="008D6A91"/>
    <w:rsid w:val="008D6AC0"/>
    <w:rsid w:val="008D768D"/>
    <w:rsid w:val="008E328A"/>
    <w:rsid w:val="008E3759"/>
    <w:rsid w:val="008E3BFE"/>
    <w:rsid w:val="008E7900"/>
    <w:rsid w:val="008F1912"/>
    <w:rsid w:val="008F30BA"/>
    <w:rsid w:val="0090270B"/>
    <w:rsid w:val="009041DC"/>
    <w:rsid w:val="00914B2D"/>
    <w:rsid w:val="00917B5A"/>
    <w:rsid w:val="00920A58"/>
    <w:rsid w:val="00920A8C"/>
    <w:rsid w:val="00921CD8"/>
    <w:rsid w:val="00934A2C"/>
    <w:rsid w:val="00935F06"/>
    <w:rsid w:val="00937B3A"/>
    <w:rsid w:val="00945BD6"/>
    <w:rsid w:val="00954B82"/>
    <w:rsid w:val="00962436"/>
    <w:rsid w:val="0096706E"/>
    <w:rsid w:val="00974491"/>
    <w:rsid w:val="00975C4E"/>
    <w:rsid w:val="00981A38"/>
    <w:rsid w:val="00981FBA"/>
    <w:rsid w:val="00984BD1"/>
    <w:rsid w:val="00993222"/>
    <w:rsid w:val="00997BC5"/>
    <w:rsid w:val="009A4F41"/>
    <w:rsid w:val="009A7B6F"/>
    <w:rsid w:val="009B381B"/>
    <w:rsid w:val="009B4976"/>
    <w:rsid w:val="009C00E6"/>
    <w:rsid w:val="009C1F9D"/>
    <w:rsid w:val="009C2FC5"/>
    <w:rsid w:val="009D1753"/>
    <w:rsid w:val="009D396F"/>
    <w:rsid w:val="009D6502"/>
    <w:rsid w:val="009D7611"/>
    <w:rsid w:val="009D78A5"/>
    <w:rsid w:val="009E0B61"/>
    <w:rsid w:val="009E0BA4"/>
    <w:rsid w:val="009E53DE"/>
    <w:rsid w:val="009E7C00"/>
    <w:rsid w:val="00A060EE"/>
    <w:rsid w:val="00A061BF"/>
    <w:rsid w:val="00A0691C"/>
    <w:rsid w:val="00A11E44"/>
    <w:rsid w:val="00A22397"/>
    <w:rsid w:val="00A239D1"/>
    <w:rsid w:val="00A328B3"/>
    <w:rsid w:val="00A405EE"/>
    <w:rsid w:val="00A457ED"/>
    <w:rsid w:val="00A50FCF"/>
    <w:rsid w:val="00A528D1"/>
    <w:rsid w:val="00A5396B"/>
    <w:rsid w:val="00A5504D"/>
    <w:rsid w:val="00A601CB"/>
    <w:rsid w:val="00A610CD"/>
    <w:rsid w:val="00A625E0"/>
    <w:rsid w:val="00A73869"/>
    <w:rsid w:val="00A74947"/>
    <w:rsid w:val="00A758AA"/>
    <w:rsid w:val="00A964B0"/>
    <w:rsid w:val="00AA09A2"/>
    <w:rsid w:val="00AA7996"/>
    <w:rsid w:val="00AB5DD1"/>
    <w:rsid w:val="00AC19CB"/>
    <w:rsid w:val="00AC2423"/>
    <w:rsid w:val="00AC2C56"/>
    <w:rsid w:val="00AC7B6D"/>
    <w:rsid w:val="00AD1886"/>
    <w:rsid w:val="00AE26E3"/>
    <w:rsid w:val="00AE5488"/>
    <w:rsid w:val="00AE6F91"/>
    <w:rsid w:val="00AF5571"/>
    <w:rsid w:val="00B05EA8"/>
    <w:rsid w:val="00B065E6"/>
    <w:rsid w:val="00B06B4E"/>
    <w:rsid w:val="00B07341"/>
    <w:rsid w:val="00B145DD"/>
    <w:rsid w:val="00B202B5"/>
    <w:rsid w:val="00B30539"/>
    <w:rsid w:val="00B314DB"/>
    <w:rsid w:val="00B361F2"/>
    <w:rsid w:val="00B3718B"/>
    <w:rsid w:val="00B4632A"/>
    <w:rsid w:val="00B5067D"/>
    <w:rsid w:val="00B530F1"/>
    <w:rsid w:val="00B643E3"/>
    <w:rsid w:val="00B736AF"/>
    <w:rsid w:val="00B96661"/>
    <w:rsid w:val="00B97946"/>
    <w:rsid w:val="00BA257A"/>
    <w:rsid w:val="00BA276C"/>
    <w:rsid w:val="00BA5544"/>
    <w:rsid w:val="00BB306F"/>
    <w:rsid w:val="00BB3FBD"/>
    <w:rsid w:val="00BC6CD0"/>
    <w:rsid w:val="00BD4B89"/>
    <w:rsid w:val="00BD5922"/>
    <w:rsid w:val="00BD76D9"/>
    <w:rsid w:val="00BD7C38"/>
    <w:rsid w:val="00BE4E1A"/>
    <w:rsid w:val="00BF02CB"/>
    <w:rsid w:val="00BF514A"/>
    <w:rsid w:val="00BF6540"/>
    <w:rsid w:val="00BF6FD8"/>
    <w:rsid w:val="00BF775D"/>
    <w:rsid w:val="00C03680"/>
    <w:rsid w:val="00C054DF"/>
    <w:rsid w:val="00C10AFC"/>
    <w:rsid w:val="00C15381"/>
    <w:rsid w:val="00C21562"/>
    <w:rsid w:val="00C21762"/>
    <w:rsid w:val="00C21FEF"/>
    <w:rsid w:val="00C24543"/>
    <w:rsid w:val="00C256A2"/>
    <w:rsid w:val="00C35A26"/>
    <w:rsid w:val="00C51515"/>
    <w:rsid w:val="00C53910"/>
    <w:rsid w:val="00C5660B"/>
    <w:rsid w:val="00C56854"/>
    <w:rsid w:val="00C5788A"/>
    <w:rsid w:val="00C66B72"/>
    <w:rsid w:val="00C87AC4"/>
    <w:rsid w:val="00C901B3"/>
    <w:rsid w:val="00C9567A"/>
    <w:rsid w:val="00C97F0E"/>
    <w:rsid w:val="00CA2F62"/>
    <w:rsid w:val="00CA48A3"/>
    <w:rsid w:val="00CB212D"/>
    <w:rsid w:val="00CB2660"/>
    <w:rsid w:val="00CB336D"/>
    <w:rsid w:val="00CB47A4"/>
    <w:rsid w:val="00CB725A"/>
    <w:rsid w:val="00CC13B2"/>
    <w:rsid w:val="00CC5E90"/>
    <w:rsid w:val="00CD046C"/>
    <w:rsid w:val="00CE076C"/>
    <w:rsid w:val="00CE4F24"/>
    <w:rsid w:val="00CE5199"/>
    <w:rsid w:val="00CE66D5"/>
    <w:rsid w:val="00CF637A"/>
    <w:rsid w:val="00D0298B"/>
    <w:rsid w:val="00D059DE"/>
    <w:rsid w:val="00D05ABD"/>
    <w:rsid w:val="00D13FCE"/>
    <w:rsid w:val="00D22479"/>
    <w:rsid w:val="00D306D1"/>
    <w:rsid w:val="00D30800"/>
    <w:rsid w:val="00D335B2"/>
    <w:rsid w:val="00D34786"/>
    <w:rsid w:val="00D37BFC"/>
    <w:rsid w:val="00D42822"/>
    <w:rsid w:val="00D47A8E"/>
    <w:rsid w:val="00D52D14"/>
    <w:rsid w:val="00D5382C"/>
    <w:rsid w:val="00D55256"/>
    <w:rsid w:val="00D66136"/>
    <w:rsid w:val="00D71033"/>
    <w:rsid w:val="00D712D3"/>
    <w:rsid w:val="00D71422"/>
    <w:rsid w:val="00D72DC6"/>
    <w:rsid w:val="00D73F5E"/>
    <w:rsid w:val="00D7558D"/>
    <w:rsid w:val="00D77503"/>
    <w:rsid w:val="00D81D92"/>
    <w:rsid w:val="00D84E35"/>
    <w:rsid w:val="00D876F9"/>
    <w:rsid w:val="00D877B6"/>
    <w:rsid w:val="00D97804"/>
    <w:rsid w:val="00DA3516"/>
    <w:rsid w:val="00DA7B5F"/>
    <w:rsid w:val="00DC11E7"/>
    <w:rsid w:val="00DC7023"/>
    <w:rsid w:val="00DC769A"/>
    <w:rsid w:val="00DD3D86"/>
    <w:rsid w:val="00DE12F0"/>
    <w:rsid w:val="00DF1EC4"/>
    <w:rsid w:val="00DF5840"/>
    <w:rsid w:val="00DF744E"/>
    <w:rsid w:val="00E01943"/>
    <w:rsid w:val="00E0340B"/>
    <w:rsid w:val="00E04A90"/>
    <w:rsid w:val="00E050DB"/>
    <w:rsid w:val="00E0551F"/>
    <w:rsid w:val="00E16A7B"/>
    <w:rsid w:val="00E219C7"/>
    <w:rsid w:val="00E21D86"/>
    <w:rsid w:val="00E26BEA"/>
    <w:rsid w:val="00E26CCA"/>
    <w:rsid w:val="00E410E8"/>
    <w:rsid w:val="00E4118C"/>
    <w:rsid w:val="00E43157"/>
    <w:rsid w:val="00E45DA6"/>
    <w:rsid w:val="00E461CE"/>
    <w:rsid w:val="00E5548A"/>
    <w:rsid w:val="00E63F03"/>
    <w:rsid w:val="00E720CA"/>
    <w:rsid w:val="00E83732"/>
    <w:rsid w:val="00E84EB5"/>
    <w:rsid w:val="00E85662"/>
    <w:rsid w:val="00E8789F"/>
    <w:rsid w:val="00E87CD3"/>
    <w:rsid w:val="00E97B71"/>
    <w:rsid w:val="00EA3D34"/>
    <w:rsid w:val="00EB2D6E"/>
    <w:rsid w:val="00EB454D"/>
    <w:rsid w:val="00EC72AB"/>
    <w:rsid w:val="00EC7D62"/>
    <w:rsid w:val="00ED2F03"/>
    <w:rsid w:val="00ED549D"/>
    <w:rsid w:val="00ED6BAD"/>
    <w:rsid w:val="00ED76BE"/>
    <w:rsid w:val="00ED7F05"/>
    <w:rsid w:val="00EE00E9"/>
    <w:rsid w:val="00EE014D"/>
    <w:rsid w:val="00EF35AB"/>
    <w:rsid w:val="00EF4C44"/>
    <w:rsid w:val="00EF619B"/>
    <w:rsid w:val="00EF764B"/>
    <w:rsid w:val="00F00B55"/>
    <w:rsid w:val="00F02AD1"/>
    <w:rsid w:val="00F04591"/>
    <w:rsid w:val="00F06354"/>
    <w:rsid w:val="00F2122D"/>
    <w:rsid w:val="00F253CC"/>
    <w:rsid w:val="00F332EF"/>
    <w:rsid w:val="00F35772"/>
    <w:rsid w:val="00F37106"/>
    <w:rsid w:val="00F50C72"/>
    <w:rsid w:val="00F519CF"/>
    <w:rsid w:val="00F558AE"/>
    <w:rsid w:val="00F56BA5"/>
    <w:rsid w:val="00F60E22"/>
    <w:rsid w:val="00F63B39"/>
    <w:rsid w:val="00F66F56"/>
    <w:rsid w:val="00F72BCB"/>
    <w:rsid w:val="00F81395"/>
    <w:rsid w:val="00F81887"/>
    <w:rsid w:val="00F81BB8"/>
    <w:rsid w:val="00F87156"/>
    <w:rsid w:val="00F917D1"/>
    <w:rsid w:val="00F9342C"/>
    <w:rsid w:val="00F9653B"/>
    <w:rsid w:val="00FA0157"/>
    <w:rsid w:val="00FA26AC"/>
    <w:rsid w:val="00FA56EA"/>
    <w:rsid w:val="00FB62CF"/>
    <w:rsid w:val="00FC0F4A"/>
    <w:rsid w:val="00FC3330"/>
    <w:rsid w:val="00FD0C70"/>
    <w:rsid w:val="00FD0D80"/>
    <w:rsid w:val="00FD3C3B"/>
    <w:rsid w:val="00FD71A2"/>
    <w:rsid w:val="00FE07C3"/>
    <w:rsid w:val="00FE07DD"/>
    <w:rsid w:val="00FE6B45"/>
    <w:rsid w:val="00FF304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CD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96"/>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E87CD3"/>
    <w:rPr>
      <w:rFonts w:cs="Times New Roman"/>
      <w:u w:val="single"/>
    </w:rPr>
  </w:style>
  <w:style w:type="paragraph" w:customStyle="1" w:styleId="Cabeceraypie">
    <w:name w:val="Cabecera y pie"/>
    <w:uiPriority w:val="99"/>
    <w:rsid w:val="00E87CD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E87CD3"/>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E87C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E87CD3"/>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ListParagraph">
    <w:name w:val="List Paragraph"/>
    <w:basedOn w:val="Normal"/>
    <w:uiPriority w:val="34"/>
    <w:qFormat/>
    <w:rsid w:val="00E87CD3"/>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E87CD3"/>
    <w:rPr>
      <w:rFonts w:ascii="Calibri" w:eastAsia="Times New Roman" w:hAnsi="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Pr>
      <w:rFonts w:cs="Times New Roman"/>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B6D22"/>
    <w:rPr>
      <w:rFonts w:cs="Times New Roman"/>
      <w:sz w:val="16"/>
      <w:szCs w:val="16"/>
    </w:rPr>
  </w:style>
  <w:style w:type="paragraph" w:styleId="CommentText">
    <w:name w:val="annotation text"/>
    <w:basedOn w:val="Normal"/>
    <w:link w:val="CommentTextChar"/>
    <w:uiPriority w:val="99"/>
    <w:semiHidden/>
    <w:rsid w:val="005B6D22"/>
    <w:rPr>
      <w:sz w:val="20"/>
      <w:szCs w:val="20"/>
    </w:rPr>
  </w:style>
  <w:style w:type="character" w:customStyle="1" w:styleId="CommentTextChar">
    <w:name w:val="Comment Text Char"/>
    <w:basedOn w:val="DefaultParagraphFont"/>
    <w:link w:val="CommentText"/>
    <w:uiPriority w:val="99"/>
    <w:semiHidden/>
    <w:locked/>
    <w:rsid w:val="005B6D22"/>
    <w:rPr>
      <w:rFonts w:cs="Times New Roman"/>
      <w:lang w:val="en-US" w:eastAsia="en-US"/>
    </w:rPr>
  </w:style>
  <w:style w:type="paragraph" w:styleId="CommentSubject">
    <w:name w:val="annotation subject"/>
    <w:basedOn w:val="CommentText"/>
    <w:next w:val="CommentText"/>
    <w:link w:val="CommentSubjectChar"/>
    <w:uiPriority w:val="99"/>
    <w:semiHidden/>
    <w:rsid w:val="005B6D22"/>
    <w:rPr>
      <w:b/>
      <w:bCs/>
    </w:rPr>
  </w:style>
  <w:style w:type="character" w:customStyle="1" w:styleId="CommentSubjectChar">
    <w:name w:val="Comment Subject Char"/>
    <w:basedOn w:val="CommentTextChar"/>
    <w:link w:val="CommentSubject"/>
    <w:uiPriority w:val="99"/>
    <w:semiHidden/>
    <w:locked/>
    <w:rsid w:val="005B6D22"/>
    <w:rPr>
      <w:rFonts w:cs="Times New Roman"/>
      <w:b/>
      <w:bCs/>
      <w:lang w:val="en-US" w:eastAsia="en-US"/>
    </w:rPr>
  </w:style>
  <w:style w:type="paragraph" w:styleId="Revision">
    <w:name w:val="Revision"/>
    <w:hidden/>
    <w:uiPriority w:val="99"/>
    <w:semiHidden/>
    <w:rsid w:val="005B6D22"/>
    <w:rPr>
      <w:sz w:val="24"/>
      <w:szCs w:val="24"/>
      <w:lang w:val="en-US" w:eastAsia="en-US"/>
    </w:rPr>
  </w:style>
  <w:style w:type="numbering" w:customStyle="1" w:styleId="List16">
    <w:name w:val="List 16"/>
    <w:rsid w:val="00851F8D"/>
    <w:pPr>
      <w:numPr>
        <w:numId w:val="53"/>
      </w:numPr>
    </w:pPr>
  </w:style>
  <w:style w:type="numbering" w:customStyle="1" w:styleId="List36">
    <w:name w:val="List 36"/>
    <w:rsid w:val="00851F8D"/>
    <w:pPr>
      <w:numPr>
        <w:numId w:val="57"/>
      </w:numPr>
    </w:pPr>
  </w:style>
  <w:style w:type="numbering" w:customStyle="1" w:styleId="List25">
    <w:name w:val="List 25"/>
    <w:rsid w:val="00851F8D"/>
    <w:pPr>
      <w:numPr>
        <w:numId w:val="58"/>
      </w:numPr>
    </w:pPr>
  </w:style>
  <w:style w:type="numbering" w:customStyle="1" w:styleId="List1">
    <w:name w:val="List 1"/>
    <w:rsid w:val="00851F8D"/>
    <w:pPr>
      <w:numPr>
        <w:numId w:val="2"/>
      </w:numPr>
    </w:pPr>
  </w:style>
  <w:style w:type="numbering" w:customStyle="1" w:styleId="List11">
    <w:name w:val="List 11"/>
    <w:rsid w:val="00851F8D"/>
    <w:pPr>
      <w:numPr>
        <w:numId w:val="20"/>
      </w:numPr>
    </w:pPr>
  </w:style>
  <w:style w:type="numbering" w:customStyle="1" w:styleId="List15">
    <w:name w:val="List 15"/>
    <w:rsid w:val="00851F8D"/>
    <w:pPr>
      <w:numPr>
        <w:numId w:val="59"/>
      </w:numPr>
    </w:pPr>
  </w:style>
  <w:style w:type="numbering" w:customStyle="1" w:styleId="List14">
    <w:name w:val="List 14"/>
    <w:rsid w:val="00851F8D"/>
    <w:pPr>
      <w:numPr>
        <w:numId w:val="60"/>
      </w:numPr>
    </w:pPr>
  </w:style>
  <w:style w:type="numbering" w:customStyle="1" w:styleId="List23">
    <w:name w:val="List 23"/>
    <w:rsid w:val="00851F8D"/>
    <w:pPr>
      <w:numPr>
        <w:numId w:val="61"/>
      </w:numPr>
    </w:pPr>
  </w:style>
  <w:style w:type="numbering" w:customStyle="1" w:styleId="List19">
    <w:name w:val="List 19"/>
    <w:rsid w:val="00851F8D"/>
    <w:pPr>
      <w:numPr>
        <w:numId w:val="62"/>
      </w:numPr>
    </w:pPr>
  </w:style>
  <w:style w:type="numbering" w:customStyle="1" w:styleId="List45">
    <w:name w:val="List 45"/>
    <w:rsid w:val="00851F8D"/>
    <w:pPr>
      <w:numPr>
        <w:numId w:val="63"/>
      </w:numPr>
    </w:pPr>
  </w:style>
  <w:style w:type="numbering" w:customStyle="1" w:styleId="List40">
    <w:name w:val="List 40"/>
    <w:rsid w:val="00851F8D"/>
    <w:pPr>
      <w:numPr>
        <w:numId w:val="64"/>
      </w:numPr>
    </w:pPr>
  </w:style>
  <w:style w:type="numbering" w:customStyle="1" w:styleId="List9">
    <w:name w:val="List 9"/>
    <w:rsid w:val="00851F8D"/>
    <w:pPr>
      <w:numPr>
        <w:numId w:val="65"/>
      </w:numPr>
    </w:pPr>
  </w:style>
  <w:style w:type="numbering" w:customStyle="1" w:styleId="List43">
    <w:name w:val="List 43"/>
    <w:rsid w:val="00851F8D"/>
    <w:pPr>
      <w:numPr>
        <w:numId w:val="66"/>
      </w:numPr>
    </w:pPr>
  </w:style>
  <w:style w:type="numbering" w:customStyle="1" w:styleId="List46">
    <w:name w:val="List 46"/>
    <w:rsid w:val="00851F8D"/>
    <w:pPr>
      <w:numPr>
        <w:numId w:val="67"/>
      </w:numPr>
    </w:pPr>
  </w:style>
  <w:style w:type="numbering" w:customStyle="1" w:styleId="List35">
    <w:name w:val="List 35"/>
    <w:rsid w:val="00851F8D"/>
    <w:pPr>
      <w:numPr>
        <w:numId w:val="35"/>
      </w:numPr>
    </w:pPr>
  </w:style>
  <w:style w:type="numbering" w:customStyle="1" w:styleId="List17">
    <w:name w:val="List 17"/>
    <w:rsid w:val="00851F8D"/>
    <w:pPr>
      <w:numPr>
        <w:numId w:val="68"/>
      </w:numPr>
    </w:pPr>
  </w:style>
  <w:style w:type="numbering" w:customStyle="1" w:styleId="List33">
    <w:name w:val="List 33"/>
    <w:rsid w:val="00851F8D"/>
    <w:pPr>
      <w:numPr>
        <w:numId w:val="69"/>
      </w:numPr>
    </w:pPr>
  </w:style>
  <w:style w:type="numbering" w:customStyle="1" w:styleId="List7">
    <w:name w:val="List 7"/>
    <w:rsid w:val="00851F8D"/>
    <w:pPr>
      <w:numPr>
        <w:numId w:val="8"/>
      </w:numPr>
    </w:pPr>
  </w:style>
  <w:style w:type="numbering" w:customStyle="1" w:styleId="List18">
    <w:name w:val="List 18"/>
    <w:rsid w:val="00851F8D"/>
    <w:pPr>
      <w:numPr>
        <w:numId w:val="70"/>
      </w:numPr>
    </w:pPr>
  </w:style>
  <w:style w:type="numbering" w:customStyle="1" w:styleId="List22">
    <w:name w:val="List 22"/>
    <w:rsid w:val="00851F8D"/>
    <w:pPr>
      <w:numPr>
        <w:numId w:val="71"/>
      </w:numPr>
    </w:pPr>
  </w:style>
  <w:style w:type="numbering" w:customStyle="1" w:styleId="List47">
    <w:name w:val="List 47"/>
    <w:rsid w:val="00851F8D"/>
    <w:pPr>
      <w:numPr>
        <w:numId w:val="72"/>
      </w:numPr>
    </w:pPr>
  </w:style>
  <w:style w:type="numbering" w:customStyle="1" w:styleId="List28">
    <w:name w:val="List 28"/>
    <w:rsid w:val="00851F8D"/>
    <w:pPr>
      <w:numPr>
        <w:numId w:val="73"/>
      </w:numPr>
    </w:pPr>
  </w:style>
  <w:style w:type="numbering" w:customStyle="1" w:styleId="List10">
    <w:name w:val="List 10"/>
    <w:rsid w:val="00851F8D"/>
    <w:pPr>
      <w:numPr>
        <w:numId w:val="11"/>
      </w:numPr>
    </w:pPr>
  </w:style>
  <w:style w:type="numbering" w:customStyle="1" w:styleId="List0">
    <w:name w:val="List 0"/>
    <w:rsid w:val="00851F8D"/>
    <w:pPr>
      <w:numPr>
        <w:numId w:val="74"/>
      </w:numPr>
    </w:pPr>
  </w:style>
  <w:style w:type="numbering" w:customStyle="1" w:styleId="List30">
    <w:name w:val="List 30"/>
    <w:rsid w:val="00851F8D"/>
    <w:pPr>
      <w:numPr>
        <w:numId w:val="75"/>
      </w:numPr>
    </w:pPr>
  </w:style>
  <w:style w:type="numbering" w:customStyle="1" w:styleId="List29">
    <w:name w:val="List 29"/>
    <w:rsid w:val="00851F8D"/>
    <w:pPr>
      <w:numPr>
        <w:numId w:val="77"/>
      </w:numPr>
    </w:pPr>
  </w:style>
  <w:style w:type="numbering" w:customStyle="1" w:styleId="List38">
    <w:name w:val="List 38"/>
    <w:rsid w:val="00851F8D"/>
    <w:pPr>
      <w:numPr>
        <w:numId w:val="78"/>
      </w:numPr>
    </w:pPr>
  </w:style>
  <w:style w:type="numbering" w:customStyle="1" w:styleId="List12">
    <w:name w:val="List 12"/>
    <w:rsid w:val="00851F8D"/>
    <w:pPr>
      <w:numPr>
        <w:numId w:val="79"/>
      </w:numPr>
    </w:pPr>
  </w:style>
  <w:style w:type="numbering" w:customStyle="1" w:styleId="List50">
    <w:name w:val="List 50"/>
    <w:rsid w:val="00851F8D"/>
    <w:pPr>
      <w:numPr>
        <w:numId w:val="80"/>
      </w:numPr>
    </w:pPr>
  </w:style>
  <w:style w:type="numbering" w:customStyle="1" w:styleId="List34">
    <w:name w:val="List 34"/>
    <w:rsid w:val="00851F8D"/>
    <w:pPr>
      <w:numPr>
        <w:numId w:val="54"/>
      </w:numPr>
    </w:pPr>
  </w:style>
  <w:style w:type="numbering" w:customStyle="1" w:styleId="List42">
    <w:name w:val="List 42"/>
    <w:rsid w:val="00851F8D"/>
    <w:pPr>
      <w:numPr>
        <w:numId w:val="55"/>
      </w:numPr>
    </w:pPr>
  </w:style>
  <w:style w:type="numbering" w:customStyle="1" w:styleId="List49">
    <w:name w:val="List 49"/>
    <w:rsid w:val="00851F8D"/>
    <w:pPr>
      <w:numPr>
        <w:numId w:val="82"/>
      </w:numPr>
    </w:pPr>
  </w:style>
  <w:style w:type="numbering" w:customStyle="1" w:styleId="List44">
    <w:name w:val="List 44"/>
    <w:rsid w:val="00851F8D"/>
    <w:pPr>
      <w:numPr>
        <w:numId w:val="83"/>
      </w:numPr>
    </w:pPr>
  </w:style>
  <w:style w:type="numbering" w:customStyle="1" w:styleId="List21">
    <w:name w:val="List 21"/>
    <w:rsid w:val="00851F8D"/>
    <w:pPr>
      <w:numPr>
        <w:numId w:val="95"/>
      </w:numPr>
    </w:pPr>
  </w:style>
  <w:style w:type="numbering" w:customStyle="1" w:styleId="List52">
    <w:name w:val="List 52"/>
    <w:rsid w:val="00851F8D"/>
    <w:pPr>
      <w:numPr>
        <w:numId w:val="52"/>
      </w:numPr>
    </w:pPr>
  </w:style>
  <w:style w:type="numbering" w:customStyle="1" w:styleId="List24">
    <w:name w:val="List 24"/>
    <w:rsid w:val="00851F8D"/>
    <w:pPr>
      <w:numPr>
        <w:numId w:val="56"/>
      </w:numPr>
    </w:pPr>
  </w:style>
  <w:style w:type="numbering" w:customStyle="1" w:styleId="List51">
    <w:name w:val="List 51"/>
    <w:rsid w:val="00851F8D"/>
    <w:pPr>
      <w:numPr>
        <w:numId w:val="98"/>
      </w:numPr>
    </w:pPr>
  </w:style>
  <w:style w:type="numbering" w:customStyle="1" w:styleId="List27">
    <w:name w:val="List 27"/>
    <w:rsid w:val="00851F8D"/>
    <w:pPr>
      <w:numPr>
        <w:numId w:val="84"/>
      </w:numPr>
    </w:pPr>
  </w:style>
  <w:style w:type="numbering" w:customStyle="1" w:styleId="List8">
    <w:name w:val="List 8"/>
    <w:rsid w:val="00851F8D"/>
    <w:pPr>
      <w:numPr>
        <w:numId w:val="9"/>
      </w:numPr>
    </w:pPr>
  </w:style>
  <w:style w:type="numbering" w:customStyle="1" w:styleId="List13">
    <w:name w:val="List 13"/>
    <w:rsid w:val="00851F8D"/>
    <w:pPr>
      <w:numPr>
        <w:numId w:val="85"/>
      </w:numPr>
    </w:pPr>
  </w:style>
  <w:style w:type="numbering" w:customStyle="1" w:styleId="List20">
    <w:name w:val="List 20"/>
    <w:rsid w:val="00851F8D"/>
    <w:pPr>
      <w:numPr>
        <w:numId w:val="86"/>
      </w:numPr>
    </w:pPr>
  </w:style>
  <w:style w:type="numbering" w:customStyle="1" w:styleId="List41">
    <w:name w:val="List 41"/>
    <w:rsid w:val="00851F8D"/>
    <w:pPr>
      <w:numPr>
        <w:numId w:val="87"/>
      </w:numPr>
    </w:pPr>
  </w:style>
  <w:style w:type="numbering" w:customStyle="1" w:styleId="List31">
    <w:name w:val="List 31"/>
    <w:rsid w:val="00851F8D"/>
    <w:pPr>
      <w:numPr>
        <w:numId w:val="88"/>
      </w:numPr>
    </w:pPr>
  </w:style>
  <w:style w:type="numbering" w:customStyle="1" w:styleId="List6">
    <w:name w:val="List 6"/>
    <w:rsid w:val="00851F8D"/>
    <w:pPr>
      <w:numPr>
        <w:numId w:val="7"/>
      </w:numPr>
    </w:pPr>
  </w:style>
  <w:style w:type="numbering" w:customStyle="1" w:styleId="List39">
    <w:name w:val="List 39"/>
    <w:rsid w:val="00851F8D"/>
    <w:pPr>
      <w:numPr>
        <w:numId w:val="89"/>
      </w:numPr>
    </w:pPr>
  </w:style>
  <w:style w:type="numbering" w:customStyle="1" w:styleId="List37">
    <w:name w:val="List 37"/>
    <w:rsid w:val="00851F8D"/>
    <w:pPr>
      <w:numPr>
        <w:numId w:val="90"/>
      </w:numPr>
    </w:pPr>
  </w:style>
  <w:style w:type="numbering" w:customStyle="1" w:styleId="List32">
    <w:name w:val="List 32"/>
    <w:rsid w:val="00851F8D"/>
    <w:pPr>
      <w:numPr>
        <w:numId w:val="91"/>
      </w:numPr>
    </w:pPr>
  </w:style>
  <w:style w:type="numbering" w:customStyle="1" w:styleId="List26">
    <w:name w:val="List 26"/>
    <w:rsid w:val="00851F8D"/>
    <w:pPr>
      <w:numPr>
        <w:numId w:val="92"/>
      </w:numPr>
    </w:pPr>
  </w:style>
  <w:style w:type="numbering" w:customStyle="1" w:styleId="List48">
    <w:name w:val="List 48"/>
    <w:rsid w:val="00851F8D"/>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77322">
      <w:bodyDiv w:val="1"/>
      <w:marLeft w:val="0"/>
      <w:marRight w:val="0"/>
      <w:marTop w:val="0"/>
      <w:marBottom w:val="0"/>
      <w:divBdr>
        <w:top w:val="none" w:sz="0" w:space="0" w:color="auto"/>
        <w:left w:val="none" w:sz="0" w:space="0" w:color="auto"/>
        <w:bottom w:val="none" w:sz="0" w:space="0" w:color="auto"/>
        <w:right w:val="none" w:sz="0" w:space="0" w:color="auto"/>
      </w:divBdr>
    </w:div>
    <w:div w:id="687827547">
      <w:marLeft w:val="0"/>
      <w:marRight w:val="0"/>
      <w:marTop w:val="0"/>
      <w:marBottom w:val="0"/>
      <w:divBdr>
        <w:top w:val="none" w:sz="0" w:space="0" w:color="auto"/>
        <w:left w:val="none" w:sz="0" w:space="0" w:color="auto"/>
        <w:bottom w:val="none" w:sz="0" w:space="0" w:color="auto"/>
        <w:right w:val="none" w:sz="0" w:space="0" w:color="auto"/>
      </w:divBdr>
    </w:div>
    <w:div w:id="687827548">
      <w:marLeft w:val="0"/>
      <w:marRight w:val="0"/>
      <w:marTop w:val="0"/>
      <w:marBottom w:val="0"/>
      <w:divBdr>
        <w:top w:val="none" w:sz="0" w:space="0" w:color="auto"/>
        <w:left w:val="none" w:sz="0" w:space="0" w:color="auto"/>
        <w:bottom w:val="none" w:sz="0" w:space="0" w:color="auto"/>
        <w:right w:val="none" w:sz="0" w:space="0" w:color="auto"/>
      </w:divBdr>
    </w:div>
    <w:div w:id="687827549">
      <w:marLeft w:val="0"/>
      <w:marRight w:val="0"/>
      <w:marTop w:val="0"/>
      <w:marBottom w:val="0"/>
      <w:divBdr>
        <w:top w:val="none" w:sz="0" w:space="0" w:color="auto"/>
        <w:left w:val="none" w:sz="0" w:space="0" w:color="auto"/>
        <w:bottom w:val="none" w:sz="0" w:space="0" w:color="auto"/>
        <w:right w:val="none" w:sz="0" w:space="0" w:color="auto"/>
      </w:divBdr>
    </w:div>
    <w:div w:id="687827550">
      <w:marLeft w:val="0"/>
      <w:marRight w:val="0"/>
      <w:marTop w:val="0"/>
      <w:marBottom w:val="0"/>
      <w:divBdr>
        <w:top w:val="none" w:sz="0" w:space="0" w:color="auto"/>
        <w:left w:val="none" w:sz="0" w:space="0" w:color="auto"/>
        <w:bottom w:val="none" w:sz="0" w:space="0" w:color="auto"/>
        <w:right w:val="none" w:sz="0" w:space="0" w:color="auto"/>
      </w:divBdr>
    </w:div>
    <w:div w:id="687827551">
      <w:marLeft w:val="0"/>
      <w:marRight w:val="0"/>
      <w:marTop w:val="0"/>
      <w:marBottom w:val="0"/>
      <w:divBdr>
        <w:top w:val="none" w:sz="0" w:space="0" w:color="auto"/>
        <w:left w:val="none" w:sz="0" w:space="0" w:color="auto"/>
        <w:bottom w:val="none" w:sz="0" w:space="0" w:color="auto"/>
        <w:right w:val="none" w:sz="0" w:space="0" w:color="auto"/>
      </w:divBdr>
    </w:div>
    <w:div w:id="687827552">
      <w:marLeft w:val="0"/>
      <w:marRight w:val="0"/>
      <w:marTop w:val="0"/>
      <w:marBottom w:val="0"/>
      <w:divBdr>
        <w:top w:val="none" w:sz="0" w:space="0" w:color="auto"/>
        <w:left w:val="none" w:sz="0" w:space="0" w:color="auto"/>
        <w:bottom w:val="none" w:sz="0" w:space="0" w:color="auto"/>
        <w:right w:val="none" w:sz="0" w:space="0" w:color="auto"/>
      </w:divBdr>
    </w:div>
    <w:div w:id="687827553">
      <w:marLeft w:val="0"/>
      <w:marRight w:val="0"/>
      <w:marTop w:val="0"/>
      <w:marBottom w:val="0"/>
      <w:divBdr>
        <w:top w:val="none" w:sz="0" w:space="0" w:color="auto"/>
        <w:left w:val="none" w:sz="0" w:space="0" w:color="auto"/>
        <w:bottom w:val="none" w:sz="0" w:space="0" w:color="auto"/>
        <w:right w:val="none" w:sz="0" w:space="0" w:color="auto"/>
      </w:divBdr>
    </w:div>
    <w:div w:id="8383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1351-695A-47D4-896A-1948A702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2357</Words>
  <Characters>13135</Characters>
  <Application>Microsoft Office Word</Application>
  <DocSecurity>0</DocSecurity>
  <Lines>298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129/19</dc:title>
  <dc:creator/>
  <cp:lastModifiedBy/>
  <cp:revision>1</cp:revision>
  <dcterms:created xsi:type="dcterms:W3CDTF">2019-12-08T12:02:00Z</dcterms:created>
  <dcterms:modified xsi:type="dcterms:W3CDTF">2019-12-08T12:02:00Z</dcterms:modified>
</cp:coreProperties>
</file>