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92732" w14:textId="742A0D9B" w:rsidR="00040C3A" w:rsidRPr="003C32BC" w:rsidRDefault="006311DA" w:rsidP="000F1855">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51072" behindDoc="0" locked="0" layoutInCell="1" allowOverlap="1" wp14:anchorId="1E8FEB72" wp14:editId="4A914533">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07544" id="Rectangle 1" o:spid="_x0000_s1026" style="position:absolute;margin-left:-32.75pt;margin-top:-28.1pt;width:111pt;height:70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52096" behindDoc="0" locked="0" layoutInCell="1" allowOverlap="1" wp14:anchorId="779C0B90" wp14:editId="38748B46">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4174E" w14:textId="77777777" w:rsidR="00CB2660" w:rsidRDefault="002C1641">
                            <w:r>
                              <w:rPr>
                                <w:noProof/>
                              </w:rPr>
                              <w:drawing>
                                <wp:inline distT="0" distB="0" distL="0" distR="0" wp14:anchorId="1E7DADD1" wp14:editId="5681F80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C0B90"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1E04174E" w14:textId="77777777" w:rsidR="00CB2660" w:rsidRDefault="002C1641">
                      <w:r>
                        <w:rPr>
                          <w:noProof/>
                        </w:rPr>
                        <w:drawing>
                          <wp:inline distT="0" distB="0" distL="0" distR="0" wp14:anchorId="1E7DADD1" wp14:editId="5681F80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8F18A33" w14:textId="081288D9" w:rsidR="00040C3A" w:rsidRPr="003C32BC" w:rsidRDefault="00040C3A" w:rsidP="00040C3A">
      <w:pPr>
        <w:tabs>
          <w:tab w:val="center" w:pos="5400"/>
        </w:tabs>
        <w:suppressAutoHyphens/>
        <w:jc w:val="both"/>
        <w:rPr>
          <w:rFonts w:asciiTheme="majorHAnsi" w:hAnsiTheme="majorHAnsi"/>
          <w:sz w:val="22"/>
          <w:szCs w:val="22"/>
          <w:lang w:val="es-ES"/>
        </w:rPr>
      </w:pPr>
    </w:p>
    <w:p w14:paraId="354F829F" w14:textId="2C17088F" w:rsidR="00040C3A" w:rsidRPr="003C32BC" w:rsidRDefault="00040C3A" w:rsidP="00040C3A">
      <w:pPr>
        <w:tabs>
          <w:tab w:val="center" w:pos="5400"/>
        </w:tabs>
        <w:suppressAutoHyphens/>
        <w:jc w:val="both"/>
        <w:rPr>
          <w:rFonts w:asciiTheme="majorHAnsi" w:hAnsiTheme="majorHAnsi"/>
          <w:sz w:val="22"/>
          <w:szCs w:val="22"/>
          <w:lang w:val="es-ES"/>
        </w:rPr>
      </w:pPr>
    </w:p>
    <w:p w14:paraId="4652DB2A" w14:textId="23F0D6E4" w:rsidR="005128E4" w:rsidRPr="003C32BC" w:rsidRDefault="005128E4" w:rsidP="00040C3A">
      <w:pPr>
        <w:tabs>
          <w:tab w:val="center" w:pos="5400"/>
        </w:tabs>
        <w:suppressAutoHyphens/>
        <w:rPr>
          <w:rFonts w:asciiTheme="majorHAnsi" w:hAnsiTheme="majorHAnsi"/>
          <w:sz w:val="22"/>
          <w:szCs w:val="22"/>
          <w:lang w:val="es-ES_tradnl"/>
        </w:rPr>
      </w:pPr>
    </w:p>
    <w:p w14:paraId="73AEA615" w14:textId="253B783F" w:rsidR="005128E4" w:rsidRPr="003C32BC" w:rsidRDefault="005128E4" w:rsidP="00040C3A">
      <w:pPr>
        <w:tabs>
          <w:tab w:val="center" w:pos="5400"/>
        </w:tabs>
        <w:suppressAutoHyphens/>
        <w:rPr>
          <w:rFonts w:asciiTheme="majorHAnsi" w:hAnsiTheme="majorHAnsi"/>
          <w:sz w:val="22"/>
          <w:szCs w:val="22"/>
          <w:lang w:val="es-ES_tradnl"/>
        </w:rPr>
      </w:pPr>
    </w:p>
    <w:p w14:paraId="0E266CF1" w14:textId="6A7681F1" w:rsidR="005128E4" w:rsidRPr="003C32BC" w:rsidRDefault="005128E4" w:rsidP="00040C3A">
      <w:pPr>
        <w:tabs>
          <w:tab w:val="center" w:pos="5400"/>
        </w:tabs>
        <w:suppressAutoHyphens/>
        <w:rPr>
          <w:rFonts w:asciiTheme="majorHAnsi" w:hAnsiTheme="majorHAnsi"/>
          <w:sz w:val="22"/>
          <w:szCs w:val="22"/>
          <w:lang w:val="es-ES_tradnl"/>
        </w:rPr>
      </w:pPr>
    </w:p>
    <w:p w14:paraId="732E1005" w14:textId="78B43292" w:rsidR="00040C3A" w:rsidRPr="003C32BC" w:rsidRDefault="00040C3A" w:rsidP="005128E4">
      <w:pPr>
        <w:tabs>
          <w:tab w:val="center" w:pos="5400"/>
        </w:tabs>
        <w:suppressAutoHyphens/>
        <w:jc w:val="center"/>
        <w:rPr>
          <w:rFonts w:asciiTheme="majorHAnsi" w:hAnsiTheme="majorHAnsi"/>
          <w:sz w:val="22"/>
          <w:szCs w:val="22"/>
          <w:lang w:val="es-ES_tradnl"/>
        </w:rPr>
      </w:pPr>
    </w:p>
    <w:p w14:paraId="4929920B"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AD47E2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4F83C97" w14:textId="252C0A37" w:rsidR="005B52B0" w:rsidRPr="003C32BC" w:rsidRDefault="005B52B0" w:rsidP="005128E4">
      <w:pPr>
        <w:tabs>
          <w:tab w:val="center" w:pos="5400"/>
        </w:tabs>
        <w:suppressAutoHyphens/>
        <w:jc w:val="center"/>
        <w:rPr>
          <w:rFonts w:asciiTheme="majorHAnsi" w:hAnsiTheme="majorHAnsi"/>
          <w:sz w:val="22"/>
          <w:szCs w:val="22"/>
          <w:lang w:val="es-ES_tradnl"/>
        </w:rPr>
      </w:pPr>
    </w:p>
    <w:p w14:paraId="62393CF4" w14:textId="5448C027" w:rsidR="005B52B0" w:rsidRPr="003C32BC" w:rsidRDefault="005B52B0" w:rsidP="005128E4">
      <w:pPr>
        <w:tabs>
          <w:tab w:val="center" w:pos="5400"/>
        </w:tabs>
        <w:suppressAutoHyphens/>
        <w:jc w:val="center"/>
        <w:rPr>
          <w:rFonts w:asciiTheme="majorHAnsi" w:hAnsiTheme="majorHAnsi"/>
          <w:sz w:val="22"/>
          <w:szCs w:val="22"/>
          <w:lang w:val="es-ES_tradnl"/>
        </w:rPr>
      </w:pPr>
    </w:p>
    <w:p w14:paraId="48E43D2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70AB2D8" w14:textId="2B34FE7B" w:rsidR="00040C3A" w:rsidRPr="003C32BC" w:rsidRDefault="00040C3A" w:rsidP="00040C3A">
      <w:pPr>
        <w:tabs>
          <w:tab w:val="center" w:pos="5400"/>
        </w:tabs>
        <w:suppressAutoHyphens/>
        <w:jc w:val="center"/>
        <w:rPr>
          <w:rFonts w:asciiTheme="majorHAnsi" w:hAnsiTheme="majorHAnsi"/>
          <w:sz w:val="22"/>
          <w:szCs w:val="22"/>
          <w:lang w:val="es-ES_tradnl"/>
        </w:rPr>
      </w:pPr>
    </w:p>
    <w:p w14:paraId="707BF2B7" w14:textId="675E4A77" w:rsidR="00040C3A" w:rsidRPr="003C32BC" w:rsidRDefault="003D407C"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49024" behindDoc="0" locked="0" layoutInCell="1" allowOverlap="1" wp14:anchorId="4CFB30C4" wp14:editId="0103F841">
                <wp:simplePos x="0" y="0"/>
                <wp:positionH relativeFrom="column">
                  <wp:posOffset>-809625</wp:posOffset>
                </wp:positionH>
                <wp:positionV relativeFrom="paragraph">
                  <wp:posOffset>290195</wp:posOffset>
                </wp:positionV>
                <wp:extent cx="177228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77228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67C27" w14:textId="5AC7F235" w:rsidR="00627C9F" w:rsidRPr="003D407C" w:rsidRDefault="009E566A" w:rsidP="009E566A">
                            <w:pPr>
                              <w:jc w:val="right"/>
                              <w:rPr>
                                <w:rFonts w:asciiTheme="minorHAnsi" w:hAnsiTheme="minorHAnsi"/>
                                <w:color w:val="FFFFFF" w:themeColor="background1"/>
                                <w:sz w:val="22"/>
                                <w:lang w:val="pt-BR"/>
                              </w:rPr>
                            </w:pPr>
                            <w:r w:rsidRPr="003D407C">
                              <w:rPr>
                                <w:rFonts w:asciiTheme="minorHAnsi" w:hAnsiTheme="minorHAnsi"/>
                                <w:color w:val="FFFFFF" w:themeColor="background1"/>
                                <w:sz w:val="22"/>
                                <w:lang w:val="pt-BR"/>
                              </w:rPr>
                              <w:t>OEA/Ser.L/V/II.</w:t>
                            </w:r>
                          </w:p>
                          <w:p w14:paraId="10E5837E" w14:textId="00B03091" w:rsidR="00627C9F" w:rsidRPr="003D407C" w:rsidRDefault="00CA6577" w:rsidP="009E566A">
                            <w:pPr>
                              <w:jc w:val="right"/>
                              <w:rPr>
                                <w:rFonts w:asciiTheme="minorHAnsi" w:hAnsiTheme="minorHAnsi"/>
                                <w:color w:val="FFFFFF" w:themeColor="background1"/>
                                <w:sz w:val="22"/>
                                <w:lang w:val="pt-BR"/>
                              </w:rPr>
                            </w:pPr>
                            <w:r w:rsidRPr="003D407C">
                              <w:rPr>
                                <w:rFonts w:asciiTheme="minorHAnsi" w:hAnsiTheme="minorHAnsi"/>
                                <w:color w:val="FFFFFF" w:themeColor="background1"/>
                                <w:sz w:val="22"/>
                                <w:lang w:val="pt-BR"/>
                              </w:rPr>
                              <w:t xml:space="preserve">Doc. </w:t>
                            </w:r>
                            <w:r w:rsidR="003D407C" w:rsidRPr="003D407C">
                              <w:rPr>
                                <w:rFonts w:asciiTheme="minorHAnsi" w:hAnsiTheme="minorHAnsi"/>
                                <w:color w:val="FFFFFF" w:themeColor="background1"/>
                                <w:sz w:val="22"/>
                                <w:lang w:val="pt-BR"/>
                              </w:rPr>
                              <w:t>241</w:t>
                            </w:r>
                          </w:p>
                          <w:p w14:paraId="4FF22967" w14:textId="6084740B" w:rsidR="00627C9F" w:rsidRPr="003D407C" w:rsidRDefault="00022CF5" w:rsidP="009E566A">
                            <w:pPr>
                              <w:jc w:val="right"/>
                              <w:rPr>
                                <w:rFonts w:asciiTheme="minorHAnsi" w:hAnsiTheme="minorHAnsi"/>
                                <w:color w:val="FFFFFF" w:themeColor="background1"/>
                                <w:sz w:val="22"/>
                              </w:rPr>
                            </w:pPr>
                            <w:r w:rsidRPr="003D407C">
                              <w:rPr>
                                <w:rFonts w:asciiTheme="minorHAnsi" w:hAnsiTheme="minorHAnsi"/>
                                <w:color w:val="FFFFFF" w:themeColor="background1"/>
                                <w:sz w:val="22"/>
                                <w:lang w:val="pt-BR"/>
                              </w:rPr>
                              <w:t xml:space="preserve"> </w:t>
                            </w:r>
                            <w:r w:rsidR="003D407C" w:rsidRPr="003D407C">
                              <w:rPr>
                                <w:rFonts w:asciiTheme="minorHAnsi" w:hAnsiTheme="minorHAnsi"/>
                                <w:color w:val="FFFFFF" w:themeColor="background1"/>
                                <w:sz w:val="22"/>
                              </w:rPr>
                              <w:t xml:space="preserve">11 September </w:t>
                            </w:r>
                            <w:r w:rsidR="00F42B71" w:rsidRPr="003D407C">
                              <w:rPr>
                                <w:rFonts w:asciiTheme="minorHAnsi" w:hAnsiTheme="minorHAnsi"/>
                                <w:color w:val="FFFFFF" w:themeColor="background1"/>
                                <w:sz w:val="22"/>
                              </w:rPr>
                              <w:t>2</w:t>
                            </w:r>
                            <w:r w:rsidR="000F1855" w:rsidRPr="003D407C">
                              <w:rPr>
                                <w:rFonts w:asciiTheme="minorHAnsi" w:hAnsiTheme="minorHAnsi"/>
                                <w:color w:val="FFFFFF" w:themeColor="background1"/>
                                <w:sz w:val="22"/>
                              </w:rPr>
                              <w:t>019</w:t>
                            </w:r>
                          </w:p>
                          <w:p w14:paraId="182B3835" w14:textId="59B0546A" w:rsidR="00627C9F" w:rsidRPr="004B7EB6" w:rsidRDefault="00627C9F" w:rsidP="009E566A">
                            <w:pPr>
                              <w:jc w:val="right"/>
                              <w:rPr>
                                <w:rFonts w:asciiTheme="minorHAnsi" w:hAnsiTheme="minorHAnsi"/>
                                <w:color w:val="FFFFFF" w:themeColor="background1"/>
                                <w:sz w:val="22"/>
                              </w:rPr>
                            </w:pPr>
                            <w:r w:rsidRPr="003D407C">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0F1855">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B30C4" id="Text Box 8" o:spid="_x0000_s1027" type="#_x0000_t202" style="position:absolute;left:0;text-align:left;margin-left:-63.75pt;margin-top:22.85pt;width:139.55pt;height:108.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" filled="f" stroked="f" strokeweight=".5pt">
                <v:textbox>
                  <w:txbxContent>
                    <w:p w14:paraId="00567C27" w14:textId="5AC7F235" w:rsidR="00627C9F" w:rsidRPr="003D407C" w:rsidRDefault="009E566A" w:rsidP="009E566A">
                      <w:pPr>
                        <w:jc w:val="right"/>
                        <w:rPr>
                          <w:rFonts w:asciiTheme="minorHAnsi" w:hAnsiTheme="minorHAnsi"/>
                          <w:color w:val="FFFFFF" w:themeColor="background1"/>
                          <w:sz w:val="22"/>
                          <w:lang w:val="pt-BR"/>
                        </w:rPr>
                      </w:pPr>
                      <w:r w:rsidRPr="003D407C">
                        <w:rPr>
                          <w:rFonts w:asciiTheme="minorHAnsi" w:hAnsiTheme="minorHAnsi"/>
                          <w:color w:val="FFFFFF" w:themeColor="background1"/>
                          <w:sz w:val="22"/>
                          <w:lang w:val="pt-BR"/>
                        </w:rPr>
                        <w:t>OEA/Ser.L/V/II.</w:t>
                      </w:r>
                    </w:p>
                    <w:p w14:paraId="10E5837E" w14:textId="00B03091" w:rsidR="00627C9F" w:rsidRPr="003D407C" w:rsidRDefault="00CA6577" w:rsidP="009E566A">
                      <w:pPr>
                        <w:jc w:val="right"/>
                        <w:rPr>
                          <w:rFonts w:asciiTheme="minorHAnsi" w:hAnsiTheme="minorHAnsi"/>
                          <w:color w:val="FFFFFF" w:themeColor="background1"/>
                          <w:sz w:val="22"/>
                          <w:lang w:val="pt-BR"/>
                        </w:rPr>
                      </w:pPr>
                      <w:r w:rsidRPr="003D407C">
                        <w:rPr>
                          <w:rFonts w:asciiTheme="minorHAnsi" w:hAnsiTheme="minorHAnsi"/>
                          <w:color w:val="FFFFFF" w:themeColor="background1"/>
                          <w:sz w:val="22"/>
                          <w:lang w:val="pt-BR"/>
                        </w:rPr>
                        <w:t xml:space="preserve">Doc. </w:t>
                      </w:r>
                      <w:r w:rsidR="003D407C" w:rsidRPr="003D407C">
                        <w:rPr>
                          <w:rFonts w:asciiTheme="minorHAnsi" w:hAnsiTheme="minorHAnsi"/>
                          <w:color w:val="FFFFFF" w:themeColor="background1"/>
                          <w:sz w:val="22"/>
                          <w:lang w:val="pt-BR"/>
                        </w:rPr>
                        <w:t>241</w:t>
                      </w:r>
                    </w:p>
                    <w:p w14:paraId="4FF22967" w14:textId="6084740B" w:rsidR="00627C9F" w:rsidRPr="003D407C" w:rsidRDefault="00022CF5" w:rsidP="009E566A">
                      <w:pPr>
                        <w:jc w:val="right"/>
                        <w:rPr>
                          <w:rFonts w:asciiTheme="minorHAnsi" w:hAnsiTheme="minorHAnsi"/>
                          <w:color w:val="FFFFFF" w:themeColor="background1"/>
                          <w:sz w:val="22"/>
                        </w:rPr>
                      </w:pPr>
                      <w:r w:rsidRPr="003D407C">
                        <w:rPr>
                          <w:rFonts w:asciiTheme="minorHAnsi" w:hAnsiTheme="minorHAnsi"/>
                          <w:color w:val="FFFFFF" w:themeColor="background1"/>
                          <w:sz w:val="22"/>
                          <w:lang w:val="pt-BR"/>
                        </w:rPr>
                        <w:t xml:space="preserve"> </w:t>
                      </w:r>
                      <w:r w:rsidR="003D407C" w:rsidRPr="003D407C">
                        <w:rPr>
                          <w:rFonts w:asciiTheme="minorHAnsi" w:hAnsiTheme="minorHAnsi"/>
                          <w:color w:val="FFFFFF" w:themeColor="background1"/>
                          <w:sz w:val="22"/>
                        </w:rPr>
                        <w:t xml:space="preserve">11 September </w:t>
                      </w:r>
                      <w:r w:rsidR="00F42B71" w:rsidRPr="003D407C">
                        <w:rPr>
                          <w:rFonts w:asciiTheme="minorHAnsi" w:hAnsiTheme="minorHAnsi"/>
                          <w:color w:val="FFFFFF" w:themeColor="background1"/>
                          <w:sz w:val="22"/>
                        </w:rPr>
                        <w:t>2</w:t>
                      </w:r>
                      <w:r w:rsidR="000F1855" w:rsidRPr="003D407C">
                        <w:rPr>
                          <w:rFonts w:asciiTheme="minorHAnsi" w:hAnsiTheme="minorHAnsi"/>
                          <w:color w:val="FFFFFF" w:themeColor="background1"/>
                          <w:sz w:val="22"/>
                        </w:rPr>
                        <w:t>019</w:t>
                      </w:r>
                    </w:p>
                    <w:p w14:paraId="182B3835" w14:textId="59B0546A" w:rsidR="00627C9F" w:rsidRPr="004B7EB6" w:rsidRDefault="00627C9F" w:rsidP="009E566A">
                      <w:pPr>
                        <w:jc w:val="right"/>
                        <w:rPr>
                          <w:rFonts w:asciiTheme="minorHAnsi" w:hAnsiTheme="minorHAnsi"/>
                          <w:color w:val="FFFFFF" w:themeColor="background1"/>
                          <w:sz w:val="22"/>
                        </w:rPr>
                      </w:pPr>
                      <w:r w:rsidRPr="003D407C">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0F1855">
                        <w:rPr>
                          <w:rFonts w:asciiTheme="minorHAnsi" w:hAnsiTheme="minorHAnsi"/>
                          <w:color w:val="FFFFFF" w:themeColor="background1"/>
                          <w:sz w:val="22"/>
                        </w:rPr>
                        <w:t>Spanish</w:t>
                      </w:r>
                    </w:p>
                  </w:txbxContent>
                </v:textbox>
              </v:shape>
            </w:pict>
          </mc:Fallback>
        </mc:AlternateContent>
      </w:r>
    </w:p>
    <w:p w14:paraId="5E1B4632" w14:textId="275B9F88" w:rsidR="00040C3A" w:rsidRPr="003C32BC" w:rsidRDefault="003F22CC" w:rsidP="00040C3A">
      <w:pPr>
        <w:tabs>
          <w:tab w:val="center" w:pos="5400"/>
        </w:tabs>
        <w:suppressAutoHyphens/>
        <w:jc w:val="center"/>
        <w:rPr>
          <w:rFonts w:asciiTheme="majorHAnsi" w:hAnsiTheme="majorHAnsi"/>
          <w:sz w:val="22"/>
          <w:szCs w:val="22"/>
          <w:lang w:val="es-ES_tradnl"/>
        </w:rPr>
      </w:pPr>
      <w:r w:rsidRPr="00CE14B7">
        <w:rPr>
          <w:rFonts w:asciiTheme="majorHAnsi" w:hAnsiTheme="majorHAnsi"/>
          <w:noProof/>
          <w:sz w:val="22"/>
          <w:szCs w:val="22"/>
        </w:rPr>
        <mc:AlternateContent>
          <mc:Choice Requires="wps">
            <w:drawing>
              <wp:anchor distT="0" distB="0" distL="114300" distR="114300" simplePos="0" relativeHeight="251672576" behindDoc="0" locked="0" layoutInCell="1" allowOverlap="1" wp14:anchorId="4F7C3054" wp14:editId="09DA2F25">
                <wp:simplePos x="0" y="0"/>
                <wp:positionH relativeFrom="column">
                  <wp:posOffset>-476250</wp:posOffset>
                </wp:positionH>
                <wp:positionV relativeFrom="paragraph">
                  <wp:posOffset>126365</wp:posOffset>
                </wp:positionV>
                <wp:extent cx="1467485" cy="1377315"/>
                <wp:effectExtent l="0" t="0" r="0" b="0"/>
                <wp:wrapNone/>
                <wp:docPr id="6" name="Text Box 6"/>
                <wp:cNvGraphicFramePr/>
                <a:graphic xmlns:a="http://schemas.openxmlformats.org/drawingml/2006/main">
                  <a:graphicData uri="http://schemas.microsoft.com/office/word/2010/wordprocessingShape">
                    <wps:wsp>
                      <wps:cNvSpPr txBox="1"/>
                      <wps:spPr>
                        <a:xfrm>
                          <a:off x="0" y="0"/>
                          <a:ext cx="146748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349AF4" w14:textId="77777777" w:rsidR="003F22CC" w:rsidRPr="00052CDD" w:rsidRDefault="003F22CC" w:rsidP="007460C8">
                            <w:pPr>
                              <w:spacing w:line="360" w:lineRule="auto"/>
                              <w:jc w:val="right"/>
                              <w:rPr>
                                <w:rFonts w:asciiTheme="minorHAnsi" w:hAnsiTheme="minorHAnsi"/>
                                <w:color w:val="FFFFFF" w:themeColor="background1"/>
                                <w:sz w:val="22"/>
                                <w:lang w:val="pt-BR"/>
                              </w:rPr>
                            </w:pPr>
                            <w:r w:rsidRPr="00052CDD">
                              <w:rPr>
                                <w:rFonts w:asciiTheme="minorHAnsi" w:hAnsiTheme="minorHAnsi"/>
                                <w:color w:val="FFFFFF" w:themeColor="background1"/>
                                <w:sz w:val="22"/>
                                <w:lang w:val="pt-BR"/>
                              </w:rPr>
                              <w:t>OEA/Ser.L/V/II.</w:t>
                            </w:r>
                          </w:p>
                          <w:p w14:paraId="04294C39" w14:textId="163AA40F" w:rsidR="003F22CC" w:rsidRPr="00052CDD" w:rsidRDefault="003F22CC" w:rsidP="007460C8">
                            <w:pPr>
                              <w:spacing w:line="360" w:lineRule="auto"/>
                              <w:jc w:val="right"/>
                              <w:rPr>
                                <w:rFonts w:asciiTheme="minorHAnsi" w:hAnsiTheme="minorHAnsi"/>
                                <w:color w:val="FFFFFF" w:themeColor="background1"/>
                                <w:sz w:val="22"/>
                                <w:lang w:val="pt-BR"/>
                              </w:rPr>
                            </w:pPr>
                            <w:r w:rsidRPr="00052CDD">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241</w:t>
                            </w:r>
                          </w:p>
                          <w:p w14:paraId="3F5DE86B" w14:textId="32A798E8" w:rsidR="003F22CC" w:rsidRPr="00052CDD" w:rsidRDefault="003F22CC" w:rsidP="007460C8">
                            <w:pPr>
                              <w:spacing w:line="360" w:lineRule="auto"/>
                              <w:jc w:val="right"/>
                              <w:rPr>
                                <w:rFonts w:asciiTheme="minorHAnsi" w:hAnsiTheme="minorHAnsi"/>
                                <w:color w:val="FFFFFF" w:themeColor="background1"/>
                                <w:sz w:val="22"/>
                              </w:rPr>
                            </w:pPr>
                            <w:r w:rsidRPr="00052CDD">
                              <w:rPr>
                                <w:rFonts w:asciiTheme="minorHAnsi" w:hAnsiTheme="minorHAnsi"/>
                                <w:color w:val="FFFFFF" w:themeColor="background1"/>
                                <w:sz w:val="22"/>
                                <w:lang w:val="pt-BR"/>
                              </w:rPr>
                              <w:t xml:space="preserve"> </w:t>
                            </w:r>
                            <w:r>
                              <w:rPr>
                                <w:rFonts w:asciiTheme="minorHAnsi" w:hAnsiTheme="minorHAnsi"/>
                                <w:color w:val="FFFFFF" w:themeColor="background1"/>
                                <w:sz w:val="22"/>
                              </w:rPr>
                              <w:t>11</w:t>
                            </w:r>
                            <w:r w:rsidRPr="00052CDD">
                              <w:rPr>
                                <w:rFonts w:asciiTheme="minorHAnsi" w:hAnsiTheme="minorHAnsi"/>
                                <w:color w:val="FFFFFF" w:themeColor="background1"/>
                                <w:sz w:val="22"/>
                              </w:rPr>
                              <w:t xml:space="preserve"> </w:t>
                            </w:r>
                            <w:r>
                              <w:rPr>
                                <w:rFonts w:asciiTheme="minorHAnsi" w:hAnsiTheme="minorHAnsi"/>
                                <w:color w:val="FFFFFF" w:themeColor="background1"/>
                                <w:sz w:val="22"/>
                              </w:rPr>
                              <w:t>September</w:t>
                            </w:r>
                            <w:r w:rsidRPr="00052CDD">
                              <w:rPr>
                                <w:rFonts w:asciiTheme="minorHAnsi" w:hAnsiTheme="minorHAnsi"/>
                                <w:color w:val="FFFFFF" w:themeColor="background1"/>
                                <w:sz w:val="22"/>
                              </w:rPr>
                              <w:t xml:space="preserve"> 2019</w:t>
                            </w:r>
                          </w:p>
                          <w:p w14:paraId="10AA362D" w14:textId="77777777" w:rsidR="003F22CC" w:rsidRPr="00052CDD" w:rsidRDefault="003F22CC" w:rsidP="007460C8">
                            <w:pPr>
                              <w:spacing w:line="360" w:lineRule="auto"/>
                              <w:jc w:val="right"/>
                              <w:rPr>
                                <w:rFonts w:asciiTheme="minorHAnsi" w:hAnsiTheme="minorHAnsi"/>
                                <w:color w:val="FFFFFF" w:themeColor="background1"/>
                                <w:sz w:val="22"/>
                              </w:rPr>
                            </w:pPr>
                            <w:r w:rsidRPr="00052CDD">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C3054" id="Text Box 6" o:spid="_x0000_s1028" type="#_x0000_t202" style="position:absolute;left:0;text-align:left;margin-left:-37.5pt;margin-top:9.95pt;width:115.55pt;height:10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" filled="f" stroked="f" strokeweight=".5pt">
                <v:textbox>
                  <w:txbxContent>
                    <w:p w14:paraId="33349AF4" w14:textId="77777777" w:rsidR="003F22CC" w:rsidRPr="00052CDD" w:rsidRDefault="003F22CC" w:rsidP="007460C8">
                      <w:pPr>
                        <w:spacing w:line="360" w:lineRule="auto"/>
                        <w:jc w:val="right"/>
                        <w:rPr>
                          <w:rFonts w:asciiTheme="minorHAnsi" w:hAnsiTheme="minorHAnsi"/>
                          <w:color w:val="FFFFFF" w:themeColor="background1"/>
                          <w:sz w:val="22"/>
                          <w:lang w:val="pt-BR"/>
                        </w:rPr>
                      </w:pPr>
                      <w:r w:rsidRPr="00052CDD">
                        <w:rPr>
                          <w:rFonts w:asciiTheme="minorHAnsi" w:hAnsiTheme="minorHAnsi"/>
                          <w:color w:val="FFFFFF" w:themeColor="background1"/>
                          <w:sz w:val="22"/>
                          <w:lang w:val="pt-BR"/>
                        </w:rPr>
                        <w:t>OEA/Ser.L/V/II.</w:t>
                      </w:r>
                    </w:p>
                    <w:p w14:paraId="04294C39" w14:textId="163AA40F" w:rsidR="003F22CC" w:rsidRPr="00052CDD" w:rsidRDefault="003F22CC" w:rsidP="007460C8">
                      <w:pPr>
                        <w:spacing w:line="360" w:lineRule="auto"/>
                        <w:jc w:val="right"/>
                        <w:rPr>
                          <w:rFonts w:asciiTheme="minorHAnsi" w:hAnsiTheme="minorHAnsi"/>
                          <w:color w:val="FFFFFF" w:themeColor="background1"/>
                          <w:sz w:val="22"/>
                          <w:lang w:val="pt-BR"/>
                        </w:rPr>
                      </w:pPr>
                      <w:r w:rsidRPr="00052CDD">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241</w:t>
                      </w:r>
                    </w:p>
                    <w:p w14:paraId="3F5DE86B" w14:textId="32A798E8" w:rsidR="003F22CC" w:rsidRPr="00052CDD" w:rsidRDefault="003F22CC" w:rsidP="007460C8">
                      <w:pPr>
                        <w:spacing w:line="360" w:lineRule="auto"/>
                        <w:jc w:val="right"/>
                        <w:rPr>
                          <w:rFonts w:asciiTheme="minorHAnsi" w:hAnsiTheme="minorHAnsi"/>
                          <w:color w:val="FFFFFF" w:themeColor="background1"/>
                          <w:sz w:val="22"/>
                        </w:rPr>
                      </w:pPr>
                      <w:r w:rsidRPr="00052CDD">
                        <w:rPr>
                          <w:rFonts w:asciiTheme="minorHAnsi" w:hAnsiTheme="minorHAnsi"/>
                          <w:color w:val="FFFFFF" w:themeColor="background1"/>
                          <w:sz w:val="22"/>
                          <w:lang w:val="pt-BR"/>
                        </w:rPr>
                        <w:t xml:space="preserve"> </w:t>
                      </w:r>
                      <w:r>
                        <w:rPr>
                          <w:rFonts w:asciiTheme="minorHAnsi" w:hAnsiTheme="minorHAnsi"/>
                          <w:color w:val="FFFFFF" w:themeColor="background1"/>
                          <w:sz w:val="22"/>
                        </w:rPr>
                        <w:t>11</w:t>
                      </w:r>
                      <w:r w:rsidRPr="00052CDD">
                        <w:rPr>
                          <w:rFonts w:asciiTheme="minorHAnsi" w:hAnsiTheme="minorHAnsi"/>
                          <w:color w:val="FFFFFF" w:themeColor="background1"/>
                          <w:sz w:val="22"/>
                        </w:rPr>
                        <w:t xml:space="preserve"> </w:t>
                      </w:r>
                      <w:r>
                        <w:rPr>
                          <w:rFonts w:asciiTheme="minorHAnsi" w:hAnsiTheme="minorHAnsi"/>
                          <w:color w:val="FFFFFF" w:themeColor="background1"/>
                          <w:sz w:val="22"/>
                        </w:rPr>
                        <w:t>September</w:t>
                      </w:r>
                      <w:r w:rsidRPr="00052CDD">
                        <w:rPr>
                          <w:rFonts w:asciiTheme="minorHAnsi" w:hAnsiTheme="minorHAnsi"/>
                          <w:color w:val="FFFFFF" w:themeColor="background1"/>
                          <w:sz w:val="22"/>
                        </w:rPr>
                        <w:t xml:space="preserve"> 2019</w:t>
                      </w:r>
                    </w:p>
                    <w:p w14:paraId="10AA362D" w14:textId="77777777" w:rsidR="003F22CC" w:rsidRPr="00052CDD" w:rsidRDefault="003F22CC" w:rsidP="007460C8">
                      <w:pPr>
                        <w:spacing w:line="360" w:lineRule="auto"/>
                        <w:jc w:val="right"/>
                        <w:rPr>
                          <w:rFonts w:asciiTheme="minorHAnsi" w:hAnsiTheme="minorHAnsi"/>
                          <w:color w:val="FFFFFF" w:themeColor="background1"/>
                          <w:sz w:val="22"/>
                        </w:rPr>
                      </w:pPr>
                      <w:r w:rsidRPr="00052CDD">
                        <w:rPr>
                          <w:rFonts w:asciiTheme="minorHAnsi" w:hAnsiTheme="minorHAnsi"/>
                          <w:color w:val="FFFFFF" w:themeColor="background1"/>
                          <w:sz w:val="22"/>
                        </w:rPr>
                        <w:t>Original: Spanish</w:t>
                      </w:r>
                    </w:p>
                  </w:txbxContent>
                </v:textbox>
              </v:shape>
            </w:pict>
          </mc:Fallback>
        </mc:AlternateContent>
      </w:r>
      <w:r w:rsidR="00E533FF" w:rsidRPr="003C32BC">
        <w:rPr>
          <w:rFonts w:asciiTheme="majorHAnsi" w:hAnsiTheme="majorHAnsi"/>
          <w:noProof/>
          <w:sz w:val="22"/>
          <w:szCs w:val="22"/>
        </w:rPr>
        <mc:AlternateContent>
          <mc:Choice Requires="wps">
            <w:drawing>
              <wp:anchor distT="0" distB="0" distL="114300" distR="114300" simplePos="0" relativeHeight="251643904" behindDoc="0" locked="0" layoutInCell="1" allowOverlap="1" wp14:anchorId="6A0FCEEC" wp14:editId="48516B96">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F0BA0" w14:textId="38B98331"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D407C">
                              <w:rPr>
                                <w:rFonts w:asciiTheme="majorHAnsi" w:hAnsiTheme="majorHAnsi" w:cs="Arial"/>
                                <w:b/>
                                <w:bCs/>
                                <w:color w:val="0D0D0D" w:themeColor="text1" w:themeTint="F2"/>
                                <w:sz w:val="36"/>
                                <w:szCs w:val="40"/>
                              </w:rPr>
                              <w:t>214</w:t>
                            </w:r>
                            <w:r w:rsidR="00322450" w:rsidRPr="004B7EB6">
                              <w:rPr>
                                <w:rFonts w:asciiTheme="majorHAnsi" w:hAnsiTheme="majorHAnsi" w:cs="Arial"/>
                                <w:b/>
                                <w:bCs/>
                                <w:color w:val="0D0D0D" w:themeColor="text1" w:themeTint="F2"/>
                                <w:sz w:val="36"/>
                                <w:szCs w:val="40"/>
                              </w:rPr>
                              <w:t>/1</w:t>
                            </w:r>
                            <w:r w:rsidR="000F1855">
                              <w:rPr>
                                <w:rFonts w:asciiTheme="majorHAnsi" w:hAnsiTheme="majorHAnsi" w:cs="Arial"/>
                                <w:b/>
                                <w:bCs/>
                                <w:color w:val="0D0D0D" w:themeColor="text1" w:themeTint="F2"/>
                                <w:sz w:val="36"/>
                                <w:szCs w:val="40"/>
                              </w:rPr>
                              <w:t>9</w:t>
                            </w:r>
                          </w:p>
                          <w:p w14:paraId="1D2DCB2D" w14:textId="7F80BE30"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0F1855">
                              <w:rPr>
                                <w:rFonts w:asciiTheme="majorHAnsi" w:hAnsiTheme="majorHAnsi" w:cs="Arial"/>
                                <w:b/>
                                <w:bCs/>
                                <w:color w:val="0D0D0D" w:themeColor="text1" w:themeTint="F2"/>
                                <w:sz w:val="36"/>
                                <w:szCs w:val="40"/>
                              </w:rPr>
                              <w:t>1730-09</w:t>
                            </w:r>
                          </w:p>
                          <w:p w14:paraId="00D82CDB" w14:textId="090D388B"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003D872F" w14:textId="77777777" w:rsidR="00450A4A" w:rsidRPr="004B7EB6" w:rsidRDefault="00450A4A" w:rsidP="004B7EB6">
                            <w:pPr>
                              <w:spacing w:line="276" w:lineRule="auto"/>
                              <w:rPr>
                                <w:rFonts w:asciiTheme="majorHAnsi" w:hAnsiTheme="majorHAnsi" w:cs="Arial"/>
                                <w:color w:val="0D0D0D" w:themeColor="text1" w:themeTint="F2"/>
                                <w:szCs w:val="22"/>
                              </w:rPr>
                            </w:pPr>
                          </w:p>
                          <w:p w14:paraId="5377BD56" w14:textId="1E710D95" w:rsidR="00F42B71" w:rsidRPr="004B625D" w:rsidRDefault="000F185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ALICIA TRINIDAD PAZ MEZA</w:t>
                            </w:r>
                          </w:p>
                          <w:p w14:paraId="33A7787A" w14:textId="5CB0FD7C" w:rsidR="00F42B71" w:rsidRPr="004B625D" w:rsidRDefault="000F185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HONDURAS</w:t>
                            </w:r>
                          </w:p>
                          <w:p w14:paraId="3AC5A16F"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FCEEC" id="Text Box 5" o:spid="_x0000_s1029" type="#_x0000_t202" style="position:absolute;left:0;text-align:left;margin-left:95.25pt;margin-top:6.25pt;width:341.25pt;height:185.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rF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R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AbBNrF&#10;fwIAAGoFAAAOAAAAAAAAAAAAAAAAAC4CAABkcnMvZTJvRG9jLnhtbFBLAQItABQABgAIAAAAIQDq&#10;sof94QAAAAoBAAAPAAAAAAAAAAAAAAAAANkEAABkcnMvZG93bnJldi54bWxQSwUGAAAAAAQABADz&#10;AAAA5wUAAAAA&#10;" filled="f" stroked="f" strokeweight=".5pt">
                <v:textbox>
                  <w:txbxContent>
                    <w:p w14:paraId="55BF0BA0" w14:textId="38B98331"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D407C">
                        <w:rPr>
                          <w:rFonts w:asciiTheme="majorHAnsi" w:hAnsiTheme="majorHAnsi" w:cs="Arial"/>
                          <w:b/>
                          <w:bCs/>
                          <w:color w:val="0D0D0D" w:themeColor="text1" w:themeTint="F2"/>
                          <w:sz w:val="36"/>
                          <w:szCs w:val="40"/>
                        </w:rPr>
                        <w:t>214</w:t>
                      </w:r>
                      <w:r w:rsidR="00322450" w:rsidRPr="004B7EB6">
                        <w:rPr>
                          <w:rFonts w:asciiTheme="majorHAnsi" w:hAnsiTheme="majorHAnsi" w:cs="Arial"/>
                          <w:b/>
                          <w:bCs/>
                          <w:color w:val="0D0D0D" w:themeColor="text1" w:themeTint="F2"/>
                          <w:sz w:val="36"/>
                          <w:szCs w:val="40"/>
                        </w:rPr>
                        <w:t>/1</w:t>
                      </w:r>
                      <w:r w:rsidR="000F1855">
                        <w:rPr>
                          <w:rFonts w:asciiTheme="majorHAnsi" w:hAnsiTheme="majorHAnsi" w:cs="Arial"/>
                          <w:b/>
                          <w:bCs/>
                          <w:color w:val="0D0D0D" w:themeColor="text1" w:themeTint="F2"/>
                          <w:sz w:val="36"/>
                          <w:szCs w:val="40"/>
                        </w:rPr>
                        <w:t>9</w:t>
                      </w:r>
                    </w:p>
                    <w:p w14:paraId="1D2DCB2D" w14:textId="7F80BE30"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0F1855">
                        <w:rPr>
                          <w:rFonts w:asciiTheme="majorHAnsi" w:hAnsiTheme="majorHAnsi" w:cs="Arial"/>
                          <w:b/>
                          <w:bCs/>
                          <w:color w:val="0D0D0D" w:themeColor="text1" w:themeTint="F2"/>
                          <w:sz w:val="36"/>
                          <w:szCs w:val="40"/>
                        </w:rPr>
                        <w:t>1730-09</w:t>
                      </w:r>
                    </w:p>
                    <w:p w14:paraId="00D82CDB" w14:textId="090D388B"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003D872F" w14:textId="77777777" w:rsidR="00450A4A" w:rsidRPr="004B7EB6" w:rsidRDefault="00450A4A" w:rsidP="004B7EB6">
                      <w:pPr>
                        <w:spacing w:line="276" w:lineRule="auto"/>
                        <w:rPr>
                          <w:rFonts w:asciiTheme="majorHAnsi" w:hAnsiTheme="majorHAnsi" w:cs="Arial"/>
                          <w:color w:val="0D0D0D" w:themeColor="text1" w:themeTint="F2"/>
                          <w:szCs w:val="22"/>
                        </w:rPr>
                      </w:pPr>
                    </w:p>
                    <w:p w14:paraId="5377BD56" w14:textId="1E710D95" w:rsidR="00F42B71" w:rsidRPr="004B625D" w:rsidRDefault="000F185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ALICIA TRINIDAD PAZ MEZA</w:t>
                      </w:r>
                    </w:p>
                    <w:p w14:paraId="33A7787A" w14:textId="5CB0FD7C" w:rsidR="00F42B71" w:rsidRPr="004B625D" w:rsidRDefault="000F185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HONDURAS</w:t>
                      </w:r>
                    </w:p>
                    <w:p w14:paraId="3AC5A16F"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p>
    <w:p w14:paraId="5760E5C6" w14:textId="4BD2C04D" w:rsidR="00040C3A" w:rsidRPr="003C32BC" w:rsidRDefault="00040C3A" w:rsidP="00040C3A">
      <w:pPr>
        <w:tabs>
          <w:tab w:val="center" w:pos="5400"/>
        </w:tabs>
        <w:suppressAutoHyphens/>
        <w:jc w:val="center"/>
        <w:rPr>
          <w:rFonts w:asciiTheme="majorHAnsi" w:hAnsiTheme="majorHAnsi"/>
          <w:sz w:val="22"/>
          <w:szCs w:val="22"/>
          <w:lang w:val="es-ES_tradnl"/>
        </w:rPr>
      </w:pPr>
    </w:p>
    <w:p w14:paraId="3B5BAF34" w14:textId="05C281A4"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75D224D" w14:textId="62633932" w:rsidR="00040C3A" w:rsidRPr="003C32BC" w:rsidRDefault="00040C3A" w:rsidP="00040C3A">
      <w:pPr>
        <w:tabs>
          <w:tab w:val="center" w:pos="5400"/>
        </w:tabs>
        <w:suppressAutoHyphens/>
        <w:jc w:val="center"/>
        <w:rPr>
          <w:rFonts w:asciiTheme="majorHAnsi" w:hAnsiTheme="majorHAnsi"/>
          <w:sz w:val="22"/>
          <w:szCs w:val="22"/>
          <w:lang w:val="es-ES_tradnl"/>
        </w:rPr>
      </w:pPr>
    </w:p>
    <w:p w14:paraId="5AF9B79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90510F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268D04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A0A6FD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D7121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82DBD5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6DC544BC"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3EADED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2474231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67317A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85F238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E2E54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F82E2E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B48B44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37FBC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C1E26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616266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ACB6F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83F2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5EAD26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C961A1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740D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0410C7F"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0086DBD" wp14:editId="00AD0A26">
                <wp:simplePos x="0" y="0"/>
                <wp:positionH relativeFrom="column">
                  <wp:posOffset>1209675</wp:posOffset>
                </wp:positionH>
                <wp:positionV relativeFrom="paragraph">
                  <wp:posOffset>6985</wp:posOffset>
                </wp:positionV>
                <wp:extent cx="4595495" cy="56134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61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53FA3" w14:textId="42F5696A" w:rsidR="00D514D0" w:rsidRPr="00D514D0" w:rsidRDefault="00D514D0" w:rsidP="00D514D0">
                            <w:pPr>
                              <w:tabs>
                                <w:tab w:val="center" w:pos="5400"/>
                              </w:tabs>
                              <w:suppressAutoHyphens/>
                              <w:spacing w:before="60"/>
                              <w:rPr>
                                <w:rFonts w:asciiTheme="majorHAnsi" w:hAnsiTheme="majorHAnsi"/>
                                <w:color w:val="0D0D0D" w:themeColor="text1" w:themeTint="F2"/>
                                <w:sz w:val="18"/>
                                <w:szCs w:val="22"/>
                              </w:rPr>
                            </w:pPr>
                            <w:r w:rsidRPr="00D514D0">
                              <w:rPr>
                                <w:rFonts w:asciiTheme="majorHAnsi" w:hAnsiTheme="majorHAnsi"/>
                                <w:color w:val="0D0D0D" w:themeColor="text1" w:themeTint="F2"/>
                                <w:sz w:val="18"/>
                                <w:szCs w:val="22"/>
                              </w:rPr>
                              <w:t xml:space="preserve">Electronically approved by the Commission on </w:t>
                            </w:r>
                            <w:r w:rsidR="003D407C">
                              <w:rPr>
                                <w:rFonts w:asciiTheme="majorHAnsi" w:hAnsiTheme="majorHAnsi"/>
                                <w:color w:val="0D0D0D" w:themeColor="text1" w:themeTint="F2"/>
                                <w:sz w:val="18"/>
                                <w:szCs w:val="22"/>
                              </w:rPr>
                              <w:t>September 11, 2019.</w:t>
                            </w:r>
                          </w:p>
                          <w:p w14:paraId="40488A0F" w14:textId="77777777" w:rsidR="00D514D0" w:rsidRPr="003C32BC" w:rsidRDefault="00D514D0"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86DBD" id="Text Box 7" o:spid="_x0000_s1030" type="#_x0000_t202" style="position:absolute;left:0;text-align:left;margin-left:95.25pt;margin-top:.55pt;width:361.85pt;height:4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" filled="f" stroked="f" strokeweight=".5pt">
                <v:textbox>
                  <w:txbxContent>
                    <w:p w14:paraId="39E53FA3" w14:textId="42F5696A" w:rsidR="00D514D0" w:rsidRPr="00D514D0" w:rsidRDefault="00D514D0" w:rsidP="00D514D0">
                      <w:pPr>
                        <w:tabs>
                          <w:tab w:val="center" w:pos="5400"/>
                        </w:tabs>
                        <w:suppressAutoHyphens/>
                        <w:spacing w:before="60"/>
                        <w:rPr>
                          <w:rFonts w:asciiTheme="majorHAnsi" w:hAnsiTheme="majorHAnsi"/>
                          <w:color w:val="0D0D0D" w:themeColor="text1" w:themeTint="F2"/>
                          <w:sz w:val="18"/>
                          <w:szCs w:val="22"/>
                        </w:rPr>
                      </w:pPr>
                      <w:r w:rsidRPr="00D514D0">
                        <w:rPr>
                          <w:rFonts w:asciiTheme="majorHAnsi" w:hAnsiTheme="majorHAnsi"/>
                          <w:color w:val="0D0D0D" w:themeColor="text1" w:themeTint="F2"/>
                          <w:sz w:val="18"/>
                          <w:szCs w:val="22"/>
                        </w:rPr>
                        <w:t xml:space="preserve">Electronically approved by the Commission on </w:t>
                      </w:r>
                      <w:r w:rsidR="003D407C">
                        <w:rPr>
                          <w:rFonts w:asciiTheme="majorHAnsi" w:hAnsiTheme="majorHAnsi"/>
                          <w:color w:val="0D0D0D" w:themeColor="text1" w:themeTint="F2"/>
                          <w:sz w:val="18"/>
                          <w:szCs w:val="22"/>
                        </w:rPr>
                        <w:t>September 11, 2019.</w:t>
                      </w:r>
                    </w:p>
                    <w:p w14:paraId="40488A0F" w14:textId="77777777" w:rsidR="00D514D0" w:rsidRPr="003C32BC" w:rsidRDefault="00D514D0"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5A89140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7D1B9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3D633C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8D371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387CA2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8AAC621" wp14:editId="6A7F90D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2C62DE" w14:textId="197204E1"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863C4">
                              <w:rPr>
                                <w:rFonts w:asciiTheme="majorHAnsi" w:hAnsiTheme="majorHAnsi"/>
                                <w:color w:val="595959" w:themeColor="text1" w:themeTint="A6"/>
                                <w:sz w:val="18"/>
                              </w:rPr>
                              <w:t>2</w:t>
                            </w:r>
                            <w:r w:rsidR="003D407C" w:rsidRPr="003D407C">
                              <w:rPr>
                                <w:rFonts w:asciiTheme="majorHAnsi" w:hAnsiTheme="majorHAnsi"/>
                                <w:color w:val="595959" w:themeColor="text1" w:themeTint="A6"/>
                                <w:sz w:val="18"/>
                              </w:rPr>
                              <w:t>14</w:t>
                            </w:r>
                            <w:r w:rsidR="00022CF5" w:rsidRPr="003D407C">
                              <w:rPr>
                                <w:rFonts w:asciiTheme="majorHAnsi" w:hAnsiTheme="majorHAnsi"/>
                                <w:color w:val="595959" w:themeColor="text1" w:themeTint="A6"/>
                                <w:sz w:val="18"/>
                              </w:rPr>
                              <w:t>/1</w:t>
                            </w:r>
                            <w:r w:rsidR="000F1855" w:rsidRPr="003D407C">
                              <w:rPr>
                                <w:rFonts w:asciiTheme="majorHAnsi" w:hAnsiTheme="majorHAnsi"/>
                                <w:color w:val="595959" w:themeColor="text1" w:themeTint="A6"/>
                                <w:sz w:val="18"/>
                              </w:rPr>
                              <w:t>9</w:t>
                            </w:r>
                            <w:r w:rsidRPr="003D407C">
                              <w:rPr>
                                <w:rFonts w:asciiTheme="majorHAnsi" w:hAnsiTheme="majorHAnsi"/>
                                <w:color w:val="595959" w:themeColor="text1" w:themeTint="A6"/>
                                <w:sz w:val="18"/>
                              </w:rPr>
                              <w:t xml:space="preserve">, </w:t>
                            </w:r>
                            <w:r w:rsidR="003D407C" w:rsidRPr="003D407C">
                              <w:rPr>
                                <w:rFonts w:asciiTheme="majorHAnsi" w:hAnsiTheme="majorHAnsi"/>
                                <w:color w:val="595959" w:themeColor="text1" w:themeTint="A6"/>
                                <w:sz w:val="18"/>
                              </w:rPr>
                              <w:t xml:space="preserve">Petition </w:t>
                            </w:r>
                            <w:r w:rsidR="00F42B71" w:rsidRPr="003D407C">
                              <w:rPr>
                                <w:rFonts w:asciiTheme="majorHAnsi" w:hAnsiTheme="majorHAnsi"/>
                                <w:color w:val="595959" w:themeColor="text1" w:themeTint="A6"/>
                                <w:sz w:val="18"/>
                              </w:rPr>
                              <w:t>P</w:t>
                            </w:r>
                            <w:r w:rsidR="000F1855" w:rsidRPr="003D407C">
                              <w:rPr>
                                <w:rFonts w:asciiTheme="majorHAnsi" w:hAnsiTheme="majorHAnsi"/>
                                <w:color w:val="595959" w:themeColor="text1" w:themeTint="A6"/>
                                <w:sz w:val="18"/>
                              </w:rPr>
                              <w:t>-1730-09</w:t>
                            </w:r>
                            <w:r w:rsidRPr="003D407C">
                              <w:rPr>
                                <w:rFonts w:asciiTheme="majorHAnsi" w:hAnsiTheme="majorHAnsi"/>
                                <w:color w:val="595959" w:themeColor="text1" w:themeTint="A6"/>
                                <w:sz w:val="18"/>
                              </w:rPr>
                              <w:t>.</w:t>
                            </w:r>
                            <w:r w:rsidR="009E566A" w:rsidRPr="003D407C">
                              <w:rPr>
                                <w:rFonts w:asciiTheme="majorHAnsi" w:hAnsiTheme="majorHAnsi"/>
                                <w:color w:val="595959" w:themeColor="text1" w:themeTint="A6"/>
                                <w:sz w:val="18"/>
                              </w:rPr>
                              <w:t xml:space="preserve"> </w:t>
                            </w:r>
                            <w:proofErr w:type="spellStart"/>
                            <w:r w:rsidR="00F42B71" w:rsidRPr="003D407C">
                              <w:rPr>
                                <w:rFonts w:asciiTheme="majorHAnsi" w:hAnsiTheme="majorHAnsi"/>
                                <w:color w:val="595959" w:themeColor="text1" w:themeTint="A6"/>
                                <w:sz w:val="18"/>
                                <w:lang w:val="es-US"/>
                              </w:rPr>
                              <w:t>Admissibility</w:t>
                            </w:r>
                            <w:proofErr w:type="spellEnd"/>
                            <w:r w:rsidRPr="003D407C">
                              <w:rPr>
                                <w:rFonts w:asciiTheme="majorHAnsi" w:hAnsiTheme="majorHAnsi"/>
                                <w:color w:val="595959" w:themeColor="text1" w:themeTint="A6"/>
                                <w:sz w:val="18"/>
                                <w:lang w:val="es-US"/>
                              </w:rPr>
                              <w:t xml:space="preserve">. </w:t>
                            </w:r>
                            <w:r w:rsidR="000F1855" w:rsidRPr="003D407C">
                              <w:rPr>
                                <w:rFonts w:asciiTheme="majorHAnsi" w:hAnsiTheme="majorHAnsi"/>
                                <w:color w:val="595959" w:themeColor="text1" w:themeTint="A6"/>
                                <w:sz w:val="18"/>
                                <w:lang w:val="es-US"/>
                              </w:rPr>
                              <w:t>Alicia Trinidad Paz Meza</w:t>
                            </w:r>
                            <w:r w:rsidR="00022CF5" w:rsidRPr="003D407C">
                              <w:rPr>
                                <w:rFonts w:asciiTheme="majorHAnsi" w:hAnsiTheme="majorHAnsi"/>
                                <w:color w:val="595959" w:themeColor="text1" w:themeTint="A6"/>
                                <w:sz w:val="18"/>
                                <w:lang w:val="es-US"/>
                              </w:rPr>
                              <w:t xml:space="preserve">. </w:t>
                            </w:r>
                            <w:r w:rsidR="003D407C">
                              <w:rPr>
                                <w:rFonts w:asciiTheme="majorHAnsi" w:hAnsiTheme="majorHAnsi"/>
                                <w:color w:val="595959" w:themeColor="text1" w:themeTint="A6"/>
                                <w:sz w:val="18"/>
                              </w:rPr>
                              <w:t>September 11, 2019</w:t>
                            </w:r>
                            <w:r w:rsidR="00F621C3">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AC621" id="Text Box 14" o:spid="_x0000_s1031"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" filled="f" stroked="f" strokeweight=".5pt">
                <v:textbox>
                  <w:txbxContent>
                    <w:p w14:paraId="252C62DE" w14:textId="197204E1"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863C4">
                        <w:rPr>
                          <w:rFonts w:asciiTheme="majorHAnsi" w:hAnsiTheme="majorHAnsi"/>
                          <w:color w:val="595959" w:themeColor="text1" w:themeTint="A6"/>
                          <w:sz w:val="18"/>
                        </w:rPr>
                        <w:t>2</w:t>
                      </w:r>
                      <w:r w:rsidR="003D407C" w:rsidRPr="003D407C">
                        <w:rPr>
                          <w:rFonts w:asciiTheme="majorHAnsi" w:hAnsiTheme="majorHAnsi"/>
                          <w:color w:val="595959" w:themeColor="text1" w:themeTint="A6"/>
                          <w:sz w:val="18"/>
                        </w:rPr>
                        <w:t>14</w:t>
                      </w:r>
                      <w:r w:rsidR="00022CF5" w:rsidRPr="003D407C">
                        <w:rPr>
                          <w:rFonts w:asciiTheme="majorHAnsi" w:hAnsiTheme="majorHAnsi"/>
                          <w:color w:val="595959" w:themeColor="text1" w:themeTint="A6"/>
                          <w:sz w:val="18"/>
                        </w:rPr>
                        <w:t>/1</w:t>
                      </w:r>
                      <w:r w:rsidR="000F1855" w:rsidRPr="003D407C">
                        <w:rPr>
                          <w:rFonts w:asciiTheme="majorHAnsi" w:hAnsiTheme="majorHAnsi"/>
                          <w:color w:val="595959" w:themeColor="text1" w:themeTint="A6"/>
                          <w:sz w:val="18"/>
                        </w:rPr>
                        <w:t>9</w:t>
                      </w:r>
                      <w:r w:rsidRPr="003D407C">
                        <w:rPr>
                          <w:rFonts w:asciiTheme="majorHAnsi" w:hAnsiTheme="majorHAnsi"/>
                          <w:color w:val="595959" w:themeColor="text1" w:themeTint="A6"/>
                          <w:sz w:val="18"/>
                        </w:rPr>
                        <w:t xml:space="preserve">, </w:t>
                      </w:r>
                      <w:r w:rsidR="003D407C" w:rsidRPr="003D407C">
                        <w:rPr>
                          <w:rFonts w:asciiTheme="majorHAnsi" w:hAnsiTheme="majorHAnsi"/>
                          <w:color w:val="595959" w:themeColor="text1" w:themeTint="A6"/>
                          <w:sz w:val="18"/>
                        </w:rPr>
                        <w:t xml:space="preserve">Petition </w:t>
                      </w:r>
                      <w:r w:rsidR="00F42B71" w:rsidRPr="003D407C">
                        <w:rPr>
                          <w:rFonts w:asciiTheme="majorHAnsi" w:hAnsiTheme="majorHAnsi"/>
                          <w:color w:val="595959" w:themeColor="text1" w:themeTint="A6"/>
                          <w:sz w:val="18"/>
                        </w:rPr>
                        <w:t>P</w:t>
                      </w:r>
                      <w:r w:rsidR="000F1855" w:rsidRPr="003D407C">
                        <w:rPr>
                          <w:rFonts w:asciiTheme="majorHAnsi" w:hAnsiTheme="majorHAnsi"/>
                          <w:color w:val="595959" w:themeColor="text1" w:themeTint="A6"/>
                          <w:sz w:val="18"/>
                        </w:rPr>
                        <w:t>-1730-09</w:t>
                      </w:r>
                      <w:r w:rsidRPr="003D407C">
                        <w:rPr>
                          <w:rFonts w:asciiTheme="majorHAnsi" w:hAnsiTheme="majorHAnsi"/>
                          <w:color w:val="595959" w:themeColor="text1" w:themeTint="A6"/>
                          <w:sz w:val="18"/>
                        </w:rPr>
                        <w:t>.</w:t>
                      </w:r>
                      <w:r w:rsidR="009E566A" w:rsidRPr="003D407C">
                        <w:rPr>
                          <w:rFonts w:asciiTheme="majorHAnsi" w:hAnsiTheme="majorHAnsi"/>
                          <w:color w:val="595959" w:themeColor="text1" w:themeTint="A6"/>
                          <w:sz w:val="18"/>
                        </w:rPr>
                        <w:t xml:space="preserve"> </w:t>
                      </w:r>
                      <w:proofErr w:type="spellStart"/>
                      <w:r w:rsidR="00F42B71" w:rsidRPr="003D407C">
                        <w:rPr>
                          <w:rFonts w:asciiTheme="majorHAnsi" w:hAnsiTheme="majorHAnsi"/>
                          <w:color w:val="595959" w:themeColor="text1" w:themeTint="A6"/>
                          <w:sz w:val="18"/>
                          <w:lang w:val="es-US"/>
                        </w:rPr>
                        <w:t>Admissibility</w:t>
                      </w:r>
                      <w:proofErr w:type="spellEnd"/>
                      <w:r w:rsidRPr="003D407C">
                        <w:rPr>
                          <w:rFonts w:asciiTheme="majorHAnsi" w:hAnsiTheme="majorHAnsi"/>
                          <w:color w:val="595959" w:themeColor="text1" w:themeTint="A6"/>
                          <w:sz w:val="18"/>
                          <w:lang w:val="es-US"/>
                        </w:rPr>
                        <w:t xml:space="preserve">. </w:t>
                      </w:r>
                      <w:r w:rsidR="000F1855" w:rsidRPr="003D407C">
                        <w:rPr>
                          <w:rFonts w:asciiTheme="majorHAnsi" w:hAnsiTheme="majorHAnsi"/>
                          <w:color w:val="595959" w:themeColor="text1" w:themeTint="A6"/>
                          <w:sz w:val="18"/>
                          <w:lang w:val="es-US"/>
                        </w:rPr>
                        <w:t>Alicia Trinidad Paz Meza</w:t>
                      </w:r>
                      <w:r w:rsidR="00022CF5" w:rsidRPr="003D407C">
                        <w:rPr>
                          <w:rFonts w:asciiTheme="majorHAnsi" w:hAnsiTheme="majorHAnsi"/>
                          <w:color w:val="595959" w:themeColor="text1" w:themeTint="A6"/>
                          <w:sz w:val="18"/>
                          <w:lang w:val="es-US"/>
                        </w:rPr>
                        <w:t xml:space="preserve">. </w:t>
                      </w:r>
                      <w:r w:rsidR="003D407C">
                        <w:rPr>
                          <w:rFonts w:asciiTheme="majorHAnsi" w:hAnsiTheme="majorHAnsi"/>
                          <w:color w:val="595959" w:themeColor="text1" w:themeTint="A6"/>
                          <w:sz w:val="18"/>
                        </w:rPr>
                        <w:t>September 11, 2019</w:t>
                      </w:r>
                      <w:r w:rsidR="00F621C3">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v:textbox>
              </v:shape>
            </w:pict>
          </mc:Fallback>
        </mc:AlternateContent>
      </w:r>
    </w:p>
    <w:p w14:paraId="2B63B8D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BB745E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00BBE8" w14:textId="77777777" w:rsidR="003C32BC" w:rsidRPr="003C32BC" w:rsidRDefault="003C32BC" w:rsidP="003C32BC">
      <w:pPr>
        <w:tabs>
          <w:tab w:val="center" w:pos="5400"/>
        </w:tabs>
        <w:suppressAutoHyphens/>
        <w:jc w:val="center"/>
        <w:rPr>
          <w:rFonts w:asciiTheme="majorHAnsi" w:hAnsiTheme="majorHAnsi"/>
          <w:sz w:val="18"/>
          <w:szCs w:val="22"/>
        </w:rPr>
      </w:pPr>
    </w:p>
    <w:p w14:paraId="04356DBB"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AE4726E" wp14:editId="6906B622">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0941CA"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4726E"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630941CA"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1861DD4" wp14:editId="513321EF">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8F106" w14:textId="77777777" w:rsidR="003C32BC" w:rsidRDefault="003C32BC">
                            <w:r>
                              <w:rPr>
                                <w:noProof/>
                              </w:rPr>
                              <w:drawing>
                                <wp:inline distT="0" distB="0" distL="0" distR="0" wp14:anchorId="5314FADC" wp14:editId="66E8AD5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61DD4" id="Text Box 2" o:spid="_x0000_s1033"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A7+dOyOAgAAkQUAAA4AAAAAAAAAAAAAAAAALgIAAGRycy9lMm9Eb2MueG1sUEsBAi0A&#10;FAAGAAgAAAAhAGXRZXDdAAAACwEAAA8AAAAAAAAAAAAAAAAA6AQAAGRycy9kb3ducmV2LnhtbFBL&#10;BQYAAAAABAAEAPMAAADyBQAAAAA=&#10;" fillcolor="white [3201]" stroked="f" strokeweight=".5pt">
                <v:textbox>
                  <w:txbxContent>
                    <w:p w14:paraId="7B68F106" w14:textId="77777777" w:rsidR="003C32BC" w:rsidRDefault="003C32BC">
                      <w:r>
                        <w:rPr>
                          <w:noProof/>
                        </w:rPr>
                        <w:drawing>
                          <wp:inline distT="0" distB="0" distL="0" distR="0" wp14:anchorId="5314FADC" wp14:editId="66E8AD5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10BF4620"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14F1ED07" w14:textId="77777777"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4715B8" w14:paraId="6144DCE7" w14:textId="77777777" w:rsidTr="00B06BB7">
        <w:tc>
          <w:tcPr>
            <w:tcW w:w="3690" w:type="dxa"/>
            <w:tcBorders>
              <w:top w:val="single" w:sz="4" w:space="0" w:color="auto"/>
              <w:bottom w:val="single" w:sz="6" w:space="0" w:color="auto"/>
            </w:tcBorders>
            <w:shd w:val="clear" w:color="auto" w:fill="67AE3C"/>
            <w:vAlign w:val="center"/>
          </w:tcPr>
          <w:p w14:paraId="201EF040" w14:textId="34892862" w:rsidR="00F621C3" w:rsidRPr="004715B8" w:rsidRDefault="003771A3" w:rsidP="009163FC">
            <w:pPr>
              <w:jc w:val="center"/>
              <w:rPr>
                <w:rFonts w:ascii="Cambria" w:hAnsi="Cambria"/>
                <w:color w:val="FFFFFF" w:themeColor="background1"/>
                <w:sz w:val="19"/>
                <w:szCs w:val="19"/>
              </w:rPr>
            </w:pPr>
            <w:r w:rsidRPr="004715B8">
              <w:rPr>
                <w:rFonts w:ascii="Cambria" w:hAnsi="Cambria"/>
                <w:color w:val="FFFFFF" w:themeColor="background1"/>
                <w:sz w:val="19"/>
                <w:szCs w:val="19"/>
              </w:rPr>
              <w:t>Petitioner</w:t>
            </w:r>
          </w:p>
        </w:tc>
        <w:tc>
          <w:tcPr>
            <w:tcW w:w="5670" w:type="dxa"/>
            <w:vAlign w:val="center"/>
          </w:tcPr>
          <w:p w14:paraId="5DF37E65" w14:textId="6D9BB81F" w:rsidR="00F621C3" w:rsidRPr="004715B8" w:rsidRDefault="000F1855" w:rsidP="009163FC">
            <w:pPr>
              <w:jc w:val="both"/>
              <w:rPr>
                <w:rFonts w:ascii="Cambria" w:hAnsi="Cambria"/>
                <w:sz w:val="19"/>
                <w:szCs w:val="19"/>
              </w:rPr>
            </w:pPr>
            <w:r w:rsidRPr="004715B8">
              <w:rPr>
                <w:rFonts w:ascii="Cambria" w:hAnsi="Cambria"/>
                <w:sz w:val="19"/>
                <w:szCs w:val="19"/>
              </w:rPr>
              <w:t>Alicia Trinidad Paz Meza</w:t>
            </w:r>
          </w:p>
        </w:tc>
      </w:tr>
      <w:tr w:rsidR="00F621C3" w:rsidRPr="004715B8" w14:paraId="33858FA2" w14:textId="77777777" w:rsidTr="00B06BB7">
        <w:tc>
          <w:tcPr>
            <w:tcW w:w="3690" w:type="dxa"/>
            <w:tcBorders>
              <w:top w:val="single" w:sz="6" w:space="0" w:color="auto"/>
              <w:bottom w:val="single" w:sz="6" w:space="0" w:color="auto"/>
            </w:tcBorders>
            <w:shd w:val="clear" w:color="auto" w:fill="67AE3C"/>
            <w:vAlign w:val="center"/>
          </w:tcPr>
          <w:p w14:paraId="29DB7F8F" w14:textId="5710A4A5" w:rsidR="00F621C3" w:rsidRPr="004715B8" w:rsidRDefault="00E44C6F" w:rsidP="009163FC">
            <w:pPr>
              <w:jc w:val="center"/>
              <w:rPr>
                <w:rFonts w:ascii="Cambria" w:hAnsi="Cambria"/>
                <w:color w:val="FFFFFF" w:themeColor="background1"/>
                <w:sz w:val="19"/>
                <w:szCs w:val="19"/>
              </w:rPr>
            </w:pPr>
            <w:sdt>
              <w:sdtPr>
                <w:rPr>
                  <w:rFonts w:ascii="Cambria" w:hAnsi="Cambria"/>
                  <w:color w:val="FFFFFF" w:themeColor="background1"/>
                  <w:sz w:val="19"/>
                  <w:szCs w:val="19"/>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4715B8">
                  <w:rPr>
                    <w:rFonts w:ascii="Cambria" w:hAnsi="Cambria"/>
                    <w:color w:val="FFFFFF" w:themeColor="background1"/>
                    <w:sz w:val="19"/>
                    <w:szCs w:val="19"/>
                  </w:rPr>
                  <w:t>Alleged victim</w:t>
                </w:r>
              </w:sdtContent>
            </w:sdt>
          </w:p>
        </w:tc>
        <w:tc>
          <w:tcPr>
            <w:tcW w:w="5670" w:type="dxa"/>
            <w:vAlign w:val="center"/>
          </w:tcPr>
          <w:p w14:paraId="64B94B2B" w14:textId="00BDF9D8" w:rsidR="00F621C3" w:rsidRPr="004715B8" w:rsidRDefault="000F1855" w:rsidP="009163FC">
            <w:pPr>
              <w:jc w:val="both"/>
              <w:rPr>
                <w:rFonts w:ascii="Cambria" w:hAnsi="Cambria"/>
                <w:sz w:val="19"/>
                <w:szCs w:val="19"/>
              </w:rPr>
            </w:pPr>
            <w:r w:rsidRPr="004715B8">
              <w:rPr>
                <w:rFonts w:ascii="Cambria" w:hAnsi="Cambria"/>
                <w:sz w:val="19"/>
                <w:szCs w:val="19"/>
              </w:rPr>
              <w:t>Alicia Trinidad Paz Meza</w:t>
            </w:r>
          </w:p>
        </w:tc>
      </w:tr>
      <w:tr w:rsidR="00F621C3" w:rsidRPr="004715B8" w14:paraId="36C8BDE6" w14:textId="77777777" w:rsidTr="00B06BB7">
        <w:tc>
          <w:tcPr>
            <w:tcW w:w="3690" w:type="dxa"/>
            <w:tcBorders>
              <w:top w:val="single" w:sz="6" w:space="0" w:color="auto"/>
              <w:bottom w:val="single" w:sz="6" w:space="0" w:color="auto"/>
            </w:tcBorders>
            <w:shd w:val="clear" w:color="auto" w:fill="67AE3C"/>
            <w:vAlign w:val="center"/>
          </w:tcPr>
          <w:p w14:paraId="25E3F99E" w14:textId="50EE0A5E" w:rsidR="00F621C3" w:rsidRPr="004715B8" w:rsidRDefault="00926D2F" w:rsidP="00926D2F">
            <w:pPr>
              <w:jc w:val="center"/>
              <w:rPr>
                <w:rFonts w:ascii="Cambria" w:hAnsi="Cambria"/>
                <w:color w:val="FFFFFF" w:themeColor="background1"/>
                <w:sz w:val="19"/>
                <w:szCs w:val="19"/>
              </w:rPr>
            </w:pPr>
            <w:r w:rsidRPr="004715B8">
              <w:rPr>
                <w:rFonts w:ascii="Cambria" w:hAnsi="Cambria"/>
                <w:color w:val="FFFFFF" w:themeColor="background1"/>
                <w:sz w:val="19"/>
                <w:szCs w:val="19"/>
              </w:rPr>
              <w:t xml:space="preserve">Respondent </w:t>
            </w:r>
            <w:r w:rsidR="00F621C3" w:rsidRPr="004715B8">
              <w:rPr>
                <w:rFonts w:ascii="Cambria" w:hAnsi="Cambria"/>
                <w:color w:val="FFFFFF" w:themeColor="background1"/>
                <w:sz w:val="19"/>
                <w:szCs w:val="19"/>
              </w:rPr>
              <w:t>State</w:t>
            </w:r>
          </w:p>
        </w:tc>
        <w:tc>
          <w:tcPr>
            <w:tcW w:w="5670" w:type="dxa"/>
            <w:vAlign w:val="center"/>
          </w:tcPr>
          <w:p w14:paraId="35EBEBFB" w14:textId="38B9B14C" w:rsidR="00F621C3" w:rsidRPr="004715B8" w:rsidRDefault="000F1855" w:rsidP="009163FC">
            <w:pPr>
              <w:jc w:val="both"/>
              <w:rPr>
                <w:rFonts w:ascii="Cambria" w:hAnsi="Cambria"/>
                <w:sz w:val="19"/>
                <w:szCs w:val="19"/>
              </w:rPr>
            </w:pPr>
            <w:r w:rsidRPr="004715B8">
              <w:rPr>
                <w:rFonts w:ascii="Cambria" w:hAnsi="Cambria"/>
                <w:sz w:val="19"/>
                <w:szCs w:val="19"/>
              </w:rPr>
              <w:t>Honduras</w:t>
            </w:r>
          </w:p>
        </w:tc>
      </w:tr>
      <w:tr w:rsidR="00E47F3D" w:rsidRPr="004715B8" w14:paraId="5843386D" w14:textId="77777777" w:rsidTr="00B06BB7">
        <w:tc>
          <w:tcPr>
            <w:tcW w:w="3690" w:type="dxa"/>
            <w:tcBorders>
              <w:top w:val="single" w:sz="6" w:space="0" w:color="auto"/>
              <w:bottom w:val="single" w:sz="6" w:space="0" w:color="auto"/>
            </w:tcBorders>
            <w:shd w:val="clear" w:color="auto" w:fill="67AE3C"/>
            <w:vAlign w:val="center"/>
          </w:tcPr>
          <w:p w14:paraId="4E29DF7E" w14:textId="0CDEF44C" w:rsidR="00E47F3D" w:rsidRPr="004715B8" w:rsidRDefault="00E47F3D" w:rsidP="00E7588C">
            <w:pPr>
              <w:jc w:val="center"/>
              <w:rPr>
                <w:rFonts w:ascii="Cambria" w:hAnsi="Cambria"/>
                <w:color w:val="FFFFFF" w:themeColor="background1"/>
                <w:sz w:val="19"/>
                <w:szCs w:val="19"/>
              </w:rPr>
            </w:pPr>
            <w:r w:rsidRPr="004715B8">
              <w:rPr>
                <w:rFonts w:ascii="Cambria" w:hAnsi="Cambria"/>
                <w:color w:val="FFFFFF" w:themeColor="background1"/>
                <w:sz w:val="19"/>
                <w:szCs w:val="19"/>
              </w:rPr>
              <w:t xml:space="preserve">Rights </w:t>
            </w:r>
            <w:r w:rsidR="00E7588C" w:rsidRPr="004715B8">
              <w:rPr>
                <w:rFonts w:ascii="Cambria" w:hAnsi="Cambria"/>
                <w:color w:val="FFFFFF" w:themeColor="background1"/>
                <w:sz w:val="19"/>
                <w:szCs w:val="19"/>
              </w:rPr>
              <w:t>invoked</w:t>
            </w:r>
          </w:p>
        </w:tc>
        <w:tc>
          <w:tcPr>
            <w:tcW w:w="5670" w:type="dxa"/>
            <w:vAlign w:val="center"/>
          </w:tcPr>
          <w:p w14:paraId="376FD4CB" w14:textId="5587556A" w:rsidR="00E47F3D" w:rsidRPr="004715B8" w:rsidRDefault="000F1855" w:rsidP="009163FC">
            <w:pPr>
              <w:jc w:val="both"/>
              <w:rPr>
                <w:rFonts w:ascii="Cambria" w:hAnsi="Cambria"/>
                <w:sz w:val="19"/>
                <w:szCs w:val="19"/>
              </w:rPr>
            </w:pPr>
            <w:r w:rsidRPr="004715B8">
              <w:rPr>
                <w:rFonts w:ascii="Cambria" w:hAnsi="Cambria"/>
                <w:sz w:val="19"/>
                <w:szCs w:val="19"/>
              </w:rPr>
              <w:t>Articles 7 (personal liberty), 8 (fair trial), and 25 (judicial protection) of the American Convention on Human Rights</w:t>
            </w:r>
            <w:r w:rsidRPr="004715B8">
              <w:rPr>
                <w:rStyle w:val="FootnoteReference"/>
                <w:rFonts w:ascii="Cambria" w:hAnsi="Cambria"/>
                <w:sz w:val="19"/>
                <w:szCs w:val="19"/>
              </w:rPr>
              <w:footnoteReference w:id="2"/>
            </w:r>
          </w:p>
        </w:tc>
      </w:tr>
    </w:tbl>
    <w:p w14:paraId="25D88EC8" w14:textId="4492809C"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4715B8">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4715B8" w14:paraId="61BE14BB" w14:textId="77777777" w:rsidTr="00B06BB7">
        <w:tc>
          <w:tcPr>
            <w:tcW w:w="3690" w:type="dxa"/>
            <w:tcBorders>
              <w:top w:val="single" w:sz="6" w:space="0" w:color="auto"/>
              <w:bottom w:val="single" w:sz="6" w:space="0" w:color="auto"/>
            </w:tcBorders>
            <w:shd w:val="clear" w:color="auto" w:fill="67AE3C"/>
            <w:vAlign w:val="center"/>
          </w:tcPr>
          <w:p w14:paraId="7FEA58AF" w14:textId="438261C1" w:rsidR="00F621C3" w:rsidRPr="004715B8" w:rsidRDefault="00312C73" w:rsidP="00B06BB7">
            <w:pPr>
              <w:jc w:val="center"/>
              <w:rPr>
                <w:rFonts w:ascii="Cambria" w:hAnsi="Cambria"/>
                <w:color w:val="FFFFFF" w:themeColor="background1"/>
                <w:sz w:val="19"/>
                <w:szCs w:val="19"/>
              </w:rPr>
            </w:pPr>
            <w:r>
              <w:rPr>
                <w:rFonts w:ascii="Cambria" w:hAnsi="Cambria"/>
                <w:color w:val="FFFFFF" w:themeColor="background1"/>
                <w:sz w:val="19"/>
                <w:szCs w:val="19"/>
              </w:rPr>
              <w:t>Date of f</w:t>
            </w:r>
            <w:r w:rsidR="00B06BB7" w:rsidRPr="004715B8">
              <w:rPr>
                <w:rFonts w:ascii="Cambria" w:hAnsi="Cambria"/>
                <w:color w:val="FFFFFF" w:themeColor="background1"/>
                <w:sz w:val="19"/>
                <w:szCs w:val="19"/>
              </w:rPr>
              <w:t>iling</w:t>
            </w:r>
          </w:p>
        </w:tc>
        <w:tc>
          <w:tcPr>
            <w:tcW w:w="5670" w:type="dxa"/>
            <w:vAlign w:val="center"/>
          </w:tcPr>
          <w:p w14:paraId="5C591D18" w14:textId="594DDDD2" w:rsidR="00F621C3" w:rsidRPr="004715B8" w:rsidRDefault="000F1855" w:rsidP="009163FC">
            <w:pPr>
              <w:jc w:val="both"/>
              <w:rPr>
                <w:rFonts w:ascii="Cambria" w:hAnsi="Cambria"/>
                <w:sz w:val="19"/>
                <w:szCs w:val="19"/>
              </w:rPr>
            </w:pPr>
            <w:r w:rsidRPr="004715B8">
              <w:rPr>
                <w:rFonts w:ascii="Cambria" w:hAnsi="Cambria"/>
                <w:sz w:val="19"/>
                <w:szCs w:val="19"/>
              </w:rPr>
              <w:t>August 20, 2009</w:t>
            </w:r>
          </w:p>
        </w:tc>
      </w:tr>
      <w:tr w:rsidR="00F621C3" w:rsidRPr="004715B8" w14:paraId="444BFD1C" w14:textId="77777777" w:rsidTr="00B06BB7">
        <w:tc>
          <w:tcPr>
            <w:tcW w:w="3690" w:type="dxa"/>
            <w:tcBorders>
              <w:top w:val="single" w:sz="6" w:space="0" w:color="auto"/>
              <w:bottom w:val="single" w:sz="6" w:space="0" w:color="auto"/>
            </w:tcBorders>
            <w:shd w:val="clear" w:color="auto" w:fill="67AE3C"/>
            <w:vAlign w:val="center"/>
          </w:tcPr>
          <w:p w14:paraId="311FE36D" w14:textId="2D0A490A" w:rsidR="00F621C3" w:rsidRPr="004715B8" w:rsidRDefault="00B06BB7" w:rsidP="00B06BB7">
            <w:pPr>
              <w:jc w:val="center"/>
              <w:rPr>
                <w:rFonts w:ascii="Cambria" w:hAnsi="Cambria"/>
                <w:color w:val="FFFFFF" w:themeColor="background1"/>
                <w:sz w:val="19"/>
                <w:szCs w:val="19"/>
              </w:rPr>
            </w:pPr>
            <w:r w:rsidRPr="004715B8">
              <w:rPr>
                <w:rFonts w:ascii="Cambria" w:hAnsi="Cambria"/>
                <w:color w:val="FFFFFF" w:themeColor="background1"/>
                <w:sz w:val="19"/>
                <w:szCs w:val="19"/>
              </w:rPr>
              <w:t>Notification of the petition</w:t>
            </w:r>
          </w:p>
        </w:tc>
        <w:tc>
          <w:tcPr>
            <w:tcW w:w="5670" w:type="dxa"/>
            <w:vAlign w:val="center"/>
          </w:tcPr>
          <w:p w14:paraId="2F64ACF5" w14:textId="4BF593E1" w:rsidR="00F621C3" w:rsidRPr="004715B8" w:rsidRDefault="000F1855" w:rsidP="009163FC">
            <w:pPr>
              <w:jc w:val="both"/>
              <w:rPr>
                <w:rFonts w:ascii="Cambria" w:hAnsi="Cambria"/>
                <w:sz w:val="19"/>
                <w:szCs w:val="19"/>
              </w:rPr>
            </w:pPr>
            <w:r w:rsidRPr="004715B8">
              <w:rPr>
                <w:rFonts w:ascii="Cambria" w:hAnsi="Cambria"/>
                <w:sz w:val="19"/>
                <w:szCs w:val="19"/>
              </w:rPr>
              <w:t>June 15, 2016</w:t>
            </w:r>
          </w:p>
        </w:tc>
      </w:tr>
      <w:tr w:rsidR="00F621C3" w:rsidRPr="004715B8" w14:paraId="1720713E" w14:textId="77777777" w:rsidTr="00B06BB7">
        <w:trPr>
          <w:trHeight w:val="264"/>
        </w:trPr>
        <w:tc>
          <w:tcPr>
            <w:tcW w:w="3690" w:type="dxa"/>
            <w:tcBorders>
              <w:top w:val="single" w:sz="6" w:space="0" w:color="auto"/>
              <w:bottom w:val="single" w:sz="6" w:space="0" w:color="auto"/>
            </w:tcBorders>
            <w:shd w:val="clear" w:color="auto" w:fill="67AE3C"/>
            <w:vAlign w:val="center"/>
          </w:tcPr>
          <w:p w14:paraId="3239E74D" w14:textId="0555FBEF" w:rsidR="00F621C3" w:rsidRPr="004715B8" w:rsidRDefault="00F621C3" w:rsidP="009163FC">
            <w:pPr>
              <w:jc w:val="center"/>
              <w:rPr>
                <w:rFonts w:ascii="Cambria" w:hAnsi="Cambria"/>
                <w:color w:val="FFFFFF" w:themeColor="background1"/>
                <w:sz w:val="19"/>
                <w:szCs w:val="19"/>
              </w:rPr>
            </w:pPr>
            <w:r w:rsidRPr="004715B8">
              <w:rPr>
                <w:rFonts w:ascii="Cambria" w:hAnsi="Cambria"/>
                <w:color w:val="FFFFFF" w:themeColor="background1"/>
                <w:sz w:val="19"/>
                <w:szCs w:val="19"/>
              </w:rPr>
              <w:t>State’s first response</w:t>
            </w:r>
          </w:p>
        </w:tc>
        <w:tc>
          <w:tcPr>
            <w:tcW w:w="5670" w:type="dxa"/>
            <w:vAlign w:val="center"/>
          </w:tcPr>
          <w:p w14:paraId="726B3D6D" w14:textId="4AB6831B" w:rsidR="00F621C3" w:rsidRPr="004715B8" w:rsidRDefault="000F1855" w:rsidP="009163FC">
            <w:pPr>
              <w:jc w:val="both"/>
              <w:rPr>
                <w:rFonts w:ascii="Cambria" w:hAnsi="Cambria"/>
                <w:sz w:val="19"/>
                <w:szCs w:val="19"/>
              </w:rPr>
            </w:pPr>
            <w:r w:rsidRPr="004715B8">
              <w:rPr>
                <w:rFonts w:ascii="Cambria" w:hAnsi="Cambria"/>
                <w:sz w:val="19"/>
                <w:szCs w:val="19"/>
              </w:rPr>
              <w:t>May 9, 2017</w:t>
            </w:r>
          </w:p>
        </w:tc>
      </w:tr>
      <w:tr w:rsidR="003771A3" w:rsidRPr="004715B8" w14:paraId="536EFCAF" w14:textId="77777777" w:rsidTr="00B06BB7">
        <w:tc>
          <w:tcPr>
            <w:tcW w:w="3690" w:type="dxa"/>
            <w:tcBorders>
              <w:top w:val="single" w:sz="6" w:space="0" w:color="auto"/>
              <w:bottom w:val="single" w:sz="6" w:space="0" w:color="auto"/>
            </w:tcBorders>
            <w:shd w:val="clear" w:color="auto" w:fill="67AE3C"/>
            <w:vAlign w:val="center"/>
          </w:tcPr>
          <w:p w14:paraId="52A507B4" w14:textId="4EAEC069" w:rsidR="003771A3" w:rsidRPr="004715B8" w:rsidRDefault="003771A3" w:rsidP="0023351C">
            <w:pPr>
              <w:jc w:val="center"/>
              <w:rPr>
                <w:rFonts w:ascii="Cambria" w:hAnsi="Cambria"/>
                <w:color w:val="FFFFFF" w:themeColor="background1"/>
                <w:sz w:val="19"/>
                <w:szCs w:val="19"/>
              </w:rPr>
            </w:pPr>
            <w:r w:rsidRPr="004715B8">
              <w:rPr>
                <w:rFonts w:ascii="Cambria" w:hAnsi="Cambria"/>
                <w:color w:val="FFFFFF" w:themeColor="background1"/>
                <w:sz w:val="19"/>
                <w:szCs w:val="19"/>
              </w:rPr>
              <w:t>Additional observations from the petition</w:t>
            </w:r>
            <w:r w:rsidR="0023351C" w:rsidRPr="004715B8">
              <w:rPr>
                <w:rFonts w:ascii="Cambria" w:hAnsi="Cambria"/>
                <w:color w:val="FFFFFF" w:themeColor="background1"/>
                <w:sz w:val="19"/>
                <w:szCs w:val="19"/>
              </w:rPr>
              <w:t>er</w:t>
            </w:r>
          </w:p>
        </w:tc>
        <w:tc>
          <w:tcPr>
            <w:tcW w:w="5670" w:type="dxa"/>
            <w:vAlign w:val="center"/>
          </w:tcPr>
          <w:p w14:paraId="2025565D" w14:textId="6C5E92AB" w:rsidR="003771A3" w:rsidRPr="004715B8" w:rsidRDefault="000F1855" w:rsidP="009163FC">
            <w:pPr>
              <w:jc w:val="both"/>
              <w:rPr>
                <w:rFonts w:ascii="Cambria" w:hAnsi="Cambria"/>
                <w:sz w:val="19"/>
                <w:szCs w:val="19"/>
              </w:rPr>
            </w:pPr>
            <w:r w:rsidRPr="004715B8">
              <w:rPr>
                <w:rFonts w:ascii="Cambria" w:hAnsi="Cambria"/>
                <w:sz w:val="19"/>
                <w:szCs w:val="19"/>
              </w:rPr>
              <w:t>June 16 and 18, July 11, 2018</w:t>
            </w:r>
          </w:p>
        </w:tc>
      </w:tr>
      <w:tr w:rsidR="003771A3" w:rsidRPr="004715B8" w14:paraId="1CA7A420" w14:textId="77777777" w:rsidTr="00B06BB7">
        <w:tc>
          <w:tcPr>
            <w:tcW w:w="3690" w:type="dxa"/>
            <w:tcBorders>
              <w:top w:val="single" w:sz="6" w:space="0" w:color="auto"/>
              <w:bottom w:val="single" w:sz="6" w:space="0" w:color="auto"/>
            </w:tcBorders>
            <w:shd w:val="clear" w:color="auto" w:fill="67AE3C"/>
            <w:vAlign w:val="center"/>
          </w:tcPr>
          <w:p w14:paraId="63E0A9AD" w14:textId="21186C04" w:rsidR="003771A3" w:rsidRPr="004715B8" w:rsidRDefault="003771A3" w:rsidP="00653EA6">
            <w:pPr>
              <w:jc w:val="center"/>
              <w:rPr>
                <w:rFonts w:ascii="Cambria" w:hAnsi="Cambria"/>
                <w:color w:val="FFFFFF" w:themeColor="background1"/>
                <w:sz w:val="19"/>
                <w:szCs w:val="19"/>
              </w:rPr>
            </w:pPr>
            <w:r w:rsidRPr="004715B8">
              <w:rPr>
                <w:rFonts w:ascii="Cambria" w:hAnsi="Cambria"/>
                <w:color w:val="FFFFFF" w:themeColor="background1"/>
                <w:sz w:val="19"/>
                <w:szCs w:val="19"/>
              </w:rPr>
              <w:t>Additional observations from the State</w:t>
            </w:r>
          </w:p>
        </w:tc>
        <w:tc>
          <w:tcPr>
            <w:tcW w:w="5670" w:type="dxa"/>
            <w:vAlign w:val="center"/>
          </w:tcPr>
          <w:p w14:paraId="3CDA4576" w14:textId="365F1313" w:rsidR="003771A3" w:rsidRPr="004715B8" w:rsidRDefault="000F1855" w:rsidP="009163FC">
            <w:pPr>
              <w:jc w:val="both"/>
              <w:rPr>
                <w:rFonts w:ascii="Cambria" w:hAnsi="Cambria"/>
                <w:sz w:val="19"/>
                <w:szCs w:val="19"/>
              </w:rPr>
            </w:pPr>
            <w:r w:rsidRPr="004715B8">
              <w:rPr>
                <w:rFonts w:ascii="Cambria" w:hAnsi="Cambria"/>
                <w:sz w:val="19"/>
                <w:szCs w:val="19"/>
              </w:rPr>
              <w:t>April 10, 2019</w:t>
            </w:r>
          </w:p>
        </w:tc>
      </w:tr>
    </w:tbl>
    <w:p w14:paraId="23A1790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4715B8" w14:paraId="47576797" w14:textId="77777777" w:rsidTr="001F1902">
        <w:trPr>
          <w:cantSplit/>
        </w:trPr>
        <w:tc>
          <w:tcPr>
            <w:tcW w:w="3690" w:type="dxa"/>
            <w:tcBorders>
              <w:top w:val="single" w:sz="4" w:space="0" w:color="auto"/>
              <w:bottom w:val="single" w:sz="6" w:space="0" w:color="auto"/>
            </w:tcBorders>
            <w:shd w:val="clear" w:color="auto" w:fill="67AE3C"/>
            <w:vAlign w:val="center"/>
          </w:tcPr>
          <w:p w14:paraId="04ABF07C" w14:textId="435CBA96" w:rsidR="00F621C3" w:rsidRPr="004715B8" w:rsidRDefault="00F621C3" w:rsidP="009163FC">
            <w:pPr>
              <w:jc w:val="center"/>
              <w:rPr>
                <w:rFonts w:ascii="Cambria" w:hAnsi="Cambria"/>
                <w:i/>
                <w:color w:val="FFFFFF" w:themeColor="background1"/>
                <w:sz w:val="19"/>
                <w:szCs w:val="19"/>
              </w:rPr>
            </w:pPr>
            <w:r w:rsidRPr="004715B8">
              <w:rPr>
                <w:rFonts w:ascii="Cambria" w:hAnsi="Cambria"/>
                <w:i/>
                <w:color w:val="FFFFFF" w:themeColor="background1"/>
                <w:sz w:val="19"/>
                <w:szCs w:val="19"/>
              </w:rPr>
              <w:t>Ratione personae:</w:t>
            </w:r>
          </w:p>
        </w:tc>
        <w:tc>
          <w:tcPr>
            <w:tcW w:w="5670" w:type="dxa"/>
            <w:vAlign w:val="center"/>
          </w:tcPr>
          <w:p w14:paraId="533585B6" w14:textId="0E1B72FF" w:rsidR="00F621C3" w:rsidRPr="004715B8" w:rsidRDefault="000F1855" w:rsidP="009163FC">
            <w:pPr>
              <w:rPr>
                <w:rFonts w:asciiTheme="majorHAnsi" w:hAnsiTheme="majorHAnsi"/>
                <w:sz w:val="19"/>
                <w:szCs w:val="19"/>
              </w:rPr>
            </w:pPr>
            <w:r w:rsidRPr="004715B8">
              <w:rPr>
                <w:rFonts w:asciiTheme="majorHAnsi" w:hAnsiTheme="majorHAnsi"/>
                <w:sz w:val="19"/>
                <w:szCs w:val="19"/>
              </w:rPr>
              <w:t>Yes</w:t>
            </w:r>
          </w:p>
        </w:tc>
      </w:tr>
      <w:tr w:rsidR="00F621C3" w:rsidRPr="004715B8" w14:paraId="04CDAF0B" w14:textId="77777777" w:rsidTr="001F1902">
        <w:trPr>
          <w:cantSplit/>
        </w:trPr>
        <w:tc>
          <w:tcPr>
            <w:tcW w:w="3690" w:type="dxa"/>
            <w:tcBorders>
              <w:top w:val="single" w:sz="6" w:space="0" w:color="auto"/>
              <w:bottom w:val="single" w:sz="6" w:space="0" w:color="auto"/>
            </w:tcBorders>
            <w:shd w:val="clear" w:color="auto" w:fill="67AE3C"/>
            <w:vAlign w:val="center"/>
          </w:tcPr>
          <w:p w14:paraId="7F2DE8D7" w14:textId="576EE522" w:rsidR="00F621C3" w:rsidRPr="004715B8" w:rsidRDefault="00F621C3" w:rsidP="009163FC">
            <w:pPr>
              <w:jc w:val="center"/>
              <w:rPr>
                <w:rFonts w:ascii="Cambria" w:hAnsi="Cambria"/>
                <w:color w:val="FFFFFF" w:themeColor="background1"/>
                <w:sz w:val="19"/>
                <w:szCs w:val="19"/>
              </w:rPr>
            </w:pPr>
            <w:r w:rsidRPr="004715B8">
              <w:rPr>
                <w:rFonts w:ascii="Cambria" w:hAnsi="Cambria"/>
                <w:i/>
                <w:color w:val="FFFFFF" w:themeColor="background1"/>
                <w:sz w:val="19"/>
                <w:szCs w:val="19"/>
              </w:rPr>
              <w:t>Ratione loci</w:t>
            </w:r>
            <w:r w:rsidRPr="004715B8">
              <w:rPr>
                <w:rFonts w:ascii="Cambria" w:hAnsi="Cambria"/>
                <w:color w:val="FFFFFF" w:themeColor="background1"/>
                <w:sz w:val="19"/>
                <w:szCs w:val="19"/>
              </w:rPr>
              <w:t>:</w:t>
            </w:r>
          </w:p>
        </w:tc>
        <w:tc>
          <w:tcPr>
            <w:tcW w:w="5670" w:type="dxa"/>
            <w:vAlign w:val="center"/>
          </w:tcPr>
          <w:p w14:paraId="1F4A69E8" w14:textId="02A824BA" w:rsidR="00F621C3" w:rsidRPr="004715B8" w:rsidRDefault="000F1855" w:rsidP="009163FC">
            <w:pPr>
              <w:rPr>
                <w:rFonts w:asciiTheme="majorHAnsi" w:hAnsiTheme="majorHAnsi"/>
                <w:sz w:val="19"/>
                <w:szCs w:val="19"/>
              </w:rPr>
            </w:pPr>
            <w:r w:rsidRPr="004715B8">
              <w:rPr>
                <w:rFonts w:asciiTheme="majorHAnsi" w:hAnsiTheme="majorHAnsi"/>
                <w:sz w:val="19"/>
                <w:szCs w:val="19"/>
              </w:rPr>
              <w:t>Yes</w:t>
            </w:r>
          </w:p>
        </w:tc>
      </w:tr>
      <w:tr w:rsidR="00F621C3" w:rsidRPr="004715B8" w14:paraId="014B4CDE" w14:textId="77777777" w:rsidTr="001F1902">
        <w:trPr>
          <w:cantSplit/>
        </w:trPr>
        <w:tc>
          <w:tcPr>
            <w:tcW w:w="3690" w:type="dxa"/>
            <w:tcBorders>
              <w:top w:val="single" w:sz="6" w:space="0" w:color="auto"/>
              <w:bottom w:val="single" w:sz="6" w:space="0" w:color="auto"/>
            </w:tcBorders>
            <w:shd w:val="clear" w:color="auto" w:fill="67AE3C"/>
            <w:vAlign w:val="center"/>
          </w:tcPr>
          <w:p w14:paraId="61C0F097" w14:textId="54591E9E" w:rsidR="00F621C3" w:rsidRPr="004715B8" w:rsidRDefault="00F621C3" w:rsidP="009163FC">
            <w:pPr>
              <w:jc w:val="center"/>
              <w:rPr>
                <w:rFonts w:ascii="Cambria" w:hAnsi="Cambria"/>
                <w:color w:val="FFFFFF" w:themeColor="background1"/>
                <w:sz w:val="19"/>
                <w:szCs w:val="19"/>
              </w:rPr>
            </w:pPr>
            <w:r w:rsidRPr="004715B8">
              <w:rPr>
                <w:rFonts w:ascii="Cambria" w:hAnsi="Cambria"/>
                <w:i/>
                <w:color w:val="FFFFFF" w:themeColor="background1"/>
                <w:sz w:val="19"/>
                <w:szCs w:val="19"/>
              </w:rPr>
              <w:t>Ratione temporis</w:t>
            </w:r>
            <w:r w:rsidRPr="004715B8">
              <w:rPr>
                <w:rFonts w:ascii="Cambria" w:hAnsi="Cambria"/>
                <w:color w:val="FFFFFF" w:themeColor="background1"/>
                <w:sz w:val="19"/>
                <w:szCs w:val="19"/>
              </w:rPr>
              <w:t>:</w:t>
            </w:r>
          </w:p>
        </w:tc>
        <w:tc>
          <w:tcPr>
            <w:tcW w:w="5670" w:type="dxa"/>
            <w:vAlign w:val="center"/>
          </w:tcPr>
          <w:p w14:paraId="41DAC884" w14:textId="50661367" w:rsidR="00F621C3" w:rsidRPr="004715B8" w:rsidRDefault="000F1855" w:rsidP="009163FC">
            <w:pPr>
              <w:rPr>
                <w:rFonts w:asciiTheme="majorHAnsi" w:hAnsiTheme="majorHAnsi"/>
                <w:sz w:val="19"/>
                <w:szCs w:val="19"/>
              </w:rPr>
            </w:pPr>
            <w:r w:rsidRPr="004715B8">
              <w:rPr>
                <w:rFonts w:asciiTheme="majorHAnsi" w:hAnsiTheme="majorHAnsi"/>
                <w:sz w:val="19"/>
                <w:szCs w:val="19"/>
              </w:rPr>
              <w:t>Yes</w:t>
            </w:r>
          </w:p>
        </w:tc>
      </w:tr>
      <w:tr w:rsidR="00F621C3" w:rsidRPr="004715B8" w14:paraId="0BD62859" w14:textId="77777777" w:rsidTr="001F1902">
        <w:trPr>
          <w:cantSplit/>
        </w:trPr>
        <w:tc>
          <w:tcPr>
            <w:tcW w:w="3690" w:type="dxa"/>
            <w:tcBorders>
              <w:top w:val="single" w:sz="6" w:space="0" w:color="auto"/>
              <w:bottom w:val="single" w:sz="6" w:space="0" w:color="auto"/>
            </w:tcBorders>
            <w:shd w:val="clear" w:color="auto" w:fill="67AE3C"/>
            <w:vAlign w:val="center"/>
          </w:tcPr>
          <w:p w14:paraId="40D09D1E" w14:textId="79F8885C" w:rsidR="00F621C3" w:rsidRPr="004715B8" w:rsidRDefault="00F621C3" w:rsidP="009163FC">
            <w:pPr>
              <w:jc w:val="center"/>
              <w:rPr>
                <w:rFonts w:ascii="Cambria" w:hAnsi="Cambria"/>
                <w:color w:val="FFFFFF" w:themeColor="background1"/>
                <w:sz w:val="19"/>
                <w:szCs w:val="19"/>
              </w:rPr>
            </w:pPr>
            <w:r w:rsidRPr="004715B8">
              <w:rPr>
                <w:rFonts w:ascii="Cambria" w:hAnsi="Cambria"/>
                <w:i/>
                <w:color w:val="FFFFFF" w:themeColor="background1"/>
                <w:sz w:val="19"/>
                <w:szCs w:val="19"/>
              </w:rPr>
              <w:t>Ratione materiae</w:t>
            </w:r>
            <w:r w:rsidRPr="004715B8">
              <w:rPr>
                <w:rFonts w:ascii="Cambria" w:hAnsi="Cambria"/>
                <w:color w:val="FFFFFF" w:themeColor="background1"/>
                <w:sz w:val="19"/>
                <w:szCs w:val="19"/>
              </w:rPr>
              <w:t>:</w:t>
            </w:r>
          </w:p>
        </w:tc>
        <w:tc>
          <w:tcPr>
            <w:tcW w:w="5670" w:type="dxa"/>
            <w:vAlign w:val="center"/>
          </w:tcPr>
          <w:p w14:paraId="1E2851C8" w14:textId="0B7109FE" w:rsidR="00F621C3" w:rsidRPr="004715B8" w:rsidRDefault="000F1855" w:rsidP="009163FC">
            <w:pPr>
              <w:jc w:val="both"/>
              <w:rPr>
                <w:rFonts w:asciiTheme="majorHAnsi" w:hAnsiTheme="majorHAnsi"/>
                <w:sz w:val="19"/>
                <w:szCs w:val="19"/>
              </w:rPr>
            </w:pPr>
            <w:r w:rsidRPr="004715B8">
              <w:rPr>
                <w:rFonts w:asciiTheme="majorHAnsi" w:hAnsiTheme="majorHAnsi"/>
                <w:sz w:val="19"/>
                <w:szCs w:val="19"/>
              </w:rPr>
              <w:t>American Convention (deposit of instrument of ratification on September 8, 1977)</w:t>
            </w:r>
          </w:p>
        </w:tc>
      </w:tr>
    </w:tbl>
    <w:p w14:paraId="31D684C5"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4715B8" w14:paraId="1506495D" w14:textId="77777777" w:rsidTr="001F1902">
        <w:trPr>
          <w:cantSplit/>
        </w:trPr>
        <w:tc>
          <w:tcPr>
            <w:tcW w:w="3690" w:type="dxa"/>
            <w:tcBorders>
              <w:top w:val="single" w:sz="4" w:space="0" w:color="auto"/>
              <w:bottom w:val="single" w:sz="6" w:space="0" w:color="auto"/>
            </w:tcBorders>
            <w:shd w:val="clear" w:color="auto" w:fill="67AE3C"/>
            <w:vAlign w:val="center"/>
          </w:tcPr>
          <w:p w14:paraId="0DB05A61" w14:textId="40F49032" w:rsidR="00F621C3" w:rsidRPr="004715B8" w:rsidRDefault="00F621C3" w:rsidP="009163FC">
            <w:pPr>
              <w:jc w:val="center"/>
              <w:rPr>
                <w:rFonts w:ascii="Cambria" w:hAnsi="Cambria"/>
                <w:color w:val="FFFFFF" w:themeColor="background1"/>
                <w:sz w:val="19"/>
                <w:szCs w:val="19"/>
              </w:rPr>
            </w:pPr>
            <w:r w:rsidRPr="004715B8">
              <w:rPr>
                <w:rFonts w:ascii="Cambria" w:hAnsi="Cambria"/>
                <w:color w:val="FFFFFF" w:themeColor="background1"/>
                <w:sz w:val="19"/>
                <w:szCs w:val="19"/>
              </w:rPr>
              <w:t xml:space="preserve">Duplication of procedures and International </w:t>
            </w:r>
            <w:r w:rsidRPr="004715B8">
              <w:rPr>
                <w:rFonts w:ascii="Cambria" w:hAnsi="Cambria"/>
                <w:i/>
                <w:color w:val="FFFFFF" w:themeColor="background1"/>
                <w:sz w:val="19"/>
                <w:szCs w:val="19"/>
              </w:rPr>
              <w:t>res judicata</w:t>
            </w:r>
          </w:p>
        </w:tc>
        <w:tc>
          <w:tcPr>
            <w:tcW w:w="5670" w:type="dxa"/>
            <w:vAlign w:val="center"/>
          </w:tcPr>
          <w:p w14:paraId="4187E26D" w14:textId="2BBAE1E1" w:rsidR="00F621C3" w:rsidRPr="004715B8" w:rsidRDefault="000F1855" w:rsidP="009163FC">
            <w:pPr>
              <w:jc w:val="both"/>
              <w:rPr>
                <w:rFonts w:ascii="Cambria" w:hAnsi="Cambria"/>
                <w:sz w:val="19"/>
                <w:szCs w:val="19"/>
              </w:rPr>
            </w:pPr>
            <w:r w:rsidRPr="004715B8">
              <w:rPr>
                <w:rFonts w:ascii="Cambria" w:hAnsi="Cambria"/>
                <w:sz w:val="19"/>
                <w:szCs w:val="19"/>
              </w:rPr>
              <w:t>No</w:t>
            </w:r>
          </w:p>
        </w:tc>
      </w:tr>
      <w:tr w:rsidR="00F621C3" w:rsidRPr="004715B8" w14:paraId="6CAFDA95" w14:textId="77777777" w:rsidTr="001F1902">
        <w:trPr>
          <w:cantSplit/>
        </w:trPr>
        <w:tc>
          <w:tcPr>
            <w:tcW w:w="3690" w:type="dxa"/>
            <w:tcBorders>
              <w:top w:val="single" w:sz="6" w:space="0" w:color="auto"/>
              <w:bottom w:val="single" w:sz="6" w:space="0" w:color="auto"/>
            </w:tcBorders>
            <w:shd w:val="clear" w:color="auto" w:fill="67AE3C"/>
            <w:vAlign w:val="center"/>
          </w:tcPr>
          <w:p w14:paraId="2D393F7D" w14:textId="77777777" w:rsidR="00F621C3" w:rsidRPr="004715B8" w:rsidRDefault="00F621C3" w:rsidP="009163FC">
            <w:pPr>
              <w:jc w:val="center"/>
              <w:rPr>
                <w:rFonts w:ascii="Cambria" w:hAnsi="Cambria"/>
                <w:i/>
                <w:color w:val="FFFFFF" w:themeColor="background1"/>
                <w:sz w:val="19"/>
                <w:szCs w:val="19"/>
              </w:rPr>
            </w:pPr>
            <w:r w:rsidRPr="004715B8">
              <w:rPr>
                <w:rFonts w:ascii="Cambria" w:hAnsi="Cambria"/>
                <w:color w:val="FFFFFF" w:themeColor="background1"/>
                <w:sz w:val="19"/>
                <w:szCs w:val="19"/>
              </w:rPr>
              <w:t>Rights declared admissible</w:t>
            </w:r>
          </w:p>
        </w:tc>
        <w:tc>
          <w:tcPr>
            <w:tcW w:w="5670" w:type="dxa"/>
            <w:vAlign w:val="center"/>
          </w:tcPr>
          <w:p w14:paraId="08457BED" w14:textId="119D5731" w:rsidR="00F621C3" w:rsidRPr="004715B8" w:rsidRDefault="000F1855" w:rsidP="009163FC">
            <w:pPr>
              <w:jc w:val="both"/>
              <w:rPr>
                <w:rFonts w:ascii="Cambria" w:hAnsi="Cambria"/>
                <w:sz w:val="19"/>
                <w:szCs w:val="19"/>
              </w:rPr>
            </w:pPr>
            <w:r w:rsidRPr="004715B8">
              <w:rPr>
                <w:rFonts w:ascii="Cambria" w:hAnsi="Cambria"/>
                <w:sz w:val="19"/>
                <w:szCs w:val="19"/>
              </w:rPr>
              <w:t xml:space="preserve">Articles 5 (humane treatment), 7 (personal liberty), 8 (fair trial), 11 (privacy), and 25 (judicial protection) of the American Convention, in connection with its Articles 1.1 (obligation to respect rights) and 2 (domestic legal effects) </w:t>
            </w:r>
          </w:p>
        </w:tc>
      </w:tr>
      <w:tr w:rsidR="00F621C3" w:rsidRPr="004715B8" w14:paraId="3D9AEA74" w14:textId="77777777" w:rsidTr="001F1902">
        <w:trPr>
          <w:cantSplit/>
        </w:trPr>
        <w:tc>
          <w:tcPr>
            <w:tcW w:w="3690" w:type="dxa"/>
            <w:tcBorders>
              <w:top w:val="single" w:sz="6" w:space="0" w:color="auto"/>
              <w:bottom w:val="single" w:sz="6" w:space="0" w:color="auto"/>
            </w:tcBorders>
            <w:shd w:val="clear" w:color="auto" w:fill="67AE3C"/>
            <w:vAlign w:val="center"/>
          </w:tcPr>
          <w:p w14:paraId="31617BC4" w14:textId="38ED5E6D" w:rsidR="00F621C3" w:rsidRPr="004715B8" w:rsidRDefault="00F621C3" w:rsidP="009163FC">
            <w:pPr>
              <w:jc w:val="center"/>
              <w:rPr>
                <w:rFonts w:ascii="Cambria" w:hAnsi="Cambria"/>
                <w:color w:val="FFFFFF" w:themeColor="background1"/>
                <w:sz w:val="19"/>
                <w:szCs w:val="19"/>
              </w:rPr>
            </w:pPr>
            <w:r w:rsidRPr="004715B8">
              <w:rPr>
                <w:rFonts w:ascii="Cambria" w:hAnsi="Cambria"/>
                <w:color w:val="FFFFFF" w:themeColor="background1"/>
                <w:sz w:val="19"/>
                <w:szCs w:val="19"/>
              </w:rPr>
              <w:t xml:space="preserve">Exhaustion </w:t>
            </w:r>
            <w:r w:rsidR="00312C73">
              <w:rPr>
                <w:rFonts w:ascii="Cambria" w:hAnsi="Cambria"/>
                <w:color w:val="FFFFFF" w:themeColor="background1"/>
                <w:sz w:val="19"/>
                <w:szCs w:val="19"/>
              </w:rPr>
              <w:t>or exception to the exhaustion of</w:t>
            </w:r>
            <w:r w:rsidRPr="004715B8">
              <w:rPr>
                <w:rFonts w:ascii="Cambria" w:hAnsi="Cambria"/>
                <w:color w:val="FFFFFF" w:themeColor="background1"/>
                <w:sz w:val="19"/>
                <w:szCs w:val="19"/>
              </w:rPr>
              <w:t xml:space="preserve"> domestic remedies</w:t>
            </w:r>
          </w:p>
        </w:tc>
        <w:tc>
          <w:tcPr>
            <w:tcW w:w="5670" w:type="dxa"/>
            <w:vAlign w:val="center"/>
          </w:tcPr>
          <w:p w14:paraId="413C33C5" w14:textId="6104801A" w:rsidR="00F621C3" w:rsidRPr="004715B8" w:rsidRDefault="00134C99" w:rsidP="009163FC">
            <w:pPr>
              <w:rPr>
                <w:rFonts w:ascii="Cambria" w:hAnsi="Cambria"/>
                <w:sz w:val="19"/>
                <w:szCs w:val="19"/>
              </w:rPr>
            </w:pPr>
            <w:r>
              <w:rPr>
                <w:rFonts w:ascii="Cambria" w:hAnsi="Cambria"/>
                <w:sz w:val="19"/>
                <w:szCs w:val="19"/>
              </w:rPr>
              <w:t>E</w:t>
            </w:r>
            <w:r w:rsidR="000F1855" w:rsidRPr="004715B8">
              <w:rPr>
                <w:rFonts w:ascii="Cambria" w:hAnsi="Cambria"/>
                <w:sz w:val="19"/>
                <w:szCs w:val="19"/>
              </w:rPr>
              <w:t xml:space="preserve">xception </w:t>
            </w:r>
            <w:r>
              <w:rPr>
                <w:rFonts w:ascii="Cambria" w:hAnsi="Cambria"/>
                <w:sz w:val="19"/>
                <w:szCs w:val="19"/>
              </w:rPr>
              <w:t xml:space="preserve">set forth </w:t>
            </w:r>
            <w:r w:rsidR="000F1855" w:rsidRPr="004715B8">
              <w:rPr>
                <w:rFonts w:ascii="Cambria" w:hAnsi="Cambria"/>
                <w:sz w:val="19"/>
                <w:szCs w:val="19"/>
              </w:rPr>
              <w:t>in Article 46.2.c</w:t>
            </w:r>
            <w:r>
              <w:rPr>
                <w:rFonts w:ascii="Cambria" w:hAnsi="Cambria"/>
                <w:sz w:val="19"/>
                <w:szCs w:val="19"/>
              </w:rPr>
              <w:t xml:space="preserve"> apply</w:t>
            </w:r>
            <w:r w:rsidR="000F1855" w:rsidRPr="004715B8">
              <w:rPr>
                <w:rFonts w:ascii="Cambria" w:hAnsi="Cambria"/>
                <w:sz w:val="19"/>
                <w:szCs w:val="19"/>
              </w:rPr>
              <w:t>, in the terms of Section VI</w:t>
            </w:r>
          </w:p>
        </w:tc>
      </w:tr>
      <w:tr w:rsidR="00F621C3" w:rsidRPr="004715B8" w14:paraId="0805E6A9" w14:textId="77777777" w:rsidTr="001F1902">
        <w:trPr>
          <w:cantSplit/>
        </w:trPr>
        <w:tc>
          <w:tcPr>
            <w:tcW w:w="3690" w:type="dxa"/>
            <w:tcBorders>
              <w:top w:val="single" w:sz="6" w:space="0" w:color="auto"/>
              <w:bottom w:val="single" w:sz="6" w:space="0" w:color="auto"/>
            </w:tcBorders>
            <w:shd w:val="clear" w:color="auto" w:fill="67AE3C"/>
            <w:vAlign w:val="center"/>
          </w:tcPr>
          <w:p w14:paraId="7B212E77" w14:textId="772BE522" w:rsidR="00F621C3" w:rsidRPr="004715B8" w:rsidRDefault="00F621C3" w:rsidP="009163FC">
            <w:pPr>
              <w:jc w:val="center"/>
              <w:rPr>
                <w:rFonts w:ascii="Cambria" w:hAnsi="Cambria"/>
                <w:color w:val="FFFFFF" w:themeColor="background1"/>
                <w:sz w:val="19"/>
                <w:szCs w:val="19"/>
              </w:rPr>
            </w:pPr>
            <w:r w:rsidRPr="004715B8">
              <w:rPr>
                <w:rFonts w:ascii="Cambria" w:hAnsi="Cambria"/>
                <w:color w:val="FFFFFF" w:themeColor="background1"/>
                <w:sz w:val="19"/>
                <w:szCs w:val="19"/>
              </w:rPr>
              <w:t>Timeliness of the petition</w:t>
            </w:r>
          </w:p>
        </w:tc>
        <w:tc>
          <w:tcPr>
            <w:tcW w:w="5670" w:type="dxa"/>
            <w:vAlign w:val="center"/>
          </w:tcPr>
          <w:p w14:paraId="430092A0" w14:textId="6DA42F08" w:rsidR="00F621C3" w:rsidRPr="004715B8" w:rsidRDefault="000F1855" w:rsidP="009163FC">
            <w:pPr>
              <w:rPr>
                <w:rFonts w:asciiTheme="majorHAnsi" w:hAnsiTheme="majorHAnsi"/>
                <w:sz w:val="19"/>
                <w:szCs w:val="19"/>
              </w:rPr>
            </w:pPr>
            <w:r w:rsidRPr="004715B8">
              <w:rPr>
                <w:rFonts w:asciiTheme="majorHAnsi" w:hAnsiTheme="majorHAnsi"/>
                <w:sz w:val="19"/>
                <w:szCs w:val="19"/>
              </w:rPr>
              <w:t>Yes, in the terms of Section VI</w:t>
            </w:r>
          </w:p>
        </w:tc>
      </w:tr>
    </w:tbl>
    <w:p w14:paraId="5D802A1F" w14:textId="054C5956" w:rsidR="00B06BB7" w:rsidRDefault="00B06BB7">
      <w:pPr>
        <w:rPr>
          <w:rFonts w:asciiTheme="majorHAnsi" w:hAnsiTheme="majorHAnsi"/>
          <w:b/>
          <w:sz w:val="20"/>
          <w:szCs w:val="20"/>
        </w:rPr>
      </w:pPr>
    </w:p>
    <w:p w14:paraId="6CAE7D27" w14:textId="5CEE5B8E" w:rsidR="00963305" w:rsidRPr="00963305" w:rsidRDefault="00F621C3" w:rsidP="00963305">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4715B8">
        <w:rPr>
          <w:rFonts w:asciiTheme="majorHAnsi" w:hAnsiTheme="majorHAnsi"/>
          <w:b/>
          <w:sz w:val="20"/>
          <w:szCs w:val="20"/>
        </w:rPr>
        <w:t xml:space="preserve">SUMMARY OF </w:t>
      </w:r>
      <w:r w:rsidRPr="000B6B7A">
        <w:rPr>
          <w:rFonts w:asciiTheme="majorHAnsi" w:hAnsiTheme="majorHAnsi"/>
          <w:b/>
          <w:sz w:val="20"/>
          <w:szCs w:val="20"/>
        </w:rPr>
        <w:t xml:space="preserve">ALLEGED FACTS </w:t>
      </w:r>
    </w:p>
    <w:p w14:paraId="3C176CBB" w14:textId="70AE6A37" w:rsidR="007B0DDA" w:rsidRPr="00EA1C5D" w:rsidRDefault="007B0DDA" w:rsidP="007B0D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Alicia Trinidad Paz Meza, the petitioner and alleged victim, </w:t>
      </w:r>
      <w:r w:rsidR="00134C99">
        <w:rPr>
          <w:rFonts w:ascii="Cambria" w:hAnsi="Cambria"/>
          <w:sz w:val="20"/>
          <w:szCs w:val="20"/>
          <w:lang w:val="en"/>
        </w:rPr>
        <w:t>asserts</w:t>
      </w:r>
      <w:r>
        <w:rPr>
          <w:rFonts w:ascii="Cambria" w:hAnsi="Cambria"/>
          <w:sz w:val="20"/>
          <w:szCs w:val="20"/>
          <w:lang w:val="en"/>
        </w:rPr>
        <w:t xml:space="preserve"> the responsibility of the State of Honduras for it violated her rights to due process, humane treatment, and effective judicial protection in a criminal trial filed against her, during which she was held in temporary detention. She claims that, in prison, she was subjected to torture and cruel, inhuman, or degrading treatment. </w:t>
      </w:r>
    </w:p>
    <w:p w14:paraId="69B30F7B" w14:textId="61F15E49" w:rsidR="007B0DDA" w:rsidRPr="00EA1C5D" w:rsidRDefault="007B0DDA" w:rsidP="007B0D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The alleged victim, a lawyer, indicates that on August 3, 2002, at a special </w:t>
      </w:r>
      <w:r w:rsidR="004B043D">
        <w:rPr>
          <w:rFonts w:ascii="Cambria" w:hAnsi="Cambria"/>
          <w:sz w:val="20"/>
          <w:szCs w:val="20"/>
          <w:lang w:val="en"/>
        </w:rPr>
        <w:t>assembly</w:t>
      </w:r>
      <w:r>
        <w:rPr>
          <w:rFonts w:ascii="Cambria" w:hAnsi="Cambria"/>
          <w:sz w:val="20"/>
          <w:szCs w:val="20"/>
          <w:lang w:val="en"/>
        </w:rPr>
        <w:t xml:space="preserve"> of the Lawyers Association </w:t>
      </w:r>
      <w:r w:rsidR="00134C99">
        <w:rPr>
          <w:rFonts w:ascii="Cambria" w:hAnsi="Cambria"/>
          <w:sz w:val="20"/>
          <w:szCs w:val="20"/>
          <w:lang w:val="en"/>
        </w:rPr>
        <w:t>for which</w:t>
      </w:r>
      <w:r>
        <w:rPr>
          <w:rFonts w:ascii="Cambria" w:hAnsi="Cambria"/>
          <w:sz w:val="20"/>
          <w:szCs w:val="20"/>
          <w:lang w:val="en"/>
        </w:rPr>
        <w:t xml:space="preserve"> she </w:t>
      </w:r>
      <w:r w:rsidR="00134C99">
        <w:rPr>
          <w:rFonts w:ascii="Cambria" w:hAnsi="Cambria"/>
          <w:sz w:val="20"/>
          <w:szCs w:val="20"/>
          <w:lang w:val="en"/>
        </w:rPr>
        <w:t>was present</w:t>
      </w:r>
      <w:r>
        <w:rPr>
          <w:rFonts w:ascii="Cambria" w:hAnsi="Cambria"/>
          <w:sz w:val="20"/>
          <w:szCs w:val="20"/>
          <w:lang w:val="en"/>
        </w:rPr>
        <w:t xml:space="preserve">, members decided to substitute the Association’s Board of Directors and remove the 15 judges of the Honduran Supreme Court of Justice. Subsequently, the ousted Board of Directors filed an appeal with the Court for Contentious Administrative Matters </w:t>
      </w:r>
      <w:r>
        <w:rPr>
          <w:rFonts w:ascii="Cambria" w:hAnsi="Cambria"/>
          <w:i/>
          <w:iCs/>
          <w:sz w:val="20"/>
          <w:szCs w:val="20"/>
          <w:lang w:val="en"/>
        </w:rPr>
        <w:t>(Juzgado de Letras de lo Contencioso Administrativo</w:t>
      </w:r>
      <w:r>
        <w:rPr>
          <w:rFonts w:ascii="Cambria" w:hAnsi="Cambria"/>
          <w:sz w:val="20"/>
          <w:szCs w:val="20"/>
          <w:lang w:val="en"/>
        </w:rPr>
        <w:t xml:space="preserve">), seeking to nullify the new provisional Board of Directors elect and the Ethics Committee of the Lawyers Association. It also filed a complaint before the Public Prosecutor’s Office </w:t>
      </w:r>
      <w:r>
        <w:rPr>
          <w:rFonts w:ascii="Cambria" w:hAnsi="Cambria"/>
          <w:sz w:val="20"/>
          <w:szCs w:val="20"/>
          <w:lang w:val="en"/>
        </w:rPr>
        <w:lastRenderedPageBreak/>
        <w:t xml:space="preserve">against the new members, including the alleged victim, although she claims she never accepted her appointment. On August 9, 2002, the public prosecutor’s office requested the pretrial detention of the new members of the Board of Directors and the Ethics Committee of the Lawyers Association, for crime against the State to the detriment of internal security, and contempt to the detriment of public administration. </w:t>
      </w:r>
    </w:p>
    <w:p w14:paraId="1565E1D0" w14:textId="1CA3B7C0" w:rsidR="007B0DDA" w:rsidRDefault="007B0DDA" w:rsidP="004B04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The alleged victim submits that on August 14, 2002, she was summoned to testify about the </w:t>
      </w:r>
      <w:r w:rsidR="004B043D">
        <w:rPr>
          <w:rFonts w:ascii="Cambria" w:hAnsi="Cambria"/>
          <w:sz w:val="20"/>
          <w:szCs w:val="20"/>
          <w:lang w:val="en"/>
        </w:rPr>
        <w:t>assembly</w:t>
      </w:r>
      <w:r>
        <w:rPr>
          <w:rFonts w:ascii="Cambria" w:hAnsi="Cambria"/>
          <w:sz w:val="20"/>
          <w:szCs w:val="20"/>
          <w:lang w:val="en"/>
        </w:rPr>
        <w:t>, before the criminal court (</w:t>
      </w:r>
      <w:r>
        <w:rPr>
          <w:rFonts w:ascii="Cambria" w:hAnsi="Cambria"/>
          <w:i/>
          <w:iCs/>
          <w:sz w:val="20"/>
          <w:szCs w:val="20"/>
          <w:lang w:val="en"/>
        </w:rPr>
        <w:t>Juzgado Unificado de lo Penal</w:t>
      </w:r>
      <w:r>
        <w:rPr>
          <w:rFonts w:ascii="Cambria" w:hAnsi="Cambria"/>
          <w:sz w:val="20"/>
          <w:szCs w:val="20"/>
          <w:lang w:val="en"/>
        </w:rPr>
        <w:t xml:space="preserve">) of Francisco Morazán department. According to her, </w:t>
      </w:r>
      <w:r w:rsidRPr="00D93C4D">
        <w:rPr>
          <w:rFonts w:ascii="Cambria" w:hAnsi="Cambria"/>
          <w:sz w:val="20"/>
          <w:szCs w:val="20"/>
          <w:lang w:val="en"/>
        </w:rPr>
        <w:t>only</w:t>
      </w:r>
      <w:r w:rsidR="00D93C4D">
        <w:rPr>
          <w:rFonts w:ascii="Cambria" w:hAnsi="Cambria"/>
          <w:sz w:val="20"/>
          <w:szCs w:val="20"/>
          <w:lang w:val="en"/>
        </w:rPr>
        <w:t xml:space="preserve"> in court </w:t>
      </w:r>
      <w:r w:rsidRPr="00D44F59">
        <w:rPr>
          <w:rFonts w:ascii="Cambria" w:hAnsi="Cambria"/>
          <w:sz w:val="20"/>
          <w:szCs w:val="20"/>
          <w:lang w:val="en"/>
        </w:rPr>
        <w:t>was she formally accused</w:t>
      </w:r>
      <w:r>
        <w:rPr>
          <w:rFonts w:ascii="Cambria" w:hAnsi="Cambria"/>
          <w:sz w:val="20"/>
          <w:szCs w:val="20"/>
          <w:lang w:val="en"/>
        </w:rPr>
        <w:t xml:space="preserve">—she thought she had been summoned as a witness. The hearing began on August 16, </w:t>
      </w:r>
      <w:r w:rsidRPr="00F2238F">
        <w:rPr>
          <w:rFonts w:ascii="Cambria" w:hAnsi="Cambria"/>
          <w:sz w:val="20"/>
          <w:szCs w:val="20"/>
          <w:lang w:val="en"/>
        </w:rPr>
        <w:t>after which</w:t>
      </w:r>
      <w:r>
        <w:rPr>
          <w:rFonts w:ascii="Cambria" w:hAnsi="Cambria"/>
          <w:sz w:val="20"/>
          <w:szCs w:val="20"/>
          <w:lang w:val="en"/>
        </w:rPr>
        <w:t xml:space="preserve"> the court ordered the alleged victim’s detention and summoned the parties for an initial hearing on August 20, 2002. Thus, the alleged victim was taken to the investigative police headquarters, where she was held for six days. At the hearing on August 20, </w:t>
      </w:r>
      <w:r w:rsidR="004B043D">
        <w:rPr>
          <w:rFonts w:ascii="Cambria" w:hAnsi="Cambria"/>
          <w:sz w:val="20"/>
          <w:szCs w:val="20"/>
          <w:lang w:val="en"/>
        </w:rPr>
        <w:t>t</w:t>
      </w:r>
      <w:r w:rsidR="004B043D" w:rsidRPr="004B043D">
        <w:rPr>
          <w:rFonts w:ascii="Cambria" w:hAnsi="Cambria"/>
          <w:sz w:val="20"/>
          <w:szCs w:val="20"/>
          <w:lang w:val="en"/>
        </w:rPr>
        <w:t xml:space="preserve">he court concluded that there was </w:t>
      </w:r>
      <w:r w:rsidR="004B043D">
        <w:rPr>
          <w:rFonts w:ascii="Cambria" w:hAnsi="Cambria"/>
          <w:sz w:val="20"/>
          <w:szCs w:val="20"/>
          <w:lang w:val="en"/>
        </w:rPr>
        <w:t>enough</w:t>
      </w:r>
      <w:r w:rsidR="004B043D" w:rsidRPr="004B043D">
        <w:rPr>
          <w:rFonts w:ascii="Cambria" w:hAnsi="Cambria"/>
          <w:sz w:val="20"/>
          <w:szCs w:val="20"/>
          <w:lang w:val="en"/>
        </w:rPr>
        <w:t xml:space="preserve"> evidence of the commission of the crimes for which the Public Prosecutor's Office had </w:t>
      </w:r>
      <w:r w:rsidR="00301674">
        <w:rPr>
          <w:rFonts w:ascii="Cambria" w:hAnsi="Cambria"/>
          <w:sz w:val="20"/>
          <w:szCs w:val="20"/>
          <w:lang w:val="en"/>
        </w:rPr>
        <w:t>brought</w:t>
      </w:r>
      <w:r w:rsidR="004B043D" w:rsidRPr="004B043D">
        <w:rPr>
          <w:rFonts w:ascii="Cambria" w:hAnsi="Cambria"/>
          <w:sz w:val="20"/>
          <w:szCs w:val="20"/>
          <w:lang w:val="en"/>
        </w:rPr>
        <w:t xml:space="preserve"> charges</w:t>
      </w:r>
      <w:r>
        <w:rPr>
          <w:rFonts w:ascii="Cambria" w:hAnsi="Cambria"/>
          <w:sz w:val="20"/>
          <w:szCs w:val="20"/>
          <w:lang w:val="en"/>
        </w:rPr>
        <w:t xml:space="preserve">, as well as enough evidence to find the alleged victim guilty of these charges. </w:t>
      </w:r>
      <w:r w:rsidR="00301674">
        <w:rPr>
          <w:rFonts w:ascii="Cambria" w:hAnsi="Cambria"/>
          <w:sz w:val="20"/>
          <w:szCs w:val="20"/>
          <w:lang w:val="en"/>
        </w:rPr>
        <w:t>T</w:t>
      </w:r>
      <w:r>
        <w:rPr>
          <w:rFonts w:ascii="Cambria" w:hAnsi="Cambria"/>
          <w:sz w:val="20"/>
          <w:szCs w:val="20"/>
          <w:lang w:val="en"/>
        </w:rPr>
        <w:t xml:space="preserve">he court </w:t>
      </w:r>
      <w:r w:rsidR="00301674">
        <w:rPr>
          <w:rFonts w:ascii="Cambria" w:hAnsi="Cambria"/>
          <w:sz w:val="20"/>
          <w:szCs w:val="20"/>
          <w:lang w:val="en"/>
        </w:rPr>
        <w:t xml:space="preserve">granted the alleged victim temporary </w:t>
      </w:r>
      <w:r w:rsidR="00BF77CE">
        <w:rPr>
          <w:rFonts w:ascii="Cambria" w:hAnsi="Cambria"/>
          <w:sz w:val="20"/>
          <w:szCs w:val="20"/>
          <w:lang w:val="en"/>
        </w:rPr>
        <w:t>precautionary measures</w:t>
      </w:r>
      <w:r w:rsidR="00301674">
        <w:rPr>
          <w:rFonts w:ascii="Cambria" w:hAnsi="Cambria"/>
          <w:sz w:val="20"/>
          <w:szCs w:val="20"/>
          <w:lang w:val="en"/>
        </w:rPr>
        <w:t xml:space="preserve"> instead of an </w:t>
      </w:r>
      <w:r w:rsidR="00301674" w:rsidRPr="00CC2946">
        <w:rPr>
          <w:rFonts w:ascii="Cambria" w:hAnsi="Cambria"/>
          <w:sz w:val="20"/>
          <w:szCs w:val="20"/>
          <w:lang w:val="en"/>
        </w:rPr>
        <w:t>order</w:t>
      </w:r>
      <w:r w:rsidR="00301674">
        <w:rPr>
          <w:rFonts w:ascii="Cambria" w:hAnsi="Cambria"/>
          <w:sz w:val="20"/>
          <w:szCs w:val="20"/>
          <w:lang w:val="en"/>
        </w:rPr>
        <w:t xml:space="preserve"> of detention pending trial, </w:t>
      </w:r>
      <w:r>
        <w:rPr>
          <w:rFonts w:ascii="Cambria" w:hAnsi="Cambria"/>
          <w:sz w:val="20"/>
          <w:szCs w:val="20"/>
          <w:lang w:val="en"/>
        </w:rPr>
        <w:t xml:space="preserve">that prevented her leaving the country without the court’s permission and demanded </w:t>
      </w:r>
      <w:r w:rsidR="0054635E">
        <w:rPr>
          <w:rFonts w:ascii="Cambria" w:hAnsi="Cambria"/>
          <w:sz w:val="20"/>
          <w:szCs w:val="20"/>
          <w:lang w:val="en"/>
        </w:rPr>
        <w:t xml:space="preserve">that </w:t>
      </w:r>
      <w:r>
        <w:rPr>
          <w:rFonts w:ascii="Cambria" w:hAnsi="Cambria"/>
          <w:sz w:val="20"/>
          <w:szCs w:val="20"/>
          <w:lang w:val="en"/>
        </w:rPr>
        <w:t>she appear</w:t>
      </w:r>
      <w:r w:rsidR="00D83F34">
        <w:rPr>
          <w:rFonts w:ascii="Cambria" w:hAnsi="Cambria"/>
          <w:sz w:val="20"/>
          <w:szCs w:val="20"/>
          <w:lang w:val="en"/>
        </w:rPr>
        <w:t>s</w:t>
      </w:r>
      <w:r>
        <w:rPr>
          <w:rFonts w:ascii="Cambria" w:hAnsi="Cambria"/>
          <w:sz w:val="20"/>
          <w:szCs w:val="20"/>
          <w:lang w:val="en"/>
        </w:rPr>
        <w:t xml:space="preserve"> in court once a month</w:t>
      </w:r>
      <w:r w:rsidR="00301674">
        <w:rPr>
          <w:rFonts w:ascii="Cambria" w:hAnsi="Cambria"/>
          <w:sz w:val="20"/>
          <w:szCs w:val="20"/>
          <w:lang w:val="en"/>
        </w:rPr>
        <w:t>, and ordered her release from prison</w:t>
      </w:r>
      <w:r>
        <w:rPr>
          <w:rFonts w:ascii="Cambria" w:hAnsi="Cambria"/>
          <w:sz w:val="20"/>
          <w:szCs w:val="20"/>
          <w:lang w:val="en"/>
        </w:rPr>
        <w:t xml:space="preserve">. </w:t>
      </w:r>
    </w:p>
    <w:p w14:paraId="0094B345" w14:textId="7B9B89C1" w:rsidR="007B0DDA" w:rsidRPr="00EA1C5D" w:rsidRDefault="007B0DDA" w:rsidP="006914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On September 16, 2002, Court of Appeals No. 1 upheld</w:t>
      </w:r>
      <w:r w:rsidR="00BF77CE">
        <w:rPr>
          <w:rFonts w:ascii="Cambria" w:hAnsi="Cambria"/>
          <w:sz w:val="20"/>
          <w:szCs w:val="20"/>
          <w:lang w:val="en"/>
        </w:rPr>
        <w:t xml:space="preserve"> a</w:t>
      </w:r>
      <w:r>
        <w:rPr>
          <w:rFonts w:ascii="Cambria" w:hAnsi="Cambria"/>
          <w:sz w:val="20"/>
          <w:szCs w:val="20"/>
          <w:lang w:val="en"/>
        </w:rPr>
        <w:t xml:space="preserve"> resolution dated August 20, 2002, regarding the alleged victim’s criminal responsibility and the </w:t>
      </w:r>
      <w:r w:rsidR="00BF77CE">
        <w:rPr>
          <w:rFonts w:ascii="Cambria" w:hAnsi="Cambria"/>
          <w:sz w:val="20"/>
          <w:szCs w:val="20"/>
          <w:lang w:val="en"/>
        </w:rPr>
        <w:t>precautionary measures</w:t>
      </w:r>
      <w:r>
        <w:rPr>
          <w:rFonts w:ascii="Cambria" w:hAnsi="Cambria"/>
          <w:sz w:val="20"/>
          <w:szCs w:val="20"/>
          <w:lang w:val="en"/>
        </w:rPr>
        <w:t xml:space="preserve">. The alleged victim filed an appeal, but it was dismissed on September 20, 2002. She indicates that on September 25 and October 23, 2002, she </w:t>
      </w:r>
      <w:r w:rsidR="008C3389">
        <w:rPr>
          <w:rFonts w:ascii="Cambria" w:hAnsi="Cambria"/>
          <w:sz w:val="20"/>
          <w:szCs w:val="20"/>
          <w:lang w:val="en"/>
        </w:rPr>
        <w:t>presented an amparo</w:t>
      </w:r>
      <w:r w:rsidR="0069142B">
        <w:rPr>
          <w:rFonts w:ascii="Cambria" w:hAnsi="Cambria"/>
          <w:sz w:val="20"/>
          <w:szCs w:val="20"/>
          <w:lang w:val="en"/>
        </w:rPr>
        <w:t xml:space="preserve"> action</w:t>
      </w:r>
      <w:r w:rsidR="008C3389">
        <w:rPr>
          <w:rFonts w:ascii="Cambria" w:hAnsi="Cambria"/>
          <w:sz w:val="20"/>
          <w:szCs w:val="20"/>
          <w:lang w:val="en"/>
        </w:rPr>
        <w:t xml:space="preserve"> against the</w:t>
      </w:r>
      <w:r>
        <w:rPr>
          <w:rFonts w:ascii="Cambria" w:hAnsi="Cambria"/>
          <w:sz w:val="20"/>
          <w:szCs w:val="20"/>
          <w:lang w:val="en"/>
        </w:rPr>
        <w:t xml:space="preserve"> judgment given on September 16, 2002, before the Supreme Court of Justice. The outcome of these </w:t>
      </w:r>
      <w:r w:rsidR="008C3389">
        <w:rPr>
          <w:rFonts w:ascii="Cambria" w:hAnsi="Cambria"/>
          <w:sz w:val="20"/>
          <w:szCs w:val="20"/>
          <w:lang w:val="en"/>
        </w:rPr>
        <w:t>recourses</w:t>
      </w:r>
      <w:r>
        <w:rPr>
          <w:rFonts w:ascii="Cambria" w:hAnsi="Cambria"/>
          <w:sz w:val="20"/>
          <w:szCs w:val="20"/>
          <w:lang w:val="en"/>
        </w:rPr>
        <w:t xml:space="preserve"> is unknown. On June 23, 2003, the prosecuting attorney filed a complaint against the </w:t>
      </w:r>
      <w:r w:rsidR="002B5272">
        <w:rPr>
          <w:rFonts w:ascii="Cambria" w:hAnsi="Cambria"/>
          <w:sz w:val="20"/>
          <w:szCs w:val="20"/>
          <w:lang w:val="en"/>
        </w:rPr>
        <w:t>alleged victim</w:t>
      </w:r>
      <w:r>
        <w:rPr>
          <w:rFonts w:ascii="Cambria" w:hAnsi="Cambria"/>
          <w:sz w:val="20"/>
          <w:szCs w:val="20"/>
          <w:lang w:val="en"/>
        </w:rPr>
        <w:t>, whereas the defense filed a motion to dismiss. On June 26, 2003, the criminal court granted the motion to dismiss in favor of the alleged victim, given the violation of her right to due process in that the request for a preliminary hearing was overdue. It also ordered t</w:t>
      </w:r>
      <w:r w:rsidR="00A60D5E">
        <w:rPr>
          <w:rFonts w:ascii="Cambria" w:hAnsi="Cambria"/>
          <w:sz w:val="20"/>
          <w:szCs w:val="20"/>
          <w:lang w:val="en"/>
        </w:rPr>
        <w:t>he</w:t>
      </w:r>
      <w:r>
        <w:rPr>
          <w:rFonts w:ascii="Cambria" w:hAnsi="Cambria"/>
          <w:sz w:val="20"/>
          <w:szCs w:val="20"/>
          <w:lang w:val="en"/>
        </w:rPr>
        <w:t xml:space="preserve"> release</w:t>
      </w:r>
      <w:r w:rsidR="00A60D5E">
        <w:rPr>
          <w:rFonts w:ascii="Cambria" w:hAnsi="Cambria"/>
          <w:sz w:val="20"/>
          <w:szCs w:val="20"/>
          <w:lang w:val="en"/>
        </w:rPr>
        <w:t xml:space="preserve"> of</w:t>
      </w:r>
      <w:r>
        <w:rPr>
          <w:rFonts w:ascii="Cambria" w:hAnsi="Cambria"/>
          <w:sz w:val="20"/>
          <w:szCs w:val="20"/>
          <w:lang w:val="en"/>
        </w:rPr>
        <w:t xml:space="preserve"> the alleged victim and lift</w:t>
      </w:r>
      <w:r w:rsidR="0087599E">
        <w:rPr>
          <w:rFonts w:ascii="Cambria" w:hAnsi="Cambria"/>
          <w:sz w:val="20"/>
          <w:szCs w:val="20"/>
          <w:lang w:val="en"/>
        </w:rPr>
        <w:t>ing of</w:t>
      </w:r>
      <w:r>
        <w:rPr>
          <w:rFonts w:ascii="Cambria" w:hAnsi="Cambria"/>
          <w:sz w:val="20"/>
          <w:szCs w:val="20"/>
          <w:lang w:val="en"/>
        </w:rPr>
        <w:t xml:space="preserve"> the </w:t>
      </w:r>
      <w:r w:rsidR="00795815">
        <w:rPr>
          <w:rFonts w:ascii="Cambria" w:hAnsi="Cambria"/>
          <w:sz w:val="20"/>
          <w:szCs w:val="20"/>
          <w:lang w:val="en"/>
        </w:rPr>
        <w:t>precautionary measures</w:t>
      </w:r>
      <w:r>
        <w:rPr>
          <w:rFonts w:ascii="Cambria" w:hAnsi="Cambria"/>
          <w:sz w:val="20"/>
          <w:szCs w:val="20"/>
          <w:lang w:val="en"/>
        </w:rPr>
        <w:t xml:space="preserve">. </w:t>
      </w:r>
      <w:r w:rsidR="00D93C4D">
        <w:rPr>
          <w:rFonts w:ascii="Cambria" w:hAnsi="Cambria"/>
          <w:sz w:val="20"/>
          <w:szCs w:val="20"/>
          <w:lang w:val="en"/>
        </w:rPr>
        <w:t>However</w:t>
      </w:r>
      <w:r>
        <w:rPr>
          <w:rFonts w:ascii="Cambria" w:hAnsi="Cambria"/>
          <w:sz w:val="20"/>
          <w:szCs w:val="20"/>
          <w:lang w:val="en"/>
        </w:rPr>
        <w:t xml:space="preserve">, on January 7, 2005, </w:t>
      </w:r>
      <w:r w:rsidR="00795815">
        <w:rPr>
          <w:rFonts w:ascii="Cambria" w:hAnsi="Cambria"/>
          <w:sz w:val="20"/>
          <w:szCs w:val="20"/>
          <w:lang w:val="en"/>
        </w:rPr>
        <w:t xml:space="preserve">the </w:t>
      </w:r>
      <w:r>
        <w:rPr>
          <w:rFonts w:ascii="Cambria" w:hAnsi="Cambria"/>
          <w:sz w:val="20"/>
          <w:szCs w:val="20"/>
          <w:lang w:val="en"/>
        </w:rPr>
        <w:t xml:space="preserve">Court of Appeals No. 1 overturned the decision granting the motion to dismiss, after an appeal filed by the prosecutor’s office. As a result, on February 9, 2005, the alleged victim filed an </w:t>
      </w:r>
      <w:r w:rsidR="00795815">
        <w:rPr>
          <w:rFonts w:ascii="Cambria" w:hAnsi="Cambria"/>
          <w:sz w:val="20"/>
          <w:szCs w:val="20"/>
          <w:lang w:val="en"/>
        </w:rPr>
        <w:t>amparo action</w:t>
      </w:r>
      <w:r>
        <w:rPr>
          <w:rFonts w:ascii="Cambria" w:hAnsi="Cambria"/>
          <w:sz w:val="20"/>
          <w:szCs w:val="20"/>
          <w:lang w:val="en"/>
        </w:rPr>
        <w:t>. On November 9 that year, the court ruled in her favor, upholding the decision to dismiss the case because the offense attributed to her, contempt, had extinguished. The alleged victim claims that on September 29, 2002, the State ruled to dismiss the cases filed against the other 16 lawyers prosecuted for the same offenses; but her case remained open until May 4, 2006, when she was finally acquitted</w:t>
      </w:r>
      <w:r w:rsidR="0069142B">
        <w:rPr>
          <w:rFonts w:ascii="Cambria" w:hAnsi="Cambria"/>
          <w:sz w:val="20"/>
          <w:szCs w:val="20"/>
          <w:lang w:val="en"/>
        </w:rPr>
        <w:t xml:space="preserve"> and given a letter of definitive release, </w:t>
      </w:r>
      <w:r>
        <w:rPr>
          <w:rFonts w:ascii="Cambria" w:hAnsi="Cambria"/>
          <w:sz w:val="20"/>
          <w:szCs w:val="20"/>
          <w:lang w:val="en"/>
        </w:rPr>
        <w:t xml:space="preserve">after a motion to dismiss was granted. </w:t>
      </w:r>
    </w:p>
    <w:p w14:paraId="63AE1536" w14:textId="7CD17958" w:rsidR="007B0DDA" w:rsidRPr="00EA1C5D" w:rsidRDefault="007B0DDA" w:rsidP="007B0D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The alleged victim asserts that she was summoned to the initial hearing to testify about the facts and that </w:t>
      </w:r>
      <w:r w:rsidR="0069142B">
        <w:rPr>
          <w:rFonts w:ascii="Cambria" w:hAnsi="Cambria"/>
          <w:sz w:val="20"/>
          <w:szCs w:val="20"/>
          <w:lang w:val="en"/>
        </w:rPr>
        <w:t xml:space="preserve">only </w:t>
      </w:r>
      <w:r w:rsidR="00D93C4D">
        <w:rPr>
          <w:rFonts w:ascii="Cambria" w:hAnsi="Cambria"/>
          <w:sz w:val="20"/>
          <w:szCs w:val="20"/>
          <w:lang w:val="en"/>
        </w:rPr>
        <w:t xml:space="preserve">once in </w:t>
      </w:r>
      <w:r>
        <w:rPr>
          <w:rFonts w:ascii="Cambria" w:hAnsi="Cambria"/>
          <w:sz w:val="20"/>
          <w:szCs w:val="20"/>
          <w:lang w:val="en"/>
        </w:rPr>
        <w:t xml:space="preserve">court </w:t>
      </w:r>
      <w:r w:rsidR="00D93C4D">
        <w:rPr>
          <w:rFonts w:ascii="Cambria" w:hAnsi="Cambria"/>
          <w:sz w:val="20"/>
          <w:szCs w:val="20"/>
          <w:lang w:val="en"/>
        </w:rPr>
        <w:t>was</w:t>
      </w:r>
      <w:r w:rsidR="0069142B">
        <w:rPr>
          <w:rFonts w:ascii="Cambria" w:hAnsi="Cambria"/>
          <w:sz w:val="20"/>
          <w:szCs w:val="20"/>
          <w:lang w:val="en"/>
        </w:rPr>
        <w:t xml:space="preserve"> she</w:t>
      </w:r>
      <w:r w:rsidR="00D93C4D">
        <w:rPr>
          <w:rFonts w:ascii="Cambria" w:hAnsi="Cambria"/>
          <w:sz w:val="20"/>
          <w:szCs w:val="20"/>
          <w:lang w:val="en"/>
        </w:rPr>
        <w:t xml:space="preserve"> </w:t>
      </w:r>
      <w:r>
        <w:rPr>
          <w:rFonts w:ascii="Cambria" w:hAnsi="Cambria"/>
          <w:sz w:val="20"/>
          <w:szCs w:val="20"/>
          <w:lang w:val="en"/>
        </w:rPr>
        <w:t xml:space="preserve">formally </w:t>
      </w:r>
      <w:r w:rsidRPr="00D44F59">
        <w:rPr>
          <w:rFonts w:ascii="Cambria" w:hAnsi="Cambria"/>
          <w:sz w:val="20"/>
          <w:szCs w:val="20"/>
          <w:lang w:val="en"/>
        </w:rPr>
        <w:t>accused</w:t>
      </w:r>
      <w:r>
        <w:rPr>
          <w:rFonts w:ascii="Cambria" w:hAnsi="Cambria"/>
          <w:sz w:val="20"/>
          <w:szCs w:val="20"/>
          <w:lang w:val="en"/>
        </w:rPr>
        <w:t>. According to her, she was deprived of the right of defense</w:t>
      </w:r>
      <w:r w:rsidR="007030C5">
        <w:rPr>
          <w:rFonts w:ascii="Cambria" w:hAnsi="Cambria"/>
          <w:sz w:val="20"/>
          <w:szCs w:val="20"/>
          <w:lang w:val="en"/>
        </w:rPr>
        <w:t>,</w:t>
      </w:r>
      <w:r>
        <w:rPr>
          <w:rFonts w:ascii="Cambria" w:hAnsi="Cambria"/>
          <w:sz w:val="20"/>
          <w:szCs w:val="20"/>
          <w:lang w:val="en"/>
        </w:rPr>
        <w:t xml:space="preserve"> and blatant violations of due process, the right to judicial protection, the adversarial principle, and the principle of equality were committed at the hearings. She submits that the public prosecutor’s office failed to investigate and to consider the notice of appearance filed by the alleged victim. She alleges having been deprived of liberty without conclusive or reasonable evidence of the criminal offenses she was charged with. </w:t>
      </w:r>
    </w:p>
    <w:p w14:paraId="2870ACD5" w14:textId="2391715E" w:rsidR="007B0DDA" w:rsidRPr="00A7746D" w:rsidRDefault="007B0DDA" w:rsidP="007B0D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Furthermore, the alleged victim claims that in prison</w:t>
      </w:r>
      <w:r w:rsidR="001D00E8">
        <w:rPr>
          <w:rFonts w:ascii="Cambria" w:hAnsi="Cambria"/>
          <w:sz w:val="20"/>
          <w:szCs w:val="20"/>
          <w:lang w:val="en"/>
        </w:rPr>
        <w:t>,</w:t>
      </w:r>
      <w:r>
        <w:rPr>
          <w:rFonts w:ascii="Cambria" w:hAnsi="Cambria"/>
          <w:sz w:val="20"/>
          <w:szCs w:val="20"/>
          <w:lang w:val="en"/>
        </w:rPr>
        <w:t xml:space="preserve"> she suffered physical and psychological harm from the National Investigative Police. She alleges having been </w:t>
      </w:r>
      <w:r w:rsidR="005E6AE6">
        <w:rPr>
          <w:rFonts w:ascii="Cambria" w:hAnsi="Cambria"/>
          <w:sz w:val="20"/>
          <w:szCs w:val="20"/>
          <w:lang w:val="en"/>
        </w:rPr>
        <w:t>put in the same cell as</w:t>
      </w:r>
      <w:r>
        <w:rPr>
          <w:rFonts w:ascii="Cambria" w:hAnsi="Cambria"/>
          <w:sz w:val="20"/>
          <w:szCs w:val="20"/>
          <w:lang w:val="en"/>
        </w:rPr>
        <w:t xml:space="preserve"> a notorious and dangerous criminal. She explains that she was handcuffed</w:t>
      </w:r>
      <w:r w:rsidR="001D00E8">
        <w:rPr>
          <w:rFonts w:ascii="Cambria" w:hAnsi="Cambria"/>
          <w:sz w:val="20"/>
          <w:szCs w:val="20"/>
          <w:lang w:val="en"/>
        </w:rPr>
        <w:t xml:space="preserve">, </w:t>
      </w:r>
      <w:r>
        <w:rPr>
          <w:rFonts w:ascii="Cambria" w:hAnsi="Cambria"/>
          <w:sz w:val="20"/>
          <w:szCs w:val="20"/>
          <w:lang w:val="en"/>
        </w:rPr>
        <w:t>shackled</w:t>
      </w:r>
      <w:r w:rsidR="001D00E8">
        <w:rPr>
          <w:rFonts w:ascii="Cambria" w:hAnsi="Cambria"/>
          <w:sz w:val="20"/>
          <w:szCs w:val="20"/>
          <w:lang w:val="en"/>
        </w:rPr>
        <w:t>, and</w:t>
      </w:r>
      <w:r>
        <w:rPr>
          <w:rFonts w:ascii="Cambria" w:hAnsi="Cambria"/>
          <w:sz w:val="20"/>
          <w:szCs w:val="20"/>
          <w:lang w:val="en"/>
        </w:rPr>
        <w:t xml:space="preserve"> </w:t>
      </w:r>
      <w:r w:rsidR="001D00E8">
        <w:rPr>
          <w:rFonts w:ascii="Cambria" w:hAnsi="Cambria"/>
          <w:sz w:val="20"/>
          <w:szCs w:val="20"/>
          <w:lang w:val="en"/>
        </w:rPr>
        <w:t>forced</w:t>
      </w:r>
      <w:r>
        <w:rPr>
          <w:rFonts w:ascii="Cambria" w:hAnsi="Cambria"/>
          <w:sz w:val="20"/>
          <w:szCs w:val="20"/>
          <w:lang w:val="en"/>
        </w:rPr>
        <w:t xml:space="preserve"> to walk like this, that every 45 minutes late at night, she was briefly interrogated as well as forced to undress </w:t>
      </w:r>
      <w:r w:rsidR="001D00E8">
        <w:rPr>
          <w:rFonts w:ascii="Cambria" w:hAnsi="Cambria"/>
          <w:sz w:val="20"/>
          <w:szCs w:val="20"/>
          <w:lang w:val="en"/>
        </w:rPr>
        <w:t xml:space="preserve">in part </w:t>
      </w:r>
      <w:r>
        <w:rPr>
          <w:rFonts w:ascii="Cambria" w:hAnsi="Cambria"/>
          <w:sz w:val="20"/>
          <w:szCs w:val="20"/>
          <w:lang w:val="en"/>
        </w:rPr>
        <w:t>and photographed. According to her, she was splashed with water containing urine and feces, and her meal</w:t>
      </w:r>
      <w:r w:rsidR="005E6AE6">
        <w:rPr>
          <w:rFonts w:ascii="Cambria" w:hAnsi="Cambria"/>
          <w:sz w:val="20"/>
          <w:szCs w:val="20"/>
          <w:lang w:val="en"/>
        </w:rPr>
        <w:t>s</w:t>
      </w:r>
      <w:r>
        <w:rPr>
          <w:rFonts w:ascii="Cambria" w:hAnsi="Cambria"/>
          <w:sz w:val="20"/>
          <w:szCs w:val="20"/>
          <w:lang w:val="en"/>
        </w:rPr>
        <w:t xml:space="preserve"> w</w:t>
      </w:r>
      <w:r w:rsidR="005E6AE6">
        <w:rPr>
          <w:rFonts w:ascii="Cambria" w:hAnsi="Cambria"/>
          <w:sz w:val="20"/>
          <w:szCs w:val="20"/>
          <w:lang w:val="en"/>
        </w:rPr>
        <w:t>ere</w:t>
      </w:r>
      <w:r w:rsidR="00445854">
        <w:rPr>
          <w:rFonts w:ascii="Cambria" w:hAnsi="Cambria"/>
          <w:sz w:val="20"/>
          <w:szCs w:val="20"/>
          <w:lang w:val="en"/>
        </w:rPr>
        <w:t xml:space="preserve"> </w:t>
      </w:r>
      <w:r>
        <w:rPr>
          <w:rFonts w:ascii="Cambria" w:hAnsi="Cambria"/>
          <w:sz w:val="20"/>
          <w:szCs w:val="20"/>
          <w:lang w:val="en"/>
        </w:rPr>
        <w:t xml:space="preserve">contaminated. She claims having been threatened with a weapon and not allowed to attend to her physiological needs. She moreover indicates </w:t>
      </w:r>
      <w:r w:rsidR="0054635E">
        <w:rPr>
          <w:rFonts w:ascii="Cambria" w:hAnsi="Cambria"/>
          <w:sz w:val="20"/>
          <w:szCs w:val="20"/>
          <w:lang w:val="en"/>
        </w:rPr>
        <w:t>that</w:t>
      </w:r>
      <w:r>
        <w:rPr>
          <w:rFonts w:ascii="Cambria" w:hAnsi="Cambria"/>
          <w:sz w:val="20"/>
          <w:szCs w:val="20"/>
          <w:lang w:val="en"/>
        </w:rPr>
        <w:t xml:space="preserve"> the legal proceedings </w:t>
      </w:r>
      <w:r w:rsidR="0054635E">
        <w:rPr>
          <w:rFonts w:ascii="Cambria" w:hAnsi="Cambria"/>
          <w:sz w:val="20"/>
          <w:szCs w:val="20"/>
          <w:lang w:val="en"/>
        </w:rPr>
        <w:t xml:space="preserve">filed </w:t>
      </w:r>
      <w:r>
        <w:rPr>
          <w:rFonts w:ascii="Cambria" w:hAnsi="Cambria"/>
          <w:sz w:val="20"/>
          <w:szCs w:val="20"/>
          <w:lang w:val="en"/>
        </w:rPr>
        <w:t>against her</w:t>
      </w:r>
      <w:r w:rsidR="0054635E">
        <w:rPr>
          <w:rFonts w:ascii="Cambria" w:hAnsi="Cambria"/>
          <w:sz w:val="20"/>
          <w:szCs w:val="20"/>
          <w:lang w:val="en"/>
        </w:rPr>
        <w:t xml:space="preserve"> damaged</w:t>
      </w:r>
      <w:r>
        <w:rPr>
          <w:rFonts w:ascii="Cambria" w:hAnsi="Cambria"/>
          <w:sz w:val="20"/>
          <w:szCs w:val="20"/>
          <w:lang w:val="en"/>
        </w:rPr>
        <w:t xml:space="preserve"> her reputation and honor given the purported media coverage of the case. In this regard, she claims that the Committee for the Defense of Human Rights filed on her behalf a </w:t>
      </w:r>
      <w:r>
        <w:rPr>
          <w:rFonts w:ascii="Cambria" w:hAnsi="Cambria"/>
          <w:i/>
          <w:iCs/>
          <w:sz w:val="20"/>
          <w:szCs w:val="20"/>
          <w:lang w:val="en"/>
        </w:rPr>
        <w:t>habeas corpus</w:t>
      </w:r>
      <w:r>
        <w:rPr>
          <w:rFonts w:ascii="Cambria" w:hAnsi="Cambria"/>
          <w:sz w:val="20"/>
          <w:szCs w:val="20"/>
          <w:lang w:val="en"/>
        </w:rPr>
        <w:t xml:space="preserve"> petition with the Supreme Court of Justice. Allegedly, it was not processed. The motives are unknown. She submits that on August 26, 2002, the human rights </w:t>
      </w:r>
      <w:r w:rsidR="0042351D">
        <w:rPr>
          <w:rFonts w:ascii="Cambria" w:hAnsi="Cambria"/>
          <w:sz w:val="20"/>
          <w:szCs w:val="20"/>
          <w:lang w:val="en"/>
        </w:rPr>
        <w:t>prosecutor</w:t>
      </w:r>
      <w:r>
        <w:rPr>
          <w:rFonts w:ascii="Cambria" w:hAnsi="Cambria"/>
          <w:sz w:val="20"/>
          <w:szCs w:val="20"/>
          <w:lang w:val="en"/>
        </w:rPr>
        <w:t xml:space="preserve">’s office </w:t>
      </w:r>
      <w:r w:rsidR="007425CA">
        <w:rPr>
          <w:rFonts w:ascii="Cambria" w:hAnsi="Cambria"/>
          <w:sz w:val="20"/>
          <w:szCs w:val="20"/>
          <w:lang w:val="en"/>
        </w:rPr>
        <w:t>initiated</w:t>
      </w:r>
      <w:r>
        <w:rPr>
          <w:rFonts w:ascii="Cambria" w:hAnsi="Cambria"/>
          <w:sz w:val="20"/>
          <w:szCs w:val="20"/>
          <w:lang w:val="en"/>
        </w:rPr>
        <w:t xml:space="preserve"> an investigation into the violation of her rights, including her living conditions in prison; but it was suspended without reason. She further indicates that she tried to </w:t>
      </w:r>
      <w:r>
        <w:rPr>
          <w:rFonts w:ascii="Cambria" w:hAnsi="Cambria"/>
          <w:sz w:val="20"/>
          <w:szCs w:val="20"/>
          <w:lang w:val="en"/>
        </w:rPr>
        <w:lastRenderedPageBreak/>
        <w:t xml:space="preserve">access the case file in order to learn about the progress of the investigations, but she was denied access despite a </w:t>
      </w:r>
      <w:r w:rsidRPr="00A7746D">
        <w:rPr>
          <w:rFonts w:ascii="Cambria" w:hAnsi="Cambria"/>
          <w:sz w:val="20"/>
          <w:szCs w:val="20"/>
          <w:lang w:val="en"/>
        </w:rPr>
        <w:t>written request.</w:t>
      </w:r>
      <w:r w:rsidRPr="00A7746D">
        <w:rPr>
          <w:rStyle w:val="FootnoteReference"/>
          <w:rFonts w:ascii="Cambria" w:hAnsi="Cambria"/>
          <w:sz w:val="20"/>
          <w:szCs w:val="20"/>
          <w:lang w:val="en"/>
        </w:rPr>
        <w:footnoteReference w:id="4"/>
      </w:r>
    </w:p>
    <w:p w14:paraId="05A3421F" w14:textId="6111DFF6" w:rsidR="007B0DDA" w:rsidRPr="00A7746D" w:rsidRDefault="007B0DDA" w:rsidP="007B0D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A7746D">
        <w:rPr>
          <w:rFonts w:ascii="Cambria" w:hAnsi="Cambria"/>
          <w:sz w:val="20"/>
          <w:szCs w:val="20"/>
          <w:lang w:val="en"/>
        </w:rPr>
        <w:t xml:space="preserve">The State indicates that the alleged victim was acquitted and is now clear of the abovementioned charges. It contends that the alleged victim’s actions at the </w:t>
      </w:r>
      <w:r w:rsidR="00445854" w:rsidRPr="00A7746D">
        <w:rPr>
          <w:rFonts w:ascii="Cambria" w:hAnsi="Cambria"/>
          <w:sz w:val="20"/>
          <w:szCs w:val="20"/>
          <w:lang w:val="en"/>
        </w:rPr>
        <w:t>assembly</w:t>
      </w:r>
      <w:r w:rsidRPr="00A7746D">
        <w:rPr>
          <w:rFonts w:ascii="Cambria" w:hAnsi="Cambria"/>
          <w:sz w:val="20"/>
          <w:szCs w:val="20"/>
          <w:lang w:val="en"/>
        </w:rPr>
        <w:t xml:space="preserve"> of August 3, 2002—as well as those of the other</w:t>
      </w:r>
      <w:r>
        <w:rPr>
          <w:rFonts w:ascii="Cambria" w:hAnsi="Cambria"/>
          <w:sz w:val="20"/>
          <w:szCs w:val="20"/>
          <w:lang w:val="en"/>
        </w:rPr>
        <w:t xml:space="preserve"> persons accused—were aimed at changing the composition of the Judiciary, which meant an imminent risk to democracy and the principles governing the rule of law. It contends that the alleged victim’s court-ordered detention was based on the claims filed by the public prosecutor’s office regarding the existence of clues proving the alleged victim’s involvement in the crimes attributed to her, and the harshness of the punishment </w:t>
      </w:r>
      <w:r w:rsidR="00445854">
        <w:rPr>
          <w:rFonts w:ascii="Cambria" w:hAnsi="Cambria"/>
          <w:sz w:val="20"/>
          <w:szCs w:val="20"/>
          <w:lang w:val="en"/>
        </w:rPr>
        <w:t>to be given</w:t>
      </w:r>
      <w:r>
        <w:rPr>
          <w:rFonts w:ascii="Cambria" w:hAnsi="Cambria"/>
          <w:sz w:val="20"/>
          <w:szCs w:val="20"/>
          <w:lang w:val="en"/>
        </w:rPr>
        <w:t xml:space="preserve">. It submits that in November 2005, the Supreme Court of Justice upheld the dismissal of the case. </w:t>
      </w:r>
      <w:r w:rsidRPr="00A7746D">
        <w:rPr>
          <w:rFonts w:ascii="Cambria" w:hAnsi="Cambria"/>
          <w:sz w:val="20"/>
          <w:szCs w:val="20"/>
          <w:lang w:val="en"/>
        </w:rPr>
        <w:t xml:space="preserve">The State submits that the abovementioned legal proceedings were held pursuant to the applicable </w:t>
      </w:r>
      <w:r w:rsidRPr="00AE6435">
        <w:rPr>
          <w:rFonts w:ascii="Cambria" w:hAnsi="Cambria"/>
          <w:sz w:val="20"/>
          <w:szCs w:val="20"/>
          <w:lang w:val="en"/>
        </w:rPr>
        <w:t xml:space="preserve">legal rules, in accordance with due process and the right to </w:t>
      </w:r>
      <w:r w:rsidR="001D00E8" w:rsidRPr="00AE6435">
        <w:rPr>
          <w:rFonts w:ascii="Cambria" w:hAnsi="Cambria"/>
          <w:sz w:val="20"/>
          <w:szCs w:val="20"/>
          <w:lang w:val="en"/>
        </w:rPr>
        <w:t xml:space="preserve">a </w:t>
      </w:r>
      <w:r w:rsidRPr="00AE6435">
        <w:rPr>
          <w:rFonts w:ascii="Cambria" w:hAnsi="Cambria"/>
          <w:sz w:val="20"/>
          <w:szCs w:val="20"/>
          <w:lang w:val="en"/>
        </w:rPr>
        <w:t xml:space="preserve">fair trial. It adds that her formal accusation was based on the </w:t>
      </w:r>
      <w:r w:rsidR="00AE6435" w:rsidRPr="00AE6435">
        <w:rPr>
          <w:rFonts w:ascii="Cambria" w:hAnsi="Cambria"/>
          <w:sz w:val="20"/>
          <w:szCs w:val="20"/>
          <w:lang w:val="en"/>
        </w:rPr>
        <w:t>request presented by the public pro</w:t>
      </w:r>
      <w:r w:rsidRPr="00AE6435">
        <w:rPr>
          <w:rFonts w:ascii="Cambria" w:hAnsi="Cambria"/>
          <w:sz w:val="20"/>
          <w:szCs w:val="20"/>
          <w:lang w:val="en"/>
        </w:rPr>
        <w:t>secutor’s office</w:t>
      </w:r>
      <w:r w:rsidR="00AE6435" w:rsidRPr="00AE6435">
        <w:rPr>
          <w:rFonts w:ascii="Cambria" w:hAnsi="Cambria"/>
          <w:sz w:val="20"/>
          <w:szCs w:val="20"/>
          <w:lang w:val="en"/>
        </w:rPr>
        <w:t xml:space="preserve"> within the scope of</w:t>
      </w:r>
      <w:r w:rsidRPr="00AE6435">
        <w:rPr>
          <w:rFonts w:ascii="Cambria" w:hAnsi="Cambria"/>
          <w:sz w:val="20"/>
          <w:szCs w:val="20"/>
          <w:lang w:val="en"/>
        </w:rPr>
        <w:t xml:space="preserve"> its mandate and </w:t>
      </w:r>
      <w:r w:rsidR="00AE6435" w:rsidRPr="00AE6435">
        <w:rPr>
          <w:rFonts w:ascii="Cambria" w:hAnsi="Cambria"/>
          <w:sz w:val="20"/>
          <w:szCs w:val="20"/>
          <w:lang w:val="en"/>
        </w:rPr>
        <w:t xml:space="preserve">was </w:t>
      </w:r>
      <w:r w:rsidRPr="00AE6435">
        <w:rPr>
          <w:rFonts w:ascii="Cambria" w:hAnsi="Cambria"/>
          <w:sz w:val="20"/>
          <w:szCs w:val="20"/>
          <w:lang w:val="en"/>
        </w:rPr>
        <w:t xml:space="preserve">substantiated before the competent courts. </w:t>
      </w:r>
    </w:p>
    <w:p w14:paraId="632C5176" w14:textId="77777777" w:rsidR="007B0DDA" w:rsidRPr="00EA1C5D" w:rsidRDefault="007B0DDA" w:rsidP="007B0D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In regard to</w:t>
      </w:r>
      <w:r>
        <w:rPr>
          <w:rFonts w:ascii="Cambria" w:hAnsi="Cambria"/>
          <w:sz w:val="20"/>
          <w:szCs w:val="20"/>
          <w:lang w:val="en"/>
        </w:rPr>
        <w:t xml:space="preserve"> the alleged victim’s claims on psychological and physical maltreatment in prison, the State argues that in the records of the National Investigative Police there is not any relevant health report and that the public prosecutor’s office has informed that according to its records, the alleged victim has not filed any complaint. Accordingly, it claims that the human rights violations alleged here have not been proven. </w:t>
      </w:r>
    </w:p>
    <w:p w14:paraId="363E1088" w14:textId="77777777" w:rsidR="007B0DDA" w:rsidRPr="00EA1C5D" w:rsidRDefault="007B0DDA" w:rsidP="007B0DDA">
      <w:pPr>
        <w:pStyle w:val="ListParagraph"/>
        <w:spacing w:before="120" w:after="120"/>
        <w:jc w:val="both"/>
        <w:rPr>
          <w:rFonts w:asciiTheme="majorHAnsi" w:hAnsiTheme="majorHAnsi"/>
          <w:b/>
          <w:bCs/>
          <w:sz w:val="20"/>
          <w:szCs w:val="20"/>
        </w:rPr>
      </w:pPr>
      <w:r>
        <w:rPr>
          <w:rFonts w:asciiTheme="majorHAnsi" w:hAnsiTheme="majorHAnsi"/>
          <w:b/>
          <w:bCs/>
          <w:sz w:val="20"/>
          <w:szCs w:val="20"/>
          <w:lang w:val="en"/>
        </w:rPr>
        <w:t xml:space="preserve">VI. </w:t>
      </w:r>
      <w:r>
        <w:rPr>
          <w:rFonts w:asciiTheme="majorHAnsi" w:hAnsiTheme="majorHAnsi"/>
          <w:b/>
          <w:bCs/>
          <w:sz w:val="20"/>
          <w:szCs w:val="20"/>
          <w:lang w:val="en"/>
        </w:rPr>
        <w:tab/>
        <w:t>EXHAUSTION OF DOMESTIC REMEDIES AND TIMELINESS OF THE PETITION</w:t>
      </w:r>
    </w:p>
    <w:p w14:paraId="060D0422" w14:textId="3960A2BC" w:rsidR="007B0DDA" w:rsidRPr="00EA1C5D" w:rsidRDefault="007B0DDA" w:rsidP="007B0D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As to the criminal trial, the Commission observes that on June 26, 2003 the criminal court ruled to dismiss the case in favor of the alleged victim. However, on January 7, 2005, Court of Appeals No. 1 reversed the dismissal. Therefore, the alleged victim lodged an </w:t>
      </w:r>
      <w:r>
        <w:rPr>
          <w:rFonts w:ascii="Cambria" w:hAnsi="Cambria"/>
          <w:i/>
          <w:iCs/>
          <w:sz w:val="20"/>
          <w:szCs w:val="20"/>
          <w:lang w:val="en"/>
        </w:rPr>
        <w:t xml:space="preserve">amparo </w:t>
      </w:r>
      <w:r>
        <w:rPr>
          <w:rFonts w:ascii="Cambria" w:hAnsi="Cambria"/>
          <w:sz w:val="20"/>
          <w:szCs w:val="20"/>
          <w:lang w:val="en"/>
        </w:rPr>
        <w:t xml:space="preserve">action, granted on November 9 that year. On May 4, 2006, she was acquitted, and released from prison. Thus, the Commission deems that the domestic remedies were exhausted under Article 46.1.a of the Convention. However, as the IACHR received the petition on August 20, 2009, the petition does not meet the </w:t>
      </w:r>
      <w:r w:rsidR="00B656A1">
        <w:rPr>
          <w:rFonts w:ascii="Cambria" w:hAnsi="Cambria"/>
          <w:sz w:val="20"/>
          <w:szCs w:val="20"/>
          <w:lang w:val="en"/>
        </w:rPr>
        <w:t xml:space="preserve">timeliness </w:t>
      </w:r>
      <w:r>
        <w:rPr>
          <w:rFonts w:ascii="Cambria" w:hAnsi="Cambria"/>
          <w:sz w:val="20"/>
          <w:szCs w:val="20"/>
          <w:lang w:val="en"/>
        </w:rPr>
        <w:t xml:space="preserve">requirement foreseen in Article 46.1.b of the Convention. </w:t>
      </w:r>
    </w:p>
    <w:p w14:paraId="3C642DD8" w14:textId="438115FF" w:rsidR="007B0DDA" w:rsidRPr="00EA1C5D" w:rsidRDefault="007B0DDA" w:rsidP="007B0D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Regarding the claims of the alleged victim’s having been subjected to torture and inhuman and degrading treatment in prison, the Commission observes </w:t>
      </w:r>
      <w:r w:rsidR="0042351D">
        <w:rPr>
          <w:rFonts w:ascii="Cambria" w:hAnsi="Cambria"/>
          <w:sz w:val="20"/>
          <w:szCs w:val="20"/>
          <w:lang w:val="en"/>
        </w:rPr>
        <w:t>that she alleges</w:t>
      </w:r>
      <w:r>
        <w:rPr>
          <w:rFonts w:ascii="Cambria" w:hAnsi="Cambria"/>
          <w:sz w:val="20"/>
          <w:szCs w:val="20"/>
          <w:lang w:val="en"/>
        </w:rPr>
        <w:t xml:space="preserve"> that the persons responsible were not investigated or punished, although the human rights </w:t>
      </w:r>
      <w:r w:rsidR="0042351D">
        <w:rPr>
          <w:rFonts w:ascii="Cambria" w:hAnsi="Cambria"/>
          <w:sz w:val="20"/>
          <w:szCs w:val="20"/>
          <w:lang w:val="en"/>
        </w:rPr>
        <w:t>prosecutor</w:t>
      </w:r>
      <w:r w:rsidR="0042351D" w:rsidRPr="0042351D">
        <w:rPr>
          <w:rFonts w:ascii="Cambria" w:hAnsi="Cambria"/>
          <w:sz w:val="20"/>
          <w:szCs w:val="20"/>
        </w:rPr>
        <w:t>’s</w:t>
      </w:r>
      <w:r>
        <w:rPr>
          <w:rFonts w:ascii="Cambria" w:hAnsi="Cambria"/>
          <w:sz w:val="20"/>
          <w:szCs w:val="20"/>
          <w:lang w:val="en"/>
        </w:rPr>
        <w:t xml:space="preserve"> office was aware of the purported harm inflicted on the alleged victim. The Commission reiterates that in petitions referring to</w:t>
      </w:r>
      <w:r w:rsidR="004757F0">
        <w:rPr>
          <w:rFonts w:ascii="Cambria" w:hAnsi="Cambria"/>
          <w:sz w:val="20"/>
          <w:szCs w:val="20"/>
          <w:lang w:val="en"/>
        </w:rPr>
        <w:t xml:space="preserve"> acts of</w:t>
      </w:r>
      <w:r>
        <w:rPr>
          <w:rFonts w:ascii="Cambria" w:hAnsi="Cambria"/>
          <w:sz w:val="20"/>
          <w:szCs w:val="20"/>
          <w:lang w:val="en"/>
        </w:rPr>
        <w:t xml:space="preserve"> torture and violations of the right to humane treatment, a criminal investigation and trial is the adequate and effective remedy to be pursued by the State. Therefore, the Commission believes that the exception to the requirement to exhaust domestic remedies foreseen in Article 46.2.c of the American Convention applies in this case. The IACHR moreover believes that the petition was filed within a reasonable time and that the requirement on timeliness must be declared met. </w:t>
      </w:r>
    </w:p>
    <w:p w14:paraId="6A3F98B9" w14:textId="77777777" w:rsidR="007B0DDA" w:rsidRPr="00EA1C5D" w:rsidRDefault="007B0DDA" w:rsidP="007B0DDA">
      <w:pPr>
        <w:pStyle w:val="ListParagraph"/>
        <w:spacing w:before="120" w:after="120"/>
        <w:jc w:val="both"/>
        <w:rPr>
          <w:rFonts w:asciiTheme="majorHAnsi" w:hAnsiTheme="majorHAnsi"/>
          <w:b/>
          <w:bCs/>
          <w:sz w:val="20"/>
          <w:szCs w:val="20"/>
        </w:rPr>
      </w:pPr>
      <w:r>
        <w:rPr>
          <w:rFonts w:asciiTheme="majorHAnsi" w:hAnsiTheme="majorHAnsi"/>
          <w:b/>
          <w:bCs/>
          <w:sz w:val="20"/>
          <w:szCs w:val="20"/>
          <w:lang w:val="en"/>
        </w:rPr>
        <w:t xml:space="preserve">VII. </w:t>
      </w:r>
      <w:r>
        <w:rPr>
          <w:rFonts w:asciiTheme="majorHAnsi" w:hAnsiTheme="majorHAnsi"/>
          <w:b/>
          <w:bCs/>
          <w:sz w:val="20"/>
          <w:szCs w:val="20"/>
          <w:lang w:val="en"/>
        </w:rPr>
        <w:tab/>
        <w:t>COLORABLE CLAIM</w:t>
      </w:r>
    </w:p>
    <w:p w14:paraId="24D2E892" w14:textId="74DFF0BE" w:rsidR="007B0DDA" w:rsidRPr="00EA1C5D" w:rsidRDefault="007B0DDA" w:rsidP="007B0D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In view of the elements of fact and law presented by the parties and the nature of the matter brought to its attention, the IACHR deems that, if proven, the alleged facts regarding detention conditions—acts of torture and cruel, inhuman or degrading treatment—, as well as the lack of investigation and punishment of the persons responsible may establish violations o</w:t>
      </w:r>
      <w:r w:rsidR="004757F0">
        <w:rPr>
          <w:rFonts w:ascii="Cambria" w:hAnsi="Cambria"/>
          <w:sz w:val="20"/>
          <w:szCs w:val="20"/>
          <w:lang w:val="en"/>
        </w:rPr>
        <w:t>f the rights protected through a</w:t>
      </w:r>
      <w:r>
        <w:rPr>
          <w:rFonts w:ascii="Cambria" w:hAnsi="Cambria"/>
          <w:sz w:val="20"/>
          <w:szCs w:val="20"/>
          <w:lang w:val="en"/>
        </w:rPr>
        <w:t xml:space="preserve">rticles 5 (humane treatment), 7 (personal liberty), 8 (fair trial), 11 (privacy), and 25 (judicial protection) of the American Convention, in accordance with its Articles 1.1 (obligation to respect rights) and 2 (domestic legal effects). </w:t>
      </w:r>
    </w:p>
    <w:p w14:paraId="4A30EA14" w14:textId="77777777" w:rsidR="007B0DDA" w:rsidRPr="00EA1C5D" w:rsidRDefault="007B0DDA" w:rsidP="007B0D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b/>
          <w:bCs/>
          <w:sz w:val="20"/>
          <w:szCs w:val="20"/>
          <w:lang w:val="en"/>
        </w:rPr>
        <w:tab/>
        <w:t>DECISION</w:t>
      </w:r>
    </w:p>
    <w:p w14:paraId="5190CE37" w14:textId="77777777" w:rsidR="007B0DDA" w:rsidRPr="00EA1C5D" w:rsidRDefault="007B0DDA" w:rsidP="007B0DD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Pr>
          <w:rFonts w:asciiTheme="majorHAnsi" w:hAnsiTheme="majorHAnsi"/>
          <w:sz w:val="20"/>
          <w:szCs w:val="20"/>
          <w:lang w:val="en"/>
        </w:rPr>
        <w:t xml:space="preserve">To declare the instant petition admissible in relation to Articles 5, 7, 8, 11, and 25 of the American Convention, in accordance with its Articles 1.1 and 2; and </w:t>
      </w:r>
    </w:p>
    <w:p w14:paraId="7D5D0A1C" w14:textId="60A72B54" w:rsidR="00F621C3" w:rsidRPr="007B0DDA" w:rsidRDefault="007B0DDA" w:rsidP="007B0DD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lastRenderedPageBreak/>
        <w:t xml:space="preserve">To notify the parties of this decision; to continue with the analysis on the merits; and to publish this decision and include it in its Annual Report to the General Assembly of the Organization of American States. </w:t>
      </w:r>
    </w:p>
    <w:p w14:paraId="02FB69DA" w14:textId="31B5C855" w:rsidR="003D407C" w:rsidRPr="003D407C" w:rsidRDefault="003D407C" w:rsidP="003D407C">
      <w:pPr>
        <w:pStyle w:val="ListParagraph"/>
        <w:ind w:left="0" w:firstLine="720"/>
        <w:jc w:val="both"/>
      </w:pPr>
      <w:r w:rsidRPr="003D407C">
        <w:rPr>
          <w:sz w:val="20"/>
          <w:szCs w:val="20"/>
        </w:rPr>
        <w:t xml:space="preserve">Approved by the Inter-American Commission on Human Rights on the </w:t>
      </w:r>
      <w:r>
        <w:rPr>
          <w:sz w:val="20"/>
          <w:szCs w:val="20"/>
        </w:rPr>
        <w:t>9</w:t>
      </w:r>
      <w:r>
        <w:rPr>
          <w:sz w:val="20"/>
          <w:szCs w:val="20"/>
          <w:vertAlign w:val="superscript"/>
        </w:rPr>
        <w:t xml:space="preserve">th </w:t>
      </w:r>
      <w:r w:rsidRPr="003D407C">
        <w:rPr>
          <w:sz w:val="20"/>
          <w:szCs w:val="20"/>
        </w:rPr>
        <w:t xml:space="preserve">day of the month of </w:t>
      </w:r>
      <w:r>
        <w:rPr>
          <w:sz w:val="20"/>
          <w:szCs w:val="20"/>
        </w:rPr>
        <w:t>September</w:t>
      </w:r>
      <w:r w:rsidRPr="003D407C">
        <w:rPr>
          <w:sz w:val="20"/>
          <w:szCs w:val="20"/>
        </w:rPr>
        <w:t xml:space="preserve">, 2019. (Signed):  Esmeralda E. Arosemena Bernal de Troitiño, President; </w:t>
      </w:r>
      <w:r>
        <w:rPr>
          <w:sz w:val="20"/>
          <w:szCs w:val="20"/>
        </w:rPr>
        <w:t xml:space="preserve">Joel Hernández García, </w:t>
      </w:r>
      <w:r w:rsidRPr="003D407C">
        <w:rPr>
          <w:sz w:val="20"/>
          <w:szCs w:val="20"/>
        </w:rPr>
        <w:t>First Vice President; Antonia Urrejola, Second Vice President; Margarette May Macaulay,</w:t>
      </w:r>
      <w:r>
        <w:rPr>
          <w:sz w:val="20"/>
          <w:szCs w:val="20"/>
        </w:rPr>
        <w:t xml:space="preserve"> </w:t>
      </w:r>
      <w:r w:rsidRPr="003D407C">
        <w:rPr>
          <w:sz w:val="20"/>
          <w:szCs w:val="20"/>
        </w:rPr>
        <w:t>Francisco José Eguiguren Praeli,  Luis Ernesto Vargas Silva, and Flávia Piovesan, Commissioners.</w:t>
      </w:r>
    </w:p>
    <w:p w14:paraId="7559C277" w14:textId="77777777" w:rsidR="00F621C3" w:rsidRPr="003D407C" w:rsidRDefault="00F621C3" w:rsidP="00F621C3">
      <w:pPr>
        <w:suppressAutoHyphens/>
        <w:spacing w:before="240" w:after="240"/>
        <w:jc w:val="both"/>
        <w:rPr>
          <w:rFonts w:asciiTheme="majorHAnsi" w:hAnsiTheme="majorHAnsi"/>
          <w:sz w:val="20"/>
          <w:szCs w:val="20"/>
        </w:rPr>
      </w:pPr>
    </w:p>
    <w:p w14:paraId="0F863776"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2B0A5075"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45BD60E2" w14:textId="77777777" w:rsidR="00F621C3" w:rsidRPr="000B6B7A" w:rsidRDefault="00F621C3" w:rsidP="00F621C3">
      <w:pPr>
        <w:rPr>
          <w:rFonts w:ascii="Cambria" w:hAnsi="Cambria" w:cs="Calibri"/>
          <w:sz w:val="20"/>
          <w:szCs w:val="20"/>
        </w:rPr>
      </w:pPr>
    </w:p>
    <w:p w14:paraId="0D3AA9C7"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247A5" w14:textId="77777777" w:rsidR="00E44C6F" w:rsidRDefault="00E44C6F" w:rsidP="00036A8A">
      <w:r>
        <w:separator/>
      </w:r>
    </w:p>
  </w:endnote>
  <w:endnote w:type="continuationSeparator" w:id="0">
    <w:p w14:paraId="6293A5CC" w14:textId="77777777" w:rsidR="00E44C6F" w:rsidRDefault="00E44C6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4779B" w14:textId="77777777" w:rsidR="00452E40" w:rsidRDefault="00452E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09EA854A"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52E40">
          <w:rPr>
            <w:noProof/>
            <w:sz w:val="16"/>
          </w:rPr>
          <w:t>4</w:t>
        </w:r>
        <w:r w:rsidRPr="006311DA">
          <w:rPr>
            <w:noProof/>
            <w:sz w:val="16"/>
          </w:rPr>
          <w:fldChar w:fldCharType="end"/>
        </w:r>
      </w:p>
    </w:sdtContent>
  </w:sdt>
  <w:p w14:paraId="05081777"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B71CC" w14:textId="77777777" w:rsidR="007607C4" w:rsidRDefault="007607C4">
    <w:pPr>
      <w:pStyle w:val="Footer"/>
      <w:jc w:val="center"/>
    </w:pPr>
  </w:p>
  <w:p w14:paraId="760959DA"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B9742" w14:textId="77777777" w:rsidR="00E44C6F" w:rsidRPr="00036A8A" w:rsidRDefault="00E44C6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651EEAE" w14:textId="77777777" w:rsidR="00E44C6F" w:rsidRPr="00036A8A" w:rsidRDefault="00E44C6F" w:rsidP="00036A8A">
      <w:pPr>
        <w:rPr>
          <w:rFonts w:asciiTheme="majorHAnsi" w:hAnsiTheme="majorHAnsi"/>
          <w:sz w:val="16"/>
          <w:szCs w:val="16"/>
        </w:rPr>
      </w:pPr>
      <w:r w:rsidRPr="00036A8A">
        <w:rPr>
          <w:rFonts w:asciiTheme="majorHAnsi" w:hAnsiTheme="majorHAnsi"/>
          <w:sz w:val="16"/>
          <w:szCs w:val="16"/>
        </w:rPr>
        <w:separator/>
      </w:r>
    </w:p>
    <w:p w14:paraId="503E7329" w14:textId="77777777" w:rsidR="00E44C6F" w:rsidRPr="00036A8A" w:rsidRDefault="00E44C6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2AC6D993" w14:textId="77777777" w:rsidR="00E44C6F" w:rsidRPr="0093441A" w:rsidRDefault="00E44C6F"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43E4AA62" w14:textId="349A1BB2" w:rsidR="000F1855" w:rsidRPr="000F1855" w:rsidRDefault="000F1855" w:rsidP="00314C21">
      <w:pPr>
        <w:pStyle w:val="FootnoteText"/>
      </w:pPr>
      <w:r w:rsidRPr="00A80ABA">
        <w:rPr>
          <w:rFonts w:ascii="Cambria" w:hAnsi="Cambria"/>
          <w:sz w:val="16"/>
          <w:szCs w:val="16"/>
          <w:vertAlign w:val="superscript"/>
        </w:rPr>
        <w:footnoteRef/>
      </w:r>
      <w:r w:rsidRPr="00A80ABA">
        <w:rPr>
          <w:rFonts w:ascii="Cambria" w:hAnsi="Cambria"/>
          <w:sz w:val="16"/>
          <w:szCs w:val="16"/>
        </w:rPr>
        <w:t xml:space="preserve"> Hereinafter “American Convention” or “Convention.”</w:t>
      </w:r>
    </w:p>
  </w:footnote>
  <w:footnote w:id="3">
    <w:p w14:paraId="5F419F3E" w14:textId="77777777" w:rsidR="00653EA6" w:rsidRPr="000B6B7A" w:rsidRDefault="00653EA6" w:rsidP="00314C21">
      <w:pPr>
        <w:pStyle w:val="FootnoteText"/>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p>
  </w:footnote>
  <w:footnote w:id="4">
    <w:p w14:paraId="3B295EE1" w14:textId="77777777" w:rsidR="007B0DDA" w:rsidRPr="00250049" w:rsidRDefault="007B0DDA" w:rsidP="007B0DDA">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She even sent a letter to the human rights ombudsman in June 2008, requesting information on the investigation that the public prosecutor’s office had filed through the same ombudsman’s office.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6B9CD"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4A2D326"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E7569"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6704C12" wp14:editId="5D2319D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91B2034" w14:textId="77777777" w:rsidR="00040C3A" w:rsidRPr="00EC7D62" w:rsidRDefault="00E44C6F" w:rsidP="002C1641">
    <w:pPr>
      <w:pStyle w:val="Header"/>
      <w:tabs>
        <w:tab w:val="clear" w:pos="4320"/>
        <w:tab w:val="clear" w:pos="8640"/>
      </w:tabs>
      <w:jc w:val="center"/>
      <w:rPr>
        <w:sz w:val="22"/>
        <w:szCs w:val="22"/>
      </w:rPr>
    </w:pPr>
    <w:r>
      <w:rPr>
        <w:sz w:val="22"/>
        <w:szCs w:val="22"/>
      </w:rPr>
      <w:pict w14:anchorId="26A33C00">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77BBD" w14:textId="77777777" w:rsidR="00452E40" w:rsidRDefault="00452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38DC"/>
    <w:rsid w:val="000639C0"/>
    <w:rsid w:val="00070F3A"/>
    <w:rsid w:val="000716C5"/>
    <w:rsid w:val="00075E23"/>
    <w:rsid w:val="00092F32"/>
    <w:rsid w:val="0009344A"/>
    <w:rsid w:val="000A575F"/>
    <w:rsid w:val="000C4365"/>
    <w:rsid w:val="000D0F59"/>
    <w:rsid w:val="000D10DB"/>
    <w:rsid w:val="000F1855"/>
    <w:rsid w:val="00124116"/>
    <w:rsid w:val="0013104F"/>
    <w:rsid w:val="00134C99"/>
    <w:rsid w:val="00137EBA"/>
    <w:rsid w:val="00145EDC"/>
    <w:rsid w:val="00153084"/>
    <w:rsid w:val="00167A34"/>
    <w:rsid w:val="001714B4"/>
    <w:rsid w:val="0018037F"/>
    <w:rsid w:val="0019460A"/>
    <w:rsid w:val="001A5F27"/>
    <w:rsid w:val="001A65E4"/>
    <w:rsid w:val="001A7870"/>
    <w:rsid w:val="001C1B41"/>
    <w:rsid w:val="001D00E8"/>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5272"/>
    <w:rsid w:val="002B7A85"/>
    <w:rsid w:val="002C1641"/>
    <w:rsid w:val="002D7EA2"/>
    <w:rsid w:val="002E15DF"/>
    <w:rsid w:val="002E187C"/>
    <w:rsid w:val="002E6E57"/>
    <w:rsid w:val="00301075"/>
    <w:rsid w:val="00301674"/>
    <w:rsid w:val="00302733"/>
    <w:rsid w:val="00311A4F"/>
    <w:rsid w:val="00312C73"/>
    <w:rsid w:val="00314078"/>
    <w:rsid w:val="00314C21"/>
    <w:rsid w:val="00322450"/>
    <w:rsid w:val="003246B5"/>
    <w:rsid w:val="0033169F"/>
    <w:rsid w:val="003414AC"/>
    <w:rsid w:val="00356185"/>
    <w:rsid w:val="00360380"/>
    <w:rsid w:val="003771A3"/>
    <w:rsid w:val="00386CF0"/>
    <w:rsid w:val="003A4348"/>
    <w:rsid w:val="003C32BC"/>
    <w:rsid w:val="003D407C"/>
    <w:rsid w:val="003E3E03"/>
    <w:rsid w:val="003F1BBF"/>
    <w:rsid w:val="003F22CC"/>
    <w:rsid w:val="004162B1"/>
    <w:rsid w:val="004165C2"/>
    <w:rsid w:val="0042351D"/>
    <w:rsid w:val="00445854"/>
    <w:rsid w:val="00450A4A"/>
    <w:rsid w:val="00452E40"/>
    <w:rsid w:val="004666FB"/>
    <w:rsid w:val="00466D0B"/>
    <w:rsid w:val="00467B7E"/>
    <w:rsid w:val="004715B8"/>
    <w:rsid w:val="004757F0"/>
    <w:rsid w:val="0049419D"/>
    <w:rsid w:val="004B043D"/>
    <w:rsid w:val="004B2762"/>
    <w:rsid w:val="004B7EB6"/>
    <w:rsid w:val="004C41DE"/>
    <w:rsid w:val="004C4B62"/>
    <w:rsid w:val="004D6025"/>
    <w:rsid w:val="004D72BC"/>
    <w:rsid w:val="004F6B67"/>
    <w:rsid w:val="00501399"/>
    <w:rsid w:val="00507BC4"/>
    <w:rsid w:val="005128E4"/>
    <w:rsid w:val="00525560"/>
    <w:rsid w:val="005357A6"/>
    <w:rsid w:val="00544C49"/>
    <w:rsid w:val="0054635E"/>
    <w:rsid w:val="0057402A"/>
    <w:rsid w:val="005771D0"/>
    <w:rsid w:val="0059191A"/>
    <w:rsid w:val="005921FF"/>
    <w:rsid w:val="00592718"/>
    <w:rsid w:val="00592B82"/>
    <w:rsid w:val="005A6D0E"/>
    <w:rsid w:val="005B222D"/>
    <w:rsid w:val="005B52B0"/>
    <w:rsid w:val="005B6806"/>
    <w:rsid w:val="005C00F9"/>
    <w:rsid w:val="005C4225"/>
    <w:rsid w:val="005E6AE6"/>
    <w:rsid w:val="005F0F33"/>
    <w:rsid w:val="00600DEB"/>
    <w:rsid w:val="00613027"/>
    <w:rsid w:val="00627C9F"/>
    <w:rsid w:val="006311DA"/>
    <w:rsid w:val="006311E9"/>
    <w:rsid w:val="006318B2"/>
    <w:rsid w:val="00632354"/>
    <w:rsid w:val="00642810"/>
    <w:rsid w:val="00652333"/>
    <w:rsid w:val="00653EA6"/>
    <w:rsid w:val="00677807"/>
    <w:rsid w:val="0068009E"/>
    <w:rsid w:val="0069142B"/>
    <w:rsid w:val="006A17D2"/>
    <w:rsid w:val="006A73E6"/>
    <w:rsid w:val="006B2D5C"/>
    <w:rsid w:val="006C4EB1"/>
    <w:rsid w:val="006D4707"/>
    <w:rsid w:val="006E0166"/>
    <w:rsid w:val="006E7B34"/>
    <w:rsid w:val="00701B24"/>
    <w:rsid w:val="007030C5"/>
    <w:rsid w:val="0071495F"/>
    <w:rsid w:val="0073798E"/>
    <w:rsid w:val="007425CA"/>
    <w:rsid w:val="00745899"/>
    <w:rsid w:val="007460C8"/>
    <w:rsid w:val="007607C4"/>
    <w:rsid w:val="0076643F"/>
    <w:rsid w:val="00781653"/>
    <w:rsid w:val="00795815"/>
    <w:rsid w:val="007A2F70"/>
    <w:rsid w:val="007B0DDA"/>
    <w:rsid w:val="007C3334"/>
    <w:rsid w:val="007C52BB"/>
    <w:rsid w:val="007D2B98"/>
    <w:rsid w:val="00803F1C"/>
    <w:rsid w:val="0080600E"/>
    <w:rsid w:val="00817612"/>
    <w:rsid w:val="00837C45"/>
    <w:rsid w:val="00853419"/>
    <w:rsid w:val="0087599E"/>
    <w:rsid w:val="00897E12"/>
    <w:rsid w:val="008C3389"/>
    <w:rsid w:val="008D2E89"/>
    <w:rsid w:val="008D43BA"/>
    <w:rsid w:val="008E3759"/>
    <w:rsid w:val="009041DC"/>
    <w:rsid w:val="009104B4"/>
    <w:rsid w:val="009228DA"/>
    <w:rsid w:val="00925FCD"/>
    <w:rsid w:val="00926D2F"/>
    <w:rsid w:val="0093441A"/>
    <w:rsid w:val="00954BF7"/>
    <w:rsid w:val="00963305"/>
    <w:rsid w:val="0096706E"/>
    <w:rsid w:val="00981FBA"/>
    <w:rsid w:val="00997E57"/>
    <w:rsid w:val="009B381B"/>
    <w:rsid w:val="009D7611"/>
    <w:rsid w:val="009E53DE"/>
    <w:rsid w:val="009E566A"/>
    <w:rsid w:val="00A00121"/>
    <w:rsid w:val="00A12DBC"/>
    <w:rsid w:val="00A43458"/>
    <w:rsid w:val="00A528D1"/>
    <w:rsid w:val="00A60D5E"/>
    <w:rsid w:val="00A66BE5"/>
    <w:rsid w:val="00A70CAB"/>
    <w:rsid w:val="00A74334"/>
    <w:rsid w:val="00A7746D"/>
    <w:rsid w:val="00A80ABA"/>
    <w:rsid w:val="00AA5918"/>
    <w:rsid w:val="00AD37C1"/>
    <w:rsid w:val="00AE6435"/>
    <w:rsid w:val="00AE66EC"/>
    <w:rsid w:val="00AE6F91"/>
    <w:rsid w:val="00AF5571"/>
    <w:rsid w:val="00B06BB7"/>
    <w:rsid w:val="00B167E9"/>
    <w:rsid w:val="00B179ED"/>
    <w:rsid w:val="00B23EA8"/>
    <w:rsid w:val="00B314DB"/>
    <w:rsid w:val="00B31EBE"/>
    <w:rsid w:val="00B3718B"/>
    <w:rsid w:val="00B44B23"/>
    <w:rsid w:val="00B4632A"/>
    <w:rsid w:val="00B656A1"/>
    <w:rsid w:val="00B92E49"/>
    <w:rsid w:val="00BA276C"/>
    <w:rsid w:val="00BB306F"/>
    <w:rsid w:val="00BD232B"/>
    <w:rsid w:val="00BD2E42"/>
    <w:rsid w:val="00BD4B89"/>
    <w:rsid w:val="00BE2E55"/>
    <w:rsid w:val="00BF77CE"/>
    <w:rsid w:val="00C21762"/>
    <w:rsid w:val="00C24543"/>
    <w:rsid w:val="00C256A2"/>
    <w:rsid w:val="00C3492D"/>
    <w:rsid w:val="00C55560"/>
    <w:rsid w:val="00C66B72"/>
    <w:rsid w:val="00C76CD7"/>
    <w:rsid w:val="00C9567A"/>
    <w:rsid w:val="00CA6577"/>
    <w:rsid w:val="00CB2660"/>
    <w:rsid w:val="00CC5E90"/>
    <w:rsid w:val="00CD046C"/>
    <w:rsid w:val="00CE5199"/>
    <w:rsid w:val="00CE66D5"/>
    <w:rsid w:val="00D34786"/>
    <w:rsid w:val="00D40A1E"/>
    <w:rsid w:val="00D514D0"/>
    <w:rsid w:val="00D533C0"/>
    <w:rsid w:val="00D712D3"/>
    <w:rsid w:val="00D71422"/>
    <w:rsid w:val="00D7145E"/>
    <w:rsid w:val="00D75084"/>
    <w:rsid w:val="00D7558D"/>
    <w:rsid w:val="00D81D92"/>
    <w:rsid w:val="00D83F34"/>
    <w:rsid w:val="00D93446"/>
    <w:rsid w:val="00D93C4D"/>
    <w:rsid w:val="00DA7B5F"/>
    <w:rsid w:val="00DF078B"/>
    <w:rsid w:val="00DF350D"/>
    <w:rsid w:val="00E227C1"/>
    <w:rsid w:val="00E43157"/>
    <w:rsid w:val="00E44C6F"/>
    <w:rsid w:val="00E47F3D"/>
    <w:rsid w:val="00E533FF"/>
    <w:rsid w:val="00E709B3"/>
    <w:rsid w:val="00E7588C"/>
    <w:rsid w:val="00E850B6"/>
    <w:rsid w:val="00E8789F"/>
    <w:rsid w:val="00E90C41"/>
    <w:rsid w:val="00E97B71"/>
    <w:rsid w:val="00EB454D"/>
    <w:rsid w:val="00ED0D1B"/>
    <w:rsid w:val="00EE3522"/>
    <w:rsid w:val="00EF619B"/>
    <w:rsid w:val="00F00B55"/>
    <w:rsid w:val="00F01D38"/>
    <w:rsid w:val="00F1380F"/>
    <w:rsid w:val="00F14F0E"/>
    <w:rsid w:val="00F15A3B"/>
    <w:rsid w:val="00F24C29"/>
    <w:rsid w:val="00F253CC"/>
    <w:rsid w:val="00F42B71"/>
    <w:rsid w:val="00F56BA5"/>
    <w:rsid w:val="00F621C3"/>
    <w:rsid w:val="00F644E6"/>
    <w:rsid w:val="00F863C4"/>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6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4108B1"/>
    <w:rsid w:val="00491D90"/>
    <w:rsid w:val="0086647C"/>
    <w:rsid w:val="0092032A"/>
    <w:rsid w:val="00970BB7"/>
    <w:rsid w:val="00AB44F1"/>
    <w:rsid w:val="00BF48BC"/>
    <w:rsid w:val="00E0085A"/>
    <w:rsid w:val="00E715BD"/>
    <w:rsid w:val="00EA0868"/>
    <w:rsid w:val="00EC32A6"/>
    <w:rsid w:val="00F7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1AD73-07E4-45DD-BC04-60C843B8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2024</Words>
  <Characters>10263</Characters>
  <Application>Microsoft Office Word</Application>
  <DocSecurity>0</DocSecurity>
  <Lines>213</Lines>
  <Paragraphs>67</Paragraphs>
  <ScaleCrop>false</ScaleCrop>
  <Company/>
  <LinksUpToDate>false</LinksUpToDate>
  <CharactersWithSpaces>12220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214/19</dc:title>
  <dc:creator/>
  <cp:lastModifiedBy/>
  <cp:revision>1</cp:revision>
  <dcterms:created xsi:type="dcterms:W3CDTF">2020-12-17T18:51:00Z</dcterms:created>
  <dcterms:modified xsi:type="dcterms:W3CDTF">2020-12-17T18:51:00Z</dcterms:modified>
</cp:coreProperties>
</file>