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C6C" w:rsidRPr="003C32BC" w:rsidRDefault="003E5C6C" w:rsidP="003E5C6C">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91008" behindDoc="0" locked="0" layoutInCell="1" allowOverlap="1" wp14:anchorId="08B1C09E" wp14:editId="26373209">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D8C69" id="Rectangle 1" o:spid="_x0000_s1026" style="position:absolute;margin-left:-32.75pt;margin-top:-28.1pt;width:111pt;height:70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95104" behindDoc="0" locked="0" layoutInCell="1" allowOverlap="1" wp14:anchorId="2E87456F" wp14:editId="167F75B7">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C6C" w:rsidRDefault="003E5C6C" w:rsidP="003E5C6C">
                            <w:r>
                              <w:rPr>
                                <w:noProof/>
                              </w:rPr>
                              <w:drawing>
                                <wp:inline distT="0" distB="0" distL="0" distR="0" wp14:anchorId="3C23BF4E" wp14:editId="426ED593">
                                  <wp:extent cx="2522763" cy="485775"/>
                                  <wp:effectExtent l="0" t="0" r="0" b="0"/>
                                  <wp:docPr id="4"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7456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3E5C6C" w:rsidRDefault="003E5C6C" w:rsidP="003E5C6C">
                      <w:r>
                        <w:rPr>
                          <w:noProof/>
                        </w:rPr>
                        <w:drawing>
                          <wp:inline distT="0" distB="0" distL="0" distR="0" wp14:anchorId="3C23BF4E" wp14:editId="426ED593">
                            <wp:extent cx="2522763" cy="485775"/>
                            <wp:effectExtent l="0" t="0" r="0" b="0"/>
                            <wp:docPr id="4"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3E5C6C" w:rsidRPr="003C32BC" w:rsidRDefault="003E5C6C" w:rsidP="003E5C6C">
      <w:pPr>
        <w:tabs>
          <w:tab w:val="center" w:pos="5400"/>
        </w:tabs>
        <w:suppressAutoHyphens/>
        <w:jc w:val="both"/>
        <w:rPr>
          <w:rFonts w:asciiTheme="majorHAnsi" w:hAnsiTheme="majorHAnsi"/>
          <w:sz w:val="22"/>
          <w:szCs w:val="22"/>
          <w:lang w:val="es-ES"/>
        </w:rPr>
      </w:pPr>
    </w:p>
    <w:p w:rsidR="003E5C6C" w:rsidRPr="003C32BC" w:rsidRDefault="003E5C6C" w:rsidP="003E5C6C">
      <w:pPr>
        <w:tabs>
          <w:tab w:val="center" w:pos="5400"/>
        </w:tabs>
        <w:suppressAutoHyphens/>
        <w:jc w:val="both"/>
        <w:rPr>
          <w:rFonts w:asciiTheme="majorHAnsi" w:hAnsiTheme="majorHAnsi"/>
          <w:sz w:val="22"/>
          <w:szCs w:val="22"/>
          <w:lang w:val="es-ES"/>
        </w:rPr>
      </w:pPr>
    </w:p>
    <w:p w:rsidR="003E5C6C" w:rsidRPr="003C32BC" w:rsidRDefault="003E5C6C" w:rsidP="003E5C6C">
      <w:pPr>
        <w:tabs>
          <w:tab w:val="center" w:pos="5400"/>
        </w:tabs>
        <w:suppressAutoHyphens/>
        <w:rPr>
          <w:rFonts w:asciiTheme="majorHAnsi" w:hAnsiTheme="majorHAnsi"/>
          <w:sz w:val="22"/>
          <w:szCs w:val="22"/>
          <w:lang w:val="es-ES_tradnl"/>
        </w:rPr>
      </w:pPr>
    </w:p>
    <w:p w:rsidR="003E5C6C" w:rsidRPr="003C32BC" w:rsidRDefault="003E5C6C" w:rsidP="003E5C6C">
      <w:pPr>
        <w:tabs>
          <w:tab w:val="center" w:pos="5400"/>
        </w:tabs>
        <w:suppressAutoHyphens/>
        <w:rPr>
          <w:rFonts w:asciiTheme="majorHAnsi" w:hAnsiTheme="majorHAnsi"/>
          <w:sz w:val="22"/>
          <w:szCs w:val="22"/>
          <w:lang w:val="es-ES_tradnl"/>
        </w:rPr>
      </w:pPr>
    </w:p>
    <w:p w:rsidR="003E5C6C" w:rsidRPr="003C32BC" w:rsidRDefault="003E5C6C" w:rsidP="003E5C6C">
      <w:pPr>
        <w:tabs>
          <w:tab w:val="center" w:pos="5400"/>
        </w:tabs>
        <w:suppressAutoHyphens/>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92032" behindDoc="0" locked="0" layoutInCell="1" allowOverlap="1" wp14:anchorId="32D39E69" wp14:editId="7B70ED12">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C6C" w:rsidRPr="004B7EB6" w:rsidRDefault="003E5C6C" w:rsidP="003E5C6C">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DC5332">
                              <w:rPr>
                                <w:rFonts w:asciiTheme="majorHAnsi" w:hAnsiTheme="majorHAnsi" w:cs="Arial"/>
                                <w:b/>
                                <w:bCs/>
                                <w:color w:val="0D0D0D" w:themeColor="text1" w:themeTint="F2"/>
                                <w:sz w:val="36"/>
                                <w:szCs w:val="40"/>
                              </w:rPr>
                              <w:t>72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rsidR="003E5C6C" w:rsidRPr="004B7EB6" w:rsidRDefault="003E5C6C" w:rsidP="003E5C6C">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14-09</w:t>
                            </w:r>
                          </w:p>
                          <w:p w:rsidR="003E5C6C" w:rsidRPr="004B7EB6" w:rsidRDefault="003E5C6C" w:rsidP="003E5C6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3E5C6C" w:rsidRPr="004B7EB6" w:rsidRDefault="003E5C6C" w:rsidP="003E5C6C">
                            <w:pPr>
                              <w:spacing w:line="276" w:lineRule="auto"/>
                              <w:rPr>
                                <w:rFonts w:asciiTheme="majorHAnsi" w:hAnsiTheme="majorHAnsi" w:cs="Arial"/>
                                <w:color w:val="0D0D0D" w:themeColor="text1" w:themeTint="F2"/>
                                <w:szCs w:val="22"/>
                              </w:rPr>
                            </w:pPr>
                          </w:p>
                          <w:p w:rsidR="003E5C6C" w:rsidRPr="0010736F" w:rsidRDefault="003E5C6C" w:rsidP="003E5C6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LUIS ARMANDO CASTILLO OSORIO</w:t>
                            </w:r>
                          </w:p>
                          <w:p w:rsidR="003E5C6C" w:rsidRPr="000C4365" w:rsidRDefault="003E5C6C" w:rsidP="003E5C6C">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39E69" id="Text Box 5" o:spid="_x0000_s1027" type="#_x0000_t202" style="position:absolute;left:0;text-align:left;margin-left:95.25pt;margin-top:6.25pt;width:341.25pt;height:18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E5C6C" w:rsidRPr="004B7EB6" w:rsidRDefault="003E5C6C" w:rsidP="003E5C6C">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DC5332">
                        <w:rPr>
                          <w:rFonts w:asciiTheme="majorHAnsi" w:hAnsiTheme="majorHAnsi" w:cs="Arial"/>
                          <w:b/>
                          <w:bCs/>
                          <w:color w:val="0D0D0D" w:themeColor="text1" w:themeTint="F2"/>
                          <w:sz w:val="36"/>
                          <w:szCs w:val="40"/>
                        </w:rPr>
                        <w:t>72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rsidR="003E5C6C" w:rsidRPr="004B7EB6" w:rsidRDefault="003E5C6C" w:rsidP="003E5C6C">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14-09</w:t>
                      </w:r>
                    </w:p>
                    <w:p w:rsidR="003E5C6C" w:rsidRPr="004B7EB6" w:rsidRDefault="003E5C6C" w:rsidP="003E5C6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3E5C6C" w:rsidRPr="004B7EB6" w:rsidRDefault="003E5C6C" w:rsidP="003E5C6C">
                      <w:pPr>
                        <w:spacing w:line="276" w:lineRule="auto"/>
                        <w:rPr>
                          <w:rFonts w:asciiTheme="majorHAnsi" w:hAnsiTheme="majorHAnsi" w:cs="Arial"/>
                          <w:color w:val="0D0D0D" w:themeColor="text1" w:themeTint="F2"/>
                          <w:szCs w:val="22"/>
                        </w:rPr>
                      </w:pPr>
                    </w:p>
                    <w:p w:rsidR="003E5C6C" w:rsidRPr="0010736F" w:rsidRDefault="003E5C6C" w:rsidP="003E5C6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LUIS ARMANDO CASTILLO OSORIO</w:t>
                      </w:r>
                    </w:p>
                    <w:p w:rsidR="003E5C6C" w:rsidRPr="000C4365" w:rsidRDefault="003E5C6C" w:rsidP="003E5C6C">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GUATEMALA</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94080" behindDoc="0" locked="0" layoutInCell="1" allowOverlap="1" wp14:anchorId="3643BDF5" wp14:editId="5FDB219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C6C" w:rsidRPr="00B20A58" w:rsidRDefault="003E5C6C" w:rsidP="003E5C6C">
                            <w:pPr>
                              <w:jc w:val="right"/>
                              <w:rPr>
                                <w:rFonts w:asciiTheme="minorHAnsi" w:hAnsiTheme="minorHAnsi"/>
                                <w:color w:val="FFFFFF" w:themeColor="background1"/>
                                <w:sz w:val="22"/>
                              </w:rPr>
                            </w:pPr>
                            <w:r w:rsidRPr="00B20A58">
                              <w:rPr>
                                <w:rFonts w:asciiTheme="minorHAnsi" w:hAnsiTheme="minorHAnsi"/>
                                <w:color w:val="FFFFFF" w:themeColor="background1"/>
                                <w:sz w:val="22"/>
                              </w:rPr>
                              <w:t>OEA/</w:t>
                            </w:r>
                            <w:proofErr w:type="spellStart"/>
                            <w:r w:rsidRPr="00B20A58">
                              <w:rPr>
                                <w:rFonts w:asciiTheme="minorHAnsi" w:hAnsiTheme="minorHAnsi"/>
                                <w:color w:val="FFFFFF" w:themeColor="background1"/>
                                <w:sz w:val="22"/>
                              </w:rPr>
                              <w:t>Ser.L</w:t>
                            </w:r>
                            <w:proofErr w:type="spellEnd"/>
                            <w:r w:rsidRPr="00B20A58">
                              <w:rPr>
                                <w:rFonts w:asciiTheme="minorHAnsi" w:hAnsiTheme="minorHAnsi"/>
                                <w:color w:val="FFFFFF" w:themeColor="background1"/>
                                <w:sz w:val="22"/>
                              </w:rPr>
                              <w:t>/V/II.</w:t>
                            </w:r>
                          </w:p>
                          <w:p w:rsidR="003E5C6C" w:rsidRPr="00B20A58" w:rsidRDefault="003E5C6C" w:rsidP="003E5C6C">
                            <w:pPr>
                              <w:jc w:val="right"/>
                              <w:rPr>
                                <w:rFonts w:asciiTheme="minorHAnsi" w:hAnsiTheme="minorHAnsi"/>
                                <w:color w:val="FFFFFF" w:themeColor="background1"/>
                                <w:sz w:val="22"/>
                              </w:rPr>
                            </w:pPr>
                            <w:r w:rsidRPr="00B20A58">
                              <w:rPr>
                                <w:rFonts w:asciiTheme="minorHAnsi" w:hAnsiTheme="minorHAnsi"/>
                                <w:color w:val="FFFFFF" w:themeColor="background1"/>
                                <w:sz w:val="22"/>
                              </w:rPr>
                              <w:t xml:space="preserve">Doc. </w:t>
                            </w:r>
                            <w:r w:rsidR="00B20A58" w:rsidRPr="00B20A58">
                              <w:rPr>
                                <w:rFonts w:asciiTheme="minorHAnsi" w:hAnsiTheme="minorHAnsi"/>
                                <w:color w:val="FFFFFF" w:themeColor="background1"/>
                                <w:sz w:val="22"/>
                              </w:rPr>
                              <w:t>8</w:t>
                            </w:r>
                            <w:r w:rsidR="00B20A58">
                              <w:rPr>
                                <w:rFonts w:asciiTheme="minorHAnsi" w:hAnsiTheme="minorHAnsi"/>
                                <w:color w:val="FFFFFF" w:themeColor="background1"/>
                                <w:sz w:val="22"/>
                              </w:rPr>
                              <w:t>0</w:t>
                            </w:r>
                          </w:p>
                          <w:p w:rsidR="003E5C6C" w:rsidRPr="00B20A58" w:rsidRDefault="00B20A58" w:rsidP="003E5C6C">
                            <w:pPr>
                              <w:jc w:val="right"/>
                              <w:rPr>
                                <w:rFonts w:asciiTheme="minorHAnsi" w:hAnsiTheme="minorHAnsi"/>
                                <w:color w:val="FFFFFF" w:themeColor="background1"/>
                                <w:sz w:val="22"/>
                              </w:rPr>
                            </w:pPr>
                            <w:r>
                              <w:rPr>
                                <w:rFonts w:asciiTheme="minorHAnsi" w:hAnsiTheme="minorHAnsi"/>
                                <w:color w:val="FFFFFF" w:themeColor="background1"/>
                                <w:sz w:val="22"/>
                              </w:rPr>
                              <w:t>17 May 2019</w:t>
                            </w:r>
                          </w:p>
                          <w:p w:rsidR="003E5C6C" w:rsidRPr="00B20A58" w:rsidRDefault="003E5C6C" w:rsidP="003E5C6C">
                            <w:pPr>
                              <w:jc w:val="right"/>
                              <w:rPr>
                                <w:rFonts w:asciiTheme="minorHAnsi" w:hAnsiTheme="minorHAnsi"/>
                                <w:color w:val="FFFFFF" w:themeColor="background1"/>
                                <w:sz w:val="22"/>
                              </w:rPr>
                            </w:pPr>
                            <w:r w:rsidRPr="00B20A58">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3BDF5" id="Text Box 8" o:spid="_x0000_s1028" type="#_x0000_t202" style="position:absolute;left:0;text-align:left;margin-left:-29.25pt;margin-top:10pt;width:105.05pt;height:10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3E5C6C" w:rsidRPr="00B20A58" w:rsidRDefault="003E5C6C" w:rsidP="003E5C6C">
                      <w:pPr>
                        <w:jc w:val="right"/>
                        <w:rPr>
                          <w:rFonts w:asciiTheme="minorHAnsi" w:hAnsiTheme="minorHAnsi"/>
                          <w:color w:val="FFFFFF" w:themeColor="background1"/>
                          <w:sz w:val="22"/>
                        </w:rPr>
                      </w:pPr>
                      <w:r w:rsidRPr="00B20A58">
                        <w:rPr>
                          <w:rFonts w:asciiTheme="minorHAnsi" w:hAnsiTheme="minorHAnsi"/>
                          <w:color w:val="FFFFFF" w:themeColor="background1"/>
                          <w:sz w:val="22"/>
                        </w:rPr>
                        <w:t>OEA/</w:t>
                      </w:r>
                      <w:proofErr w:type="spellStart"/>
                      <w:r w:rsidRPr="00B20A58">
                        <w:rPr>
                          <w:rFonts w:asciiTheme="minorHAnsi" w:hAnsiTheme="minorHAnsi"/>
                          <w:color w:val="FFFFFF" w:themeColor="background1"/>
                          <w:sz w:val="22"/>
                        </w:rPr>
                        <w:t>Ser.L</w:t>
                      </w:r>
                      <w:proofErr w:type="spellEnd"/>
                      <w:r w:rsidRPr="00B20A58">
                        <w:rPr>
                          <w:rFonts w:asciiTheme="minorHAnsi" w:hAnsiTheme="minorHAnsi"/>
                          <w:color w:val="FFFFFF" w:themeColor="background1"/>
                          <w:sz w:val="22"/>
                        </w:rPr>
                        <w:t>/V/II.</w:t>
                      </w:r>
                    </w:p>
                    <w:p w:rsidR="003E5C6C" w:rsidRPr="00B20A58" w:rsidRDefault="003E5C6C" w:rsidP="003E5C6C">
                      <w:pPr>
                        <w:jc w:val="right"/>
                        <w:rPr>
                          <w:rFonts w:asciiTheme="minorHAnsi" w:hAnsiTheme="minorHAnsi"/>
                          <w:color w:val="FFFFFF" w:themeColor="background1"/>
                          <w:sz w:val="22"/>
                        </w:rPr>
                      </w:pPr>
                      <w:r w:rsidRPr="00B20A58">
                        <w:rPr>
                          <w:rFonts w:asciiTheme="minorHAnsi" w:hAnsiTheme="minorHAnsi"/>
                          <w:color w:val="FFFFFF" w:themeColor="background1"/>
                          <w:sz w:val="22"/>
                        </w:rPr>
                        <w:t xml:space="preserve">Doc. </w:t>
                      </w:r>
                      <w:r w:rsidR="00B20A58" w:rsidRPr="00B20A58">
                        <w:rPr>
                          <w:rFonts w:asciiTheme="minorHAnsi" w:hAnsiTheme="minorHAnsi"/>
                          <w:color w:val="FFFFFF" w:themeColor="background1"/>
                          <w:sz w:val="22"/>
                        </w:rPr>
                        <w:t>8</w:t>
                      </w:r>
                      <w:r w:rsidR="00B20A58">
                        <w:rPr>
                          <w:rFonts w:asciiTheme="minorHAnsi" w:hAnsiTheme="minorHAnsi"/>
                          <w:color w:val="FFFFFF" w:themeColor="background1"/>
                          <w:sz w:val="22"/>
                        </w:rPr>
                        <w:t>0</w:t>
                      </w:r>
                    </w:p>
                    <w:p w:rsidR="003E5C6C" w:rsidRPr="00B20A58" w:rsidRDefault="00B20A58" w:rsidP="003E5C6C">
                      <w:pPr>
                        <w:jc w:val="right"/>
                        <w:rPr>
                          <w:rFonts w:asciiTheme="minorHAnsi" w:hAnsiTheme="minorHAnsi"/>
                          <w:color w:val="FFFFFF" w:themeColor="background1"/>
                          <w:sz w:val="22"/>
                        </w:rPr>
                      </w:pPr>
                      <w:r>
                        <w:rPr>
                          <w:rFonts w:asciiTheme="minorHAnsi" w:hAnsiTheme="minorHAnsi"/>
                          <w:color w:val="FFFFFF" w:themeColor="background1"/>
                          <w:sz w:val="22"/>
                        </w:rPr>
                        <w:t>17 May 2019</w:t>
                      </w:r>
                    </w:p>
                    <w:p w:rsidR="003E5C6C" w:rsidRPr="00B20A58" w:rsidRDefault="003E5C6C" w:rsidP="003E5C6C">
                      <w:pPr>
                        <w:jc w:val="right"/>
                        <w:rPr>
                          <w:rFonts w:asciiTheme="minorHAnsi" w:hAnsiTheme="minorHAnsi"/>
                          <w:color w:val="FFFFFF" w:themeColor="background1"/>
                          <w:sz w:val="22"/>
                        </w:rPr>
                      </w:pPr>
                      <w:r w:rsidRPr="00B20A58">
                        <w:rPr>
                          <w:rFonts w:asciiTheme="minorHAnsi" w:hAnsiTheme="minorHAnsi"/>
                          <w:color w:val="FFFFFF" w:themeColor="background1"/>
                          <w:sz w:val="22"/>
                        </w:rPr>
                        <w:t>Original: Spanish</w:t>
                      </w:r>
                    </w:p>
                  </w:txbxContent>
                </v:textbox>
              </v:shape>
            </w:pict>
          </mc:Fallback>
        </mc:AlternateContent>
      </w: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cs="Arial"/>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22"/>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93056" behindDoc="0" locked="0" layoutInCell="1" allowOverlap="1" wp14:anchorId="74A38F0A" wp14:editId="41B36AE5">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C6C" w:rsidRPr="003C32BC" w:rsidRDefault="003E5C6C" w:rsidP="003E5C6C">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DC5332">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DC5332">
                              <w:rPr>
                                <w:rFonts w:asciiTheme="majorHAnsi" w:hAnsiTheme="majorHAnsi"/>
                                <w:color w:val="0D0D0D" w:themeColor="text1" w:themeTint="F2"/>
                                <w:sz w:val="18"/>
                                <w:szCs w:val="22"/>
                              </w:rPr>
                              <w:t>on May 17, 2019</w:t>
                            </w:r>
                            <w:r w:rsidR="0020059D">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38F0A" id="Text Box 7" o:spid="_x0000_s1029" type="#_x0000_t202" style="position:absolute;left:0;text-align:left;margin-left:95.05pt;margin-top:5.35pt;width:361.85pt;height:3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3E5C6C" w:rsidRPr="003C32BC" w:rsidRDefault="003E5C6C" w:rsidP="003E5C6C">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DC5332">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DC5332">
                        <w:rPr>
                          <w:rFonts w:asciiTheme="majorHAnsi" w:hAnsiTheme="majorHAnsi"/>
                          <w:color w:val="0D0D0D" w:themeColor="text1" w:themeTint="F2"/>
                          <w:sz w:val="18"/>
                          <w:szCs w:val="22"/>
                        </w:rPr>
                        <w:t>on May 17, 2019</w:t>
                      </w:r>
                      <w:r w:rsidR="0020059D">
                        <w:rPr>
                          <w:rFonts w:asciiTheme="majorHAnsi" w:hAnsiTheme="majorHAnsi"/>
                          <w:color w:val="0D0D0D" w:themeColor="text1" w:themeTint="F2"/>
                          <w:sz w:val="18"/>
                          <w:szCs w:val="22"/>
                        </w:rPr>
                        <w:t>.</w:t>
                      </w:r>
                    </w:p>
                  </w:txbxContent>
                </v:textbox>
              </v:shape>
            </w:pict>
          </mc:Fallback>
        </mc:AlternateContent>
      </w: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96128" behindDoc="0" locked="0" layoutInCell="1" allowOverlap="1" wp14:anchorId="1B189B33" wp14:editId="1A06BC5C">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C6C" w:rsidRPr="003C32BC" w:rsidRDefault="003E5C6C" w:rsidP="003E5C6C">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C5332">
                              <w:rPr>
                                <w:rFonts w:asciiTheme="majorHAnsi" w:hAnsiTheme="majorHAnsi"/>
                                <w:color w:val="595959" w:themeColor="text1" w:themeTint="A6"/>
                                <w:sz w:val="18"/>
                              </w:rPr>
                              <w:t>72</w:t>
                            </w:r>
                            <w:r>
                              <w:rPr>
                                <w:rFonts w:asciiTheme="majorHAnsi" w:hAnsiTheme="majorHAnsi"/>
                                <w:color w:val="595959" w:themeColor="text1" w:themeTint="A6"/>
                                <w:sz w:val="18"/>
                              </w:rPr>
                              <w:t>/</w:t>
                            </w:r>
                            <w:r w:rsidR="00DC5332">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14-09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Luis Armando Castillo Osorio</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Guatemala.</w:t>
                            </w:r>
                            <w:r w:rsidR="00DC5332">
                              <w:rPr>
                                <w:rFonts w:asciiTheme="majorHAnsi" w:hAnsiTheme="majorHAnsi"/>
                                <w:color w:val="595959" w:themeColor="text1" w:themeTint="A6"/>
                                <w:sz w:val="18"/>
                              </w:rPr>
                              <w:t xml:space="preserve"> May 17, 2019</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89B33" id="Text Box 14" o:spid="_x0000_s1030" type="#_x0000_t202" style="position:absolute;left:0;text-align:left;margin-left:95.25pt;margin-top:7.25pt;width:379.85pt;height: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E5C6C" w:rsidRPr="003C32BC" w:rsidRDefault="003E5C6C" w:rsidP="003E5C6C">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C5332">
                        <w:rPr>
                          <w:rFonts w:asciiTheme="majorHAnsi" w:hAnsiTheme="majorHAnsi"/>
                          <w:color w:val="595959" w:themeColor="text1" w:themeTint="A6"/>
                          <w:sz w:val="18"/>
                        </w:rPr>
                        <w:t>72</w:t>
                      </w:r>
                      <w:r>
                        <w:rPr>
                          <w:rFonts w:asciiTheme="majorHAnsi" w:hAnsiTheme="majorHAnsi"/>
                          <w:color w:val="595959" w:themeColor="text1" w:themeTint="A6"/>
                          <w:sz w:val="18"/>
                        </w:rPr>
                        <w:t>/</w:t>
                      </w:r>
                      <w:r w:rsidR="00DC5332">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14-09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Luis Armando Castillo Osorio</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Guatemala.</w:t>
                      </w:r>
                      <w:r w:rsidR="00DC5332">
                        <w:rPr>
                          <w:rFonts w:asciiTheme="majorHAnsi" w:hAnsiTheme="majorHAnsi"/>
                          <w:color w:val="595959" w:themeColor="text1" w:themeTint="A6"/>
                          <w:sz w:val="18"/>
                        </w:rPr>
                        <w:t xml:space="preserve"> May 17, 2019</w:t>
                      </w:r>
                      <w:r>
                        <w:rPr>
                          <w:rFonts w:asciiTheme="majorHAnsi" w:hAnsiTheme="majorHAnsi"/>
                          <w:color w:val="595959" w:themeColor="text1" w:themeTint="A6"/>
                          <w:sz w:val="18"/>
                        </w:rPr>
                        <w:t>.</w:t>
                      </w:r>
                    </w:p>
                  </w:txbxContent>
                </v:textbox>
              </v:shape>
            </w:pict>
          </mc:Fallback>
        </mc:AlternateContent>
      </w: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lang w:val="es-ES_tradnl"/>
        </w:rPr>
      </w:pPr>
    </w:p>
    <w:p w:rsidR="003E5C6C" w:rsidRPr="003C32BC" w:rsidRDefault="003E5C6C" w:rsidP="003E5C6C">
      <w:pPr>
        <w:tabs>
          <w:tab w:val="center" w:pos="5400"/>
        </w:tabs>
        <w:suppressAutoHyphens/>
        <w:jc w:val="center"/>
        <w:rPr>
          <w:rFonts w:asciiTheme="majorHAnsi" w:hAnsiTheme="majorHAnsi"/>
          <w:sz w:val="18"/>
          <w:szCs w:val="22"/>
        </w:rPr>
      </w:pPr>
    </w:p>
    <w:p w:rsidR="003E5C6C" w:rsidRPr="003C32BC" w:rsidRDefault="003E5C6C" w:rsidP="003E5C6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98176" behindDoc="0" locked="0" layoutInCell="1" allowOverlap="1" wp14:anchorId="0F74DE2E" wp14:editId="117C4C80">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C6C" w:rsidRPr="004B7EB6" w:rsidRDefault="003E5C6C" w:rsidP="003E5C6C">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4DE2E" id="Text Box 3" o:spid="_x0000_s1031" type="#_x0000_t202" style="position:absolute;left:0;text-align:left;margin-left:-23.55pt;margin-top:67.65pt;width:93pt;height:2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3E5C6C" w:rsidRPr="004B7EB6" w:rsidRDefault="003E5C6C" w:rsidP="003E5C6C">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97152" behindDoc="0" locked="0" layoutInCell="1" allowOverlap="1" wp14:anchorId="688F9068" wp14:editId="66A3D1A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5C6C" w:rsidRDefault="003E5C6C" w:rsidP="003E5C6C">
                            <w:r>
                              <w:rPr>
                                <w:noProof/>
                              </w:rPr>
                              <w:drawing>
                                <wp:inline distT="0" distB="0" distL="0" distR="0" wp14:anchorId="7B0DDC40" wp14:editId="5DC786F9">
                                  <wp:extent cx="1123950" cy="378416"/>
                                  <wp:effectExtent l="0" t="0" r="0" b="3175"/>
                                  <wp:docPr id="9" name="Picture 9"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F9068" id="Text Box 2" o:spid="_x0000_s1032" type="#_x0000_t202" style="position:absolute;left:0;text-align:left;margin-left:95.15pt;margin-top:56.9pt;width:164.2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E5C6C" w:rsidRDefault="003E5C6C" w:rsidP="003E5C6C">
                      <w:r>
                        <w:rPr>
                          <w:noProof/>
                        </w:rPr>
                        <w:drawing>
                          <wp:inline distT="0" distB="0" distL="0" distR="0" wp14:anchorId="7B0DDC40" wp14:editId="5DC786F9">
                            <wp:extent cx="1123950" cy="378416"/>
                            <wp:effectExtent l="0" t="0" r="0" b="3175"/>
                            <wp:docPr id="9" name="Picture 9"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3E5C6C" w:rsidRDefault="003E5C6C" w:rsidP="003E5C6C">
      <w:pPr>
        <w:tabs>
          <w:tab w:val="center" w:pos="5400"/>
        </w:tabs>
        <w:suppressAutoHyphens/>
        <w:jc w:val="center"/>
        <w:rPr>
          <w:rFonts w:asciiTheme="majorHAnsi" w:hAnsiTheme="majorHAnsi"/>
          <w:sz w:val="18"/>
          <w:szCs w:val="22"/>
        </w:rPr>
        <w:sectPr w:rsidR="003E5C6C"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0C083A" w:rsidRPr="00FC58FC" w:rsidRDefault="000C083A" w:rsidP="000C083A">
      <w:pPr>
        <w:tabs>
          <w:tab w:val="center" w:pos="5400"/>
        </w:tabs>
        <w:suppressAutoHyphens/>
        <w:jc w:val="center"/>
        <w:rPr>
          <w:rFonts w:asciiTheme="majorHAnsi" w:hAnsiTheme="majorHAnsi"/>
          <w:sz w:val="18"/>
          <w:szCs w:val="22"/>
        </w:rPr>
      </w:pPr>
    </w:p>
    <w:p w:rsidR="003E5C6C" w:rsidRPr="00AF1198" w:rsidRDefault="003E5C6C" w:rsidP="003E5C6C">
      <w:pPr>
        <w:spacing w:after="240"/>
        <w:ind w:firstLine="720"/>
        <w:jc w:val="both"/>
        <w:rPr>
          <w:rFonts w:asciiTheme="majorHAnsi" w:hAnsiTheme="majorHAnsi"/>
          <w:b/>
          <w:bCs/>
          <w:sz w:val="19"/>
          <w:szCs w:val="19"/>
        </w:rPr>
      </w:pPr>
      <w:r w:rsidRPr="00AF1198">
        <w:rPr>
          <w:rFonts w:asciiTheme="majorHAnsi" w:hAnsiTheme="majorHAnsi"/>
          <w:b/>
          <w:bCs/>
          <w:sz w:val="19"/>
          <w:szCs w:val="19"/>
        </w:rPr>
        <w:t>I.</w:t>
      </w:r>
      <w:r w:rsidRPr="00AF1198">
        <w:rPr>
          <w:rFonts w:asciiTheme="majorHAnsi" w:hAnsiTheme="majorHAnsi"/>
          <w:b/>
          <w:bCs/>
          <w:sz w:val="19"/>
          <w:szCs w:val="19"/>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E5C6C" w:rsidRPr="00AF1198" w:rsidTr="00EA1459">
        <w:tc>
          <w:tcPr>
            <w:tcW w:w="3690" w:type="dxa"/>
            <w:tcBorders>
              <w:top w:val="single" w:sz="4"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Petitioner:</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Luis Armando Castillo Osorio</w:t>
            </w:r>
          </w:p>
        </w:tc>
      </w:tr>
      <w:tr w:rsidR="003E5C6C" w:rsidRPr="00AF1198" w:rsidTr="00EA1459">
        <w:tc>
          <w:tcPr>
            <w:tcW w:w="3690" w:type="dxa"/>
            <w:tcBorders>
              <w:top w:val="single" w:sz="6" w:space="0" w:color="auto"/>
              <w:bottom w:val="single" w:sz="6" w:space="0" w:color="auto"/>
            </w:tcBorders>
            <w:shd w:val="clear" w:color="auto" w:fill="67AE3C"/>
            <w:vAlign w:val="center"/>
          </w:tcPr>
          <w:p w:rsidR="003E5C6C" w:rsidRPr="00AF1198" w:rsidRDefault="00E1491B" w:rsidP="00EA1459">
            <w:pPr>
              <w:jc w:val="center"/>
              <w:rPr>
                <w:rFonts w:ascii="Cambria" w:hAnsi="Cambria"/>
                <w:b/>
                <w:bCs/>
                <w:color w:val="FFFFFF" w:themeColor="background1"/>
                <w:sz w:val="19"/>
                <w:szCs w:val="19"/>
              </w:rPr>
            </w:pPr>
            <w:sdt>
              <w:sdtPr>
                <w:rPr>
                  <w:rFonts w:ascii="Cambria" w:hAnsi="Cambria"/>
                  <w:b/>
                  <w:bCs/>
                  <w:color w:val="FFFFFF" w:themeColor="background1"/>
                  <w:sz w:val="19"/>
                  <w:szCs w:val="19"/>
                </w:rPr>
                <w:alias w:val="Elegir una opción"/>
                <w:tag w:val="Elegir una opción"/>
                <w:id w:val="931095713"/>
                <w:placeholder>
                  <w:docPart w:val="D1223060E9984130816BBE6C5B6F3799"/>
                </w:placeholder>
                <w:dropDownList>
                  <w:listItem w:value="Choose an item."/>
                  <w:listItem w:displayText="Alleged victim" w:value="Alleged victim"/>
                  <w:listItem w:displayText="Alleged victims" w:value="Alleged victims"/>
                </w:dropDownList>
              </w:sdtPr>
              <w:sdtEndPr/>
              <w:sdtContent>
                <w:r w:rsidR="003E5C6C" w:rsidRPr="00AF1198">
                  <w:rPr>
                    <w:rFonts w:ascii="Cambria" w:hAnsi="Cambria"/>
                    <w:b/>
                    <w:bCs/>
                    <w:color w:val="FFFFFF" w:themeColor="background1"/>
                    <w:sz w:val="19"/>
                    <w:szCs w:val="19"/>
                  </w:rPr>
                  <w:t>Alleged victim</w:t>
                </w:r>
              </w:sdtContent>
            </w:sdt>
            <w:r w:rsidR="003E5C6C" w:rsidRPr="00AF1198">
              <w:rPr>
                <w:rFonts w:ascii="Cambria" w:hAnsi="Cambria"/>
                <w:b/>
                <w:bCs/>
                <w:color w:val="FFFFFF" w:themeColor="background1"/>
                <w:sz w:val="19"/>
                <w:szCs w:val="19"/>
              </w:rPr>
              <w:t>:</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Luis Armando Castillo Osorio</w:t>
            </w:r>
          </w:p>
        </w:tc>
      </w:tr>
      <w:tr w:rsidR="003E5C6C" w:rsidRPr="00AF1198" w:rsidTr="00EA1459">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Respondent State:</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Guatemala</w:t>
            </w:r>
          </w:p>
        </w:tc>
      </w:tr>
      <w:tr w:rsidR="003E5C6C" w:rsidRPr="00AF1198" w:rsidTr="00EA1459">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Rights invoked:</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Articles 8 (fair trial), 11 (privacy), 24 (equal protection) and 25 (judicial protection) of the American Convention on Human Rights</w:t>
            </w:r>
            <w:r w:rsidRPr="00AF1198">
              <w:rPr>
                <w:rStyle w:val="FootnoteReference"/>
                <w:rFonts w:asciiTheme="majorHAnsi" w:hAnsiTheme="majorHAnsi"/>
                <w:sz w:val="19"/>
                <w:szCs w:val="19"/>
              </w:rPr>
              <w:footnoteReference w:id="2"/>
            </w:r>
            <w:r w:rsidRPr="00AF1198">
              <w:rPr>
                <w:rFonts w:asciiTheme="majorHAnsi" w:hAnsiTheme="majorHAnsi"/>
                <w:sz w:val="19"/>
                <w:szCs w:val="19"/>
              </w:rPr>
              <w:t>,  taken in conjunction with its Article 1.1 (obligation to respect rights), and Articles 6 and 7 of the Protocol of San Salvador in relation to Articles 2, 3, 4, 5, and 8 thereof.</w:t>
            </w:r>
          </w:p>
        </w:tc>
      </w:tr>
    </w:tbl>
    <w:p w:rsidR="003E5C6C" w:rsidRPr="00AF1198" w:rsidRDefault="003E5C6C" w:rsidP="003E5C6C">
      <w:pPr>
        <w:spacing w:before="240" w:after="240"/>
        <w:ind w:firstLine="720"/>
        <w:jc w:val="both"/>
        <w:rPr>
          <w:rFonts w:asciiTheme="majorHAnsi" w:hAnsiTheme="majorHAnsi"/>
          <w:b/>
          <w:bCs/>
          <w:sz w:val="19"/>
          <w:szCs w:val="19"/>
        </w:rPr>
      </w:pPr>
      <w:r w:rsidRPr="00AF1198">
        <w:rPr>
          <w:rFonts w:asciiTheme="majorHAnsi" w:hAnsiTheme="majorHAnsi"/>
          <w:b/>
          <w:bCs/>
          <w:sz w:val="19"/>
          <w:szCs w:val="19"/>
        </w:rPr>
        <w:t>II.</w:t>
      </w:r>
      <w:r w:rsidRPr="00AF1198">
        <w:rPr>
          <w:rFonts w:asciiTheme="majorHAnsi" w:hAnsiTheme="majorHAnsi"/>
          <w:b/>
          <w:bCs/>
          <w:sz w:val="19"/>
          <w:szCs w:val="19"/>
        </w:rPr>
        <w:tab/>
        <w:t>PROCEEDINGS BEFORE THE IACHR</w:t>
      </w:r>
      <w:r w:rsidRPr="00AF1198">
        <w:rPr>
          <w:rStyle w:val="FootnoteReference"/>
          <w:rFonts w:ascii="Cambria" w:hAnsi="Cambria"/>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E5C6C" w:rsidRPr="00AF1198" w:rsidTr="00EA1459">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Filing of the petition:</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January 4, 2009</w:t>
            </w:r>
          </w:p>
        </w:tc>
      </w:tr>
      <w:tr w:rsidR="003E5C6C" w:rsidRPr="00AF1198" w:rsidTr="00EA1459">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color w:val="FFFFFF" w:themeColor="background1"/>
                <w:sz w:val="19"/>
                <w:szCs w:val="19"/>
              </w:rPr>
            </w:pPr>
            <w:r w:rsidRPr="00AF1198">
              <w:rPr>
                <w:rFonts w:ascii="Cambria" w:hAnsi="Cambria"/>
                <w:b/>
                <w:color w:val="FFFFFF" w:themeColor="background1"/>
                <w:sz w:val="19"/>
                <w:szCs w:val="19"/>
              </w:rPr>
              <w:t>Additional information received at the stage of initial review:</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August 20, 2014</w:t>
            </w:r>
          </w:p>
        </w:tc>
      </w:tr>
      <w:tr w:rsidR="003E5C6C" w:rsidRPr="00AF1198" w:rsidTr="00EA1459">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color w:val="FFFFFF" w:themeColor="background1"/>
                <w:sz w:val="19"/>
                <w:szCs w:val="19"/>
              </w:rPr>
              <w:t>Notification of the petition to the State:</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December 8, 2014</w:t>
            </w:r>
          </w:p>
        </w:tc>
      </w:tr>
      <w:tr w:rsidR="003E5C6C" w:rsidRPr="00AF1198" w:rsidTr="00EA1459">
        <w:trPr>
          <w:trHeight w:val="264"/>
        </w:trPr>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color w:val="FFFFFF" w:themeColor="background1"/>
                <w:sz w:val="19"/>
                <w:szCs w:val="19"/>
              </w:rPr>
              <w:t>State’s first response:</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May 31, 2017</w:t>
            </w:r>
          </w:p>
        </w:tc>
      </w:tr>
      <w:tr w:rsidR="003E5C6C" w:rsidRPr="00AF1198" w:rsidTr="00EA1459">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Additional observations from the petitioner:</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June 26, 2017</w:t>
            </w:r>
          </w:p>
        </w:tc>
      </w:tr>
      <w:tr w:rsidR="003E5C6C" w:rsidRPr="00AF1198" w:rsidTr="00EA1459">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Additional observations from the State:</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January 4, 2009</w:t>
            </w:r>
          </w:p>
        </w:tc>
      </w:tr>
      <w:tr w:rsidR="003E5C6C" w:rsidRPr="00AF1198" w:rsidTr="00EA1459">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Notification of the possible archiving of the petition:</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August 20, 2014</w:t>
            </w:r>
          </w:p>
        </w:tc>
      </w:tr>
      <w:tr w:rsidR="003E5C6C" w:rsidRPr="00AF1198" w:rsidTr="00EA1459">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Petitioner’s response to the notification regarding the possible archiving of the petition:</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December 8, 2014</w:t>
            </w:r>
          </w:p>
        </w:tc>
      </w:tr>
      <w:tr w:rsidR="003E5C6C" w:rsidRPr="00AF1198" w:rsidTr="00EA1459">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Precautionary measure granted:</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May 31, 2017</w:t>
            </w:r>
          </w:p>
        </w:tc>
      </w:tr>
    </w:tbl>
    <w:p w:rsidR="003E5C6C" w:rsidRPr="00AF1198" w:rsidRDefault="003E5C6C" w:rsidP="003E5C6C">
      <w:pPr>
        <w:spacing w:before="240" w:after="240"/>
        <w:ind w:firstLine="720"/>
        <w:jc w:val="both"/>
        <w:rPr>
          <w:rFonts w:asciiTheme="majorHAnsi" w:hAnsiTheme="majorHAnsi"/>
          <w:b/>
          <w:bCs/>
          <w:sz w:val="19"/>
          <w:szCs w:val="19"/>
        </w:rPr>
      </w:pPr>
      <w:r w:rsidRPr="00AF1198">
        <w:rPr>
          <w:rFonts w:asciiTheme="majorHAnsi" w:hAnsiTheme="majorHAnsi"/>
          <w:b/>
          <w:bCs/>
          <w:sz w:val="19"/>
          <w:szCs w:val="19"/>
        </w:rPr>
        <w:t xml:space="preserve">III. </w:t>
      </w:r>
      <w:r w:rsidRPr="00AF1198">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E5C6C" w:rsidRPr="00AF1198" w:rsidTr="00EA1459">
        <w:trPr>
          <w:cantSplit/>
        </w:trPr>
        <w:tc>
          <w:tcPr>
            <w:tcW w:w="3690" w:type="dxa"/>
            <w:tcBorders>
              <w:top w:val="single" w:sz="4" w:space="0" w:color="auto"/>
              <w:bottom w:val="single" w:sz="6" w:space="0" w:color="auto"/>
            </w:tcBorders>
            <w:shd w:val="clear" w:color="auto" w:fill="67AE3C"/>
            <w:vAlign w:val="center"/>
          </w:tcPr>
          <w:p w:rsidR="003E5C6C" w:rsidRPr="00AF1198" w:rsidRDefault="003E5C6C" w:rsidP="00EA1459">
            <w:pPr>
              <w:jc w:val="center"/>
              <w:rPr>
                <w:rFonts w:ascii="Cambria" w:hAnsi="Cambria"/>
                <w:b/>
                <w:bCs/>
                <w:i/>
                <w:color w:val="FFFFFF" w:themeColor="background1"/>
                <w:sz w:val="19"/>
                <w:szCs w:val="19"/>
              </w:rPr>
            </w:pPr>
            <w:r w:rsidRPr="00AF1198">
              <w:rPr>
                <w:rFonts w:ascii="Cambria" w:hAnsi="Cambria"/>
                <w:b/>
                <w:bCs/>
                <w:color w:val="FFFFFF" w:themeColor="background1"/>
                <w:sz w:val="19"/>
                <w:szCs w:val="19"/>
              </w:rPr>
              <w:t>Competence</w:t>
            </w:r>
            <w:r w:rsidRPr="00AF1198">
              <w:rPr>
                <w:rFonts w:ascii="Cambria" w:hAnsi="Cambria"/>
                <w:b/>
                <w:bCs/>
                <w:i/>
                <w:color w:val="FFFFFF" w:themeColor="background1"/>
                <w:sz w:val="19"/>
                <w:szCs w:val="19"/>
              </w:rPr>
              <w:t xml:space="preserve"> </w:t>
            </w:r>
            <w:proofErr w:type="spellStart"/>
            <w:r w:rsidRPr="00AF1198">
              <w:rPr>
                <w:rFonts w:ascii="Cambria" w:hAnsi="Cambria"/>
                <w:b/>
                <w:bCs/>
                <w:i/>
                <w:color w:val="FFFFFF" w:themeColor="background1"/>
                <w:sz w:val="19"/>
                <w:szCs w:val="19"/>
              </w:rPr>
              <w:t>Ratione</w:t>
            </w:r>
            <w:proofErr w:type="spellEnd"/>
            <w:r w:rsidRPr="00AF1198">
              <w:rPr>
                <w:rFonts w:ascii="Cambria" w:hAnsi="Cambria"/>
                <w:b/>
                <w:bCs/>
                <w:i/>
                <w:color w:val="FFFFFF" w:themeColor="background1"/>
                <w:sz w:val="19"/>
                <w:szCs w:val="19"/>
              </w:rPr>
              <w:t xml:space="preserve"> personae:</w:t>
            </w:r>
          </w:p>
        </w:tc>
        <w:tc>
          <w:tcPr>
            <w:tcW w:w="5670" w:type="dxa"/>
          </w:tcPr>
          <w:p w:rsidR="003E5C6C" w:rsidRPr="00AF1198" w:rsidRDefault="003E5C6C" w:rsidP="00EA1459">
            <w:pPr>
              <w:rPr>
                <w:rFonts w:asciiTheme="majorHAnsi" w:hAnsiTheme="majorHAnsi"/>
                <w:bCs/>
                <w:sz w:val="19"/>
                <w:szCs w:val="19"/>
              </w:rPr>
            </w:pPr>
            <w:r w:rsidRPr="00AF1198">
              <w:rPr>
                <w:rFonts w:asciiTheme="majorHAnsi" w:hAnsiTheme="majorHAnsi"/>
                <w:sz w:val="19"/>
                <w:szCs w:val="19"/>
              </w:rPr>
              <w:t>Yes</w:t>
            </w:r>
          </w:p>
        </w:tc>
      </w:tr>
      <w:tr w:rsidR="003E5C6C" w:rsidRPr="00AF1198" w:rsidTr="00EA1459">
        <w:trPr>
          <w:cantSplit/>
        </w:trPr>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Competence</w:t>
            </w:r>
            <w:r w:rsidRPr="00AF1198">
              <w:rPr>
                <w:rFonts w:ascii="Cambria" w:hAnsi="Cambria"/>
                <w:b/>
                <w:bCs/>
                <w:i/>
                <w:color w:val="FFFFFF" w:themeColor="background1"/>
                <w:sz w:val="19"/>
                <w:szCs w:val="19"/>
              </w:rPr>
              <w:t xml:space="preserve"> </w:t>
            </w:r>
            <w:proofErr w:type="spellStart"/>
            <w:r w:rsidRPr="00AF1198">
              <w:rPr>
                <w:rFonts w:ascii="Cambria" w:hAnsi="Cambria"/>
                <w:b/>
                <w:bCs/>
                <w:i/>
                <w:color w:val="FFFFFF" w:themeColor="background1"/>
                <w:sz w:val="19"/>
                <w:szCs w:val="19"/>
              </w:rPr>
              <w:t>Ratione</w:t>
            </w:r>
            <w:proofErr w:type="spellEnd"/>
            <w:r w:rsidRPr="00AF1198">
              <w:rPr>
                <w:rFonts w:ascii="Cambria" w:hAnsi="Cambria"/>
                <w:b/>
                <w:bCs/>
                <w:i/>
                <w:color w:val="FFFFFF" w:themeColor="background1"/>
                <w:sz w:val="19"/>
                <w:szCs w:val="19"/>
              </w:rPr>
              <w:t xml:space="preserve"> loci</w:t>
            </w:r>
            <w:r w:rsidRPr="00AF1198">
              <w:rPr>
                <w:rFonts w:ascii="Cambria" w:hAnsi="Cambria"/>
                <w:b/>
                <w:bCs/>
                <w:color w:val="FFFFFF" w:themeColor="background1"/>
                <w:sz w:val="19"/>
                <w:szCs w:val="19"/>
              </w:rPr>
              <w:t>:</w:t>
            </w:r>
          </w:p>
        </w:tc>
        <w:tc>
          <w:tcPr>
            <w:tcW w:w="5670" w:type="dxa"/>
          </w:tcPr>
          <w:p w:rsidR="003E5C6C" w:rsidRPr="00AF1198" w:rsidRDefault="003E5C6C" w:rsidP="00EA1459">
            <w:pPr>
              <w:rPr>
                <w:rFonts w:asciiTheme="majorHAnsi" w:hAnsiTheme="majorHAnsi"/>
                <w:bCs/>
                <w:sz w:val="19"/>
                <w:szCs w:val="19"/>
              </w:rPr>
            </w:pPr>
            <w:r w:rsidRPr="00AF1198">
              <w:rPr>
                <w:rFonts w:asciiTheme="majorHAnsi" w:hAnsiTheme="majorHAnsi"/>
                <w:sz w:val="19"/>
                <w:szCs w:val="19"/>
              </w:rPr>
              <w:t>Yes</w:t>
            </w:r>
          </w:p>
        </w:tc>
      </w:tr>
      <w:tr w:rsidR="003E5C6C" w:rsidRPr="00AF1198" w:rsidTr="00EA1459">
        <w:trPr>
          <w:cantSplit/>
        </w:trPr>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Competence</w:t>
            </w:r>
            <w:r w:rsidRPr="00AF1198">
              <w:rPr>
                <w:rFonts w:ascii="Cambria" w:hAnsi="Cambria"/>
                <w:b/>
                <w:bCs/>
                <w:i/>
                <w:color w:val="FFFFFF" w:themeColor="background1"/>
                <w:sz w:val="19"/>
                <w:szCs w:val="19"/>
              </w:rPr>
              <w:t xml:space="preserve"> </w:t>
            </w:r>
            <w:proofErr w:type="spellStart"/>
            <w:r w:rsidRPr="00AF1198">
              <w:rPr>
                <w:rFonts w:ascii="Cambria" w:hAnsi="Cambria"/>
                <w:b/>
                <w:bCs/>
                <w:i/>
                <w:color w:val="FFFFFF" w:themeColor="background1"/>
                <w:sz w:val="19"/>
                <w:szCs w:val="19"/>
              </w:rPr>
              <w:t>Ratione</w:t>
            </w:r>
            <w:proofErr w:type="spellEnd"/>
            <w:r w:rsidRPr="00AF1198">
              <w:rPr>
                <w:rFonts w:ascii="Cambria" w:hAnsi="Cambria"/>
                <w:b/>
                <w:bCs/>
                <w:i/>
                <w:color w:val="FFFFFF" w:themeColor="background1"/>
                <w:sz w:val="19"/>
                <w:szCs w:val="19"/>
              </w:rPr>
              <w:t xml:space="preserve"> </w:t>
            </w:r>
            <w:proofErr w:type="spellStart"/>
            <w:r w:rsidRPr="00AF1198">
              <w:rPr>
                <w:rFonts w:ascii="Cambria" w:hAnsi="Cambria"/>
                <w:b/>
                <w:bCs/>
                <w:i/>
                <w:color w:val="FFFFFF" w:themeColor="background1"/>
                <w:sz w:val="19"/>
                <w:szCs w:val="19"/>
              </w:rPr>
              <w:t>temporis</w:t>
            </w:r>
            <w:proofErr w:type="spellEnd"/>
            <w:r w:rsidRPr="00AF1198">
              <w:rPr>
                <w:rFonts w:ascii="Cambria" w:hAnsi="Cambria"/>
                <w:b/>
                <w:bCs/>
                <w:color w:val="FFFFFF" w:themeColor="background1"/>
                <w:sz w:val="19"/>
                <w:szCs w:val="19"/>
              </w:rPr>
              <w:t>:</w:t>
            </w:r>
          </w:p>
        </w:tc>
        <w:tc>
          <w:tcPr>
            <w:tcW w:w="5670" w:type="dxa"/>
          </w:tcPr>
          <w:p w:rsidR="003E5C6C" w:rsidRPr="00AF1198" w:rsidRDefault="003E5C6C" w:rsidP="00EA1459">
            <w:pPr>
              <w:rPr>
                <w:rFonts w:asciiTheme="majorHAnsi" w:hAnsiTheme="majorHAnsi"/>
                <w:bCs/>
                <w:sz w:val="19"/>
                <w:szCs w:val="19"/>
              </w:rPr>
            </w:pPr>
            <w:r w:rsidRPr="00AF1198">
              <w:rPr>
                <w:rFonts w:asciiTheme="majorHAnsi" w:hAnsiTheme="majorHAnsi"/>
                <w:sz w:val="19"/>
                <w:szCs w:val="19"/>
              </w:rPr>
              <w:t>Yes</w:t>
            </w:r>
          </w:p>
        </w:tc>
      </w:tr>
      <w:tr w:rsidR="003E5C6C" w:rsidRPr="00AF1198" w:rsidTr="00EA1459">
        <w:trPr>
          <w:cantSplit/>
        </w:trPr>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Competence</w:t>
            </w:r>
            <w:r w:rsidRPr="00AF1198">
              <w:rPr>
                <w:rFonts w:ascii="Cambria" w:hAnsi="Cambria"/>
                <w:b/>
                <w:bCs/>
                <w:i/>
                <w:color w:val="FFFFFF" w:themeColor="background1"/>
                <w:sz w:val="19"/>
                <w:szCs w:val="19"/>
              </w:rPr>
              <w:t xml:space="preserve"> </w:t>
            </w:r>
            <w:proofErr w:type="spellStart"/>
            <w:r w:rsidRPr="00AF1198">
              <w:rPr>
                <w:rFonts w:ascii="Cambria" w:hAnsi="Cambria"/>
                <w:b/>
                <w:bCs/>
                <w:i/>
                <w:color w:val="FFFFFF" w:themeColor="background1"/>
                <w:sz w:val="19"/>
                <w:szCs w:val="19"/>
              </w:rPr>
              <w:t>Ratione</w:t>
            </w:r>
            <w:proofErr w:type="spellEnd"/>
            <w:r w:rsidRPr="00AF1198">
              <w:rPr>
                <w:rFonts w:ascii="Cambria" w:hAnsi="Cambria"/>
                <w:b/>
                <w:bCs/>
                <w:i/>
                <w:color w:val="FFFFFF" w:themeColor="background1"/>
                <w:sz w:val="19"/>
                <w:szCs w:val="19"/>
              </w:rPr>
              <w:t xml:space="preserve"> </w:t>
            </w:r>
            <w:proofErr w:type="spellStart"/>
            <w:r w:rsidRPr="00AF1198">
              <w:rPr>
                <w:rFonts w:ascii="Cambria" w:hAnsi="Cambria"/>
                <w:b/>
                <w:bCs/>
                <w:i/>
                <w:color w:val="FFFFFF" w:themeColor="background1"/>
                <w:sz w:val="19"/>
                <w:szCs w:val="19"/>
              </w:rPr>
              <w:t>materiae</w:t>
            </w:r>
            <w:proofErr w:type="spellEnd"/>
            <w:r w:rsidRPr="00AF1198">
              <w:rPr>
                <w:rFonts w:ascii="Cambria" w:hAnsi="Cambria"/>
                <w:b/>
                <w:bCs/>
                <w:color w:val="FFFFFF" w:themeColor="background1"/>
                <w:sz w:val="19"/>
                <w:szCs w:val="19"/>
              </w:rPr>
              <w:t>:</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Yes, American Convention (instrument deposited on May 25, 1978)</w:t>
            </w:r>
          </w:p>
        </w:tc>
      </w:tr>
    </w:tbl>
    <w:p w:rsidR="003E5C6C" w:rsidRPr="00AF1198" w:rsidRDefault="003E5C6C" w:rsidP="003E5C6C">
      <w:pPr>
        <w:spacing w:before="240" w:after="240"/>
        <w:ind w:firstLine="720"/>
        <w:jc w:val="both"/>
        <w:rPr>
          <w:rFonts w:asciiTheme="majorHAnsi" w:hAnsiTheme="majorHAnsi"/>
          <w:b/>
          <w:bCs/>
          <w:sz w:val="19"/>
          <w:szCs w:val="19"/>
        </w:rPr>
      </w:pPr>
      <w:r w:rsidRPr="00AF1198">
        <w:rPr>
          <w:rFonts w:asciiTheme="majorHAnsi" w:hAnsiTheme="majorHAnsi"/>
          <w:b/>
          <w:bCs/>
          <w:sz w:val="19"/>
          <w:szCs w:val="19"/>
        </w:rPr>
        <w:t xml:space="preserve">IV. </w:t>
      </w:r>
      <w:r w:rsidRPr="00AF1198">
        <w:rPr>
          <w:rFonts w:asciiTheme="majorHAnsi" w:hAnsiTheme="majorHAnsi"/>
          <w:b/>
          <w:bCs/>
          <w:sz w:val="19"/>
          <w:szCs w:val="19"/>
        </w:rPr>
        <w:tab/>
        <w:t xml:space="preserve">DUPLICATION OF PROCEDURES AND INTERNATIONAL </w:t>
      </w:r>
      <w:r w:rsidRPr="00AF1198">
        <w:rPr>
          <w:rFonts w:asciiTheme="majorHAnsi" w:hAnsiTheme="majorHAnsi"/>
          <w:b/>
          <w:bCs/>
          <w:i/>
          <w:sz w:val="19"/>
          <w:szCs w:val="19"/>
        </w:rPr>
        <w:t>RES JUDICATA</w:t>
      </w:r>
      <w:r w:rsidRPr="00AF1198">
        <w:rPr>
          <w:rFonts w:asciiTheme="majorHAnsi" w:hAnsiTheme="majorHAnsi"/>
          <w:b/>
          <w:bCs/>
          <w:sz w:val="19"/>
          <w:szCs w:val="19"/>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E5C6C" w:rsidRPr="00AF1198" w:rsidTr="00EA1459">
        <w:trPr>
          <w:cantSplit/>
        </w:trPr>
        <w:tc>
          <w:tcPr>
            <w:tcW w:w="3690" w:type="dxa"/>
            <w:tcBorders>
              <w:top w:val="single" w:sz="4"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 xml:space="preserve">Duplication of procedures and International </w:t>
            </w:r>
            <w:r w:rsidRPr="00AF1198">
              <w:rPr>
                <w:rFonts w:ascii="Cambria" w:hAnsi="Cambria"/>
                <w:b/>
                <w:bCs/>
                <w:i/>
                <w:color w:val="FFFFFF" w:themeColor="background1"/>
                <w:sz w:val="19"/>
                <w:szCs w:val="19"/>
              </w:rPr>
              <w:t>res judicata</w:t>
            </w:r>
            <w:r w:rsidRPr="00AF1198">
              <w:rPr>
                <w:rFonts w:ascii="Cambria" w:hAnsi="Cambria"/>
                <w:b/>
                <w:bCs/>
                <w:color w:val="FFFFFF" w:themeColor="background1"/>
                <w:sz w:val="19"/>
                <w:szCs w:val="19"/>
              </w:rPr>
              <w:t>:</w:t>
            </w:r>
          </w:p>
        </w:tc>
        <w:tc>
          <w:tcPr>
            <w:tcW w:w="5670" w:type="dxa"/>
          </w:tcPr>
          <w:p w:rsidR="003E5C6C" w:rsidRPr="00AF1198" w:rsidRDefault="003E5C6C" w:rsidP="00EA1459">
            <w:pPr>
              <w:jc w:val="both"/>
              <w:rPr>
                <w:rFonts w:asciiTheme="majorHAnsi" w:hAnsiTheme="majorHAnsi"/>
                <w:bCs/>
                <w:sz w:val="19"/>
                <w:szCs w:val="19"/>
              </w:rPr>
            </w:pPr>
            <w:r w:rsidRPr="00AF1198">
              <w:rPr>
                <w:rFonts w:asciiTheme="majorHAnsi" w:hAnsiTheme="majorHAnsi"/>
                <w:sz w:val="19"/>
                <w:szCs w:val="19"/>
              </w:rPr>
              <w:t>No</w:t>
            </w:r>
          </w:p>
        </w:tc>
      </w:tr>
      <w:tr w:rsidR="003E5C6C" w:rsidRPr="00AF1198" w:rsidTr="00EA1459">
        <w:trPr>
          <w:cantSplit/>
        </w:trPr>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i/>
                <w:color w:val="FFFFFF" w:themeColor="background1"/>
                <w:sz w:val="19"/>
                <w:szCs w:val="19"/>
              </w:rPr>
            </w:pPr>
            <w:r w:rsidRPr="00AF1198">
              <w:rPr>
                <w:rFonts w:ascii="Cambria" w:hAnsi="Cambria"/>
                <w:b/>
                <w:bCs/>
                <w:color w:val="FFFFFF" w:themeColor="background1"/>
                <w:sz w:val="19"/>
                <w:szCs w:val="19"/>
              </w:rPr>
              <w:t>Rights declared admissible</w:t>
            </w:r>
          </w:p>
        </w:tc>
        <w:tc>
          <w:tcPr>
            <w:tcW w:w="5670" w:type="dxa"/>
          </w:tcPr>
          <w:p w:rsidR="003E5C6C" w:rsidRPr="00AF1198" w:rsidRDefault="003E5C6C" w:rsidP="00ED4796">
            <w:pPr>
              <w:jc w:val="both"/>
              <w:rPr>
                <w:rFonts w:asciiTheme="majorHAnsi" w:hAnsiTheme="majorHAnsi"/>
                <w:bCs/>
                <w:sz w:val="19"/>
                <w:szCs w:val="19"/>
              </w:rPr>
            </w:pPr>
            <w:r w:rsidRPr="00AF1198">
              <w:rPr>
                <w:rFonts w:asciiTheme="majorHAnsi" w:hAnsiTheme="majorHAnsi"/>
                <w:sz w:val="19"/>
                <w:szCs w:val="19"/>
              </w:rPr>
              <w:t>Articles 8 (fair trial), 25 (judicial protection) and 26 (progressive development) of the American Convention, taken in conjunction with Article 1.1.</w:t>
            </w:r>
          </w:p>
        </w:tc>
      </w:tr>
      <w:tr w:rsidR="003E5C6C" w:rsidRPr="00AF1198" w:rsidTr="00EA1459">
        <w:trPr>
          <w:cantSplit/>
        </w:trPr>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Exhaustion of domestic remedies or applicability of an exception to the rule:</w:t>
            </w:r>
          </w:p>
        </w:tc>
        <w:tc>
          <w:tcPr>
            <w:tcW w:w="5670" w:type="dxa"/>
          </w:tcPr>
          <w:p w:rsidR="003E5C6C" w:rsidRPr="00AF1198" w:rsidRDefault="003E5C6C" w:rsidP="00EA1459">
            <w:pPr>
              <w:rPr>
                <w:rFonts w:asciiTheme="majorHAnsi" w:hAnsiTheme="majorHAnsi"/>
                <w:bCs/>
                <w:sz w:val="19"/>
                <w:szCs w:val="19"/>
              </w:rPr>
            </w:pPr>
            <w:r w:rsidRPr="00AF1198">
              <w:rPr>
                <w:rFonts w:asciiTheme="majorHAnsi" w:hAnsiTheme="majorHAnsi"/>
                <w:sz w:val="19"/>
                <w:szCs w:val="19"/>
              </w:rPr>
              <w:t>Yes, February 20, 2008</w:t>
            </w:r>
          </w:p>
        </w:tc>
      </w:tr>
      <w:tr w:rsidR="003E5C6C" w:rsidRPr="00AF1198" w:rsidTr="00EA1459">
        <w:trPr>
          <w:cantSplit/>
        </w:trPr>
        <w:tc>
          <w:tcPr>
            <w:tcW w:w="3690" w:type="dxa"/>
            <w:tcBorders>
              <w:top w:val="single" w:sz="6" w:space="0" w:color="auto"/>
              <w:bottom w:val="single" w:sz="6" w:space="0" w:color="auto"/>
            </w:tcBorders>
            <w:shd w:val="clear" w:color="auto" w:fill="67AE3C"/>
            <w:vAlign w:val="center"/>
          </w:tcPr>
          <w:p w:rsidR="003E5C6C" w:rsidRPr="00AF1198" w:rsidRDefault="003E5C6C" w:rsidP="00EA1459">
            <w:pPr>
              <w:jc w:val="center"/>
              <w:rPr>
                <w:rFonts w:ascii="Cambria" w:hAnsi="Cambria"/>
                <w:b/>
                <w:bCs/>
                <w:color w:val="FFFFFF" w:themeColor="background1"/>
                <w:sz w:val="19"/>
                <w:szCs w:val="19"/>
              </w:rPr>
            </w:pPr>
            <w:r w:rsidRPr="00AF1198">
              <w:rPr>
                <w:rFonts w:ascii="Cambria" w:hAnsi="Cambria"/>
                <w:b/>
                <w:bCs/>
                <w:color w:val="FFFFFF" w:themeColor="background1"/>
                <w:sz w:val="19"/>
                <w:szCs w:val="19"/>
              </w:rPr>
              <w:t>Timeliness of the petition:</w:t>
            </w:r>
          </w:p>
        </w:tc>
        <w:tc>
          <w:tcPr>
            <w:tcW w:w="5670" w:type="dxa"/>
          </w:tcPr>
          <w:p w:rsidR="003E5C6C" w:rsidRPr="00AF1198" w:rsidRDefault="003E5C6C" w:rsidP="00EA1459">
            <w:pPr>
              <w:rPr>
                <w:rFonts w:asciiTheme="majorHAnsi" w:hAnsiTheme="majorHAnsi"/>
                <w:bCs/>
                <w:sz w:val="19"/>
                <w:szCs w:val="19"/>
              </w:rPr>
            </w:pPr>
            <w:r w:rsidRPr="00AF1198">
              <w:rPr>
                <w:rFonts w:asciiTheme="majorHAnsi" w:hAnsiTheme="majorHAnsi"/>
                <w:sz w:val="19"/>
                <w:szCs w:val="19"/>
              </w:rPr>
              <w:t>Yes, November 7, 2008.</w:t>
            </w:r>
          </w:p>
        </w:tc>
      </w:tr>
    </w:tbl>
    <w:p w:rsidR="000C083A" w:rsidRPr="00AF1198" w:rsidRDefault="000C083A" w:rsidP="000C083A">
      <w:pPr>
        <w:spacing w:before="240" w:after="240"/>
        <w:ind w:firstLine="720"/>
        <w:jc w:val="both"/>
        <w:rPr>
          <w:rFonts w:asciiTheme="majorHAnsi" w:hAnsiTheme="majorHAnsi"/>
          <w:b/>
          <w:sz w:val="20"/>
          <w:szCs w:val="20"/>
        </w:rPr>
      </w:pPr>
      <w:r w:rsidRPr="00AF1198">
        <w:rPr>
          <w:rFonts w:asciiTheme="majorHAnsi" w:hAnsiTheme="majorHAnsi"/>
          <w:b/>
          <w:bCs/>
          <w:sz w:val="20"/>
          <w:szCs w:val="20"/>
        </w:rPr>
        <w:t xml:space="preserve">V. </w:t>
      </w:r>
      <w:r w:rsidRPr="00AF1198">
        <w:rPr>
          <w:rFonts w:asciiTheme="majorHAnsi" w:hAnsiTheme="majorHAnsi"/>
          <w:sz w:val="20"/>
          <w:szCs w:val="20"/>
        </w:rPr>
        <w:tab/>
      </w:r>
      <w:r w:rsidRPr="00AF1198">
        <w:rPr>
          <w:rFonts w:asciiTheme="majorHAnsi" w:hAnsiTheme="majorHAnsi"/>
          <w:b/>
          <w:bCs/>
          <w:sz w:val="20"/>
          <w:szCs w:val="20"/>
        </w:rPr>
        <w:t>FACTS</w:t>
      </w:r>
      <w:r w:rsidRPr="00AF1198">
        <w:rPr>
          <w:rFonts w:asciiTheme="majorHAnsi" w:hAnsiTheme="majorHAnsi"/>
          <w:sz w:val="20"/>
          <w:szCs w:val="20"/>
        </w:rPr>
        <w:t xml:space="preserve"> </w:t>
      </w:r>
      <w:r w:rsidR="003E5C6C" w:rsidRPr="00AF1198">
        <w:rPr>
          <w:rFonts w:asciiTheme="majorHAnsi" w:hAnsiTheme="majorHAnsi"/>
          <w:b/>
          <w:sz w:val="20"/>
          <w:szCs w:val="20"/>
        </w:rPr>
        <w:t>ALLEGED</w:t>
      </w:r>
    </w:p>
    <w:p w:rsidR="000C083A" w:rsidRPr="00FC58FC" w:rsidRDefault="000C083A" w:rsidP="000C083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Mr. Luis Armando Castillo Osorio, the petitioner and alleged victim, says that his employment relationship with the National Civil Police, an agency under the authority of the Ministry of the </w:t>
      </w:r>
      <w:r>
        <w:rPr>
          <w:rFonts w:ascii="Cambria" w:hAnsi="Cambria"/>
          <w:sz w:val="20"/>
          <w:szCs w:val="20"/>
        </w:rPr>
        <w:lastRenderedPageBreak/>
        <w:t>Interior of the State of Guatemala, began on April 16, 1990. He says that on January 9, 2004, by Ministerial Decision No. 0068-2004, he was promoted to the rank of first officer (</w:t>
      </w:r>
      <w:proofErr w:type="spellStart"/>
      <w:r>
        <w:rPr>
          <w:rFonts w:ascii="Cambria" w:hAnsi="Cambria"/>
          <w:i/>
          <w:iCs/>
          <w:sz w:val="20"/>
          <w:szCs w:val="20"/>
        </w:rPr>
        <w:t>oficial</w:t>
      </w:r>
      <w:proofErr w:type="spellEnd"/>
      <w:r>
        <w:rPr>
          <w:rFonts w:ascii="Cambria" w:hAnsi="Cambria"/>
          <w:i/>
          <w:iCs/>
          <w:sz w:val="20"/>
          <w:szCs w:val="20"/>
        </w:rPr>
        <w:t xml:space="preserve"> primero</w:t>
      </w:r>
      <w:r>
        <w:rPr>
          <w:rFonts w:ascii="Cambria" w:hAnsi="Cambria"/>
          <w:sz w:val="20"/>
          <w:szCs w:val="20"/>
        </w:rPr>
        <w:t xml:space="preserve">) of the National Civil Police. </w:t>
      </w:r>
      <w:r>
        <w:rPr>
          <w:rFonts w:ascii="Cambria"/>
          <w:sz w:val="20"/>
          <w:szCs w:val="20"/>
        </w:rPr>
        <w:t xml:space="preserve"> However, on August 8, 2005, he was demoted</w:t>
      </w:r>
      <w:r>
        <w:rPr>
          <w:rFonts w:ascii="Cambria" w:hAnsi="Cambria"/>
          <w:sz w:val="20"/>
          <w:szCs w:val="20"/>
        </w:rPr>
        <w:t xml:space="preserve"> to second officer for no reason and discharged from the National Police “for acts that seriously harm the National Civil Police or bring it into disrepute.” </w:t>
      </w:r>
      <w:r>
        <w:rPr>
          <w:rFonts w:asciiTheme="majorHAnsi" w:hAnsiTheme="majorHAnsi"/>
          <w:sz w:val="20"/>
          <w:szCs w:val="20"/>
        </w:rPr>
        <w:t xml:space="preserve">Those acts were reportedly to have </w:t>
      </w:r>
      <w:r w:rsidR="00A5449E">
        <w:rPr>
          <w:rFonts w:asciiTheme="majorHAnsi" w:hAnsiTheme="majorHAnsi"/>
          <w:sz w:val="20"/>
          <w:szCs w:val="20"/>
        </w:rPr>
        <w:t>disregarded</w:t>
      </w:r>
      <w:r>
        <w:rPr>
          <w:rFonts w:asciiTheme="majorHAnsi" w:hAnsiTheme="majorHAnsi"/>
          <w:sz w:val="20"/>
          <w:szCs w:val="20"/>
        </w:rPr>
        <w:t xml:space="preserve"> a domestic law governing the conduct of active members of the police as a result of having being appointed to a position for which he had not applied through an administrative procedure. </w:t>
      </w:r>
      <w:r>
        <w:rPr>
          <w:rFonts w:ascii="Cambria"/>
          <w:sz w:val="20"/>
          <w:szCs w:val="20"/>
        </w:rPr>
        <w:t xml:space="preserve">The petitioner alleges that the authorities never informed him that he had been appointed and </w:t>
      </w:r>
      <w:r w:rsidR="00074DCC">
        <w:rPr>
          <w:rFonts w:ascii="Cambria"/>
          <w:sz w:val="20"/>
          <w:szCs w:val="20"/>
        </w:rPr>
        <w:t>was working without having complied with</w:t>
      </w:r>
      <w:r>
        <w:rPr>
          <w:rFonts w:ascii="Cambria"/>
          <w:sz w:val="20"/>
          <w:szCs w:val="20"/>
        </w:rPr>
        <w:t xml:space="preserve"> the proper procedures, </w:t>
      </w:r>
      <w:r w:rsidR="00074DCC">
        <w:rPr>
          <w:rFonts w:ascii="Cambria"/>
          <w:sz w:val="20"/>
          <w:szCs w:val="20"/>
        </w:rPr>
        <w:t xml:space="preserve">and </w:t>
      </w:r>
      <w:r>
        <w:rPr>
          <w:rFonts w:ascii="Cambria"/>
          <w:sz w:val="20"/>
          <w:szCs w:val="20"/>
        </w:rPr>
        <w:t xml:space="preserve">that he was unjustly dismissed without due process or an </w:t>
      </w:r>
      <w:r>
        <w:rPr>
          <w:rFonts w:ascii="Cambria" w:hAnsi="Cambria"/>
          <w:sz w:val="20"/>
          <w:szCs w:val="20"/>
        </w:rPr>
        <w:t>administrative proceeding, in violation of his rights to a defense and a fair trial.</w:t>
      </w:r>
    </w:p>
    <w:p w:rsidR="000C083A" w:rsidRPr="00FC58FC" w:rsidRDefault="000C083A" w:rsidP="000C083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says that throughout all his time in service he discharged his duties efficiently without committing any disciplinary or administrative violation. He also says that the authorities did not denounce the act by which he was promoted, despite the act being official and public in nature. He argues that his discharge </w:t>
      </w:r>
      <w:r w:rsidR="00033A56">
        <w:rPr>
          <w:rFonts w:ascii="Cambria" w:hAnsi="Cambria"/>
          <w:sz w:val="20"/>
          <w:szCs w:val="20"/>
        </w:rPr>
        <w:t xml:space="preserve">did not </w:t>
      </w:r>
      <w:r w:rsidR="00033A56" w:rsidRPr="004C4391">
        <w:rPr>
          <w:rFonts w:ascii="Cambria" w:hAnsi="Cambria"/>
          <w:sz w:val="20"/>
          <w:szCs w:val="20"/>
        </w:rPr>
        <w:t>follow</w:t>
      </w:r>
      <w:r w:rsidR="00033A56">
        <w:rPr>
          <w:rFonts w:ascii="Cambria" w:hAnsi="Cambria"/>
          <w:sz w:val="20"/>
          <w:szCs w:val="20"/>
        </w:rPr>
        <w:t xml:space="preserve"> due process</w:t>
      </w:r>
      <w:r>
        <w:rPr>
          <w:rFonts w:ascii="Cambria" w:hAnsi="Cambria"/>
          <w:sz w:val="20"/>
          <w:szCs w:val="20"/>
        </w:rPr>
        <w:t>, given that there was no administrative proceeding in which he was afforded the possibility to be heard, in violation of his right to a defense and in breach of the Police Law, the Disciplinary Rules of same, and the Constitution, which require the appropriate administrative proceeding to be conducted before penalties are imposed. Therefore, he considers that his dismissal was unlawful and arbitrary and that it should be annulled. The petitioner also says that at the time of his dismissal, the National Civil Police was a party in a proceeding concerning a collective economic and social dispute before the Seventh Court for Labor and Social Security Matters in and for the First Economic Zone, and therefore any dismissal of a member of the institution, even for cause, required judicial authorization in accordance with Article 380 of the Labor Code.</w:t>
      </w:r>
    </w:p>
    <w:p w:rsidR="000C083A" w:rsidRPr="00FC58FC" w:rsidRDefault="000C083A" w:rsidP="000C083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says that upon being notified of his discharge, he filed a motion for reinstatement with the Seventh Court for Labor and Social Security Matters in the context of the collective economic and social dispute. On August 22, 2005, that court ordered the petitioner’s reinstatement in his job together with payment of lost wages since the date of his dismissal, which decision was confirmed on March 28, 2006. In response to that ruling, the Attorney General filed a petition for constitutional relief (</w:t>
      </w:r>
      <w:proofErr w:type="spellStart"/>
      <w:r>
        <w:rPr>
          <w:rFonts w:ascii="Cambria" w:hAnsi="Cambria"/>
          <w:i/>
          <w:iCs/>
          <w:sz w:val="20"/>
          <w:szCs w:val="20"/>
        </w:rPr>
        <w:t>recurso</w:t>
      </w:r>
      <w:proofErr w:type="spellEnd"/>
      <w:r>
        <w:rPr>
          <w:rFonts w:ascii="Cambria" w:hAnsi="Cambria"/>
          <w:i/>
          <w:iCs/>
          <w:sz w:val="20"/>
          <w:szCs w:val="20"/>
        </w:rPr>
        <w:t xml:space="preserve"> de </w:t>
      </w:r>
      <w:proofErr w:type="spellStart"/>
      <w:r>
        <w:rPr>
          <w:rFonts w:ascii="Cambria" w:hAnsi="Cambria"/>
          <w:i/>
          <w:iCs/>
          <w:sz w:val="20"/>
          <w:szCs w:val="20"/>
        </w:rPr>
        <w:t>amparo</w:t>
      </w:r>
      <w:proofErr w:type="spellEnd"/>
      <w:r>
        <w:rPr>
          <w:rFonts w:ascii="Cambria" w:hAnsi="Cambria"/>
          <w:sz w:val="20"/>
          <w:szCs w:val="20"/>
        </w:rPr>
        <w:t xml:space="preserve">) with the Supreme Court of Justice, arguing that the State had no obligation to comply with the judgment issued by the Seventh Labor Court because it was factually and legally unfounded. On July 30, 2007, the Supreme Court denied the petition for constitutional relief as manifestly out of order. The Office of the Attorney General appealed against that decision, arguing that there was no basis for it and that, since </w:t>
      </w:r>
      <w:r w:rsidR="00F15051">
        <w:rPr>
          <w:rFonts w:ascii="Cambria" w:hAnsi="Cambria"/>
          <w:sz w:val="20"/>
          <w:szCs w:val="20"/>
        </w:rPr>
        <w:t xml:space="preserve">the dismissal of the petitioner </w:t>
      </w:r>
      <w:r>
        <w:rPr>
          <w:rFonts w:ascii="Cambria" w:hAnsi="Cambria"/>
          <w:sz w:val="20"/>
          <w:szCs w:val="20"/>
        </w:rPr>
        <w:t xml:space="preserve">was not the consequence of </w:t>
      </w:r>
      <w:r w:rsidR="00F15051">
        <w:rPr>
          <w:rFonts w:ascii="Cambria" w:hAnsi="Cambria"/>
          <w:sz w:val="20"/>
          <w:szCs w:val="20"/>
        </w:rPr>
        <w:t>the</w:t>
      </w:r>
      <w:r>
        <w:rPr>
          <w:rFonts w:ascii="Cambria" w:hAnsi="Cambria"/>
          <w:sz w:val="20"/>
          <w:szCs w:val="20"/>
        </w:rPr>
        <w:t xml:space="preserve"> exercise of his trade union rights, but for cause</w:t>
      </w:r>
      <w:r w:rsidR="00F15051">
        <w:rPr>
          <w:rStyle w:val="FootnoteReference"/>
          <w:rFonts w:ascii="Cambria" w:hAnsi="Cambria"/>
          <w:sz w:val="20"/>
          <w:szCs w:val="20"/>
        </w:rPr>
        <w:footnoteReference w:id="4"/>
      </w:r>
      <w:r>
        <w:rPr>
          <w:rFonts w:ascii="Cambria" w:hAnsi="Cambria"/>
          <w:sz w:val="20"/>
          <w:szCs w:val="20"/>
        </w:rPr>
        <w:t xml:space="preserve">, no judicial authorization was needed. On January 18, 2008, the Constitutional Court </w:t>
      </w:r>
      <w:r w:rsidR="00642321">
        <w:rPr>
          <w:rFonts w:ascii="Cambria" w:hAnsi="Cambria"/>
          <w:sz w:val="20"/>
          <w:szCs w:val="20"/>
        </w:rPr>
        <w:t>ruled in favor of</w:t>
      </w:r>
      <w:r>
        <w:rPr>
          <w:rFonts w:ascii="Cambria" w:hAnsi="Cambria"/>
          <w:sz w:val="20"/>
          <w:szCs w:val="20"/>
        </w:rPr>
        <w:t xml:space="preserve"> the State and overturned the Seventh Court's decision. The petitioner alleges that the Constitutional Court was biased and argues that its decision was unlawful and arbitrary. Accordingly, the petitioner requested the judgment's clarification and elaboration. On February 20, 2008, the Constitutional Court adopted a decision, of which the petitioner was notified on November 7, 2008, in which it dismissed the request for clarification and elaboration.</w:t>
      </w:r>
    </w:p>
    <w:p w:rsidR="000C083A" w:rsidRPr="00FC58FC" w:rsidRDefault="000C083A" w:rsidP="000C083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for its part, says that the petitioner was discharged for having disobeyed the domestic law that governs the conduct of active members of the National Civil Police, since his promotion failed to meet the administrative requirements to apply for that position. It says that ignorance of the law is not a valid argument and that it was the petitioner’s responsibility to comply with the rules in force. The State also argues that the petition is manifestly groundless and out of order and should be declared inadmissible under Article 47 of the American Convention and Article 34 of the Rules of Procedure. It says that all the decisions adopted in the administrative proceeding against the petitioner complied with the law in force and that the Constitutional Court issued its judgment in a coherent way, consistent with the facts, rights, and the evidence presented. In addition, the State argues that it is clear that the intention of the petition is for the Commission to overstep its powers and review a judgment lawfully issued by Guatemala’s highest constitutional organ, thereby attributing the international body the functions of a court of review and seeking </w:t>
      </w:r>
      <w:r>
        <w:rPr>
          <w:rFonts w:ascii="Cambria" w:hAnsi="Cambria"/>
          <w:sz w:val="20"/>
          <w:szCs w:val="20"/>
        </w:rPr>
        <w:lastRenderedPageBreak/>
        <w:t>to establish it as a fourth instance. The State recalls that the Commission is a subsidiary organ and, therefore, the petition should be declared inadmissible.</w:t>
      </w:r>
    </w:p>
    <w:p w:rsidR="000C083A" w:rsidRPr="00FC58FC" w:rsidRDefault="000C083A" w:rsidP="000C083A">
      <w:pPr>
        <w:spacing w:before="240" w:after="240"/>
        <w:ind w:firstLine="720"/>
        <w:jc w:val="both"/>
        <w:rPr>
          <w:rFonts w:ascii="Cambria" w:hAnsi="Cambria"/>
          <w:sz w:val="20"/>
          <w:szCs w:val="20"/>
        </w:rPr>
      </w:pPr>
      <w:r>
        <w:rPr>
          <w:rFonts w:asciiTheme="majorHAnsi" w:hAnsiTheme="majorHAnsi"/>
          <w:b/>
          <w:bCs/>
          <w:color w:val="000000"/>
          <w:sz w:val="20"/>
          <w:szCs w:val="20"/>
          <w:u w:color="000000"/>
        </w:rPr>
        <w:t>VI.</w:t>
      </w:r>
      <w:r>
        <w:rPr>
          <w:rFonts w:asciiTheme="majorHAnsi" w:hAnsiTheme="majorHAnsi"/>
          <w:b/>
          <w:bCs/>
          <w:color w:val="000000"/>
          <w:sz w:val="20"/>
          <w:szCs w:val="20"/>
          <w:u w:color="000000"/>
        </w:rPr>
        <w:tab/>
      </w:r>
      <w:r>
        <w:rPr>
          <w:rFonts w:asciiTheme="majorHAnsi" w:hAnsiTheme="majorHAnsi"/>
          <w:b/>
          <w:bCs/>
          <w:sz w:val="20"/>
          <w:szCs w:val="20"/>
        </w:rPr>
        <w:t>ANALYSIS OF EXHAUSTION OF DOMESTIC REMEDIES AND TIMELINESS OF THE PETITION</w:t>
      </w:r>
      <w:r>
        <w:rPr>
          <w:rFonts w:asciiTheme="majorHAnsi" w:hAnsiTheme="majorHAnsi"/>
          <w:color w:val="000000"/>
          <w:sz w:val="20"/>
          <w:szCs w:val="20"/>
          <w:u w:color="000000"/>
        </w:rPr>
        <w:t xml:space="preserve"> </w:t>
      </w:r>
    </w:p>
    <w:p w:rsidR="000C083A" w:rsidRPr="00FC58FC" w:rsidRDefault="000C083A" w:rsidP="000C083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argues that domestic remedies were exhausted with the Constitutional Court's decision of February 20, 2008, of which he was given notice on November 7, 2008. The State, for its part, mentions that the reinstatement requested by the petitioner was definitively resolved by the judgment on the petition for constitutional relief (</w:t>
      </w:r>
      <w:proofErr w:type="spellStart"/>
      <w:r>
        <w:rPr>
          <w:rFonts w:ascii="Cambria" w:hAnsi="Cambria"/>
          <w:i/>
          <w:iCs/>
          <w:sz w:val="20"/>
          <w:szCs w:val="20"/>
        </w:rPr>
        <w:t>amparo</w:t>
      </w:r>
      <w:proofErr w:type="spellEnd"/>
      <w:r>
        <w:rPr>
          <w:rFonts w:ascii="Cambria" w:hAnsi="Cambria"/>
          <w:sz w:val="20"/>
          <w:szCs w:val="20"/>
        </w:rPr>
        <w:t>) handed down on January 18, 2008.</w:t>
      </w:r>
    </w:p>
    <w:p w:rsidR="000C083A" w:rsidRPr="00FC58FC" w:rsidRDefault="000C083A" w:rsidP="000C083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Commission notes that the petitioner exhausted the judicial proceedings available at the domestic level with the request for clarification and elaboration to the Constitutional Court. In that regard, the Commission finds that the requirement contained in Articles 46</w:t>
      </w:r>
      <w:r w:rsidR="000757A9">
        <w:rPr>
          <w:rFonts w:ascii="Cambria" w:hAnsi="Cambria"/>
          <w:sz w:val="20"/>
          <w:szCs w:val="20"/>
        </w:rPr>
        <w:t>.</w:t>
      </w:r>
      <w:r>
        <w:rPr>
          <w:rFonts w:ascii="Cambria" w:hAnsi="Cambria"/>
          <w:sz w:val="20"/>
          <w:szCs w:val="20"/>
        </w:rPr>
        <w:t>1</w:t>
      </w:r>
      <w:r w:rsidR="000757A9">
        <w:rPr>
          <w:rFonts w:ascii="Cambria" w:hAnsi="Cambria"/>
          <w:sz w:val="20"/>
          <w:szCs w:val="20"/>
        </w:rPr>
        <w:t>.</w:t>
      </w:r>
      <w:proofErr w:type="spellStart"/>
      <w:r>
        <w:rPr>
          <w:rFonts w:ascii="Cambria" w:hAnsi="Cambria"/>
          <w:sz w:val="20"/>
          <w:szCs w:val="20"/>
        </w:rPr>
        <w:t>a</w:t>
      </w:r>
      <w:proofErr w:type="spellEnd"/>
      <w:r>
        <w:rPr>
          <w:rFonts w:ascii="Cambria" w:hAnsi="Cambria"/>
          <w:sz w:val="20"/>
          <w:szCs w:val="20"/>
        </w:rPr>
        <w:t xml:space="preserve"> of the Convention and 31</w:t>
      </w:r>
      <w:r w:rsidR="000757A9">
        <w:rPr>
          <w:rFonts w:ascii="Cambria" w:hAnsi="Cambria"/>
          <w:sz w:val="20"/>
          <w:szCs w:val="20"/>
        </w:rPr>
        <w:t>.1</w:t>
      </w:r>
      <w:r>
        <w:rPr>
          <w:rFonts w:ascii="Cambria" w:hAnsi="Cambria"/>
          <w:sz w:val="20"/>
          <w:szCs w:val="20"/>
        </w:rPr>
        <w:t xml:space="preserve"> of the Rules of Procedure has been met. </w:t>
      </w:r>
    </w:p>
    <w:p w:rsidR="000C083A" w:rsidRPr="00FC58FC" w:rsidRDefault="000C083A" w:rsidP="000C083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addition, the Commission notes that the decision of the Constitutional Court that brought an end to the proceedings pursued by the alleged victim was issued on February 20, 2008, and that the petitioner was notified of it on November 7, 2008; the IACHR received the petition on January 4, 2009. Therefore, the petition was lodged within the six-month time limit prescribed in Article 46</w:t>
      </w:r>
      <w:r w:rsidR="0051325D">
        <w:rPr>
          <w:rFonts w:ascii="Cambria" w:hAnsi="Cambria"/>
          <w:sz w:val="20"/>
          <w:szCs w:val="20"/>
        </w:rPr>
        <w:t>.</w:t>
      </w:r>
      <w:r>
        <w:rPr>
          <w:rFonts w:ascii="Cambria" w:hAnsi="Cambria"/>
          <w:sz w:val="20"/>
          <w:szCs w:val="20"/>
        </w:rPr>
        <w:t>1</w:t>
      </w:r>
      <w:r w:rsidR="0051325D">
        <w:rPr>
          <w:rFonts w:ascii="Cambria" w:hAnsi="Cambria"/>
          <w:sz w:val="20"/>
          <w:szCs w:val="20"/>
        </w:rPr>
        <w:t>.</w:t>
      </w:r>
      <w:r>
        <w:rPr>
          <w:rFonts w:ascii="Cambria" w:hAnsi="Cambria"/>
          <w:sz w:val="20"/>
          <w:szCs w:val="20"/>
        </w:rPr>
        <w:t>b of the Convention.</w:t>
      </w:r>
    </w:p>
    <w:p w:rsidR="000C083A" w:rsidRPr="00FC58FC" w:rsidRDefault="000C083A" w:rsidP="000C083A">
      <w:pPr>
        <w:pStyle w:val="ListParagraph"/>
        <w:spacing w:before="240" w:after="240"/>
        <w:jc w:val="both"/>
        <w:rPr>
          <w:rFonts w:asciiTheme="majorHAnsi" w:hAnsiTheme="majorHAnsi"/>
          <w:b/>
          <w:sz w:val="20"/>
          <w:szCs w:val="20"/>
        </w:rPr>
      </w:pPr>
      <w:r>
        <w:rPr>
          <w:rFonts w:asciiTheme="majorHAnsi" w:hAnsiTheme="majorHAnsi"/>
          <w:b/>
          <w:bCs/>
          <w:sz w:val="20"/>
          <w:szCs w:val="20"/>
        </w:rPr>
        <w:t>VII.</w:t>
      </w:r>
      <w:r>
        <w:rPr>
          <w:rFonts w:asciiTheme="majorHAnsi" w:hAnsiTheme="majorHAnsi"/>
          <w:b/>
          <w:bCs/>
          <w:sz w:val="20"/>
          <w:szCs w:val="20"/>
        </w:rPr>
        <w:tab/>
        <w:t>ANALYSIS OF COLORABLE CLAIM</w:t>
      </w:r>
    </w:p>
    <w:p w:rsidR="000C083A" w:rsidRPr="00FC58FC" w:rsidRDefault="000C083A" w:rsidP="000C083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light of the factual and legal arguments set out by the parties and </w:t>
      </w:r>
      <w:r w:rsidR="008602C1" w:rsidRPr="0028405C">
        <w:rPr>
          <w:rFonts w:ascii="Cambria" w:hAnsi="Cambria"/>
          <w:sz w:val="20"/>
          <w:szCs w:val="20"/>
        </w:rPr>
        <w:t>the nature of the matter brought to its attention</w:t>
      </w:r>
      <w:r>
        <w:rPr>
          <w:rFonts w:ascii="Cambria" w:hAnsi="Cambria"/>
          <w:sz w:val="20"/>
          <w:szCs w:val="20"/>
        </w:rPr>
        <w:t xml:space="preserve">, the Commission </w:t>
      </w:r>
      <w:r w:rsidR="008602C1">
        <w:rPr>
          <w:rFonts w:ascii="Cambria" w:hAnsi="Cambria"/>
          <w:sz w:val="20"/>
          <w:szCs w:val="20"/>
        </w:rPr>
        <w:t>considers</w:t>
      </w:r>
      <w:r>
        <w:rPr>
          <w:rFonts w:ascii="Cambria" w:hAnsi="Cambria"/>
          <w:sz w:val="20"/>
          <w:szCs w:val="20"/>
        </w:rPr>
        <w:t xml:space="preserve"> that, if proven,</w:t>
      </w:r>
      <w:r w:rsidR="008602C1" w:rsidRPr="0028405C">
        <w:rPr>
          <w:rFonts w:ascii="Cambria" w:hAnsi="Cambria"/>
          <w:sz w:val="20"/>
          <w:szCs w:val="20"/>
        </w:rPr>
        <w:t xml:space="preserve"> the allegations regarding</w:t>
      </w:r>
      <w:r w:rsidR="008602C1">
        <w:rPr>
          <w:rFonts w:ascii="Cambria" w:hAnsi="Cambria"/>
          <w:sz w:val="20"/>
          <w:szCs w:val="20"/>
        </w:rPr>
        <w:t xml:space="preserve"> the</w:t>
      </w:r>
      <w:r w:rsidR="008602C1" w:rsidRPr="0028405C">
        <w:rPr>
          <w:rFonts w:ascii="Cambria" w:hAnsi="Cambria"/>
          <w:sz w:val="20"/>
          <w:szCs w:val="20"/>
        </w:rPr>
        <w:t xml:space="preserve"> </w:t>
      </w:r>
      <w:r>
        <w:rPr>
          <w:rFonts w:ascii="Cambria" w:hAnsi="Cambria"/>
          <w:sz w:val="20"/>
          <w:szCs w:val="20"/>
        </w:rPr>
        <w:t xml:space="preserve">victim's fair trial guarantees and right to a defense in his dismissal could potentially amount to violations of Articles 8 (fair trial), 25 (judicial protection) and 26 (progressive development) of the American Convention, in connection with </w:t>
      </w:r>
      <w:r w:rsidR="008602C1">
        <w:rPr>
          <w:rFonts w:ascii="Cambria" w:hAnsi="Cambria"/>
          <w:sz w:val="20"/>
          <w:szCs w:val="20"/>
        </w:rPr>
        <w:t xml:space="preserve">its </w:t>
      </w:r>
      <w:r>
        <w:rPr>
          <w:rFonts w:ascii="Cambria" w:hAnsi="Cambria"/>
          <w:sz w:val="20"/>
          <w:szCs w:val="20"/>
        </w:rPr>
        <w:t>Article 1</w:t>
      </w:r>
      <w:r w:rsidR="008602C1">
        <w:rPr>
          <w:rFonts w:ascii="Cambria" w:hAnsi="Cambria"/>
          <w:sz w:val="20"/>
          <w:szCs w:val="20"/>
        </w:rPr>
        <w:t>.</w:t>
      </w:r>
      <w:r>
        <w:rPr>
          <w:rFonts w:ascii="Cambria" w:hAnsi="Cambria"/>
          <w:sz w:val="20"/>
          <w:szCs w:val="20"/>
        </w:rPr>
        <w:t>1. As to the claim concerning the alleged violation of Articles 11 (</w:t>
      </w:r>
      <w:r w:rsidR="00DA029B">
        <w:rPr>
          <w:rFonts w:ascii="Cambria" w:hAnsi="Cambria"/>
          <w:sz w:val="20"/>
          <w:szCs w:val="20"/>
        </w:rPr>
        <w:t>privacy</w:t>
      </w:r>
      <w:r>
        <w:rPr>
          <w:rFonts w:ascii="Cambria" w:hAnsi="Cambria"/>
          <w:sz w:val="20"/>
          <w:szCs w:val="20"/>
        </w:rPr>
        <w:t xml:space="preserve">) and 24 (equal protection) of the American Convention, the Commission considers that the petitioner has not presented any arguments or sufficient grounds to suggest </w:t>
      </w:r>
      <w:r>
        <w:rPr>
          <w:rFonts w:ascii="Cambria" w:hAnsi="Cambria"/>
          <w:i/>
          <w:iCs/>
          <w:sz w:val="20"/>
          <w:szCs w:val="20"/>
        </w:rPr>
        <w:t>prima facie</w:t>
      </w:r>
      <w:r>
        <w:rPr>
          <w:rFonts w:ascii="Cambria" w:hAnsi="Cambria"/>
          <w:sz w:val="20"/>
          <w:szCs w:val="20"/>
        </w:rPr>
        <w:t xml:space="preserve"> their possible violation. In addition, with regard to the submissions regarding violations of Articles 6 and 7 of the Protocol of San Salvador, the IACHR notes that the com</w:t>
      </w:r>
      <w:r w:rsidR="00B519CD">
        <w:rPr>
          <w:rFonts w:ascii="Cambria" w:hAnsi="Cambria"/>
          <w:sz w:val="20"/>
          <w:szCs w:val="20"/>
        </w:rPr>
        <w:t>petence envisaged in Article 19.6</w:t>
      </w:r>
      <w:r>
        <w:rPr>
          <w:rFonts w:ascii="Cambria" w:hAnsi="Cambria"/>
          <w:sz w:val="20"/>
          <w:szCs w:val="20"/>
        </w:rPr>
        <w:t xml:space="preserve"> of that treaty for establishing violations in the context of an individual case is limited to</w:t>
      </w:r>
      <w:r w:rsidR="00B519CD">
        <w:rPr>
          <w:rFonts w:ascii="Cambria" w:hAnsi="Cambria"/>
          <w:sz w:val="20"/>
          <w:szCs w:val="20"/>
        </w:rPr>
        <w:t xml:space="preserve"> its</w:t>
      </w:r>
      <w:r>
        <w:rPr>
          <w:rFonts w:ascii="Cambria" w:hAnsi="Cambria"/>
          <w:sz w:val="20"/>
          <w:szCs w:val="20"/>
        </w:rPr>
        <w:t xml:space="preserve"> Articles 8 and 13. With respect to the other provisions, pursuant to Article 29 of the American Convention, the Commission may take them into account in its interpretation and enforcement of the American Convention and other applicable instruments.</w:t>
      </w:r>
    </w:p>
    <w:p w:rsidR="000C083A" w:rsidRPr="00B519CD" w:rsidRDefault="00B519CD" w:rsidP="00B519CD">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519CD">
        <w:rPr>
          <w:rFonts w:ascii="Cambria" w:hAnsi="Cambria"/>
          <w:sz w:val="20"/>
          <w:szCs w:val="20"/>
        </w:rPr>
        <w:t>As regards the State's argument about a fourth instance, the Commission notes that, by declaring this petition admissible, it does not seek to replace the domestic authorities' competence to reverse a judgment unfavorable to an alleged victim or assess possible interpretation mistakes made by the domestic courts, which in principle correspond to the domestic courts. In the merits stage, the Commission will determine if the domestic legal proceedings complied with the right of due process and legal protection and,</w:t>
      </w:r>
      <w:r w:rsidR="00B976F3">
        <w:rPr>
          <w:rFonts w:ascii="Cambria" w:hAnsi="Cambria"/>
          <w:sz w:val="20"/>
          <w:szCs w:val="20"/>
        </w:rPr>
        <w:t xml:space="preserve"> </w:t>
      </w:r>
      <w:r w:rsidRPr="00B519CD">
        <w:rPr>
          <w:rFonts w:ascii="Cambria" w:hAnsi="Cambria"/>
          <w:sz w:val="20"/>
          <w:szCs w:val="20"/>
        </w:rPr>
        <w:t>thus, ensured the victims' right of access to justice.</w:t>
      </w:r>
    </w:p>
    <w:p w:rsidR="000C083A" w:rsidRPr="00FC58FC" w:rsidRDefault="000C083A" w:rsidP="000C083A">
      <w:pPr>
        <w:pStyle w:val="ListParagraph"/>
        <w:spacing w:before="240" w:after="240"/>
        <w:jc w:val="both"/>
        <w:rPr>
          <w:rFonts w:asciiTheme="majorHAnsi" w:hAnsiTheme="majorHAnsi"/>
          <w:b/>
          <w:bCs/>
          <w:sz w:val="20"/>
          <w:szCs w:val="20"/>
        </w:rPr>
      </w:pPr>
      <w:r>
        <w:rPr>
          <w:rFonts w:asciiTheme="majorHAnsi" w:hAnsiTheme="majorHAnsi"/>
          <w:b/>
          <w:bCs/>
          <w:sz w:val="20"/>
          <w:szCs w:val="20"/>
        </w:rPr>
        <w:t xml:space="preserve">VIII. </w:t>
      </w:r>
      <w:r>
        <w:rPr>
          <w:rFonts w:asciiTheme="majorHAnsi" w:hAnsiTheme="majorHAnsi"/>
          <w:sz w:val="20"/>
          <w:szCs w:val="20"/>
        </w:rPr>
        <w:tab/>
      </w:r>
      <w:r>
        <w:rPr>
          <w:rFonts w:asciiTheme="majorHAnsi" w:hAnsiTheme="majorHAnsi"/>
          <w:b/>
          <w:bCs/>
          <w:sz w:val="20"/>
          <w:szCs w:val="20"/>
        </w:rPr>
        <w:t>DECISION</w:t>
      </w:r>
    </w:p>
    <w:p w:rsidR="000C083A" w:rsidRPr="0020059D" w:rsidRDefault="000C083A" w:rsidP="0020059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Theme="majorHAnsi" w:hAnsiTheme="majorHAnsi"/>
          <w:sz w:val="20"/>
          <w:szCs w:val="20"/>
        </w:rPr>
        <w:t xml:space="preserve">To find the instant petition admissible in relation to Articles 8, 25 and 26 of the American Convention, in connection with </w:t>
      </w:r>
      <w:r w:rsidR="00D430C0">
        <w:rPr>
          <w:rFonts w:asciiTheme="majorHAnsi" w:hAnsiTheme="majorHAnsi"/>
          <w:sz w:val="20"/>
          <w:szCs w:val="20"/>
        </w:rPr>
        <w:t xml:space="preserve">its </w:t>
      </w:r>
      <w:r>
        <w:rPr>
          <w:rFonts w:asciiTheme="majorHAnsi" w:hAnsiTheme="majorHAnsi"/>
          <w:sz w:val="20"/>
          <w:szCs w:val="20"/>
        </w:rPr>
        <w:t>Article 1</w:t>
      </w:r>
      <w:r w:rsidR="00D430C0">
        <w:rPr>
          <w:rFonts w:asciiTheme="majorHAnsi" w:hAnsiTheme="majorHAnsi"/>
          <w:sz w:val="20"/>
          <w:szCs w:val="20"/>
        </w:rPr>
        <w:t>.1;</w:t>
      </w:r>
    </w:p>
    <w:p w:rsidR="0020059D" w:rsidRPr="00FC58FC" w:rsidRDefault="0020059D" w:rsidP="0020059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rsidR="000C083A" w:rsidRDefault="000C083A" w:rsidP="0020059D">
      <w:pPr>
        <w:pStyle w:val="ListParagraph"/>
        <w:numPr>
          <w:ilvl w:val="0"/>
          <w:numId w:val="61"/>
        </w:numPr>
        <w:jc w:val="both"/>
        <w:rPr>
          <w:rFonts w:eastAsia="Arial Unicode MS" w:cs="Times New Roman"/>
          <w:color w:val="auto"/>
          <w:sz w:val="20"/>
          <w:szCs w:val="20"/>
        </w:rPr>
      </w:pPr>
      <w:r>
        <w:rPr>
          <w:rFonts w:eastAsia="Arial Unicode MS" w:cs="Times New Roman"/>
          <w:color w:val="auto"/>
          <w:sz w:val="20"/>
          <w:szCs w:val="20"/>
        </w:rPr>
        <w:t>To declare the petition inadmissible with respect to Articles 11 and 24 of the American Convention</w:t>
      </w:r>
      <w:r w:rsidR="00D430C0">
        <w:rPr>
          <w:rFonts w:eastAsia="Arial Unicode MS" w:cs="Times New Roman"/>
          <w:color w:val="auto"/>
          <w:sz w:val="20"/>
          <w:szCs w:val="20"/>
        </w:rPr>
        <w:t>; and</w:t>
      </w:r>
    </w:p>
    <w:p w:rsidR="0020059D" w:rsidRPr="0020059D" w:rsidRDefault="0020059D" w:rsidP="0020059D">
      <w:pPr>
        <w:pStyle w:val="ListParagraph"/>
        <w:rPr>
          <w:rFonts w:eastAsia="Arial Unicode MS" w:cs="Times New Roman"/>
          <w:color w:val="auto"/>
          <w:sz w:val="20"/>
          <w:szCs w:val="20"/>
        </w:rPr>
      </w:pPr>
    </w:p>
    <w:p w:rsidR="0020059D" w:rsidRPr="0020059D" w:rsidRDefault="0020059D" w:rsidP="0020059D">
      <w:pPr>
        <w:jc w:val="both"/>
        <w:rPr>
          <w:sz w:val="20"/>
          <w:szCs w:val="20"/>
        </w:rPr>
      </w:pPr>
    </w:p>
    <w:p w:rsidR="001E1267" w:rsidRPr="0020059D" w:rsidRDefault="000C083A" w:rsidP="0020059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22"/>
        </w:rPr>
      </w:pPr>
      <w:r w:rsidRPr="00FD1CC3">
        <w:rPr>
          <w:rFonts w:asciiTheme="majorHAnsi" w:hAnsiTheme="majorHAnsi"/>
          <w:sz w:val="20"/>
          <w:szCs w:val="20"/>
        </w:rPr>
        <w:lastRenderedPageBreak/>
        <w:t>To notify the parties of this decision, to continue with the analysis of the merits, and to publish this decision and include it in its Annual Report to the General Assembly of the Organization of American States.</w:t>
      </w:r>
    </w:p>
    <w:p w:rsidR="0020059D" w:rsidRPr="00B20A58" w:rsidRDefault="0020059D" w:rsidP="0020059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18"/>
          <w:szCs w:val="22"/>
        </w:rPr>
      </w:pPr>
    </w:p>
    <w:p w:rsidR="00B20A58" w:rsidRPr="00145EDC" w:rsidRDefault="00B20A58" w:rsidP="0020059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9D7EFE">
        <w:rPr>
          <w:rFonts w:ascii="Cambria" w:hAnsi="Cambria"/>
          <w:sz w:val="20"/>
          <w:szCs w:val="20"/>
        </w:rPr>
        <w:t xml:space="preserve">Approved by the Inter-American Commission on Human Rights on the </w:t>
      </w:r>
      <w:r w:rsidR="00D311B4">
        <w:rPr>
          <w:rFonts w:ascii="Cambria" w:hAnsi="Cambria"/>
          <w:sz w:val="20"/>
          <w:szCs w:val="20"/>
        </w:rPr>
        <w:t>17</w:t>
      </w:r>
      <w:r w:rsidR="00D311B4" w:rsidRPr="00D311B4">
        <w:rPr>
          <w:rFonts w:ascii="Cambria" w:hAnsi="Cambria"/>
          <w:sz w:val="20"/>
          <w:szCs w:val="20"/>
          <w:vertAlign w:val="superscript"/>
        </w:rPr>
        <w:t>th</w:t>
      </w:r>
      <w:r w:rsidR="00D311B4">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May</w:t>
      </w:r>
      <w:r w:rsidRPr="009D7EFE">
        <w:rPr>
          <w:rFonts w:ascii="Cambria" w:hAnsi="Cambria"/>
          <w:sz w:val="20"/>
          <w:szCs w:val="20"/>
        </w:rPr>
        <w:t xml:space="preserve">, 2019. (Signed):  Esmeralda E. </w:t>
      </w:r>
      <w:proofErr w:type="spellStart"/>
      <w:r w:rsidRPr="009D7EFE">
        <w:rPr>
          <w:rFonts w:ascii="Cambria" w:hAnsi="Cambria"/>
          <w:sz w:val="20"/>
          <w:szCs w:val="20"/>
        </w:rPr>
        <w:t>Arosemena</w:t>
      </w:r>
      <w:proofErr w:type="spellEnd"/>
      <w:r w:rsidRPr="009D7EFE">
        <w:rPr>
          <w:rFonts w:ascii="Cambria" w:hAnsi="Cambria"/>
          <w:sz w:val="20"/>
          <w:szCs w:val="20"/>
        </w:rPr>
        <w:t xml:space="preserve"> Bernal de </w:t>
      </w:r>
      <w:proofErr w:type="spellStart"/>
      <w:r w:rsidRPr="009D7EFE">
        <w:rPr>
          <w:rFonts w:ascii="Cambria" w:hAnsi="Cambria"/>
          <w:sz w:val="20"/>
          <w:szCs w:val="20"/>
        </w:rPr>
        <w:t>Troitiño</w:t>
      </w:r>
      <w:proofErr w:type="spellEnd"/>
      <w:r w:rsidRPr="009D7EFE">
        <w:rPr>
          <w:rFonts w:ascii="Cambria" w:hAnsi="Cambria"/>
          <w:sz w:val="20"/>
          <w:szCs w:val="20"/>
        </w:rPr>
        <w:t>, President;</w:t>
      </w:r>
      <w:r>
        <w:rPr>
          <w:rFonts w:ascii="Cambria" w:hAnsi="Cambria"/>
          <w:sz w:val="20"/>
          <w:szCs w:val="20"/>
        </w:rPr>
        <w:t xml:space="preserve"> </w:t>
      </w:r>
      <w:r w:rsidRPr="009D7EFE">
        <w:rPr>
          <w:rFonts w:ascii="Cambria" w:hAnsi="Cambria"/>
          <w:sz w:val="20"/>
          <w:szCs w:val="20"/>
        </w:rPr>
        <w:t>Joel Hernández García</w:t>
      </w:r>
      <w:r w:rsidR="003D74D9" w:rsidRPr="00365F2F">
        <w:rPr>
          <w:rFonts w:ascii="Cambria" w:hAnsi="Cambria" w:cs="Arial"/>
          <w:noProof/>
          <w:spacing w:val="-2"/>
          <w:sz w:val="20"/>
        </w:rPr>
        <w:t xml:space="preserve"> (dissenting opinion)</w:t>
      </w:r>
      <w:r w:rsidRPr="009D7EFE">
        <w:rPr>
          <w:rFonts w:ascii="Cambria" w:hAnsi="Cambria"/>
          <w:sz w:val="20"/>
          <w:szCs w:val="20"/>
        </w:rPr>
        <w:t xml:space="preserve">,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Francisco José Eguiguren Praeli</w:t>
      </w:r>
      <w:r w:rsidR="003D74D9" w:rsidRPr="00365F2F">
        <w:rPr>
          <w:rFonts w:ascii="Cambria" w:hAnsi="Cambria" w:cs="Arial"/>
          <w:noProof/>
          <w:spacing w:val="-2"/>
          <w:sz w:val="20"/>
        </w:rPr>
        <w:t xml:space="preserve"> (dissenting opinion)</w:t>
      </w:r>
      <w:r w:rsidRPr="009D7EFE">
        <w:rPr>
          <w:rFonts w:ascii="Cambria" w:hAnsi="Cambria"/>
          <w:sz w:val="20"/>
          <w:szCs w:val="20"/>
        </w:rPr>
        <w:t>, Luis Ernesto Vargas Silva</w:t>
      </w:r>
      <w:r w:rsidR="003D74D9" w:rsidRPr="00365F2F">
        <w:rPr>
          <w:rFonts w:ascii="Cambria" w:hAnsi="Cambria" w:cs="Arial"/>
          <w:noProof/>
          <w:spacing w:val="-2"/>
          <w:sz w:val="20"/>
        </w:rPr>
        <w:t xml:space="preserve"> (dissenting opinion)</w:t>
      </w:r>
      <w:r w:rsidRPr="009D7EFE">
        <w:rPr>
          <w:rFonts w:ascii="Cambria" w:hAnsi="Cambria"/>
          <w:sz w:val="20"/>
          <w:szCs w:val="20"/>
        </w:rPr>
        <w:t xml:space="preserve">, and </w:t>
      </w:r>
      <w:proofErr w:type="spellStart"/>
      <w:r w:rsidRPr="009D7EFE">
        <w:rPr>
          <w:rFonts w:ascii="Cambria" w:hAnsi="Cambria"/>
          <w:sz w:val="20"/>
          <w:szCs w:val="20"/>
        </w:rPr>
        <w:t>Flávia</w:t>
      </w:r>
      <w:proofErr w:type="spellEnd"/>
      <w:r w:rsidRPr="009D7EFE">
        <w:rPr>
          <w:rFonts w:ascii="Cambria" w:hAnsi="Cambria"/>
          <w:sz w:val="20"/>
          <w:szCs w:val="20"/>
        </w:rPr>
        <w:t xml:space="preserve"> </w:t>
      </w:r>
      <w:proofErr w:type="spellStart"/>
      <w:r w:rsidRPr="009D7EFE">
        <w:rPr>
          <w:rFonts w:ascii="Cambria" w:hAnsi="Cambria"/>
          <w:sz w:val="20"/>
          <w:szCs w:val="20"/>
        </w:rPr>
        <w:t>Piovesan</w:t>
      </w:r>
      <w:proofErr w:type="spellEnd"/>
      <w:r w:rsidRPr="009D7EFE">
        <w:rPr>
          <w:rFonts w:ascii="Cambria" w:hAnsi="Cambria"/>
          <w:sz w:val="20"/>
          <w:szCs w:val="20"/>
        </w:rPr>
        <w:t>, Commissioners.</w:t>
      </w:r>
    </w:p>
    <w:p w:rsidR="00B20A58" w:rsidRPr="00FD1CC3" w:rsidRDefault="00B20A58" w:rsidP="00B20A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ind w:left="720"/>
        <w:jc w:val="both"/>
        <w:rPr>
          <w:rFonts w:asciiTheme="majorHAnsi" w:hAnsiTheme="majorHAnsi"/>
          <w:sz w:val="18"/>
          <w:szCs w:val="22"/>
        </w:rPr>
      </w:pPr>
    </w:p>
    <w:sectPr w:rsidR="00B20A58" w:rsidRPr="00FD1CC3" w:rsidSect="00934A2C">
      <w:headerReference w:type="even" r:id="rId16"/>
      <w:headerReference w:type="default" r:id="rId17"/>
      <w:footerReference w:type="default" r:id="rId18"/>
      <w:footerReference w:type="first" r:id="rId1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91B" w:rsidRDefault="00E1491B">
      <w:r>
        <w:separator/>
      </w:r>
    </w:p>
  </w:endnote>
  <w:endnote w:type="continuationSeparator" w:id="0">
    <w:p w:rsidR="00E1491B" w:rsidRDefault="00E1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CD" w:rsidRDefault="00DC3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3E5C6C" w:rsidRPr="006311DA" w:rsidRDefault="003E5C6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1</w:t>
        </w:r>
        <w:r w:rsidRPr="006311DA">
          <w:rPr>
            <w:noProof/>
            <w:sz w:val="16"/>
          </w:rPr>
          <w:fldChar w:fldCharType="end"/>
        </w:r>
      </w:p>
    </w:sdtContent>
  </w:sdt>
  <w:p w:rsidR="003E5C6C" w:rsidRDefault="003E5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6C" w:rsidRDefault="003E5C6C">
    <w:pPr>
      <w:pStyle w:val="Footer"/>
      <w:jc w:val="center"/>
    </w:pPr>
  </w:p>
  <w:p w:rsidR="003E5C6C" w:rsidRDefault="003E5C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419406"/>
      <w:docPartObj>
        <w:docPartGallery w:val="Page Numbers (Bottom of Page)"/>
        <w:docPartUnique/>
      </w:docPartObj>
    </w:sdtPr>
    <w:sdtEndPr>
      <w:rPr>
        <w:noProof/>
        <w:sz w:val="16"/>
        <w:szCs w:val="22"/>
      </w:rPr>
    </w:sdtEndPr>
    <w:sdtContent>
      <w:p w:rsidR="001E1267" w:rsidRPr="00934A2C" w:rsidRDefault="001E1267">
        <w:pPr>
          <w:pStyle w:val="Footer"/>
          <w:jc w:val="center"/>
          <w:rPr>
            <w:sz w:val="16"/>
            <w:szCs w:val="22"/>
          </w:rPr>
        </w:pPr>
        <w:r>
          <w:rPr>
            <w:sz w:val="16"/>
            <w:szCs w:val="22"/>
          </w:rPr>
          <w:fldChar w:fldCharType="begin"/>
        </w:r>
        <w:r>
          <w:rPr>
            <w:sz w:val="16"/>
            <w:szCs w:val="22"/>
          </w:rPr>
          <w:instrText xml:space="preserve"> PAGE   \* MERGEFORMAT </w:instrText>
        </w:r>
        <w:r>
          <w:rPr>
            <w:sz w:val="16"/>
            <w:szCs w:val="22"/>
          </w:rPr>
          <w:fldChar w:fldCharType="separate"/>
        </w:r>
        <w:r w:rsidR="00DC3BCD">
          <w:rPr>
            <w:noProof/>
            <w:sz w:val="16"/>
            <w:szCs w:val="22"/>
          </w:rPr>
          <w:t>1</w:t>
        </w:r>
        <w:r>
          <w:rPr>
            <w:noProof/>
            <w:sz w:val="16"/>
            <w:szCs w:val="22"/>
          </w:rPr>
          <w:fldChar w:fldCharType="end"/>
        </w:r>
      </w:p>
    </w:sdtContent>
  </w:sdt>
  <w:p w:rsidR="001E1267" w:rsidRDefault="001E126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67" w:rsidRPr="00934A2C" w:rsidRDefault="001E1267">
    <w:pPr>
      <w:pStyle w:val="Footer"/>
      <w:jc w:val="center"/>
      <w:rPr>
        <w:sz w:val="16"/>
        <w:szCs w:val="22"/>
      </w:rPr>
    </w:pPr>
  </w:p>
  <w:p w:rsidR="001E1267" w:rsidRDefault="001E1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91B" w:rsidRPr="000F35ED" w:rsidRDefault="00E1491B">
      <w:pPr>
        <w:rPr>
          <w:rFonts w:asciiTheme="majorHAnsi" w:hAnsiTheme="majorHAnsi"/>
          <w:sz w:val="16"/>
          <w:szCs w:val="16"/>
        </w:rPr>
      </w:pPr>
      <w:r>
        <w:rPr>
          <w:rFonts w:asciiTheme="majorHAnsi" w:hAnsiTheme="majorHAnsi"/>
          <w:sz w:val="16"/>
          <w:szCs w:val="16"/>
        </w:rPr>
        <w:separator/>
      </w:r>
    </w:p>
  </w:footnote>
  <w:footnote w:type="continuationSeparator" w:id="0">
    <w:p w:rsidR="00E1491B" w:rsidRPr="000F35ED" w:rsidRDefault="00E1491B" w:rsidP="000F35ED">
      <w:pPr>
        <w:rPr>
          <w:rFonts w:asciiTheme="majorHAnsi" w:hAnsiTheme="majorHAnsi"/>
          <w:sz w:val="16"/>
          <w:szCs w:val="16"/>
        </w:rPr>
      </w:pPr>
      <w:r>
        <w:rPr>
          <w:rFonts w:asciiTheme="majorHAnsi" w:hAnsiTheme="majorHAnsi"/>
          <w:sz w:val="16"/>
          <w:szCs w:val="16"/>
        </w:rPr>
        <w:separator/>
      </w:r>
    </w:p>
    <w:p w:rsidR="00E1491B" w:rsidRPr="000F35ED" w:rsidRDefault="00E1491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continuación</w:t>
      </w:r>
      <w:proofErr w:type="spellEnd"/>
      <w:proofErr w:type="gramEnd"/>
      <w:r>
        <w:rPr>
          <w:rFonts w:asciiTheme="majorHAnsi" w:hAnsiTheme="majorHAnsi"/>
          <w:sz w:val="16"/>
          <w:szCs w:val="16"/>
        </w:rPr>
        <w:t>]</w:t>
      </w:r>
    </w:p>
  </w:footnote>
  <w:footnote w:type="continuationNotice" w:id="1">
    <w:p w:rsidR="00E1491B" w:rsidRPr="000F35ED" w:rsidRDefault="00E1491B" w:rsidP="000F35ED">
      <w:pPr>
        <w:jc w:val="right"/>
        <w:rPr>
          <w:rFonts w:asciiTheme="majorHAnsi" w:hAnsiTheme="majorHAnsi"/>
          <w:sz w:val="16"/>
          <w:szCs w:val="16"/>
        </w:rPr>
      </w:pPr>
      <w:r>
        <w:rPr>
          <w:rFonts w:asciiTheme="majorHAnsi" w:hAnsiTheme="majorHAnsi"/>
          <w:sz w:val="16"/>
          <w:szCs w:val="16"/>
        </w:rPr>
        <w:t>[</w:t>
      </w:r>
      <w:proofErr w:type="spellStart"/>
      <w:proofErr w:type="gramStart"/>
      <w:r>
        <w:rPr>
          <w:rFonts w:asciiTheme="majorHAnsi" w:hAnsiTheme="majorHAnsi"/>
          <w:sz w:val="16"/>
          <w:szCs w:val="16"/>
        </w:rPr>
        <w:t>continúa</w:t>
      </w:r>
      <w:proofErr w:type="spellEnd"/>
      <w:proofErr w:type="gramEnd"/>
      <w:r>
        <w:rPr>
          <w:rFonts w:asciiTheme="majorHAnsi" w:hAnsiTheme="majorHAnsi"/>
          <w:sz w:val="16"/>
          <w:szCs w:val="16"/>
        </w:rPr>
        <w:t>…]</w:t>
      </w:r>
    </w:p>
  </w:footnote>
  <w:footnote w:id="2">
    <w:p w:rsidR="003E5C6C" w:rsidRPr="00A6539D" w:rsidRDefault="003E5C6C" w:rsidP="003E5C6C">
      <w:pPr>
        <w:pStyle w:val="FootnoteText"/>
        <w:ind w:left="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Hereinafter the “Convention” or “American Convention.”</w:t>
      </w:r>
    </w:p>
  </w:footnote>
  <w:footnote w:id="3">
    <w:p w:rsidR="003E5C6C" w:rsidRPr="000B6B7A" w:rsidRDefault="003E5C6C" w:rsidP="003E5C6C">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 w:id="4">
    <w:p w:rsidR="00F15051" w:rsidRPr="00A6539D" w:rsidRDefault="00F15051" w:rsidP="00F15051">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To seriously undermine the reputation of the National Civil Police.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6C" w:rsidRDefault="003E5C6C"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E5C6C" w:rsidRDefault="003E5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6C" w:rsidRDefault="003E5C6C" w:rsidP="002C1641">
    <w:pPr>
      <w:pStyle w:val="Header"/>
      <w:tabs>
        <w:tab w:val="clear" w:pos="4320"/>
        <w:tab w:val="clear" w:pos="8640"/>
      </w:tabs>
      <w:jc w:val="center"/>
      <w:rPr>
        <w:sz w:val="22"/>
        <w:szCs w:val="22"/>
      </w:rPr>
    </w:pPr>
    <w:r>
      <w:rPr>
        <w:noProof/>
        <w:sz w:val="22"/>
        <w:szCs w:val="22"/>
      </w:rPr>
      <w:drawing>
        <wp:inline distT="0" distB="0" distL="0" distR="0" wp14:anchorId="0ACEF6D4" wp14:editId="40DFD4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E5C6C" w:rsidRPr="00EC7D62" w:rsidRDefault="00E1491B"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CD" w:rsidRDefault="00DC3B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67" w:rsidRDefault="001E1267"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E1267" w:rsidRDefault="001E126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67" w:rsidRDefault="001E1267" w:rsidP="00A50FCF">
    <w:pPr>
      <w:pStyle w:val="Header"/>
      <w:tabs>
        <w:tab w:val="clear" w:pos="4320"/>
        <w:tab w:val="clear" w:pos="8640"/>
      </w:tabs>
      <w:jc w:val="center"/>
      <w:rPr>
        <w:sz w:val="22"/>
        <w:szCs w:val="22"/>
      </w:rPr>
    </w:pPr>
    <w:r>
      <w:rPr>
        <w:noProof/>
        <w:sz w:val="22"/>
        <w:szCs w:val="22"/>
      </w:rPr>
      <w:drawing>
        <wp:inline distT="0" distB="0" distL="0" distR="0" wp14:anchorId="775A612E" wp14:editId="614F1CE4">
          <wp:extent cx="1972237" cy="104775"/>
          <wp:effectExtent l="0" t="0" r="9525" b="0"/>
          <wp:docPr id="18" name="Picture 18"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1E1267" w:rsidRPr="00EC7D62" w:rsidRDefault="00E1491B" w:rsidP="00A50FCF">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81316C"/>
    <w:multiLevelType w:val="hybridMultilevel"/>
    <w:tmpl w:val="B19E72E0"/>
    <w:numStyleLink w:val="ImportedStyle3"/>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A154A12"/>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6A5FED"/>
    <w:multiLevelType w:val="hybridMultilevel"/>
    <w:tmpl w:val="6F6E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ED689B"/>
    <w:multiLevelType w:val="hybridMultilevel"/>
    <w:tmpl w:val="B19E72E0"/>
    <w:styleLink w:val="ImportedStyle3"/>
    <w:lvl w:ilvl="0" w:tplc="7A1E6A8A">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91E69BCE">
      <w:start w:val="1"/>
      <w:numFmt w:val="lowerLetter"/>
      <w:lvlText w:val="%2."/>
      <w:lvlJc w:val="left"/>
      <w:pPr>
        <w:tabs>
          <w:tab w:val="left" w:pos="720"/>
          <w:tab w:val="left" w:pos="1440"/>
          <w:tab w:val="num" w:pos="2160"/>
        </w:tabs>
        <w:ind w:left="1440" w:firstLine="360"/>
      </w:pPr>
      <w:rPr>
        <w:rFonts w:hAnsi="Arial Unicode MS"/>
        <w:caps w:val="0"/>
        <w:smallCaps w:val="0"/>
        <w:strike w:val="0"/>
        <w:dstrike w:val="0"/>
        <w:color w:val="000000"/>
        <w:spacing w:val="0"/>
        <w:w w:val="100"/>
        <w:kern w:val="0"/>
        <w:position w:val="0"/>
        <w:highlight w:val="none"/>
        <w:vertAlign w:val="baseline"/>
      </w:rPr>
    </w:lvl>
    <w:lvl w:ilvl="2" w:tplc="A20890F4">
      <w:start w:val="1"/>
      <w:numFmt w:val="lowerRoman"/>
      <w:lvlText w:val="%3."/>
      <w:lvlJc w:val="left"/>
      <w:pPr>
        <w:tabs>
          <w:tab w:val="left" w:pos="720"/>
          <w:tab w:val="left" w:pos="1440"/>
          <w:tab w:val="num" w:pos="2880"/>
        </w:tabs>
        <w:ind w:left="2160" w:firstLine="440"/>
      </w:pPr>
      <w:rPr>
        <w:rFonts w:hAnsi="Arial Unicode MS"/>
        <w:caps w:val="0"/>
        <w:smallCaps w:val="0"/>
        <w:strike w:val="0"/>
        <w:dstrike w:val="0"/>
        <w:color w:val="000000"/>
        <w:spacing w:val="0"/>
        <w:w w:val="100"/>
        <w:kern w:val="0"/>
        <w:position w:val="0"/>
        <w:highlight w:val="none"/>
        <w:vertAlign w:val="baseline"/>
      </w:rPr>
    </w:lvl>
    <w:lvl w:ilvl="3" w:tplc="4880CED2">
      <w:start w:val="1"/>
      <w:numFmt w:val="decimal"/>
      <w:lvlText w:val="%4."/>
      <w:lvlJc w:val="left"/>
      <w:pPr>
        <w:tabs>
          <w:tab w:val="left" w:pos="720"/>
          <w:tab w:val="left" w:pos="1440"/>
          <w:tab w:val="num" w:pos="3600"/>
        </w:tabs>
        <w:ind w:left="2880" w:firstLine="360"/>
      </w:pPr>
      <w:rPr>
        <w:rFonts w:hAnsi="Arial Unicode MS"/>
        <w:caps w:val="0"/>
        <w:smallCaps w:val="0"/>
        <w:strike w:val="0"/>
        <w:dstrike w:val="0"/>
        <w:color w:val="000000"/>
        <w:spacing w:val="0"/>
        <w:w w:val="100"/>
        <w:kern w:val="0"/>
        <w:position w:val="0"/>
        <w:highlight w:val="none"/>
        <w:vertAlign w:val="baseline"/>
      </w:rPr>
    </w:lvl>
    <w:lvl w:ilvl="4" w:tplc="D1CAEBB0">
      <w:start w:val="1"/>
      <w:numFmt w:val="lowerLetter"/>
      <w:lvlText w:val="%5."/>
      <w:lvlJc w:val="left"/>
      <w:pPr>
        <w:tabs>
          <w:tab w:val="left" w:pos="720"/>
          <w:tab w:val="left" w:pos="1440"/>
          <w:tab w:val="num" w:pos="4320"/>
        </w:tabs>
        <w:ind w:left="3600" w:firstLine="360"/>
      </w:pPr>
      <w:rPr>
        <w:rFonts w:hAnsi="Arial Unicode MS"/>
        <w:caps w:val="0"/>
        <w:smallCaps w:val="0"/>
        <w:strike w:val="0"/>
        <w:dstrike w:val="0"/>
        <w:color w:val="000000"/>
        <w:spacing w:val="0"/>
        <w:w w:val="100"/>
        <w:kern w:val="0"/>
        <w:position w:val="0"/>
        <w:highlight w:val="none"/>
        <w:vertAlign w:val="baseline"/>
      </w:rPr>
    </w:lvl>
    <w:lvl w:ilvl="5" w:tplc="796CC54E">
      <w:start w:val="1"/>
      <w:numFmt w:val="lowerRoman"/>
      <w:lvlText w:val="%6."/>
      <w:lvlJc w:val="left"/>
      <w:pPr>
        <w:tabs>
          <w:tab w:val="left" w:pos="720"/>
          <w:tab w:val="left" w:pos="1440"/>
          <w:tab w:val="num" w:pos="5040"/>
        </w:tabs>
        <w:ind w:left="4320" w:firstLine="440"/>
      </w:pPr>
      <w:rPr>
        <w:rFonts w:hAnsi="Arial Unicode MS"/>
        <w:caps w:val="0"/>
        <w:smallCaps w:val="0"/>
        <w:strike w:val="0"/>
        <w:dstrike w:val="0"/>
        <w:color w:val="000000"/>
        <w:spacing w:val="0"/>
        <w:w w:val="100"/>
        <w:kern w:val="0"/>
        <w:position w:val="0"/>
        <w:highlight w:val="none"/>
        <w:vertAlign w:val="baseline"/>
      </w:rPr>
    </w:lvl>
    <w:lvl w:ilvl="6" w:tplc="E7E858D4">
      <w:start w:val="1"/>
      <w:numFmt w:val="decimal"/>
      <w:lvlText w:val="%7."/>
      <w:lvlJc w:val="left"/>
      <w:pPr>
        <w:tabs>
          <w:tab w:val="left" w:pos="720"/>
          <w:tab w:val="left" w:pos="1440"/>
          <w:tab w:val="num" w:pos="5760"/>
        </w:tabs>
        <w:ind w:left="5040" w:firstLine="360"/>
      </w:pPr>
      <w:rPr>
        <w:rFonts w:hAnsi="Arial Unicode MS"/>
        <w:caps w:val="0"/>
        <w:smallCaps w:val="0"/>
        <w:strike w:val="0"/>
        <w:dstrike w:val="0"/>
        <w:color w:val="000000"/>
        <w:spacing w:val="0"/>
        <w:w w:val="100"/>
        <w:kern w:val="0"/>
        <w:position w:val="0"/>
        <w:highlight w:val="none"/>
        <w:vertAlign w:val="baseline"/>
      </w:rPr>
    </w:lvl>
    <w:lvl w:ilvl="7" w:tplc="3CF0197C">
      <w:start w:val="1"/>
      <w:numFmt w:val="lowerLetter"/>
      <w:lvlText w:val="%8."/>
      <w:lvlJc w:val="left"/>
      <w:pPr>
        <w:tabs>
          <w:tab w:val="left" w:pos="720"/>
          <w:tab w:val="left" w:pos="1440"/>
          <w:tab w:val="num" w:pos="6480"/>
        </w:tabs>
        <w:ind w:left="5760" w:firstLine="360"/>
      </w:pPr>
      <w:rPr>
        <w:rFonts w:hAnsi="Arial Unicode MS"/>
        <w:caps w:val="0"/>
        <w:smallCaps w:val="0"/>
        <w:strike w:val="0"/>
        <w:dstrike w:val="0"/>
        <w:color w:val="000000"/>
        <w:spacing w:val="0"/>
        <w:w w:val="100"/>
        <w:kern w:val="0"/>
        <w:position w:val="0"/>
        <w:highlight w:val="none"/>
        <w:vertAlign w:val="baseline"/>
      </w:rPr>
    </w:lvl>
    <w:lvl w:ilvl="8" w:tplc="29B44E86">
      <w:start w:val="1"/>
      <w:numFmt w:val="lowerRoman"/>
      <w:lvlText w:val="%9."/>
      <w:lvlJc w:val="left"/>
      <w:pPr>
        <w:tabs>
          <w:tab w:val="left" w:pos="720"/>
          <w:tab w:val="left" w:pos="1440"/>
          <w:tab w:val="num" w:pos="7200"/>
        </w:tabs>
        <w:ind w:left="6480" w:firstLine="44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16645E"/>
    <w:multiLevelType w:val="hybridMultilevel"/>
    <w:tmpl w:val="51F82E9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F46A00"/>
    <w:multiLevelType w:val="hybridMultilevel"/>
    <w:tmpl w:val="C152EC38"/>
    <w:styleLink w:val="ImportedStyle2"/>
    <w:lvl w:ilvl="0" w:tplc="B0B0C56E">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838AC310">
      <w:start w:val="1"/>
      <w:numFmt w:val="lowerLetter"/>
      <w:lvlText w:val="%2."/>
      <w:lvlJc w:val="left"/>
      <w:pPr>
        <w:tabs>
          <w:tab w:val="left" w:pos="720"/>
          <w:tab w:val="left" w:pos="1440"/>
          <w:tab w:val="num" w:pos="2160"/>
        </w:tabs>
        <w:ind w:left="1440" w:firstLine="360"/>
      </w:pPr>
      <w:rPr>
        <w:rFonts w:hAnsi="Arial Unicode MS"/>
        <w:caps w:val="0"/>
        <w:smallCaps w:val="0"/>
        <w:strike w:val="0"/>
        <w:dstrike w:val="0"/>
        <w:color w:val="000000"/>
        <w:spacing w:val="0"/>
        <w:w w:val="100"/>
        <w:kern w:val="0"/>
        <w:position w:val="0"/>
        <w:highlight w:val="none"/>
        <w:vertAlign w:val="baseline"/>
      </w:rPr>
    </w:lvl>
    <w:lvl w:ilvl="2" w:tplc="E4A65DBC">
      <w:start w:val="1"/>
      <w:numFmt w:val="lowerRoman"/>
      <w:lvlText w:val="%3."/>
      <w:lvlJc w:val="left"/>
      <w:pPr>
        <w:tabs>
          <w:tab w:val="left" w:pos="720"/>
          <w:tab w:val="left" w:pos="1440"/>
          <w:tab w:val="num" w:pos="2880"/>
        </w:tabs>
        <w:ind w:left="2160" w:firstLine="440"/>
      </w:pPr>
      <w:rPr>
        <w:rFonts w:hAnsi="Arial Unicode MS"/>
        <w:caps w:val="0"/>
        <w:smallCaps w:val="0"/>
        <w:strike w:val="0"/>
        <w:dstrike w:val="0"/>
        <w:color w:val="000000"/>
        <w:spacing w:val="0"/>
        <w:w w:val="100"/>
        <w:kern w:val="0"/>
        <w:position w:val="0"/>
        <w:highlight w:val="none"/>
        <w:vertAlign w:val="baseline"/>
      </w:rPr>
    </w:lvl>
    <w:lvl w:ilvl="3" w:tplc="6CE29CB2">
      <w:start w:val="1"/>
      <w:numFmt w:val="decimal"/>
      <w:lvlText w:val="%4."/>
      <w:lvlJc w:val="left"/>
      <w:pPr>
        <w:tabs>
          <w:tab w:val="left" w:pos="720"/>
          <w:tab w:val="left" w:pos="1440"/>
          <w:tab w:val="num" w:pos="3600"/>
        </w:tabs>
        <w:ind w:left="2880" w:firstLine="360"/>
      </w:pPr>
      <w:rPr>
        <w:rFonts w:hAnsi="Arial Unicode MS"/>
        <w:caps w:val="0"/>
        <w:smallCaps w:val="0"/>
        <w:strike w:val="0"/>
        <w:dstrike w:val="0"/>
        <w:color w:val="000000"/>
        <w:spacing w:val="0"/>
        <w:w w:val="100"/>
        <w:kern w:val="0"/>
        <w:position w:val="0"/>
        <w:highlight w:val="none"/>
        <w:vertAlign w:val="baseline"/>
      </w:rPr>
    </w:lvl>
    <w:lvl w:ilvl="4" w:tplc="E318C224">
      <w:start w:val="1"/>
      <w:numFmt w:val="lowerLetter"/>
      <w:lvlText w:val="%5."/>
      <w:lvlJc w:val="left"/>
      <w:pPr>
        <w:tabs>
          <w:tab w:val="left" w:pos="720"/>
          <w:tab w:val="left" w:pos="1440"/>
          <w:tab w:val="num" w:pos="4320"/>
        </w:tabs>
        <w:ind w:left="3600" w:firstLine="360"/>
      </w:pPr>
      <w:rPr>
        <w:rFonts w:hAnsi="Arial Unicode MS"/>
        <w:caps w:val="0"/>
        <w:smallCaps w:val="0"/>
        <w:strike w:val="0"/>
        <w:dstrike w:val="0"/>
        <w:color w:val="000000"/>
        <w:spacing w:val="0"/>
        <w:w w:val="100"/>
        <w:kern w:val="0"/>
        <w:position w:val="0"/>
        <w:highlight w:val="none"/>
        <w:vertAlign w:val="baseline"/>
      </w:rPr>
    </w:lvl>
    <w:lvl w:ilvl="5" w:tplc="9580C5DC">
      <w:start w:val="1"/>
      <w:numFmt w:val="lowerRoman"/>
      <w:lvlText w:val="%6."/>
      <w:lvlJc w:val="left"/>
      <w:pPr>
        <w:tabs>
          <w:tab w:val="left" w:pos="720"/>
          <w:tab w:val="left" w:pos="1440"/>
          <w:tab w:val="num" w:pos="5040"/>
        </w:tabs>
        <w:ind w:left="4320" w:firstLine="440"/>
      </w:pPr>
      <w:rPr>
        <w:rFonts w:hAnsi="Arial Unicode MS"/>
        <w:caps w:val="0"/>
        <w:smallCaps w:val="0"/>
        <w:strike w:val="0"/>
        <w:dstrike w:val="0"/>
        <w:color w:val="000000"/>
        <w:spacing w:val="0"/>
        <w:w w:val="100"/>
        <w:kern w:val="0"/>
        <w:position w:val="0"/>
        <w:highlight w:val="none"/>
        <w:vertAlign w:val="baseline"/>
      </w:rPr>
    </w:lvl>
    <w:lvl w:ilvl="6" w:tplc="40FED34A">
      <w:start w:val="1"/>
      <w:numFmt w:val="decimal"/>
      <w:lvlText w:val="%7."/>
      <w:lvlJc w:val="left"/>
      <w:pPr>
        <w:tabs>
          <w:tab w:val="left" w:pos="720"/>
          <w:tab w:val="left" w:pos="1440"/>
          <w:tab w:val="num" w:pos="5760"/>
        </w:tabs>
        <w:ind w:left="5040" w:firstLine="360"/>
      </w:pPr>
      <w:rPr>
        <w:rFonts w:hAnsi="Arial Unicode MS"/>
        <w:caps w:val="0"/>
        <w:smallCaps w:val="0"/>
        <w:strike w:val="0"/>
        <w:dstrike w:val="0"/>
        <w:color w:val="000000"/>
        <w:spacing w:val="0"/>
        <w:w w:val="100"/>
        <w:kern w:val="0"/>
        <w:position w:val="0"/>
        <w:highlight w:val="none"/>
        <w:vertAlign w:val="baseline"/>
      </w:rPr>
    </w:lvl>
    <w:lvl w:ilvl="7" w:tplc="3EBE78CE">
      <w:start w:val="1"/>
      <w:numFmt w:val="lowerLetter"/>
      <w:lvlText w:val="%8."/>
      <w:lvlJc w:val="left"/>
      <w:pPr>
        <w:tabs>
          <w:tab w:val="left" w:pos="720"/>
          <w:tab w:val="left" w:pos="1440"/>
          <w:tab w:val="num" w:pos="6480"/>
        </w:tabs>
        <w:ind w:left="5760" w:firstLine="360"/>
      </w:pPr>
      <w:rPr>
        <w:rFonts w:hAnsi="Arial Unicode MS"/>
        <w:caps w:val="0"/>
        <w:smallCaps w:val="0"/>
        <w:strike w:val="0"/>
        <w:dstrike w:val="0"/>
        <w:color w:val="000000"/>
        <w:spacing w:val="0"/>
        <w:w w:val="100"/>
        <w:kern w:val="0"/>
        <w:position w:val="0"/>
        <w:highlight w:val="none"/>
        <w:vertAlign w:val="baseline"/>
      </w:rPr>
    </w:lvl>
    <w:lvl w:ilvl="8" w:tplc="D6727D18">
      <w:start w:val="1"/>
      <w:numFmt w:val="lowerRoman"/>
      <w:lvlText w:val="%9."/>
      <w:lvlJc w:val="left"/>
      <w:pPr>
        <w:tabs>
          <w:tab w:val="left" w:pos="720"/>
          <w:tab w:val="left" w:pos="1440"/>
          <w:tab w:val="num" w:pos="7200"/>
        </w:tabs>
        <w:ind w:left="6480" w:firstLine="440"/>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7864466"/>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7"/>
  </w:num>
  <w:num w:numId="4">
    <w:abstractNumId w:val="23"/>
  </w:num>
  <w:num w:numId="5">
    <w:abstractNumId w:val="50"/>
  </w:num>
  <w:num w:numId="6">
    <w:abstractNumId w:val="29"/>
  </w:num>
  <w:num w:numId="7">
    <w:abstractNumId w:val="8"/>
  </w:num>
  <w:num w:numId="8">
    <w:abstractNumId w:val="19"/>
  </w:num>
  <w:num w:numId="9">
    <w:abstractNumId w:val="43"/>
  </w:num>
  <w:num w:numId="10">
    <w:abstractNumId w:val="0"/>
  </w:num>
  <w:num w:numId="11">
    <w:abstractNumId w:val="38"/>
  </w:num>
  <w:num w:numId="12">
    <w:abstractNumId w:val="39"/>
  </w:num>
  <w:num w:numId="13">
    <w:abstractNumId w:val="46"/>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9"/>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2"/>
  </w:num>
  <w:num w:numId="52">
    <w:abstractNumId w:val="42"/>
  </w:num>
  <w:num w:numId="53">
    <w:abstractNumId w:val="54"/>
  </w:num>
  <w:num w:numId="54">
    <w:abstractNumId w:val="47"/>
  </w:num>
  <w:num w:numId="55">
    <w:abstractNumId w:val="5"/>
  </w:num>
  <w:num w:numId="56">
    <w:abstractNumId w:val="48"/>
  </w:num>
  <w:num w:numId="57">
    <w:abstractNumId w:val="27"/>
  </w:num>
  <w:num w:numId="58">
    <w:abstractNumId w:val="2"/>
  </w:num>
  <w:num w:numId="59">
    <w:abstractNumId w:val="44"/>
  </w:num>
  <w:num w:numId="60">
    <w:abstractNumId w:val="18"/>
  </w:num>
  <w:num w:numId="61">
    <w:abstractNumId w:val="45"/>
  </w:num>
  <w:num w:numId="62">
    <w:abstractNumId w:val="7"/>
  </w:num>
  <w:num w:numId="63">
    <w:abstractNumId w:val="51"/>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337EF"/>
    <w:rsid w:val="00033A56"/>
    <w:rsid w:val="00040C3A"/>
    <w:rsid w:val="000419AD"/>
    <w:rsid w:val="000433C9"/>
    <w:rsid w:val="00047590"/>
    <w:rsid w:val="00055926"/>
    <w:rsid w:val="000561C2"/>
    <w:rsid w:val="00060CF6"/>
    <w:rsid w:val="00066796"/>
    <w:rsid w:val="000716C5"/>
    <w:rsid w:val="00074DCC"/>
    <w:rsid w:val="000757A9"/>
    <w:rsid w:val="00075E23"/>
    <w:rsid w:val="00080CDF"/>
    <w:rsid w:val="00090EE6"/>
    <w:rsid w:val="0009344A"/>
    <w:rsid w:val="000A392E"/>
    <w:rsid w:val="000A575F"/>
    <w:rsid w:val="000C083A"/>
    <w:rsid w:val="000D05CB"/>
    <w:rsid w:val="000D10DB"/>
    <w:rsid w:val="000E2EE2"/>
    <w:rsid w:val="000E5EB5"/>
    <w:rsid w:val="000F35ED"/>
    <w:rsid w:val="00107131"/>
    <w:rsid w:val="0010736F"/>
    <w:rsid w:val="00113F73"/>
    <w:rsid w:val="00121CC2"/>
    <w:rsid w:val="001339AB"/>
    <w:rsid w:val="00133EE5"/>
    <w:rsid w:val="00143B06"/>
    <w:rsid w:val="001676BE"/>
    <w:rsid w:val="00167A34"/>
    <w:rsid w:val="00180EBD"/>
    <w:rsid w:val="001A7870"/>
    <w:rsid w:val="001B3A00"/>
    <w:rsid w:val="001B530F"/>
    <w:rsid w:val="001C1B41"/>
    <w:rsid w:val="001D65EF"/>
    <w:rsid w:val="001E1267"/>
    <w:rsid w:val="001E49E7"/>
    <w:rsid w:val="001F7201"/>
    <w:rsid w:val="0020059D"/>
    <w:rsid w:val="00205F9E"/>
    <w:rsid w:val="00223A29"/>
    <w:rsid w:val="002250A3"/>
    <w:rsid w:val="00232D48"/>
    <w:rsid w:val="00235217"/>
    <w:rsid w:val="00246D1F"/>
    <w:rsid w:val="00247403"/>
    <w:rsid w:val="00247542"/>
    <w:rsid w:val="00266B61"/>
    <w:rsid w:val="0026712A"/>
    <w:rsid w:val="002704DB"/>
    <w:rsid w:val="002947A5"/>
    <w:rsid w:val="002A0AAE"/>
    <w:rsid w:val="002A5820"/>
    <w:rsid w:val="002D2B26"/>
    <w:rsid w:val="002D7EA2"/>
    <w:rsid w:val="002E187C"/>
    <w:rsid w:val="002F6BA6"/>
    <w:rsid w:val="00302733"/>
    <w:rsid w:val="00314078"/>
    <w:rsid w:val="0031535D"/>
    <w:rsid w:val="003239B8"/>
    <w:rsid w:val="003266A5"/>
    <w:rsid w:val="0033169F"/>
    <w:rsid w:val="00344977"/>
    <w:rsid w:val="00346C95"/>
    <w:rsid w:val="00356185"/>
    <w:rsid w:val="00360380"/>
    <w:rsid w:val="0037519E"/>
    <w:rsid w:val="00386CF0"/>
    <w:rsid w:val="003970E6"/>
    <w:rsid w:val="003B70FB"/>
    <w:rsid w:val="003C676B"/>
    <w:rsid w:val="003D3BC2"/>
    <w:rsid w:val="003D74D9"/>
    <w:rsid w:val="003E5C6C"/>
    <w:rsid w:val="003E6CA1"/>
    <w:rsid w:val="00400BD0"/>
    <w:rsid w:val="004065A8"/>
    <w:rsid w:val="004165C2"/>
    <w:rsid w:val="00441ECB"/>
    <w:rsid w:val="00445193"/>
    <w:rsid w:val="00462C1B"/>
    <w:rsid w:val="00467B7E"/>
    <w:rsid w:val="00473BB4"/>
    <w:rsid w:val="00477592"/>
    <w:rsid w:val="00481C29"/>
    <w:rsid w:val="00486F1C"/>
    <w:rsid w:val="0049419D"/>
    <w:rsid w:val="004A690A"/>
    <w:rsid w:val="004A6A54"/>
    <w:rsid w:val="004C20D2"/>
    <w:rsid w:val="004C2312"/>
    <w:rsid w:val="004C4391"/>
    <w:rsid w:val="004C4B62"/>
    <w:rsid w:val="004C54C9"/>
    <w:rsid w:val="004D4ABA"/>
    <w:rsid w:val="004D6025"/>
    <w:rsid w:val="004E2649"/>
    <w:rsid w:val="00501399"/>
    <w:rsid w:val="0050633D"/>
    <w:rsid w:val="00507BC4"/>
    <w:rsid w:val="005128E4"/>
    <w:rsid w:val="0051325D"/>
    <w:rsid w:val="005133DB"/>
    <w:rsid w:val="00525560"/>
    <w:rsid w:val="00544C49"/>
    <w:rsid w:val="005516A1"/>
    <w:rsid w:val="00563557"/>
    <w:rsid w:val="0057402A"/>
    <w:rsid w:val="005771D0"/>
    <w:rsid w:val="00577CFA"/>
    <w:rsid w:val="0059191A"/>
    <w:rsid w:val="005921FF"/>
    <w:rsid w:val="005A24ED"/>
    <w:rsid w:val="005A6D0E"/>
    <w:rsid w:val="005B52B0"/>
    <w:rsid w:val="005B6806"/>
    <w:rsid w:val="005C1ABD"/>
    <w:rsid w:val="005C4225"/>
    <w:rsid w:val="005E6AE9"/>
    <w:rsid w:val="005F0DAD"/>
    <w:rsid w:val="005F0F33"/>
    <w:rsid w:val="00600DEB"/>
    <w:rsid w:val="0062611E"/>
    <w:rsid w:val="00627C9F"/>
    <w:rsid w:val="006311E9"/>
    <w:rsid w:val="00632354"/>
    <w:rsid w:val="00642321"/>
    <w:rsid w:val="00642810"/>
    <w:rsid w:val="00652333"/>
    <w:rsid w:val="0068009E"/>
    <w:rsid w:val="00692219"/>
    <w:rsid w:val="006A17D2"/>
    <w:rsid w:val="006A73E6"/>
    <w:rsid w:val="006B2D5C"/>
    <w:rsid w:val="006C4EB1"/>
    <w:rsid w:val="006E0166"/>
    <w:rsid w:val="006E2FFB"/>
    <w:rsid w:val="006E7B34"/>
    <w:rsid w:val="006F46A6"/>
    <w:rsid w:val="0070697F"/>
    <w:rsid w:val="00707142"/>
    <w:rsid w:val="00711254"/>
    <w:rsid w:val="0072199C"/>
    <w:rsid w:val="00722C9F"/>
    <w:rsid w:val="007253B8"/>
    <w:rsid w:val="0073741F"/>
    <w:rsid w:val="00753C27"/>
    <w:rsid w:val="007558F6"/>
    <w:rsid w:val="0076643F"/>
    <w:rsid w:val="00777F63"/>
    <w:rsid w:val="00797001"/>
    <w:rsid w:val="007A5817"/>
    <w:rsid w:val="007B05C4"/>
    <w:rsid w:val="007B60E9"/>
    <w:rsid w:val="007B6CC3"/>
    <w:rsid w:val="007B76D3"/>
    <w:rsid w:val="007C3334"/>
    <w:rsid w:val="007C5375"/>
    <w:rsid w:val="007D2B98"/>
    <w:rsid w:val="007E1EB0"/>
    <w:rsid w:val="007E21BC"/>
    <w:rsid w:val="007E7C82"/>
    <w:rsid w:val="007F191D"/>
    <w:rsid w:val="007F588D"/>
    <w:rsid w:val="00803F1C"/>
    <w:rsid w:val="0080600E"/>
    <w:rsid w:val="00817612"/>
    <w:rsid w:val="00825D3E"/>
    <w:rsid w:val="008309BF"/>
    <w:rsid w:val="008338A4"/>
    <w:rsid w:val="00834D49"/>
    <w:rsid w:val="00837C45"/>
    <w:rsid w:val="0084231D"/>
    <w:rsid w:val="00844730"/>
    <w:rsid w:val="008457C2"/>
    <w:rsid w:val="00851411"/>
    <w:rsid w:val="00857A82"/>
    <w:rsid w:val="008602C1"/>
    <w:rsid w:val="00873836"/>
    <w:rsid w:val="0088504B"/>
    <w:rsid w:val="00885737"/>
    <w:rsid w:val="00890650"/>
    <w:rsid w:val="00897E12"/>
    <w:rsid w:val="008A7E0F"/>
    <w:rsid w:val="008B12F5"/>
    <w:rsid w:val="008C35D4"/>
    <w:rsid w:val="008D768D"/>
    <w:rsid w:val="008E3759"/>
    <w:rsid w:val="008E3BFE"/>
    <w:rsid w:val="008E6089"/>
    <w:rsid w:val="008E6164"/>
    <w:rsid w:val="008F1912"/>
    <w:rsid w:val="008F2AFB"/>
    <w:rsid w:val="0090270B"/>
    <w:rsid w:val="009041DC"/>
    <w:rsid w:val="00917B5A"/>
    <w:rsid w:val="00920A58"/>
    <w:rsid w:val="00920A8C"/>
    <w:rsid w:val="00934A2C"/>
    <w:rsid w:val="0096706E"/>
    <w:rsid w:val="00974491"/>
    <w:rsid w:val="00975C4E"/>
    <w:rsid w:val="00981FBA"/>
    <w:rsid w:val="00997BC5"/>
    <w:rsid w:val="009A4F41"/>
    <w:rsid w:val="009A56EA"/>
    <w:rsid w:val="009B3169"/>
    <w:rsid w:val="009B381B"/>
    <w:rsid w:val="009D1753"/>
    <w:rsid w:val="009D7611"/>
    <w:rsid w:val="009E09CD"/>
    <w:rsid w:val="009E0B61"/>
    <w:rsid w:val="009E53DE"/>
    <w:rsid w:val="00A11212"/>
    <w:rsid w:val="00A11E44"/>
    <w:rsid w:val="00A328B3"/>
    <w:rsid w:val="00A32F79"/>
    <w:rsid w:val="00A50FCF"/>
    <w:rsid w:val="00A528D1"/>
    <w:rsid w:val="00A52D19"/>
    <w:rsid w:val="00A5449E"/>
    <w:rsid w:val="00A610CD"/>
    <w:rsid w:val="00A66549"/>
    <w:rsid w:val="00A70DD3"/>
    <w:rsid w:val="00A758AA"/>
    <w:rsid w:val="00A802F1"/>
    <w:rsid w:val="00AA09A2"/>
    <w:rsid w:val="00AA7996"/>
    <w:rsid w:val="00AB3499"/>
    <w:rsid w:val="00AC19CB"/>
    <w:rsid w:val="00AE0A69"/>
    <w:rsid w:val="00AE5488"/>
    <w:rsid w:val="00AE6F91"/>
    <w:rsid w:val="00AF1198"/>
    <w:rsid w:val="00AF5571"/>
    <w:rsid w:val="00B07341"/>
    <w:rsid w:val="00B20A58"/>
    <w:rsid w:val="00B30539"/>
    <w:rsid w:val="00B314DB"/>
    <w:rsid w:val="00B361F2"/>
    <w:rsid w:val="00B3718B"/>
    <w:rsid w:val="00B3745F"/>
    <w:rsid w:val="00B4632A"/>
    <w:rsid w:val="00B519CD"/>
    <w:rsid w:val="00B530F1"/>
    <w:rsid w:val="00B976F3"/>
    <w:rsid w:val="00BA276C"/>
    <w:rsid w:val="00BB306F"/>
    <w:rsid w:val="00BB402E"/>
    <w:rsid w:val="00BC0EAA"/>
    <w:rsid w:val="00BD38EE"/>
    <w:rsid w:val="00BD4B89"/>
    <w:rsid w:val="00BD5922"/>
    <w:rsid w:val="00BF02CB"/>
    <w:rsid w:val="00BF6FD8"/>
    <w:rsid w:val="00C03680"/>
    <w:rsid w:val="00C054DF"/>
    <w:rsid w:val="00C21762"/>
    <w:rsid w:val="00C21FEF"/>
    <w:rsid w:val="00C24543"/>
    <w:rsid w:val="00C256A2"/>
    <w:rsid w:val="00C46C3C"/>
    <w:rsid w:val="00C51515"/>
    <w:rsid w:val="00C5660B"/>
    <w:rsid w:val="00C66B72"/>
    <w:rsid w:val="00C67B7E"/>
    <w:rsid w:val="00C87AC4"/>
    <w:rsid w:val="00C9567A"/>
    <w:rsid w:val="00C960BD"/>
    <w:rsid w:val="00CB212D"/>
    <w:rsid w:val="00CB2660"/>
    <w:rsid w:val="00CC5E90"/>
    <w:rsid w:val="00CD046C"/>
    <w:rsid w:val="00CE076C"/>
    <w:rsid w:val="00CE4623"/>
    <w:rsid w:val="00CE5199"/>
    <w:rsid w:val="00CE583E"/>
    <w:rsid w:val="00CE66D5"/>
    <w:rsid w:val="00CF637A"/>
    <w:rsid w:val="00D059DE"/>
    <w:rsid w:val="00D05ABD"/>
    <w:rsid w:val="00D13FCE"/>
    <w:rsid w:val="00D30680"/>
    <w:rsid w:val="00D306D1"/>
    <w:rsid w:val="00D30800"/>
    <w:rsid w:val="00D311B4"/>
    <w:rsid w:val="00D34786"/>
    <w:rsid w:val="00D37BFC"/>
    <w:rsid w:val="00D430C0"/>
    <w:rsid w:val="00D47A8E"/>
    <w:rsid w:val="00D52D14"/>
    <w:rsid w:val="00D712D3"/>
    <w:rsid w:val="00D71422"/>
    <w:rsid w:val="00D72DC6"/>
    <w:rsid w:val="00D7558D"/>
    <w:rsid w:val="00D81D92"/>
    <w:rsid w:val="00D876F9"/>
    <w:rsid w:val="00DA029B"/>
    <w:rsid w:val="00DA1161"/>
    <w:rsid w:val="00DA7B5F"/>
    <w:rsid w:val="00DC11E7"/>
    <w:rsid w:val="00DC24E3"/>
    <w:rsid w:val="00DC3BCD"/>
    <w:rsid w:val="00DC5332"/>
    <w:rsid w:val="00DC7023"/>
    <w:rsid w:val="00DC769A"/>
    <w:rsid w:val="00DD3D86"/>
    <w:rsid w:val="00DD4AD2"/>
    <w:rsid w:val="00DF1EC4"/>
    <w:rsid w:val="00E0340B"/>
    <w:rsid w:val="00E04A90"/>
    <w:rsid w:val="00E0551F"/>
    <w:rsid w:val="00E1491B"/>
    <w:rsid w:val="00E219C7"/>
    <w:rsid w:val="00E4118C"/>
    <w:rsid w:val="00E43157"/>
    <w:rsid w:val="00E461CE"/>
    <w:rsid w:val="00E57979"/>
    <w:rsid w:val="00E720CA"/>
    <w:rsid w:val="00E84EB5"/>
    <w:rsid w:val="00E85662"/>
    <w:rsid w:val="00E8789F"/>
    <w:rsid w:val="00E97B71"/>
    <w:rsid w:val="00EA3D34"/>
    <w:rsid w:val="00EB2FE6"/>
    <w:rsid w:val="00EB454D"/>
    <w:rsid w:val="00ED4796"/>
    <w:rsid w:val="00ED549D"/>
    <w:rsid w:val="00ED76BE"/>
    <w:rsid w:val="00EE00E9"/>
    <w:rsid w:val="00EE685F"/>
    <w:rsid w:val="00EF619B"/>
    <w:rsid w:val="00F00B55"/>
    <w:rsid w:val="00F02AD1"/>
    <w:rsid w:val="00F15051"/>
    <w:rsid w:val="00F15A22"/>
    <w:rsid w:val="00F253CC"/>
    <w:rsid w:val="00F266AB"/>
    <w:rsid w:val="00F37106"/>
    <w:rsid w:val="00F435C2"/>
    <w:rsid w:val="00F519CF"/>
    <w:rsid w:val="00F56BA5"/>
    <w:rsid w:val="00F60E22"/>
    <w:rsid w:val="00F71FDE"/>
    <w:rsid w:val="00F81395"/>
    <w:rsid w:val="00F81BB8"/>
    <w:rsid w:val="00F850E9"/>
    <w:rsid w:val="00F917D1"/>
    <w:rsid w:val="00F9653B"/>
    <w:rsid w:val="00FB62CF"/>
    <w:rsid w:val="00FC35C4"/>
    <w:rsid w:val="00FD1CC3"/>
    <w:rsid w:val="00FD3C3B"/>
    <w:rsid w:val="00FD6B53"/>
    <w:rsid w:val="00FE07DD"/>
    <w:rsid w:val="00FE6B45"/>
    <w:rsid w:val="00FF55F3"/>
    <w:rsid w:val="00FF5851"/>
    <w:rsid w:val="00FF7B79"/>
    <w:rsid w:val="00FF7BF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850E9"/>
    <w:rPr>
      <w:rFonts w:cs="Arial Unicode MS"/>
      <w:color w:val="000000"/>
      <w:sz w:val="24"/>
      <w:szCs w:val="24"/>
      <w:u w:color="000000"/>
      <w:lang w:val="es-AR" w:eastAsia="es-AR"/>
    </w:rPr>
  </w:style>
  <w:style w:type="numbering" w:customStyle="1" w:styleId="ImportedStyle2">
    <w:name w:val="Imported Style 2"/>
    <w:rsid w:val="00F850E9"/>
    <w:pPr>
      <w:numPr>
        <w:numId w:val="56"/>
      </w:numPr>
    </w:pPr>
  </w:style>
  <w:style w:type="numbering" w:customStyle="1" w:styleId="ImportedStyle3">
    <w:name w:val="Imported Style 3"/>
    <w:rsid w:val="00F850E9"/>
    <w:pPr>
      <w:numPr>
        <w:numId w:val="57"/>
      </w:numPr>
    </w:pPr>
  </w:style>
  <w:style w:type="character" w:styleId="CommentReference">
    <w:name w:val="annotation reference"/>
    <w:basedOn w:val="DefaultParagraphFont"/>
    <w:uiPriority w:val="99"/>
    <w:semiHidden/>
    <w:unhideWhenUsed/>
    <w:rsid w:val="00A70DD3"/>
    <w:rPr>
      <w:sz w:val="16"/>
      <w:szCs w:val="16"/>
    </w:rPr>
  </w:style>
  <w:style w:type="paragraph" w:styleId="CommentText">
    <w:name w:val="annotation text"/>
    <w:basedOn w:val="Normal"/>
    <w:link w:val="CommentTextChar"/>
    <w:uiPriority w:val="99"/>
    <w:semiHidden/>
    <w:unhideWhenUsed/>
    <w:rsid w:val="00A70DD3"/>
    <w:rPr>
      <w:sz w:val="20"/>
      <w:szCs w:val="20"/>
    </w:rPr>
  </w:style>
  <w:style w:type="character" w:customStyle="1" w:styleId="CommentTextChar">
    <w:name w:val="Comment Text Char"/>
    <w:basedOn w:val="DefaultParagraphFont"/>
    <w:link w:val="CommentText"/>
    <w:uiPriority w:val="99"/>
    <w:semiHidden/>
    <w:rsid w:val="00A70DD3"/>
    <w:rPr>
      <w:lang w:val="en-US" w:eastAsia="en-US"/>
    </w:rPr>
  </w:style>
  <w:style w:type="paragraph" w:styleId="CommentSubject">
    <w:name w:val="annotation subject"/>
    <w:basedOn w:val="CommentText"/>
    <w:next w:val="CommentText"/>
    <w:link w:val="CommentSubjectChar"/>
    <w:uiPriority w:val="99"/>
    <w:semiHidden/>
    <w:unhideWhenUsed/>
    <w:rsid w:val="00A70DD3"/>
    <w:rPr>
      <w:b/>
      <w:bCs/>
    </w:rPr>
  </w:style>
  <w:style w:type="character" w:customStyle="1" w:styleId="CommentSubjectChar">
    <w:name w:val="Comment Subject Char"/>
    <w:basedOn w:val="CommentTextChar"/>
    <w:link w:val="CommentSubject"/>
    <w:uiPriority w:val="99"/>
    <w:semiHidden/>
    <w:rsid w:val="00A70DD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223060E9984130816BBE6C5B6F3799"/>
        <w:category>
          <w:name w:val="General"/>
          <w:gallery w:val="placeholder"/>
        </w:category>
        <w:types>
          <w:type w:val="bbPlcHdr"/>
        </w:types>
        <w:behaviors>
          <w:behavior w:val="content"/>
        </w:behaviors>
        <w:guid w:val="{EFAEF354-178B-47DE-9FC7-27F96FCF83A6}"/>
      </w:docPartPr>
      <w:docPartBody>
        <w:p w:rsidR="00BD5223" w:rsidRDefault="00B6699C" w:rsidP="00B6699C">
          <w:pPr>
            <w:pStyle w:val="D1223060E9984130816BBE6C5B6F3799"/>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2150A"/>
    <w:rsid w:val="00200821"/>
    <w:rsid w:val="00394049"/>
    <w:rsid w:val="00400FCA"/>
    <w:rsid w:val="00471331"/>
    <w:rsid w:val="00481B32"/>
    <w:rsid w:val="004F2DF8"/>
    <w:rsid w:val="00564B36"/>
    <w:rsid w:val="0060336E"/>
    <w:rsid w:val="006D50E5"/>
    <w:rsid w:val="008046BA"/>
    <w:rsid w:val="008100F5"/>
    <w:rsid w:val="008D64A4"/>
    <w:rsid w:val="009A261B"/>
    <w:rsid w:val="00A615F6"/>
    <w:rsid w:val="00AC15A4"/>
    <w:rsid w:val="00B0336C"/>
    <w:rsid w:val="00B6699C"/>
    <w:rsid w:val="00BD5223"/>
    <w:rsid w:val="00C979C2"/>
    <w:rsid w:val="00DA14E1"/>
    <w:rsid w:val="00EB1EC3"/>
    <w:rsid w:val="00F00D2F"/>
    <w:rsid w:val="00F128DF"/>
    <w:rsid w:val="00F14D39"/>
    <w:rsid w:val="00FD3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99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F3BB49BC34194D668286859C562269F5">
    <w:name w:val="F3BB49BC34194D668286859C562269F5"/>
    <w:rsid w:val="00471331"/>
    <w:rPr>
      <w:lang w:val="es-AR" w:eastAsia="es-AR"/>
    </w:rPr>
  </w:style>
  <w:style w:type="paragraph" w:customStyle="1" w:styleId="E5CBFB9433CC48F6B8985A2E35402FCD">
    <w:name w:val="E5CBFB9433CC48F6B8985A2E35402FCD"/>
    <w:rsid w:val="00471331"/>
    <w:rPr>
      <w:lang w:val="es-AR" w:eastAsia="es-AR"/>
    </w:rPr>
  </w:style>
  <w:style w:type="paragraph" w:customStyle="1" w:styleId="0F315D2B67A641CCA65EC1ADCA8F2836">
    <w:name w:val="0F315D2B67A641CCA65EC1ADCA8F2836"/>
    <w:rsid w:val="00A615F6"/>
    <w:pPr>
      <w:spacing w:after="160" w:line="259" w:lineRule="auto"/>
    </w:pPr>
  </w:style>
  <w:style w:type="paragraph" w:customStyle="1" w:styleId="D2AE9D100A934D099DDE52FAD4977E5A">
    <w:name w:val="D2AE9D100A934D099DDE52FAD4977E5A"/>
    <w:rsid w:val="00A615F6"/>
    <w:pPr>
      <w:spacing w:after="160" w:line="259" w:lineRule="auto"/>
    </w:pPr>
  </w:style>
  <w:style w:type="paragraph" w:customStyle="1" w:styleId="BABBC791ACF545F5B6D7C41B7DB41302">
    <w:name w:val="BABBC791ACF545F5B6D7C41B7DB41302"/>
    <w:rsid w:val="00A615F6"/>
    <w:pPr>
      <w:spacing w:after="160" w:line="259" w:lineRule="auto"/>
    </w:pPr>
  </w:style>
  <w:style w:type="paragraph" w:customStyle="1" w:styleId="D1223060E9984130816BBE6C5B6F3799">
    <w:name w:val="D1223060E9984130816BBE6C5B6F3799"/>
    <w:rsid w:val="00B669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88CB4-0739-4CA5-8A63-48C52ACA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9563</Characters>
  <Application>Microsoft Office Word</Application>
  <DocSecurity>0</DocSecurity>
  <Lines>79</Lines>
  <Paragraphs>22</Paragraphs>
  <ScaleCrop>false</ScaleCrop>
  <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72/19</dc:title>
  <dc:creator/>
  <cp:lastModifiedBy/>
  <cp:revision>1</cp:revision>
  <dcterms:created xsi:type="dcterms:W3CDTF">2019-06-24T19:03:00Z</dcterms:created>
  <dcterms:modified xsi:type="dcterms:W3CDTF">2019-06-24T19:03:00Z</dcterms:modified>
</cp:coreProperties>
</file>