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BD4510" w:rsidRDefault="006311DA" w:rsidP="00627C9F">
      <w:pPr>
        <w:jc w:val="both"/>
        <w:rPr>
          <w:rFonts w:asciiTheme="majorHAnsi" w:hAnsiTheme="majorHAnsi" w:cs="Univers"/>
          <w:b/>
          <w:bCs/>
          <w:sz w:val="22"/>
          <w:szCs w:val="22"/>
        </w:rPr>
      </w:pPr>
      <w:bookmarkStart w:id="0" w:name="_GoBack"/>
      <w:bookmarkEnd w:id="0"/>
      <w:r w:rsidRPr="00BD451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33F4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BD451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7E20CA" w:rsidRDefault="007E20C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7E20CA" w:rsidRDefault="007E20C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BD4510" w:rsidRDefault="00040C3A" w:rsidP="00040C3A">
      <w:pPr>
        <w:tabs>
          <w:tab w:val="center" w:pos="5400"/>
        </w:tabs>
        <w:suppressAutoHyphens/>
        <w:jc w:val="both"/>
        <w:rPr>
          <w:rFonts w:asciiTheme="majorHAnsi" w:hAnsiTheme="majorHAnsi"/>
          <w:sz w:val="22"/>
          <w:szCs w:val="22"/>
        </w:rPr>
      </w:pPr>
    </w:p>
    <w:p w14:paraId="54AC1FBF" w14:textId="77777777" w:rsidR="00040C3A" w:rsidRPr="00BD4510" w:rsidRDefault="00040C3A" w:rsidP="00040C3A">
      <w:pPr>
        <w:tabs>
          <w:tab w:val="center" w:pos="5400"/>
        </w:tabs>
        <w:suppressAutoHyphens/>
        <w:jc w:val="both"/>
        <w:rPr>
          <w:rFonts w:asciiTheme="majorHAnsi" w:hAnsiTheme="majorHAnsi"/>
          <w:sz w:val="22"/>
          <w:szCs w:val="22"/>
        </w:rPr>
      </w:pPr>
    </w:p>
    <w:p w14:paraId="6A4AC464" w14:textId="77777777" w:rsidR="005128E4" w:rsidRPr="00BD4510" w:rsidRDefault="005128E4" w:rsidP="00040C3A">
      <w:pPr>
        <w:tabs>
          <w:tab w:val="center" w:pos="5400"/>
        </w:tabs>
        <w:suppressAutoHyphens/>
        <w:rPr>
          <w:rFonts w:asciiTheme="majorHAnsi" w:hAnsiTheme="majorHAnsi"/>
          <w:sz w:val="22"/>
          <w:szCs w:val="22"/>
        </w:rPr>
      </w:pPr>
    </w:p>
    <w:p w14:paraId="515D20A5" w14:textId="77777777" w:rsidR="005128E4" w:rsidRPr="00BD4510" w:rsidRDefault="005128E4" w:rsidP="00040C3A">
      <w:pPr>
        <w:tabs>
          <w:tab w:val="center" w:pos="5400"/>
        </w:tabs>
        <w:suppressAutoHyphens/>
        <w:rPr>
          <w:rFonts w:asciiTheme="majorHAnsi" w:hAnsiTheme="majorHAnsi"/>
          <w:sz w:val="22"/>
          <w:szCs w:val="22"/>
        </w:rPr>
      </w:pPr>
    </w:p>
    <w:p w14:paraId="7CBA3E7E" w14:textId="77777777" w:rsidR="005128E4" w:rsidRPr="00BD4510" w:rsidRDefault="005128E4" w:rsidP="00040C3A">
      <w:pPr>
        <w:tabs>
          <w:tab w:val="center" w:pos="5400"/>
        </w:tabs>
        <w:suppressAutoHyphens/>
        <w:rPr>
          <w:rFonts w:asciiTheme="majorHAnsi" w:hAnsiTheme="majorHAnsi"/>
          <w:sz w:val="22"/>
          <w:szCs w:val="22"/>
        </w:rPr>
      </w:pPr>
    </w:p>
    <w:p w14:paraId="0FFC5ED6" w14:textId="77777777" w:rsidR="00040C3A" w:rsidRPr="00BD4510" w:rsidRDefault="00040C3A" w:rsidP="005128E4">
      <w:pPr>
        <w:tabs>
          <w:tab w:val="center" w:pos="5400"/>
        </w:tabs>
        <w:suppressAutoHyphens/>
        <w:jc w:val="center"/>
        <w:rPr>
          <w:rFonts w:asciiTheme="majorHAnsi" w:hAnsiTheme="majorHAnsi"/>
          <w:sz w:val="22"/>
          <w:szCs w:val="22"/>
        </w:rPr>
      </w:pPr>
    </w:p>
    <w:p w14:paraId="5FCF0358" w14:textId="77777777" w:rsidR="00040C3A" w:rsidRPr="00BD4510" w:rsidRDefault="00040C3A" w:rsidP="005128E4">
      <w:pPr>
        <w:tabs>
          <w:tab w:val="center" w:pos="5400"/>
        </w:tabs>
        <w:suppressAutoHyphens/>
        <w:jc w:val="center"/>
        <w:rPr>
          <w:rFonts w:asciiTheme="majorHAnsi" w:hAnsiTheme="majorHAnsi"/>
          <w:sz w:val="22"/>
          <w:szCs w:val="22"/>
        </w:rPr>
      </w:pPr>
    </w:p>
    <w:p w14:paraId="23C02B60" w14:textId="77777777" w:rsidR="005B52B0" w:rsidRPr="00BD4510" w:rsidRDefault="005B52B0" w:rsidP="005128E4">
      <w:pPr>
        <w:tabs>
          <w:tab w:val="center" w:pos="5400"/>
        </w:tabs>
        <w:suppressAutoHyphens/>
        <w:jc w:val="center"/>
        <w:rPr>
          <w:rFonts w:asciiTheme="majorHAnsi" w:hAnsiTheme="majorHAnsi"/>
          <w:sz w:val="22"/>
          <w:szCs w:val="22"/>
        </w:rPr>
      </w:pPr>
    </w:p>
    <w:p w14:paraId="1E4CC4A3" w14:textId="77777777" w:rsidR="005B52B0" w:rsidRPr="00BD4510" w:rsidRDefault="005B52B0" w:rsidP="005128E4">
      <w:pPr>
        <w:tabs>
          <w:tab w:val="center" w:pos="5400"/>
        </w:tabs>
        <w:suppressAutoHyphens/>
        <w:jc w:val="center"/>
        <w:rPr>
          <w:rFonts w:asciiTheme="majorHAnsi" w:hAnsiTheme="majorHAnsi"/>
          <w:sz w:val="22"/>
          <w:szCs w:val="22"/>
        </w:rPr>
      </w:pPr>
    </w:p>
    <w:p w14:paraId="022074FD" w14:textId="77777777" w:rsidR="005B52B0" w:rsidRPr="00BD4510" w:rsidRDefault="005B52B0" w:rsidP="005128E4">
      <w:pPr>
        <w:tabs>
          <w:tab w:val="center" w:pos="5400"/>
        </w:tabs>
        <w:suppressAutoHyphens/>
        <w:jc w:val="center"/>
        <w:rPr>
          <w:rFonts w:asciiTheme="majorHAnsi" w:hAnsiTheme="majorHAnsi"/>
          <w:sz w:val="22"/>
          <w:szCs w:val="22"/>
        </w:rPr>
      </w:pPr>
    </w:p>
    <w:p w14:paraId="3234C43C" w14:textId="77777777" w:rsidR="00040C3A" w:rsidRPr="00BD4510" w:rsidRDefault="00040C3A" w:rsidP="00040C3A">
      <w:pPr>
        <w:tabs>
          <w:tab w:val="center" w:pos="5400"/>
        </w:tabs>
        <w:suppressAutoHyphens/>
        <w:jc w:val="center"/>
        <w:rPr>
          <w:rFonts w:asciiTheme="majorHAnsi" w:hAnsiTheme="majorHAnsi"/>
          <w:sz w:val="22"/>
          <w:szCs w:val="22"/>
        </w:rPr>
      </w:pPr>
    </w:p>
    <w:p w14:paraId="2D58FFBA" w14:textId="77777777" w:rsidR="00040C3A" w:rsidRPr="00BD4510" w:rsidRDefault="00040C3A" w:rsidP="00040C3A">
      <w:pPr>
        <w:tabs>
          <w:tab w:val="center" w:pos="5400"/>
        </w:tabs>
        <w:suppressAutoHyphens/>
        <w:jc w:val="center"/>
        <w:rPr>
          <w:rFonts w:asciiTheme="majorHAnsi" w:hAnsiTheme="majorHAnsi"/>
          <w:sz w:val="22"/>
          <w:szCs w:val="22"/>
        </w:rPr>
      </w:pPr>
    </w:p>
    <w:p w14:paraId="4A574974" w14:textId="77777777" w:rsidR="00040C3A" w:rsidRPr="00BD4510" w:rsidRDefault="00040C3A" w:rsidP="00040C3A">
      <w:pPr>
        <w:tabs>
          <w:tab w:val="center" w:pos="5400"/>
        </w:tabs>
        <w:suppressAutoHyphens/>
        <w:jc w:val="center"/>
        <w:rPr>
          <w:rFonts w:asciiTheme="majorHAnsi" w:hAnsiTheme="majorHAnsi"/>
          <w:sz w:val="22"/>
          <w:szCs w:val="22"/>
        </w:rPr>
      </w:pPr>
    </w:p>
    <w:p w14:paraId="11A9BA8A" w14:textId="77777777" w:rsidR="00040C3A" w:rsidRPr="00BD4510" w:rsidRDefault="00E533FF" w:rsidP="00040C3A">
      <w:pPr>
        <w:tabs>
          <w:tab w:val="center" w:pos="5400"/>
        </w:tabs>
        <w:suppressAutoHyphens/>
        <w:jc w:val="center"/>
        <w:rPr>
          <w:rFonts w:asciiTheme="majorHAnsi" w:hAnsiTheme="majorHAnsi"/>
          <w:sz w:val="22"/>
          <w:szCs w:val="22"/>
        </w:rPr>
      </w:pPr>
      <w:r w:rsidRPr="00BD451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4DD4AAC" w:rsidR="007E20CA" w:rsidRPr="004B7EB6" w:rsidRDefault="007E20C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A301D7">
                              <w:rPr>
                                <w:rFonts w:asciiTheme="majorHAnsi" w:hAnsiTheme="majorHAnsi" w:cs="Arial"/>
                                <w:b/>
                                <w:bCs/>
                                <w:color w:val="0D0D0D" w:themeColor="text1" w:themeTint="F2"/>
                                <w:sz w:val="36"/>
                                <w:szCs w:val="40"/>
                              </w:rPr>
                              <w:t>3</w:t>
                            </w:r>
                            <w:r w:rsidRPr="004B7EB6">
                              <w:rPr>
                                <w:rFonts w:asciiTheme="majorHAnsi" w:hAnsiTheme="majorHAnsi" w:cs="Arial"/>
                                <w:b/>
                                <w:bCs/>
                                <w:color w:val="0D0D0D" w:themeColor="text1" w:themeTint="F2"/>
                                <w:sz w:val="36"/>
                                <w:szCs w:val="40"/>
                              </w:rPr>
                              <w:t>/1</w:t>
                            </w:r>
                            <w:r w:rsidR="00A301D7">
                              <w:rPr>
                                <w:rFonts w:asciiTheme="majorHAnsi" w:hAnsiTheme="majorHAnsi" w:cs="Arial"/>
                                <w:b/>
                                <w:bCs/>
                                <w:color w:val="0D0D0D" w:themeColor="text1" w:themeTint="F2"/>
                                <w:sz w:val="36"/>
                                <w:szCs w:val="40"/>
                              </w:rPr>
                              <w:t>9</w:t>
                            </w:r>
                          </w:p>
                          <w:p w14:paraId="081F51F3" w14:textId="35F677DE" w:rsidR="007E20CA" w:rsidRPr="004B7EB6" w:rsidRDefault="007E20C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1027-07</w:t>
                            </w:r>
                          </w:p>
                          <w:p w14:paraId="34978E5A" w14:textId="6DBC0439" w:rsidR="007E20CA" w:rsidRPr="004B7EB6" w:rsidRDefault="007E20C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7E20CA" w:rsidRPr="004B7EB6" w:rsidRDefault="007E20CA" w:rsidP="004B7EB6">
                            <w:pPr>
                              <w:spacing w:line="276" w:lineRule="auto"/>
                              <w:rPr>
                                <w:rFonts w:asciiTheme="majorHAnsi" w:hAnsiTheme="majorHAnsi" w:cs="Arial"/>
                                <w:color w:val="0D0D0D" w:themeColor="text1" w:themeTint="F2"/>
                                <w:szCs w:val="22"/>
                              </w:rPr>
                            </w:pPr>
                          </w:p>
                          <w:p w14:paraId="7A73D628" w14:textId="71DEF549" w:rsidR="007E20CA" w:rsidRPr="004B625D" w:rsidRDefault="007E20C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PLAYÓN DE OROZCO MASSACRE</w:t>
                            </w:r>
                          </w:p>
                          <w:p w14:paraId="48EBC31A" w14:textId="4D30C620" w:rsidR="007E20CA" w:rsidRPr="004B625D" w:rsidRDefault="007E20C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7E20CA" w:rsidRPr="000C4365" w:rsidRDefault="007E20CA"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4DD4AAC" w:rsidR="007E20CA" w:rsidRPr="004B7EB6" w:rsidRDefault="007E20C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A301D7">
                        <w:rPr>
                          <w:rFonts w:asciiTheme="majorHAnsi" w:hAnsiTheme="majorHAnsi" w:cs="Arial"/>
                          <w:b/>
                          <w:bCs/>
                          <w:color w:val="0D0D0D" w:themeColor="text1" w:themeTint="F2"/>
                          <w:sz w:val="36"/>
                          <w:szCs w:val="40"/>
                        </w:rPr>
                        <w:t>3</w:t>
                      </w:r>
                      <w:r w:rsidRPr="004B7EB6">
                        <w:rPr>
                          <w:rFonts w:asciiTheme="majorHAnsi" w:hAnsiTheme="majorHAnsi" w:cs="Arial"/>
                          <w:b/>
                          <w:bCs/>
                          <w:color w:val="0D0D0D" w:themeColor="text1" w:themeTint="F2"/>
                          <w:sz w:val="36"/>
                          <w:szCs w:val="40"/>
                        </w:rPr>
                        <w:t>/1</w:t>
                      </w:r>
                      <w:r w:rsidR="00A301D7">
                        <w:rPr>
                          <w:rFonts w:asciiTheme="majorHAnsi" w:hAnsiTheme="majorHAnsi" w:cs="Arial"/>
                          <w:b/>
                          <w:bCs/>
                          <w:color w:val="0D0D0D" w:themeColor="text1" w:themeTint="F2"/>
                          <w:sz w:val="36"/>
                          <w:szCs w:val="40"/>
                        </w:rPr>
                        <w:t>9</w:t>
                      </w:r>
                    </w:p>
                    <w:p w14:paraId="081F51F3" w14:textId="35F677DE" w:rsidR="007E20CA" w:rsidRPr="004B7EB6" w:rsidRDefault="007E20C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1027-07</w:t>
                      </w:r>
                    </w:p>
                    <w:p w14:paraId="34978E5A" w14:textId="6DBC0439" w:rsidR="007E20CA" w:rsidRPr="004B7EB6" w:rsidRDefault="007E20C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7E20CA" w:rsidRPr="004B7EB6" w:rsidRDefault="007E20CA" w:rsidP="004B7EB6">
                      <w:pPr>
                        <w:spacing w:line="276" w:lineRule="auto"/>
                        <w:rPr>
                          <w:rFonts w:asciiTheme="majorHAnsi" w:hAnsiTheme="majorHAnsi" w:cs="Arial"/>
                          <w:color w:val="0D0D0D" w:themeColor="text1" w:themeTint="F2"/>
                          <w:szCs w:val="22"/>
                        </w:rPr>
                      </w:pPr>
                    </w:p>
                    <w:p w14:paraId="7A73D628" w14:textId="71DEF549" w:rsidR="007E20CA" w:rsidRPr="004B625D" w:rsidRDefault="007E20C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PLAYÓN DE OROZCO MASSACRE</w:t>
                      </w:r>
                    </w:p>
                    <w:p w14:paraId="48EBC31A" w14:textId="4D30C620" w:rsidR="007E20CA" w:rsidRPr="004B625D" w:rsidRDefault="007E20C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7E20CA" w:rsidRPr="000C4365" w:rsidRDefault="007E20CA" w:rsidP="00F42B71">
                      <w:pPr>
                        <w:spacing w:line="276" w:lineRule="auto"/>
                        <w:rPr>
                          <w:rFonts w:asciiTheme="majorHAnsi" w:hAnsiTheme="majorHAnsi"/>
                          <w:color w:val="0D0D0D" w:themeColor="text1" w:themeTint="F2"/>
                        </w:rPr>
                      </w:pPr>
                    </w:p>
                  </w:txbxContent>
                </v:textbox>
              </v:shape>
            </w:pict>
          </mc:Fallback>
        </mc:AlternateContent>
      </w:r>
      <w:r w:rsidR="004B7EB6" w:rsidRPr="00BD451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78B89E6" w:rsidR="007E20CA" w:rsidRPr="00A301D7" w:rsidRDefault="007E20CA" w:rsidP="009E566A">
                            <w:pPr>
                              <w:jc w:val="right"/>
                              <w:rPr>
                                <w:rFonts w:asciiTheme="minorHAnsi" w:hAnsiTheme="minorHAnsi"/>
                                <w:color w:val="FFFFFF" w:themeColor="background1"/>
                                <w:sz w:val="22"/>
                                <w:lang w:val="pt-BR"/>
                              </w:rPr>
                            </w:pPr>
                            <w:r w:rsidRPr="00A301D7">
                              <w:rPr>
                                <w:rFonts w:asciiTheme="minorHAnsi" w:hAnsiTheme="minorHAnsi"/>
                                <w:color w:val="FFFFFF" w:themeColor="background1"/>
                                <w:sz w:val="22"/>
                                <w:lang w:val="pt-BR"/>
                              </w:rPr>
                              <w:t>OEA/Ser.L/V/II.</w:t>
                            </w:r>
                          </w:p>
                          <w:p w14:paraId="4AA08A8C" w14:textId="376DC4BA" w:rsidR="007E20CA" w:rsidRPr="00A301D7" w:rsidRDefault="007E20CA" w:rsidP="009E566A">
                            <w:pPr>
                              <w:jc w:val="right"/>
                              <w:rPr>
                                <w:rFonts w:asciiTheme="minorHAnsi" w:hAnsiTheme="minorHAnsi"/>
                                <w:color w:val="FFFFFF" w:themeColor="background1"/>
                                <w:sz w:val="22"/>
                                <w:lang w:val="pt-BR"/>
                              </w:rPr>
                            </w:pPr>
                            <w:r w:rsidRPr="00A301D7">
                              <w:rPr>
                                <w:rFonts w:asciiTheme="minorHAnsi" w:hAnsiTheme="minorHAnsi"/>
                                <w:color w:val="FFFFFF" w:themeColor="background1"/>
                                <w:sz w:val="22"/>
                                <w:lang w:val="pt-BR"/>
                              </w:rPr>
                              <w:t xml:space="preserve">Doc. </w:t>
                            </w:r>
                            <w:r w:rsidR="00A301D7">
                              <w:rPr>
                                <w:rFonts w:asciiTheme="minorHAnsi" w:hAnsiTheme="minorHAnsi"/>
                                <w:color w:val="FFFFFF" w:themeColor="background1"/>
                                <w:sz w:val="22"/>
                                <w:lang w:val="pt-BR"/>
                              </w:rPr>
                              <w:t>3</w:t>
                            </w:r>
                          </w:p>
                          <w:p w14:paraId="0BEFF61A" w14:textId="4343B22D" w:rsidR="007E20CA" w:rsidRPr="00A301D7" w:rsidRDefault="007E20CA" w:rsidP="009E566A">
                            <w:pPr>
                              <w:jc w:val="right"/>
                              <w:rPr>
                                <w:rFonts w:asciiTheme="minorHAnsi" w:hAnsiTheme="minorHAnsi"/>
                                <w:color w:val="FFFFFF" w:themeColor="background1"/>
                                <w:sz w:val="22"/>
                              </w:rPr>
                            </w:pPr>
                            <w:r w:rsidRPr="00A301D7">
                              <w:rPr>
                                <w:rFonts w:asciiTheme="minorHAnsi" w:hAnsiTheme="minorHAnsi"/>
                                <w:color w:val="FFFFFF" w:themeColor="background1"/>
                                <w:sz w:val="22"/>
                                <w:lang w:val="pt-BR"/>
                              </w:rPr>
                              <w:t xml:space="preserve"> </w:t>
                            </w:r>
                            <w:r w:rsidR="00A301D7">
                              <w:rPr>
                                <w:rFonts w:asciiTheme="minorHAnsi" w:hAnsiTheme="minorHAnsi"/>
                                <w:color w:val="FFFFFF" w:themeColor="background1"/>
                                <w:sz w:val="22"/>
                              </w:rPr>
                              <w:t>3 January</w:t>
                            </w:r>
                            <w:r w:rsidRPr="00A301D7">
                              <w:rPr>
                                <w:rFonts w:asciiTheme="minorHAnsi" w:hAnsiTheme="minorHAnsi"/>
                                <w:color w:val="FFFFFF" w:themeColor="background1"/>
                                <w:sz w:val="22"/>
                              </w:rPr>
                              <w:t xml:space="preserve"> 201</w:t>
                            </w:r>
                            <w:r w:rsidR="00A301D7">
                              <w:rPr>
                                <w:rFonts w:asciiTheme="minorHAnsi" w:hAnsiTheme="minorHAnsi"/>
                                <w:color w:val="FFFFFF" w:themeColor="background1"/>
                                <w:sz w:val="22"/>
                              </w:rPr>
                              <w:t>9</w:t>
                            </w:r>
                          </w:p>
                          <w:p w14:paraId="0FC103BD" w14:textId="161E6DA2" w:rsidR="007E20CA" w:rsidRPr="004B7EB6" w:rsidRDefault="007E20CA" w:rsidP="009E566A">
                            <w:pPr>
                              <w:jc w:val="right"/>
                              <w:rPr>
                                <w:rFonts w:asciiTheme="minorHAnsi" w:hAnsiTheme="minorHAnsi"/>
                                <w:color w:val="FFFFFF" w:themeColor="background1"/>
                                <w:sz w:val="22"/>
                              </w:rPr>
                            </w:pPr>
                            <w:r w:rsidRPr="00A301D7">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178B89E6" w:rsidR="007E20CA" w:rsidRPr="00A301D7" w:rsidRDefault="007E20CA" w:rsidP="009E566A">
                      <w:pPr>
                        <w:jc w:val="right"/>
                        <w:rPr>
                          <w:rFonts w:asciiTheme="minorHAnsi" w:hAnsiTheme="minorHAnsi"/>
                          <w:color w:val="FFFFFF" w:themeColor="background1"/>
                          <w:sz w:val="22"/>
                          <w:lang w:val="pt-BR"/>
                        </w:rPr>
                      </w:pPr>
                      <w:r w:rsidRPr="00A301D7">
                        <w:rPr>
                          <w:rFonts w:asciiTheme="minorHAnsi" w:hAnsiTheme="minorHAnsi"/>
                          <w:color w:val="FFFFFF" w:themeColor="background1"/>
                          <w:sz w:val="22"/>
                          <w:lang w:val="pt-BR"/>
                        </w:rPr>
                        <w:t>OEA/Ser.L/V/II.</w:t>
                      </w:r>
                    </w:p>
                    <w:p w14:paraId="4AA08A8C" w14:textId="376DC4BA" w:rsidR="007E20CA" w:rsidRPr="00A301D7" w:rsidRDefault="007E20CA" w:rsidP="009E566A">
                      <w:pPr>
                        <w:jc w:val="right"/>
                        <w:rPr>
                          <w:rFonts w:asciiTheme="minorHAnsi" w:hAnsiTheme="minorHAnsi"/>
                          <w:color w:val="FFFFFF" w:themeColor="background1"/>
                          <w:sz w:val="22"/>
                          <w:lang w:val="pt-BR"/>
                        </w:rPr>
                      </w:pPr>
                      <w:r w:rsidRPr="00A301D7">
                        <w:rPr>
                          <w:rFonts w:asciiTheme="minorHAnsi" w:hAnsiTheme="minorHAnsi"/>
                          <w:color w:val="FFFFFF" w:themeColor="background1"/>
                          <w:sz w:val="22"/>
                          <w:lang w:val="pt-BR"/>
                        </w:rPr>
                        <w:t xml:space="preserve">Doc. </w:t>
                      </w:r>
                      <w:r w:rsidR="00A301D7">
                        <w:rPr>
                          <w:rFonts w:asciiTheme="minorHAnsi" w:hAnsiTheme="minorHAnsi"/>
                          <w:color w:val="FFFFFF" w:themeColor="background1"/>
                          <w:sz w:val="22"/>
                          <w:lang w:val="pt-BR"/>
                        </w:rPr>
                        <w:t>3</w:t>
                      </w:r>
                    </w:p>
                    <w:p w14:paraId="0BEFF61A" w14:textId="4343B22D" w:rsidR="007E20CA" w:rsidRPr="00A301D7" w:rsidRDefault="007E20CA" w:rsidP="009E566A">
                      <w:pPr>
                        <w:jc w:val="right"/>
                        <w:rPr>
                          <w:rFonts w:asciiTheme="minorHAnsi" w:hAnsiTheme="minorHAnsi"/>
                          <w:color w:val="FFFFFF" w:themeColor="background1"/>
                          <w:sz w:val="22"/>
                        </w:rPr>
                      </w:pPr>
                      <w:r w:rsidRPr="00A301D7">
                        <w:rPr>
                          <w:rFonts w:asciiTheme="minorHAnsi" w:hAnsiTheme="minorHAnsi"/>
                          <w:color w:val="FFFFFF" w:themeColor="background1"/>
                          <w:sz w:val="22"/>
                          <w:lang w:val="pt-BR"/>
                        </w:rPr>
                        <w:t xml:space="preserve"> </w:t>
                      </w:r>
                      <w:r w:rsidR="00A301D7">
                        <w:rPr>
                          <w:rFonts w:asciiTheme="minorHAnsi" w:hAnsiTheme="minorHAnsi"/>
                          <w:color w:val="FFFFFF" w:themeColor="background1"/>
                          <w:sz w:val="22"/>
                        </w:rPr>
                        <w:t>3 January</w:t>
                      </w:r>
                      <w:r w:rsidRPr="00A301D7">
                        <w:rPr>
                          <w:rFonts w:asciiTheme="minorHAnsi" w:hAnsiTheme="minorHAnsi"/>
                          <w:color w:val="FFFFFF" w:themeColor="background1"/>
                          <w:sz w:val="22"/>
                        </w:rPr>
                        <w:t xml:space="preserve"> 201</w:t>
                      </w:r>
                      <w:r w:rsidR="00A301D7">
                        <w:rPr>
                          <w:rFonts w:asciiTheme="minorHAnsi" w:hAnsiTheme="minorHAnsi"/>
                          <w:color w:val="FFFFFF" w:themeColor="background1"/>
                          <w:sz w:val="22"/>
                        </w:rPr>
                        <w:t>9</w:t>
                      </w:r>
                    </w:p>
                    <w:p w14:paraId="0FC103BD" w14:textId="161E6DA2" w:rsidR="007E20CA" w:rsidRPr="004B7EB6" w:rsidRDefault="007E20CA" w:rsidP="009E566A">
                      <w:pPr>
                        <w:jc w:val="right"/>
                        <w:rPr>
                          <w:rFonts w:asciiTheme="minorHAnsi" w:hAnsiTheme="minorHAnsi"/>
                          <w:color w:val="FFFFFF" w:themeColor="background1"/>
                          <w:sz w:val="22"/>
                        </w:rPr>
                      </w:pPr>
                      <w:r w:rsidRPr="00A301D7">
                        <w:rPr>
                          <w:rFonts w:asciiTheme="minorHAnsi" w:hAnsiTheme="minorHAnsi"/>
                          <w:color w:val="FFFFFF" w:themeColor="background1"/>
                          <w:sz w:val="22"/>
                        </w:rPr>
                        <w:t>Original: Spanish</w:t>
                      </w:r>
                    </w:p>
                  </w:txbxContent>
                </v:textbox>
              </v:shape>
            </w:pict>
          </mc:Fallback>
        </mc:AlternateContent>
      </w:r>
    </w:p>
    <w:p w14:paraId="3765F9FA" w14:textId="77777777" w:rsidR="00040C3A" w:rsidRPr="00BD4510" w:rsidRDefault="00040C3A" w:rsidP="00040C3A">
      <w:pPr>
        <w:tabs>
          <w:tab w:val="center" w:pos="5400"/>
        </w:tabs>
        <w:suppressAutoHyphens/>
        <w:jc w:val="center"/>
        <w:rPr>
          <w:rFonts w:asciiTheme="majorHAnsi" w:hAnsiTheme="majorHAnsi"/>
          <w:sz w:val="22"/>
          <w:szCs w:val="22"/>
        </w:rPr>
      </w:pPr>
    </w:p>
    <w:p w14:paraId="5E33CE59" w14:textId="77777777" w:rsidR="00040C3A" w:rsidRPr="00BD4510"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BD4510" w:rsidRDefault="00040C3A" w:rsidP="00040C3A">
      <w:pPr>
        <w:tabs>
          <w:tab w:val="center" w:pos="5400"/>
        </w:tabs>
        <w:suppressAutoHyphens/>
        <w:jc w:val="center"/>
        <w:rPr>
          <w:rFonts w:asciiTheme="majorHAnsi" w:hAnsiTheme="majorHAnsi"/>
          <w:sz w:val="22"/>
          <w:szCs w:val="22"/>
        </w:rPr>
      </w:pPr>
    </w:p>
    <w:p w14:paraId="43677EE2" w14:textId="77777777" w:rsidR="00040C3A" w:rsidRPr="00BD4510" w:rsidRDefault="00040C3A" w:rsidP="00040C3A">
      <w:pPr>
        <w:tabs>
          <w:tab w:val="center" w:pos="5400"/>
        </w:tabs>
        <w:suppressAutoHyphens/>
        <w:jc w:val="center"/>
        <w:rPr>
          <w:rFonts w:asciiTheme="majorHAnsi" w:hAnsiTheme="majorHAnsi"/>
          <w:sz w:val="22"/>
          <w:szCs w:val="22"/>
        </w:rPr>
      </w:pPr>
    </w:p>
    <w:p w14:paraId="747B776B" w14:textId="77777777" w:rsidR="00040C3A" w:rsidRPr="00BD4510" w:rsidRDefault="00040C3A" w:rsidP="00040C3A">
      <w:pPr>
        <w:tabs>
          <w:tab w:val="center" w:pos="5400"/>
        </w:tabs>
        <w:suppressAutoHyphens/>
        <w:jc w:val="center"/>
        <w:rPr>
          <w:rFonts w:asciiTheme="majorHAnsi" w:hAnsiTheme="majorHAnsi"/>
          <w:sz w:val="22"/>
          <w:szCs w:val="22"/>
        </w:rPr>
      </w:pPr>
    </w:p>
    <w:p w14:paraId="3FA14379" w14:textId="77777777" w:rsidR="00040C3A" w:rsidRPr="00BD4510" w:rsidRDefault="00040C3A" w:rsidP="00040C3A">
      <w:pPr>
        <w:tabs>
          <w:tab w:val="center" w:pos="5400"/>
        </w:tabs>
        <w:suppressAutoHyphens/>
        <w:jc w:val="center"/>
        <w:rPr>
          <w:rFonts w:asciiTheme="majorHAnsi" w:hAnsiTheme="majorHAnsi"/>
          <w:sz w:val="22"/>
          <w:szCs w:val="22"/>
        </w:rPr>
      </w:pPr>
    </w:p>
    <w:p w14:paraId="28A65FAF" w14:textId="77777777" w:rsidR="005128E4" w:rsidRPr="00BD4510" w:rsidRDefault="005128E4" w:rsidP="00040C3A">
      <w:pPr>
        <w:tabs>
          <w:tab w:val="center" w:pos="5400"/>
        </w:tabs>
        <w:suppressAutoHyphens/>
        <w:jc w:val="center"/>
        <w:rPr>
          <w:rFonts w:asciiTheme="majorHAnsi" w:hAnsiTheme="majorHAnsi"/>
          <w:sz w:val="22"/>
          <w:szCs w:val="22"/>
        </w:rPr>
      </w:pPr>
    </w:p>
    <w:p w14:paraId="11B1978A" w14:textId="77777777" w:rsidR="00040C3A" w:rsidRPr="00BD4510" w:rsidRDefault="00040C3A" w:rsidP="00040C3A">
      <w:pPr>
        <w:tabs>
          <w:tab w:val="center" w:pos="5400"/>
        </w:tabs>
        <w:suppressAutoHyphens/>
        <w:jc w:val="center"/>
        <w:rPr>
          <w:rFonts w:asciiTheme="majorHAnsi" w:hAnsiTheme="majorHAnsi"/>
          <w:sz w:val="22"/>
          <w:szCs w:val="22"/>
        </w:rPr>
      </w:pPr>
    </w:p>
    <w:p w14:paraId="650F503D" w14:textId="77777777" w:rsidR="005128E4" w:rsidRPr="00BD4510" w:rsidRDefault="005128E4" w:rsidP="00040C3A">
      <w:pPr>
        <w:tabs>
          <w:tab w:val="center" w:pos="5400"/>
        </w:tabs>
        <w:suppressAutoHyphens/>
        <w:jc w:val="center"/>
        <w:rPr>
          <w:rFonts w:asciiTheme="majorHAnsi" w:hAnsiTheme="majorHAnsi"/>
          <w:sz w:val="22"/>
          <w:szCs w:val="22"/>
        </w:rPr>
      </w:pPr>
    </w:p>
    <w:p w14:paraId="17861C77" w14:textId="77777777" w:rsidR="005128E4" w:rsidRPr="00BD4510" w:rsidRDefault="005128E4" w:rsidP="00040C3A">
      <w:pPr>
        <w:tabs>
          <w:tab w:val="center" w:pos="5400"/>
        </w:tabs>
        <w:suppressAutoHyphens/>
        <w:jc w:val="center"/>
        <w:rPr>
          <w:rFonts w:asciiTheme="majorHAnsi" w:hAnsiTheme="majorHAnsi"/>
          <w:sz w:val="22"/>
          <w:szCs w:val="22"/>
        </w:rPr>
      </w:pPr>
    </w:p>
    <w:p w14:paraId="0EFEAEB7" w14:textId="77777777" w:rsidR="005128E4" w:rsidRPr="00BD4510" w:rsidRDefault="005128E4" w:rsidP="00040C3A">
      <w:pPr>
        <w:tabs>
          <w:tab w:val="center" w:pos="5400"/>
        </w:tabs>
        <w:suppressAutoHyphens/>
        <w:jc w:val="center"/>
        <w:rPr>
          <w:rFonts w:asciiTheme="majorHAnsi" w:hAnsiTheme="majorHAnsi"/>
          <w:sz w:val="22"/>
          <w:szCs w:val="22"/>
        </w:rPr>
      </w:pPr>
    </w:p>
    <w:p w14:paraId="5B815FC5" w14:textId="77777777" w:rsidR="00040C3A" w:rsidRPr="00BD4510" w:rsidRDefault="00040C3A" w:rsidP="00040C3A">
      <w:pPr>
        <w:tabs>
          <w:tab w:val="center" w:pos="5400"/>
        </w:tabs>
        <w:suppressAutoHyphens/>
        <w:jc w:val="center"/>
        <w:rPr>
          <w:rFonts w:asciiTheme="majorHAnsi" w:hAnsiTheme="majorHAnsi"/>
          <w:sz w:val="22"/>
          <w:szCs w:val="22"/>
        </w:rPr>
      </w:pPr>
    </w:p>
    <w:p w14:paraId="0D43F8BD" w14:textId="77777777" w:rsidR="00040C3A" w:rsidRPr="00BD4510" w:rsidRDefault="00040C3A" w:rsidP="00040C3A">
      <w:pPr>
        <w:tabs>
          <w:tab w:val="center" w:pos="5400"/>
        </w:tabs>
        <w:suppressAutoHyphens/>
        <w:jc w:val="center"/>
        <w:rPr>
          <w:rFonts w:asciiTheme="majorHAnsi" w:hAnsiTheme="majorHAnsi"/>
          <w:sz w:val="22"/>
          <w:szCs w:val="22"/>
        </w:rPr>
      </w:pPr>
    </w:p>
    <w:p w14:paraId="03AA1AEB" w14:textId="77777777" w:rsidR="002C1641" w:rsidRPr="00BD4510" w:rsidRDefault="002C1641" w:rsidP="00040C3A">
      <w:pPr>
        <w:tabs>
          <w:tab w:val="center" w:pos="5400"/>
        </w:tabs>
        <w:suppressAutoHyphens/>
        <w:jc w:val="center"/>
        <w:rPr>
          <w:rFonts w:asciiTheme="majorHAnsi" w:hAnsiTheme="majorHAnsi"/>
          <w:sz w:val="18"/>
          <w:szCs w:val="22"/>
        </w:rPr>
      </w:pPr>
    </w:p>
    <w:p w14:paraId="2FD75BF3" w14:textId="77777777" w:rsidR="002C1641" w:rsidRPr="00BD4510" w:rsidRDefault="002C1641" w:rsidP="00040C3A">
      <w:pPr>
        <w:tabs>
          <w:tab w:val="center" w:pos="5400"/>
        </w:tabs>
        <w:suppressAutoHyphens/>
        <w:jc w:val="center"/>
        <w:rPr>
          <w:rFonts w:asciiTheme="majorHAnsi" w:hAnsiTheme="majorHAnsi"/>
          <w:sz w:val="18"/>
          <w:szCs w:val="22"/>
        </w:rPr>
      </w:pPr>
    </w:p>
    <w:p w14:paraId="73EF440E" w14:textId="77777777" w:rsidR="002C1641" w:rsidRPr="00BD4510" w:rsidRDefault="002C1641" w:rsidP="00040C3A">
      <w:pPr>
        <w:tabs>
          <w:tab w:val="center" w:pos="5400"/>
        </w:tabs>
        <w:suppressAutoHyphens/>
        <w:jc w:val="center"/>
        <w:rPr>
          <w:rFonts w:asciiTheme="majorHAnsi" w:hAnsiTheme="majorHAnsi"/>
          <w:sz w:val="18"/>
          <w:szCs w:val="22"/>
        </w:rPr>
      </w:pPr>
    </w:p>
    <w:p w14:paraId="3D12B191" w14:textId="77777777" w:rsidR="002C1641" w:rsidRPr="00BD4510" w:rsidRDefault="002C1641" w:rsidP="00040C3A">
      <w:pPr>
        <w:tabs>
          <w:tab w:val="center" w:pos="5400"/>
        </w:tabs>
        <w:suppressAutoHyphens/>
        <w:jc w:val="center"/>
        <w:rPr>
          <w:rFonts w:asciiTheme="majorHAnsi" w:hAnsiTheme="majorHAnsi"/>
          <w:sz w:val="18"/>
          <w:szCs w:val="22"/>
        </w:rPr>
      </w:pPr>
    </w:p>
    <w:p w14:paraId="1132D17C" w14:textId="77777777" w:rsidR="002C1641" w:rsidRPr="00BD4510" w:rsidRDefault="002C1641" w:rsidP="00040C3A">
      <w:pPr>
        <w:tabs>
          <w:tab w:val="center" w:pos="5400"/>
        </w:tabs>
        <w:suppressAutoHyphens/>
        <w:jc w:val="center"/>
        <w:rPr>
          <w:rFonts w:asciiTheme="majorHAnsi" w:hAnsiTheme="majorHAnsi"/>
          <w:sz w:val="18"/>
          <w:szCs w:val="22"/>
        </w:rPr>
      </w:pPr>
    </w:p>
    <w:p w14:paraId="659B324C" w14:textId="77777777" w:rsidR="002C1641" w:rsidRPr="00BD4510" w:rsidRDefault="002C1641" w:rsidP="00040C3A">
      <w:pPr>
        <w:tabs>
          <w:tab w:val="center" w:pos="5400"/>
        </w:tabs>
        <w:suppressAutoHyphens/>
        <w:jc w:val="center"/>
        <w:rPr>
          <w:rFonts w:asciiTheme="majorHAnsi" w:hAnsiTheme="majorHAnsi"/>
          <w:sz w:val="18"/>
          <w:szCs w:val="22"/>
        </w:rPr>
      </w:pPr>
    </w:p>
    <w:p w14:paraId="0DE58CEA" w14:textId="77777777" w:rsidR="002C1641" w:rsidRPr="00BD4510" w:rsidRDefault="002C1641" w:rsidP="00040C3A">
      <w:pPr>
        <w:tabs>
          <w:tab w:val="center" w:pos="5400"/>
        </w:tabs>
        <w:suppressAutoHyphens/>
        <w:jc w:val="center"/>
        <w:rPr>
          <w:rFonts w:asciiTheme="majorHAnsi" w:hAnsiTheme="majorHAnsi"/>
          <w:sz w:val="18"/>
          <w:szCs w:val="22"/>
        </w:rPr>
      </w:pPr>
    </w:p>
    <w:p w14:paraId="3A5BB7C9" w14:textId="77777777" w:rsidR="002C1641" w:rsidRPr="00BD4510" w:rsidRDefault="002C1641" w:rsidP="00040C3A">
      <w:pPr>
        <w:tabs>
          <w:tab w:val="center" w:pos="5400"/>
        </w:tabs>
        <w:suppressAutoHyphens/>
        <w:jc w:val="center"/>
        <w:rPr>
          <w:rFonts w:asciiTheme="majorHAnsi" w:hAnsiTheme="majorHAnsi"/>
          <w:sz w:val="18"/>
          <w:szCs w:val="22"/>
        </w:rPr>
      </w:pPr>
    </w:p>
    <w:p w14:paraId="6BA67E7F" w14:textId="77777777" w:rsidR="002C1641" w:rsidRPr="00BD4510" w:rsidRDefault="002C1641" w:rsidP="00040C3A">
      <w:pPr>
        <w:tabs>
          <w:tab w:val="center" w:pos="5400"/>
        </w:tabs>
        <w:suppressAutoHyphens/>
        <w:jc w:val="center"/>
        <w:rPr>
          <w:rFonts w:asciiTheme="majorHAnsi" w:hAnsiTheme="majorHAnsi"/>
          <w:sz w:val="18"/>
          <w:szCs w:val="22"/>
        </w:rPr>
      </w:pPr>
    </w:p>
    <w:p w14:paraId="6D4FBE3A" w14:textId="77777777" w:rsidR="002C1641" w:rsidRPr="00BD4510" w:rsidRDefault="002C1641" w:rsidP="00040C3A">
      <w:pPr>
        <w:tabs>
          <w:tab w:val="center" w:pos="5400"/>
        </w:tabs>
        <w:suppressAutoHyphens/>
        <w:jc w:val="center"/>
        <w:rPr>
          <w:rFonts w:asciiTheme="majorHAnsi" w:hAnsiTheme="majorHAnsi"/>
          <w:sz w:val="18"/>
          <w:szCs w:val="22"/>
        </w:rPr>
      </w:pPr>
    </w:p>
    <w:p w14:paraId="2741AD16" w14:textId="77777777" w:rsidR="002C1641" w:rsidRPr="00BD4510" w:rsidRDefault="002C1641" w:rsidP="00040C3A">
      <w:pPr>
        <w:tabs>
          <w:tab w:val="center" w:pos="5400"/>
        </w:tabs>
        <w:suppressAutoHyphens/>
        <w:jc w:val="center"/>
        <w:rPr>
          <w:rFonts w:asciiTheme="majorHAnsi" w:hAnsiTheme="majorHAnsi"/>
          <w:sz w:val="18"/>
          <w:szCs w:val="22"/>
        </w:rPr>
      </w:pPr>
    </w:p>
    <w:p w14:paraId="1D99DBC4" w14:textId="77777777" w:rsidR="002C1641" w:rsidRPr="00BD4510" w:rsidRDefault="002C1641" w:rsidP="00040C3A">
      <w:pPr>
        <w:tabs>
          <w:tab w:val="center" w:pos="5400"/>
        </w:tabs>
        <w:suppressAutoHyphens/>
        <w:jc w:val="center"/>
        <w:rPr>
          <w:rFonts w:asciiTheme="majorHAnsi" w:hAnsiTheme="majorHAnsi"/>
          <w:sz w:val="18"/>
          <w:szCs w:val="22"/>
        </w:rPr>
      </w:pPr>
    </w:p>
    <w:p w14:paraId="3290BF94" w14:textId="77777777" w:rsidR="002C1641" w:rsidRPr="00BD4510" w:rsidRDefault="003C32BC" w:rsidP="00040C3A">
      <w:pPr>
        <w:tabs>
          <w:tab w:val="center" w:pos="5400"/>
        </w:tabs>
        <w:suppressAutoHyphens/>
        <w:jc w:val="center"/>
        <w:rPr>
          <w:rFonts w:asciiTheme="majorHAnsi" w:hAnsiTheme="majorHAnsi"/>
          <w:sz w:val="18"/>
          <w:szCs w:val="22"/>
        </w:rPr>
      </w:pPr>
      <w:r w:rsidRPr="00BD451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6580B20" w:rsidR="007E20CA" w:rsidRPr="003C32BC" w:rsidRDefault="007E20C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A301D7">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6B1BE4">
                              <w:rPr>
                                <w:rFonts w:asciiTheme="majorHAnsi" w:hAnsiTheme="majorHAnsi"/>
                                <w:color w:val="0D0D0D" w:themeColor="text1" w:themeTint="F2"/>
                                <w:sz w:val="18"/>
                                <w:szCs w:val="20"/>
                              </w:rPr>
                              <w:t>January 3</w:t>
                            </w:r>
                            <w:r>
                              <w:rPr>
                                <w:rFonts w:asciiTheme="majorHAnsi" w:hAnsiTheme="majorHAnsi"/>
                                <w:color w:val="0D0D0D" w:themeColor="text1" w:themeTint="F2"/>
                                <w:sz w:val="18"/>
                                <w:szCs w:val="20"/>
                              </w:rPr>
                              <w:t>, 201</w:t>
                            </w:r>
                            <w:r w:rsidR="006B1BE4">
                              <w:rPr>
                                <w:rFonts w:asciiTheme="majorHAnsi" w:hAnsiTheme="majorHAnsi"/>
                                <w:color w:val="0D0D0D" w:themeColor="text1" w:themeTint="F2"/>
                                <w:sz w:val="18"/>
                                <w:szCs w:val="20"/>
                              </w:rPr>
                              <w:t>9</w:t>
                            </w:r>
                            <w:r w:rsidR="00AD4287">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56580B20" w:rsidR="007E20CA" w:rsidRPr="003C32BC" w:rsidRDefault="007E20CA"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A301D7">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6B1BE4">
                        <w:rPr>
                          <w:rFonts w:asciiTheme="majorHAnsi" w:hAnsiTheme="majorHAnsi"/>
                          <w:color w:val="0D0D0D" w:themeColor="text1" w:themeTint="F2"/>
                          <w:sz w:val="18"/>
                          <w:szCs w:val="20"/>
                        </w:rPr>
                        <w:t>January 3</w:t>
                      </w:r>
                      <w:r>
                        <w:rPr>
                          <w:rFonts w:asciiTheme="majorHAnsi" w:hAnsiTheme="majorHAnsi"/>
                          <w:color w:val="0D0D0D" w:themeColor="text1" w:themeTint="F2"/>
                          <w:sz w:val="18"/>
                          <w:szCs w:val="20"/>
                        </w:rPr>
                        <w:t>, 201</w:t>
                      </w:r>
                      <w:r w:rsidR="006B1BE4">
                        <w:rPr>
                          <w:rFonts w:asciiTheme="majorHAnsi" w:hAnsiTheme="majorHAnsi"/>
                          <w:color w:val="0D0D0D" w:themeColor="text1" w:themeTint="F2"/>
                          <w:sz w:val="18"/>
                          <w:szCs w:val="20"/>
                        </w:rPr>
                        <w:t>9</w:t>
                      </w:r>
                      <w:r w:rsidR="00AD4287">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BD4510" w:rsidRDefault="002C1641" w:rsidP="00040C3A">
      <w:pPr>
        <w:tabs>
          <w:tab w:val="center" w:pos="5400"/>
        </w:tabs>
        <w:suppressAutoHyphens/>
        <w:jc w:val="center"/>
        <w:rPr>
          <w:rFonts w:asciiTheme="majorHAnsi" w:hAnsiTheme="majorHAnsi"/>
          <w:sz w:val="18"/>
          <w:szCs w:val="22"/>
        </w:rPr>
      </w:pPr>
    </w:p>
    <w:p w14:paraId="3751FEDE" w14:textId="77777777" w:rsidR="002C1641" w:rsidRPr="00BD4510" w:rsidRDefault="002C1641" w:rsidP="00040C3A">
      <w:pPr>
        <w:tabs>
          <w:tab w:val="center" w:pos="5400"/>
        </w:tabs>
        <w:suppressAutoHyphens/>
        <w:jc w:val="center"/>
        <w:rPr>
          <w:rFonts w:asciiTheme="majorHAnsi" w:hAnsiTheme="majorHAnsi"/>
          <w:sz w:val="18"/>
          <w:szCs w:val="22"/>
        </w:rPr>
      </w:pPr>
    </w:p>
    <w:p w14:paraId="5FAB54E7" w14:textId="77777777" w:rsidR="002C1641" w:rsidRPr="00BD4510" w:rsidRDefault="002C1641" w:rsidP="00040C3A">
      <w:pPr>
        <w:tabs>
          <w:tab w:val="center" w:pos="5400"/>
        </w:tabs>
        <w:suppressAutoHyphens/>
        <w:jc w:val="center"/>
        <w:rPr>
          <w:rFonts w:asciiTheme="majorHAnsi" w:hAnsiTheme="majorHAnsi"/>
          <w:sz w:val="18"/>
          <w:szCs w:val="22"/>
        </w:rPr>
      </w:pPr>
    </w:p>
    <w:p w14:paraId="4AE4FBFB" w14:textId="77777777" w:rsidR="002C1641" w:rsidRPr="00BD4510" w:rsidRDefault="002C1641" w:rsidP="00040C3A">
      <w:pPr>
        <w:tabs>
          <w:tab w:val="center" w:pos="5400"/>
        </w:tabs>
        <w:suppressAutoHyphens/>
        <w:jc w:val="center"/>
        <w:rPr>
          <w:rFonts w:asciiTheme="majorHAnsi" w:hAnsiTheme="majorHAnsi"/>
          <w:sz w:val="18"/>
          <w:szCs w:val="22"/>
        </w:rPr>
      </w:pPr>
    </w:p>
    <w:p w14:paraId="4DA3B2C3" w14:textId="77777777" w:rsidR="002C1641" w:rsidRPr="00BD4510" w:rsidRDefault="003C32BC" w:rsidP="00040C3A">
      <w:pPr>
        <w:tabs>
          <w:tab w:val="center" w:pos="5400"/>
        </w:tabs>
        <w:suppressAutoHyphens/>
        <w:jc w:val="center"/>
        <w:rPr>
          <w:rFonts w:asciiTheme="majorHAnsi" w:hAnsiTheme="majorHAnsi"/>
          <w:sz w:val="18"/>
          <w:szCs w:val="22"/>
        </w:rPr>
      </w:pPr>
      <w:r w:rsidRPr="00BD4510">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E09A4B0" w:rsidR="007E20CA" w:rsidRPr="003C32BC" w:rsidRDefault="007E20C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B1BE4">
                              <w:rPr>
                                <w:rFonts w:asciiTheme="majorHAnsi" w:hAnsiTheme="majorHAnsi"/>
                                <w:color w:val="595959" w:themeColor="text1" w:themeTint="A6"/>
                                <w:sz w:val="18"/>
                              </w:rPr>
                              <w:t>3</w:t>
                            </w:r>
                            <w:r>
                              <w:rPr>
                                <w:rFonts w:asciiTheme="majorHAnsi" w:hAnsiTheme="majorHAnsi"/>
                                <w:color w:val="595959" w:themeColor="text1" w:themeTint="A6"/>
                                <w:sz w:val="18"/>
                              </w:rPr>
                              <w:t>/</w:t>
                            </w:r>
                            <w:r w:rsidR="006B1BE4">
                              <w:rPr>
                                <w:rFonts w:asciiTheme="majorHAnsi" w:hAnsiTheme="majorHAnsi"/>
                                <w:color w:val="595959" w:themeColor="text1" w:themeTint="A6"/>
                                <w:sz w:val="18"/>
                              </w:rPr>
                              <w:t>19</w:t>
                            </w:r>
                            <w:r>
                              <w:rPr>
                                <w:rFonts w:asciiTheme="majorHAnsi" w:hAnsiTheme="majorHAnsi"/>
                                <w:color w:val="595959" w:themeColor="text1" w:themeTint="A6"/>
                                <w:sz w:val="18"/>
                              </w:rPr>
                              <w:t xml:space="preserve">. </w:t>
                            </w:r>
                            <w:r w:rsidR="00634DE3">
                              <w:rPr>
                                <w:rFonts w:asciiTheme="majorHAnsi" w:hAnsiTheme="majorHAnsi"/>
                                <w:color w:val="595959" w:themeColor="text1" w:themeTint="A6"/>
                                <w:sz w:val="18"/>
                              </w:rPr>
                              <w:t xml:space="preserve">Petition 1027-07.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Pr="00A301D7">
                              <w:rPr>
                                <w:rFonts w:asciiTheme="majorHAnsi" w:hAnsiTheme="majorHAnsi"/>
                                <w:color w:val="595959" w:themeColor="text1" w:themeTint="A6"/>
                                <w:sz w:val="18"/>
                                <w:szCs w:val="18"/>
                              </w:rPr>
                              <w:t>Playón</w:t>
                            </w:r>
                            <w:proofErr w:type="spellEnd"/>
                            <w:r w:rsidRPr="00A301D7">
                              <w:rPr>
                                <w:rFonts w:asciiTheme="majorHAnsi" w:hAnsiTheme="majorHAnsi"/>
                                <w:color w:val="595959" w:themeColor="text1" w:themeTint="A6"/>
                                <w:sz w:val="18"/>
                                <w:szCs w:val="18"/>
                              </w:rPr>
                              <w:t xml:space="preserve"> de Orozco Massacre. Colombia</w:t>
                            </w:r>
                            <w:r>
                              <w:rPr>
                                <w:rFonts w:asciiTheme="majorHAnsi" w:hAnsiTheme="majorHAnsi"/>
                                <w:color w:val="595959" w:themeColor="text1" w:themeTint="A6"/>
                                <w:sz w:val="18"/>
                              </w:rPr>
                              <w:t xml:space="preserve">. </w:t>
                            </w:r>
                            <w:r w:rsidR="006B1BE4">
                              <w:rPr>
                                <w:rFonts w:asciiTheme="majorHAnsi" w:hAnsiTheme="majorHAnsi"/>
                                <w:color w:val="595959" w:themeColor="text1" w:themeTint="A6"/>
                                <w:sz w:val="18"/>
                              </w:rPr>
                              <w:t>January 3,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E09A4B0" w:rsidR="007E20CA" w:rsidRPr="003C32BC" w:rsidRDefault="007E20C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B1BE4">
                        <w:rPr>
                          <w:rFonts w:asciiTheme="majorHAnsi" w:hAnsiTheme="majorHAnsi"/>
                          <w:color w:val="595959" w:themeColor="text1" w:themeTint="A6"/>
                          <w:sz w:val="18"/>
                        </w:rPr>
                        <w:t>3</w:t>
                      </w:r>
                      <w:r>
                        <w:rPr>
                          <w:rFonts w:asciiTheme="majorHAnsi" w:hAnsiTheme="majorHAnsi"/>
                          <w:color w:val="595959" w:themeColor="text1" w:themeTint="A6"/>
                          <w:sz w:val="18"/>
                        </w:rPr>
                        <w:t>/</w:t>
                      </w:r>
                      <w:r w:rsidR="006B1BE4">
                        <w:rPr>
                          <w:rFonts w:asciiTheme="majorHAnsi" w:hAnsiTheme="majorHAnsi"/>
                          <w:color w:val="595959" w:themeColor="text1" w:themeTint="A6"/>
                          <w:sz w:val="18"/>
                        </w:rPr>
                        <w:t>19</w:t>
                      </w:r>
                      <w:r>
                        <w:rPr>
                          <w:rFonts w:asciiTheme="majorHAnsi" w:hAnsiTheme="majorHAnsi"/>
                          <w:color w:val="595959" w:themeColor="text1" w:themeTint="A6"/>
                          <w:sz w:val="18"/>
                        </w:rPr>
                        <w:t xml:space="preserve">. </w:t>
                      </w:r>
                      <w:r w:rsidR="00634DE3">
                        <w:rPr>
                          <w:rFonts w:asciiTheme="majorHAnsi" w:hAnsiTheme="majorHAnsi"/>
                          <w:color w:val="595959" w:themeColor="text1" w:themeTint="A6"/>
                          <w:sz w:val="18"/>
                        </w:rPr>
                        <w:t xml:space="preserve">Petition 1027-07. </w:t>
                      </w:r>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Pr="00A301D7">
                        <w:rPr>
                          <w:rFonts w:asciiTheme="majorHAnsi" w:hAnsiTheme="majorHAnsi"/>
                          <w:color w:val="595959" w:themeColor="text1" w:themeTint="A6"/>
                          <w:sz w:val="18"/>
                          <w:szCs w:val="18"/>
                        </w:rPr>
                        <w:t>Playón</w:t>
                      </w:r>
                      <w:proofErr w:type="spellEnd"/>
                      <w:r w:rsidRPr="00A301D7">
                        <w:rPr>
                          <w:rFonts w:asciiTheme="majorHAnsi" w:hAnsiTheme="majorHAnsi"/>
                          <w:color w:val="595959" w:themeColor="text1" w:themeTint="A6"/>
                          <w:sz w:val="18"/>
                          <w:szCs w:val="18"/>
                        </w:rPr>
                        <w:t xml:space="preserve"> de Orozco Massacre. Colombia</w:t>
                      </w:r>
                      <w:r>
                        <w:rPr>
                          <w:rFonts w:asciiTheme="majorHAnsi" w:hAnsiTheme="majorHAnsi"/>
                          <w:color w:val="595959" w:themeColor="text1" w:themeTint="A6"/>
                          <w:sz w:val="18"/>
                        </w:rPr>
                        <w:t xml:space="preserve">. </w:t>
                      </w:r>
                      <w:r w:rsidR="006B1BE4">
                        <w:rPr>
                          <w:rFonts w:asciiTheme="majorHAnsi" w:hAnsiTheme="majorHAnsi"/>
                          <w:color w:val="595959" w:themeColor="text1" w:themeTint="A6"/>
                          <w:sz w:val="18"/>
                        </w:rPr>
                        <w:t>January 3, 2019.</w:t>
                      </w:r>
                    </w:p>
                  </w:txbxContent>
                </v:textbox>
              </v:shape>
            </w:pict>
          </mc:Fallback>
        </mc:AlternateContent>
      </w:r>
    </w:p>
    <w:p w14:paraId="1C0DAFDE" w14:textId="77777777" w:rsidR="002C1641" w:rsidRPr="00BD4510" w:rsidRDefault="002C1641" w:rsidP="00040C3A">
      <w:pPr>
        <w:tabs>
          <w:tab w:val="center" w:pos="5400"/>
        </w:tabs>
        <w:suppressAutoHyphens/>
        <w:jc w:val="center"/>
        <w:rPr>
          <w:rFonts w:asciiTheme="majorHAnsi" w:hAnsiTheme="majorHAnsi"/>
          <w:sz w:val="18"/>
          <w:szCs w:val="22"/>
        </w:rPr>
      </w:pPr>
    </w:p>
    <w:p w14:paraId="5420A6FF" w14:textId="77777777" w:rsidR="002C1641" w:rsidRPr="00BD4510" w:rsidRDefault="002C1641" w:rsidP="00040C3A">
      <w:pPr>
        <w:tabs>
          <w:tab w:val="center" w:pos="5400"/>
        </w:tabs>
        <w:suppressAutoHyphens/>
        <w:jc w:val="center"/>
        <w:rPr>
          <w:rFonts w:asciiTheme="majorHAnsi" w:hAnsiTheme="majorHAnsi"/>
          <w:sz w:val="18"/>
          <w:szCs w:val="22"/>
        </w:rPr>
      </w:pPr>
    </w:p>
    <w:p w14:paraId="03B36C31" w14:textId="77777777" w:rsidR="003C32BC" w:rsidRPr="00BD4510" w:rsidRDefault="003C32BC" w:rsidP="003C32BC">
      <w:pPr>
        <w:tabs>
          <w:tab w:val="center" w:pos="5400"/>
        </w:tabs>
        <w:suppressAutoHyphens/>
        <w:jc w:val="center"/>
        <w:rPr>
          <w:rFonts w:asciiTheme="majorHAnsi" w:hAnsiTheme="majorHAnsi"/>
          <w:sz w:val="18"/>
          <w:szCs w:val="22"/>
        </w:rPr>
      </w:pPr>
    </w:p>
    <w:p w14:paraId="154A4854" w14:textId="77777777" w:rsidR="003C32BC" w:rsidRPr="00BD4510" w:rsidRDefault="006311DA" w:rsidP="003C32BC">
      <w:pPr>
        <w:tabs>
          <w:tab w:val="center" w:pos="5400"/>
        </w:tabs>
        <w:suppressAutoHyphens/>
        <w:jc w:val="center"/>
        <w:rPr>
          <w:rFonts w:asciiTheme="majorHAnsi" w:hAnsiTheme="majorHAnsi"/>
          <w:sz w:val="18"/>
          <w:szCs w:val="22"/>
        </w:rPr>
      </w:pPr>
      <w:r w:rsidRPr="00BD451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7E20CA" w:rsidRPr="004B7EB6" w:rsidRDefault="007E20C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7E20CA" w:rsidRPr="004B7EB6" w:rsidRDefault="007E20C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D4510">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7E20CA" w:rsidRDefault="007E20C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7E20CA" w:rsidRDefault="007E20C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BD4510" w:rsidRDefault="007607C4" w:rsidP="003C32BC">
      <w:pPr>
        <w:tabs>
          <w:tab w:val="center" w:pos="5400"/>
        </w:tabs>
        <w:suppressAutoHyphens/>
        <w:jc w:val="center"/>
        <w:rPr>
          <w:rFonts w:asciiTheme="majorHAnsi" w:hAnsiTheme="majorHAnsi"/>
          <w:sz w:val="18"/>
          <w:szCs w:val="22"/>
        </w:rPr>
        <w:sectPr w:rsidR="007607C4" w:rsidRPr="00BD4510"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BD4510" w:rsidRDefault="00F621C3" w:rsidP="00F621C3">
      <w:pPr>
        <w:spacing w:after="240"/>
        <w:ind w:firstLine="720"/>
        <w:jc w:val="both"/>
        <w:rPr>
          <w:rFonts w:asciiTheme="majorHAnsi" w:hAnsiTheme="majorHAnsi"/>
          <w:b/>
          <w:bCs/>
          <w:sz w:val="20"/>
          <w:szCs w:val="20"/>
        </w:rPr>
      </w:pPr>
      <w:r w:rsidRPr="00BD4510">
        <w:rPr>
          <w:rFonts w:asciiTheme="majorHAnsi" w:hAnsiTheme="majorHAnsi"/>
          <w:b/>
          <w:bCs/>
          <w:sz w:val="20"/>
          <w:szCs w:val="20"/>
        </w:rPr>
        <w:lastRenderedPageBreak/>
        <w:t>I.</w:t>
      </w:r>
      <w:r w:rsidRPr="00BD4510">
        <w:rPr>
          <w:rFonts w:asciiTheme="majorHAnsi" w:hAnsiTheme="majorHAnsi"/>
          <w:b/>
          <w:bCs/>
          <w:sz w:val="20"/>
          <w:szCs w:val="20"/>
        </w:rPr>
        <w:tab/>
      </w:r>
      <w:r w:rsidR="00592718" w:rsidRPr="00BD4510">
        <w:rPr>
          <w:rFonts w:asciiTheme="majorHAnsi" w:hAnsiTheme="majorHAnsi"/>
          <w:b/>
          <w:bCs/>
          <w:sz w:val="20"/>
          <w:szCs w:val="20"/>
        </w:rPr>
        <w:t>INFORMATION ABOUT THE PETITION</w:t>
      </w:r>
      <w:r w:rsidRPr="00BD4510">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634DE3"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BD4510" w:rsidRDefault="003771A3" w:rsidP="00DA61ED">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Petitioner</w:t>
            </w:r>
            <w:r w:rsidR="00F621C3" w:rsidRPr="00BD4510">
              <w:rPr>
                <w:rFonts w:ascii="Cambria" w:hAnsi="Cambria"/>
                <w:b/>
                <w:bCs/>
                <w:color w:val="FFFFFF" w:themeColor="background1"/>
                <w:sz w:val="20"/>
                <w:szCs w:val="20"/>
              </w:rPr>
              <w:t>:</w:t>
            </w:r>
          </w:p>
        </w:tc>
        <w:tc>
          <w:tcPr>
            <w:tcW w:w="5670" w:type="dxa"/>
            <w:vAlign w:val="center"/>
          </w:tcPr>
          <w:p w14:paraId="0674C7B8" w14:textId="1F7F0418" w:rsidR="00F621C3" w:rsidRPr="006B1BE4" w:rsidRDefault="009A6912" w:rsidP="00DA61ED">
            <w:pPr>
              <w:jc w:val="both"/>
              <w:rPr>
                <w:rFonts w:ascii="Cambria" w:hAnsi="Cambria"/>
                <w:bCs/>
                <w:sz w:val="20"/>
                <w:szCs w:val="20"/>
                <w:lang w:val="fr-CA"/>
              </w:rPr>
            </w:pPr>
            <w:r w:rsidRPr="006B1BE4">
              <w:rPr>
                <w:rFonts w:asciiTheme="majorHAnsi" w:hAnsiTheme="majorHAnsi"/>
                <w:bCs/>
                <w:sz w:val="19"/>
                <w:szCs w:val="19"/>
                <w:lang w:val="fr-CA"/>
              </w:rPr>
              <w:t xml:space="preserve">Nelson Javier de </w:t>
            </w:r>
            <w:proofErr w:type="spellStart"/>
            <w:r w:rsidRPr="006B1BE4">
              <w:rPr>
                <w:rFonts w:asciiTheme="majorHAnsi" w:hAnsiTheme="majorHAnsi"/>
                <w:bCs/>
                <w:sz w:val="19"/>
                <w:szCs w:val="19"/>
                <w:lang w:val="fr-CA"/>
              </w:rPr>
              <w:t>Lavalle</w:t>
            </w:r>
            <w:proofErr w:type="spellEnd"/>
            <w:r w:rsidRPr="006B1BE4">
              <w:rPr>
                <w:rFonts w:asciiTheme="majorHAnsi" w:hAnsiTheme="majorHAnsi"/>
                <w:bCs/>
                <w:sz w:val="19"/>
                <w:szCs w:val="19"/>
                <w:lang w:val="fr-CA"/>
              </w:rPr>
              <w:t xml:space="preserve"> </w:t>
            </w:r>
            <w:proofErr w:type="spellStart"/>
            <w:r w:rsidRPr="006B1BE4">
              <w:rPr>
                <w:rFonts w:asciiTheme="majorHAnsi" w:hAnsiTheme="majorHAnsi"/>
                <w:bCs/>
                <w:sz w:val="19"/>
                <w:szCs w:val="19"/>
                <w:lang w:val="fr-CA"/>
              </w:rPr>
              <w:t>Restrepo</w:t>
            </w:r>
            <w:proofErr w:type="spellEnd"/>
          </w:p>
        </w:tc>
      </w:tr>
      <w:tr w:rsidR="00F621C3" w:rsidRPr="00BD4510"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BD4510" w:rsidRDefault="0076095F" w:rsidP="00DA61E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BD4510">
                  <w:rPr>
                    <w:rFonts w:ascii="Cambria" w:hAnsi="Cambria"/>
                    <w:b/>
                    <w:bCs/>
                    <w:color w:val="FFFFFF" w:themeColor="background1"/>
                    <w:sz w:val="20"/>
                    <w:szCs w:val="20"/>
                  </w:rPr>
                  <w:t>Alleged victim</w:t>
                </w:r>
              </w:sdtContent>
            </w:sdt>
            <w:r w:rsidR="00F621C3" w:rsidRPr="00BD4510">
              <w:rPr>
                <w:rFonts w:ascii="Cambria" w:hAnsi="Cambria"/>
                <w:b/>
                <w:bCs/>
                <w:color w:val="FFFFFF" w:themeColor="background1"/>
                <w:sz w:val="20"/>
                <w:szCs w:val="20"/>
              </w:rPr>
              <w:t>:</w:t>
            </w:r>
          </w:p>
        </w:tc>
        <w:tc>
          <w:tcPr>
            <w:tcW w:w="5670" w:type="dxa"/>
            <w:vAlign w:val="center"/>
          </w:tcPr>
          <w:p w14:paraId="60895337" w14:textId="1346CE5E" w:rsidR="00F621C3" w:rsidRPr="00BD4510" w:rsidRDefault="009A6912" w:rsidP="009A6912">
            <w:pPr>
              <w:jc w:val="both"/>
              <w:rPr>
                <w:rFonts w:ascii="Cambria" w:hAnsi="Cambria"/>
                <w:bCs/>
                <w:sz w:val="20"/>
                <w:szCs w:val="20"/>
              </w:rPr>
            </w:pPr>
            <w:r w:rsidRPr="00BD4510">
              <w:rPr>
                <w:rFonts w:asciiTheme="majorHAnsi" w:hAnsiTheme="majorHAnsi"/>
                <w:bCs/>
                <w:sz w:val="19"/>
                <w:szCs w:val="19"/>
              </w:rPr>
              <w:t>Ramón García Orozco and others</w:t>
            </w:r>
            <w:r w:rsidRPr="00BD4510">
              <w:rPr>
                <w:rStyle w:val="FootnoteReference"/>
                <w:rFonts w:asciiTheme="majorHAnsi" w:hAnsiTheme="majorHAnsi"/>
                <w:bCs/>
                <w:sz w:val="19"/>
                <w:szCs w:val="19"/>
              </w:rPr>
              <w:footnoteReference w:id="2"/>
            </w:r>
          </w:p>
        </w:tc>
      </w:tr>
      <w:tr w:rsidR="00F621C3" w:rsidRPr="00BD4510"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BD4510" w:rsidRDefault="005816E5" w:rsidP="005816E5">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 xml:space="preserve">Respondent </w:t>
            </w:r>
            <w:r w:rsidR="00F621C3" w:rsidRPr="00BD4510">
              <w:rPr>
                <w:rFonts w:ascii="Cambria" w:hAnsi="Cambria"/>
                <w:b/>
                <w:bCs/>
                <w:color w:val="FFFFFF" w:themeColor="background1"/>
                <w:sz w:val="20"/>
                <w:szCs w:val="20"/>
              </w:rPr>
              <w:t>State:</w:t>
            </w:r>
          </w:p>
        </w:tc>
        <w:tc>
          <w:tcPr>
            <w:tcW w:w="5670" w:type="dxa"/>
            <w:vAlign w:val="center"/>
          </w:tcPr>
          <w:p w14:paraId="3539D391" w14:textId="61939099" w:rsidR="00F621C3" w:rsidRPr="00BD4510" w:rsidRDefault="009A6912" w:rsidP="00DA61ED">
            <w:pPr>
              <w:jc w:val="both"/>
              <w:rPr>
                <w:rFonts w:ascii="Cambria" w:hAnsi="Cambria"/>
                <w:bCs/>
                <w:sz w:val="20"/>
                <w:szCs w:val="20"/>
              </w:rPr>
            </w:pPr>
            <w:r w:rsidRPr="00BD4510">
              <w:rPr>
                <w:rFonts w:asciiTheme="majorHAnsi" w:hAnsiTheme="majorHAnsi"/>
                <w:bCs/>
                <w:sz w:val="19"/>
                <w:szCs w:val="19"/>
              </w:rPr>
              <w:t>Colombia</w:t>
            </w:r>
            <w:r w:rsidRPr="00BD4510">
              <w:rPr>
                <w:rStyle w:val="FootnoteReference"/>
                <w:rFonts w:asciiTheme="majorHAnsi" w:hAnsiTheme="majorHAnsi"/>
                <w:bCs/>
                <w:sz w:val="19"/>
                <w:szCs w:val="19"/>
              </w:rPr>
              <w:footnoteReference w:id="3"/>
            </w:r>
          </w:p>
        </w:tc>
      </w:tr>
      <w:tr w:rsidR="00E47F3D" w:rsidRPr="00BD4510"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BD4510" w:rsidRDefault="00E47F3D" w:rsidP="00E7588C">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 xml:space="preserve">Rights </w:t>
            </w:r>
            <w:r w:rsidR="00E7588C" w:rsidRPr="00BD4510">
              <w:rPr>
                <w:rFonts w:ascii="Cambria" w:hAnsi="Cambria"/>
                <w:b/>
                <w:bCs/>
                <w:color w:val="FFFFFF" w:themeColor="background1"/>
                <w:sz w:val="20"/>
                <w:szCs w:val="20"/>
              </w:rPr>
              <w:t>invoked:</w:t>
            </w:r>
          </w:p>
        </w:tc>
        <w:tc>
          <w:tcPr>
            <w:tcW w:w="5670" w:type="dxa"/>
            <w:vAlign w:val="center"/>
          </w:tcPr>
          <w:p w14:paraId="51EEF9D2" w14:textId="0B421AF4" w:rsidR="00E47F3D" w:rsidRPr="00BD4510" w:rsidRDefault="009A6912" w:rsidP="00DA61ED">
            <w:pPr>
              <w:jc w:val="both"/>
              <w:rPr>
                <w:rFonts w:ascii="Cambria" w:hAnsi="Cambria"/>
                <w:bCs/>
                <w:sz w:val="20"/>
                <w:szCs w:val="20"/>
              </w:rPr>
            </w:pPr>
            <w:r w:rsidRPr="00BD4510">
              <w:rPr>
                <w:rFonts w:ascii="Cambria" w:hAnsi="Cambria"/>
                <w:bCs/>
                <w:sz w:val="20"/>
                <w:szCs w:val="20"/>
              </w:rPr>
              <w:t>Articles 4 (right to life), 5 (right to humane treatment), 7 (right to personal liberty), 8 (right to a fair trial), 21 (right to property), 22 (freedom of movement and residence) and 25 (right to judicial protection) of the American Convention on Human Rights</w:t>
            </w:r>
            <w:r w:rsidRPr="00BD4510">
              <w:rPr>
                <w:rStyle w:val="FootnoteReference"/>
                <w:rFonts w:asciiTheme="majorHAnsi" w:hAnsiTheme="majorHAnsi"/>
                <w:bCs/>
                <w:sz w:val="19"/>
                <w:szCs w:val="19"/>
                <w:bdr w:val="none" w:sz="0" w:space="0" w:color="auto" w:frame="1"/>
              </w:rPr>
              <w:footnoteReference w:id="4"/>
            </w:r>
          </w:p>
        </w:tc>
      </w:tr>
    </w:tbl>
    <w:p w14:paraId="006E8D49" w14:textId="1C646C41" w:rsidR="00F621C3" w:rsidRPr="00BD4510" w:rsidRDefault="00F621C3" w:rsidP="00F621C3">
      <w:pPr>
        <w:spacing w:before="240" w:after="240"/>
        <w:ind w:firstLine="720"/>
        <w:jc w:val="both"/>
        <w:rPr>
          <w:rFonts w:asciiTheme="majorHAnsi" w:hAnsiTheme="majorHAnsi"/>
          <w:b/>
          <w:bCs/>
          <w:sz w:val="20"/>
          <w:szCs w:val="20"/>
        </w:rPr>
      </w:pPr>
      <w:r w:rsidRPr="00BD4510">
        <w:rPr>
          <w:rFonts w:asciiTheme="majorHAnsi" w:hAnsiTheme="majorHAnsi"/>
          <w:b/>
          <w:bCs/>
          <w:sz w:val="20"/>
          <w:szCs w:val="20"/>
        </w:rPr>
        <w:t>II.</w:t>
      </w:r>
      <w:r w:rsidRPr="00BD4510">
        <w:rPr>
          <w:rFonts w:asciiTheme="majorHAnsi" w:hAnsiTheme="majorHAnsi"/>
          <w:b/>
          <w:bCs/>
          <w:sz w:val="20"/>
          <w:szCs w:val="20"/>
        </w:rPr>
        <w:tab/>
        <w:t>PROCE</w:t>
      </w:r>
      <w:r w:rsidR="00321AFD" w:rsidRPr="00BD4510">
        <w:rPr>
          <w:rFonts w:asciiTheme="majorHAnsi" w:hAnsiTheme="majorHAnsi"/>
          <w:b/>
          <w:bCs/>
          <w:sz w:val="20"/>
          <w:szCs w:val="20"/>
        </w:rPr>
        <w:t>EDINGS</w:t>
      </w:r>
      <w:r w:rsidRPr="00BD4510">
        <w:rPr>
          <w:rFonts w:asciiTheme="majorHAnsi" w:hAnsiTheme="majorHAnsi"/>
          <w:b/>
          <w:bCs/>
          <w:sz w:val="20"/>
          <w:szCs w:val="20"/>
        </w:rPr>
        <w:t xml:space="preserve"> BEFORE THE IACHR</w:t>
      </w:r>
      <w:r w:rsidR="00653EA6" w:rsidRPr="00BD451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BD4510"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BD4510" w:rsidRDefault="00B06BB7" w:rsidP="00B06BB7">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Filing of the petition</w:t>
            </w:r>
            <w:r w:rsidR="00F621C3" w:rsidRPr="00BD4510">
              <w:rPr>
                <w:rFonts w:ascii="Cambria" w:hAnsi="Cambria"/>
                <w:b/>
                <w:bCs/>
                <w:color w:val="FFFFFF" w:themeColor="background1"/>
                <w:sz w:val="20"/>
                <w:szCs w:val="20"/>
              </w:rPr>
              <w:t>:</w:t>
            </w:r>
          </w:p>
        </w:tc>
        <w:tc>
          <w:tcPr>
            <w:tcW w:w="5670" w:type="dxa"/>
            <w:vAlign w:val="center"/>
          </w:tcPr>
          <w:p w14:paraId="1C0C3DE2" w14:textId="58AE3179" w:rsidR="00F621C3" w:rsidRPr="00BD4510" w:rsidRDefault="009A6912" w:rsidP="00DA61ED">
            <w:pPr>
              <w:jc w:val="both"/>
              <w:rPr>
                <w:rFonts w:ascii="Cambria" w:hAnsi="Cambria"/>
                <w:bCs/>
                <w:sz w:val="20"/>
                <w:szCs w:val="20"/>
              </w:rPr>
            </w:pPr>
            <w:r w:rsidRPr="00BD4510">
              <w:rPr>
                <w:rFonts w:ascii="Cambria" w:hAnsi="Cambria"/>
                <w:bCs/>
                <w:sz w:val="20"/>
                <w:szCs w:val="20"/>
              </w:rPr>
              <w:t>August 7, 2007</w:t>
            </w:r>
          </w:p>
        </w:tc>
      </w:tr>
      <w:tr w:rsidR="00F621C3" w:rsidRPr="00BD4510"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BD4510" w:rsidRDefault="00B06BB7" w:rsidP="00B06BB7">
            <w:pPr>
              <w:jc w:val="center"/>
              <w:rPr>
                <w:rFonts w:ascii="Cambria" w:hAnsi="Cambria"/>
                <w:b/>
                <w:bCs/>
                <w:color w:val="FFFFFF" w:themeColor="background1"/>
                <w:sz w:val="20"/>
                <w:szCs w:val="20"/>
              </w:rPr>
            </w:pPr>
            <w:r w:rsidRPr="00BD4510">
              <w:rPr>
                <w:rFonts w:ascii="Cambria" w:hAnsi="Cambria"/>
                <w:b/>
                <w:color w:val="FFFFFF" w:themeColor="background1"/>
                <w:sz w:val="20"/>
                <w:szCs w:val="20"/>
              </w:rPr>
              <w:t>Notification of the petition to</w:t>
            </w:r>
            <w:r w:rsidR="00F621C3" w:rsidRPr="00BD4510">
              <w:rPr>
                <w:rFonts w:ascii="Cambria" w:hAnsi="Cambria"/>
                <w:b/>
                <w:color w:val="FFFFFF" w:themeColor="background1"/>
                <w:sz w:val="20"/>
                <w:szCs w:val="20"/>
              </w:rPr>
              <w:t xml:space="preserve"> the State:</w:t>
            </w:r>
          </w:p>
        </w:tc>
        <w:tc>
          <w:tcPr>
            <w:tcW w:w="5670" w:type="dxa"/>
            <w:vAlign w:val="center"/>
          </w:tcPr>
          <w:p w14:paraId="22ADBFFE" w14:textId="1AC4422F" w:rsidR="00F621C3" w:rsidRPr="00BD4510" w:rsidRDefault="009A6912" w:rsidP="00DA61ED">
            <w:pPr>
              <w:jc w:val="both"/>
              <w:rPr>
                <w:rFonts w:ascii="Cambria" w:hAnsi="Cambria"/>
                <w:bCs/>
                <w:sz w:val="20"/>
                <w:szCs w:val="20"/>
              </w:rPr>
            </w:pPr>
            <w:r w:rsidRPr="00BD4510">
              <w:rPr>
                <w:rFonts w:ascii="Cambria" w:hAnsi="Cambria"/>
                <w:bCs/>
                <w:sz w:val="20"/>
                <w:szCs w:val="20"/>
              </w:rPr>
              <w:t>October 5, 2011</w:t>
            </w:r>
          </w:p>
        </w:tc>
      </w:tr>
      <w:tr w:rsidR="00F621C3" w:rsidRPr="00BD4510"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BD4510" w:rsidRDefault="00F621C3" w:rsidP="00DA61ED">
            <w:pPr>
              <w:jc w:val="center"/>
              <w:rPr>
                <w:rFonts w:ascii="Cambria" w:hAnsi="Cambria"/>
                <w:b/>
                <w:bCs/>
                <w:color w:val="FFFFFF" w:themeColor="background1"/>
                <w:sz w:val="20"/>
                <w:szCs w:val="20"/>
              </w:rPr>
            </w:pPr>
            <w:r w:rsidRPr="00BD4510">
              <w:rPr>
                <w:rFonts w:ascii="Cambria" w:hAnsi="Cambria"/>
                <w:b/>
                <w:color w:val="FFFFFF" w:themeColor="background1"/>
                <w:sz w:val="20"/>
                <w:szCs w:val="20"/>
              </w:rPr>
              <w:t>State’s first response:</w:t>
            </w:r>
          </w:p>
        </w:tc>
        <w:tc>
          <w:tcPr>
            <w:tcW w:w="5670" w:type="dxa"/>
            <w:vAlign w:val="center"/>
          </w:tcPr>
          <w:p w14:paraId="19C5DA57" w14:textId="762BB8D9" w:rsidR="00F621C3" w:rsidRPr="00BD4510" w:rsidRDefault="009A6912" w:rsidP="00DA61ED">
            <w:pPr>
              <w:jc w:val="both"/>
              <w:rPr>
                <w:rFonts w:ascii="Cambria" w:hAnsi="Cambria"/>
                <w:bCs/>
                <w:sz w:val="20"/>
                <w:szCs w:val="20"/>
              </w:rPr>
            </w:pPr>
            <w:r w:rsidRPr="00BD4510">
              <w:rPr>
                <w:rFonts w:ascii="Cambria" w:hAnsi="Cambria"/>
                <w:bCs/>
                <w:sz w:val="20"/>
                <w:szCs w:val="20"/>
              </w:rPr>
              <w:t>April 26, 2016</w:t>
            </w:r>
          </w:p>
        </w:tc>
      </w:tr>
      <w:tr w:rsidR="003771A3" w:rsidRPr="00BD4510"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BD4510" w:rsidRDefault="003771A3" w:rsidP="0023351C">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Additional observations from the petition</w:t>
            </w:r>
            <w:r w:rsidR="0023351C" w:rsidRPr="00BD4510">
              <w:rPr>
                <w:rFonts w:ascii="Cambria" w:hAnsi="Cambria"/>
                <w:b/>
                <w:bCs/>
                <w:color w:val="FFFFFF" w:themeColor="background1"/>
                <w:sz w:val="20"/>
                <w:szCs w:val="20"/>
              </w:rPr>
              <w:t>er</w:t>
            </w:r>
            <w:r w:rsidRPr="00BD4510">
              <w:rPr>
                <w:rFonts w:ascii="Cambria" w:hAnsi="Cambria"/>
                <w:b/>
                <w:bCs/>
                <w:color w:val="FFFFFF" w:themeColor="background1"/>
                <w:sz w:val="20"/>
                <w:szCs w:val="20"/>
              </w:rPr>
              <w:t>:</w:t>
            </w:r>
          </w:p>
        </w:tc>
        <w:tc>
          <w:tcPr>
            <w:tcW w:w="5670" w:type="dxa"/>
            <w:vAlign w:val="center"/>
          </w:tcPr>
          <w:p w14:paraId="2A863ACD" w14:textId="3FDC58A2" w:rsidR="003771A3" w:rsidRPr="00BD4510" w:rsidRDefault="009A6912" w:rsidP="00DA61ED">
            <w:pPr>
              <w:jc w:val="both"/>
              <w:rPr>
                <w:rFonts w:ascii="Cambria" w:hAnsi="Cambria"/>
                <w:bCs/>
                <w:sz w:val="20"/>
                <w:szCs w:val="20"/>
              </w:rPr>
            </w:pPr>
            <w:r w:rsidRPr="00BD4510">
              <w:rPr>
                <w:rFonts w:ascii="Cambria" w:hAnsi="Cambria"/>
                <w:bCs/>
                <w:sz w:val="20"/>
                <w:szCs w:val="20"/>
              </w:rPr>
              <w:t>December 15 and 29, 2011; January 17, and August 20, 2012; April 25, 2013; August 1 and October 9, 2017</w:t>
            </w:r>
            <w:r w:rsidRPr="00BD4510">
              <w:rPr>
                <w:rStyle w:val="FootnoteReference"/>
                <w:rFonts w:asciiTheme="majorHAnsi" w:hAnsiTheme="majorHAnsi"/>
                <w:bCs/>
                <w:sz w:val="19"/>
                <w:szCs w:val="19"/>
              </w:rPr>
              <w:footnoteReference w:id="6"/>
            </w:r>
          </w:p>
        </w:tc>
      </w:tr>
      <w:tr w:rsidR="003771A3" w:rsidRPr="00BD4510"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BD4510" w:rsidRDefault="003771A3" w:rsidP="00653EA6">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Additional observations from the State:</w:t>
            </w:r>
          </w:p>
        </w:tc>
        <w:tc>
          <w:tcPr>
            <w:tcW w:w="5670" w:type="dxa"/>
            <w:vAlign w:val="center"/>
          </w:tcPr>
          <w:p w14:paraId="27F6ADE3" w14:textId="71B682FB" w:rsidR="003771A3" w:rsidRPr="00BD4510" w:rsidRDefault="009A6912" w:rsidP="00DA61ED">
            <w:pPr>
              <w:jc w:val="both"/>
              <w:rPr>
                <w:rFonts w:ascii="Cambria" w:hAnsi="Cambria"/>
                <w:bCs/>
                <w:sz w:val="20"/>
                <w:szCs w:val="20"/>
              </w:rPr>
            </w:pPr>
            <w:r w:rsidRPr="00BD4510">
              <w:rPr>
                <w:rFonts w:ascii="Cambria" w:hAnsi="Cambria"/>
                <w:bCs/>
                <w:sz w:val="20"/>
                <w:szCs w:val="20"/>
              </w:rPr>
              <w:t>March 27, 2015</w:t>
            </w:r>
          </w:p>
        </w:tc>
      </w:tr>
    </w:tbl>
    <w:p w14:paraId="7F88B361" w14:textId="77777777" w:rsidR="00F621C3" w:rsidRPr="00BD4510" w:rsidRDefault="00F621C3" w:rsidP="00F621C3">
      <w:pPr>
        <w:spacing w:before="240" w:after="240"/>
        <w:ind w:firstLine="720"/>
        <w:jc w:val="both"/>
        <w:rPr>
          <w:rFonts w:asciiTheme="majorHAnsi" w:hAnsiTheme="majorHAnsi"/>
          <w:b/>
          <w:bCs/>
          <w:sz w:val="20"/>
          <w:szCs w:val="20"/>
        </w:rPr>
      </w:pPr>
      <w:r w:rsidRPr="00BD4510">
        <w:rPr>
          <w:rFonts w:asciiTheme="majorHAnsi" w:hAnsiTheme="majorHAnsi"/>
          <w:b/>
          <w:bCs/>
          <w:sz w:val="20"/>
          <w:szCs w:val="20"/>
        </w:rPr>
        <w:t xml:space="preserve">III. </w:t>
      </w:r>
      <w:r w:rsidRPr="00BD4510">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BD4510"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BD4510" w:rsidRDefault="00F621C3" w:rsidP="00DA61ED">
            <w:pPr>
              <w:jc w:val="center"/>
              <w:rPr>
                <w:rFonts w:ascii="Cambria" w:hAnsi="Cambria"/>
                <w:b/>
                <w:bCs/>
                <w:i/>
                <w:color w:val="FFFFFF" w:themeColor="background1"/>
                <w:sz w:val="20"/>
                <w:szCs w:val="20"/>
              </w:rPr>
            </w:pPr>
            <w:r w:rsidRPr="00BD4510">
              <w:rPr>
                <w:rFonts w:ascii="Cambria" w:hAnsi="Cambria"/>
                <w:b/>
                <w:bCs/>
                <w:color w:val="FFFFFF" w:themeColor="background1"/>
                <w:sz w:val="20"/>
                <w:szCs w:val="20"/>
              </w:rPr>
              <w:t>Competence</w:t>
            </w:r>
            <w:r w:rsidRPr="00BD4510">
              <w:rPr>
                <w:rFonts w:ascii="Cambria" w:hAnsi="Cambria"/>
                <w:b/>
                <w:bCs/>
                <w:i/>
                <w:color w:val="FFFFFF" w:themeColor="background1"/>
                <w:sz w:val="20"/>
                <w:szCs w:val="20"/>
              </w:rPr>
              <w:t xml:space="preserve"> </w:t>
            </w:r>
            <w:proofErr w:type="spellStart"/>
            <w:r w:rsidRPr="00BD4510">
              <w:rPr>
                <w:rFonts w:ascii="Cambria" w:hAnsi="Cambria"/>
                <w:b/>
                <w:bCs/>
                <w:i/>
                <w:color w:val="FFFFFF" w:themeColor="background1"/>
                <w:sz w:val="20"/>
                <w:szCs w:val="20"/>
              </w:rPr>
              <w:t>Ratione</w:t>
            </w:r>
            <w:proofErr w:type="spellEnd"/>
            <w:r w:rsidRPr="00BD4510">
              <w:rPr>
                <w:rFonts w:ascii="Cambria" w:hAnsi="Cambria"/>
                <w:b/>
                <w:bCs/>
                <w:i/>
                <w:color w:val="FFFFFF" w:themeColor="background1"/>
                <w:sz w:val="20"/>
                <w:szCs w:val="20"/>
              </w:rPr>
              <w:t xml:space="preserve"> personae:</w:t>
            </w:r>
          </w:p>
        </w:tc>
        <w:tc>
          <w:tcPr>
            <w:tcW w:w="5670" w:type="dxa"/>
            <w:vAlign w:val="center"/>
          </w:tcPr>
          <w:p w14:paraId="237A8D0C" w14:textId="6140EDEA" w:rsidR="00F621C3" w:rsidRPr="00BD4510" w:rsidRDefault="00B146BF" w:rsidP="00DA61ED">
            <w:pPr>
              <w:rPr>
                <w:rFonts w:asciiTheme="majorHAnsi" w:hAnsiTheme="majorHAnsi"/>
                <w:bCs/>
                <w:sz w:val="20"/>
                <w:szCs w:val="20"/>
              </w:rPr>
            </w:pPr>
            <w:r w:rsidRPr="00BD4510">
              <w:rPr>
                <w:rFonts w:asciiTheme="majorHAnsi" w:hAnsiTheme="majorHAnsi"/>
                <w:bCs/>
                <w:sz w:val="20"/>
                <w:szCs w:val="20"/>
              </w:rPr>
              <w:t>Yes</w:t>
            </w:r>
          </w:p>
        </w:tc>
      </w:tr>
      <w:tr w:rsidR="00F621C3" w:rsidRPr="00BD4510"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BD4510" w:rsidRDefault="00F621C3" w:rsidP="00DA61ED">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Competence</w:t>
            </w:r>
            <w:r w:rsidRPr="00BD4510">
              <w:rPr>
                <w:rFonts w:ascii="Cambria" w:hAnsi="Cambria"/>
                <w:b/>
                <w:bCs/>
                <w:i/>
                <w:color w:val="FFFFFF" w:themeColor="background1"/>
                <w:sz w:val="20"/>
                <w:szCs w:val="20"/>
              </w:rPr>
              <w:t xml:space="preserve"> </w:t>
            </w:r>
            <w:proofErr w:type="spellStart"/>
            <w:r w:rsidRPr="00BD4510">
              <w:rPr>
                <w:rFonts w:ascii="Cambria" w:hAnsi="Cambria"/>
                <w:b/>
                <w:bCs/>
                <w:i/>
                <w:color w:val="FFFFFF" w:themeColor="background1"/>
                <w:sz w:val="20"/>
                <w:szCs w:val="20"/>
              </w:rPr>
              <w:t>Ratione</w:t>
            </w:r>
            <w:proofErr w:type="spellEnd"/>
            <w:r w:rsidRPr="00BD4510">
              <w:rPr>
                <w:rFonts w:ascii="Cambria" w:hAnsi="Cambria"/>
                <w:b/>
                <w:bCs/>
                <w:i/>
                <w:color w:val="FFFFFF" w:themeColor="background1"/>
                <w:sz w:val="20"/>
                <w:szCs w:val="20"/>
              </w:rPr>
              <w:t xml:space="preserve"> loci</w:t>
            </w:r>
            <w:r w:rsidRPr="00BD4510">
              <w:rPr>
                <w:rFonts w:ascii="Cambria" w:hAnsi="Cambria"/>
                <w:b/>
                <w:bCs/>
                <w:color w:val="FFFFFF" w:themeColor="background1"/>
                <w:sz w:val="20"/>
                <w:szCs w:val="20"/>
              </w:rPr>
              <w:t>:</w:t>
            </w:r>
          </w:p>
        </w:tc>
        <w:tc>
          <w:tcPr>
            <w:tcW w:w="5670" w:type="dxa"/>
            <w:vAlign w:val="center"/>
          </w:tcPr>
          <w:p w14:paraId="48257424" w14:textId="12F4220C" w:rsidR="00F621C3" w:rsidRPr="00BD4510" w:rsidRDefault="00B146BF" w:rsidP="00DA61ED">
            <w:pPr>
              <w:rPr>
                <w:rFonts w:asciiTheme="majorHAnsi" w:hAnsiTheme="majorHAnsi"/>
                <w:bCs/>
                <w:sz w:val="20"/>
                <w:szCs w:val="20"/>
              </w:rPr>
            </w:pPr>
            <w:r w:rsidRPr="00BD4510">
              <w:rPr>
                <w:rFonts w:asciiTheme="majorHAnsi" w:hAnsiTheme="majorHAnsi"/>
                <w:bCs/>
                <w:sz w:val="20"/>
                <w:szCs w:val="20"/>
              </w:rPr>
              <w:t>Yes</w:t>
            </w:r>
          </w:p>
        </w:tc>
      </w:tr>
      <w:tr w:rsidR="00F621C3" w:rsidRPr="00BD4510"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BD4510" w:rsidRDefault="00F621C3" w:rsidP="00DA61ED">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Competence</w:t>
            </w:r>
            <w:r w:rsidRPr="00BD4510">
              <w:rPr>
                <w:rFonts w:ascii="Cambria" w:hAnsi="Cambria"/>
                <w:b/>
                <w:bCs/>
                <w:i/>
                <w:color w:val="FFFFFF" w:themeColor="background1"/>
                <w:sz w:val="20"/>
                <w:szCs w:val="20"/>
              </w:rPr>
              <w:t xml:space="preserve"> </w:t>
            </w:r>
            <w:proofErr w:type="spellStart"/>
            <w:r w:rsidRPr="00BD4510">
              <w:rPr>
                <w:rFonts w:ascii="Cambria" w:hAnsi="Cambria"/>
                <w:b/>
                <w:bCs/>
                <w:i/>
                <w:color w:val="FFFFFF" w:themeColor="background1"/>
                <w:sz w:val="20"/>
                <w:szCs w:val="20"/>
              </w:rPr>
              <w:t>Ratione</w:t>
            </w:r>
            <w:proofErr w:type="spellEnd"/>
            <w:r w:rsidRPr="00BD4510">
              <w:rPr>
                <w:rFonts w:ascii="Cambria" w:hAnsi="Cambria"/>
                <w:b/>
                <w:bCs/>
                <w:i/>
                <w:color w:val="FFFFFF" w:themeColor="background1"/>
                <w:sz w:val="20"/>
                <w:szCs w:val="20"/>
              </w:rPr>
              <w:t xml:space="preserve"> </w:t>
            </w:r>
            <w:proofErr w:type="spellStart"/>
            <w:r w:rsidRPr="00BD4510">
              <w:rPr>
                <w:rFonts w:ascii="Cambria" w:hAnsi="Cambria"/>
                <w:b/>
                <w:bCs/>
                <w:i/>
                <w:color w:val="FFFFFF" w:themeColor="background1"/>
                <w:sz w:val="20"/>
                <w:szCs w:val="20"/>
              </w:rPr>
              <w:t>temporis</w:t>
            </w:r>
            <w:proofErr w:type="spellEnd"/>
            <w:r w:rsidRPr="00BD4510">
              <w:rPr>
                <w:rFonts w:ascii="Cambria" w:hAnsi="Cambria"/>
                <w:b/>
                <w:bCs/>
                <w:color w:val="FFFFFF" w:themeColor="background1"/>
                <w:sz w:val="20"/>
                <w:szCs w:val="20"/>
              </w:rPr>
              <w:t>:</w:t>
            </w:r>
          </w:p>
        </w:tc>
        <w:tc>
          <w:tcPr>
            <w:tcW w:w="5670" w:type="dxa"/>
            <w:vAlign w:val="center"/>
          </w:tcPr>
          <w:p w14:paraId="74B3F783" w14:textId="3ACAD963" w:rsidR="00F621C3" w:rsidRPr="00BD4510" w:rsidRDefault="00B146BF" w:rsidP="00DA61ED">
            <w:pPr>
              <w:rPr>
                <w:rFonts w:asciiTheme="majorHAnsi" w:hAnsiTheme="majorHAnsi"/>
                <w:bCs/>
                <w:sz w:val="20"/>
                <w:szCs w:val="20"/>
              </w:rPr>
            </w:pPr>
            <w:r w:rsidRPr="00BD4510">
              <w:rPr>
                <w:rFonts w:asciiTheme="majorHAnsi" w:hAnsiTheme="majorHAnsi"/>
                <w:bCs/>
                <w:sz w:val="20"/>
                <w:szCs w:val="20"/>
              </w:rPr>
              <w:t>Yes</w:t>
            </w:r>
          </w:p>
        </w:tc>
      </w:tr>
      <w:tr w:rsidR="00F621C3" w:rsidRPr="00BD4510"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BD4510" w:rsidRDefault="00F621C3" w:rsidP="00DA61ED">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Competence</w:t>
            </w:r>
            <w:r w:rsidRPr="00BD4510">
              <w:rPr>
                <w:rFonts w:ascii="Cambria" w:hAnsi="Cambria"/>
                <w:b/>
                <w:bCs/>
                <w:i/>
                <w:color w:val="FFFFFF" w:themeColor="background1"/>
                <w:sz w:val="20"/>
                <w:szCs w:val="20"/>
              </w:rPr>
              <w:t xml:space="preserve"> </w:t>
            </w:r>
            <w:proofErr w:type="spellStart"/>
            <w:r w:rsidRPr="00BD4510">
              <w:rPr>
                <w:rFonts w:ascii="Cambria" w:hAnsi="Cambria"/>
                <w:b/>
                <w:bCs/>
                <w:i/>
                <w:color w:val="FFFFFF" w:themeColor="background1"/>
                <w:sz w:val="20"/>
                <w:szCs w:val="20"/>
              </w:rPr>
              <w:t>Ratione</w:t>
            </w:r>
            <w:proofErr w:type="spellEnd"/>
            <w:r w:rsidRPr="00BD4510">
              <w:rPr>
                <w:rFonts w:ascii="Cambria" w:hAnsi="Cambria"/>
                <w:b/>
                <w:bCs/>
                <w:i/>
                <w:color w:val="FFFFFF" w:themeColor="background1"/>
                <w:sz w:val="20"/>
                <w:szCs w:val="20"/>
              </w:rPr>
              <w:t xml:space="preserve"> </w:t>
            </w:r>
            <w:proofErr w:type="spellStart"/>
            <w:r w:rsidRPr="00BD4510">
              <w:rPr>
                <w:rFonts w:ascii="Cambria" w:hAnsi="Cambria"/>
                <w:b/>
                <w:bCs/>
                <w:i/>
                <w:color w:val="FFFFFF" w:themeColor="background1"/>
                <w:sz w:val="20"/>
                <w:szCs w:val="20"/>
              </w:rPr>
              <w:t>materiae</w:t>
            </w:r>
            <w:proofErr w:type="spellEnd"/>
            <w:r w:rsidRPr="00BD4510">
              <w:rPr>
                <w:rFonts w:ascii="Cambria" w:hAnsi="Cambria"/>
                <w:b/>
                <w:bCs/>
                <w:color w:val="FFFFFF" w:themeColor="background1"/>
                <w:sz w:val="20"/>
                <w:szCs w:val="20"/>
              </w:rPr>
              <w:t>:</w:t>
            </w:r>
          </w:p>
        </w:tc>
        <w:tc>
          <w:tcPr>
            <w:tcW w:w="5670" w:type="dxa"/>
            <w:vAlign w:val="center"/>
          </w:tcPr>
          <w:p w14:paraId="64B3F199" w14:textId="3085850B" w:rsidR="00F621C3" w:rsidRPr="00BD4510" w:rsidRDefault="00B146BF" w:rsidP="00DA61ED">
            <w:pPr>
              <w:jc w:val="both"/>
              <w:rPr>
                <w:rFonts w:asciiTheme="majorHAnsi" w:hAnsiTheme="majorHAnsi"/>
                <w:bCs/>
                <w:sz w:val="20"/>
                <w:szCs w:val="20"/>
              </w:rPr>
            </w:pPr>
            <w:r w:rsidRPr="00BD4510">
              <w:rPr>
                <w:rFonts w:asciiTheme="majorHAnsi" w:hAnsiTheme="majorHAnsi"/>
                <w:bCs/>
                <w:sz w:val="20"/>
                <w:szCs w:val="20"/>
              </w:rPr>
              <w:t>Yes, American Convention (deposit of instrument made on July 31, 1973) and Inter-American Convention to Prevent and Punish Torture</w:t>
            </w:r>
            <w:r w:rsidRPr="00BD4510">
              <w:rPr>
                <w:rStyle w:val="FootnoteReference"/>
                <w:rFonts w:asciiTheme="majorHAnsi" w:hAnsiTheme="majorHAnsi"/>
                <w:sz w:val="19"/>
                <w:szCs w:val="19"/>
              </w:rPr>
              <w:footnoteReference w:id="7"/>
            </w:r>
            <w:r w:rsidRPr="00BD4510">
              <w:rPr>
                <w:rFonts w:asciiTheme="majorHAnsi" w:hAnsiTheme="majorHAnsi"/>
                <w:bCs/>
                <w:sz w:val="20"/>
                <w:szCs w:val="20"/>
              </w:rPr>
              <w:t xml:space="preserve"> (deposit of instrument made on January 19, 1999)</w:t>
            </w:r>
          </w:p>
        </w:tc>
      </w:tr>
    </w:tbl>
    <w:p w14:paraId="440F0241" w14:textId="77777777" w:rsidR="00AD4287" w:rsidRDefault="00AD4287" w:rsidP="00F621C3">
      <w:pPr>
        <w:spacing w:before="240" w:after="240"/>
        <w:ind w:firstLine="720"/>
        <w:jc w:val="both"/>
        <w:rPr>
          <w:rFonts w:asciiTheme="majorHAnsi" w:hAnsiTheme="majorHAnsi"/>
          <w:b/>
          <w:bCs/>
          <w:sz w:val="20"/>
          <w:szCs w:val="20"/>
        </w:rPr>
      </w:pPr>
    </w:p>
    <w:p w14:paraId="51B461A5" w14:textId="77777777" w:rsidR="00AD4287" w:rsidRDefault="00AD4287">
      <w:pPr>
        <w:rPr>
          <w:rFonts w:asciiTheme="majorHAnsi" w:hAnsiTheme="majorHAnsi"/>
          <w:b/>
          <w:bCs/>
          <w:sz w:val="20"/>
          <w:szCs w:val="20"/>
        </w:rPr>
      </w:pPr>
      <w:r>
        <w:rPr>
          <w:rFonts w:asciiTheme="majorHAnsi" w:hAnsiTheme="majorHAnsi"/>
          <w:b/>
          <w:bCs/>
          <w:sz w:val="20"/>
          <w:szCs w:val="20"/>
        </w:rPr>
        <w:br w:type="page"/>
      </w:r>
    </w:p>
    <w:p w14:paraId="0408D4CD" w14:textId="0ED66383" w:rsidR="00F621C3" w:rsidRPr="00BD4510" w:rsidRDefault="00F621C3" w:rsidP="00F621C3">
      <w:pPr>
        <w:spacing w:before="240" w:after="240"/>
        <w:ind w:firstLine="720"/>
        <w:jc w:val="both"/>
        <w:rPr>
          <w:rFonts w:asciiTheme="majorHAnsi" w:hAnsiTheme="majorHAnsi"/>
          <w:b/>
          <w:bCs/>
          <w:sz w:val="20"/>
          <w:szCs w:val="20"/>
        </w:rPr>
      </w:pPr>
      <w:r w:rsidRPr="00BD4510">
        <w:rPr>
          <w:rFonts w:asciiTheme="majorHAnsi" w:hAnsiTheme="majorHAnsi"/>
          <w:b/>
          <w:bCs/>
          <w:sz w:val="20"/>
          <w:szCs w:val="20"/>
        </w:rPr>
        <w:lastRenderedPageBreak/>
        <w:t xml:space="preserve">IV. </w:t>
      </w:r>
      <w:r w:rsidRPr="00BD4510">
        <w:rPr>
          <w:rFonts w:asciiTheme="majorHAnsi" w:hAnsiTheme="majorHAnsi"/>
          <w:b/>
          <w:bCs/>
          <w:sz w:val="20"/>
          <w:szCs w:val="20"/>
        </w:rPr>
        <w:tab/>
        <w:t xml:space="preserve">DUPLICATION OF PROCEDURES AND INTERNATIONAL </w:t>
      </w:r>
      <w:r w:rsidRPr="00BD4510">
        <w:rPr>
          <w:rFonts w:asciiTheme="majorHAnsi" w:hAnsiTheme="majorHAnsi"/>
          <w:b/>
          <w:bCs/>
          <w:i/>
          <w:sz w:val="20"/>
          <w:szCs w:val="20"/>
        </w:rPr>
        <w:t>RES JUDICATA</w:t>
      </w:r>
      <w:r w:rsidRPr="00BD4510">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BD4510"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BD4510" w:rsidRDefault="00F621C3" w:rsidP="00DA61ED">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 xml:space="preserve">Duplication of procedures and International </w:t>
            </w:r>
            <w:r w:rsidRPr="00BD4510">
              <w:rPr>
                <w:rFonts w:ascii="Cambria" w:hAnsi="Cambria"/>
                <w:b/>
                <w:bCs/>
                <w:i/>
                <w:color w:val="FFFFFF" w:themeColor="background1"/>
                <w:sz w:val="20"/>
                <w:szCs w:val="20"/>
              </w:rPr>
              <w:t>res judicata</w:t>
            </w:r>
            <w:r w:rsidRPr="00BD4510">
              <w:rPr>
                <w:rFonts w:ascii="Cambria" w:hAnsi="Cambria"/>
                <w:b/>
                <w:bCs/>
                <w:color w:val="FFFFFF" w:themeColor="background1"/>
                <w:sz w:val="20"/>
                <w:szCs w:val="20"/>
              </w:rPr>
              <w:t>:</w:t>
            </w:r>
          </w:p>
        </w:tc>
        <w:tc>
          <w:tcPr>
            <w:tcW w:w="5670" w:type="dxa"/>
            <w:vAlign w:val="center"/>
          </w:tcPr>
          <w:p w14:paraId="4773CD23" w14:textId="7BB0A62A" w:rsidR="00F621C3" w:rsidRPr="00BD4510" w:rsidRDefault="00B146BF" w:rsidP="00DA61ED">
            <w:pPr>
              <w:jc w:val="both"/>
              <w:rPr>
                <w:rFonts w:ascii="Cambria" w:hAnsi="Cambria"/>
                <w:bCs/>
                <w:sz w:val="20"/>
                <w:szCs w:val="20"/>
              </w:rPr>
            </w:pPr>
            <w:r w:rsidRPr="00BD4510">
              <w:rPr>
                <w:rFonts w:ascii="Cambria" w:hAnsi="Cambria"/>
                <w:bCs/>
                <w:sz w:val="20"/>
                <w:szCs w:val="20"/>
              </w:rPr>
              <w:t>No</w:t>
            </w:r>
          </w:p>
        </w:tc>
      </w:tr>
      <w:tr w:rsidR="00F621C3" w:rsidRPr="00BD4510"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BD4510" w:rsidRDefault="00F621C3" w:rsidP="00DA61ED">
            <w:pPr>
              <w:jc w:val="center"/>
              <w:rPr>
                <w:rFonts w:ascii="Cambria" w:hAnsi="Cambria"/>
                <w:b/>
                <w:bCs/>
                <w:i/>
                <w:color w:val="FFFFFF" w:themeColor="background1"/>
                <w:sz w:val="20"/>
                <w:szCs w:val="20"/>
              </w:rPr>
            </w:pPr>
            <w:r w:rsidRPr="00BD4510">
              <w:rPr>
                <w:rFonts w:ascii="Cambria" w:hAnsi="Cambria"/>
                <w:b/>
                <w:bCs/>
                <w:color w:val="FFFFFF" w:themeColor="background1"/>
                <w:sz w:val="20"/>
                <w:szCs w:val="20"/>
              </w:rPr>
              <w:t>Rights declared admissible</w:t>
            </w:r>
          </w:p>
        </w:tc>
        <w:tc>
          <w:tcPr>
            <w:tcW w:w="5670" w:type="dxa"/>
            <w:vAlign w:val="center"/>
          </w:tcPr>
          <w:p w14:paraId="33BE4040" w14:textId="08BF96A7" w:rsidR="00F621C3" w:rsidRPr="00BD4510" w:rsidRDefault="00B146BF" w:rsidP="00B146BF">
            <w:pPr>
              <w:jc w:val="both"/>
              <w:rPr>
                <w:rFonts w:ascii="Cambria" w:hAnsi="Cambria"/>
                <w:bCs/>
                <w:sz w:val="20"/>
                <w:szCs w:val="20"/>
              </w:rPr>
            </w:pPr>
            <w:r w:rsidRPr="00BD4510">
              <w:rPr>
                <w:rFonts w:ascii="Cambria" w:hAnsi="Cambria"/>
                <w:bCs/>
                <w:sz w:val="20"/>
                <w:szCs w:val="20"/>
              </w:rPr>
              <w:t xml:space="preserve">Articles 4 (right to life), 5 (right to humane treatment), 7 (right to personal liberty), 8 (right to a fair trial), 17 (rights of the family), 19 (rights of the child), 21 (right to property), 22 (freedom of movement and residence), 25 (right to judicial protection) and 26 (progressive development) of the American Convention, in relation to its Articles 1.1 and 2 and Articles 1, 6 and 8 </w:t>
            </w:r>
            <w:r w:rsidR="00BD4510" w:rsidRPr="00BD4510">
              <w:rPr>
                <w:rFonts w:ascii="Cambria" w:hAnsi="Cambria"/>
                <w:bCs/>
                <w:sz w:val="20"/>
                <w:szCs w:val="20"/>
              </w:rPr>
              <w:t>of the</w:t>
            </w:r>
            <w:r w:rsidRPr="00BD4510">
              <w:rPr>
                <w:rFonts w:ascii="Cambria" w:hAnsi="Cambria"/>
                <w:bCs/>
                <w:sz w:val="20"/>
                <w:szCs w:val="20"/>
              </w:rPr>
              <w:t xml:space="preserve"> IACPPT</w:t>
            </w:r>
          </w:p>
        </w:tc>
      </w:tr>
      <w:tr w:rsidR="00F621C3" w:rsidRPr="00BD4510"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BD4510" w:rsidRDefault="00F621C3" w:rsidP="00DA61ED">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3F7CC22B" w:rsidR="00F621C3" w:rsidRPr="00BD4510" w:rsidRDefault="00B146BF" w:rsidP="00DA61ED">
            <w:pPr>
              <w:rPr>
                <w:rFonts w:ascii="Cambria" w:hAnsi="Cambria"/>
                <w:bCs/>
                <w:sz w:val="20"/>
                <w:szCs w:val="20"/>
              </w:rPr>
            </w:pPr>
            <w:r w:rsidRPr="00BD4510">
              <w:rPr>
                <w:rFonts w:ascii="Cambria" w:hAnsi="Cambria"/>
                <w:bCs/>
                <w:sz w:val="20"/>
                <w:szCs w:val="20"/>
              </w:rPr>
              <w:t>Yes, in the terms of Section VI</w:t>
            </w:r>
          </w:p>
          <w:p w14:paraId="432DC56B" w14:textId="77777777" w:rsidR="00F621C3" w:rsidRPr="00BD4510" w:rsidRDefault="00F621C3" w:rsidP="00DA61ED">
            <w:pPr>
              <w:rPr>
                <w:rFonts w:ascii="Cambria" w:hAnsi="Cambria"/>
                <w:bCs/>
                <w:sz w:val="20"/>
                <w:szCs w:val="20"/>
              </w:rPr>
            </w:pPr>
          </w:p>
        </w:tc>
      </w:tr>
      <w:tr w:rsidR="00F621C3" w:rsidRPr="00BD4510"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BD4510" w:rsidRDefault="00F621C3" w:rsidP="00DA61ED">
            <w:pPr>
              <w:jc w:val="center"/>
              <w:rPr>
                <w:rFonts w:ascii="Cambria" w:hAnsi="Cambria"/>
                <w:b/>
                <w:bCs/>
                <w:color w:val="FFFFFF" w:themeColor="background1"/>
                <w:sz w:val="20"/>
                <w:szCs w:val="20"/>
              </w:rPr>
            </w:pPr>
            <w:r w:rsidRPr="00BD4510">
              <w:rPr>
                <w:rFonts w:ascii="Cambria" w:hAnsi="Cambria"/>
                <w:b/>
                <w:bCs/>
                <w:color w:val="FFFFFF" w:themeColor="background1"/>
                <w:sz w:val="20"/>
                <w:szCs w:val="20"/>
              </w:rPr>
              <w:t>Timeliness of the petition:</w:t>
            </w:r>
          </w:p>
        </w:tc>
        <w:tc>
          <w:tcPr>
            <w:tcW w:w="5670" w:type="dxa"/>
            <w:vAlign w:val="center"/>
          </w:tcPr>
          <w:p w14:paraId="6A26CCE9" w14:textId="3031B846" w:rsidR="00F621C3" w:rsidRPr="00BD4510" w:rsidRDefault="00B146BF" w:rsidP="00DA61ED">
            <w:pPr>
              <w:rPr>
                <w:rFonts w:asciiTheme="majorHAnsi" w:hAnsiTheme="majorHAnsi"/>
                <w:bCs/>
                <w:sz w:val="20"/>
                <w:szCs w:val="20"/>
              </w:rPr>
            </w:pPr>
            <w:r w:rsidRPr="00BD4510">
              <w:rPr>
                <w:rFonts w:asciiTheme="majorHAnsi" w:hAnsiTheme="majorHAnsi"/>
                <w:bCs/>
                <w:sz w:val="20"/>
                <w:szCs w:val="20"/>
              </w:rPr>
              <w:t>Yes, in the terms of Section VI</w:t>
            </w:r>
          </w:p>
        </w:tc>
      </w:tr>
    </w:tbl>
    <w:p w14:paraId="629E2DE8" w14:textId="62D32F02" w:rsidR="00F621C3" w:rsidRPr="00BD4510" w:rsidRDefault="00F621C3" w:rsidP="00F621C3">
      <w:pPr>
        <w:spacing w:before="240" w:after="240"/>
        <w:ind w:firstLine="720"/>
        <w:jc w:val="both"/>
        <w:rPr>
          <w:rFonts w:asciiTheme="majorHAnsi" w:hAnsiTheme="majorHAnsi"/>
          <w:b/>
          <w:sz w:val="20"/>
          <w:szCs w:val="20"/>
        </w:rPr>
      </w:pPr>
      <w:r w:rsidRPr="00BD4510">
        <w:rPr>
          <w:rFonts w:asciiTheme="majorHAnsi" w:hAnsiTheme="majorHAnsi"/>
          <w:b/>
          <w:sz w:val="20"/>
          <w:szCs w:val="20"/>
        </w:rPr>
        <w:t xml:space="preserve">V. </w:t>
      </w:r>
      <w:r w:rsidRPr="00BD4510">
        <w:rPr>
          <w:rFonts w:asciiTheme="majorHAnsi" w:hAnsiTheme="majorHAnsi"/>
          <w:b/>
          <w:sz w:val="20"/>
          <w:szCs w:val="20"/>
        </w:rPr>
        <w:tab/>
        <w:t xml:space="preserve">FACTS </w:t>
      </w:r>
      <w:r w:rsidR="005816E5" w:rsidRPr="00BD4510">
        <w:rPr>
          <w:rFonts w:asciiTheme="majorHAnsi" w:hAnsiTheme="majorHAnsi"/>
          <w:b/>
          <w:sz w:val="20"/>
          <w:szCs w:val="20"/>
        </w:rPr>
        <w:t>ALLEGED</w:t>
      </w:r>
    </w:p>
    <w:p w14:paraId="6953F7A4" w14:textId="36B38AE1" w:rsidR="00F621C3" w:rsidRPr="00BD4510" w:rsidRDefault="00DA61E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 xml:space="preserve">The petitioner </w:t>
      </w:r>
      <w:r w:rsidR="004F2C44" w:rsidRPr="00BD4510">
        <w:rPr>
          <w:rFonts w:ascii="Cambria" w:hAnsi="Cambria"/>
          <w:sz w:val="20"/>
          <w:szCs w:val="20"/>
        </w:rPr>
        <w:t>argues</w:t>
      </w:r>
      <w:r w:rsidRPr="00BD4510">
        <w:rPr>
          <w:rFonts w:ascii="Cambria" w:hAnsi="Cambria"/>
          <w:sz w:val="20"/>
          <w:szCs w:val="20"/>
        </w:rPr>
        <w:t xml:space="preserve"> that during 1999, paramilitary groups belonging to the United Self-Defense Groups of Colombia (hereinafter "AUC") took control of several </w:t>
      </w:r>
      <w:r w:rsidR="004F2C44" w:rsidRPr="00BD4510">
        <w:rPr>
          <w:rFonts w:ascii="Cambria" w:hAnsi="Cambria"/>
          <w:sz w:val="20"/>
          <w:szCs w:val="20"/>
        </w:rPr>
        <w:t>areas</w:t>
      </w:r>
      <w:r w:rsidRPr="00BD4510">
        <w:rPr>
          <w:rFonts w:ascii="Cambria" w:hAnsi="Cambria"/>
          <w:sz w:val="20"/>
          <w:szCs w:val="20"/>
        </w:rPr>
        <w:t xml:space="preserve"> of the Municipality of El </w:t>
      </w:r>
      <w:proofErr w:type="spellStart"/>
      <w:r w:rsidRPr="00BD4510">
        <w:rPr>
          <w:rFonts w:ascii="Cambria" w:hAnsi="Cambria"/>
          <w:sz w:val="20"/>
          <w:szCs w:val="20"/>
        </w:rPr>
        <w:t>P</w:t>
      </w:r>
      <w:r w:rsidR="004F2C44" w:rsidRPr="00BD4510">
        <w:rPr>
          <w:rFonts w:ascii="Cambria" w:hAnsi="Cambria"/>
          <w:sz w:val="20"/>
          <w:szCs w:val="20"/>
        </w:rPr>
        <w:t>iñón</w:t>
      </w:r>
      <w:proofErr w:type="spellEnd"/>
      <w:r w:rsidR="004F2C44" w:rsidRPr="00BD4510">
        <w:rPr>
          <w:rFonts w:ascii="Cambria" w:hAnsi="Cambria"/>
          <w:sz w:val="20"/>
          <w:szCs w:val="20"/>
        </w:rPr>
        <w:t>, Department of Magdalena. He indicates that they</w:t>
      </w:r>
      <w:r w:rsidRPr="00BD4510">
        <w:rPr>
          <w:rFonts w:ascii="Cambria" w:hAnsi="Cambria"/>
          <w:sz w:val="20"/>
          <w:szCs w:val="20"/>
        </w:rPr>
        <w:t xml:space="preserve"> </w:t>
      </w:r>
      <w:r w:rsidR="004F2C44" w:rsidRPr="00BD4510">
        <w:rPr>
          <w:rFonts w:ascii="Cambria" w:hAnsi="Cambria"/>
          <w:sz w:val="20"/>
          <w:szCs w:val="20"/>
        </w:rPr>
        <w:t>made</w:t>
      </w:r>
      <w:r w:rsidRPr="00BD4510">
        <w:rPr>
          <w:rFonts w:ascii="Cambria" w:hAnsi="Cambria"/>
          <w:sz w:val="20"/>
          <w:szCs w:val="20"/>
        </w:rPr>
        <w:t xml:space="preserve"> frequent incursions in</w:t>
      </w:r>
      <w:r w:rsidR="004F2C44" w:rsidRPr="00BD4510">
        <w:rPr>
          <w:rFonts w:ascii="Cambria" w:hAnsi="Cambria"/>
          <w:sz w:val="20"/>
          <w:szCs w:val="20"/>
        </w:rPr>
        <w:t>to</w:t>
      </w:r>
      <w:r w:rsidRPr="00BD4510">
        <w:rPr>
          <w:rFonts w:ascii="Cambria" w:hAnsi="Cambria"/>
          <w:sz w:val="20"/>
          <w:szCs w:val="20"/>
        </w:rPr>
        <w:t xml:space="preserve"> the towns of the</w:t>
      </w:r>
      <w:r w:rsidR="004F2C44" w:rsidRPr="00BD4510">
        <w:rPr>
          <w:rFonts w:ascii="Cambria" w:hAnsi="Cambria"/>
          <w:sz w:val="20"/>
          <w:szCs w:val="20"/>
        </w:rPr>
        <w:t xml:space="preserve"> region looking for members of and</w:t>
      </w:r>
      <w:r w:rsidRPr="00BD4510">
        <w:rPr>
          <w:rFonts w:ascii="Cambria" w:hAnsi="Cambria"/>
          <w:sz w:val="20"/>
          <w:szCs w:val="20"/>
        </w:rPr>
        <w:t xml:space="preserve">/or possible collaborators </w:t>
      </w:r>
      <w:r w:rsidR="004F2C44" w:rsidRPr="00BD4510">
        <w:rPr>
          <w:rFonts w:ascii="Cambria" w:hAnsi="Cambria"/>
          <w:sz w:val="20"/>
          <w:szCs w:val="20"/>
        </w:rPr>
        <w:t>with</w:t>
      </w:r>
      <w:r w:rsidRPr="00BD4510">
        <w:rPr>
          <w:rFonts w:ascii="Cambria" w:hAnsi="Cambria"/>
          <w:sz w:val="20"/>
          <w:szCs w:val="20"/>
        </w:rPr>
        <w:t xml:space="preserve"> the Revolutionary Armed Forces of Colombia (hereinafter "FARC"). Thus, </w:t>
      </w:r>
      <w:r w:rsidR="004F2C44" w:rsidRPr="00BD4510">
        <w:rPr>
          <w:rFonts w:ascii="Cambria" w:hAnsi="Cambria"/>
          <w:sz w:val="20"/>
          <w:szCs w:val="20"/>
        </w:rPr>
        <w:t xml:space="preserve">he </w:t>
      </w:r>
      <w:r w:rsidRPr="00BD4510">
        <w:rPr>
          <w:rFonts w:ascii="Cambria" w:hAnsi="Cambria"/>
          <w:sz w:val="20"/>
          <w:szCs w:val="20"/>
        </w:rPr>
        <w:t xml:space="preserve">states that on January 9, 1999, a paramilitary operation </w:t>
      </w:r>
      <w:r w:rsidR="004F2C44" w:rsidRPr="00BD4510">
        <w:rPr>
          <w:rFonts w:ascii="Cambria" w:hAnsi="Cambria"/>
          <w:sz w:val="20"/>
          <w:szCs w:val="20"/>
        </w:rPr>
        <w:t>took place</w:t>
      </w:r>
      <w:r w:rsidRPr="00BD4510">
        <w:rPr>
          <w:rFonts w:ascii="Cambria" w:hAnsi="Cambria"/>
          <w:sz w:val="20"/>
          <w:szCs w:val="20"/>
        </w:rPr>
        <w:t xml:space="preserve"> in the town of </w:t>
      </w:r>
      <w:proofErr w:type="spellStart"/>
      <w:r w:rsidRPr="00BD4510">
        <w:rPr>
          <w:rFonts w:ascii="Cambria" w:hAnsi="Cambria"/>
          <w:sz w:val="20"/>
          <w:szCs w:val="20"/>
        </w:rPr>
        <w:t>Playón</w:t>
      </w:r>
      <w:proofErr w:type="spellEnd"/>
      <w:r w:rsidRPr="00BD4510">
        <w:rPr>
          <w:rFonts w:ascii="Cambria" w:hAnsi="Cambria"/>
          <w:sz w:val="20"/>
          <w:szCs w:val="20"/>
        </w:rPr>
        <w:t xml:space="preserve"> de Orozco, </w:t>
      </w:r>
      <w:r w:rsidR="004F2C44" w:rsidRPr="00BD4510">
        <w:rPr>
          <w:rFonts w:ascii="Cambria" w:hAnsi="Cambria"/>
          <w:sz w:val="20"/>
          <w:szCs w:val="20"/>
        </w:rPr>
        <w:t>resulting</w:t>
      </w:r>
      <w:r w:rsidRPr="00BD4510">
        <w:rPr>
          <w:rFonts w:ascii="Cambria" w:hAnsi="Cambria"/>
          <w:sz w:val="20"/>
          <w:szCs w:val="20"/>
        </w:rPr>
        <w:t xml:space="preserve"> in the torture and massacre of some </w:t>
      </w:r>
      <w:r w:rsidR="004F2C44" w:rsidRPr="00BD4510">
        <w:rPr>
          <w:rFonts w:ascii="Cambria" w:hAnsi="Cambria"/>
          <w:sz w:val="20"/>
          <w:szCs w:val="20"/>
        </w:rPr>
        <w:t xml:space="preserve">of the </w:t>
      </w:r>
      <w:r w:rsidRPr="00BD4510">
        <w:rPr>
          <w:rFonts w:ascii="Cambria" w:hAnsi="Cambria"/>
          <w:sz w:val="20"/>
          <w:szCs w:val="20"/>
        </w:rPr>
        <w:t>alleged victims and the subsequent displacement of the others.</w:t>
      </w:r>
    </w:p>
    <w:p w14:paraId="7A6D7B19" w14:textId="5F446E7D" w:rsidR="00D8426C" w:rsidRPr="00BD4510" w:rsidRDefault="00E62E8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 xml:space="preserve">He </w:t>
      </w:r>
      <w:r w:rsidR="00644B72" w:rsidRPr="00BD4510">
        <w:rPr>
          <w:rFonts w:ascii="Cambria" w:hAnsi="Cambria"/>
          <w:sz w:val="20"/>
          <w:szCs w:val="20"/>
        </w:rPr>
        <w:t>states</w:t>
      </w:r>
      <w:r w:rsidRPr="00BD4510">
        <w:rPr>
          <w:rFonts w:ascii="Cambria" w:hAnsi="Cambria"/>
          <w:sz w:val="20"/>
          <w:szCs w:val="20"/>
        </w:rPr>
        <w:t xml:space="preserve"> that on January 9, around noon, a large group of heavily armed paramilitaries surrounded the town and its main </w:t>
      </w:r>
      <w:r w:rsidR="003C5396" w:rsidRPr="00BD4510">
        <w:rPr>
          <w:rFonts w:ascii="Cambria" w:hAnsi="Cambria"/>
          <w:sz w:val="20"/>
          <w:szCs w:val="20"/>
        </w:rPr>
        <w:t>access points</w:t>
      </w:r>
      <w:r w:rsidRPr="00BD4510">
        <w:rPr>
          <w:rFonts w:ascii="Cambria" w:hAnsi="Cambria"/>
          <w:sz w:val="20"/>
          <w:szCs w:val="20"/>
        </w:rPr>
        <w:t>, forcing all of its inhabitants to head towards the small chap</w:t>
      </w:r>
      <w:r w:rsidR="00644B72" w:rsidRPr="00BD4510">
        <w:rPr>
          <w:rFonts w:ascii="Cambria" w:hAnsi="Cambria"/>
          <w:sz w:val="20"/>
          <w:szCs w:val="20"/>
        </w:rPr>
        <w:t>el located in the main square</w:t>
      </w:r>
      <w:r w:rsidR="003C5396" w:rsidRPr="00BD4510">
        <w:rPr>
          <w:rFonts w:ascii="Cambria" w:hAnsi="Cambria"/>
          <w:sz w:val="20"/>
          <w:szCs w:val="20"/>
        </w:rPr>
        <w:t>. He</w:t>
      </w:r>
      <w:r w:rsidRPr="00BD4510">
        <w:rPr>
          <w:rFonts w:ascii="Cambria" w:hAnsi="Cambria"/>
          <w:sz w:val="20"/>
          <w:szCs w:val="20"/>
        </w:rPr>
        <w:t xml:space="preserve"> indicates that they </w:t>
      </w:r>
      <w:r w:rsidR="003C5396" w:rsidRPr="00BD4510">
        <w:rPr>
          <w:rFonts w:ascii="Cambria" w:hAnsi="Cambria"/>
          <w:sz w:val="20"/>
          <w:szCs w:val="20"/>
        </w:rPr>
        <w:t>forced</w:t>
      </w:r>
      <w:r w:rsidRPr="00BD4510">
        <w:rPr>
          <w:rFonts w:ascii="Cambria" w:hAnsi="Cambria"/>
          <w:sz w:val="20"/>
          <w:szCs w:val="20"/>
        </w:rPr>
        <w:t xml:space="preserve"> the residents out of their homes with threats and beatings. </w:t>
      </w:r>
      <w:r w:rsidR="003C5396" w:rsidRPr="00BD4510">
        <w:rPr>
          <w:rFonts w:ascii="Cambria" w:hAnsi="Cambria"/>
          <w:sz w:val="20"/>
          <w:szCs w:val="20"/>
        </w:rPr>
        <w:t>When they were gathered together</w:t>
      </w:r>
      <w:r w:rsidRPr="00BD4510">
        <w:rPr>
          <w:rFonts w:ascii="Cambria" w:hAnsi="Cambria"/>
          <w:sz w:val="20"/>
          <w:szCs w:val="20"/>
        </w:rPr>
        <w:t xml:space="preserve">, they proceeded to separate the children from their parents and to divide the men </w:t>
      </w:r>
      <w:r w:rsidR="00856A83" w:rsidRPr="00BD4510">
        <w:rPr>
          <w:rFonts w:ascii="Cambria" w:hAnsi="Cambria"/>
          <w:sz w:val="20"/>
          <w:szCs w:val="20"/>
        </w:rPr>
        <w:t>from the</w:t>
      </w:r>
      <w:r w:rsidRPr="00BD4510">
        <w:rPr>
          <w:rFonts w:ascii="Cambria" w:hAnsi="Cambria"/>
          <w:sz w:val="20"/>
          <w:szCs w:val="20"/>
        </w:rPr>
        <w:t xml:space="preserve"> women.</w:t>
      </w:r>
    </w:p>
    <w:p w14:paraId="55185CE6" w14:textId="35C1A3C2" w:rsidR="00D8426C" w:rsidRPr="00BD4510" w:rsidRDefault="00097E7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He points</w:t>
      </w:r>
      <w:r w:rsidR="00E62E88" w:rsidRPr="00BD4510">
        <w:rPr>
          <w:rFonts w:ascii="Cambria" w:hAnsi="Cambria"/>
          <w:sz w:val="20"/>
          <w:szCs w:val="20"/>
        </w:rPr>
        <w:t xml:space="preserve"> out that they </w:t>
      </w:r>
      <w:r w:rsidRPr="00BD4510">
        <w:rPr>
          <w:rFonts w:ascii="Cambria" w:hAnsi="Cambria"/>
          <w:sz w:val="20"/>
          <w:szCs w:val="20"/>
        </w:rPr>
        <w:t xml:space="preserve">initially </w:t>
      </w:r>
      <w:r w:rsidR="00E62E88" w:rsidRPr="00BD4510">
        <w:rPr>
          <w:rFonts w:ascii="Cambria" w:hAnsi="Cambria"/>
          <w:sz w:val="20"/>
          <w:szCs w:val="20"/>
        </w:rPr>
        <w:t xml:space="preserve">separated Ramón García Orozco and </w:t>
      </w:r>
      <w:proofErr w:type="spellStart"/>
      <w:r w:rsidR="00E62E88" w:rsidRPr="00BD4510">
        <w:rPr>
          <w:rFonts w:ascii="Cambria" w:hAnsi="Cambria"/>
          <w:sz w:val="20"/>
          <w:szCs w:val="20"/>
        </w:rPr>
        <w:t>Eliece</w:t>
      </w:r>
      <w:r w:rsidRPr="00BD4510">
        <w:rPr>
          <w:rFonts w:ascii="Cambria" w:hAnsi="Cambria"/>
          <w:sz w:val="20"/>
          <w:szCs w:val="20"/>
        </w:rPr>
        <w:t>r</w:t>
      </w:r>
      <w:proofErr w:type="spellEnd"/>
      <w:r w:rsidRPr="00BD4510">
        <w:rPr>
          <w:rFonts w:ascii="Cambria" w:hAnsi="Cambria"/>
          <w:sz w:val="20"/>
          <w:szCs w:val="20"/>
        </w:rPr>
        <w:t xml:space="preserve"> de la Cruz, and subsequently</w:t>
      </w:r>
      <w:r w:rsidR="00E62E88" w:rsidRPr="00BD4510">
        <w:rPr>
          <w:rFonts w:ascii="Cambria" w:hAnsi="Cambria"/>
          <w:sz w:val="20"/>
          <w:szCs w:val="20"/>
        </w:rPr>
        <w:t xml:space="preserve">, they did the same with approximately 25 more </w:t>
      </w:r>
      <w:r w:rsidR="00644B72" w:rsidRPr="00BD4510">
        <w:rPr>
          <w:rFonts w:ascii="Cambria" w:hAnsi="Cambria"/>
          <w:sz w:val="20"/>
          <w:szCs w:val="20"/>
        </w:rPr>
        <w:t>individuals</w:t>
      </w:r>
      <w:r w:rsidRPr="00BD4510">
        <w:rPr>
          <w:rFonts w:ascii="Cambria" w:hAnsi="Cambria"/>
          <w:sz w:val="20"/>
          <w:szCs w:val="20"/>
        </w:rPr>
        <w:t xml:space="preserve"> while insulting, beating and threatening them. He</w:t>
      </w:r>
      <w:r w:rsidR="00E62E88" w:rsidRPr="00BD4510">
        <w:rPr>
          <w:rFonts w:ascii="Cambria" w:hAnsi="Cambria"/>
          <w:sz w:val="20"/>
          <w:szCs w:val="20"/>
        </w:rPr>
        <w:t xml:space="preserve"> i</w:t>
      </w:r>
      <w:r w:rsidRPr="00BD4510">
        <w:rPr>
          <w:rFonts w:ascii="Cambria" w:hAnsi="Cambria"/>
          <w:sz w:val="20"/>
          <w:szCs w:val="20"/>
        </w:rPr>
        <w:t>ndicates that the other inhabitants</w:t>
      </w:r>
      <w:r w:rsidR="00E62E88" w:rsidRPr="00BD4510">
        <w:rPr>
          <w:rFonts w:ascii="Cambria" w:hAnsi="Cambria"/>
          <w:sz w:val="20"/>
          <w:szCs w:val="20"/>
        </w:rPr>
        <w:t xml:space="preserve"> were locked in the chapel and forced to remain there, while the paramilitaries beat, tortured, mutilated and killed the </w:t>
      </w:r>
      <w:r w:rsidR="00644B72" w:rsidRPr="00BD4510">
        <w:rPr>
          <w:rFonts w:ascii="Cambria" w:hAnsi="Cambria"/>
          <w:sz w:val="20"/>
          <w:szCs w:val="20"/>
        </w:rPr>
        <w:t>individuals</w:t>
      </w:r>
      <w:r w:rsidR="00E62E88" w:rsidRPr="00BD4510">
        <w:rPr>
          <w:rFonts w:ascii="Cambria" w:hAnsi="Cambria"/>
          <w:sz w:val="20"/>
          <w:szCs w:val="20"/>
        </w:rPr>
        <w:t xml:space="preserve"> </w:t>
      </w:r>
      <w:r w:rsidRPr="00BD4510">
        <w:rPr>
          <w:rFonts w:ascii="Cambria" w:hAnsi="Cambria"/>
          <w:sz w:val="20"/>
          <w:szCs w:val="20"/>
        </w:rPr>
        <w:t>separated from the group. He</w:t>
      </w:r>
      <w:r w:rsidR="00E62E88" w:rsidRPr="00BD4510">
        <w:rPr>
          <w:rFonts w:ascii="Cambria" w:hAnsi="Cambria"/>
          <w:sz w:val="20"/>
          <w:szCs w:val="20"/>
        </w:rPr>
        <w:t xml:space="preserve"> indicates that before leaving</w:t>
      </w:r>
      <w:r w:rsidRPr="00BD4510">
        <w:rPr>
          <w:rFonts w:ascii="Cambria" w:hAnsi="Cambria"/>
          <w:sz w:val="20"/>
          <w:szCs w:val="20"/>
        </w:rPr>
        <w:t>,</w:t>
      </w:r>
      <w:r w:rsidR="00E62E88" w:rsidRPr="00BD4510">
        <w:rPr>
          <w:rFonts w:ascii="Cambria" w:hAnsi="Cambria"/>
          <w:sz w:val="20"/>
          <w:szCs w:val="20"/>
        </w:rPr>
        <w:t xml:space="preserve"> the paramilitaries warned that they would do the same in other </w:t>
      </w:r>
      <w:r w:rsidRPr="00BD4510">
        <w:rPr>
          <w:rFonts w:ascii="Cambria" w:hAnsi="Cambria"/>
          <w:sz w:val="20"/>
          <w:szCs w:val="20"/>
        </w:rPr>
        <w:t>districts</w:t>
      </w:r>
      <w:r w:rsidR="00E62E88" w:rsidRPr="00BD4510">
        <w:rPr>
          <w:rFonts w:ascii="Cambria" w:hAnsi="Cambria"/>
          <w:sz w:val="20"/>
          <w:szCs w:val="20"/>
        </w:rPr>
        <w:t xml:space="preserve"> and </w:t>
      </w:r>
      <w:r w:rsidRPr="00BD4510">
        <w:rPr>
          <w:rFonts w:ascii="Cambria" w:hAnsi="Cambria"/>
          <w:sz w:val="20"/>
          <w:szCs w:val="20"/>
        </w:rPr>
        <w:t xml:space="preserve">then </w:t>
      </w:r>
      <w:r w:rsidR="00E62E88" w:rsidRPr="00BD4510">
        <w:rPr>
          <w:rFonts w:ascii="Cambria" w:hAnsi="Cambria"/>
          <w:sz w:val="20"/>
          <w:szCs w:val="20"/>
        </w:rPr>
        <w:t xml:space="preserve">looted properties and </w:t>
      </w:r>
      <w:r w:rsidRPr="00BD4510">
        <w:rPr>
          <w:rFonts w:ascii="Cambria" w:hAnsi="Cambria"/>
          <w:sz w:val="20"/>
          <w:szCs w:val="20"/>
        </w:rPr>
        <w:t>burned</w:t>
      </w:r>
      <w:r w:rsidR="00E62E88" w:rsidRPr="00BD4510">
        <w:rPr>
          <w:rFonts w:ascii="Cambria" w:hAnsi="Cambria"/>
          <w:sz w:val="20"/>
          <w:szCs w:val="20"/>
        </w:rPr>
        <w:t xml:space="preserve"> 19 houses, plots and small </w:t>
      </w:r>
      <w:r w:rsidR="00644B72" w:rsidRPr="00BD4510">
        <w:rPr>
          <w:rFonts w:ascii="Cambria" w:hAnsi="Cambria"/>
          <w:sz w:val="20"/>
          <w:szCs w:val="20"/>
        </w:rPr>
        <w:t>crop fields</w:t>
      </w:r>
      <w:r w:rsidR="00E62E88" w:rsidRPr="00BD4510">
        <w:rPr>
          <w:rFonts w:ascii="Cambria" w:hAnsi="Cambria"/>
          <w:sz w:val="20"/>
          <w:szCs w:val="20"/>
        </w:rPr>
        <w:t>.</w:t>
      </w:r>
    </w:p>
    <w:p w14:paraId="7518F26D" w14:textId="759ACCF0" w:rsidR="00D8426C" w:rsidRPr="00BD4510" w:rsidRDefault="00097E7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He</w:t>
      </w:r>
      <w:r w:rsidR="00E62E88" w:rsidRPr="00BD4510">
        <w:rPr>
          <w:rFonts w:ascii="Cambria" w:hAnsi="Cambria"/>
          <w:sz w:val="20"/>
          <w:szCs w:val="20"/>
        </w:rPr>
        <w:t xml:space="preserve"> maintains that when the </w:t>
      </w:r>
      <w:r w:rsidRPr="00BD4510">
        <w:rPr>
          <w:rFonts w:ascii="Cambria" w:hAnsi="Cambria"/>
          <w:sz w:val="20"/>
          <w:szCs w:val="20"/>
        </w:rPr>
        <w:t>inhabitants</w:t>
      </w:r>
      <w:r w:rsidR="00644B72" w:rsidRPr="00BD4510">
        <w:rPr>
          <w:rFonts w:ascii="Cambria" w:hAnsi="Cambria"/>
          <w:sz w:val="20"/>
          <w:szCs w:val="20"/>
        </w:rPr>
        <w:t xml:space="preserve"> locked in the chapel managed to get out</w:t>
      </w:r>
      <w:r w:rsidR="00E62E88" w:rsidRPr="00BD4510">
        <w:rPr>
          <w:rFonts w:ascii="Cambria" w:hAnsi="Cambria"/>
          <w:sz w:val="20"/>
          <w:szCs w:val="20"/>
        </w:rPr>
        <w:t xml:space="preserve">, </w:t>
      </w:r>
      <w:r w:rsidRPr="00BD4510">
        <w:rPr>
          <w:rFonts w:ascii="Cambria" w:hAnsi="Cambria"/>
          <w:sz w:val="20"/>
          <w:szCs w:val="20"/>
        </w:rPr>
        <w:t>they panicked at</w:t>
      </w:r>
      <w:r w:rsidR="00E62E88" w:rsidRPr="00BD4510">
        <w:rPr>
          <w:rFonts w:ascii="Cambria" w:hAnsi="Cambria"/>
          <w:sz w:val="20"/>
          <w:szCs w:val="20"/>
        </w:rPr>
        <w:t xml:space="preserve"> the chaos the paramilitary group had caused and, fearing that they would return, many ran to hide in the forest. </w:t>
      </w:r>
      <w:r w:rsidRPr="00BD4510">
        <w:rPr>
          <w:rFonts w:ascii="Cambria" w:hAnsi="Cambria"/>
          <w:sz w:val="20"/>
          <w:szCs w:val="20"/>
        </w:rPr>
        <w:t xml:space="preserve">He alleges </w:t>
      </w:r>
      <w:r w:rsidR="00E62E88" w:rsidRPr="00BD4510">
        <w:rPr>
          <w:rFonts w:ascii="Cambria" w:hAnsi="Cambria"/>
          <w:sz w:val="20"/>
          <w:szCs w:val="20"/>
        </w:rPr>
        <w:t xml:space="preserve">that due to the </w:t>
      </w:r>
      <w:r w:rsidR="00FD5359" w:rsidRPr="00BD4510">
        <w:rPr>
          <w:rFonts w:ascii="Cambria" w:hAnsi="Cambria"/>
          <w:sz w:val="20"/>
          <w:szCs w:val="20"/>
        </w:rPr>
        <w:t>terror caused</w:t>
      </w:r>
      <w:r w:rsidR="00E62E88" w:rsidRPr="00BD4510">
        <w:rPr>
          <w:rFonts w:ascii="Cambria" w:hAnsi="Cambria"/>
          <w:sz w:val="20"/>
          <w:szCs w:val="20"/>
        </w:rPr>
        <w:t>, some families chose to take the bodies of their loved ones to neighboring villages</w:t>
      </w:r>
      <w:r w:rsidR="00FD5359" w:rsidRPr="00BD4510">
        <w:rPr>
          <w:rFonts w:ascii="Cambria" w:hAnsi="Cambria"/>
          <w:sz w:val="20"/>
          <w:szCs w:val="20"/>
        </w:rPr>
        <w:t xml:space="preserve"> a few days later. Those lacking economic means had to bury their dead on the spot.</w:t>
      </w:r>
    </w:p>
    <w:p w14:paraId="34CED9F8" w14:textId="4906F236" w:rsidR="00D8426C" w:rsidRPr="00BD4510" w:rsidRDefault="00FD535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He confirms</w:t>
      </w:r>
      <w:r w:rsidR="00E62E88" w:rsidRPr="00BD4510">
        <w:rPr>
          <w:rFonts w:ascii="Cambria" w:hAnsi="Cambria"/>
          <w:sz w:val="20"/>
          <w:szCs w:val="20"/>
        </w:rPr>
        <w:t xml:space="preserve"> that as a result of the violent acts and the very precise identification made by the paramilitaries of their families, the surviving residents of </w:t>
      </w:r>
      <w:proofErr w:type="spellStart"/>
      <w:r w:rsidR="00E62E88" w:rsidRPr="00BD4510">
        <w:rPr>
          <w:rFonts w:ascii="Cambria" w:hAnsi="Cambria"/>
          <w:sz w:val="20"/>
          <w:szCs w:val="20"/>
        </w:rPr>
        <w:t>Playón</w:t>
      </w:r>
      <w:proofErr w:type="spellEnd"/>
      <w:r w:rsidR="00E62E88" w:rsidRPr="00BD4510">
        <w:rPr>
          <w:rFonts w:ascii="Cambria" w:hAnsi="Cambria"/>
          <w:sz w:val="20"/>
          <w:szCs w:val="20"/>
        </w:rPr>
        <w:t xml:space="preserve"> de Orozco and some nearby communities </w:t>
      </w:r>
      <w:r w:rsidRPr="00BD4510">
        <w:rPr>
          <w:rFonts w:ascii="Cambria" w:hAnsi="Cambria"/>
          <w:sz w:val="20"/>
          <w:szCs w:val="20"/>
        </w:rPr>
        <w:t xml:space="preserve">were forced </w:t>
      </w:r>
      <w:r w:rsidR="00644B72" w:rsidRPr="00BD4510">
        <w:rPr>
          <w:rFonts w:ascii="Cambria" w:hAnsi="Cambria"/>
          <w:sz w:val="20"/>
          <w:szCs w:val="20"/>
        </w:rPr>
        <w:t>into becoming displaced persons</w:t>
      </w:r>
      <w:r w:rsidRPr="00BD4510">
        <w:rPr>
          <w:rFonts w:ascii="Cambria" w:hAnsi="Cambria"/>
          <w:sz w:val="20"/>
          <w:szCs w:val="20"/>
        </w:rPr>
        <w:t>. He</w:t>
      </w:r>
      <w:r w:rsidR="00E62E88" w:rsidRPr="00BD4510">
        <w:rPr>
          <w:rFonts w:ascii="Cambria" w:hAnsi="Cambria"/>
          <w:sz w:val="20"/>
          <w:szCs w:val="20"/>
        </w:rPr>
        <w:t xml:space="preserve"> notes that 243 families of approximately 1</w:t>
      </w:r>
      <w:r w:rsidRPr="00BD4510">
        <w:rPr>
          <w:rFonts w:ascii="Cambria" w:hAnsi="Cambria"/>
          <w:sz w:val="20"/>
          <w:szCs w:val="20"/>
        </w:rPr>
        <w:t>,</w:t>
      </w:r>
      <w:r w:rsidR="00E62E88" w:rsidRPr="00BD4510">
        <w:rPr>
          <w:rFonts w:ascii="Cambria" w:hAnsi="Cambria"/>
          <w:sz w:val="20"/>
          <w:szCs w:val="20"/>
        </w:rPr>
        <w:t xml:space="preserve">932 </w:t>
      </w:r>
      <w:r w:rsidR="00644B72" w:rsidRPr="00BD4510">
        <w:rPr>
          <w:rFonts w:ascii="Cambria" w:hAnsi="Cambria"/>
          <w:sz w:val="20"/>
          <w:szCs w:val="20"/>
        </w:rPr>
        <w:t>individuals</w:t>
      </w:r>
      <w:r w:rsidR="00E62E88" w:rsidRPr="00BD4510">
        <w:rPr>
          <w:rFonts w:ascii="Cambria" w:hAnsi="Cambria"/>
          <w:sz w:val="20"/>
          <w:szCs w:val="20"/>
        </w:rPr>
        <w:t xml:space="preserve">, mostly children, </w:t>
      </w:r>
      <w:r w:rsidRPr="00BD4510">
        <w:rPr>
          <w:rFonts w:ascii="Cambria" w:hAnsi="Cambria"/>
          <w:sz w:val="20"/>
          <w:szCs w:val="20"/>
        </w:rPr>
        <w:t>abandoned</w:t>
      </w:r>
      <w:r w:rsidR="00E62E88" w:rsidRPr="00BD4510">
        <w:rPr>
          <w:rFonts w:ascii="Cambria" w:hAnsi="Cambria"/>
          <w:sz w:val="20"/>
          <w:szCs w:val="20"/>
        </w:rPr>
        <w:t xml:space="preserve"> their homes due to </w:t>
      </w:r>
      <w:r w:rsidRPr="00BD4510">
        <w:rPr>
          <w:rFonts w:ascii="Cambria" w:hAnsi="Cambria"/>
          <w:sz w:val="20"/>
          <w:szCs w:val="20"/>
        </w:rPr>
        <w:t>the</w:t>
      </w:r>
      <w:r w:rsidR="00825E2E" w:rsidRPr="00BD4510">
        <w:rPr>
          <w:rFonts w:ascii="Cambria" w:hAnsi="Cambria"/>
          <w:sz w:val="20"/>
          <w:szCs w:val="20"/>
        </w:rPr>
        <w:t>se</w:t>
      </w:r>
      <w:r w:rsidRPr="00BD4510">
        <w:rPr>
          <w:rFonts w:ascii="Cambria" w:hAnsi="Cambria"/>
          <w:sz w:val="20"/>
          <w:szCs w:val="20"/>
        </w:rPr>
        <w:t xml:space="preserve"> </w:t>
      </w:r>
      <w:r w:rsidR="00E62E88" w:rsidRPr="00BD4510">
        <w:rPr>
          <w:rFonts w:ascii="Cambria" w:hAnsi="Cambria"/>
          <w:sz w:val="20"/>
          <w:szCs w:val="20"/>
        </w:rPr>
        <w:t xml:space="preserve">threats. </w:t>
      </w:r>
      <w:r w:rsidRPr="00BD4510">
        <w:rPr>
          <w:rFonts w:ascii="Cambria" w:hAnsi="Cambria"/>
          <w:sz w:val="20"/>
          <w:szCs w:val="20"/>
        </w:rPr>
        <w:t>He</w:t>
      </w:r>
      <w:r w:rsidR="00E62E88" w:rsidRPr="00BD4510">
        <w:rPr>
          <w:rFonts w:ascii="Cambria" w:hAnsi="Cambria"/>
          <w:sz w:val="20"/>
          <w:szCs w:val="20"/>
        </w:rPr>
        <w:t xml:space="preserve"> argues that </w:t>
      </w:r>
      <w:r w:rsidRPr="00BD4510">
        <w:rPr>
          <w:rFonts w:ascii="Cambria" w:hAnsi="Cambria"/>
          <w:sz w:val="20"/>
          <w:szCs w:val="20"/>
        </w:rPr>
        <w:t xml:space="preserve">as from January 13, 1999, </w:t>
      </w:r>
      <w:r w:rsidR="00825E2E" w:rsidRPr="00BD4510">
        <w:rPr>
          <w:rFonts w:ascii="Cambria" w:hAnsi="Cambria"/>
          <w:sz w:val="20"/>
          <w:szCs w:val="20"/>
        </w:rPr>
        <w:t>this</w:t>
      </w:r>
      <w:r w:rsidR="00E62E88" w:rsidRPr="00BD4510">
        <w:rPr>
          <w:rFonts w:ascii="Cambria" w:hAnsi="Cambria"/>
          <w:sz w:val="20"/>
          <w:szCs w:val="20"/>
        </w:rPr>
        <w:t xml:space="preserve"> internal displacement was registered by the </w:t>
      </w:r>
      <w:r w:rsidR="00825E2E" w:rsidRPr="00BD4510">
        <w:rPr>
          <w:rFonts w:ascii="Cambria" w:hAnsi="Cambria"/>
          <w:sz w:val="20"/>
          <w:szCs w:val="20"/>
        </w:rPr>
        <w:t>Ombudsperson’s Office</w:t>
      </w:r>
      <w:r w:rsidR="00E62E88" w:rsidRPr="00BD4510">
        <w:rPr>
          <w:rFonts w:ascii="Cambria" w:hAnsi="Cambria"/>
          <w:sz w:val="20"/>
          <w:szCs w:val="20"/>
        </w:rPr>
        <w:t xml:space="preserve"> of Magdalen</w:t>
      </w:r>
      <w:r w:rsidR="00825E2E" w:rsidRPr="00BD4510">
        <w:rPr>
          <w:rFonts w:ascii="Cambria" w:hAnsi="Cambria"/>
          <w:sz w:val="20"/>
          <w:szCs w:val="20"/>
        </w:rPr>
        <w:t>a and by the Municipal Ombudsperson</w:t>
      </w:r>
      <w:r w:rsidR="00E62E88" w:rsidRPr="00BD4510">
        <w:rPr>
          <w:rFonts w:ascii="Cambria" w:hAnsi="Cambria"/>
          <w:sz w:val="20"/>
          <w:szCs w:val="20"/>
        </w:rPr>
        <w:t xml:space="preserve"> of </w:t>
      </w:r>
      <w:proofErr w:type="spellStart"/>
      <w:r w:rsidR="00E62E88" w:rsidRPr="00BD4510">
        <w:rPr>
          <w:rFonts w:ascii="Cambria" w:hAnsi="Cambria"/>
          <w:sz w:val="20"/>
          <w:szCs w:val="20"/>
        </w:rPr>
        <w:t>Pivijay</w:t>
      </w:r>
      <w:proofErr w:type="spellEnd"/>
      <w:r w:rsidR="00E62E88" w:rsidRPr="00BD4510">
        <w:rPr>
          <w:rFonts w:ascii="Cambria" w:hAnsi="Cambria"/>
          <w:sz w:val="20"/>
          <w:szCs w:val="20"/>
        </w:rPr>
        <w:t xml:space="preserve"> on January 14, 1999. </w:t>
      </w:r>
      <w:r w:rsidRPr="00BD4510">
        <w:rPr>
          <w:rFonts w:ascii="Cambria" w:hAnsi="Cambria"/>
          <w:sz w:val="20"/>
          <w:szCs w:val="20"/>
        </w:rPr>
        <w:t>He</w:t>
      </w:r>
      <w:r w:rsidR="00E62E88" w:rsidRPr="00BD4510">
        <w:rPr>
          <w:rFonts w:ascii="Cambria" w:hAnsi="Cambria"/>
          <w:sz w:val="20"/>
          <w:szCs w:val="20"/>
        </w:rPr>
        <w:t xml:space="preserve"> also indicates that due to the paramilit</w:t>
      </w:r>
      <w:r w:rsidR="00BD4510" w:rsidRPr="00BD4510">
        <w:rPr>
          <w:rFonts w:ascii="Cambria" w:hAnsi="Cambria"/>
          <w:sz w:val="20"/>
          <w:szCs w:val="20"/>
        </w:rPr>
        <w:t xml:space="preserve">ary incursions in the area, on </w:t>
      </w:r>
      <w:r w:rsidR="00E62E88" w:rsidRPr="00BD4510">
        <w:rPr>
          <w:rFonts w:ascii="Cambria" w:hAnsi="Cambria"/>
          <w:sz w:val="20"/>
          <w:szCs w:val="20"/>
        </w:rPr>
        <w:t xml:space="preserve">January </w:t>
      </w:r>
      <w:r w:rsidR="00825E2E" w:rsidRPr="00BD4510">
        <w:rPr>
          <w:rFonts w:ascii="Cambria" w:hAnsi="Cambria"/>
          <w:sz w:val="20"/>
          <w:szCs w:val="20"/>
        </w:rPr>
        <w:t xml:space="preserve">20, </w:t>
      </w:r>
      <w:r w:rsidR="00E62E88" w:rsidRPr="00BD4510">
        <w:rPr>
          <w:rFonts w:ascii="Cambria" w:hAnsi="Cambria"/>
          <w:sz w:val="20"/>
          <w:szCs w:val="20"/>
        </w:rPr>
        <w:t xml:space="preserve">1999, the Technical Investigation </w:t>
      </w:r>
      <w:r w:rsidR="00825E2E" w:rsidRPr="00BD4510">
        <w:rPr>
          <w:rFonts w:ascii="Cambria" w:hAnsi="Cambria"/>
          <w:sz w:val="20"/>
          <w:szCs w:val="20"/>
        </w:rPr>
        <w:t>Corps</w:t>
      </w:r>
      <w:r w:rsidR="00E62E88" w:rsidRPr="00BD4510">
        <w:rPr>
          <w:rFonts w:ascii="Cambria" w:hAnsi="Cambria"/>
          <w:sz w:val="20"/>
          <w:szCs w:val="20"/>
        </w:rPr>
        <w:t xml:space="preserve"> of the P</w:t>
      </w:r>
      <w:r w:rsidRPr="00BD4510">
        <w:rPr>
          <w:rFonts w:ascii="Cambria" w:hAnsi="Cambria"/>
          <w:sz w:val="20"/>
          <w:szCs w:val="20"/>
        </w:rPr>
        <w:t>rosecutor's Office requested that the</w:t>
      </w:r>
      <w:r w:rsidR="00E62E88" w:rsidRPr="00BD4510">
        <w:rPr>
          <w:rFonts w:ascii="Cambria" w:hAnsi="Cambria"/>
          <w:sz w:val="20"/>
          <w:szCs w:val="20"/>
        </w:rPr>
        <w:t xml:space="preserve"> Governor of the Department of Magdalena </w:t>
      </w:r>
      <w:r w:rsidR="00825E2E" w:rsidRPr="00BD4510">
        <w:rPr>
          <w:rFonts w:ascii="Cambria" w:hAnsi="Cambria"/>
          <w:sz w:val="20"/>
          <w:szCs w:val="20"/>
        </w:rPr>
        <w:t xml:space="preserve">engage the presence of the security forces as a </w:t>
      </w:r>
      <w:r w:rsidR="00E62E88" w:rsidRPr="00BD4510">
        <w:rPr>
          <w:rFonts w:ascii="Cambria" w:hAnsi="Cambria"/>
          <w:sz w:val="20"/>
          <w:szCs w:val="20"/>
        </w:rPr>
        <w:lastRenderedPageBreak/>
        <w:t>preventive measures</w:t>
      </w:r>
      <w:r w:rsidRPr="00BD4510">
        <w:rPr>
          <w:rFonts w:ascii="Cambria" w:hAnsi="Cambria"/>
          <w:sz w:val="20"/>
          <w:szCs w:val="20"/>
        </w:rPr>
        <w:t>. He argues that despite these</w:t>
      </w:r>
      <w:r w:rsidR="00E62E88" w:rsidRPr="00BD4510">
        <w:rPr>
          <w:rFonts w:ascii="Cambria" w:hAnsi="Cambria"/>
          <w:sz w:val="20"/>
          <w:szCs w:val="20"/>
        </w:rPr>
        <w:t xml:space="preserve"> requests, the situation of insecurity </w:t>
      </w:r>
      <w:r w:rsidRPr="00BD4510">
        <w:rPr>
          <w:rFonts w:ascii="Cambria" w:hAnsi="Cambria"/>
          <w:sz w:val="20"/>
          <w:szCs w:val="20"/>
        </w:rPr>
        <w:t>continued</w:t>
      </w:r>
      <w:r w:rsidR="00E62E88" w:rsidRPr="00BD4510">
        <w:rPr>
          <w:rFonts w:ascii="Cambria" w:hAnsi="Cambria"/>
          <w:sz w:val="20"/>
          <w:szCs w:val="20"/>
        </w:rPr>
        <w:t xml:space="preserve"> without efforts being made to protect the population.</w:t>
      </w:r>
    </w:p>
    <w:p w14:paraId="789CA656" w14:textId="504C72F9" w:rsidR="00D8426C" w:rsidRPr="00BD4510" w:rsidRDefault="00E62E8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 xml:space="preserve">The petitioner </w:t>
      </w:r>
      <w:r w:rsidR="00A74FA1" w:rsidRPr="00BD4510">
        <w:rPr>
          <w:rFonts w:ascii="Cambria" w:hAnsi="Cambria"/>
          <w:sz w:val="20"/>
          <w:szCs w:val="20"/>
        </w:rPr>
        <w:t>argues</w:t>
      </w:r>
      <w:r w:rsidRPr="00BD4510">
        <w:rPr>
          <w:rFonts w:ascii="Cambria" w:hAnsi="Cambria"/>
          <w:sz w:val="20"/>
          <w:szCs w:val="20"/>
        </w:rPr>
        <w:t xml:space="preserve"> that </w:t>
      </w:r>
      <w:r w:rsidR="00A74FA1" w:rsidRPr="00BD4510">
        <w:rPr>
          <w:rFonts w:ascii="Cambria" w:hAnsi="Cambria"/>
          <w:sz w:val="20"/>
          <w:szCs w:val="20"/>
        </w:rPr>
        <w:t xml:space="preserve">a state of </w:t>
      </w:r>
      <w:r w:rsidRPr="00BD4510">
        <w:rPr>
          <w:rFonts w:ascii="Cambria" w:hAnsi="Cambria"/>
          <w:sz w:val="20"/>
          <w:szCs w:val="20"/>
        </w:rPr>
        <w:t xml:space="preserve">impunity persists </w:t>
      </w:r>
      <w:r w:rsidR="00A74FA1" w:rsidRPr="00BD4510">
        <w:rPr>
          <w:rFonts w:ascii="Cambria" w:hAnsi="Cambria"/>
          <w:sz w:val="20"/>
          <w:szCs w:val="20"/>
        </w:rPr>
        <w:t xml:space="preserve">with respect to these events, </w:t>
      </w:r>
      <w:r w:rsidRPr="00BD4510">
        <w:rPr>
          <w:rFonts w:ascii="Cambria" w:hAnsi="Cambria"/>
          <w:sz w:val="20"/>
          <w:szCs w:val="20"/>
        </w:rPr>
        <w:t xml:space="preserve">despite </w:t>
      </w:r>
      <w:r w:rsidR="00F672BD" w:rsidRPr="00BD4510">
        <w:rPr>
          <w:rFonts w:ascii="Cambria" w:hAnsi="Cambria"/>
          <w:sz w:val="20"/>
          <w:szCs w:val="20"/>
        </w:rPr>
        <w:t>coming to the immediate attention of the National Police and that</w:t>
      </w:r>
      <w:r w:rsidRPr="00BD4510">
        <w:rPr>
          <w:rFonts w:ascii="Cambria" w:hAnsi="Cambria"/>
          <w:sz w:val="20"/>
          <w:szCs w:val="20"/>
        </w:rPr>
        <w:t xml:space="preserve"> some of the alleged victims who had taken ref</w:t>
      </w:r>
      <w:r w:rsidR="00F672BD" w:rsidRPr="00BD4510">
        <w:rPr>
          <w:rFonts w:ascii="Cambria" w:hAnsi="Cambria"/>
          <w:sz w:val="20"/>
          <w:szCs w:val="20"/>
        </w:rPr>
        <w:t xml:space="preserve">uge in the town of </w:t>
      </w:r>
      <w:proofErr w:type="spellStart"/>
      <w:r w:rsidR="00F672BD" w:rsidRPr="00BD4510">
        <w:rPr>
          <w:rFonts w:ascii="Cambria" w:hAnsi="Cambria"/>
          <w:sz w:val="20"/>
          <w:szCs w:val="20"/>
        </w:rPr>
        <w:t>Pivijay</w:t>
      </w:r>
      <w:proofErr w:type="spellEnd"/>
      <w:r w:rsidRPr="00BD4510">
        <w:rPr>
          <w:rFonts w:ascii="Cambria" w:hAnsi="Cambria"/>
          <w:sz w:val="20"/>
          <w:szCs w:val="20"/>
        </w:rPr>
        <w:t xml:space="preserve"> met with police officers</w:t>
      </w:r>
      <w:r w:rsidR="00F672BD" w:rsidRPr="00BD4510">
        <w:rPr>
          <w:rFonts w:ascii="Cambria" w:hAnsi="Cambria"/>
          <w:sz w:val="20"/>
          <w:szCs w:val="20"/>
        </w:rPr>
        <w:t xml:space="preserve"> on January 10, 1999</w:t>
      </w:r>
      <w:r w:rsidRPr="00BD4510">
        <w:rPr>
          <w:rFonts w:ascii="Cambria" w:hAnsi="Cambria"/>
          <w:sz w:val="20"/>
          <w:szCs w:val="20"/>
        </w:rPr>
        <w:t>. He states that t</w:t>
      </w:r>
      <w:r w:rsidR="00426DCA" w:rsidRPr="00BD4510">
        <w:rPr>
          <w:rFonts w:ascii="Cambria" w:hAnsi="Cambria"/>
          <w:sz w:val="20"/>
          <w:szCs w:val="20"/>
        </w:rPr>
        <w:t>he P</w:t>
      </w:r>
      <w:r w:rsidRPr="00BD4510">
        <w:rPr>
          <w:rFonts w:ascii="Cambria" w:hAnsi="Cambria"/>
          <w:sz w:val="20"/>
          <w:szCs w:val="20"/>
        </w:rPr>
        <w:t xml:space="preserve">olice visited </w:t>
      </w:r>
      <w:proofErr w:type="spellStart"/>
      <w:r w:rsidRPr="00BD4510">
        <w:rPr>
          <w:rFonts w:ascii="Cambria" w:hAnsi="Cambria"/>
          <w:sz w:val="20"/>
          <w:szCs w:val="20"/>
        </w:rPr>
        <w:t>Pla</w:t>
      </w:r>
      <w:r w:rsidR="00426DCA" w:rsidRPr="00BD4510">
        <w:rPr>
          <w:rFonts w:ascii="Cambria" w:hAnsi="Cambria"/>
          <w:sz w:val="20"/>
          <w:szCs w:val="20"/>
        </w:rPr>
        <w:t>yón</w:t>
      </w:r>
      <w:proofErr w:type="spellEnd"/>
      <w:r w:rsidR="00426DCA" w:rsidRPr="00BD4510">
        <w:rPr>
          <w:rFonts w:ascii="Cambria" w:hAnsi="Cambria"/>
          <w:sz w:val="20"/>
          <w:szCs w:val="20"/>
        </w:rPr>
        <w:t xml:space="preserve"> de Orozco, and confirmed the destruction and</w:t>
      </w:r>
      <w:r w:rsidRPr="00BD4510">
        <w:rPr>
          <w:rFonts w:ascii="Cambria" w:hAnsi="Cambria"/>
          <w:sz w:val="20"/>
          <w:szCs w:val="20"/>
        </w:rPr>
        <w:t xml:space="preserve"> that some bodies were still in the streets. Thus, on January 12, 1999, the </w:t>
      </w:r>
      <w:r w:rsidR="00B8509D" w:rsidRPr="00BD4510">
        <w:rPr>
          <w:rFonts w:ascii="Cambria" w:hAnsi="Cambria"/>
          <w:sz w:val="20"/>
          <w:szCs w:val="20"/>
        </w:rPr>
        <w:t>Deputy</w:t>
      </w:r>
      <w:r w:rsidRPr="00BD4510">
        <w:rPr>
          <w:rFonts w:ascii="Cambria" w:hAnsi="Cambria"/>
          <w:sz w:val="20"/>
          <w:szCs w:val="20"/>
        </w:rPr>
        <w:t xml:space="preserve"> Prosecutor</w:t>
      </w:r>
      <w:r w:rsidR="00B8509D" w:rsidRPr="00BD4510">
        <w:rPr>
          <w:rFonts w:ascii="Cambria" w:hAnsi="Cambria"/>
          <w:sz w:val="20"/>
          <w:szCs w:val="20"/>
        </w:rPr>
        <w:t>’s Office</w:t>
      </w:r>
      <w:r w:rsidRPr="00BD4510">
        <w:rPr>
          <w:rFonts w:ascii="Cambria" w:hAnsi="Cambria"/>
          <w:sz w:val="20"/>
          <w:szCs w:val="20"/>
        </w:rPr>
        <w:t xml:space="preserve"> before </w:t>
      </w:r>
      <w:r w:rsidR="00B8509D" w:rsidRPr="00BD4510">
        <w:rPr>
          <w:rFonts w:ascii="Cambria" w:hAnsi="Cambria"/>
          <w:sz w:val="20"/>
          <w:szCs w:val="20"/>
        </w:rPr>
        <w:t xml:space="preserve">the </w:t>
      </w:r>
      <w:r w:rsidRPr="00BD4510">
        <w:rPr>
          <w:rFonts w:ascii="Cambria" w:hAnsi="Cambria"/>
          <w:sz w:val="20"/>
          <w:szCs w:val="20"/>
        </w:rPr>
        <w:t xml:space="preserve">Regional Judges of Santa Marta initiated the investigation process. However, </w:t>
      </w:r>
      <w:r w:rsidR="00B8509D" w:rsidRPr="00BD4510">
        <w:rPr>
          <w:rFonts w:ascii="Cambria" w:hAnsi="Cambria"/>
          <w:sz w:val="20"/>
          <w:szCs w:val="20"/>
        </w:rPr>
        <w:t>he</w:t>
      </w:r>
      <w:r w:rsidRPr="00BD4510">
        <w:rPr>
          <w:rFonts w:ascii="Cambria" w:hAnsi="Cambria"/>
          <w:sz w:val="20"/>
          <w:szCs w:val="20"/>
        </w:rPr>
        <w:t xml:space="preserve"> alleges that it was </w:t>
      </w:r>
      <w:r w:rsidR="00B8509D" w:rsidRPr="00BD4510">
        <w:rPr>
          <w:rFonts w:ascii="Cambria" w:hAnsi="Cambria"/>
          <w:sz w:val="20"/>
          <w:szCs w:val="20"/>
        </w:rPr>
        <w:t>ineffective</w:t>
      </w:r>
      <w:r w:rsidRPr="00BD4510">
        <w:rPr>
          <w:rFonts w:ascii="Cambria" w:hAnsi="Cambria"/>
          <w:sz w:val="20"/>
          <w:szCs w:val="20"/>
        </w:rPr>
        <w:t>, because despite the alleged victims</w:t>
      </w:r>
      <w:r w:rsidR="00B8509D" w:rsidRPr="00BD4510">
        <w:rPr>
          <w:rFonts w:ascii="Cambria" w:hAnsi="Cambria"/>
          <w:sz w:val="20"/>
          <w:szCs w:val="20"/>
        </w:rPr>
        <w:t>’ identifying</w:t>
      </w:r>
      <w:r w:rsidRPr="00BD4510">
        <w:rPr>
          <w:rFonts w:ascii="Cambria" w:hAnsi="Cambria"/>
          <w:sz w:val="20"/>
          <w:szCs w:val="20"/>
        </w:rPr>
        <w:t xml:space="preserve"> several paramilitaries and the authorities</w:t>
      </w:r>
      <w:r w:rsidR="00B8509D" w:rsidRPr="00BD4510">
        <w:rPr>
          <w:rFonts w:ascii="Cambria" w:hAnsi="Cambria"/>
          <w:sz w:val="20"/>
          <w:szCs w:val="20"/>
        </w:rPr>
        <w:t>’ linking</w:t>
      </w:r>
      <w:r w:rsidRPr="00BD4510">
        <w:rPr>
          <w:rFonts w:ascii="Cambria" w:hAnsi="Cambria"/>
          <w:sz w:val="20"/>
          <w:szCs w:val="20"/>
        </w:rPr>
        <w:t xml:space="preserve"> them with members of the Army, they have n</w:t>
      </w:r>
      <w:r w:rsidR="00B8509D" w:rsidRPr="00BD4510">
        <w:rPr>
          <w:rFonts w:ascii="Cambria" w:hAnsi="Cambria"/>
          <w:sz w:val="20"/>
          <w:szCs w:val="20"/>
        </w:rPr>
        <w:t>ot been tried or punished</w:t>
      </w:r>
      <w:r w:rsidR="00DE1D0C" w:rsidRPr="00BD4510">
        <w:rPr>
          <w:rFonts w:ascii="Cambria" w:hAnsi="Cambria"/>
          <w:sz w:val="20"/>
          <w:szCs w:val="20"/>
        </w:rPr>
        <w:t xml:space="preserve"> to date</w:t>
      </w:r>
      <w:r w:rsidRPr="00BD4510">
        <w:rPr>
          <w:rFonts w:ascii="Cambria" w:hAnsi="Cambria"/>
          <w:sz w:val="20"/>
          <w:szCs w:val="20"/>
        </w:rPr>
        <w:t>.</w:t>
      </w:r>
    </w:p>
    <w:p w14:paraId="7B59DB79" w14:textId="18270D4D" w:rsidR="00D8426C" w:rsidRPr="00BD4510" w:rsidRDefault="00E47B9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He points out</w:t>
      </w:r>
      <w:r w:rsidR="00E62E88" w:rsidRPr="00BD4510">
        <w:rPr>
          <w:rFonts w:ascii="Cambria" w:hAnsi="Cambria"/>
          <w:sz w:val="20"/>
          <w:szCs w:val="20"/>
        </w:rPr>
        <w:t xml:space="preserve"> that 286 family groups filed </w:t>
      </w:r>
      <w:proofErr w:type="spellStart"/>
      <w:r w:rsidRPr="00BD4510">
        <w:rPr>
          <w:rFonts w:ascii="Cambria" w:hAnsi="Cambria"/>
          <w:i/>
          <w:sz w:val="20"/>
          <w:szCs w:val="20"/>
        </w:rPr>
        <w:t>tutela</w:t>
      </w:r>
      <w:proofErr w:type="spellEnd"/>
      <w:r w:rsidR="00E62E88" w:rsidRPr="00BD4510">
        <w:rPr>
          <w:rFonts w:ascii="Cambria" w:hAnsi="Cambria"/>
          <w:sz w:val="20"/>
          <w:szCs w:val="20"/>
        </w:rPr>
        <w:t xml:space="preserve"> actions against the Administrative Department for Social Prosperity requesting compensation for the forced displ</w:t>
      </w:r>
      <w:r w:rsidRPr="00BD4510">
        <w:rPr>
          <w:rFonts w:ascii="Cambria" w:hAnsi="Cambria"/>
          <w:sz w:val="20"/>
          <w:szCs w:val="20"/>
        </w:rPr>
        <w:t>acement they suffered. He indicates</w:t>
      </w:r>
      <w:r w:rsidR="00E62E88" w:rsidRPr="00BD4510">
        <w:rPr>
          <w:rFonts w:ascii="Cambria" w:hAnsi="Cambria"/>
          <w:sz w:val="20"/>
          <w:szCs w:val="20"/>
        </w:rPr>
        <w:t xml:space="preserve"> that after </w:t>
      </w:r>
      <w:r w:rsidRPr="00BD4510">
        <w:rPr>
          <w:rFonts w:ascii="Cambria" w:hAnsi="Cambria"/>
          <w:sz w:val="20"/>
          <w:szCs w:val="20"/>
        </w:rPr>
        <w:t>hearings with</w:t>
      </w:r>
      <w:r w:rsidR="00E62E88" w:rsidRPr="00BD4510">
        <w:rPr>
          <w:rFonts w:ascii="Cambria" w:hAnsi="Cambria"/>
          <w:sz w:val="20"/>
          <w:szCs w:val="20"/>
        </w:rPr>
        <w:t xml:space="preserve"> different judicial authorities in </w:t>
      </w:r>
      <w:r w:rsidRPr="00BD4510">
        <w:rPr>
          <w:rFonts w:ascii="Cambria" w:hAnsi="Cambria"/>
          <w:sz w:val="20"/>
          <w:szCs w:val="20"/>
        </w:rPr>
        <w:t xml:space="preserve">the </w:t>
      </w:r>
      <w:r w:rsidR="00E62E88" w:rsidRPr="00BD4510">
        <w:rPr>
          <w:rFonts w:ascii="Cambria" w:hAnsi="Cambria"/>
          <w:sz w:val="20"/>
          <w:szCs w:val="20"/>
        </w:rPr>
        <w:t xml:space="preserve">first and second instance, these actions were </w:t>
      </w:r>
      <w:r w:rsidRPr="00BD4510">
        <w:rPr>
          <w:rFonts w:ascii="Cambria" w:hAnsi="Cambria"/>
          <w:sz w:val="20"/>
          <w:szCs w:val="20"/>
        </w:rPr>
        <w:t>consolidated</w:t>
      </w:r>
      <w:r w:rsidR="00E62E88" w:rsidRPr="00BD4510">
        <w:rPr>
          <w:rFonts w:ascii="Cambria" w:hAnsi="Cambria"/>
          <w:sz w:val="20"/>
          <w:szCs w:val="20"/>
        </w:rPr>
        <w:t xml:space="preserve"> and </w:t>
      </w:r>
      <w:r w:rsidRPr="00BD4510">
        <w:rPr>
          <w:rFonts w:ascii="Cambria" w:hAnsi="Cambria"/>
          <w:sz w:val="20"/>
          <w:szCs w:val="20"/>
        </w:rPr>
        <w:t xml:space="preserve">on April 24, 2013, </w:t>
      </w:r>
      <w:r w:rsidR="00E62E88" w:rsidRPr="00BD4510">
        <w:rPr>
          <w:rFonts w:ascii="Cambria" w:hAnsi="Cambria"/>
          <w:sz w:val="20"/>
          <w:szCs w:val="20"/>
        </w:rPr>
        <w:t xml:space="preserve">the Constitutional Court issued judgment 254 of 2013, granting administrative reparation to the alleged victims. However, </w:t>
      </w:r>
      <w:r w:rsidRPr="00BD4510">
        <w:rPr>
          <w:rFonts w:ascii="Cambria" w:hAnsi="Cambria"/>
          <w:sz w:val="20"/>
          <w:szCs w:val="20"/>
        </w:rPr>
        <w:t>he points out</w:t>
      </w:r>
      <w:r w:rsidR="00E62E88" w:rsidRPr="00BD4510">
        <w:rPr>
          <w:rFonts w:ascii="Cambria" w:hAnsi="Cambria"/>
          <w:sz w:val="20"/>
          <w:szCs w:val="20"/>
        </w:rPr>
        <w:t xml:space="preserve"> that to date </w:t>
      </w:r>
      <w:r w:rsidRPr="00BD4510">
        <w:rPr>
          <w:rFonts w:ascii="Cambria" w:hAnsi="Cambria"/>
          <w:sz w:val="20"/>
          <w:szCs w:val="20"/>
        </w:rPr>
        <w:t>the state authorities have failed to enforce this decision</w:t>
      </w:r>
      <w:r w:rsidR="00E62E88" w:rsidRPr="00BD4510">
        <w:rPr>
          <w:rFonts w:ascii="Cambria" w:hAnsi="Cambria"/>
          <w:sz w:val="20"/>
          <w:szCs w:val="20"/>
        </w:rPr>
        <w:t xml:space="preserve"> and </w:t>
      </w:r>
      <w:r w:rsidR="0080729C" w:rsidRPr="00BD4510">
        <w:rPr>
          <w:rFonts w:ascii="Cambria" w:hAnsi="Cambria"/>
          <w:sz w:val="20"/>
          <w:szCs w:val="20"/>
        </w:rPr>
        <w:t>it</w:t>
      </w:r>
      <w:r w:rsidRPr="00BD4510">
        <w:rPr>
          <w:rFonts w:ascii="Cambria" w:hAnsi="Cambria"/>
          <w:sz w:val="20"/>
          <w:szCs w:val="20"/>
        </w:rPr>
        <w:t xml:space="preserve"> </w:t>
      </w:r>
      <w:r w:rsidR="00E62E88" w:rsidRPr="00BD4510">
        <w:rPr>
          <w:rFonts w:ascii="Cambria" w:hAnsi="Cambria"/>
          <w:sz w:val="20"/>
          <w:szCs w:val="20"/>
        </w:rPr>
        <w:t xml:space="preserve">is pending compliance. On the other hand, </w:t>
      </w:r>
      <w:r w:rsidR="00E75B7B" w:rsidRPr="00BD4510">
        <w:rPr>
          <w:rFonts w:ascii="Cambria" w:hAnsi="Cambria"/>
          <w:sz w:val="20"/>
          <w:szCs w:val="20"/>
        </w:rPr>
        <w:t>he</w:t>
      </w:r>
      <w:r w:rsidR="00E62E88" w:rsidRPr="00BD4510">
        <w:rPr>
          <w:rFonts w:ascii="Cambria" w:hAnsi="Cambria"/>
          <w:sz w:val="20"/>
          <w:szCs w:val="20"/>
        </w:rPr>
        <w:t xml:space="preserve"> indicates that 853 alleged victims filed a claim for direct reparation before the Seventh Administrative Court of </w:t>
      </w:r>
      <w:r w:rsidR="00825E2E" w:rsidRPr="00BD4510">
        <w:rPr>
          <w:rFonts w:ascii="Cambria" w:hAnsi="Cambria"/>
          <w:sz w:val="20"/>
          <w:szCs w:val="20"/>
        </w:rPr>
        <w:t xml:space="preserve">the </w:t>
      </w:r>
      <w:r w:rsidR="00E62E88" w:rsidRPr="00BD4510">
        <w:rPr>
          <w:rFonts w:ascii="Cambria" w:hAnsi="Cambria"/>
          <w:sz w:val="20"/>
          <w:szCs w:val="20"/>
        </w:rPr>
        <w:t xml:space="preserve">Santa Marta </w:t>
      </w:r>
      <w:r w:rsidR="00825E2E" w:rsidRPr="00BD4510">
        <w:rPr>
          <w:rFonts w:ascii="Cambria" w:hAnsi="Cambria"/>
          <w:sz w:val="20"/>
          <w:szCs w:val="20"/>
        </w:rPr>
        <w:t xml:space="preserve">Circuit </w:t>
      </w:r>
      <w:r w:rsidR="00E62E88" w:rsidRPr="00BD4510">
        <w:rPr>
          <w:rFonts w:ascii="Cambria" w:hAnsi="Cambria"/>
          <w:sz w:val="20"/>
          <w:szCs w:val="20"/>
        </w:rPr>
        <w:t>that has not been resolved.</w:t>
      </w:r>
    </w:p>
    <w:p w14:paraId="28AA6F3A" w14:textId="6DC6BBC3" w:rsidR="00D8426C" w:rsidRPr="00BD4510" w:rsidRDefault="00E62E8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 xml:space="preserve">For its part, the State </w:t>
      </w:r>
      <w:r w:rsidR="00F039A1" w:rsidRPr="00BD4510">
        <w:rPr>
          <w:rFonts w:ascii="Cambria" w:hAnsi="Cambria"/>
          <w:sz w:val="20"/>
          <w:szCs w:val="20"/>
        </w:rPr>
        <w:t>argues</w:t>
      </w:r>
      <w:r w:rsidRPr="00BD4510">
        <w:rPr>
          <w:rFonts w:ascii="Cambria" w:hAnsi="Cambria"/>
          <w:sz w:val="20"/>
          <w:szCs w:val="20"/>
        </w:rPr>
        <w:t xml:space="preserve"> that the petition is inadmissible because domestic remedies were not exhausted. In </w:t>
      </w:r>
      <w:r w:rsidR="00F039A1" w:rsidRPr="00BD4510">
        <w:rPr>
          <w:rFonts w:ascii="Cambria" w:hAnsi="Cambria"/>
          <w:sz w:val="20"/>
          <w:szCs w:val="20"/>
        </w:rPr>
        <w:t>relation to the criminal proceedings</w:t>
      </w:r>
      <w:r w:rsidRPr="00BD4510">
        <w:rPr>
          <w:rFonts w:ascii="Cambria" w:hAnsi="Cambria"/>
          <w:sz w:val="20"/>
          <w:szCs w:val="20"/>
        </w:rPr>
        <w:t xml:space="preserve">, </w:t>
      </w:r>
      <w:r w:rsidR="00F039A1" w:rsidRPr="00BD4510">
        <w:rPr>
          <w:rFonts w:ascii="Cambria" w:hAnsi="Cambria"/>
          <w:sz w:val="20"/>
          <w:szCs w:val="20"/>
        </w:rPr>
        <w:t>it</w:t>
      </w:r>
      <w:r w:rsidRPr="00BD4510">
        <w:rPr>
          <w:rFonts w:ascii="Cambria" w:hAnsi="Cambria"/>
          <w:sz w:val="20"/>
          <w:szCs w:val="20"/>
        </w:rPr>
        <w:t xml:space="preserve"> maintains that the </w:t>
      </w:r>
      <w:r w:rsidR="00F039A1" w:rsidRPr="00BD4510">
        <w:rPr>
          <w:rFonts w:ascii="Cambria" w:hAnsi="Cambria"/>
          <w:sz w:val="20"/>
          <w:szCs w:val="20"/>
        </w:rPr>
        <w:t>events are under investigation by the</w:t>
      </w:r>
      <w:r w:rsidRPr="00BD4510">
        <w:rPr>
          <w:rFonts w:ascii="Cambria" w:hAnsi="Cambria"/>
          <w:sz w:val="20"/>
          <w:szCs w:val="20"/>
        </w:rPr>
        <w:t xml:space="preserve"> ordinary justice and transitional justice within the framework of the Justice and Peace Law. It </w:t>
      </w:r>
      <w:r w:rsidR="00F039A1" w:rsidRPr="00BD4510">
        <w:rPr>
          <w:rFonts w:ascii="Cambria" w:hAnsi="Cambria"/>
          <w:sz w:val="20"/>
          <w:szCs w:val="20"/>
        </w:rPr>
        <w:t>points out</w:t>
      </w:r>
      <w:r w:rsidRPr="00BD4510">
        <w:rPr>
          <w:rFonts w:ascii="Cambria" w:hAnsi="Cambria"/>
          <w:sz w:val="20"/>
          <w:szCs w:val="20"/>
        </w:rPr>
        <w:t xml:space="preserve"> that </w:t>
      </w:r>
      <w:r w:rsidR="00F039A1" w:rsidRPr="00BD4510">
        <w:rPr>
          <w:rFonts w:ascii="Cambria" w:hAnsi="Cambria"/>
          <w:sz w:val="20"/>
          <w:szCs w:val="20"/>
        </w:rPr>
        <w:t xml:space="preserve">since September 22, 2011, </w:t>
      </w:r>
      <w:r w:rsidRPr="00BD4510">
        <w:rPr>
          <w:rFonts w:ascii="Cambria" w:hAnsi="Cambria"/>
          <w:sz w:val="20"/>
          <w:szCs w:val="20"/>
        </w:rPr>
        <w:t>the case has been brought to the attention of the Court of Justice and Peace of Barra</w:t>
      </w:r>
      <w:r w:rsidR="00825E2E" w:rsidRPr="00BD4510">
        <w:rPr>
          <w:rFonts w:ascii="Cambria" w:hAnsi="Cambria"/>
          <w:sz w:val="20"/>
          <w:szCs w:val="20"/>
        </w:rPr>
        <w:t>n</w:t>
      </w:r>
      <w:r w:rsidRPr="00BD4510">
        <w:rPr>
          <w:rFonts w:ascii="Cambria" w:hAnsi="Cambria"/>
          <w:sz w:val="20"/>
          <w:szCs w:val="20"/>
        </w:rPr>
        <w:t xml:space="preserve">quilla. It </w:t>
      </w:r>
      <w:r w:rsidR="00F039A1" w:rsidRPr="00BD4510">
        <w:rPr>
          <w:rFonts w:ascii="Cambria" w:hAnsi="Cambria"/>
          <w:sz w:val="20"/>
          <w:szCs w:val="20"/>
        </w:rPr>
        <w:t xml:space="preserve">argues that preventive detention was ordered against four individuals </w:t>
      </w:r>
      <w:r w:rsidRPr="00BD4510">
        <w:rPr>
          <w:rFonts w:ascii="Cambria" w:hAnsi="Cambria"/>
          <w:sz w:val="20"/>
          <w:szCs w:val="20"/>
        </w:rPr>
        <w:t xml:space="preserve">after </w:t>
      </w:r>
      <w:r w:rsidR="00825E2E" w:rsidRPr="00BD4510">
        <w:rPr>
          <w:rFonts w:ascii="Cambria" w:hAnsi="Cambria"/>
          <w:sz w:val="20"/>
          <w:szCs w:val="20"/>
        </w:rPr>
        <w:t>investigations carried out</w:t>
      </w:r>
      <w:r w:rsidRPr="00BD4510">
        <w:rPr>
          <w:rFonts w:ascii="Cambria" w:hAnsi="Cambria"/>
          <w:sz w:val="20"/>
          <w:szCs w:val="20"/>
        </w:rPr>
        <w:t xml:space="preserve"> </w:t>
      </w:r>
      <w:r w:rsidR="00FB5281" w:rsidRPr="00BD4510">
        <w:rPr>
          <w:rFonts w:ascii="Cambria" w:hAnsi="Cambria"/>
          <w:sz w:val="20"/>
          <w:szCs w:val="20"/>
        </w:rPr>
        <w:t>by</w:t>
      </w:r>
      <w:r w:rsidRPr="00BD4510">
        <w:rPr>
          <w:rFonts w:ascii="Cambria" w:hAnsi="Cambria"/>
          <w:sz w:val="20"/>
          <w:szCs w:val="20"/>
        </w:rPr>
        <w:t xml:space="preserve"> the Office of the Prosecutor and </w:t>
      </w:r>
      <w:r w:rsidR="00825E2E" w:rsidRPr="00BD4510">
        <w:rPr>
          <w:rFonts w:ascii="Cambria" w:hAnsi="Cambria"/>
          <w:sz w:val="20"/>
          <w:szCs w:val="20"/>
        </w:rPr>
        <w:t>depositions</w:t>
      </w:r>
      <w:r w:rsidRPr="00BD4510">
        <w:rPr>
          <w:rFonts w:ascii="Cambria" w:hAnsi="Cambria"/>
          <w:sz w:val="20"/>
          <w:szCs w:val="20"/>
        </w:rPr>
        <w:t xml:space="preserve"> </w:t>
      </w:r>
      <w:r w:rsidR="00825E2E" w:rsidRPr="00BD4510">
        <w:rPr>
          <w:rFonts w:ascii="Cambria" w:hAnsi="Cambria"/>
          <w:sz w:val="20"/>
          <w:szCs w:val="20"/>
        </w:rPr>
        <w:t>from some demobilized paramilitaries</w:t>
      </w:r>
      <w:r w:rsidR="00F039A1" w:rsidRPr="00BD4510">
        <w:rPr>
          <w:rFonts w:ascii="Cambria" w:hAnsi="Cambria"/>
          <w:sz w:val="20"/>
          <w:szCs w:val="20"/>
        </w:rPr>
        <w:t>.</w:t>
      </w:r>
      <w:r w:rsidRPr="00BD4510">
        <w:rPr>
          <w:rFonts w:ascii="Cambria" w:hAnsi="Cambria"/>
          <w:sz w:val="20"/>
          <w:szCs w:val="20"/>
        </w:rPr>
        <w:t xml:space="preserve"> It states that </w:t>
      </w:r>
      <w:r w:rsidR="00F039A1" w:rsidRPr="00BD4510">
        <w:rPr>
          <w:rFonts w:ascii="Cambria" w:hAnsi="Cambria"/>
          <w:sz w:val="20"/>
          <w:szCs w:val="20"/>
        </w:rPr>
        <w:t>because of</w:t>
      </w:r>
      <w:r w:rsidRPr="00BD4510">
        <w:rPr>
          <w:rFonts w:ascii="Cambria" w:hAnsi="Cambria"/>
          <w:sz w:val="20"/>
          <w:szCs w:val="20"/>
        </w:rPr>
        <w:t xml:space="preserve"> the complexity of the </w:t>
      </w:r>
      <w:r w:rsidR="00F039A1" w:rsidRPr="00BD4510">
        <w:rPr>
          <w:rFonts w:ascii="Cambria" w:hAnsi="Cambria"/>
          <w:sz w:val="20"/>
          <w:szCs w:val="20"/>
        </w:rPr>
        <w:t>events</w:t>
      </w:r>
      <w:r w:rsidRPr="00BD4510">
        <w:rPr>
          <w:rFonts w:ascii="Cambria" w:hAnsi="Cambria"/>
          <w:sz w:val="20"/>
          <w:szCs w:val="20"/>
        </w:rPr>
        <w:t xml:space="preserve"> and the number of victims, there </w:t>
      </w:r>
      <w:r w:rsidR="00F039A1" w:rsidRPr="00BD4510">
        <w:rPr>
          <w:rFonts w:ascii="Cambria" w:hAnsi="Cambria"/>
          <w:sz w:val="20"/>
          <w:szCs w:val="20"/>
        </w:rPr>
        <w:t>has</w:t>
      </w:r>
      <w:r w:rsidRPr="00BD4510">
        <w:rPr>
          <w:rFonts w:ascii="Cambria" w:hAnsi="Cambria"/>
          <w:sz w:val="20"/>
          <w:szCs w:val="20"/>
        </w:rPr>
        <w:t xml:space="preserve"> </w:t>
      </w:r>
      <w:r w:rsidR="00FB5281" w:rsidRPr="00BD4510">
        <w:rPr>
          <w:rFonts w:ascii="Cambria" w:hAnsi="Cambria"/>
          <w:sz w:val="20"/>
          <w:szCs w:val="20"/>
        </w:rPr>
        <w:t xml:space="preserve">been </w:t>
      </w:r>
      <w:r w:rsidRPr="00BD4510">
        <w:rPr>
          <w:rFonts w:ascii="Cambria" w:hAnsi="Cambria"/>
          <w:sz w:val="20"/>
          <w:szCs w:val="20"/>
        </w:rPr>
        <w:t xml:space="preserve">no unwarranted delay in justice, </w:t>
      </w:r>
      <w:r w:rsidR="00FB5281" w:rsidRPr="00BD4510">
        <w:rPr>
          <w:rFonts w:ascii="Cambria" w:hAnsi="Cambria"/>
          <w:sz w:val="20"/>
          <w:szCs w:val="20"/>
        </w:rPr>
        <w:t>as</w:t>
      </w:r>
      <w:r w:rsidRPr="00BD4510">
        <w:rPr>
          <w:rFonts w:ascii="Cambria" w:hAnsi="Cambria"/>
          <w:sz w:val="20"/>
          <w:szCs w:val="20"/>
        </w:rPr>
        <w:t xml:space="preserve"> the judicial authorities are complying with the procedures for investigation, prosecution and punishment in a diligent manner.</w:t>
      </w:r>
    </w:p>
    <w:p w14:paraId="36C1AB23" w14:textId="6F0C753E" w:rsidR="00D8426C" w:rsidRPr="00BD4510" w:rsidRDefault="00E62E8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 xml:space="preserve">In addition, </w:t>
      </w:r>
      <w:r w:rsidR="00D0193D" w:rsidRPr="00BD4510">
        <w:rPr>
          <w:rFonts w:ascii="Cambria" w:hAnsi="Cambria"/>
          <w:sz w:val="20"/>
          <w:szCs w:val="20"/>
        </w:rPr>
        <w:t>the State</w:t>
      </w:r>
      <w:r w:rsidRPr="00BD4510">
        <w:rPr>
          <w:rFonts w:ascii="Cambria" w:hAnsi="Cambria"/>
          <w:sz w:val="20"/>
          <w:szCs w:val="20"/>
        </w:rPr>
        <w:t xml:space="preserve"> indicates that the 14th Military </w:t>
      </w:r>
      <w:r w:rsidR="00906B1F" w:rsidRPr="00BD4510">
        <w:rPr>
          <w:rFonts w:ascii="Cambria" w:hAnsi="Cambria"/>
          <w:sz w:val="20"/>
          <w:szCs w:val="20"/>
        </w:rPr>
        <w:t xml:space="preserve">Criminal </w:t>
      </w:r>
      <w:r w:rsidR="00D0193D" w:rsidRPr="00BD4510">
        <w:rPr>
          <w:rFonts w:ascii="Cambria" w:hAnsi="Cambria"/>
          <w:sz w:val="20"/>
          <w:szCs w:val="20"/>
        </w:rPr>
        <w:t xml:space="preserve">Court </w:t>
      </w:r>
      <w:r w:rsidRPr="00BD4510">
        <w:rPr>
          <w:rFonts w:ascii="Cambria" w:hAnsi="Cambria"/>
          <w:sz w:val="20"/>
          <w:szCs w:val="20"/>
        </w:rPr>
        <w:t xml:space="preserve">initiated a preliminary investigation into the </w:t>
      </w:r>
      <w:r w:rsidR="00D0193D" w:rsidRPr="00BD4510">
        <w:rPr>
          <w:rFonts w:ascii="Cambria" w:hAnsi="Cambria"/>
          <w:sz w:val="20"/>
          <w:szCs w:val="20"/>
        </w:rPr>
        <w:t>events</w:t>
      </w:r>
      <w:r w:rsidRPr="00BD4510">
        <w:rPr>
          <w:rFonts w:ascii="Cambria" w:hAnsi="Cambria"/>
          <w:sz w:val="20"/>
          <w:szCs w:val="20"/>
        </w:rPr>
        <w:t xml:space="preserve"> </w:t>
      </w:r>
      <w:r w:rsidR="00D0193D" w:rsidRPr="00BD4510">
        <w:rPr>
          <w:rFonts w:ascii="Cambria" w:hAnsi="Cambria"/>
          <w:sz w:val="20"/>
          <w:szCs w:val="20"/>
        </w:rPr>
        <w:t>and</w:t>
      </w:r>
      <w:r w:rsidR="00B1733C" w:rsidRPr="00BD4510">
        <w:rPr>
          <w:rFonts w:ascii="Cambria" w:hAnsi="Cambria"/>
          <w:sz w:val="20"/>
          <w:szCs w:val="20"/>
        </w:rPr>
        <w:t xml:space="preserve"> that</w:t>
      </w:r>
      <w:r w:rsidR="00D0193D" w:rsidRPr="00BD4510">
        <w:rPr>
          <w:rFonts w:ascii="Cambria" w:hAnsi="Cambria"/>
          <w:sz w:val="20"/>
          <w:szCs w:val="20"/>
        </w:rPr>
        <w:t xml:space="preserve"> </w:t>
      </w:r>
      <w:r w:rsidR="00B1733C" w:rsidRPr="00BD4510">
        <w:rPr>
          <w:rFonts w:ascii="Cambria" w:hAnsi="Cambria"/>
          <w:sz w:val="20"/>
          <w:szCs w:val="20"/>
        </w:rPr>
        <w:t xml:space="preserve">on April 8, 1999 - </w:t>
      </w:r>
      <w:r w:rsidR="00D0193D" w:rsidRPr="00BD4510">
        <w:rPr>
          <w:rFonts w:ascii="Cambria" w:hAnsi="Cambria"/>
          <w:sz w:val="20"/>
          <w:szCs w:val="20"/>
        </w:rPr>
        <w:t>when it found no</w:t>
      </w:r>
      <w:r w:rsidRPr="00BD4510">
        <w:rPr>
          <w:rFonts w:ascii="Cambria" w:hAnsi="Cambria"/>
          <w:sz w:val="20"/>
          <w:szCs w:val="20"/>
        </w:rPr>
        <w:t xml:space="preserve"> evidence of actions or omissions by the </w:t>
      </w:r>
      <w:r w:rsidR="00B1733C" w:rsidRPr="00BD4510">
        <w:rPr>
          <w:rFonts w:ascii="Cambria" w:hAnsi="Cambria"/>
          <w:sz w:val="20"/>
          <w:szCs w:val="20"/>
        </w:rPr>
        <w:t>Armed F</w:t>
      </w:r>
      <w:r w:rsidR="00D0193D" w:rsidRPr="00BD4510">
        <w:rPr>
          <w:rFonts w:ascii="Cambria" w:hAnsi="Cambria"/>
          <w:sz w:val="20"/>
          <w:szCs w:val="20"/>
        </w:rPr>
        <w:t>orces</w:t>
      </w:r>
      <w:r w:rsidR="00B1733C" w:rsidRPr="00BD4510">
        <w:rPr>
          <w:rFonts w:ascii="Cambria" w:hAnsi="Cambria"/>
          <w:sz w:val="20"/>
          <w:szCs w:val="20"/>
        </w:rPr>
        <w:t xml:space="preserve"> - </w:t>
      </w:r>
      <w:r w:rsidRPr="00BD4510">
        <w:rPr>
          <w:rFonts w:ascii="Cambria" w:hAnsi="Cambria"/>
          <w:sz w:val="20"/>
          <w:szCs w:val="20"/>
        </w:rPr>
        <w:t xml:space="preserve">it decided </w:t>
      </w:r>
      <w:r w:rsidR="00B1733C" w:rsidRPr="00BD4510">
        <w:rPr>
          <w:rFonts w:ascii="Cambria" w:hAnsi="Cambria"/>
          <w:sz w:val="20"/>
          <w:szCs w:val="20"/>
        </w:rPr>
        <w:t>not to initiate</w:t>
      </w:r>
      <w:r w:rsidRPr="00BD4510">
        <w:rPr>
          <w:rFonts w:ascii="Cambria" w:hAnsi="Cambria"/>
          <w:sz w:val="20"/>
          <w:szCs w:val="20"/>
        </w:rPr>
        <w:t xml:space="preserve"> proceedings a</w:t>
      </w:r>
      <w:r w:rsidR="00D0193D" w:rsidRPr="00BD4510">
        <w:rPr>
          <w:rFonts w:ascii="Cambria" w:hAnsi="Cambria"/>
          <w:sz w:val="20"/>
          <w:szCs w:val="20"/>
        </w:rPr>
        <w:t>gainst the military personnel.</w:t>
      </w:r>
      <w:r w:rsidRPr="00BD4510">
        <w:rPr>
          <w:rFonts w:ascii="Cambria" w:hAnsi="Cambria"/>
          <w:sz w:val="20"/>
          <w:szCs w:val="20"/>
        </w:rPr>
        <w:t xml:space="preserve"> It indic</w:t>
      </w:r>
      <w:r w:rsidR="00B1733C" w:rsidRPr="00BD4510">
        <w:rPr>
          <w:rFonts w:ascii="Cambria" w:hAnsi="Cambria"/>
          <w:sz w:val="20"/>
          <w:szCs w:val="20"/>
        </w:rPr>
        <w:t>ates that disciplinary proceedings were</w:t>
      </w:r>
      <w:r w:rsidRPr="00BD4510">
        <w:rPr>
          <w:rFonts w:ascii="Cambria" w:hAnsi="Cambria"/>
          <w:sz w:val="20"/>
          <w:szCs w:val="20"/>
        </w:rPr>
        <w:t xml:space="preserve"> initiated and </w:t>
      </w:r>
      <w:r w:rsidR="00D0193D" w:rsidRPr="00BD4510">
        <w:rPr>
          <w:rFonts w:ascii="Cambria" w:hAnsi="Cambria"/>
          <w:sz w:val="20"/>
          <w:szCs w:val="20"/>
        </w:rPr>
        <w:t xml:space="preserve">archived on March 19, 1999, </w:t>
      </w:r>
      <w:r w:rsidR="00B1733C" w:rsidRPr="00BD4510">
        <w:rPr>
          <w:rFonts w:ascii="Cambria" w:hAnsi="Cambria"/>
          <w:sz w:val="20"/>
          <w:szCs w:val="20"/>
        </w:rPr>
        <w:t>for being groundless</w:t>
      </w:r>
      <w:r w:rsidRPr="00BD4510">
        <w:rPr>
          <w:rFonts w:ascii="Cambria" w:hAnsi="Cambria"/>
          <w:sz w:val="20"/>
          <w:szCs w:val="20"/>
        </w:rPr>
        <w:t>.</w:t>
      </w:r>
    </w:p>
    <w:p w14:paraId="2D8D8007" w14:textId="1403BB9A" w:rsidR="00D8426C" w:rsidRPr="00BD4510" w:rsidRDefault="000B77A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The State</w:t>
      </w:r>
      <w:r w:rsidR="00E62E88" w:rsidRPr="00BD4510">
        <w:rPr>
          <w:rFonts w:ascii="Cambria" w:hAnsi="Cambria"/>
          <w:sz w:val="20"/>
          <w:szCs w:val="20"/>
        </w:rPr>
        <w:t xml:space="preserve"> maintains that the petitioner </w:t>
      </w:r>
      <w:r w:rsidR="006D3C32" w:rsidRPr="00BD4510">
        <w:rPr>
          <w:rFonts w:ascii="Cambria" w:hAnsi="Cambria"/>
          <w:sz w:val="20"/>
          <w:szCs w:val="20"/>
        </w:rPr>
        <w:t xml:space="preserve">has failed to </w:t>
      </w:r>
      <w:r w:rsidR="00B1733C" w:rsidRPr="00BD4510">
        <w:rPr>
          <w:rFonts w:ascii="Cambria" w:hAnsi="Cambria"/>
          <w:sz w:val="20"/>
          <w:szCs w:val="20"/>
        </w:rPr>
        <w:t>resort to</w:t>
      </w:r>
      <w:r w:rsidR="00E62E88" w:rsidRPr="00BD4510">
        <w:rPr>
          <w:rFonts w:ascii="Cambria" w:hAnsi="Cambria"/>
          <w:sz w:val="20"/>
          <w:szCs w:val="20"/>
        </w:rPr>
        <w:t xml:space="preserve"> the contentious-administrative jurisdiction through the action of direct reparation, </w:t>
      </w:r>
      <w:r w:rsidR="006D3C32" w:rsidRPr="00BD4510">
        <w:rPr>
          <w:rFonts w:ascii="Cambria" w:hAnsi="Cambria"/>
          <w:sz w:val="20"/>
          <w:szCs w:val="20"/>
        </w:rPr>
        <w:t>the</w:t>
      </w:r>
      <w:r w:rsidR="00E62E88" w:rsidRPr="00BD4510">
        <w:rPr>
          <w:rFonts w:ascii="Cambria" w:hAnsi="Cambria"/>
          <w:sz w:val="20"/>
          <w:szCs w:val="20"/>
        </w:rPr>
        <w:t xml:space="preserve"> effective mechanism to determine the responsibility of the State and </w:t>
      </w:r>
      <w:r w:rsidR="006D3C32" w:rsidRPr="00BD4510">
        <w:rPr>
          <w:rFonts w:ascii="Cambria" w:hAnsi="Cambria"/>
          <w:sz w:val="20"/>
          <w:szCs w:val="20"/>
        </w:rPr>
        <w:t>to obtain pa</w:t>
      </w:r>
      <w:r w:rsidR="00E62E88" w:rsidRPr="00BD4510">
        <w:rPr>
          <w:rFonts w:ascii="Cambria" w:hAnsi="Cambria"/>
          <w:sz w:val="20"/>
          <w:szCs w:val="20"/>
        </w:rPr>
        <w:t xml:space="preserve">yment of compensation. It notes that some </w:t>
      </w:r>
      <w:r w:rsidR="00374AF7" w:rsidRPr="00BD4510">
        <w:rPr>
          <w:rFonts w:ascii="Cambria" w:hAnsi="Cambria"/>
          <w:sz w:val="20"/>
          <w:szCs w:val="20"/>
        </w:rPr>
        <w:t xml:space="preserve">of the </w:t>
      </w:r>
      <w:r w:rsidR="00E62E88" w:rsidRPr="00BD4510">
        <w:rPr>
          <w:rFonts w:ascii="Cambria" w:hAnsi="Cambria"/>
          <w:sz w:val="20"/>
          <w:szCs w:val="20"/>
        </w:rPr>
        <w:t xml:space="preserve">alleged victims </w:t>
      </w:r>
      <w:r w:rsidR="00374AF7" w:rsidRPr="00BD4510">
        <w:rPr>
          <w:rFonts w:ascii="Cambria" w:hAnsi="Cambria"/>
          <w:sz w:val="20"/>
          <w:szCs w:val="20"/>
        </w:rPr>
        <w:t>filed</w:t>
      </w:r>
      <w:r w:rsidR="00E62E88" w:rsidRPr="00BD4510">
        <w:rPr>
          <w:rFonts w:ascii="Cambria" w:hAnsi="Cambria"/>
          <w:sz w:val="20"/>
          <w:szCs w:val="20"/>
        </w:rPr>
        <w:t xml:space="preserve"> a req</w:t>
      </w:r>
      <w:r w:rsidR="00374AF7" w:rsidRPr="00BD4510">
        <w:rPr>
          <w:rFonts w:ascii="Cambria" w:hAnsi="Cambria"/>
          <w:sz w:val="20"/>
          <w:szCs w:val="20"/>
        </w:rPr>
        <w:t>uest for conciliation before</w:t>
      </w:r>
      <w:r w:rsidR="00E62E88" w:rsidRPr="00BD4510">
        <w:rPr>
          <w:rFonts w:ascii="Cambria" w:hAnsi="Cambria"/>
          <w:sz w:val="20"/>
          <w:szCs w:val="20"/>
        </w:rPr>
        <w:t xml:space="preserve"> </w:t>
      </w:r>
      <w:r w:rsidR="00B1733C" w:rsidRPr="00BD4510">
        <w:rPr>
          <w:rFonts w:ascii="Cambria" w:hAnsi="Cambria"/>
          <w:sz w:val="20"/>
          <w:szCs w:val="20"/>
        </w:rPr>
        <w:t xml:space="preserve">the </w:t>
      </w:r>
      <w:r w:rsidR="00E62E88" w:rsidRPr="00BD4510">
        <w:rPr>
          <w:rFonts w:ascii="Cambria" w:hAnsi="Cambria"/>
          <w:sz w:val="20"/>
          <w:szCs w:val="20"/>
        </w:rPr>
        <w:t xml:space="preserve">First Judicial Procurator for Administrative </w:t>
      </w:r>
      <w:r w:rsidR="00B1733C" w:rsidRPr="00BD4510">
        <w:rPr>
          <w:rFonts w:ascii="Cambria" w:hAnsi="Cambria"/>
          <w:sz w:val="20"/>
          <w:szCs w:val="20"/>
        </w:rPr>
        <w:t>Affaires</w:t>
      </w:r>
      <w:r w:rsidR="00374AF7" w:rsidRPr="00BD4510">
        <w:rPr>
          <w:rFonts w:ascii="Cambria" w:hAnsi="Cambria"/>
          <w:sz w:val="20"/>
          <w:szCs w:val="20"/>
        </w:rPr>
        <w:t xml:space="preserve"> of Santa Marta</w:t>
      </w:r>
      <w:r w:rsidR="00E62E88" w:rsidRPr="00BD4510">
        <w:rPr>
          <w:rFonts w:ascii="Cambria" w:hAnsi="Cambria"/>
          <w:sz w:val="20"/>
          <w:szCs w:val="20"/>
        </w:rPr>
        <w:t>, which is pending resolution.</w:t>
      </w:r>
    </w:p>
    <w:p w14:paraId="3989BEEC" w14:textId="68A9FD0B" w:rsidR="00D8426C" w:rsidRPr="00BD4510" w:rsidRDefault="00234E4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Additionally, the State maintains</w:t>
      </w:r>
      <w:r w:rsidR="00E62E88" w:rsidRPr="00BD4510">
        <w:rPr>
          <w:rFonts w:ascii="Cambria" w:hAnsi="Cambria"/>
          <w:sz w:val="20"/>
          <w:szCs w:val="20"/>
        </w:rPr>
        <w:t xml:space="preserve"> that the </w:t>
      </w:r>
      <w:r w:rsidRPr="00BD4510">
        <w:rPr>
          <w:rFonts w:ascii="Cambria" w:hAnsi="Cambria"/>
          <w:sz w:val="20"/>
          <w:szCs w:val="20"/>
        </w:rPr>
        <w:t>events presented in the petition</w:t>
      </w:r>
      <w:r w:rsidR="00E62E88" w:rsidRPr="00BD4510">
        <w:rPr>
          <w:rFonts w:ascii="Cambria" w:hAnsi="Cambria"/>
          <w:sz w:val="20"/>
          <w:szCs w:val="20"/>
        </w:rPr>
        <w:t xml:space="preserve"> </w:t>
      </w:r>
      <w:r w:rsidR="00B1733C" w:rsidRPr="00BD4510">
        <w:rPr>
          <w:rFonts w:ascii="Cambria" w:hAnsi="Cambria"/>
          <w:sz w:val="20"/>
          <w:szCs w:val="20"/>
        </w:rPr>
        <w:t>fail to</w:t>
      </w:r>
      <w:r w:rsidR="00E62E88" w:rsidRPr="00BD4510">
        <w:rPr>
          <w:rFonts w:ascii="Cambria" w:hAnsi="Cambria"/>
          <w:sz w:val="20"/>
          <w:szCs w:val="20"/>
        </w:rPr>
        <w:t xml:space="preserve"> characterize violations of human rights, since </w:t>
      </w:r>
      <w:r w:rsidR="00B1733C" w:rsidRPr="00BD4510">
        <w:rPr>
          <w:rFonts w:ascii="Cambria" w:hAnsi="Cambria"/>
          <w:sz w:val="20"/>
          <w:szCs w:val="20"/>
        </w:rPr>
        <w:t xml:space="preserve">the actions in </w:t>
      </w:r>
      <w:proofErr w:type="spellStart"/>
      <w:r w:rsidR="00B1733C" w:rsidRPr="00BD4510">
        <w:rPr>
          <w:rFonts w:ascii="Cambria" w:hAnsi="Cambria"/>
          <w:sz w:val="20"/>
          <w:szCs w:val="20"/>
        </w:rPr>
        <w:t>Playón</w:t>
      </w:r>
      <w:proofErr w:type="spellEnd"/>
      <w:r w:rsidR="00B1733C" w:rsidRPr="00BD4510">
        <w:rPr>
          <w:rFonts w:ascii="Cambria" w:hAnsi="Cambria"/>
          <w:sz w:val="20"/>
          <w:szCs w:val="20"/>
        </w:rPr>
        <w:t xml:space="preserve"> de Orozco were</w:t>
      </w:r>
      <w:r w:rsidR="00E62E88" w:rsidRPr="00BD4510">
        <w:rPr>
          <w:rFonts w:ascii="Cambria" w:hAnsi="Cambria"/>
          <w:sz w:val="20"/>
          <w:szCs w:val="20"/>
        </w:rPr>
        <w:t xml:space="preserve"> </w:t>
      </w:r>
      <w:r w:rsidR="00B1733C" w:rsidRPr="00BD4510">
        <w:rPr>
          <w:rFonts w:ascii="Cambria" w:hAnsi="Cambria"/>
          <w:sz w:val="20"/>
          <w:szCs w:val="20"/>
        </w:rPr>
        <w:t>perpetrated</w:t>
      </w:r>
      <w:r w:rsidR="00E62E88" w:rsidRPr="00BD4510">
        <w:rPr>
          <w:rFonts w:ascii="Cambria" w:hAnsi="Cambria"/>
          <w:sz w:val="20"/>
          <w:szCs w:val="20"/>
        </w:rPr>
        <w:t xml:space="preserve"> by private third parties, apparently members of the AUC. It highlights that the petitioner</w:t>
      </w:r>
      <w:r w:rsidR="00B1733C" w:rsidRPr="00BD4510">
        <w:rPr>
          <w:rFonts w:ascii="Cambria" w:hAnsi="Cambria"/>
          <w:sz w:val="20"/>
          <w:szCs w:val="20"/>
        </w:rPr>
        <w:t xml:space="preserve"> has not demonstrated that the S</w:t>
      </w:r>
      <w:r w:rsidR="00E62E88" w:rsidRPr="00BD4510">
        <w:rPr>
          <w:rFonts w:ascii="Cambria" w:hAnsi="Cambria"/>
          <w:sz w:val="20"/>
          <w:szCs w:val="20"/>
        </w:rPr>
        <w:t>tate authorities were aware of a risk in the area or their participation in the events.</w:t>
      </w:r>
    </w:p>
    <w:p w14:paraId="55505107" w14:textId="28153572" w:rsidR="00F621C3" w:rsidRPr="00BD4510" w:rsidRDefault="00F621C3" w:rsidP="00F621C3">
      <w:pPr>
        <w:spacing w:before="240" w:after="240"/>
        <w:ind w:firstLine="720"/>
        <w:jc w:val="both"/>
        <w:rPr>
          <w:rFonts w:ascii="Cambria" w:hAnsi="Cambria"/>
          <w:sz w:val="20"/>
          <w:szCs w:val="20"/>
        </w:rPr>
      </w:pPr>
      <w:r w:rsidRPr="00BD4510">
        <w:rPr>
          <w:rFonts w:asciiTheme="majorHAnsi" w:eastAsia="Cambria" w:hAnsiTheme="majorHAnsi" w:cs="Cambria"/>
          <w:b/>
          <w:bCs/>
          <w:color w:val="000000"/>
          <w:sz w:val="20"/>
          <w:szCs w:val="20"/>
          <w:u w:color="000000"/>
          <w:lang w:eastAsia="es-ES"/>
        </w:rPr>
        <w:t>VI.</w:t>
      </w:r>
      <w:r w:rsidRPr="00BD4510">
        <w:rPr>
          <w:rFonts w:asciiTheme="majorHAnsi" w:eastAsia="Cambria" w:hAnsiTheme="majorHAnsi" w:cs="Cambria"/>
          <w:b/>
          <w:bCs/>
          <w:color w:val="000000"/>
          <w:sz w:val="20"/>
          <w:szCs w:val="20"/>
          <w:u w:color="000000"/>
          <w:lang w:eastAsia="es-ES"/>
        </w:rPr>
        <w:tab/>
      </w:r>
      <w:r w:rsidR="001F1902" w:rsidRPr="00BD4510">
        <w:rPr>
          <w:rFonts w:asciiTheme="majorHAnsi" w:hAnsiTheme="majorHAnsi"/>
          <w:b/>
          <w:bCs/>
          <w:sz w:val="20"/>
          <w:szCs w:val="20"/>
        </w:rPr>
        <w:t xml:space="preserve">ANALYSIS OF </w:t>
      </w:r>
      <w:r w:rsidRPr="00BD4510">
        <w:rPr>
          <w:rFonts w:asciiTheme="majorHAnsi" w:hAnsiTheme="majorHAnsi"/>
          <w:b/>
          <w:sz w:val="20"/>
          <w:szCs w:val="20"/>
        </w:rPr>
        <w:t>EXHAUSTION OF DOMESTIC REMEDIES AND TIMELINESS OF THE PETITION</w:t>
      </w:r>
      <w:r w:rsidRPr="00BD4510">
        <w:rPr>
          <w:rFonts w:asciiTheme="majorHAnsi" w:eastAsia="Cambria" w:hAnsiTheme="majorHAnsi" w:cs="Cambria"/>
          <w:b/>
          <w:bCs/>
          <w:color w:val="000000"/>
          <w:sz w:val="20"/>
          <w:szCs w:val="20"/>
          <w:u w:color="000000"/>
          <w:lang w:eastAsia="es-ES"/>
        </w:rPr>
        <w:t xml:space="preserve"> </w:t>
      </w:r>
    </w:p>
    <w:p w14:paraId="05415C74" w14:textId="551F8092" w:rsidR="00F621C3" w:rsidRPr="00BD4510" w:rsidRDefault="00E62E8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 xml:space="preserve">The petitioner maintains that the investigations </w:t>
      </w:r>
      <w:r w:rsidR="00D605FE" w:rsidRPr="00BD4510">
        <w:rPr>
          <w:rFonts w:ascii="Cambria" w:hAnsi="Cambria"/>
          <w:sz w:val="20"/>
          <w:szCs w:val="20"/>
        </w:rPr>
        <w:t>are still pending</w:t>
      </w:r>
      <w:r w:rsidRPr="00BD4510">
        <w:rPr>
          <w:rFonts w:ascii="Cambria" w:hAnsi="Cambria"/>
          <w:sz w:val="20"/>
          <w:szCs w:val="20"/>
        </w:rPr>
        <w:t xml:space="preserve"> </w:t>
      </w:r>
      <w:r w:rsidR="00823304" w:rsidRPr="00BD4510">
        <w:rPr>
          <w:rFonts w:ascii="Cambria" w:hAnsi="Cambria"/>
          <w:sz w:val="20"/>
          <w:szCs w:val="20"/>
        </w:rPr>
        <w:t>and none of the perpetrators has been punished</w:t>
      </w:r>
      <w:r w:rsidRPr="00BD4510">
        <w:rPr>
          <w:rFonts w:ascii="Cambria" w:hAnsi="Cambria"/>
          <w:sz w:val="20"/>
          <w:szCs w:val="20"/>
        </w:rPr>
        <w:t xml:space="preserve">. </w:t>
      </w:r>
      <w:r w:rsidR="00823304" w:rsidRPr="00BD4510">
        <w:rPr>
          <w:rFonts w:ascii="Cambria" w:hAnsi="Cambria"/>
          <w:sz w:val="20"/>
          <w:szCs w:val="20"/>
        </w:rPr>
        <w:t>He argues</w:t>
      </w:r>
      <w:r w:rsidRPr="00BD4510">
        <w:rPr>
          <w:rFonts w:ascii="Cambria" w:hAnsi="Cambria"/>
          <w:sz w:val="20"/>
          <w:szCs w:val="20"/>
        </w:rPr>
        <w:t xml:space="preserve"> that, as a consequence, there is an unjustified delay in justice. For its part, the State indicates that remedies </w:t>
      </w:r>
      <w:r w:rsidR="00823304" w:rsidRPr="00BD4510">
        <w:rPr>
          <w:rFonts w:ascii="Cambria" w:hAnsi="Cambria"/>
          <w:sz w:val="20"/>
          <w:szCs w:val="20"/>
        </w:rPr>
        <w:t>have</w:t>
      </w:r>
      <w:r w:rsidRPr="00BD4510">
        <w:rPr>
          <w:rFonts w:ascii="Cambria" w:hAnsi="Cambria"/>
          <w:sz w:val="20"/>
          <w:szCs w:val="20"/>
        </w:rPr>
        <w:t xml:space="preserve"> not </w:t>
      </w:r>
      <w:r w:rsidR="00823304" w:rsidRPr="00BD4510">
        <w:rPr>
          <w:rFonts w:ascii="Cambria" w:hAnsi="Cambria"/>
          <w:sz w:val="20"/>
          <w:szCs w:val="20"/>
        </w:rPr>
        <w:t xml:space="preserve">been </w:t>
      </w:r>
      <w:r w:rsidRPr="00BD4510">
        <w:rPr>
          <w:rFonts w:ascii="Cambria" w:hAnsi="Cambria"/>
          <w:sz w:val="20"/>
          <w:szCs w:val="20"/>
        </w:rPr>
        <w:t>exhausted, since the criminal proceeding</w:t>
      </w:r>
      <w:r w:rsidR="00823304" w:rsidRPr="00BD4510">
        <w:rPr>
          <w:rFonts w:ascii="Cambria" w:hAnsi="Cambria"/>
          <w:sz w:val="20"/>
          <w:szCs w:val="20"/>
        </w:rPr>
        <w:t>s are</w:t>
      </w:r>
      <w:r w:rsidRPr="00BD4510">
        <w:rPr>
          <w:rFonts w:ascii="Cambria" w:hAnsi="Cambria"/>
          <w:sz w:val="20"/>
          <w:szCs w:val="20"/>
        </w:rPr>
        <w:t xml:space="preserve"> ongoing and, in view of the complexity of the case, there is no unjustified delay.</w:t>
      </w:r>
    </w:p>
    <w:p w14:paraId="6F988721" w14:textId="5D99F757" w:rsidR="00D8426C" w:rsidRPr="00BD4510" w:rsidRDefault="00E62E8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lastRenderedPageBreak/>
        <w:t xml:space="preserve">The Commission has indicated that, as a general rule, a criminal investigation must be </w:t>
      </w:r>
      <w:r w:rsidR="00F17AF0" w:rsidRPr="00BD4510">
        <w:rPr>
          <w:rFonts w:ascii="Cambria" w:hAnsi="Cambria"/>
          <w:sz w:val="20"/>
          <w:szCs w:val="20"/>
        </w:rPr>
        <w:t>undertaken</w:t>
      </w:r>
      <w:r w:rsidRPr="00BD4510">
        <w:rPr>
          <w:rFonts w:ascii="Cambria" w:hAnsi="Cambria"/>
          <w:sz w:val="20"/>
          <w:szCs w:val="20"/>
        </w:rPr>
        <w:t xml:space="preserve"> promptly to protect the interests of the victims, preserve the evidence and </w:t>
      </w:r>
      <w:r w:rsidR="0085722F" w:rsidRPr="00BD4510">
        <w:rPr>
          <w:rFonts w:ascii="Cambria" w:hAnsi="Cambria"/>
          <w:sz w:val="20"/>
          <w:szCs w:val="20"/>
        </w:rPr>
        <w:t xml:space="preserve">even </w:t>
      </w:r>
      <w:r w:rsidRPr="00BD4510">
        <w:rPr>
          <w:rFonts w:ascii="Cambria" w:hAnsi="Cambria"/>
          <w:sz w:val="20"/>
          <w:szCs w:val="20"/>
        </w:rPr>
        <w:t xml:space="preserve">safeguard the rights of any person </w:t>
      </w:r>
      <w:r w:rsidR="00F17AF0" w:rsidRPr="00BD4510">
        <w:rPr>
          <w:rFonts w:ascii="Cambria" w:hAnsi="Cambria"/>
          <w:sz w:val="20"/>
          <w:szCs w:val="20"/>
        </w:rPr>
        <w:t>deemed a suspect in the context of the investigation.</w:t>
      </w:r>
      <w:r w:rsidR="00F17AF0" w:rsidRPr="00BD4510">
        <w:rPr>
          <w:rStyle w:val="FootnoteReference"/>
          <w:rFonts w:ascii="Cambria" w:hAnsi="Cambria"/>
          <w:sz w:val="20"/>
          <w:szCs w:val="20"/>
        </w:rPr>
        <w:footnoteReference w:id="8"/>
      </w:r>
      <w:r w:rsidR="0085722F" w:rsidRPr="00BD4510">
        <w:rPr>
          <w:rFonts w:ascii="Cambria" w:hAnsi="Cambria"/>
          <w:sz w:val="20"/>
          <w:szCs w:val="20"/>
        </w:rPr>
        <w:t xml:space="preserve"> T</w:t>
      </w:r>
      <w:r w:rsidRPr="00BD4510">
        <w:rPr>
          <w:rFonts w:ascii="Cambria" w:hAnsi="Cambria"/>
          <w:sz w:val="20"/>
          <w:szCs w:val="20"/>
        </w:rPr>
        <w:t>he infor</w:t>
      </w:r>
      <w:r w:rsidR="0085722F" w:rsidRPr="00BD4510">
        <w:rPr>
          <w:rFonts w:ascii="Cambria" w:hAnsi="Cambria"/>
          <w:sz w:val="20"/>
          <w:szCs w:val="20"/>
        </w:rPr>
        <w:t xml:space="preserve">mation provided by the </w:t>
      </w:r>
      <w:proofErr w:type="gramStart"/>
      <w:r w:rsidR="0085722F" w:rsidRPr="00BD4510">
        <w:rPr>
          <w:rFonts w:ascii="Cambria" w:hAnsi="Cambria"/>
          <w:sz w:val="20"/>
          <w:szCs w:val="20"/>
        </w:rPr>
        <w:t>parties</w:t>
      </w:r>
      <w:proofErr w:type="gramEnd"/>
      <w:r w:rsidR="0085722F" w:rsidRPr="00BD4510">
        <w:rPr>
          <w:rFonts w:ascii="Cambria" w:hAnsi="Cambria"/>
          <w:sz w:val="20"/>
          <w:szCs w:val="20"/>
        </w:rPr>
        <w:t xml:space="preserve"> shows </w:t>
      </w:r>
      <w:r w:rsidRPr="00BD4510">
        <w:rPr>
          <w:rFonts w:ascii="Cambria" w:hAnsi="Cambria"/>
          <w:sz w:val="20"/>
          <w:szCs w:val="20"/>
        </w:rPr>
        <w:t>that the investigati</w:t>
      </w:r>
      <w:r w:rsidR="00D605FE" w:rsidRPr="00BD4510">
        <w:rPr>
          <w:rFonts w:ascii="Cambria" w:hAnsi="Cambria"/>
          <w:sz w:val="20"/>
          <w:szCs w:val="20"/>
        </w:rPr>
        <w:t>on aimed at clarifying the events</w:t>
      </w:r>
      <w:r w:rsidRPr="00BD4510">
        <w:rPr>
          <w:rFonts w:ascii="Cambria" w:hAnsi="Cambria"/>
          <w:sz w:val="20"/>
          <w:szCs w:val="20"/>
        </w:rPr>
        <w:t xml:space="preserve"> remains open, without </w:t>
      </w:r>
      <w:r w:rsidR="00D605FE" w:rsidRPr="00BD4510">
        <w:rPr>
          <w:rFonts w:ascii="Cambria" w:hAnsi="Cambria"/>
          <w:sz w:val="20"/>
          <w:szCs w:val="20"/>
        </w:rPr>
        <w:t>identification of</w:t>
      </w:r>
      <w:r w:rsidRPr="00BD4510">
        <w:rPr>
          <w:rFonts w:ascii="Cambria" w:hAnsi="Cambria"/>
          <w:sz w:val="20"/>
          <w:szCs w:val="20"/>
        </w:rPr>
        <w:t xml:space="preserve"> </w:t>
      </w:r>
      <w:r w:rsidR="00E5498B" w:rsidRPr="00BD4510">
        <w:rPr>
          <w:rFonts w:ascii="Cambria" w:hAnsi="Cambria"/>
          <w:sz w:val="20"/>
          <w:szCs w:val="20"/>
        </w:rPr>
        <w:t>the perpetrators or instigators of the events</w:t>
      </w:r>
      <w:r w:rsidRPr="00BD4510">
        <w:rPr>
          <w:rFonts w:ascii="Cambria" w:hAnsi="Cambria"/>
          <w:sz w:val="20"/>
          <w:szCs w:val="20"/>
        </w:rPr>
        <w:t xml:space="preserve"> of this petition. Therefore, given the characteristics of the petition and the lapse of time since the facts of the complaint, the Commission considers that the exception provided for in Article 46.2.c of the Convention is applicable. In addition, the Commission considers that the petition was filed within a reasonable period of time and that the admissibility requirement regarding the filing period must be </w:t>
      </w:r>
      <w:r w:rsidR="00E41025" w:rsidRPr="00BD4510">
        <w:rPr>
          <w:rFonts w:ascii="Cambria" w:hAnsi="Cambria"/>
          <w:sz w:val="20"/>
          <w:szCs w:val="20"/>
        </w:rPr>
        <w:t xml:space="preserve">deemed </w:t>
      </w:r>
      <w:r w:rsidRPr="00BD4510">
        <w:rPr>
          <w:rFonts w:ascii="Cambria" w:hAnsi="Cambria"/>
          <w:sz w:val="20"/>
          <w:szCs w:val="20"/>
        </w:rPr>
        <w:t>satisfied.</w:t>
      </w:r>
    </w:p>
    <w:p w14:paraId="0CDB3F2C" w14:textId="77724BE1" w:rsidR="00D8426C" w:rsidRPr="00BD4510" w:rsidRDefault="00E62E8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 xml:space="preserve">On the other hand, the IACHR recalls that, for purposes of determining the admissibility of a claim </w:t>
      </w:r>
      <w:r w:rsidR="00E41025" w:rsidRPr="00BD4510">
        <w:rPr>
          <w:rFonts w:ascii="Cambria" w:hAnsi="Cambria"/>
          <w:sz w:val="20"/>
          <w:szCs w:val="20"/>
        </w:rPr>
        <w:t>of this nature</w:t>
      </w:r>
      <w:r w:rsidRPr="00BD4510">
        <w:rPr>
          <w:rFonts w:ascii="Cambria" w:hAnsi="Cambria"/>
          <w:sz w:val="20"/>
          <w:szCs w:val="20"/>
        </w:rPr>
        <w:t xml:space="preserve">, </w:t>
      </w:r>
      <w:r w:rsidR="00E41025" w:rsidRPr="00BD4510">
        <w:rPr>
          <w:rFonts w:ascii="Cambria" w:hAnsi="Cambria"/>
          <w:sz w:val="20"/>
          <w:szCs w:val="20"/>
        </w:rPr>
        <w:t>the action for direct reparation does</w:t>
      </w:r>
      <w:r w:rsidRPr="00BD4510">
        <w:rPr>
          <w:rFonts w:ascii="Cambria" w:hAnsi="Cambria"/>
          <w:sz w:val="20"/>
          <w:szCs w:val="20"/>
        </w:rPr>
        <w:t xml:space="preserve"> not constitute </w:t>
      </w:r>
      <w:r w:rsidR="00E41025" w:rsidRPr="00BD4510">
        <w:rPr>
          <w:rFonts w:ascii="Cambria" w:hAnsi="Cambria"/>
          <w:sz w:val="20"/>
          <w:szCs w:val="20"/>
        </w:rPr>
        <w:t>an</w:t>
      </w:r>
      <w:r w:rsidRPr="00BD4510">
        <w:rPr>
          <w:rFonts w:ascii="Cambria" w:hAnsi="Cambria"/>
          <w:sz w:val="20"/>
          <w:szCs w:val="20"/>
        </w:rPr>
        <w:t xml:space="preserve"> appropriate remedy </w:t>
      </w:r>
      <w:r w:rsidR="00E41025" w:rsidRPr="00BD4510">
        <w:rPr>
          <w:rFonts w:ascii="Cambria" w:hAnsi="Cambria"/>
          <w:sz w:val="20"/>
          <w:szCs w:val="20"/>
        </w:rPr>
        <w:t>and its exhaustion is not</w:t>
      </w:r>
      <w:r w:rsidRPr="00BD4510">
        <w:rPr>
          <w:rFonts w:ascii="Cambria" w:hAnsi="Cambria"/>
          <w:sz w:val="20"/>
          <w:szCs w:val="20"/>
        </w:rPr>
        <w:t xml:space="preserve"> necessary, given that it is not adequate to provide comprehensive </w:t>
      </w:r>
      <w:r w:rsidR="00D605FE" w:rsidRPr="00BD4510">
        <w:rPr>
          <w:rFonts w:ascii="Cambria" w:hAnsi="Cambria"/>
          <w:sz w:val="20"/>
          <w:szCs w:val="20"/>
        </w:rPr>
        <w:t xml:space="preserve">reparation </w:t>
      </w:r>
      <w:r w:rsidRPr="00BD4510">
        <w:rPr>
          <w:rFonts w:ascii="Cambria" w:hAnsi="Cambria"/>
          <w:sz w:val="20"/>
          <w:szCs w:val="20"/>
        </w:rPr>
        <w:t xml:space="preserve">and justice to </w:t>
      </w:r>
      <w:r w:rsidR="00E41025" w:rsidRPr="00BD4510">
        <w:rPr>
          <w:rFonts w:ascii="Cambria" w:hAnsi="Cambria"/>
          <w:sz w:val="20"/>
          <w:szCs w:val="20"/>
        </w:rPr>
        <w:t>the victims’ families</w:t>
      </w:r>
      <w:r w:rsidRPr="00BD4510">
        <w:rPr>
          <w:rFonts w:ascii="Cambria" w:hAnsi="Cambria"/>
          <w:sz w:val="20"/>
          <w:szCs w:val="20"/>
        </w:rPr>
        <w:t>.</w:t>
      </w:r>
      <w:r w:rsidR="004115C3" w:rsidRPr="00BD4510">
        <w:rPr>
          <w:rStyle w:val="FootnoteReference"/>
          <w:rFonts w:ascii="Cambria" w:hAnsi="Cambria"/>
          <w:sz w:val="20"/>
          <w:szCs w:val="20"/>
        </w:rPr>
        <w:footnoteReference w:id="9"/>
      </w:r>
      <w:r w:rsidRPr="00BD4510">
        <w:rPr>
          <w:rFonts w:ascii="Cambria" w:hAnsi="Cambria"/>
          <w:sz w:val="20"/>
          <w:szCs w:val="20"/>
        </w:rPr>
        <w:t xml:space="preserve"> Notwithstanding the </w:t>
      </w:r>
      <w:r w:rsidR="00E41025" w:rsidRPr="00BD4510">
        <w:rPr>
          <w:rFonts w:ascii="Cambria" w:hAnsi="Cambria"/>
          <w:sz w:val="20"/>
          <w:szCs w:val="20"/>
        </w:rPr>
        <w:t>above</w:t>
      </w:r>
      <w:r w:rsidRPr="00BD4510">
        <w:rPr>
          <w:rFonts w:ascii="Cambria" w:hAnsi="Cambria"/>
          <w:sz w:val="20"/>
          <w:szCs w:val="20"/>
        </w:rPr>
        <w:t>, although in the present case the criminal proceeding</w:t>
      </w:r>
      <w:r w:rsidR="00E41025" w:rsidRPr="00BD4510">
        <w:rPr>
          <w:rFonts w:ascii="Cambria" w:hAnsi="Cambria"/>
          <w:sz w:val="20"/>
          <w:szCs w:val="20"/>
        </w:rPr>
        <w:t>s are</w:t>
      </w:r>
      <w:r w:rsidRPr="00BD4510">
        <w:rPr>
          <w:rFonts w:ascii="Cambria" w:hAnsi="Cambria"/>
          <w:sz w:val="20"/>
          <w:szCs w:val="20"/>
        </w:rPr>
        <w:t xml:space="preserve"> the appropriate remedy for the investigation </w:t>
      </w:r>
      <w:r w:rsidR="00E41025" w:rsidRPr="00BD4510">
        <w:rPr>
          <w:rFonts w:ascii="Cambria" w:hAnsi="Cambria"/>
          <w:sz w:val="20"/>
          <w:szCs w:val="20"/>
        </w:rPr>
        <w:t>into the events</w:t>
      </w:r>
      <w:r w:rsidRPr="00BD4510">
        <w:rPr>
          <w:rFonts w:ascii="Cambria" w:hAnsi="Cambria"/>
          <w:sz w:val="20"/>
          <w:szCs w:val="20"/>
        </w:rPr>
        <w:t xml:space="preserve">, </w:t>
      </w:r>
      <w:r w:rsidR="00E41025" w:rsidRPr="00BD4510">
        <w:rPr>
          <w:rFonts w:ascii="Cambria" w:hAnsi="Cambria"/>
          <w:sz w:val="20"/>
          <w:szCs w:val="20"/>
        </w:rPr>
        <w:t>the petitioner</w:t>
      </w:r>
      <w:r w:rsidRPr="00BD4510">
        <w:rPr>
          <w:rFonts w:ascii="Cambria" w:hAnsi="Cambria"/>
          <w:sz w:val="20"/>
          <w:szCs w:val="20"/>
        </w:rPr>
        <w:t xml:space="preserve"> also allege</w:t>
      </w:r>
      <w:r w:rsidR="00E41025" w:rsidRPr="00BD4510">
        <w:rPr>
          <w:rFonts w:ascii="Cambria" w:hAnsi="Cambria"/>
          <w:sz w:val="20"/>
          <w:szCs w:val="20"/>
        </w:rPr>
        <w:t>s</w:t>
      </w:r>
      <w:r w:rsidRPr="00BD4510">
        <w:rPr>
          <w:rFonts w:ascii="Cambria" w:hAnsi="Cambria"/>
          <w:sz w:val="20"/>
          <w:szCs w:val="20"/>
        </w:rPr>
        <w:t xml:space="preserve"> specific violations </w:t>
      </w:r>
      <w:r w:rsidR="00E41025" w:rsidRPr="00BD4510">
        <w:rPr>
          <w:rFonts w:ascii="Cambria" w:hAnsi="Cambria"/>
          <w:sz w:val="20"/>
          <w:szCs w:val="20"/>
        </w:rPr>
        <w:t>within the framework</w:t>
      </w:r>
      <w:r w:rsidRPr="00BD4510">
        <w:rPr>
          <w:rFonts w:ascii="Cambria" w:hAnsi="Cambria"/>
          <w:sz w:val="20"/>
          <w:szCs w:val="20"/>
        </w:rPr>
        <w:t xml:space="preserve"> of the </w:t>
      </w:r>
      <w:r w:rsidR="00E41025" w:rsidRPr="00BD4510">
        <w:rPr>
          <w:rFonts w:ascii="Cambria" w:hAnsi="Cambria"/>
          <w:sz w:val="20"/>
          <w:szCs w:val="20"/>
        </w:rPr>
        <w:t>claim</w:t>
      </w:r>
      <w:r w:rsidRPr="00BD4510">
        <w:rPr>
          <w:rFonts w:ascii="Cambria" w:hAnsi="Cambria"/>
          <w:sz w:val="20"/>
          <w:szCs w:val="20"/>
        </w:rPr>
        <w:t xml:space="preserve"> for direct reparation and </w:t>
      </w:r>
      <w:r w:rsidR="00E41025" w:rsidRPr="00BD4510">
        <w:rPr>
          <w:rFonts w:ascii="Cambria" w:hAnsi="Cambria"/>
          <w:sz w:val="20"/>
          <w:szCs w:val="20"/>
        </w:rPr>
        <w:t>non-compliance with</w:t>
      </w:r>
      <w:r w:rsidRPr="00BD4510">
        <w:rPr>
          <w:rFonts w:ascii="Cambria" w:hAnsi="Cambria"/>
          <w:sz w:val="20"/>
          <w:szCs w:val="20"/>
        </w:rPr>
        <w:t xml:space="preserve"> </w:t>
      </w:r>
      <w:r w:rsidR="00E41025" w:rsidRPr="00BD4510">
        <w:rPr>
          <w:rFonts w:ascii="Cambria" w:hAnsi="Cambria"/>
          <w:sz w:val="20"/>
          <w:szCs w:val="20"/>
        </w:rPr>
        <w:t xml:space="preserve">the outcome of the </w:t>
      </w:r>
      <w:proofErr w:type="spellStart"/>
      <w:r w:rsidR="00E41025" w:rsidRPr="00BD4510">
        <w:rPr>
          <w:rFonts w:ascii="Cambria" w:hAnsi="Cambria"/>
          <w:i/>
          <w:sz w:val="20"/>
          <w:szCs w:val="20"/>
        </w:rPr>
        <w:t>tutela</w:t>
      </w:r>
      <w:proofErr w:type="spellEnd"/>
      <w:r w:rsidR="00E41025" w:rsidRPr="00BD4510">
        <w:rPr>
          <w:rFonts w:ascii="Cambria" w:hAnsi="Cambria"/>
          <w:sz w:val="20"/>
          <w:szCs w:val="20"/>
        </w:rPr>
        <w:t xml:space="preserve"> </w:t>
      </w:r>
      <w:r w:rsidRPr="00BD4510">
        <w:rPr>
          <w:rFonts w:ascii="Cambria" w:hAnsi="Cambria"/>
          <w:sz w:val="20"/>
          <w:szCs w:val="20"/>
        </w:rPr>
        <w:t xml:space="preserve">action </w:t>
      </w:r>
      <w:r w:rsidR="00E41025" w:rsidRPr="00BD4510">
        <w:rPr>
          <w:rFonts w:ascii="Cambria" w:hAnsi="Cambria"/>
          <w:sz w:val="20"/>
          <w:szCs w:val="20"/>
        </w:rPr>
        <w:t>filed</w:t>
      </w:r>
      <w:r w:rsidRPr="00BD4510">
        <w:rPr>
          <w:rFonts w:ascii="Cambria" w:hAnsi="Cambria"/>
          <w:sz w:val="20"/>
          <w:szCs w:val="20"/>
        </w:rPr>
        <w:t xml:space="preserve"> </w:t>
      </w:r>
      <w:r w:rsidR="00E41025" w:rsidRPr="00BD4510">
        <w:rPr>
          <w:rFonts w:ascii="Cambria" w:hAnsi="Cambria"/>
          <w:sz w:val="20"/>
          <w:szCs w:val="20"/>
        </w:rPr>
        <w:t>to seek reparation for the</w:t>
      </w:r>
      <w:r w:rsidRPr="00BD4510">
        <w:rPr>
          <w:rFonts w:ascii="Cambria" w:hAnsi="Cambria"/>
          <w:sz w:val="20"/>
          <w:szCs w:val="20"/>
        </w:rPr>
        <w:t xml:space="preserve"> forced displacement. Therefore, given the c</w:t>
      </w:r>
      <w:r w:rsidR="00F67273" w:rsidRPr="00BD4510">
        <w:rPr>
          <w:rFonts w:ascii="Cambria" w:hAnsi="Cambria"/>
          <w:sz w:val="20"/>
          <w:szCs w:val="20"/>
        </w:rPr>
        <w:t xml:space="preserve">onnection between </w:t>
      </w:r>
      <w:r w:rsidR="004115C3" w:rsidRPr="00BD4510">
        <w:rPr>
          <w:rFonts w:ascii="Cambria" w:hAnsi="Cambria"/>
          <w:sz w:val="20"/>
          <w:szCs w:val="20"/>
        </w:rPr>
        <w:t>both</w:t>
      </w:r>
      <w:r w:rsidR="00F67273" w:rsidRPr="00BD4510">
        <w:rPr>
          <w:rFonts w:ascii="Cambria" w:hAnsi="Cambria"/>
          <w:sz w:val="20"/>
          <w:szCs w:val="20"/>
        </w:rPr>
        <w:t xml:space="preserve"> proceedings</w:t>
      </w:r>
      <w:r w:rsidRPr="00BD4510">
        <w:rPr>
          <w:rFonts w:ascii="Cambria" w:hAnsi="Cambria"/>
          <w:sz w:val="20"/>
          <w:szCs w:val="20"/>
        </w:rPr>
        <w:t xml:space="preserve">, the Commission </w:t>
      </w:r>
      <w:r w:rsidR="004115C3" w:rsidRPr="00BD4510">
        <w:rPr>
          <w:rFonts w:ascii="Cambria" w:hAnsi="Cambria"/>
          <w:sz w:val="20"/>
          <w:szCs w:val="20"/>
        </w:rPr>
        <w:t xml:space="preserve">notes that domestic remedies for the </w:t>
      </w:r>
      <w:r w:rsidRPr="00BD4510">
        <w:rPr>
          <w:rFonts w:ascii="Cambria" w:hAnsi="Cambria"/>
          <w:sz w:val="20"/>
          <w:szCs w:val="20"/>
        </w:rPr>
        <w:t>contentious-administrative jurisdiction</w:t>
      </w:r>
      <w:r w:rsidR="004115C3" w:rsidRPr="00BD4510">
        <w:rPr>
          <w:rFonts w:ascii="Cambria" w:hAnsi="Cambria"/>
          <w:sz w:val="20"/>
          <w:szCs w:val="20"/>
        </w:rPr>
        <w:t xml:space="preserve"> were exhausted with</w:t>
      </w:r>
      <w:r w:rsidRPr="00BD4510">
        <w:rPr>
          <w:rFonts w:ascii="Cambria" w:hAnsi="Cambria"/>
          <w:sz w:val="20"/>
          <w:szCs w:val="20"/>
        </w:rPr>
        <w:t xml:space="preserve"> judgment 254 of 2013 </w:t>
      </w:r>
      <w:r w:rsidR="004115C3" w:rsidRPr="00BD4510">
        <w:rPr>
          <w:rFonts w:ascii="Cambria" w:hAnsi="Cambria"/>
          <w:sz w:val="20"/>
          <w:szCs w:val="20"/>
        </w:rPr>
        <w:t xml:space="preserve">issued </w:t>
      </w:r>
      <w:r w:rsidRPr="00BD4510">
        <w:rPr>
          <w:rFonts w:ascii="Cambria" w:hAnsi="Cambria"/>
          <w:sz w:val="20"/>
          <w:szCs w:val="20"/>
        </w:rPr>
        <w:t>on April 24, 2013, by the Constitutional Court.</w:t>
      </w:r>
    </w:p>
    <w:p w14:paraId="378478A0" w14:textId="50B01E58" w:rsidR="00F621C3" w:rsidRPr="00BD4510" w:rsidRDefault="00F621C3" w:rsidP="00F621C3">
      <w:pPr>
        <w:pStyle w:val="ListParagraph"/>
        <w:spacing w:before="240" w:after="240"/>
        <w:jc w:val="both"/>
        <w:rPr>
          <w:rFonts w:asciiTheme="majorHAnsi" w:hAnsiTheme="majorHAnsi"/>
          <w:b/>
          <w:sz w:val="20"/>
          <w:szCs w:val="20"/>
        </w:rPr>
      </w:pPr>
      <w:r w:rsidRPr="00BD4510">
        <w:rPr>
          <w:rFonts w:asciiTheme="majorHAnsi" w:hAnsiTheme="majorHAnsi"/>
          <w:b/>
          <w:bCs/>
          <w:sz w:val="20"/>
          <w:szCs w:val="20"/>
        </w:rPr>
        <w:t>VII.</w:t>
      </w:r>
      <w:r w:rsidRPr="00BD4510">
        <w:rPr>
          <w:rFonts w:asciiTheme="majorHAnsi" w:hAnsiTheme="majorHAnsi"/>
          <w:b/>
          <w:bCs/>
          <w:sz w:val="20"/>
          <w:szCs w:val="20"/>
        </w:rPr>
        <w:tab/>
      </w:r>
      <w:r w:rsidR="001F1902" w:rsidRPr="00BD4510">
        <w:rPr>
          <w:rFonts w:asciiTheme="majorHAnsi" w:hAnsiTheme="majorHAnsi"/>
          <w:b/>
          <w:bCs/>
          <w:sz w:val="20"/>
          <w:szCs w:val="20"/>
        </w:rPr>
        <w:t xml:space="preserve">ANALYSIS OF </w:t>
      </w:r>
      <w:r w:rsidRPr="00BD4510">
        <w:rPr>
          <w:rFonts w:asciiTheme="majorHAnsi" w:hAnsiTheme="majorHAnsi"/>
          <w:b/>
          <w:bCs/>
          <w:sz w:val="20"/>
          <w:szCs w:val="20"/>
        </w:rPr>
        <w:t>COLORABLE CLAIM</w:t>
      </w:r>
    </w:p>
    <w:p w14:paraId="70146B96" w14:textId="14AB4C2D" w:rsidR="00F621C3" w:rsidRPr="00BD4510" w:rsidRDefault="001E292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 xml:space="preserve">In view of the factual and legal elements </w:t>
      </w:r>
      <w:r w:rsidR="004115C3" w:rsidRPr="00BD4510">
        <w:rPr>
          <w:rFonts w:ascii="Cambria" w:hAnsi="Cambria"/>
          <w:sz w:val="20"/>
          <w:szCs w:val="20"/>
        </w:rPr>
        <w:t>presented</w:t>
      </w:r>
      <w:r w:rsidRPr="00BD4510">
        <w:rPr>
          <w:rFonts w:ascii="Cambria" w:hAnsi="Cambria"/>
          <w:sz w:val="20"/>
          <w:szCs w:val="20"/>
        </w:rPr>
        <w:t xml:space="preserve"> by the parties and the nature of the matter brought to its attention, the Commission considers that the alleged illegal detentions, torture and extrajudicial executions of the alleged victims, as well as the alleged effects on the personal integrity and the lack of effective judicial protection of their next of kin, caused </w:t>
      </w:r>
      <w:r w:rsidR="004115C3" w:rsidRPr="00BD4510">
        <w:rPr>
          <w:rFonts w:ascii="Cambria" w:hAnsi="Cambria"/>
          <w:sz w:val="20"/>
          <w:szCs w:val="20"/>
        </w:rPr>
        <w:t>by</w:t>
      </w:r>
      <w:r w:rsidRPr="00BD4510">
        <w:rPr>
          <w:rFonts w:ascii="Cambria" w:hAnsi="Cambria"/>
          <w:sz w:val="20"/>
          <w:szCs w:val="20"/>
        </w:rPr>
        <w:t xml:space="preserve"> the massacre perpetrated in </w:t>
      </w:r>
      <w:proofErr w:type="spellStart"/>
      <w:r w:rsidRPr="00BD4510">
        <w:rPr>
          <w:rFonts w:ascii="Cambria" w:hAnsi="Cambria"/>
          <w:sz w:val="20"/>
          <w:szCs w:val="20"/>
        </w:rPr>
        <w:t>Playón</w:t>
      </w:r>
      <w:proofErr w:type="spellEnd"/>
      <w:r w:rsidRPr="00BD4510">
        <w:rPr>
          <w:rFonts w:ascii="Cambria" w:hAnsi="Cambria"/>
          <w:sz w:val="20"/>
          <w:szCs w:val="20"/>
        </w:rPr>
        <w:t xml:space="preserve"> de Orozco, could chara</w:t>
      </w:r>
      <w:r w:rsidR="004115C3" w:rsidRPr="00BD4510">
        <w:rPr>
          <w:rFonts w:ascii="Cambria" w:hAnsi="Cambria"/>
          <w:sz w:val="20"/>
          <w:szCs w:val="20"/>
        </w:rPr>
        <w:t>cterize possible violations of A</w:t>
      </w:r>
      <w:r w:rsidRPr="00BD4510">
        <w:rPr>
          <w:rFonts w:ascii="Cambria" w:hAnsi="Cambria"/>
          <w:sz w:val="20"/>
          <w:szCs w:val="20"/>
        </w:rPr>
        <w:t xml:space="preserve">rticles 4 (right to life), 5 (right to </w:t>
      </w:r>
      <w:r w:rsidR="00D31915" w:rsidRPr="00BD4510">
        <w:rPr>
          <w:rFonts w:ascii="Cambria" w:hAnsi="Cambria"/>
          <w:sz w:val="20"/>
          <w:szCs w:val="20"/>
        </w:rPr>
        <w:t>humane treatment</w:t>
      </w:r>
      <w:r w:rsidRPr="00BD4510">
        <w:rPr>
          <w:rFonts w:ascii="Cambria" w:hAnsi="Cambria"/>
          <w:sz w:val="20"/>
          <w:szCs w:val="20"/>
        </w:rPr>
        <w:t>), 7 (</w:t>
      </w:r>
      <w:r w:rsidR="004115C3" w:rsidRPr="00BD4510">
        <w:rPr>
          <w:rFonts w:ascii="Cambria" w:hAnsi="Cambria"/>
          <w:sz w:val="20"/>
          <w:szCs w:val="20"/>
        </w:rPr>
        <w:t xml:space="preserve">right to </w:t>
      </w:r>
      <w:r w:rsidRPr="00BD4510">
        <w:rPr>
          <w:rFonts w:ascii="Cambria" w:hAnsi="Cambria"/>
          <w:sz w:val="20"/>
          <w:szCs w:val="20"/>
        </w:rPr>
        <w:t>personal liberty), 8 (</w:t>
      </w:r>
      <w:r w:rsidR="004115C3" w:rsidRPr="00BD4510">
        <w:rPr>
          <w:rFonts w:ascii="Cambria" w:hAnsi="Cambria"/>
          <w:sz w:val="20"/>
          <w:szCs w:val="20"/>
        </w:rPr>
        <w:t xml:space="preserve">right to </w:t>
      </w:r>
      <w:r w:rsidR="00D31915" w:rsidRPr="00BD4510">
        <w:rPr>
          <w:rFonts w:ascii="Cambria" w:hAnsi="Cambria"/>
          <w:sz w:val="20"/>
          <w:szCs w:val="20"/>
        </w:rPr>
        <w:t>a fair trial</w:t>
      </w:r>
      <w:r w:rsidRPr="00BD4510">
        <w:rPr>
          <w:rFonts w:ascii="Cambria" w:hAnsi="Cambria"/>
          <w:sz w:val="20"/>
          <w:szCs w:val="20"/>
        </w:rPr>
        <w:t>) and 25 (</w:t>
      </w:r>
      <w:r w:rsidR="004115C3" w:rsidRPr="00BD4510">
        <w:rPr>
          <w:rFonts w:ascii="Cambria" w:hAnsi="Cambria"/>
          <w:sz w:val="20"/>
          <w:szCs w:val="20"/>
        </w:rPr>
        <w:t xml:space="preserve">right to </w:t>
      </w:r>
      <w:r w:rsidRPr="00BD4510">
        <w:rPr>
          <w:rFonts w:ascii="Cambria" w:hAnsi="Cambria"/>
          <w:sz w:val="20"/>
          <w:szCs w:val="20"/>
        </w:rPr>
        <w:t>judicial protection) of the American C</w:t>
      </w:r>
      <w:r w:rsidR="004115C3" w:rsidRPr="00BD4510">
        <w:rPr>
          <w:rFonts w:ascii="Cambria" w:hAnsi="Cambria"/>
          <w:sz w:val="20"/>
          <w:szCs w:val="20"/>
        </w:rPr>
        <w:t>onvention in relation to its Articles 1.1 and 2; and A</w:t>
      </w:r>
      <w:r w:rsidRPr="00BD4510">
        <w:rPr>
          <w:rFonts w:ascii="Cambria" w:hAnsi="Cambria"/>
          <w:sz w:val="20"/>
          <w:szCs w:val="20"/>
        </w:rPr>
        <w:t xml:space="preserve">rticle 7 of the </w:t>
      </w:r>
      <w:r w:rsidR="004115C3" w:rsidRPr="00BD4510">
        <w:rPr>
          <w:rFonts w:ascii="Cambria" w:hAnsi="Cambria"/>
          <w:sz w:val="20"/>
          <w:szCs w:val="20"/>
        </w:rPr>
        <w:t xml:space="preserve">Convention of </w:t>
      </w:r>
      <w:proofErr w:type="spellStart"/>
      <w:r w:rsidRPr="00BD4510">
        <w:rPr>
          <w:rFonts w:ascii="Cambria" w:hAnsi="Cambria"/>
          <w:sz w:val="20"/>
          <w:szCs w:val="20"/>
        </w:rPr>
        <w:t>Belém</w:t>
      </w:r>
      <w:proofErr w:type="spellEnd"/>
      <w:r w:rsidRPr="00BD4510">
        <w:rPr>
          <w:rFonts w:ascii="Cambria" w:hAnsi="Cambria"/>
          <w:sz w:val="20"/>
          <w:szCs w:val="20"/>
        </w:rPr>
        <w:t xml:space="preserve"> do </w:t>
      </w:r>
      <w:proofErr w:type="spellStart"/>
      <w:r w:rsidRPr="00BD4510">
        <w:rPr>
          <w:rFonts w:ascii="Cambria" w:hAnsi="Cambria"/>
          <w:sz w:val="20"/>
          <w:szCs w:val="20"/>
        </w:rPr>
        <w:t>Pará</w:t>
      </w:r>
      <w:proofErr w:type="spellEnd"/>
      <w:r w:rsidR="004115C3" w:rsidRPr="00BD4510">
        <w:rPr>
          <w:rFonts w:ascii="Cambria" w:hAnsi="Cambria"/>
          <w:sz w:val="20"/>
          <w:szCs w:val="20"/>
        </w:rPr>
        <w:t>, as well as A</w:t>
      </w:r>
      <w:r w:rsidRPr="00BD4510">
        <w:rPr>
          <w:rFonts w:ascii="Cambria" w:hAnsi="Cambria"/>
          <w:sz w:val="20"/>
          <w:szCs w:val="20"/>
        </w:rPr>
        <w:t xml:space="preserve">rticles 1, 6 and 8 of the Inter-American Convention to Prevent and Punish Torture, due to the alleged lack of </w:t>
      </w:r>
      <w:r w:rsidR="004115C3" w:rsidRPr="00BD4510">
        <w:rPr>
          <w:rFonts w:ascii="Cambria" w:hAnsi="Cambria"/>
          <w:sz w:val="20"/>
          <w:szCs w:val="20"/>
        </w:rPr>
        <w:t xml:space="preserve">an </w:t>
      </w:r>
      <w:r w:rsidRPr="00BD4510">
        <w:rPr>
          <w:rFonts w:ascii="Cambria" w:hAnsi="Cambria"/>
          <w:sz w:val="20"/>
          <w:szCs w:val="20"/>
        </w:rPr>
        <w:t>investigation, to the detriment of the alleged victims and their families.</w:t>
      </w:r>
    </w:p>
    <w:p w14:paraId="51B873F7" w14:textId="649439C7" w:rsidR="001E2923" w:rsidRPr="00BD4510" w:rsidRDefault="001E2923" w:rsidP="001E29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Cambria" w:hAnsi="Cambria"/>
          <w:sz w:val="20"/>
          <w:szCs w:val="20"/>
        </w:rPr>
        <w:t>It also considers that the alleged illegal detentions and t</w:t>
      </w:r>
      <w:r w:rsidR="00D4235E" w:rsidRPr="00BD4510">
        <w:rPr>
          <w:rFonts w:ascii="Cambria" w:hAnsi="Cambria"/>
          <w:sz w:val="20"/>
          <w:szCs w:val="20"/>
        </w:rPr>
        <w:t xml:space="preserve">hreats against the inhabitants; </w:t>
      </w:r>
      <w:r w:rsidRPr="00BD4510">
        <w:rPr>
          <w:rFonts w:ascii="Cambria" w:hAnsi="Cambria"/>
          <w:sz w:val="20"/>
          <w:szCs w:val="20"/>
        </w:rPr>
        <w:t xml:space="preserve">the destruction, </w:t>
      </w:r>
      <w:r w:rsidR="00804288" w:rsidRPr="00BD4510">
        <w:rPr>
          <w:rFonts w:ascii="Cambria" w:hAnsi="Cambria"/>
          <w:sz w:val="20"/>
          <w:szCs w:val="20"/>
        </w:rPr>
        <w:t>arson</w:t>
      </w:r>
      <w:r w:rsidR="00D4235E" w:rsidRPr="00BD4510">
        <w:rPr>
          <w:rFonts w:ascii="Cambria" w:hAnsi="Cambria"/>
          <w:sz w:val="20"/>
          <w:szCs w:val="20"/>
        </w:rPr>
        <w:t xml:space="preserve"> and looting of their property;</w:t>
      </w:r>
      <w:r w:rsidRPr="00BD4510">
        <w:rPr>
          <w:rFonts w:ascii="Cambria" w:hAnsi="Cambria"/>
          <w:sz w:val="20"/>
          <w:szCs w:val="20"/>
        </w:rPr>
        <w:t xml:space="preserve"> </w:t>
      </w:r>
      <w:r w:rsidR="00D4235E" w:rsidRPr="00BD4510">
        <w:rPr>
          <w:rFonts w:ascii="Cambria" w:hAnsi="Cambria"/>
          <w:sz w:val="20"/>
          <w:szCs w:val="20"/>
        </w:rPr>
        <w:t xml:space="preserve">the </w:t>
      </w:r>
      <w:r w:rsidRPr="00BD4510">
        <w:rPr>
          <w:rFonts w:ascii="Cambria" w:hAnsi="Cambria"/>
          <w:sz w:val="20"/>
          <w:szCs w:val="20"/>
        </w:rPr>
        <w:t xml:space="preserve">intimidation </w:t>
      </w:r>
      <w:r w:rsidR="00D4235E" w:rsidRPr="00BD4510">
        <w:rPr>
          <w:rFonts w:ascii="Cambria" w:hAnsi="Cambria"/>
          <w:sz w:val="20"/>
          <w:szCs w:val="20"/>
        </w:rPr>
        <w:t>by</w:t>
      </w:r>
      <w:r w:rsidRPr="00BD4510">
        <w:rPr>
          <w:rFonts w:ascii="Cambria" w:hAnsi="Cambria"/>
          <w:sz w:val="20"/>
          <w:szCs w:val="20"/>
        </w:rPr>
        <w:t xml:space="preserve"> </w:t>
      </w:r>
      <w:r w:rsidR="00D4235E" w:rsidRPr="00BD4510">
        <w:rPr>
          <w:rFonts w:ascii="Cambria" w:hAnsi="Cambria"/>
          <w:sz w:val="20"/>
          <w:szCs w:val="20"/>
        </w:rPr>
        <w:t>illegal</w:t>
      </w:r>
      <w:r w:rsidRPr="00BD4510">
        <w:rPr>
          <w:rFonts w:ascii="Cambria" w:hAnsi="Cambria"/>
          <w:sz w:val="20"/>
          <w:szCs w:val="20"/>
        </w:rPr>
        <w:t xml:space="preserve"> a</w:t>
      </w:r>
      <w:r w:rsidR="00D4235E" w:rsidRPr="00BD4510">
        <w:rPr>
          <w:rFonts w:ascii="Cambria" w:hAnsi="Cambria"/>
          <w:sz w:val="20"/>
          <w:szCs w:val="20"/>
        </w:rPr>
        <w:t xml:space="preserve">rmed groups in the area; and the alleged </w:t>
      </w:r>
      <w:r w:rsidRPr="00BD4510">
        <w:rPr>
          <w:rFonts w:ascii="Cambria" w:hAnsi="Cambria"/>
          <w:sz w:val="20"/>
          <w:szCs w:val="20"/>
        </w:rPr>
        <w:t xml:space="preserve">acquiescence </w:t>
      </w:r>
      <w:r w:rsidR="00D4235E" w:rsidRPr="00BD4510">
        <w:rPr>
          <w:rFonts w:ascii="Cambria" w:hAnsi="Cambria"/>
          <w:sz w:val="20"/>
          <w:szCs w:val="20"/>
        </w:rPr>
        <w:t>and lack of preventive measures by the State</w:t>
      </w:r>
      <w:r w:rsidRPr="00BD4510">
        <w:rPr>
          <w:rFonts w:ascii="Cambria" w:hAnsi="Cambria"/>
          <w:sz w:val="20"/>
          <w:szCs w:val="20"/>
        </w:rPr>
        <w:t xml:space="preserve">, as well as </w:t>
      </w:r>
      <w:r w:rsidR="00D4235E" w:rsidRPr="00BD4510">
        <w:rPr>
          <w:rFonts w:ascii="Cambria" w:hAnsi="Cambria"/>
          <w:sz w:val="20"/>
          <w:szCs w:val="20"/>
        </w:rPr>
        <w:t xml:space="preserve">the </w:t>
      </w:r>
      <w:r w:rsidRPr="00BD4510">
        <w:rPr>
          <w:rFonts w:ascii="Cambria" w:hAnsi="Cambria"/>
          <w:sz w:val="20"/>
          <w:szCs w:val="20"/>
        </w:rPr>
        <w:t xml:space="preserve">consequent internal displacement of the </w:t>
      </w:r>
      <w:r w:rsidR="00D31915" w:rsidRPr="00BD4510">
        <w:rPr>
          <w:rFonts w:ascii="Cambria" w:hAnsi="Cambria"/>
          <w:sz w:val="20"/>
          <w:szCs w:val="20"/>
        </w:rPr>
        <w:t>inhabitants</w:t>
      </w:r>
      <w:r w:rsidRPr="00BD4510">
        <w:rPr>
          <w:rFonts w:ascii="Cambria" w:hAnsi="Cambria"/>
          <w:sz w:val="20"/>
          <w:szCs w:val="20"/>
        </w:rPr>
        <w:t xml:space="preserve"> of </w:t>
      </w:r>
      <w:proofErr w:type="spellStart"/>
      <w:r w:rsidRPr="00BD4510">
        <w:rPr>
          <w:rFonts w:ascii="Cambria" w:hAnsi="Cambria"/>
          <w:sz w:val="20"/>
          <w:szCs w:val="20"/>
        </w:rPr>
        <w:t>Playón</w:t>
      </w:r>
      <w:proofErr w:type="spellEnd"/>
      <w:r w:rsidRPr="00BD4510">
        <w:rPr>
          <w:rFonts w:ascii="Cambria" w:hAnsi="Cambria"/>
          <w:sz w:val="20"/>
          <w:szCs w:val="20"/>
        </w:rPr>
        <w:t xml:space="preserve"> de Orozco and other neighboring towns, and </w:t>
      </w:r>
      <w:r w:rsidR="00D31915" w:rsidRPr="00BD4510">
        <w:rPr>
          <w:rFonts w:ascii="Cambria" w:hAnsi="Cambria"/>
          <w:sz w:val="20"/>
          <w:szCs w:val="20"/>
        </w:rPr>
        <w:t>the lack of judicial protection</w:t>
      </w:r>
      <w:r w:rsidRPr="00BD4510">
        <w:rPr>
          <w:rFonts w:ascii="Cambria" w:hAnsi="Cambria"/>
          <w:sz w:val="20"/>
          <w:szCs w:val="20"/>
        </w:rPr>
        <w:t xml:space="preserve"> </w:t>
      </w:r>
      <w:r w:rsidR="00D31915" w:rsidRPr="00BD4510">
        <w:rPr>
          <w:rFonts w:ascii="Cambria" w:hAnsi="Cambria"/>
          <w:sz w:val="20"/>
          <w:szCs w:val="20"/>
        </w:rPr>
        <w:t>in connection with the events</w:t>
      </w:r>
      <w:r w:rsidRPr="00BD4510">
        <w:rPr>
          <w:rFonts w:ascii="Cambria" w:hAnsi="Cambria"/>
          <w:sz w:val="20"/>
          <w:szCs w:val="20"/>
        </w:rPr>
        <w:t xml:space="preserve"> on January 9, 1999, co</w:t>
      </w:r>
      <w:r w:rsidR="00D31915" w:rsidRPr="00BD4510">
        <w:rPr>
          <w:rFonts w:ascii="Cambria" w:hAnsi="Cambria"/>
          <w:sz w:val="20"/>
          <w:szCs w:val="20"/>
        </w:rPr>
        <w:t>uld characterize violations of A</w:t>
      </w:r>
      <w:r w:rsidRPr="00BD4510">
        <w:rPr>
          <w:rFonts w:ascii="Cambria" w:hAnsi="Cambria"/>
          <w:sz w:val="20"/>
          <w:szCs w:val="20"/>
        </w:rPr>
        <w:t xml:space="preserve">rticles 5 (right to </w:t>
      </w:r>
      <w:r w:rsidR="00D31915" w:rsidRPr="00BD4510">
        <w:rPr>
          <w:rFonts w:ascii="Cambria" w:hAnsi="Cambria"/>
          <w:sz w:val="20"/>
          <w:szCs w:val="20"/>
        </w:rPr>
        <w:t>humane treatment</w:t>
      </w:r>
      <w:r w:rsidRPr="00BD4510">
        <w:rPr>
          <w:rFonts w:ascii="Cambria" w:hAnsi="Cambria"/>
          <w:sz w:val="20"/>
          <w:szCs w:val="20"/>
        </w:rPr>
        <w:t>) , 7 (</w:t>
      </w:r>
      <w:r w:rsidR="00D31915" w:rsidRPr="00BD4510">
        <w:rPr>
          <w:rFonts w:ascii="Cambria" w:hAnsi="Cambria"/>
          <w:sz w:val="20"/>
          <w:szCs w:val="20"/>
        </w:rPr>
        <w:t>right to personal liberty</w:t>
      </w:r>
      <w:r w:rsidRPr="00BD4510">
        <w:rPr>
          <w:rFonts w:ascii="Cambria" w:hAnsi="Cambria"/>
          <w:sz w:val="20"/>
          <w:szCs w:val="20"/>
        </w:rPr>
        <w:t>), 8 (</w:t>
      </w:r>
      <w:r w:rsidR="00D31915" w:rsidRPr="00BD4510">
        <w:rPr>
          <w:rFonts w:ascii="Cambria" w:hAnsi="Cambria"/>
          <w:sz w:val="20"/>
          <w:szCs w:val="20"/>
        </w:rPr>
        <w:t>right to a fair trial</w:t>
      </w:r>
      <w:r w:rsidRPr="00BD4510">
        <w:rPr>
          <w:rFonts w:ascii="Cambria" w:hAnsi="Cambria"/>
          <w:sz w:val="20"/>
          <w:szCs w:val="20"/>
        </w:rPr>
        <w:t>), 17 (</w:t>
      </w:r>
      <w:r w:rsidR="00D31915" w:rsidRPr="00BD4510">
        <w:rPr>
          <w:rFonts w:ascii="Cambria" w:hAnsi="Cambria"/>
          <w:sz w:val="20"/>
          <w:szCs w:val="20"/>
        </w:rPr>
        <w:t>rights to the family</w:t>
      </w:r>
      <w:r w:rsidRPr="00BD4510">
        <w:rPr>
          <w:rFonts w:ascii="Cambria" w:hAnsi="Cambria"/>
          <w:sz w:val="20"/>
          <w:szCs w:val="20"/>
        </w:rPr>
        <w:t>), 19 (</w:t>
      </w:r>
      <w:r w:rsidR="00D31915" w:rsidRPr="00BD4510">
        <w:rPr>
          <w:rFonts w:ascii="Cambria" w:hAnsi="Cambria"/>
          <w:sz w:val="20"/>
          <w:szCs w:val="20"/>
        </w:rPr>
        <w:t>rights of the child</w:t>
      </w:r>
      <w:r w:rsidRPr="00BD4510">
        <w:rPr>
          <w:rFonts w:ascii="Cambria" w:hAnsi="Cambria"/>
          <w:sz w:val="20"/>
          <w:szCs w:val="20"/>
        </w:rPr>
        <w:t>), 21 (</w:t>
      </w:r>
      <w:r w:rsidR="00D31915" w:rsidRPr="00BD4510">
        <w:rPr>
          <w:rFonts w:ascii="Cambria" w:hAnsi="Cambria"/>
          <w:sz w:val="20"/>
          <w:szCs w:val="20"/>
        </w:rPr>
        <w:t>right to</w:t>
      </w:r>
      <w:r w:rsidRPr="00BD4510">
        <w:rPr>
          <w:rFonts w:ascii="Cambria" w:hAnsi="Cambria"/>
          <w:sz w:val="20"/>
          <w:szCs w:val="20"/>
        </w:rPr>
        <w:t xml:space="preserve"> property), 22 (</w:t>
      </w:r>
      <w:r w:rsidR="00D31915" w:rsidRPr="00BD4510">
        <w:rPr>
          <w:rFonts w:ascii="Cambria" w:hAnsi="Cambria"/>
          <w:sz w:val="20"/>
          <w:szCs w:val="20"/>
        </w:rPr>
        <w:t>freedom of movement and residence</w:t>
      </w:r>
      <w:r w:rsidRPr="00BD4510">
        <w:rPr>
          <w:rFonts w:ascii="Cambria" w:hAnsi="Cambria"/>
          <w:sz w:val="20"/>
          <w:szCs w:val="20"/>
        </w:rPr>
        <w:t>), 25 (</w:t>
      </w:r>
      <w:r w:rsidR="00D31915" w:rsidRPr="00BD4510">
        <w:rPr>
          <w:rFonts w:ascii="Cambria" w:hAnsi="Cambria"/>
          <w:sz w:val="20"/>
          <w:szCs w:val="20"/>
        </w:rPr>
        <w:t xml:space="preserve">right to </w:t>
      </w:r>
      <w:r w:rsidRPr="00BD4510">
        <w:rPr>
          <w:rFonts w:ascii="Cambria" w:hAnsi="Cambria"/>
          <w:sz w:val="20"/>
          <w:szCs w:val="20"/>
        </w:rPr>
        <w:t>judicial protection) and 26 (</w:t>
      </w:r>
      <w:r w:rsidR="00D31915" w:rsidRPr="00BD4510">
        <w:rPr>
          <w:rFonts w:ascii="Cambria" w:hAnsi="Cambria"/>
          <w:sz w:val="20"/>
          <w:szCs w:val="20"/>
        </w:rPr>
        <w:t>progressive development</w:t>
      </w:r>
      <w:r w:rsidRPr="00BD4510">
        <w:rPr>
          <w:rFonts w:ascii="Cambria" w:hAnsi="Cambria"/>
          <w:sz w:val="20"/>
          <w:szCs w:val="20"/>
        </w:rPr>
        <w:t>) of the Amer</w:t>
      </w:r>
      <w:r w:rsidR="00D31915" w:rsidRPr="00BD4510">
        <w:rPr>
          <w:rFonts w:ascii="Cambria" w:hAnsi="Cambria"/>
          <w:sz w:val="20"/>
          <w:szCs w:val="20"/>
        </w:rPr>
        <w:t>ican Convention in relation to A</w:t>
      </w:r>
      <w:r w:rsidRPr="00BD4510">
        <w:rPr>
          <w:rFonts w:ascii="Cambria" w:hAnsi="Cambria"/>
          <w:sz w:val="20"/>
          <w:szCs w:val="20"/>
        </w:rPr>
        <w:t xml:space="preserve">rticles 1.1 and 2 of the same instrument, </w:t>
      </w:r>
      <w:r w:rsidR="00D31915" w:rsidRPr="00BD4510">
        <w:rPr>
          <w:rFonts w:ascii="Cambria" w:hAnsi="Cambria"/>
          <w:sz w:val="20"/>
          <w:szCs w:val="20"/>
        </w:rPr>
        <w:t>to the prejudice of</w:t>
      </w:r>
      <w:r w:rsidRPr="00BD4510">
        <w:rPr>
          <w:rFonts w:ascii="Cambria" w:hAnsi="Cambria"/>
          <w:sz w:val="20"/>
          <w:szCs w:val="20"/>
        </w:rPr>
        <w:t xml:space="preserve"> the alleged victims and their next of kin.</w:t>
      </w:r>
    </w:p>
    <w:p w14:paraId="5A70550C" w14:textId="77777777" w:rsidR="00F621C3" w:rsidRPr="00BD4510" w:rsidRDefault="00F621C3" w:rsidP="00F621C3">
      <w:pPr>
        <w:pStyle w:val="ListParagraph"/>
        <w:spacing w:before="240" w:after="240"/>
        <w:jc w:val="both"/>
        <w:rPr>
          <w:rFonts w:asciiTheme="majorHAnsi" w:hAnsiTheme="majorHAnsi"/>
          <w:b/>
          <w:bCs/>
          <w:sz w:val="20"/>
          <w:szCs w:val="20"/>
        </w:rPr>
      </w:pPr>
      <w:r w:rsidRPr="00BD4510">
        <w:rPr>
          <w:rFonts w:asciiTheme="majorHAnsi" w:hAnsiTheme="majorHAnsi"/>
          <w:b/>
          <w:bCs/>
          <w:sz w:val="20"/>
          <w:szCs w:val="20"/>
        </w:rPr>
        <w:t xml:space="preserve">VIII. </w:t>
      </w:r>
      <w:r w:rsidRPr="00BD4510">
        <w:rPr>
          <w:rFonts w:asciiTheme="majorHAnsi" w:hAnsiTheme="majorHAnsi"/>
          <w:b/>
          <w:bCs/>
          <w:sz w:val="20"/>
          <w:szCs w:val="20"/>
        </w:rPr>
        <w:tab/>
        <w:t>DECISION</w:t>
      </w:r>
    </w:p>
    <w:p w14:paraId="227B9B6E" w14:textId="4BB7BD12" w:rsidR="00F621C3" w:rsidRPr="00BD4510"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Theme="majorHAnsi" w:hAnsiTheme="majorHAnsi"/>
          <w:sz w:val="20"/>
          <w:szCs w:val="20"/>
        </w:rPr>
        <w:t>To find the instant petition admiss</w:t>
      </w:r>
      <w:r w:rsidR="00253C9B" w:rsidRPr="00BD4510">
        <w:rPr>
          <w:rFonts w:asciiTheme="majorHAnsi" w:hAnsiTheme="majorHAnsi"/>
          <w:sz w:val="20"/>
          <w:szCs w:val="20"/>
        </w:rPr>
        <w:t>ible in relation to Articles 4, 5, 7, 8, 17, 19, 22, 25 and 26 in conjunction with its Articles 1.1 and 2 of the American Convention and Articles 1, 6, and 8 of the Inter-American Convention to Prevent and Punish Torture</w:t>
      </w:r>
      <w:r w:rsidRPr="00BD4510">
        <w:rPr>
          <w:rFonts w:asciiTheme="majorHAnsi" w:hAnsiTheme="majorHAnsi"/>
          <w:sz w:val="20"/>
          <w:szCs w:val="20"/>
        </w:rPr>
        <w:t>;</w:t>
      </w:r>
    </w:p>
    <w:p w14:paraId="47F30965" w14:textId="77777777" w:rsidR="00F621C3" w:rsidRPr="00BD4510" w:rsidRDefault="00F621C3" w:rsidP="00F621C3">
      <w:pPr>
        <w:rPr>
          <w:sz w:val="20"/>
          <w:szCs w:val="20"/>
        </w:rPr>
      </w:pPr>
    </w:p>
    <w:p w14:paraId="22CC8DDA" w14:textId="51ED6D8B" w:rsidR="00F621C3" w:rsidRPr="00BD4510"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D4510">
        <w:rPr>
          <w:rFonts w:asciiTheme="majorHAnsi" w:hAnsiTheme="majorHAnsi"/>
          <w:sz w:val="20"/>
          <w:szCs w:val="20"/>
        </w:rPr>
        <w:lastRenderedPageBreak/>
        <w:t>To notify the parties of this decision;</w:t>
      </w:r>
      <w:r w:rsidR="001F1902" w:rsidRPr="00BD4510">
        <w:rPr>
          <w:rFonts w:asciiTheme="majorHAnsi" w:hAnsiTheme="majorHAnsi"/>
          <w:sz w:val="20"/>
          <w:szCs w:val="20"/>
        </w:rPr>
        <w:t xml:space="preserve"> t</w:t>
      </w:r>
      <w:r w:rsidRPr="00BD4510">
        <w:rPr>
          <w:rFonts w:asciiTheme="majorHAnsi" w:hAnsiTheme="majorHAnsi"/>
          <w:sz w:val="20"/>
          <w:szCs w:val="20"/>
        </w:rPr>
        <w:t xml:space="preserve">o continue with the analysis on the merits; and </w:t>
      </w:r>
      <w:r w:rsidR="001F1902" w:rsidRPr="00BD4510">
        <w:rPr>
          <w:rFonts w:asciiTheme="majorHAnsi" w:hAnsiTheme="majorHAnsi"/>
          <w:sz w:val="20"/>
          <w:szCs w:val="20"/>
        </w:rPr>
        <w:t>t</w:t>
      </w:r>
      <w:r w:rsidRPr="00BD4510">
        <w:rPr>
          <w:rFonts w:asciiTheme="majorHAnsi" w:hAnsiTheme="majorHAnsi"/>
          <w:sz w:val="20"/>
          <w:szCs w:val="20"/>
        </w:rPr>
        <w:t>o publish this decision and include it in its Annual Report to the General Assembly of the Organization of American States.</w:t>
      </w:r>
    </w:p>
    <w:p w14:paraId="6D341294" w14:textId="5DDCE5A5" w:rsidR="006B1BE4" w:rsidRPr="00DA7DC4" w:rsidRDefault="006B1BE4" w:rsidP="006B1BE4">
      <w:pPr>
        <w:ind w:firstLine="720"/>
        <w:jc w:val="both"/>
        <w:rPr>
          <w:rFonts w:ascii="Cambria" w:hAnsi="Cambria"/>
        </w:rPr>
      </w:pPr>
      <w:r w:rsidRPr="00DA7DC4">
        <w:rPr>
          <w:rFonts w:ascii="Cambria" w:hAnsi="Cambria"/>
          <w:sz w:val="20"/>
          <w:szCs w:val="20"/>
        </w:rPr>
        <w:t xml:space="preserve">Approved by the Inter-American Commission on Human Rights on the </w:t>
      </w:r>
      <w:r>
        <w:rPr>
          <w:rFonts w:ascii="Cambria" w:hAnsi="Cambria"/>
          <w:sz w:val="20"/>
          <w:szCs w:val="20"/>
        </w:rPr>
        <w:t>3</w:t>
      </w:r>
      <w:r w:rsidRPr="006B1BE4">
        <w:rPr>
          <w:rFonts w:ascii="Cambria" w:hAnsi="Cambria"/>
          <w:sz w:val="20"/>
          <w:szCs w:val="20"/>
          <w:vertAlign w:val="superscript"/>
        </w:rPr>
        <w:t>rd</w:t>
      </w:r>
      <w:r>
        <w:rPr>
          <w:rFonts w:ascii="Cambria" w:hAnsi="Cambria"/>
          <w:sz w:val="20"/>
          <w:szCs w:val="20"/>
        </w:rPr>
        <w:t xml:space="preserve"> </w:t>
      </w:r>
      <w:r w:rsidRPr="00DA7DC4">
        <w:rPr>
          <w:rFonts w:ascii="Cambria" w:hAnsi="Cambria"/>
          <w:sz w:val="20"/>
          <w:szCs w:val="20"/>
        </w:rPr>
        <w:t xml:space="preserve">day of the month of </w:t>
      </w:r>
      <w:r>
        <w:rPr>
          <w:rFonts w:ascii="Cambria" w:hAnsi="Cambria"/>
          <w:sz w:val="20"/>
          <w:szCs w:val="20"/>
        </w:rPr>
        <w:t>January</w:t>
      </w:r>
      <w:r w:rsidRPr="00DA7DC4">
        <w:rPr>
          <w:rFonts w:ascii="Cambria" w:hAnsi="Cambria"/>
          <w:sz w:val="20"/>
          <w:szCs w:val="20"/>
        </w:rPr>
        <w:t>, 201</w:t>
      </w:r>
      <w:r>
        <w:rPr>
          <w:rFonts w:ascii="Cambria" w:hAnsi="Cambria"/>
          <w:sz w:val="20"/>
          <w:szCs w:val="20"/>
        </w:rPr>
        <w:t>9</w:t>
      </w:r>
      <w:r w:rsidRPr="00DA7DC4">
        <w:rPr>
          <w:rFonts w:ascii="Cambria" w:hAnsi="Cambria"/>
          <w:sz w:val="20"/>
          <w:szCs w:val="20"/>
        </w:rPr>
        <w:t xml:space="preserve">. (Signed):  Margarette May Macaulay, President; Esmeralda E. </w:t>
      </w:r>
      <w:proofErr w:type="spellStart"/>
      <w:r w:rsidRPr="00DA7DC4">
        <w:rPr>
          <w:rFonts w:ascii="Cambria" w:hAnsi="Cambria"/>
          <w:sz w:val="20"/>
          <w:szCs w:val="20"/>
        </w:rPr>
        <w:t>Arosemena</w:t>
      </w:r>
      <w:proofErr w:type="spellEnd"/>
      <w:r w:rsidRPr="00DA7DC4">
        <w:rPr>
          <w:rFonts w:ascii="Cambria" w:hAnsi="Cambria"/>
          <w:sz w:val="20"/>
          <w:szCs w:val="20"/>
        </w:rPr>
        <w:t xml:space="preserve"> Bernal de </w:t>
      </w:r>
      <w:proofErr w:type="spellStart"/>
      <w:r w:rsidRPr="00DA7DC4">
        <w:rPr>
          <w:rFonts w:ascii="Cambria" w:hAnsi="Cambria"/>
          <w:sz w:val="20"/>
          <w:szCs w:val="20"/>
        </w:rPr>
        <w:t>Troitiño</w:t>
      </w:r>
      <w:proofErr w:type="spellEnd"/>
      <w:r w:rsidRPr="00DA7DC4">
        <w:rPr>
          <w:rFonts w:ascii="Cambria" w:hAnsi="Cambria"/>
          <w:sz w:val="20"/>
          <w:szCs w:val="20"/>
        </w:rPr>
        <w:t xml:space="preserve">, First Vice President; Francisco José Eguiguren Praeli, Joel Hernández García, Antonia Urrejola, and </w:t>
      </w:r>
      <w:proofErr w:type="spellStart"/>
      <w:r w:rsidRPr="00DA7DC4">
        <w:rPr>
          <w:rFonts w:ascii="Cambria" w:hAnsi="Cambria"/>
          <w:sz w:val="20"/>
          <w:szCs w:val="20"/>
        </w:rPr>
        <w:t>Flávia</w:t>
      </w:r>
      <w:proofErr w:type="spellEnd"/>
      <w:r w:rsidRPr="00DA7DC4">
        <w:rPr>
          <w:rFonts w:ascii="Cambria" w:hAnsi="Cambria"/>
          <w:sz w:val="20"/>
          <w:szCs w:val="20"/>
        </w:rPr>
        <w:t xml:space="preserve"> </w:t>
      </w:r>
      <w:proofErr w:type="spellStart"/>
      <w:r w:rsidRPr="00DA7DC4">
        <w:rPr>
          <w:rFonts w:ascii="Cambria" w:hAnsi="Cambria"/>
          <w:sz w:val="20"/>
          <w:szCs w:val="20"/>
        </w:rPr>
        <w:t>Piovesan</w:t>
      </w:r>
      <w:proofErr w:type="spellEnd"/>
      <w:r w:rsidRPr="00DA7DC4">
        <w:rPr>
          <w:rFonts w:ascii="Cambria" w:hAnsi="Cambria"/>
          <w:sz w:val="20"/>
          <w:szCs w:val="20"/>
        </w:rPr>
        <w:t>, Commissioners.</w:t>
      </w:r>
    </w:p>
    <w:p w14:paraId="1C6AA622" w14:textId="2C7C3FD6" w:rsidR="006B1BE4" w:rsidRDefault="006B1BE4">
      <w:pPr>
        <w:rPr>
          <w:rFonts w:asciiTheme="majorHAnsi" w:eastAsia="Cambria" w:hAnsiTheme="majorHAnsi" w:cs="Cambria"/>
          <w:color w:val="000000"/>
          <w:sz w:val="20"/>
          <w:szCs w:val="20"/>
          <w:u w:color="000000"/>
          <w:lang w:eastAsia="es-ES"/>
        </w:rPr>
      </w:pPr>
      <w:r>
        <w:rPr>
          <w:rFonts w:asciiTheme="majorHAnsi" w:hAnsiTheme="majorHAnsi"/>
          <w:sz w:val="20"/>
          <w:szCs w:val="20"/>
        </w:rPr>
        <w:br w:type="page"/>
      </w:r>
    </w:p>
    <w:p w14:paraId="0491AC2E" w14:textId="61DD0002" w:rsidR="00E53A53" w:rsidRPr="00BD4510" w:rsidRDefault="00E53A53" w:rsidP="00E53A53">
      <w:pPr>
        <w:jc w:val="center"/>
        <w:rPr>
          <w:rFonts w:ascii="Cambria" w:hAnsi="Cambria" w:cs="Calibri"/>
          <w:b/>
          <w:sz w:val="20"/>
          <w:szCs w:val="20"/>
        </w:rPr>
      </w:pPr>
      <w:r w:rsidRPr="00BD4510">
        <w:rPr>
          <w:rFonts w:ascii="Cambria" w:hAnsi="Cambria" w:cs="Calibri"/>
          <w:b/>
          <w:sz w:val="20"/>
          <w:szCs w:val="20"/>
        </w:rPr>
        <w:lastRenderedPageBreak/>
        <w:t>Annex 1</w:t>
      </w:r>
    </w:p>
    <w:p w14:paraId="63871708" w14:textId="65E3AE60" w:rsidR="00E53A53" w:rsidRPr="00BD4510" w:rsidRDefault="00E53A53" w:rsidP="00E53A53">
      <w:pPr>
        <w:jc w:val="center"/>
        <w:rPr>
          <w:rFonts w:ascii="Cambria" w:hAnsi="Cambria" w:cs="Calibri"/>
          <w:b/>
          <w:sz w:val="20"/>
          <w:szCs w:val="20"/>
        </w:rPr>
      </w:pPr>
      <w:r w:rsidRPr="00BD4510">
        <w:rPr>
          <w:rFonts w:ascii="Cambria" w:hAnsi="Cambria" w:cs="Calibri"/>
          <w:b/>
          <w:sz w:val="20"/>
          <w:szCs w:val="20"/>
        </w:rPr>
        <w:t>List of Alleged Victims</w:t>
      </w:r>
    </w:p>
    <w:p w14:paraId="508B8232" w14:textId="77777777" w:rsidR="00E53A53" w:rsidRPr="00BD4510" w:rsidRDefault="00E53A53" w:rsidP="00E53A53">
      <w:pPr>
        <w:rPr>
          <w:rFonts w:ascii="Cambria" w:hAnsi="Cambria" w:cs="Calibri"/>
          <w:sz w:val="20"/>
          <w:szCs w:val="20"/>
        </w:rPr>
      </w:pPr>
    </w:p>
    <w:p w14:paraId="130E8E69" w14:textId="77777777" w:rsidR="00E53A53" w:rsidRPr="00BD4510" w:rsidRDefault="00E53A53" w:rsidP="00E53A53">
      <w:pPr>
        <w:rPr>
          <w:rFonts w:ascii="Cambria" w:hAnsi="Cambria" w:cs="Calibri"/>
          <w:sz w:val="20"/>
          <w:szCs w:val="20"/>
        </w:rPr>
      </w:pPr>
    </w:p>
    <w:p w14:paraId="307A083E" w14:textId="6AE0891D" w:rsidR="00E53A53" w:rsidRPr="00BD4510" w:rsidRDefault="00E53A53" w:rsidP="00E53A53">
      <w:pPr>
        <w:rPr>
          <w:rFonts w:ascii="Cambria" w:hAnsi="Cambria" w:cs="Calibri"/>
          <w:b/>
          <w:sz w:val="20"/>
          <w:szCs w:val="20"/>
        </w:rPr>
      </w:pPr>
      <w:r w:rsidRPr="00BD4510">
        <w:rPr>
          <w:rFonts w:ascii="Cambria" w:hAnsi="Cambria" w:cs="Calibri"/>
          <w:b/>
          <w:sz w:val="20"/>
          <w:szCs w:val="20"/>
        </w:rPr>
        <w:t>Alleged Deceased Victims</w:t>
      </w:r>
    </w:p>
    <w:p w14:paraId="549B11E8" w14:textId="77777777" w:rsidR="00E53A53" w:rsidRPr="00BD4510" w:rsidRDefault="00E53A53" w:rsidP="00E53A53">
      <w:pPr>
        <w:rPr>
          <w:rFonts w:ascii="Cambria" w:hAnsi="Cambria" w:cs="Calibri"/>
          <w:sz w:val="20"/>
          <w:szCs w:val="20"/>
        </w:rPr>
      </w:pPr>
    </w:p>
    <w:p w14:paraId="5C0AD3E3"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Ramón García Orozco </w:t>
      </w:r>
    </w:p>
    <w:p w14:paraId="266F86CE" w14:textId="77777777" w:rsidR="00E53A53" w:rsidRPr="00BD4510" w:rsidRDefault="00E53A53" w:rsidP="00E53A53">
      <w:pPr>
        <w:pStyle w:val="ListParagraph"/>
        <w:numPr>
          <w:ilvl w:val="0"/>
          <w:numId w:val="106"/>
        </w:numPr>
        <w:rPr>
          <w:rFonts w:cs="Calibri"/>
          <w:color w:val="auto"/>
          <w:sz w:val="20"/>
          <w:szCs w:val="20"/>
        </w:rPr>
      </w:pPr>
      <w:proofErr w:type="spellStart"/>
      <w:r w:rsidRPr="00BD4510">
        <w:rPr>
          <w:color w:val="auto"/>
          <w:sz w:val="20"/>
          <w:szCs w:val="20"/>
        </w:rPr>
        <w:t>Eliecer</w:t>
      </w:r>
      <w:proofErr w:type="spellEnd"/>
      <w:r w:rsidRPr="00BD4510">
        <w:rPr>
          <w:color w:val="auto"/>
          <w:sz w:val="20"/>
          <w:szCs w:val="20"/>
        </w:rPr>
        <w:t xml:space="preserve"> de la Cruz</w:t>
      </w:r>
    </w:p>
    <w:p w14:paraId="1F93506C"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Andrés Alberto Polo Villa</w:t>
      </w:r>
    </w:p>
    <w:p w14:paraId="718112ED"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Orlando Polo Villa</w:t>
      </w:r>
    </w:p>
    <w:p w14:paraId="7FC00A2D" w14:textId="77777777" w:rsidR="00E53A53" w:rsidRPr="006B1BE4" w:rsidRDefault="00E53A53" w:rsidP="00E53A53">
      <w:pPr>
        <w:pStyle w:val="ListParagraph"/>
        <w:numPr>
          <w:ilvl w:val="0"/>
          <w:numId w:val="106"/>
        </w:numPr>
        <w:rPr>
          <w:rFonts w:cs="Calibri"/>
          <w:color w:val="auto"/>
          <w:sz w:val="20"/>
          <w:szCs w:val="20"/>
          <w:lang w:val="es-ES"/>
        </w:rPr>
      </w:pPr>
      <w:proofErr w:type="spellStart"/>
      <w:r w:rsidRPr="006B1BE4">
        <w:rPr>
          <w:color w:val="auto"/>
          <w:sz w:val="20"/>
          <w:szCs w:val="20"/>
          <w:lang w:val="es-ES"/>
        </w:rPr>
        <w:t>Lascario</w:t>
      </w:r>
      <w:proofErr w:type="spellEnd"/>
      <w:r w:rsidRPr="006B1BE4">
        <w:rPr>
          <w:color w:val="auto"/>
          <w:sz w:val="20"/>
          <w:szCs w:val="20"/>
          <w:lang w:val="es-ES"/>
        </w:rPr>
        <w:t xml:space="preserve"> Miguel de la Hoz Pabón</w:t>
      </w:r>
    </w:p>
    <w:p w14:paraId="055358C3" w14:textId="77777777" w:rsidR="00E53A53" w:rsidRPr="006B1BE4" w:rsidRDefault="00E53A53" w:rsidP="00E53A53">
      <w:pPr>
        <w:pStyle w:val="ListParagraph"/>
        <w:numPr>
          <w:ilvl w:val="0"/>
          <w:numId w:val="106"/>
        </w:numPr>
        <w:rPr>
          <w:rFonts w:cs="Calibri"/>
          <w:color w:val="auto"/>
          <w:sz w:val="20"/>
          <w:szCs w:val="20"/>
          <w:lang w:val="es-ES"/>
        </w:rPr>
      </w:pPr>
      <w:r w:rsidRPr="006B1BE4">
        <w:rPr>
          <w:color w:val="auto"/>
          <w:sz w:val="20"/>
          <w:szCs w:val="20"/>
          <w:lang w:val="es-ES"/>
        </w:rPr>
        <w:t>Edgardo Rafael de la Hoz Pabón</w:t>
      </w:r>
    </w:p>
    <w:p w14:paraId="6980E06B" w14:textId="77777777" w:rsidR="00E53A53" w:rsidRPr="006B1BE4" w:rsidRDefault="00E53A53" w:rsidP="00E53A53">
      <w:pPr>
        <w:pStyle w:val="ListParagraph"/>
        <w:numPr>
          <w:ilvl w:val="0"/>
          <w:numId w:val="106"/>
        </w:numPr>
        <w:rPr>
          <w:rFonts w:cs="Calibri"/>
          <w:color w:val="auto"/>
          <w:sz w:val="20"/>
          <w:szCs w:val="20"/>
          <w:lang w:val="es-ES"/>
        </w:rPr>
      </w:pPr>
      <w:r w:rsidRPr="006B1BE4">
        <w:rPr>
          <w:color w:val="auto"/>
          <w:sz w:val="20"/>
          <w:szCs w:val="20"/>
          <w:lang w:val="es-ES"/>
        </w:rPr>
        <w:t>Luis Alberto de la Hoz Pabón</w:t>
      </w:r>
    </w:p>
    <w:p w14:paraId="102E4FD3"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Diomedes José Barrios </w:t>
      </w:r>
      <w:proofErr w:type="spellStart"/>
      <w:r w:rsidRPr="00BD4510">
        <w:rPr>
          <w:color w:val="auto"/>
          <w:sz w:val="20"/>
          <w:szCs w:val="20"/>
        </w:rPr>
        <w:t>Mozo</w:t>
      </w:r>
      <w:proofErr w:type="spellEnd"/>
    </w:p>
    <w:p w14:paraId="5BB91B28" w14:textId="77777777" w:rsidR="00E53A53" w:rsidRPr="00BD4510" w:rsidRDefault="00E53A53" w:rsidP="00E53A53">
      <w:pPr>
        <w:pStyle w:val="ListParagraph"/>
        <w:numPr>
          <w:ilvl w:val="0"/>
          <w:numId w:val="106"/>
        </w:numPr>
        <w:rPr>
          <w:rFonts w:cs="Calibri"/>
          <w:color w:val="auto"/>
          <w:sz w:val="20"/>
          <w:szCs w:val="20"/>
        </w:rPr>
      </w:pPr>
      <w:proofErr w:type="spellStart"/>
      <w:r w:rsidRPr="00BD4510">
        <w:rPr>
          <w:color w:val="auto"/>
          <w:sz w:val="20"/>
          <w:szCs w:val="20"/>
        </w:rPr>
        <w:t>Ubaldino</w:t>
      </w:r>
      <w:proofErr w:type="spellEnd"/>
      <w:r w:rsidRPr="00BD4510">
        <w:rPr>
          <w:color w:val="auto"/>
          <w:sz w:val="20"/>
          <w:szCs w:val="20"/>
        </w:rPr>
        <w:t xml:space="preserve"> </w:t>
      </w:r>
      <w:proofErr w:type="spellStart"/>
      <w:r w:rsidRPr="00BD4510">
        <w:rPr>
          <w:color w:val="auto"/>
          <w:sz w:val="20"/>
          <w:szCs w:val="20"/>
        </w:rPr>
        <w:t>Ospina</w:t>
      </w:r>
      <w:proofErr w:type="spellEnd"/>
      <w:r w:rsidRPr="00BD4510">
        <w:rPr>
          <w:color w:val="auto"/>
          <w:sz w:val="20"/>
          <w:szCs w:val="20"/>
        </w:rPr>
        <w:t xml:space="preserve"> Carranza</w:t>
      </w:r>
    </w:p>
    <w:p w14:paraId="6753AEA3" w14:textId="77777777" w:rsidR="00E53A53" w:rsidRPr="00BD4510" w:rsidRDefault="00E53A53" w:rsidP="00E53A53">
      <w:pPr>
        <w:pStyle w:val="ListParagraph"/>
        <w:numPr>
          <w:ilvl w:val="0"/>
          <w:numId w:val="106"/>
        </w:numPr>
        <w:rPr>
          <w:rFonts w:cs="Calibri"/>
          <w:color w:val="auto"/>
          <w:sz w:val="20"/>
          <w:szCs w:val="20"/>
        </w:rPr>
      </w:pPr>
      <w:proofErr w:type="spellStart"/>
      <w:r w:rsidRPr="00BD4510">
        <w:rPr>
          <w:color w:val="auto"/>
          <w:sz w:val="20"/>
          <w:szCs w:val="20"/>
        </w:rPr>
        <w:t>Hidal</w:t>
      </w:r>
      <w:proofErr w:type="spellEnd"/>
      <w:r w:rsidRPr="00BD4510">
        <w:rPr>
          <w:color w:val="auto"/>
          <w:sz w:val="20"/>
          <w:szCs w:val="20"/>
        </w:rPr>
        <w:t xml:space="preserve"> Antonio </w:t>
      </w:r>
      <w:proofErr w:type="spellStart"/>
      <w:r w:rsidRPr="00BD4510">
        <w:rPr>
          <w:color w:val="auto"/>
          <w:sz w:val="20"/>
          <w:szCs w:val="20"/>
        </w:rPr>
        <w:t>Arévalo</w:t>
      </w:r>
      <w:proofErr w:type="spellEnd"/>
      <w:r w:rsidRPr="00BD4510">
        <w:rPr>
          <w:color w:val="auto"/>
          <w:sz w:val="20"/>
          <w:szCs w:val="20"/>
        </w:rPr>
        <w:t xml:space="preserve"> Gonzalez</w:t>
      </w:r>
    </w:p>
    <w:p w14:paraId="105F8CA4"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Carmen Elena </w:t>
      </w:r>
      <w:proofErr w:type="spellStart"/>
      <w:r w:rsidRPr="00BD4510">
        <w:rPr>
          <w:color w:val="auto"/>
          <w:sz w:val="20"/>
          <w:szCs w:val="20"/>
        </w:rPr>
        <w:t>Rudas</w:t>
      </w:r>
      <w:proofErr w:type="spellEnd"/>
      <w:r w:rsidRPr="00BD4510">
        <w:rPr>
          <w:color w:val="auto"/>
          <w:sz w:val="20"/>
          <w:szCs w:val="20"/>
        </w:rPr>
        <w:t xml:space="preserve"> </w:t>
      </w:r>
      <w:proofErr w:type="spellStart"/>
      <w:r w:rsidRPr="00BD4510">
        <w:rPr>
          <w:color w:val="auto"/>
          <w:sz w:val="20"/>
          <w:szCs w:val="20"/>
        </w:rPr>
        <w:t>Cantillo</w:t>
      </w:r>
      <w:proofErr w:type="spellEnd"/>
    </w:p>
    <w:p w14:paraId="3CA338DC" w14:textId="77777777" w:rsidR="00E53A53" w:rsidRPr="00BD4510" w:rsidRDefault="00E53A53" w:rsidP="00E53A53">
      <w:pPr>
        <w:pStyle w:val="ListParagraph"/>
        <w:numPr>
          <w:ilvl w:val="0"/>
          <w:numId w:val="106"/>
        </w:numPr>
        <w:rPr>
          <w:rFonts w:cs="Calibri"/>
          <w:color w:val="auto"/>
          <w:sz w:val="20"/>
          <w:szCs w:val="20"/>
        </w:rPr>
      </w:pPr>
      <w:proofErr w:type="spellStart"/>
      <w:r w:rsidRPr="00BD4510">
        <w:rPr>
          <w:color w:val="auto"/>
          <w:sz w:val="20"/>
          <w:szCs w:val="20"/>
        </w:rPr>
        <w:t>Ángel</w:t>
      </w:r>
      <w:proofErr w:type="spellEnd"/>
      <w:r w:rsidRPr="00BD4510">
        <w:rPr>
          <w:color w:val="auto"/>
          <w:sz w:val="20"/>
          <w:szCs w:val="20"/>
        </w:rPr>
        <w:t xml:space="preserve"> </w:t>
      </w:r>
      <w:proofErr w:type="spellStart"/>
      <w:r w:rsidRPr="00BD4510">
        <w:rPr>
          <w:color w:val="auto"/>
          <w:sz w:val="20"/>
          <w:szCs w:val="20"/>
        </w:rPr>
        <w:t>Cantillo</w:t>
      </w:r>
      <w:proofErr w:type="spellEnd"/>
      <w:r w:rsidRPr="00BD4510">
        <w:rPr>
          <w:color w:val="auto"/>
          <w:sz w:val="20"/>
          <w:szCs w:val="20"/>
        </w:rPr>
        <w:t xml:space="preserve"> Moya</w:t>
      </w:r>
    </w:p>
    <w:p w14:paraId="5CC91C1F"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Álvaro de la Cruz </w:t>
      </w:r>
      <w:proofErr w:type="spellStart"/>
      <w:r w:rsidRPr="00BD4510">
        <w:rPr>
          <w:color w:val="auto"/>
          <w:sz w:val="20"/>
          <w:szCs w:val="20"/>
        </w:rPr>
        <w:t>Monzón</w:t>
      </w:r>
      <w:proofErr w:type="spellEnd"/>
      <w:r w:rsidRPr="00BD4510">
        <w:rPr>
          <w:color w:val="auto"/>
          <w:sz w:val="20"/>
          <w:szCs w:val="20"/>
        </w:rPr>
        <w:t xml:space="preserve"> </w:t>
      </w:r>
    </w:p>
    <w:p w14:paraId="2A48C70D"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Humberto Rafael </w:t>
      </w:r>
      <w:proofErr w:type="spellStart"/>
      <w:r w:rsidRPr="00BD4510">
        <w:rPr>
          <w:color w:val="auto"/>
          <w:sz w:val="20"/>
          <w:szCs w:val="20"/>
        </w:rPr>
        <w:t>Romo</w:t>
      </w:r>
      <w:proofErr w:type="spellEnd"/>
      <w:r w:rsidRPr="00BD4510">
        <w:rPr>
          <w:color w:val="auto"/>
          <w:sz w:val="20"/>
          <w:szCs w:val="20"/>
        </w:rPr>
        <w:t xml:space="preserve"> Barrios</w:t>
      </w:r>
    </w:p>
    <w:p w14:paraId="450905E1"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Julio César </w:t>
      </w:r>
      <w:proofErr w:type="spellStart"/>
      <w:r w:rsidRPr="00BD4510">
        <w:rPr>
          <w:color w:val="auto"/>
          <w:sz w:val="20"/>
          <w:szCs w:val="20"/>
        </w:rPr>
        <w:t>Mozo</w:t>
      </w:r>
      <w:proofErr w:type="spellEnd"/>
      <w:r w:rsidRPr="00BD4510">
        <w:rPr>
          <w:color w:val="auto"/>
          <w:sz w:val="20"/>
          <w:szCs w:val="20"/>
        </w:rPr>
        <w:t xml:space="preserve"> Ortiz </w:t>
      </w:r>
    </w:p>
    <w:p w14:paraId="06335F82"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José </w:t>
      </w:r>
      <w:proofErr w:type="spellStart"/>
      <w:r w:rsidRPr="00BD4510">
        <w:rPr>
          <w:color w:val="auto"/>
          <w:sz w:val="20"/>
          <w:szCs w:val="20"/>
        </w:rPr>
        <w:t>Agustín</w:t>
      </w:r>
      <w:proofErr w:type="spellEnd"/>
      <w:r w:rsidRPr="00BD4510">
        <w:rPr>
          <w:color w:val="auto"/>
          <w:sz w:val="20"/>
          <w:szCs w:val="20"/>
        </w:rPr>
        <w:t xml:space="preserve"> </w:t>
      </w:r>
      <w:proofErr w:type="spellStart"/>
      <w:r w:rsidRPr="00BD4510">
        <w:rPr>
          <w:color w:val="auto"/>
          <w:sz w:val="20"/>
          <w:szCs w:val="20"/>
        </w:rPr>
        <w:t>Palacin</w:t>
      </w:r>
      <w:proofErr w:type="spellEnd"/>
      <w:r w:rsidRPr="00BD4510">
        <w:rPr>
          <w:color w:val="auto"/>
          <w:sz w:val="20"/>
          <w:szCs w:val="20"/>
        </w:rPr>
        <w:t xml:space="preserve"> Mendoza</w:t>
      </w:r>
    </w:p>
    <w:p w14:paraId="7BE3BEBD"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Luis José </w:t>
      </w:r>
      <w:proofErr w:type="spellStart"/>
      <w:r w:rsidRPr="00BD4510">
        <w:rPr>
          <w:color w:val="auto"/>
          <w:sz w:val="20"/>
          <w:szCs w:val="20"/>
        </w:rPr>
        <w:t>Bocanegra</w:t>
      </w:r>
      <w:proofErr w:type="spellEnd"/>
      <w:r w:rsidRPr="00BD4510">
        <w:rPr>
          <w:color w:val="auto"/>
          <w:sz w:val="20"/>
          <w:szCs w:val="20"/>
        </w:rPr>
        <w:t xml:space="preserve"> Barrios</w:t>
      </w:r>
    </w:p>
    <w:p w14:paraId="6B19418F"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Eduardo Rafael </w:t>
      </w:r>
      <w:proofErr w:type="spellStart"/>
      <w:r w:rsidRPr="00BD4510">
        <w:rPr>
          <w:color w:val="auto"/>
          <w:sz w:val="20"/>
          <w:szCs w:val="20"/>
        </w:rPr>
        <w:t>Bocanegra</w:t>
      </w:r>
      <w:proofErr w:type="spellEnd"/>
      <w:r w:rsidRPr="00BD4510">
        <w:rPr>
          <w:color w:val="auto"/>
          <w:sz w:val="20"/>
          <w:szCs w:val="20"/>
        </w:rPr>
        <w:t xml:space="preserve"> Barrios</w:t>
      </w:r>
    </w:p>
    <w:p w14:paraId="42F4F02D"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Manuel Antonio Villa García</w:t>
      </w:r>
    </w:p>
    <w:p w14:paraId="49AED779"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Luis Alberto Camacho de Ávila </w:t>
      </w:r>
    </w:p>
    <w:p w14:paraId="538D10BA"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José Antonio </w:t>
      </w:r>
      <w:proofErr w:type="spellStart"/>
      <w:r w:rsidRPr="00BD4510">
        <w:rPr>
          <w:color w:val="auto"/>
          <w:sz w:val="20"/>
          <w:szCs w:val="20"/>
        </w:rPr>
        <w:t>Arévalo</w:t>
      </w:r>
      <w:proofErr w:type="spellEnd"/>
      <w:r w:rsidRPr="00BD4510">
        <w:rPr>
          <w:color w:val="auto"/>
          <w:sz w:val="20"/>
          <w:szCs w:val="20"/>
        </w:rPr>
        <w:t xml:space="preserve"> </w:t>
      </w:r>
      <w:proofErr w:type="spellStart"/>
      <w:r w:rsidRPr="00BD4510">
        <w:rPr>
          <w:color w:val="auto"/>
          <w:sz w:val="20"/>
          <w:szCs w:val="20"/>
        </w:rPr>
        <w:t>Aldanada</w:t>
      </w:r>
      <w:proofErr w:type="spellEnd"/>
    </w:p>
    <w:p w14:paraId="65C78C41"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Julio César </w:t>
      </w:r>
      <w:proofErr w:type="spellStart"/>
      <w:r w:rsidRPr="00BD4510">
        <w:rPr>
          <w:color w:val="auto"/>
          <w:sz w:val="20"/>
          <w:szCs w:val="20"/>
        </w:rPr>
        <w:t>Pabón</w:t>
      </w:r>
      <w:proofErr w:type="spellEnd"/>
      <w:r w:rsidRPr="00BD4510">
        <w:rPr>
          <w:color w:val="auto"/>
          <w:sz w:val="20"/>
          <w:szCs w:val="20"/>
        </w:rPr>
        <w:t xml:space="preserve"> Miranda</w:t>
      </w:r>
    </w:p>
    <w:p w14:paraId="335C8DE7"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José </w:t>
      </w:r>
      <w:proofErr w:type="spellStart"/>
      <w:r w:rsidRPr="00BD4510">
        <w:rPr>
          <w:color w:val="auto"/>
          <w:sz w:val="20"/>
          <w:szCs w:val="20"/>
        </w:rPr>
        <w:t>Calvo</w:t>
      </w:r>
      <w:proofErr w:type="spellEnd"/>
      <w:r w:rsidRPr="00BD4510">
        <w:rPr>
          <w:color w:val="auto"/>
          <w:sz w:val="20"/>
          <w:szCs w:val="20"/>
        </w:rPr>
        <w:t xml:space="preserve"> González </w:t>
      </w:r>
    </w:p>
    <w:p w14:paraId="00BCAD2A"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Yolanda </w:t>
      </w:r>
      <w:proofErr w:type="spellStart"/>
      <w:r w:rsidRPr="00BD4510">
        <w:rPr>
          <w:color w:val="auto"/>
          <w:sz w:val="20"/>
          <w:szCs w:val="20"/>
        </w:rPr>
        <w:t>Palacin</w:t>
      </w:r>
      <w:proofErr w:type="spellEnd"/>
    </w:p>
    <w:p w14:paraId="614BDA5B"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Humberto Enrique Cervantes </w:t>
      </w:r>
      <w:proofErr w:type="spellStart"/>
      <w:r w:rsidRPr="00BD4510">
        <w:rPr>
          <w:color w:val="auto"/>
          <w:sz w:val="20"/>
          <w:szCs w:val="20"/>
        </w:rPr>
        <w:t>Mozo</w:t>
      </w:r>
      <w:proofErr w:type="spellEnd"/>
    </w:p>
    <w:p w14:paraId="3604B472" w14:textId="77777777" w:rsidR="00E53A53" w:rsidRPr="00BD4510" w:rsidRDefault="00E53A53" w:rsidP="00E53A53">
      <w:pPr>
        <w:pStyle w:val="ListParagraph"/>
        <w:numPr>
          <w:ilvl w:val="0"/>
          <w:numId w:val="106"/>
        </w:numPr>
        <w:rPr>
          <w:rFonts w:cs="Calibri"/>
          <w:color w:val="auto"/>
          <w:sz w:val="20"/>
          <w:szCs w:val="20"/>
        </w:rPr>
      </w:pPr>
      <w:r w:rsidRPr="00BD4510">
        <w:rPr>
          <w:color w:val="auto"/>
          <w:sz w:val="20"/>
          <w:szCs w:val="20"/>
        </w:rPr>
        <w:t xml:space="preserve">Hansel Rafael Rodríguez </w:t>
      </w:r>
      <w:proofErr w:type="spellStart"/>
      <w:r w:rsidRPr="00BD4510">
        <w:rPr>
          <w:color w:val="auto"/>
          <w:sz w:val="20"/>
          <w:szCs w:val="20"/>
        </w:rPr>
        <w:t>Carpio</w:t>
      </w:r>
      <w:proofErr w:type="spellEnd"/>
    </w:p>
    <w:p w14:paraId="6D8B411E" w14:textId="77777777" w:rsidR="00E53A53" w:rsidRPr="00BD4510" w:rsidRDefault="00E53A53" w:rsidP="00E53A53">
      <w:pPr>
        <w:pStyle w:val="ListParagraph"/>
        <w:numPr>
          <w:ilvl w:val="0"/>
          <w:numId w:val="106"/>
        </w:numPr>
        <w:rPr>
          <w:rFonts w:asciiTheme="majorHAnsi" w:hAnsiTheme="majorHAnsi" w:cs="Calibri"/>
          <w:color w:val="auto"/>
          <w:sz w:val="20"/>
          <w:szCs w:val="20"/>
        </w:rPr>
      </w:pPr>
      <w:r w:rsidRPr="00BD4510">
        <w:rPr>
          <w:rFonts w:asciiTheme="majorHAnsi" w:hAnsiTheme="majorHAnsi"/>
          <w:color w:val="auto"/>
          <w:sz w:val="20"/>
          <w:szCs w:val="20"/>
        </w:rPr>
        <w:t xml:space="preserve">Jaime Alberto </w:t>
      </w:r>
      <w:proofErr w:type="spellStart"/>
      <w:r w:rsidRPr="00BD4510">
        <w:rPr>
          <w:rFonts w:asciiTheme="majorHAnsi" w:hAnsiTheme="majorHAnsi"/>
          <w:color w:val="auto"/>
          <w:sz w:val="20"/>
          <w:szCs w:val="20"/>
        </w:rPr>
        <w:t>Rojano</w:t>
      </w:r>
      <w:proofErr w:type="spellEnd"/>
      <w:r w:rsidRPr="00BD4510">
        <w:rPr>
          <w:rFonts w:asciiTheme="majorHAnsi" w:hAnsiTheme="majorHAnsi"/>
          <w:color w:val="auto"/>
          <w:sz w:val="20"/>
          <w:szCs w:val="20"/>
        </w:rPr>
        <w:t xml:space="preserve"> Lozano</w:t>
      </w:r>
    </w:p>
    <w:p w14:paraId="124E1596" w14:textId="77777777" w:rsidR="00E53A53" w:rsidRPr="00BD4510" w:rsidRDefault="00E53A53" w:rsidP="00E53A53">
      <w:pPr>
        <w:pStyle w:val="ListParagraph"/>
        <w:numPr>
          <w:ilvl w:val="0"/>
          <w:numId w:val="106"/>
        </w:numPr>
        <w:rPr>
          <w:rFonts w:asciiTheme="majorHAnsi" w:hAnsiTheme="majorHAnsi" w:cs="Calibri"/>
          <w:color w:val="auto"/>
          <w:sz w:val="20"/>
          <w:szCs w:val="20"/>
        </w:rPr>
      </w:pPr>
      <w:r w:rsidRPr="00BD4510">
        <w:rPr>
          <w:rFonts w:asciiTheme="majorHAnsi" w:hAnsiTheme="majorHAnsi"/>
          <w:color w:val="auto"/>
          <w:sz w:val="20"/>
          <w:szCs w:val="20"/>
        </w:rPr>
        <w:t xml:space="preserve">Andrés José Salas </w:t>
      </w:r>
      <w:proofErr w:type="spellStart"/>
      <w:r w:rsidRPr="00BD4510">
        <w:rPr>
          <w:rFonts w:asciiTheme="majorHAnsi" w:hAnsiTheme="majorHAnsi"/>
          <w:color w:val="auto"/>
          <w:sz w:val="20"/>
          <w:szCs w:val="20"/>
        </w:rPr>
        <w:t>Romo</w:t>
      </w:r>
      <w:proofErr w:type="spellEnd"/>
      <w:r w:rsidRPr="00BD4510">
        <w:rPr>
          <w:rFonts w:asciiTheme="majorHAnsi" w:hAnsiTheme="majorHAnsi"/>
          <w:color w:val="auto"/>
          <w:sz w:val="20"/>
          <w:szCs w:val="20"/>
        </w:rPr>
        <w:t xml:space="preserve"> </w:t>
      </w:r>
    </w:p>
    <w:p w14:paraId="589ECE5E" w14:textId="77777777" w:rsidR="00E53A53" w:rsidRPr="00BD4510" w:rsidRDefault="00E53A53" w:rsidP="00E53A53">
      <w:pPr>
        <w:rPr>
          <w:rFonts w:asciiTheme="majorHAnsi" w:hAnsiTheme="majorHAnsi" w:cs="Calibri"/>
          <w:sz w:val="20"/>
          <w:szCs w:val="20"/>
        </w:rPr>
      </w:pPr>
    </w:p>
    <w:p w14:paraId="5F5FD2CC" w14:textId="77777777" w:rsidR="00E53A53" w:rsidRPr="00BD4510" w:rsidRDefault="00E53A53" w:rsidP="00E53A53">
      <w:pPr>
        <w:rPr>
          <w:rFonts w:asciiTheme="majorHAnsi" w:hAnsiTheme="majorHAnsi" w:cs="Calibri"/>
          <w:sz w:val="20"/>
          <w:szCs w:val="20"/>
        </w:rPr>
      </w:pPr>
    </w:p>
    <w:p w14:paraId="7A26D677" w14:textId="77777777" w:rsidR="00E53A53" w:rsidRPr="00BD4510" w:rsidRDefault="00E53A53" w:rsidP="00E53A53">
      <w:pPr>
        <w:rPr>
          <w:rFonts w:asciiTheme="majorHAnsi" w:hAnsiTheme="majorHAnsi" w:cs="Calibri"/>
          <w:sz w:val="20"/>
          <w:szCs w:val="20"/>
        </w:rPr>
      </w:pPr>
    </w:p>
    <w:p w14:paraId="3EFE84D2" w14:textId="77777777" w:rsidR="00E53A53" w:rsidRPr="00BD4510" w:rsidRDefault="00E53A53" w:rsidP="00E53A53">
      <w:pPr>
        <w:jc w:val="center"/>
        <w:rPr>
          <w:rFonts w:asciiTheme="majorHAnsi" w:hAnsiTheme="majorHAnsi" w:cs="Calibri"/>
          <w:b/>
          <w:sz w:val="20"/>
          <w:szCs w:val="20"/>
        </w:rPr>
      </w:pPr>
    </w:p>
    <w:p w14:paraId="453A5437" w14:textId="77777777" w:rsidR="00E53A53" w:rsidRPr="00BD4510" w:rsidRDefault="00E53A53" w:rsidP="00E53A53">
      <w:pPr>
        <w:jc w:val="center"/>
        <w:rPr>
          <w:rFonts w:asciiTheme="majorHAnsi" w:hAnsiTheme="majorHAnsi" w:cs="Calibri"/>
          <w:b/>
          <w:sz w:val="20"/>
          <w:szCs w:val="20"/>
        </w:rPr>
      </w:pPr>
    </w:p>
    <w:p w14:paraId="69BD9958" w14:textId="6567A1E9" w:rsidR="00E53A53" w:rsidRPr="00BD4510" w:rsidRDefault="00E53A53" w:rsidP="00E53A53">
      <w:pPr>
        <w:jc w:val="center"/>
        <w:rPr>
          <w:rFonts w:asciiTheme="majorHAnsi" w:hAnsiTheme="majorHAnsi" w:cs="Calibri"/>
          <w:b/>
          <w:sz w:val="20"/>
          <w:szCs w:val="20"/>
        </w:rPr>
      </w:pPr>
      <w:r w:rsidRPr="00BD4510">
        <w:rPr>
          <w:rFonts w:asciiTheme="majorHAnsi" w:hAnsiTheme="majorHAnsi" w:cs="Calibri"/>
          <w:b/>
          <w:sz w:val="20"/>
          <w:szCs w:val="20"/>
        </w:rPr>
        <w:t>Annex 2</w:t>
      </w:r>
    </w:p>
    <w:p w14:paraId="43BAE012" w14:textId="55B73552" w:rsidR="00E53A53" w:rsidRPr="00BD4510" w:rsidRDefault="00E53A53" w:rsidP="00E53A53">
      <w:pPr>
        <w:pStyle w:val="ListParagraph"/>
        <w:suppressAutoHyphens/>
        <w:spacing w:before="240" w:after="240"/>
        <w:jc w:val="both"/>
        <w:rPr>
          <w:rFonts w:asciiTheme="majorHAnsi" w:hAnsiTheme="majorHAnsi"/>
          <w:sz w:val="20"/>
          <w:szCs w:val="20"/>
        </w:rPr>
      </w:pPr>
      <w:r w:rsidRPr="00BD4510">
        <w:rPr>
          <w:rFonts w:asciiTheme="majorHAnsi" w:hAnsiTheme="majorHAnsi" w:cs="Calibri"/>
          <w:b/>
          <w:sz w:val="20"/>
          <w:szCs w:val="20"/>
        </w:rPr>
        <w:t xml:space="preserve">List provided by the petitioner including the 1,932 alleged victims affected by the </w:t>
      </w:r>
      <w:r w:rsidR="00D31915" w:rsidRPr="00BD4510">
        <w:rPr>
          <w:rFonts w:asciiTheme="majorHAnsi" w:hAnsiTheme="majorHAnsi" w:cs="Calibri"/>
          <w:b/>
          <w:sz w:val="20"/>
          <w:szCs w:val="20"/>
        </w:rPr>
        <w:t>arson attacks on</w:t>
      </w:r>
      <w:r w:rsidRPr="00BD4510">
        <w:rPr>
          <w:rFonts w:asciiTheme="majorHAnsi" w:hAnsiTheme="majorHAnsi" w:cs="Calibri"/>
          <w:b/>
          <w:sz w:val="20"/>
          <w:szCs w:val="20"/>
        </w:rPr>
        <w:t xml:space="preserve"> the </w:t>
      </w:r>
      <w:r w:rsidR="00D31915" w:rsidRPr="00BD4510">
        <w:rPr>
          <w:rFonts w:asciiTheme="majorHAnsi" w:hAnsiTheme="majorHAnsi" w:cs="Calibri"/>
          <w:b/>
          <w:sz w:val="20"/>
          <w:szCs w:val="20"/>
        </w:rPr>
        <w:t>property</w:t>
      </w:r>
      <w:r w:rsidRPr="00BD4510">
        <w:rPr>
          <w:rFonts w:asciiTheme="majorHAnsi" w:hAnsiTheme="majorHAnsi" w:cs="Calibri"/>
          <w:b/>
          <w:sz w:val="20"/>
          <w:szCs w:val="20"/>
        </w:rPr>
        <w:t xml:space="preserve"> and/or forced displacement</w:t>
      </w:r>
    </w:p>
    <w:p w14:paraId="42743A32" w14:textId="77777777" w:rsidR="00F621C3" w:rsidRPr="00BD4510" w:rsidRDefault="00F621C3" w:rsidP="00F621C3">
      <w:pPr>
        <w:tabs>
          <w:tab w:val="center" w:pos="5400"/>
        </w:tabs>
        <w:suppressAutoHyphens/>
        <w:spacing w:line="276" w:lineRule="auto"/>
        <w:rPr>
          <w:rFonts w:asciiTheme="majorHAnsi" w:hAnsiTheme="majorHAnsi"/>
          <w:sz w:val="20"/>
          <w:szCs w:val="20"/>
        </w:rPr>
      </w:pPr>
    </w:p>
    <w:p w14:paraId="2122B46A" w14:textId="77777777" w:rsidR="00C55560" w:rsidRPr="00BD4510" w:rsidRDefault="00C55560" w:rsidP="00230163">
      <w:pPr>
        <w:tabs>
          <w:tab w:val="left" w:pos="2820"/>
        </w:tabs>
        <w:suppressAutoHyphens/>
        <w:spacing w:line="276" w:lineRule="auto"/>
        <w:rPr>
          <w:rFonts w:asciiTheme="majorHAnsi" w:hAnsiTheme="majorHAnsi"/>
          <w:sz w:val="20"/>
          <w:szCs w:val="20"/>
        </w:rPr>
      </w:pPr>
    </w:p>
    <w:sectPr w:rsidR="00C55560" w:rsidRPr="00BD4510"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07FDA" w14:textId="77777777" w:rsidR="0076095F" w:rsidRDefault="0076095F" w:rsidP="00036A8A">
      <w:r>
        <w:separator/>
      </w:r>
    </w:p>
  </w:endnote>
  <w:endnote w:type="continuationSeparator" w:id="0">
    <w:p w14:paraId="2B867774" w14:textId="77777777" w:rsidR="0076095F" w:rsidRDefault="0076095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2A204" w14:textId="77777777" w:rsidR="007D2F54" w:rsidRDefault="007D2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7E20CA" w:rsidRPr="006311DA" w:rsidRDefault="007E20C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D2F54">
          <w:rPr>
            <w:noProof/>
            <w:sz w:val="16"/>
          </w:rPr>
          <w:t>3</w:t>
        </w:r>
        <w:r w:rsidRPr="006311DA">
          <w:rPr>
            <w:noProof/>
            <w:sz w:val="16"/>
          </w:rPr>
          <w:fldChar w:fldCharType="end"/>
        </w:r>
      </w:p>
    </w:sdtContent>
  </w:sdt>
  <w:p w14:paraId="767961CB" w14:textId="77777777" w:rsidR="007E20CA" w:rsidRDefault="007E20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E20CA" w:rsidRDefault="007E20CA">
    <w:pPr>
      <w:pStyle w:val="Footer"/>
      <w:jc w:val="center"/>
    </w:pPr>
  </w:p>
  <w:p w14:paraId="2699B8C1" w14:textId="77777777" w:rsidR="007E20CA" w:rsidRDefault="007E2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D4277" w14:textId="77777777" w:rsidR="0076095F" w:rsidRPr="00036A8A" w:rsidRDefault="0076095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825F7C0" w14:textId="77777777" w:rsidR="0076095F" w:rsidRPr="00036A8A" w:rsidRDefault="0076095F" w:rsidP="00036A8A">
      <w:pPr>
        <w:rPr>
          <w:rFonts w:asciiTheme="majorHAnsi" w:hAnsiTheme="majorHAnsi"/>
          <w:sz w:val="16"/>
          <w:szCs w:val="16"/>
        </w:rPr>
      </w:pPr>
      <w:r w:rsidRPr="00036A8A">
        <w:rPr>
          <w:rFonts w:asciiTheme="majorHAnsi" w:hAnsiTheme="majorHAnsi"/>
          <w:sz w:val="16"/>
          <w:szCs w:val="16"/>
        </w:rPr>
        <w:separator/>
      </w:r>
    </w:p>
    <w:p w14:paraId="639E6D3F" w14:textId="77777777" w:rsidR="0076095F" w:rsidRPr="00036A8A" w:rsidRDefault="0076095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42312735" w14:textId="77777777" w:rsidR="0076095F" w:rsidRPr="0093441A" w:rsidRDefault="0076095F"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64239B88" w14:textId="44478284" w:rsidR="007E20CA" w:rsidRPr="00BD4510" w:rsidRDefault="007E20CA" w:rsidP="009A6912">
      <w:pPr>
        <w:pStyle w:val="FootnoteText"/>
        <w:spacing w:before="120"/>
        <w:ind w:firstLine="720"/>
        <w:jc w:val="both"/>
        <w:rPr>
          <w:rFonts w:asciiTheme="majorHAnsi" w:hAnsiTheme="majorHAnsi"/>
          <w:sz w:val="16"/>
          <w:szCs w:val="16"/>
        </w:rPr>
      </w:pPr>
      <w:r w:rsidRPr="00BD4510">
        <w:rPr>
          <w:rStyle w:val="FootnoteReference"/>
          <w:rFonts w:asciiTheme="majorHAnsi" w:hAnsiTheme="majorHAnsi"/>
          <w:sz w:val="16"/>
          <w:szCs w:val="16"/>
        </w:rPr>
        <w:footnoteRef/>
      </w:r>
      <w:r w:rsidRPr="00BD4510">
        <w:rPr>
          <w:rFonts w:asciiTheme="majorHAnsi" w:hAnsiTheme="majorHAnsi"/>
          <w:sz w:val="16"/>
          <w:szCs w:val="16"/>
        </w:rPr>
        <w:t xml:space="preserve"> </w:t>
      </w:r>
      <w:r w:rsidR="00EF5078" w:rsidRPr="00BD4510">
        <w:rPr>
          <w:rFonts w:asciiTheme="majorHAnsi" w:hAnsiTheme="majorHAnsi"/>
          <w:sz w:val="16"/>
          <w:szCs w:val="16"/>
        </w:rPr>
        <w:t>The petitioner identifies 1,960 alleged victims, set out in the document annexed.  The petitioner submitted a list of 1,932 alleged victims, including persons whose houses were burnt and who were victims of internal displacement.  The petitioner also identifies separately 23 victims (in one list), and 28 (in a list with an additional 5 individuals) who were executed and do not appear in the list of 1,932 individuals referred to above</w:t>
      </w:r>
      <w:r w:rsidRPr="00BD4510">
        <w:rPr>
          <w:rFonts w:asciiTheme="majorHAnsi" w:hAnsiTheme="majorHAnsi"/>
          <w:sz w:val="16"/>
          <w:szCs w:val="16"/>
        </w:rPr>
        <w:t xml:space="preserve">. </w:t>
      </w:r>
    </w:p>
  </w:footnote>
  <w:footnote w:id="3">
    <w:p w14:paraId="751F37CA" w14:textId="17381E57" w:rsidR="007E20CA" w:rsidRPr="00BD4510" w:rsidRDefault="007E20CA" w:rsidP="009A6912">
      <w:pPr>
        <w:pStyle w:val="FootnoteText"/>
        <w:spacing w:before="120"/>
        <w:ind w:firstLine="720"/>
        <w:jc w:val="both"/>
        <w:rPr>
          <w:rFonts w:asciiTheme="majorHAnsi" w:hAnsiTheme="majorHAnsi"/>
          <w:sz w:val="16"/>
          <w:szCs w:val="16"/>
        </w:rPr>
      </w:pPr>
      <w:r w:rsidRPr="00BD4510">
        <w:rPr>
          <w:rStyle w:val="FootnoteReference"/>
          <w:rFonts w:asciiTheme="majorHAnsi" w:hAnsiTheme="majorHAnsi"/>
          <w:sz w:val="16"/>
          <w:szCs w:val="16"/>
        </w:rPr>
        <w:footnoteRef/>
      </w:r>
      <w:r w:rsidRPr="00BD4510">
        <w:rPr>
          <w:rFonts w:asciiTheme="majorHAnsi" w:hAnsiTheme="majorHAnsi"/>
          <w:sz w:val="16"/>
          <w:szCs w:val="16"/>
        </w:rPr>
        <w:t xml:space="preserve"> In accordance with the provisions of Article 17.2.</w:t>
      </w:r>
      <w:proofErr w:type="spellStart"/>
      <w:r w:rsidRPr="00BD4510">
        <w:rPr>
          <w:rFonts w:asciiTheme="majorHAnsi" w:hAnsiTheme="majorHAnsi"/>
          <w:sz w:val="16"/>
          <w:szCs w:val="16"/>
        </w:rPr>
        <w:t>a</w:t>
      </w:r>
      <w:proofErr w:type="spellEnd"/>
      <w:r w:rsidRPr="00BD4510">
        <w:rPr>
          <w:rFonts w:asciiTheme="majorHAnsi" w:hAnsiTheme="majorHAnsi"/>
          <w:sz w:val="16"/>
          <w:szCs w:val="16"/>
        </w:rPr>
        <w:t xml:space="preserve"> of the Commission’s Rules of Procedure, Commissioner Luis Ernesto Vargas Silva, of Colombian nationality, did not participate in either the discussion or decision in the present case.</w:t>
      </w:r>
    </w:p>
  </w:footnote>
  <w:footnote w:id="4">
    <w:p w14:paraId="28BA0123" w14:textId="0AAFB9BF" w:rsidR="007E20CA" w:rsidRPr="00BD4510" w:rsidRDefault="007E20CA" w:rsidP="009A6912">
      <w:pPr>
        <w:pStyle w:val="FootnoteText"/>
        <w:spacing w:before="120"/>
        <w:ind w:firstLine="720"/>
        <w:jc w:val="both"/>
        <w:rPr>
          <w:rFonts w:asciiTheme="majorHAnsi" w:hAnsiTheme="majorHAnsi"/>
          <w:sz w:val="16"/>
          <w:szCs w:val="16"/>
        </w:rPr>
      </w:pPr>
      <w:r w:rsidRPr="00BD4510">
        <w:rPr>
          <w:rStyle w:val="FootnoteReference"/>
          <w:rFonts w:asciiTheme="majorHAnsi" w:hAnsiTheme="majorHAnsi"/>
          <w:sz w:val="16"/>
          <w:szCs w:val="16"/>
        </w:rPr>
        <w:footnoteRef/>
      </w:r>
      <w:r w:rsidRPr="00BD4510">
        <w:rPr>
          <w:rFonts w:asciiTheme="majorHAnsi" w:hAnsiTheme="majorHAnsi"/>
          <w:sz w:val="16"/>
          <w:szCs w:val="16"/>
        </w:rPr>
        <w:t xml:space="preserve"> Hereinafter the “Convention” or “the American Convention”.</w:t>
      </w:r>
    </w:p>
  </w:footnote>
  <w:footnote w:id="5">
    <w:p w14:paraId="6F51BDAF" w14:textId="5F4755E7" w:rsidR="007E20CA" w:rsidRPr="00BD4510" w:rsidRDefault="007E20CA" w:rsidP="00210F4B">
      <w:pPr>
        <w:pStyle w:val="FootnoteText"/>
        <w:ind w:firstLine="720"/>
        <w:jc w:val="both"/>
        <w:rPr>
          <w:rFonts w:ascii="Cambria" w:hAnsi="Cambria"/>
          <w:sz w:val="16"/>
          <w:szCs w:val="16"/>
        </w:rPr>
      </w:pPr>
      <w:r w:rsidRPr="00BD4510">
        <w:rPr>
          <w:rStyle w:val="FootnoteReference"/>
          <w:rFonts w:ascii="Cambria" w:hAnsi="Cambria"/>
          <w:sz w:val="16"/>
          <w:szCs w:val="16"/>
        </w:rPr>
        <w:footnoteRef/>
      </w:r>
      <w:r w:rsidRPr="00BD4510">
        <w:rPr>
          <w:rFonts w:ascii="Cambria" w:hAnsi="Cambria"/>
          <w:sz w:val="16"/>
          <w:szCs w:val="16"/>
        </w:rPr>
        <w:t xml:space="preserve"> The observations submitted by each party were duly transmitted to the opposing party.</w:t>
      </w:r>
    </w:p>
  </w:footnote>
  <w:footnote w:id="6">
    <w:p w14:paraId="03410DAE" w14:textId="5BD2FD88" w:rsidR="007E20CA" w:rsidRPr="00BD4510" w:rsidRDefault="007E20CA" w:rsidP="009A6912">
      <w:pPr>
        <w:pStyle w:val="FootnoteText"/>
        <w:spacing w:before="120"/>
        <w:ind w:firstLine="720"/>
        <w:jc w:val="both"/>
        <w:rPr>
          <w:rFonts w:asciiTheme="majorHAnsi" w:hAnsiTheme="majorHAnsi"/>
          <w:sz w:val="16"/>
          <w:szCs w:val="16"/>
        </w:rPr>
      </w:pPr>
      <w:r w:rsidRPr="00BD4510">
        <w:rPr>
          <w:rStyle w:val="FootnoteReference"/>
          <w:rFonts w:asciiTheme="majorHAnsi" w:hAnsiTheme="majorHAnsi"/>
          <w:sz w:val="16"/>
          <w:szCs w:val="16"/>
        </w:rPr>
        <w:footnoteRef/>
      </w:r>
      <w:r w:rsidR="009849D8" w:rsidRPr="00BD4510">
        <w:rPr>
          <w:rFonts w:asciiTheme="majorHAnsi" w:hAnsiTheme="majorHAnsi"/>
          <w:sz w:val="16"/>
          <w:szCs w:val="16"/>
        </w:rPr>
        <w:t xml:space="preserve"> On January 17, 2012, the petitioner expressed interest in a friendly settlement of the claim.  The State responded on March 27, 2015, and on June 1, 2017, the petitioner indicated that he was no longer interested in continuing with the friendly settlement.</w:t>
      </w:r>
    </w:p>
  </w:footnote>
  <w:footnote w:id="7">
    <w:p w14:paraId="0D4DC5F9" w14:textId="4DE98949" w:rsidR="007E20CA" w:rsidRPr="00BD4510" w:rsidRDefault="007E20CA" w:rsidP="00B146BF">
      <w:pPr>
        <w:pStyle w:val="FootnoteText"/>
        <w:spacing w:before="120"/>
        <w:ind w:firstLine="720"/>
        <w:jc w:val="both"/>
        <w:rPr>
          <w:rFonts w:asciiTheme="majorHAnsi" w:hAnsiTheme="majorHAnsi"/>
          <w:sz w:val="16"/>
          <w:szCs w:val="16"/>
        </w:rPr>
      </w:pPr>
      <w:r w:rsidRPr="00BD4510">
        <w:rPr>
          <w:rStyle w:val="FootnoteReference"/>
          <w:rFonts w:asciiTheme="majorHAnsi" w:hAnsiTheme="majorHAnsi"/>
          <w:sz w:val="16"/>
          <w:szCs w:val="16"/>
        </w:rPr>
        <w:footnoteRef/>
      </w:r>
      <w:r w:rsidRPr="00BD4510">
        <w:rPr>
          <w:rFonts w:asciiTheme="majorHAnsi" w:hAnsiTheme="majorHAnsi"/>
          <w:sz w:val="16"/>
          <w:szCs w:val="16"/>
        </w:rPr>
        <w:t xml:space="preserve"> </w:t>
      </w:r>
      <w:r w:rsidR="009849D8" w:rsidRPr="00BD4510">
        <w:rPr>
          <w:rFonts w:asciiTheme="majorHAnsi" w:hAnsiTheme="majorHAnsi"/>
          <w:sz w:val="16"/>
          <w:szCs w:val="16"/>
        </w:rPr>
        <w:t>Hereinafter the “IACPPT”</w:t>
      </w:r>
    </w:p>
  </w:footnote>
  <w:footnote w:id="8">
    <w:p w14:paraId="09183763" w14:textId="77777777" w:rsidR="007E20CA" w:rsidRPr="00BD4510" w:rsidRDefault="007E20CA" w:rsidP="00F17AF0">
      <w:pPr>
        <w:pStyle w:val="FootnoteText"/>
        <w:spacing w:before="120"/>
        <w:ind w:firstLine="720"/>
        <w:jc w:val="both"/>
        <w:rPr>
          <w:rFonts w:asciiTheme="majorHAnsi" w:hAnsiTheme="majorHAnsi"/>
          <w:sz w:val="16"/>
          <w:szCs w:val="16"/>
        </w:rPr>
      </w:pPr>
      <w:r w:rsidRPr="00BD4510">
        <w:rPr>
          <w:rStyle w:val="FootnoteReference"/>
          <w:rFonts w:asciiTheme="majorHAnsi" w:hAnsiTheme="majorHAnsi"/>
          <w:sz w:val="16"/>
          <w:szCs w:val="16"/>
        </w:rPr>
        <w:footnoteRef/>
      </w:r>
      <w:r w:rsidRPr="00BD4510">
        <w:rPr>
          <w:rFonts w:asciiTheme="majorHAnsi" w:hAnsiTheme="majorHAnsi"/>
          <w:sz w:val="16"/>
          <w:szCs w:val="16"/>
        </w:rPr>
        <w:t xml:space="preserve"> IACHR, Report No.54/15, Petition 467/97, Admissibility. </w:t>
      </w:r>
      <w:proofErr w:type="spellStart"/>
      <w:r w:rsidRPr="00BD4510">
        <w:rPr>
          <w:rFonts w:asciiTheme="majorHAnsi" w:hAnsiTheme="majorHAnsi"/>
          <w:sz w:val="16"/>
          <w:szCs w:val="16"/>
        </w:rPr>
        <w:t>Campamento</w:t>
      </w:r>
      <w:proofErr w:type="spellEnd"/>
      <w:r w:rsidRPr="00BD4510">
        <w:rPr>
          <w:rFonts w:asciiTheme="majorHAnsi" w:hAnsiTheme="majorHAnsi"/>
          <w:sz w:val="16"/>
          <w:szCs w:val="16"/>
        </w:rPr>
        <w:t xml:space="preserve"> Massacre, Colombia, October 17, 2015, para. 33.</w:t>
      </w:r>
    </w:p>
  </w:footnote>
  <w:footnote w:id="9">
    <w:p w14:paraId="57F3237E" w14:textId="205505FE" w:rsidR="007E20CA" w:rsidRPr="00BD4510" w:rsidRDefault="007E20CA" w:rsidP="004115C3">
      <w:pPr>
        <w:pStyle w:val="FootnoteText"/>
        <w:spacing w:before="120"/>
        <w:ind w:firstLine="720"/>
        <w:jc w:val="both"/>
        <w:rPr>
          <w:rFonts w:asciiTheme="majorHAnsi" w:hAnsiTheme="majorHAnsi"/>
          <w:sz w:val="16"/>
          <w:szCs w:val="16"/>
        </w:rPr>
      </w:pPr>
      <w:r w:rsidRPr="00BD4510">
        <w:rPr>
          <w:rStyle w:val="FootnoteReference"/>
          <w:rFonts w:asciiTheme="majorHAnsi" w:hAnsiTheme="majorHAnsi"/>
          <w:sz w:val="16"/>
          <w:szCs w:val="16"/>
        </w:rPr>
        <w:footnoteRef/>
      </w:r>
      <w:r w:rsidRPr="00BD4510">
        <w:rPr>
          <w:rFonts w:asciiTheme="majorHAnsi" w:hAnsiTheme="majorHAnsi"/>
          <w:sz w:val="16"/>
          <w:szCs w:val="16"/>
        </w:rPr>
        <w:t xml:space="preserve"> IACHR, Report Nº 107/17. Petition 535-07. Admissibility. </w:t>
      </w:r>
      <w:proofErr w:type="spellStart"/>
      <w:r w:rsidRPr="00BD4510">
        <w:rPr>
          <w:rFonts w:asciiTheme="majorHAnsi" w:hAnsiTheme="majorHAnsi"/>
          <w:sz w:val="16"/>
          <w:szCs w:val="16"/>
        </w:rPr>
        <w:t>Vitelio</w:t>
      </w:r>
      <w:proofErr w:type="spellEnd"/>
      <w:r w:rsidRPr="00BD4510">
        <w:rPr>
          <w:rFonts w:asciiTheme="majorHAnsi" w:hAnsiTheme="majorHAnsi"/>
          <w:sz w:val="16"/>
          <w:szCs w:val="16"/>
        </w:rPr>
        <w:t xml:space="preserve"> </w:t>
      </w:r>
      <w:proofErr w:type="spellStart"/>
      <w:r w:rsidRPr="00BD4510">
        <w:rPr>
          <w:rFonts w:asciiTheme="majorHAnsi" w:hAnsiTheme="majorHAnsi"/>
          <w:sz w:val="16"/>
          <w:szCs w:val="16"/>
        </w:rPr>
        <w:t>Capera</w:t>
      </w:r>
      <w:proofErr w:type="spellEnd"/>
      <w:r w:rsidRPr="00BD4510">
        <w:rPr>
          <w:rFonts w:asciiTheme="majorHAnsi" w:hAnsiTheme="majorHAnsi"/>
          <w:sz w:val="16"/>
          <w:szCs w:val="16"/>
        </w:rPr>
        <w:t xml:space="preserve"> Cruz and family. Colombia. September 7, 2017, para.9.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7E20CA" w:rsidRDefault="007E20CA" w:rsidP="00DA61E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7E20CA" w:rsidRDefault="007E20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7E20CA" w:rsidRDefault="007E20CA"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7E20CA" w:rsidRPr="00EC7D62" w:rsidRDefault="0076095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3F339" w14:textId="77777777" w:rsidR="007D2F54" w:rsidRDefault="007D2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617C95"/>
    <w:multiLevelType w:val="hybridMultilevel"/>
    <w:tmpl w:val="ACD29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97E74"/>
    <w:rsid w:val="000A575F"/>
    <w:rsid w:val="000B77AE"/>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2923"/>
    <w:rsid w:val="001E366B"/>
    <w:rsid w:val="001F1902"/>
    <w:rsid w:val="00210E0E"/>
    <w:rsid w:val="00210F4B"/>
    <w:rsid w:val="00230163"/>
    <w:rsid w:val="0023351C"/>
    <w:rsid w:val="00234E4E"/>
    <w:rsid w:val="00247403"/>
    <w:rsid w:val="00247542"/>
    <w:rsid w:val="00253C9B"/>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67A4C"/>
    <w:rsid w:val="00374AF7"/>
    <w:rsid w:val="003771A3"/>
    <w:rsid w:val="00386CF0"/>
    <w:rsid w:val="003A4348"/>
    <w:rsid w:val="003C32BC"/>
    <w:rsid w:val="003C5396"/>
    <w:rsid w:val="003E3E03"/>
    <w:rsid w:val="003F1BBF"/>
    <w:rsid w:val="004115C3"/>
    <w:rsid w:val="004162B1"/>
    <w:rsid w:val="004165C2"/>
    <w:rsid w:val="00426DCA"/>
    <w:rsid w:val="00450A4A"/>
    <w:rsid w:val="004666FB"/>
    <w:rsid w:val="00466D0B"/>
    <w:rsid w:val="00467B7E"/>
    <w:rsid w:val="0049419D"/>
    <w:rsid w:val="004B2762"/>
    <w:rsid w:val="004B7EB6"/>
    <w:rsid w:val="004C41DE"/>
    <w:rsid w:val="004C4B62"/>
    <w:rsid w:val="004D6025"/>
    <w:rsid w:val="004D72BC"/>
    <w:rsid w:val="004F2C44"/>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34DE3"/>
    <w:rsid w:val="00642810"/>
    <w:rsid w:val="00644B72"/>
    <w:rsid w:val="00652333"/>
    <w:rsid w:val="00653EA6"/>
    <w:rsid w:val="0068009E"/>
    <w:rsid w:val="006A17D2"/>
    <w:rsid w:val="006A73E6"/>
    <w:rsid w:val="006B1BE4"/>
    <w:rsid w:val="006B2D5C"/>
    <w:rsid w:val="006C47E4"/>
    <w:rsid w:val="006C4EB1"/>
    <w:rsid w:val="006D3C32"/>
    <w:rsid w:val="006D4707"/>
    <w:rsid w:val="006E0166"/>
    <w:rsid w:val="006E7B34"/>
    <w:rsid w:val="00701B24"/>
    <w:rsid w:val="0071495F"/>
    <w:rsid w:val="0073798E"/>
    <w:rsid w:val="00745899"/>
    <w:rsid w:val="00754ECD"/>
    <w:rsid w:val="007607C4"/>
    <w:rsid w:val="0076095F"/>
    <w:rsid w:val="0076643F"/>
    <w:rsid w:val="00781653"/>
    <w:rsid w:val="007A2F70"/>
    <w:rsid w:val="007C3334"/>
    <w:rsid w:val="007C52BB"/>
    <w:rsid w:val="007D2B98"/>
    <w:rsid w:val="007D2F54"/>
    <w:rsid w:val="007E20CA"/>
    <w:rsid w:val="00803F1C"/>
    <w:rsid w:val="00804288"/>
    <w:rsid w:val="0080600E"/>
    <w:rsid w:val="0080729C"/>
    <w:rsid w:val="00817612"/>
    <w:rsid w:val="00823304"/>
    <w:rsid w:val="00825E2E"/>
    <w:rsid w:val="00837C45"/>
    <w:rsid w:val="00853419"/>
    <w:rsid w:val="00856A83"/>
    <w:rsid w:val="0085722F"/>
    <w:rsid w:val="00897E12"/>
    <w:rsid w:val="008D43BA"/>
    <w:rsid w:val="008E3759"/>
    <w:rsid w:val="009041DC"/>
    <w:rsid w:val="00906B1F"/>
    <w:rsid w:val="009104B4"/>
    <w:rsid w:val="009121BE"/>
    <w:rsid w:val="0092070B"/>
    <w:rsid w:val="009228DA"/>
    <w:rsid w:val="00925FCD"/>
    <w:rsid w:val="0093441A"/>
    <w:rsid w:val="00954BF7"/>
    <w:rsid w:val="0096706E"/>
    <w:rsid w:val="00981FBA"/>
    <w:rsid w:val="009849D8"/>
    <w:rsid w:val="009A6912"/>
    <w:rsid w:val="009B381B"/>
    <w:rsid w:val="009D7611"/>
    <w:rsid w:val="009E53DE"/>
    <w:rsid w:val="009E566A"/>
    <w:rsid w:val="00A12DBC"/>
    <w:rsid w:val="00A301D7"/>
    <w:rsid w:val="00A43458"/>
    <w:rsid w:val="00A528D1"/>
    <w:rsid w:val="00A66BE5"/>
    <w:rsid w:val="00A74FA1"/>
    <w:rsid w:val="00AD37C1"/>
    <w:rsid w:val="00AD4287"/>
    <w:rsid w:val="00AE66EC"/>
    <w:rsid w:val="00AE6F91"/>
    <w:rsid w:val="00AF5571"/>
    <w:rsid w:val="00B06BB7"/>
    <w:rsid w:val="00B146BF"/>
    <w:rsid w:val="00B167E9"/>
    <w:rsid w:val="00B1733C"/>
    <w:rsid w:val="00B179ED"/>
    <w:rsid w:val="00B314DB"/>
    <w:rsid w:val="00B31EBE"/>
    <w:rsid w:val="00B3718B"/>
    <w:rsid w:val="00B44B23"/>
    <w:rsid w:val="00B4632A"/>
    <w:rsid w:val="00B609A4"/>
    <w:rsid w:val="00B8509D"/>
    <w:rsid w:val="00B92E49"/>
    <w:rsid w:val="00BA276C"/>
    <w:rsid w:val="00BB306F"/>
    <w:rsid w:val="00BD232B"/>
    <w:rsid w:val="00BD2E42"/>
    <w:rsid w:val="00BD4510"/>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0193D"/>
    <w:rsid w:val="00D31915"/>
    <w:rsid w:val="00D34786"/>
    <w:rsid w:val="00D40A1E"/>
    <w:rsid w:val="00D4235E"/>
    <w:rsid w:val="00D533C0"/>
    <w:rsid w:val="00D605FE"/>
    <w:rsid w:val="00D712D3"/>
    <w:rsid w:val="00D71422"/>
    <w:rsid w:val="00D7145E"/>
    <w:rsid w:val="00D75084"/>
    <w:rsid w:val="00D7558D"/>
    <w:rsid w:val="00D81D92"/>
    <w:rsid w:val="00D8426C"/>
    <w:rsid w:val="00D93446"/>
    <w:rsid w:val="00DA61ED"/>
    <w:rsid w:val="00DA7B5F"/>
    <w:rsid w:val="00DE1D0C"/>
    <w:rsid w:val="00DF078B"/>
    <w:rsid w:val="00DF350D"/>
    <w:rsid w:val="00E227C1"/>
    <w:rsid w:val="00E41025"/>
    <w:rsid w:val="00E43157"/>
    <w:rsid w:val="00E47B9F"/>
    <w:rsid w:val="00E47F3D"/>
    <w:rsid w:val="00E533FF"/>
    <w:rsid w:val="00E53A53"/>
    <w:rsid w:val="00E5498B"/>
    <w:rsid w:val="00E62E88"/>
    <w:rsid w:val="00E709B3"/>
    <w:rsid w:val="00E7588C"/>
    <w:rsid w:val="00E75B7B"/>
    <w:rsid w:val="00E850B6"/>
    <w:rsid w:val="00E8789F"/>
    <w:rsid w:val="00E97B71"/>
    <w:rsid w:val="00EB454D"/>
    <w:rsid w:val="00ED0D1B"/>
    <w:rsid w:val="00EE3522"/>
    <w:rsid w:val="00EF5078"/>
    <w:rsid w:val="00EF619B"/>
    <w:rsid w:val="00EF7BDA"/>
    <w:rsid w:val="00F00B55"/>
    <w:rsid w:val="00F039A1"/>
    <w:rsid w:val="00F1380F"/>
    <w:rsid w:val="00F14F0E"/>
    <w:rsid w:val="00F15A3B"/>
    <w:rsid w:val="00F17AF0"/>
    <w:rsid w:val="00F24C29"/>
    <w:rsid w:val="00F253CC"/>
    <w:rsid w:val="00F42B71"/>
    <w:rsid w:val="00F56BA5"/>
    <w:rsid w:val="00F621C3"/>
    <w:rsid w:val="00F644E6"/>
    <w:rsid w:val="00F67273"/>
    <w:rsid w:val="00F672BD"/>
    <w:rsid w:val="00F9653B"/>
    <w:rsid w:val="00FB5281"/>
    <w:rsid w:val="00FB62CF"/>
    <w:rsid w:val="00FC3EB4"/>
    <w:rsid w:val="00FC6C58"/>
    <w:rsid w:val="00FD5359"/>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A15A53"/>
    <w:rsid w:val="00AB44F1"/>
    <w:rsid w:val="00C0642C"/>
    <w:rsid w:val="00C90792"/>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B890-818D-472B-AD68-9DBC0844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12409</Characters>
  <Application>Microsoft Office Word</Application>
  <DocSecurity>0</DocSecurity>
  <Lines>282</Lines>
  <Paragraphs>90</Paragraphs>
  <ScaleCrop>false</ScaleCrop>
  <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3/19</dc:title>
  <dc:creator/>
  <cp:lastModifiedBy/>
  <cp:revision>1</cp:revision>
  <dcterms:created xsi:type="dcterms:W3CDTF">2019-04-18T13:09:00Z</dcterms:created>
  <dcterms:modified xsi:type="dcterms:W3CDTF">2019-04-18T13:09:00Z</dcterms:modified>
</cp:coreProperties>
</file>