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8C2425" w:rsidRDefault="006311DA" w:rsidP="00627C9F">
      <w:pPr>
        <w:jc w:val="both"/>
        <w:rPr>
          <w:rFonts w:asciiTheme="majorHAnsi" w:hAnsiTheme="majorHAnsi" w:cs="Univers"/>
          <w:b/>
          <w:bCs/>
          <w:sz w:val="22"/>
          <w:szCs w:val="22"/>
          <w:lang w:val="es-ES_tradnl"/>
        </w:rPr>
      </w:pPr>
      <w:r w:rsidRPr="008C242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C242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8C2425"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8C2425"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8C2425"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8C2425"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8C2425"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8C2425"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8C2425"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8C2425"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8C2425"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8C2425"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8C2425" w:rsidRDefault="00E533FF" w:rsidP="00040C3A">
      <w:pPr>
        <w:tabs>
          <w:tab w:val="center" w:pos="5400"/>
        </w:tabs>
        <w:suppressAutoHyphens/>
        <w:jc w:val="center"/>
        <w:rPr>
          <w:rFonts w:asciiTheme="majorHAnsi" w:hAnsiTheme="majorHAnsi"/>
          <w:sz w:val="22"/>
          <w:szCs w:val="22"/>
          <w:lang w:val="es-ES_tradnl"/>
        </w:rPr>
      </w:pPr>
      <w:r w:rsidRPr="008C242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E8509" w14:textId="77777777" w:rsidR="009F73FB" w:rsidRPr="00FF4B44" w:rsidRDefault="009F73FB" w:rsidP="009F73FB">
                            <w:pPr>
                              <w:spacing w:line="276" w:lineRule="auto"/>
                              <w:rPr>
                                <w:rFonts w:asciiTheme="majorHAnsi" w:hAnsiTheme="majorHAnsi" w:cs="Arial"/>
                                <w:b/>
                                <w:bCs/>
                                <w:color w:val="0D0D0D" w:themeColor="text1" w:themeTint="F2"/>
                                <w:sz w:val="36"/>
                                <w:szCs w:val="40"/>
                              </w:rPr>
                            </w:pPr>
                            <w:r w:rsidRPr="00FF4B44">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139</w:t>
                            </w:r>
                            <w:r w:rsidRPr="00FF4B44">
                              <w:rPr>
                                <w:rFonts w:asciiTheme="majorHAnsi" w:hAnsiTheme="majorHAnsi" w:cs="Arial"/>
                                <w:b/>
                                <w:bCs/>
                                <w:color w:val="0D0D0D" w:themeColor="text1" w:themeTint="F2"/>
                                <w:sz w:val="36"/>
                                <w:szCs w:val="40"/>
                              </w:rPr>
                              <w:t>/19</w:t>
                            </w:r>
                          </w:p>
                          <w:p w14:paraId="791295F0" w14:textId="77777777" w:rsidR="009F73FB" w:rsidRPr="00FF4B44" w:rsidRDefault="009F73FB" w:rsidP="009F73FB">
                            <w:pPr>
                              <w:spacing w:line="276" w:lineRule="auto"/>
                              <w:rPr>
                                <w:rFonts w:asciiTheme="majorHAnsi" w:hAnsiTheme="majorHAnsi" w:cs="Arial"/>
                                <w:b/>
                                <w:bCs/>
                                <w:color w:val="0D0D0D" w:themeColor="text1" w:themeTint="F2"/>
                                <w:sz w:val="36"/>
                                <w:szCs w:val="40"/>
                              </w:rPr>
                            </w:pPr>
                            <w:r w:rsidRPr="00FF4B44">
                              <w:rPr>
                                <w:rFonts w:asciiTheme="majorHAnsi" w:hAnsiTheme="majorHAnsi" w:cs="Arial"/>
                                <w:b/>
                                <w:bCs/>
                                <w:color w:val="0D0D0D" w:themeColor="text1" w:themeTint="F2"/>
                                <w:sz w:val="36"/>
                                <w:szCs w:val="40"/>
                              </w:rPr>
                              <w:t>PETITION 1133-12</w:t>
                            </w:r>
                          </w:p>
                          <w:p w14:paraId="590F1910" w14:textId="77777777" w:rsidR="009F73FB" w:rsidRPr="00FF4B44" w:rsidRDefault="009F73FB" w:rsidP="009F73FB">
                            <w:pPr>
                              <w:spacing w:line="276" w:lineRule="auto"/>
                              <w:rPr>
                                <w:rFonts w:asciiTheme="majorHAnsi" w:hAnsiTheme="majorHAnsi" w:cs="Arial"/>
                                <w:bCs/>
                                <w:color w:val="0D0D0D" w:themeColor="text1" w:themeTint="F2"/>
                              </w:rPr>
                            </w:pPr>
                            <w:r w:rsidRPr="00FF4B44">
                              <w:rPr>
                                <w:rFonts w:asciiTheme="majorHAnsi" w:hAnsiTheme="majorHAnsi" w:cs="Arial"/>
                                <w:bCs/>
                                <w:color w:val="0D0D0D" w:themeColor="text1" w:themeTint="F2"/>
                              </w:rPr>
                              <w:t xml:space="preserve">ADMISSIBILITY REPORT </w:t>
                            </w:r>
                          </w:p>
                          <w:p w14:paraId="6EC64067" w14:textId="77777777" w:rsidR="009F73FB" w:rsidRPr="00FF4B44" w:rsidRDefault="009F73FB" w:rsidP="009F73FB">
                            <w:pPr>
                              <w:spacing w:line="276" w:lineRule="auto"/>
                              <w:rPr>
                                <w:rFonts w:asciiTheme="majorHAnsi" w:hAnsiTheme="majorHAnsi" w:cs="Arial"/>
                                <w:bCs/>
                                <w:color w:val="0D0D0D" w:themeColor="text1" w:themeTint="F2"/>
                              </w:rPr>
                            </w:pPr>
                          </w:p>
                          <w:p w14:paraId="46A1A761" w14:textId="77777777" w:rsidR="009F73FB" w:rsidRPr="00FF4B44" w:rsidRDefault="009F73FB" w:rsidP="009F73FB">
                            <w:pPr>
                              <w:spacing w:line="276" w:lineRule="auto"/>
                              <w:rPr>
                                <w:rFonts w:asciiTheme="majorHAnsi" w:hAnsiTheme="majorHAnsi" w:cs="Arial"/>
                                <w:bCs/>
                                <w:color w:val="0D0D0D" w:themeColor="text1" w:themeTint="F2"/>
                                <w:lang w:val="es-US"/>
                              </w:rPr>
                            </w:pPr>
                            <w:r w:rsidRPr="00FF4B44">
                              <w:rPr>
                                <w:rFonts w:asciiTheme="majorHAnsi" w:hAnsiTheme="majorHAnsi" w:cs="Arial"/>
                                <w:bCs/>
                                <w:color w:val="0D0D0D" w:themeColor="text1" w:themeTint="F2"/>
                                <w:lang w:val="es-US"/>
                              </w:rPr>
                              <w:t>CONSTANZA SOLEDAD SÁNCHEZ ASTETE Y OTROS</w:t>
                            </w:r>
                          </w:p>
                          <w:p w14:paraId="17A89EFB" w14:textId="429F06BC" w:rsidR="005B52B0" w:rsidRPr="000C4365" w:rsidRDefault="009F73FB" w:rsidP="009F73FB">
                            <w:pPr>
                              <w:spacing w:line="276" w:lineRule="auto"/>
                              <w:rPr>
                                <w:rFonts w:asciiTheme="majorHAnsi" w:hAnsiTheme="majorHAnsi"/>
                                <w:color w:val="0D0D0D" w:themeColor="text1" w:themeTint="F2"/>
                              </w:rPr>
                            </w:pPr>
                            <w:r w:rsidRPr="00FF4B44">
                              <w:rPr>
                                <w:rFonts w:asciiTheme="majorHAnsi" w:hAnsiTheme="majorHAnsi" w:cs="Arial"/>
                                <w:bCs/>
                                <w:color w:val="0D0D0D" w:themeColor="text1" w:themeTint="F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50E8509" w14:textId="77777777" w:rsidR="009F73FB" w:rsidRPr="00FF4B44" w:rsidRDefault="009F73FB" w:rsidP="009F73FB">
                      <w:pPr>
                        <w:spacing w:line="276" w:lineRule="auto"/>
                        <w:rPr>
                          <w:rFonts w:asciiTheme="majorHAnsi" w:hAnsiTheme="majorHAnsi" w:cs="Arial"/>
                          <w:b/>
                          <w:bCs/>
                          <w:color w:val="0D0D0D" w:themeColor="text1" w:themeTint="F2"/>
                          <w:sz w:val="36"/>
                          <w:szCs w:val="40"/>
                        </w:rPr>
                      </w:pPr>
                      <w:r w:rsidRPr="00FF4B44">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139</w:t>
                      </w:r>
                      <w:r w:rsidRPr="00FF4B44">
                        <w:rPr>
                          <w:rFonts w:asciiTheme="majorHAnsi" w:hAnsiTheme="majorHAnsi" w:cs="Arial"/>
                          <w:b/>
                          <w:bCs/>
                          <w:color w:val="0D0D0D" w:themeColor="text1" w:themeTint="F2"/>
                          <w:sz w:val="36"/>
                          <w:szCs w:val="40"/>
                        </w:rPr>
                        <w:t>/19</w:t>
                      </w:r>
                    </w:p>
                    <w:p w14:paraId="791295F0" w14:textId="77777777" w:rsidR="009F73FB" w:rsidRPr="00FF4B44" w:rsidRDefault="009F73FB" w:rsidP="009F73FB">
                      <w:pPr>
                        <w:spacing w:line="276" w:lineRule="auto"/>
                        <w:rPr>
                          <w:rFonts w:asciiTheme="majorHAnsi" w:hAnsiTheme="majorHAnsi" w:cs="Arial"/>
                          <w:b/>
                          <w:bCs/>
                          <w:color w:val="0D0D0D" w:themeColor="text1" w:themeTint="F2"/>
                          <w:sz w:val="36"/>
                          <w:szCs w:val="40"/>
                        </w:rPr>
                      </w:pPr>
                      <w:r w:rsidRPr="00FF4B44">
                        <w:rPr>
                          <w:rFonts w:asciiTheme="majorHAnsi" w:hAnsiTheme="majorHAnsi" w:cs="Arial"/>
                          <w:b/>
                          <w:bCs/>
                          <w:color w:val="0D0D0D" w:themeColor="text1" w:themeTint="F2"/>
                          <w:sz w:val="36"/>
                          <w:szCs w:val="40"/>
                        </w:rPr>
                        <w:t>PETITION 1133-12</w:t>
                      </w:r>
                    </w:p>
                    <w:p w14:paraId="590F1910" w14:textId="77777777" w:rsidR="009F73FB" w:rsidRPr="00FF4B44" w:rsidRDefault="009F73FB" w:rsidP="009F73FB">
                      <w:pPr>
                        <w:spacing w:line="276" w:lineRule="auto"/>
                        <w:rPr>
                          <w:rFonts w:asciiTheme="majorHAnsi" w:hAnsiTheme="majorHAnsi" w:cs="Arial"/>
                          <w:bCs/>
                          <w:color w:val="0D0D0D" w:themeColor="text1" w:themeTint="F2"/>
                        </w:rPr>
                      </w:pPr>
                      <w:r w:rsidRPr="00FF4B44">
                        <w:rPr>
                          <w:rFonts w:asciiTheme="majorHAnsi" w:hAnsiTheme="majorHAnsi" w:cs="Arial"/>
                          <w:bCs/>
                          <w:color w:val="0D0D0D" w:themeColor="text1" w:themeTint="F2"/>
                        </w:rPr>
                        <w:t xml:space="preserve">ADMISSIBILITY REPORT </w:t>
                      </w:r>
                    </w:p>
                    <w:p w14:paraId="6EC64067" w14:textId="77777777" w:rsidR="009F73FB" w:rsidRPr="00FF4B44" w:rsidRDefault="009F73FB" w:rsidP="009F73FB">
                      <w:pPr>
                        <w:spacing w:line="276" w:lineRule="auto"/>
                        <w:rPr>
                          <w:rFonts w:asciiTheme="majorHAnsi" w:hAnsiTheme="majorHAnsi" w:cs="Arial"/>
                          <w:bCs/>
                          <w:color w:val="0D0D0D" w:themeColor="text1" w:themeTint="F2"/>
                        </w:rPr>
                      </w:pPr>
                    </w:p>
                    <w:p w14:paraId="46A1A761" w14:textId="77777777" w:rsidR="009F73FB" w:rsidRPr="00FF4B44" w:rsidRDefault="009F73FB" w:rsidP="009F73FB">
                      <w:pPr>
                        <w:spacing w:line="276" w:lineRule="auto"/>
                        <w:rPr>
                          <w:rFonts w:asciiTheme="majorHAnsi" w:hAnsiTheme="majorHAnsi" w:cs="Arial"/>
                          <w:bCs/>
                          <w:color w:val="0D0D0D" w:themeColor="text1" w:themeTint="F2"/>
                          <w:lang w:val="es-US"/>
                        </w:rPr>
                      </w:pPr>
                      <w:r w:rsidRPr="00FF4B44">
                        <w:rPr>
                          <w:rFonts w:asciiTheme="majorHAnsi" w:hAnsiTheme="majorHAnsi" w:cs="Arial"/>
                          <w:bCs/>
                          <w:color w:val="0D0D0D" w:themeColor="text1" w:themeTint="F2"/>
                          <w:lang w:val="es-US"/>
                        </w:rPr>
                        <w:t>CONSTANZA SOLEDAD SÁNCHEZ ASTETE Y OTROS</w:t>
                      </w:r>
                    </w:p>
                    <w:p w14:paraId="17A89EFB" w14:textId="429F06BC" w:rsidR="005B52B0" w:rsidRPr="000C4365" w:rsidRDefault="009F73FB" w:rsidP="009F73FB">
                      <w:pPr>
                        <w:spacing w:line="276" w:lineRule="auto"/>
                        <w:rPr>
                          <w:rFonts w:asciiTheme="majorHAnsi" w:hAnsiTheme="majorHAnsi"/>
                          <w:color w:val="0D0D0D" w:themeColor="text1" w:themeTint="F2"/>
                        </w:rPr>
                      </w:pPr>
                      <w:r w:rsidRPr="00FF4B44">
                        <w:rPr>
                          <w:rFonts w:asciiTheme="majorHAnsi" w:hAnsiTheme="majorHAnsi" w:cs="Arial"/>
                          <w:bCs/>
                          <w:color w:val="0D0D0D" w:themeColor="text1" w:themeTint="F2"/>
                        </w:rPr>
                        <w:t>CHILE</w:t>
                      </w:r>
                    </w:p>
                  </w:txbxContent>
                </v:textbox>
              </v:shape>
            </w:pict>
          </mc:Fallback>
        </mc:AlternateContent>
      </w:r>
      <w:r w:rsidR="004B7EB6" w:rsidRPr="008C242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7FE80DD" w:rsidR="00627C9F" w:rsidRPr="008C2425" w:rsidRDefault="009E566A" w:rsidP="008C2425">
                            <w:pPr>
                              <w:spacing w:line="360" w:lineRule="auto"/>
                              <w:jc w:val="right"/>
                              <w:rPr>
                                <w:rFonts w:asciiTheme="minorHAnsi" w:hAnsiTheme="minorHAnsi"/>
                                <w:color w:val="FFFFFF" w:themeColor="background1"/>
                                <w:sz w:val="22"/>
                                <w:lang w:val="pt-BR"/>
                              </w:rPr>
                            </w:pPr>
                            <w:r w:rsidRPr="008C2425">
                              <w:rPr>
                                <w:rFonts w:asciiTheme="minorHAnsi" w:hAnsiTheme="minorHAnsi"/>
                                <w:color w:val="FFFFFF" w:themeColor="background1"/>
                                <w:sz w:val="22"/>
                                <w:lang w:val="pt-BR"/>
                              </w:rPr>
                              <w:t>OEA/Ser.L/V/II.</w:t>
                            </w:r>
                          </w:p>
                          <w:p w14:paraId="4AA08A8C" w14:textId="67A0AA08" w:rsidR="00627C9F" w:rsidRPr="008C2425" w:rsidRDefault="00CA6577" w:rsidP="008C2425">
                            <w:pPr>
                              <w:spacing w:line="360" w:lineRule="auto"/>
                              <w:jc w:val="right"/>
                              <w:rPr>
                                <w:rFonts w:asciiTheme="minorHAnsi" w:hAnsiTheme="minorHAnsi"/>
                                <w:color w:val="FFFFFF" w:themeColor="background1"/>
                                <w:sz w:val="22"/>
                                <w:lang w:val="pt-BR"/>
                              </w:rPr>
                            </w:pPr>
                            <w:r w:rsidRPr="008C2425">
                              <w:rPr>
                                <w:rFonts w:asciiTheme="minorHAnsi" w:hAnsiTheme="minorHAnsi"/>
                                <w:color w:val="FFFFFF" w:themeColor="background1"/>
                                <w:sz w:val="22"/>
                                <w:lang w:val="pt-BR"/>
                              </w:rPr>
                              <w:t xml:space="preserve">Doc. </w:t>
                            </w:r>
                            <w:r w:rsidR="008C2425" w:rsidRPr="008C2425">
                              <w:rPr>
                                <w:rFonts w:asciiTheme="minorHAnsi" w:hAnsiTheme="minorHAnsi"/>
                                <w:color w:val="FFFFFF" w:themeColor="background1"/>
                                <w:sz w:val="22"/>
                                <w:lang w:val="pt-BR"/>
                              </w:rPr>
                              <w:t>149</w:t>
                            </w:r>
                          </w:p>
                          <w:p w14:paraId="0BEFF61A" w14:textId="7E0C72DA" w:rsidR="00627C9F" w:rsidRPr="008C2425" w:rsidRDefault="00022CF5" w:rsidP="008C2425">
                            <w:pPr>
                              <w:spacing w:line="360" w:lineRule="auto"/>
                              <w:jc w:val="right"/>
                              <w:rPr>
                                <w:rFonts w:asciiTheme="minorHAnsi" w:hAnsiTheme="minorHAnsi"/>
                                <w:color w:val="FFFFFF" w:themeColor="background1"/>
                                <w:sz w:val="22"/>
                              </w:rPr>
                            </w:pPr>
                            <w:r w:rsidRPr="008C2425">
                              <w:rPr>
                                <w:rFonts w:asciiTheme="minorHAnsi" w:hAnsiTheme="minorHAnsi"/>
                                <w:color w:val="FFFFFF" w:themeColor="background1"/>
                                <w:sz w:val="22"/>
                                <w:lang w:val="pt-BR"/>
                              </w:rPr>
                              <w:t xml:space="preserve"> </w:t>
                            </w:r>
                            <w:r w:rsidR="008C2425" w:rsidRPr="008C2425">
                              <w:rPr>
                                <w:rFonts w:asciiTheme="minorHAnsi" w:hAnsiTheme="minorHAnsi"/>
                                <w:color w:val="FFFFFF" w:themeColor="background1"/>
                                <w:sz w:val="22"/>
                              </w:rPr>
                              <w:t>1 September 2019</w:t>
                            </w:r>
                          </w:p>
                          <w:p w14:paraId="0FC103BD" w14:textId="778081BF" w:rsidR="00627C9F" w:rsidRPr="008C2425" w:rsidRDefault="00627C9F" w:rsidP="008C2425">
                            <w:pPr>
                              <w:spacing w:line="360" w:lineRule="auto"/>
                              <w:jc w:val="right"/>
                              <w:rPr>
                                <w:rFonts w:asciiTheme="minorHAnsi" w:hAnsiTheme="minorHAnsi"/>
                                <w:color w:val="FFFFFF" w:themeColor="background1"/>
                                <w:sz w:val="22"/>
                              </w:rPr>
                            </w:pPr>
                            <w:r w:rsidRPr="008C2425">
                              <w:rPr>
                                <w:rFonts w:asciiTheme="minorHAnsi" w:hAnsiTheme="minorHAnsi"/>
                                <w:color w:val="FFFFFF" w:themeColor="background1"/>
                                <w:sz w:val="22"/>
                              </w:rPr>
                              <w:t>Original:</w:t>
                            </w:r>
                            <w:r w:rsidR="002C1641" w:rsidRPr="008C2425">
                              <w:rPr>
                                <w:rFonts w:asciiTheme="minorHAnsi" w:hAnsiTheme="minorHAnsi"/>
                                <w:color w:val="FFFFFF" w:themeColor="background1"/>
                                <w:sz w:val="22"/>
                              </w:rPr>
                              <w:t xml:space="preserve"> </w:t>
                            </w:r>
                            <w:r w:rsidR="00F42B71" w:rsidRPr="008C242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7FE80DD" w:rsidR="00627C9F" w:rsidRPr="008C2425" w:rsidRDefault="009E566A" w:rsidP="008C2425">
                      <w:pPr>
                        <w:spacing w:line="360" w:lineRule="auto"/>
                        <w:jc w:val="right"/>
                        <w:rPr>
                          <w:rFonts w:asciiTheme="minorHAnsi" w:hAnsiTheme="minorHAnsi"/>
                          <w:color w:val="FFFFFF" w:themeColor="background1"/>
                          <w:sz w:val="22"/>
                          <w:lang w:val="pt-BR"/>
                        </w:rPr>
                      </w:pPr>
                      <w:r w:rsidRPr="008C2425">
                        <w:rPr>
                          <w:rFonts w:asciiTheme="minorHAnsi" w:hAnsiTheme="minorHAnsi"/>
                          <w:color w:val="FFFFFF" w:themeColor="background1"/>
                          <w:sz w:val="22"/>
                          <w:lang w:val="pt-BR"/>
                        </w:rPr>
                        <w:t>OEA/Ser.L/V/II.</w:t>
                      </w:r>
                    </w:p>
                    <w:p w14:paraId="4AA08A8C" w14:textId="67A0AA08" w:rsidR="00627C9F" w:rsidRPr="008C2425" w:rsidRDefault="00CA6577" w:rsidP="008C2425">
                      <w:pPr>
                        <w:spacing w:line="360" w:lineRule="auto"/>
                        <w:jc w:val="right"/>
                        <w:rPr>
                          <w:rFonts w:asciiTheme="minorHAnsi" w:hAnsiTheme="minorHAnsi"/>
                          <w:color w:val="FFFFFF" w:themeColor="background1"/>
                          <w:sz w:val="22"/>
                          <w:lang w:val="pt-BR"/>
                        </w:rPr>
                      </w:pPr>
                      <w:r w:rsidRPr="008C2425">
                        <w:rPr>
                          <w:rFonts w:asciiTheme="minorHAnsi" w:hAnsiTheme="minorHAnsi"/>
                          <w:color w:val="FFFFFF" w:themeColor="background1"/>
                          <w:sz w:val="22"/>
                          <w:lang w:val="pt-BR"/>
                        </w:rPr>
                        <w:t xml:space="preserve">Doc. </w:t>
                      </w:r>
                      <w:r w:rsidR="008C2425" w:rsidRPr="008C2425">
                        <w:rPr>
                          <w:rFonts w:asciiTheme="minorHAnsi" w:hAnsiTheme="minorHAnsi"/>
                          <w:color w:val="FFFFFF" w:themeColor="background1"/>
                          <w:sz w:val="22"/>
                          <w:lang w:val="pt-BR"/>
                        </w:rPr>
                        <w:t>149</w:t>
                      </w:r>
                    </w:p>
                    <w:p w14:paraId="0BEFF61A" w14:textId="7E0C72DA" w:rsidR="00627C9F" w:rsidRPr="008C2425" w:rsidRDefault="00022CF5" w:rsidP="008C2425">
                      <w:pPr>
                        <w:spacing w:line="360" w:lineRule="auto"/>
                        <w:jc w:val="right"/>
                        <w:rPr>
                          <w:rFonts w:asciiTheme="minorHAnsi" w:hAnsiTheme="minorHAnsi"/>
                          <w:color w:val="FFFFFF" w:themeColor="background1"/>
                          <w:sz w:val="22"/>
                        </w:rPr>
                      </w:pPr>
                      <w:r w:rsidRPr="008C2425">
                        <w:rPr>
                          <w:rFonts w:asciiTheme="minorHAnsi" w:hAnsiTheme="minorHAnsi"/>
                          <w:color w:val="FFFFFF" w:themeColor="background1"/>
                          <w:sz w:val="22"/>
                          <w:lang w:val="pt-BR"/>
                        </w:rPr>
                        <w:t xml:space="preserve"> </w:t>
                      </w:r>
                      <w:r w:rsidR="008C2425" w:rsidRPr="008C2425">
                        <w:rPr>
                          <w:rFonts w:asciiTheme="minorHAnsi" w:hAnsiTheme="minorHAnsi"/>
                          <w:color w:val="FFFFFF" w:themeColor="background1"/>
                          <w:sz w:val="22"/>
                        </w:rPr>
                        <w:t>1 September 2019</w:t>
                      </w:r>
                    </w:p>
                    <w:p w14:paraId="0FC103BD" w14:textId="778081BF" w:rsidR="00627C9F" w:rsidRPr="008C2425" w:rsidRDefault="00627C9F" w:rsidP="008C2425">
                      <w:pPr>
                        <w:spacing w:line="360" w:lineRule="auto"/>
                        <w:jc w:val="right"/>
                        <w:rPr>
                          <w:rFonts w:asciiTheme="minorHAnsi" w:hAnsiTheme="minorHAnsi"/>
                          <w:color w:val="FFFFFF" w:themeColor="background1"/>
                          <w:sz w:val="22"/>
                        </w:rPr>
                      </w:pPr>
                      <w:r w:rsidRPr="008C2425">
                        <w:rPr>
                          <w:rFonts w:asciiTheme="minorHAnsi" w:hAnsiTheme="minorHAnsi"/>
                          <w:color w:val="FFFFFF" w:themeColor="background1"/>
                          <w:sz w:val="22"/>
                        </w:rPr>
                        <w:t>Original:</w:t>
                      </w:r>
                      <w:r w:rsidR="002C1641" w:rsidRPr="008C2425">
                        <w:rPr>
                          <w:rFonts w:asciiTheme="minorHAnsi" w:hAnsiTheme="minorHAnsi"/>
                          <w:color w:val="FFFFFF" w:themeColor="background1"/>
                          <w:sz w:val="22"/>
                        </w:rPr>
                        <w:t xml:space="preserve"> </w:t>
                      </w:r>
                      <w:r w:rsidR="00F42B71" w:rsidRPr="008C2425">
                        <w:rPr>
                          <w:rFonts w:asciiTheme="minorHAnsi" w:hAnsiTheme="minorHAnsi"/>
                          <w:color w:val="FFFFFF" w:themeColor="background1"/>
                          <w:sz w:val="22"/>
                        </w:rPr>
                        <w:t>Spanish</w:t>
                      </w:r>
                    </w:p>
                  </w:txbxContent>
                </v:textbox>
              </v:shape>
            </w:pict>
          </mc:Fallback>
        </mc:AlternateContent>
      </w:r>
    </w:p>
    <w:p w14:paraId="3765F9FA"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8C2425"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8C2425"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8C2425"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8C2425"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8C2425"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8C2425"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8C2425" w:rsidRDefault="003C32BC" w:rsidP="00040C3A">
      <w:pPr>
        <w:tabs>
          <w:tab w:val="center" w:pos="5400"/>
        </w:tabs>
        <w:suppressAutoHyphens/>
        <w:jc w:val="center"/>
        <w:rPr>
          <w:rFonts w:asciiTheme="majorHAnsi" w:hAnsiTheme="majorHAnsi"/>
          <w:sz w:val="18"/>
          <w:szCs w:val="22"/>
          <w:lang w:val="es-ES_tradnl"/>
        </w:rPr>
      </w:pPr>
      <w:r w:rsidRPr="008C242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A77F28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8C2425">
                              <w:rPr>
                                <w:rFonts w:asciiTheme="majorHAnsi" w:hAnsiTheme="majorHAnsi"/>
                                <w:color w:val="0D0D0D" w:themeColor="text1" w:themeTint="F2"/>
                                <w:sz w:val="18"/>
                                <w:szCs w:val="20"/>
                              </w:rPr>
                              <w:t>September 1, 2019.</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A77F28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8C2425">
                        <w:rPr>
                          <w:rFonts w:asciiTheme="majorHAnsi" w:hAnsiTheme="majorHAnsi"/>
                          <w:color w:val="0D0D0D" w:themeColor="text1" w:themeTint="F2"/>
                          <w:sz w:val="18"/>
                          <w:szCs w:val="20"/>
                        </w:rPr>
                        <w:t>September 1, 2019.</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8C2425" w:rsidRDefault="003C32BC" w:rsidP="00040C3A">
      <w:pPr>
        <w:tabs>
          <w:tab w:val="center" w:pos="5400"/>
        </w:tabs>
        <w:suppressAutoHyphens/>
        <w:jc w:val="center"/>
        <w:rPr>
          <w:rFonts w:asciiTheme="majorHAnsi" w:hAnsiTheme="majorHAnsi"/>
          <w:sz w:val="18"/>
          <w:szCs w:val="22"/>
          <w:lang w:val="es-ES_tradnl"/>
        </w:rPr>
      </w:pPr>
      <w:r w:rsidRPr="008C242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5F7D9F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2425">
                              <w:rPr>
                                <w:rFonts w:asciiTheme="majorHAnsi" w:hAnsiTheme="majorHAnsi"/>
                                <w:color w:val="595959" w:themeColor="text1" w:themeTint="A6"/>
                                <w:sz w:val="18"/>
                              </w:rPr>
                              <w:t>139/19.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C2425">
                              <w:rPr>
                                <w:rFonts w:asciiTheme="majorHAnsi" w:hAnsiTheme="majorHAnsi"/>
                                <w:color w:val="595959" w:themeColor="text1" w:themeTint="A6"/>
                                <w:sz w:val="18"/>
                              </w:rPr>
                              <w:t>1133-12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690D5D">
                              <w:rPr>
                                <w:rFonts w:asciiTheme="majorHAnsi" w:hAnsiTheme="majorHAnsi"/>
                                <w:color w:val="595959" w:themeColor="text1" w:themeTint="A6"/>
                                <w:sz w:val="18"/>
                              </w:rPr>
                              <w:t>Admissibility</w:t>
                            </w:r>
                            <w:r w:rsidRPr="00690D5D">
                              <w:rPr>
                                <w:rFonts w:asciiTheme="majorHAnsi" w:hAnsiTheme="majorHAnsi"/>
                                <w:color w:val="595959" w:themeColor="text1" w:themeTint="A6"/>
                                <w:sz w:val="18"/>
                              </w:rPr>
                              <w:t xml:space="preserve">. </w:t>
                            </w:r>
                            <w:r w:rsidR="008C2425" w:rsidRPr="00690D5D">
                              <w:rPr>
                                <w:rFonts w:asciiTheme="majorHAnsi" w:hAnsiTheme="majorHAnsi"/>
                                <w:color w:val="595959" w:themeColor="text1" w:themeTint="A6"/>
                                <w:sz w:val="18"/>
                              </w:rPr>
                              <w:t>Constanza Soledad Sánchez Astete et al</w:t>
                            </w:r>
                            <w:r w:rsidRPr="00690D5D">
                              <w:rPr>
                                <w:rFonts w:asciiTheme="majorHAnsi" w:hAnsiTheme="majorHAnsi"/>
                                <w:color w:val="595959" w:themeColor="text1" w:themeTint="A6"/>
                                <w:sz w:val="18"/>
                              </w:rPr>
                              <w:t xml:space="preserve">. </w:t>
                            </w:r>
                            <w:r w:rsidR="008C2425">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8C2425">
                              <w:rPr>
                                <w:rFonts w:asciiTheme="majorHAnsi" w:hAnsiTheme="majorHAnsi"/>
                                <w:color w:val="595959" w:themeColor="text1" w:themeTint="A6"/>
                                <w:sz w:val="18"/>
                              </w:rPr>
                              <w:t>September 1,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5F7D9F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2425">
                        <w:rPr>
                          <w:rFonts w:asciiTheme="majorHAnsi" w:hAnsiTheme="majorHAnsi"/>
                          <w:color w:val="595959" w:themeColor="text1" w:themeTint="A6"/>
                          <w:sz w:val="18"/>
                        </w:rPr>
                        <w:t>139/19.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C2425">
                        <w:rPr>
                          <w:rFonts w:asciiTheme="majorHAnsi" w:hAnsiTheme="majorHAnsi"/>
                          <w:color w:val="595959" w:themeColor="text1" w:themeTint="A6"/>
                          <w:sz w:val="18"/>
                        </w:rPr>
                        <w:t>1133-12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8C2425">
                        <w:rPr>
                          <w:rFonts w:asciiTheme="majorHAnsi" w:hAnsiTheme="majorHAnsi"/>
                          <w:color w:val="595959" w:themeColor="text1" w:themeTint="A6"/>
                          <w:sz w:val="18"/>
                          <w:lang w:val="es-US"/>
                        </w:rPr>
                        <w:t>Admissibility</w:t>
                      </w:r>
                      <w:proofErr w:type="spellEnd"/>
                      <w:r w:rsidRPr="008C2425">
                        <w:rPr>
                          <w:rFonts w:asciiTheme="majorHAnsi" w:hAnsiTheme="majorHAnsi"/>
                          <w:color w:val="595959" w:themeColor="text1" w:themeTint="A6"/>
                          <w:sz w:val="18"/>
                          <w:lang w:val="es-US"/>
                        </w:rPr>
                        <w:t xml:space="preserve">. </w:t>
                      </w:r>
                      <w:r w:rsidR="008C2425" w:rsidRPr="008C2425">
                        <w:rPr>
                          <w:rFonts w:asciiTheme="majorHAnsi" w:hAnsiTheme="majorHAnsi"/>
                          <w:color w:val="595959" w:themeColor="text1" w:themeTint="A6"/>
                          <w:sz w:val="18"/>
                          <w:lang w:val="es-US"/>
                        </w:rPr>
                        <w:t xml:space="preserve">Constanza Soledad Sánchez </w:t>
                      </w:r>
                      <w:proofErr w:type="spellStart"/>
                      <w:r w:rsidR="008C2425" w:rsidRPr="008C2425">
                        <w:rPr>
                          <w:rFonts w:asciiTheme="majorHAnsi" w:hAnsiTheme="majorHAnsi"/>
                          <w:color w:val="595959" w:themeColor="text1" w:themeTint="A6"/>
                          <w:sz w:val="18"/>
                          <w:lang w:val="es-US"/>
                        </w:rPr>
                        <w:t>Astete</w:t>
                      </w:r>
                      <w:proofErr w:type="spellEnd"/>
                      <w:r w:rsidR="008C2425" w:rsidRPr="008C2425">
                        <w:rPr>
                          <w:rFonts w:asciiTheme="majorHAnsi" w:hAnsiTheme="majorHAnsi"/>
                          <w:color w:val="595959" w:themeColor="text1" w:themeTint="A6"/>
                          <w:sz w:val="18"/>
                          <w:lang w:val="es-US"/>
                        </w:rPr>
                        <w:t xml:space="preserve"> </w:t>
                      </w:r>
                      <w:r w:rsidR="008C2425">
                        <w:rPr>
                          <w:rFonts w:asciiTheme="majorHAnsi" w:hAnsiTheme="majorHAnsi"/>
                          <w:color w:val="595959" w:themeColor="text1" w:themeTint="A6"/>
                          <w:sz w:val="18"/>
                          <w:lang w:val="es-US"/>
                        </w:rPr>
                        <w:t>et al</w:t>
                      </w:r>
                      <w:r w:rsidRPr="008C2425">
                        <w:rPr>
                          <w:rFonts w:asciiTheme="majorHAnsi" w:hAnsiTheme="majorHAnsi"/>
                          <w:color w:val="595959" w:themeColor="text1" w:themeTint="A6"/>
                          <w:sz w:val="18"/>
                          <w:lang w:val="es-US"/>
                        </w:rPr>
                        <w:t xml:space="preserve">. </w:t>
                      </w:r>
                      <w:r w:rsidR="008C2425">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8C2425">
                        <w:rPr>
                          <w:rFonts w:asciiTheme="majorHAnsi" w:hAnsiTheme="majorHAnsi"/>
                          <w:color w:val="595959" w:themeColor="text1" w:themeTint="A6"/>
                          <w:sz w:val="18"/>
                        </w:rPr>
                        <w:t>September 1,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8C2425"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8C2425" w:rsidRDefault="003C32BC" w:rsidP="003C32BC">
      <w:pPr>
        <w:tabs>
          <w:tab w:val="center" w:pos="5400"/>
        </w:tabs>
        <w:suppressAutoHyphens/>
        <w:jc w:val="center"/>
        <w:rPr>
          <w:rFonts w:asciiTheme="majorHAnsi" w:hAnsiTheme="majorHAnsi"/>
          <w:sz w:val="18"/>
          <w:szCs w:val="22"/>
        </w:rPr>
      </w:pPr>
    </w:p>
    <w:p w14:paraId="154A4854" w14:textId="77777777" w:rsidR="003C32BC" w:rsidRPr="008C2425" w:rsidRDefault="006311DA" w:rsidP="003C32BC">
      <w:pPr>
        <w:tabs>
          <w:tab w:val="center" w:pos="5400"/>
        </w:tabs>
        <w:suppressAutoHyphens/>
        <w:jc w:val="center"/>
        <w:rPr>
          <w:rFonts w:asciiTheme="majorHAnsi" w:hAnsiTheme="majorHAnsi"/>
          <w:sz w:val="18"/>
          <w:szCs w:val="22"/>
        </w:rPr>
      </w:pPr>
      <w:r w:rsidRPr="008C242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8C242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8C2425" w:rsidRDefault="007607C4" w:rsidP="003C32BC">
      <w:pPr>
        <w:tabs>
          <w:tab w:val="center" w:pos="5400"/>
        </w:tabs>
        <w:suppressAutoHyphens/>
        <w:jc w:val="center"/>
        <w:rPr>
          <w:rFonts w:asciiTheme="majorHAnsi" w:hAnsiTheme="majorHAnsi"/>
          <w:sz w:val="18"/>
          <w:szCs w:val="22"/>
        </w:rPr>
        <w:sectPr w:rsidR="007607C4" w:rsidRPr="008C2425"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8C2425" w:rsidRDefault="00F621C3" w:rsidP="00F621C3">
      <w:pPr>
        <w:spacing w:after="240"/>
        <w:ind w:firstLine="720"/>
        <w:jc w:val="both"/>
        <w:rPr>
          <w:rFonts w:asciiTheme="majorHAnsi" w:hAnsiTheme="majorHAnsi"/>
          <w:b/>
          <w:bCs/>
          <w:sz w:val="20"/>
          <w:szCs w:val="20"/>
        </w:rPr>
      </w:pPr>
      <w:r w:rsidRPr="008C2425">
        <w:rPr>
          <w:rFonts w:asciiTheme="majorHAnsi" w:hAnsiTheme="majorHAnsi"/>
          <w:b/>
          <w:bCs/>
          <w:sz w:val="20"/>
          <w:szCs w:val="20"/>
        </w:rPr>
        <w:lastRenderedPageBreak/>
        <w:t>I.</w:t>
      </w:r>
      <w:r w:rsidRPr="008C2425">
        <w:rPr>
          <w:rFonts w:asciiTheme="majorHAnsi" w:hAnsiTheme="majorHAnsi"/>
          <w:b/>
          <w:bCs/>
          <w:sz w:val="20"/>
          <w:szCs w:val="20"/>
        </w:rPr>
        <w:tab/>
      </w:r>
      <w:r w:rsidR="00592718" w:rsidRPr="008C2425">
        <w:rPr>
          <w:rFonts w:asciiTheme="majorHAnsi" w:hAnsiTheme="majorHAnsi"/>
          <w:b/>
          <w:bCs/>
          <w:sz w:val="20"/>
          <w:szCs w:val="20"/>
        </w:rPr>
        <w:t>INFORMATION ABOUT THE PETITION</w:t>
      </w:r>
      <w:r w:rsidRPr="008C242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C2425"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8C2425" w:rsidRDefault="003771A3" w:rsidP="009163F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Petitioner</w:t>
            </w:r>
            <w:r w:rsidR="00F621C3" w:rsidRPr="008C2425">
              <w:rPr>
                <w:rFonts w:asciiTheme="majorHAnsi" w:hAnsiTheme="majorHAnsi"/>
                <w:b/>
                <w:bCs/>
                <w:color w:val="FFFFFF" w:themeColor="background1"/>
                <w:sz w:val="20"/>
                <w:szCs w:val="20"/>
              </w:rPr>
              <w:t>:</w:t>
            </w:r>
          </w:p>
        </w:tc>
        <w:tc>
          <w:tcPr>
            <w:tcW w:w="5670" w:type="dxa"/>
            <w:vAlign w:val="center"/>
          </w:tcPr>
          <w:p w14:paraId="0674C7B8" w14:textId="2D8D6E1F" w:rsidR="00F621C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 xml:space="preserve">Carlos Hardy Vergara </w:t>
            </w:r>
            <w:proofErr w:type="spellStart"/>
            <w:r w:rsidRPr="008C2425">
              <w:rPr>
                <w:rFonts w:asciiTheme="majorHAnsi" w:hAnsiTheme="majorHAnsi"/>
                <w:bCs/>
                <w:sz w:val="19"/>
                <w:szCs w:val="19"/>
              </w:rPr>
              <w:t>Wistuba</w:t>
            </w:r>
            <w:proofErr w:type="spellEnd"/>
          </w:p>
        </w:tc>
      </w:tr>
      <w:tr w:rsidR="00F621C3" w:rsidRPr="00690D5D"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8C2425" w:rsidRDefault="00454A03"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8C2425">
                  <w:rPr>
                    <w:rFonts w:asciiTheme="majorHAnsi" w:hAnsiTheme="majorHAnsi"/>
                    <w:b/>
                    <w:bCs/>
                    <w:color w:val="FFFFFF" w:themeColor="background1"/>
                    <w:sz w:val="20"/>
                    <w:szCs w:val="20"/>
                  </w:rPr>
                  <w:t>Alleged victim</w:t>
                </w:r>
              </w:sdtContent>
            </w:sdt>
            <w:r w:rsidR="00F621C3" w:rsidRPr="008C2425">
              <w:rPr>
                <w:rFonts w:asciiTheme="majorHAnsi" w:hAnsiTheme="majorHAnsi"/>
                <w:b/>
                <w:bCs/>
                <w:color w:val="FFFFFF" w:themeColor="background1"/>
                <w:sz w:val="20"/>
                <w:szCs w:val="20"/>
              </w:rPr>
              <w:t>:</w:t>
            </w:r>
          </w:p>
        </w:tc>
        <w:tc>
          <w:tcPr>
            <w:tcW w:w="5670" w:type="dxa"/>
            <w:vAlign w:val="center"/>
          </w:tcPr>
          <w:p w14:paraId="60895337" w14:textId="75CFB2A1" w:rsidR="00F621C3" w:rsidRPr="008C2425" w:rsidRDefault="009F73FB" w:rsidP="009163FC">
            <w:pPr>
              <w:jc w:val="both"/>
              <w:rPr>
                <w:rFonts w:asciiTheme="majorHAnsi" w:hAnsiTheme="majorHAnsi"/>
                <w:bCs/>
                <w:sz w:val="20"/>
                <w:szCs w:val="20"/>
                <w:lang w:val="es-US"/>
              </w:rPr>
            </w:pPr>
            <w:r w:rsidRPr="008C2425">
              <w:rPr>
                <w:rFonts w:asciiTheme="majorHAnsi" w:hAnsiTheme="majorHAnsi"/>
                <w:bCs/>
                <w:sz w:val="19"/>
                <w:szCs w:val="19"/>
                <w:lang w:val="es-US"/>
              </w:rPr>
              <w:t xml:space="preserve">Constanza Soledad Sánchez </w:t>
            </w:r>
            <w:proofErr w:type="spellStart"/>
            <w:r w:rsidRPr="008C2425">
              <w:rPr>
                <w:rFonts w:asciiTheme="majorHAnsi" w:hAnsiTheme="majorHAnsi"/>
                <w:bCs/>
                <w:sz w:val="19"/>
                <w:szCs w:val="19"/>
                <w:lang w:val="es-US"/>
              </w:rPr>
              <w:t>Astete</w:t>
            </w:r>
            <w:proofErr w:type="spellEnd"/>
            <w:r w:rsidRPr="008C2425">
              <w:rPr>
                <w:rFonts w:asciiTheme="majorHAnsi" w:hAnsiTheme="majorHAnsi"/>
                <w:bCs/>
                <w:sz w:val="19"/>
                <w:szCs w:val="19"/>
                <w:lang w:val="es-US"/>
              </w:rPr>
              <w:t xml:space="preserve"> et al</w:t>
            </w:r>
            <w:r w:rsidRPr="008C2425">
              <w:rPr>
                <w:rStyle w:val="FootnoteReference"/>
                <w:rFonts w:asciiTheme="majorHAnsi" w:hAnsiTheme="majorHAnsi"/>
                <w:bCs/>
                <w:sz w:val="19"/>
                <w:szCs w:val="19"/>
              </w:rPr>
              <w:footnoteReference w:id="2"/>
            </w:r>
          </w:p>
        </w:tc>
      </w:tr>
      <w:tr w:rsidR="00F621C3" w:rsidRPr="008C242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8C2425" w:rsidRDefault="005816E5" w:rsidP="005816E5">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 xml:space="preserve">Respondent </w:t>
            </w:r>
            <w:r w:rsidR="00F621C3" w:rsidRPr="008C2425">
              <w:rPr>
                <w:rFonts w:asciiTheme="majorHAnsi" w:hAnsiTheme="majorHAnsi"/>
                <w:b/>
                <w:bCs/>
                <w:color w:val="FFFFFF" w:themeColor="background1"/>
                <w:sz w:val="20"/>
                <w:szCs w:val="20"/>
              </w:rPr>
              <w:t>State:</w:t>
            </w:r>
          </w:p>
        </w:tc>
        <w:tc>
          <w:tcPr>
            <w:tcW w:w="5670" w:type="dxa"/>
            <w:vAlign w:val="center"/>
          </w:tcPr>
          <w:p w14:paraId="3539D391" w14:textId="45194FDD" w:rsidR="00F621C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Chile</w:t>
            </w:r>
            <w:r w:rsidRPr="008C2425">
              <w:rPr>
                <w:rFonts w:asciiTheme="majorHAnsi" w:hAnsiTheme="majorHAnsi"/>
                <w:bCs/>
                <w:sz w:val="19"/>
                <w:szCs w:val="19"/>
                <w:vertAlign w:val="superscript"/>
              </w:rPr>
              <w:footnoteReference w:id="3"/>
            </w:r>
          </w:p>
        </w:tc>
      </w:tr>
      <w:tr w:rsidR="00E47F3D" w:rsidRPr="008C242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8C2425" w:rsidRDefault="00E47F3D" w:rsidP="00E7588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 xml:space="preserve">Rights </w:t>
            </w:r>
            <w:r w:rsidR="00E7588C" w:rsidRPr="008C2425">
              <w:rPr>
                <w:rFonts w:asciiTheme="majorHAnsi" w:hAnsiTheme="majorHAnsi"/>
                <w:b/>
                <w:bCs/>
                <w:color w:val="FFFFFF" w:themeColor="background1"/>
                <w:sz w:val="20"/>
                <w:szCs w:val="20"/>
              </w:rPr>
              <w:t>invoked:</w:t>
            </w:r>
          </w:p>
        </w:tc>
        <w:tc>
          <w:tcPr>
            <w:tcW w:w="5670" w:type="dxa"/>
            <w:vAlign w:val="center"/>
          </w:tcPr>
          <w:p w14:paraId="51EEF9D2" w14:textId="15BD4A62" w:rsidR="00E47F3D" w:rsidRPr="008C2425" w:rsidRDefault="009F73FB" w:rsidP="009163FC">
            <w:pPr>
              <w:jc w:val="both"/>
              <w:rPr>
                <w:rFonts w:asciiTheme="majorHAnsi" w:hAnsiTheme="majorHAnsi"/>
                <w:bCs/>
                <w:sz w:val="20"/>
                <w:szCs w:val="20"/>
              </w:rPr>
            </w:pPr>
            <w:r w:rsidRPr="008C2425">
              <w:rPr>
                <w:rFonts w:asciiTheme="majorHAnsi" w:hAnsiTheme="majorHAnsi"/>
                <w:bCs/>
                <w:sz w:val="20"/>
                <w:szCs w:val="20"/>
              </w:rPr>
              <w:t>Article 4 (right to life), 8 (judicial guarantees), 19 (rights of the child), article 24 (equality before the law) and article 25 (judicial protection) of the American Convention on Human Rights</w:t>
            </w:r>
            <w:r w:rsidRPr="008C2425">
              <w:rPr>
                <w:rStyle w:val="FootnoteReference"/>
                <w:rFonts w:asciiTheme="majorHAnsi" w:hAnsiTheme="majorHAnsi"/>
                <w:bCs/>
                <w:sz w:val="20"/>
                <w:szCs w:val="20"/>
              </w:rPr>
              <w:footnoteReference w:id="4"/>
            </w:r>
            <w:r w:rsidRPr="008C2425">
              <w:rPr>
                <w:rFonts w:asciiTheme="majorHAnsi" w:hAnsiTheme="majorHAnsi"/>
                <w:bCs/>
                <w:sz w:val="20"/>
                <w:szCs w:val="20"/>
              </w:rPr>
              <w:t>; and I (</w:t>
            </w:r>
            <w:r w:rsidRPr="008C2425">
              <w:rPr>
                <w:rFonts w:asciiTheme="majorHAnsi" w:hAnsiTheme="majorHAnsi"/>
                <w:sz w:val="20"/>
                <w:szCs w:val="20"/>
              </w:rPr>
              <w:t>Right to life, liberty and personal security</w:t>
            </w:r>
            <w:r w:rsidRPr="008C2425">
              <w:rPr>
                <w:rFonts w:asciiTheme="majorHAnsi" w:hAnsiTheme="majorHAnsi"/>
                <w:bCs/>
                <w:sz w:val="20"/>
                <w:szCs w:val="20"/>
              </w:rPr>
              <w:t>), II (</w:t>
            </w:r>
            <w:r w:rsidRPr="008C2425">
              <w:rPr>
                <w:rFonts w:asciiTheme="majorHAnsi" w:hAnsiTheme="majorHAnsi"/>
                <w:sz w:val="20"/>
                <w:szCs w:val="20"/>
              </w:rPr>
              <w:t>Right to equality before law</w:t>
            </w:r>
            <w:r w:rsidRPr="008C2425">
              <w:rPr>
                <w:rFonts w:asciiTheme="majorHAnsi" w:hAnsiTheme="majorHAnsi"/>
                <w:bCs/>
                <w:sz w:val="20"/>
                <w:szCs w:val="20"/>
              </w:rPr>
              <w:t>), VI (</w:t>
            </w:r>
            <w:r w:rsidRPr="008C2425">
              <w:rPr>
                <w:rFonts w:asciiTheme="majorHAnsi" w:hAnsiTheme="majorHAnsi"/>
                <w:sz w:val="20"/>
                <w:szCs w:val="20"/>
              </w:rPr>
              <w:t>Right to a family and to protection thereof</w:t>
            </w:r>
            <w:r w:rsidRPr="008C2425">
              <w:rPr>
                <w:rFonts w:asciiTheme="majorHAnsi" w:hAnsiTheme="majorHAnsi"/>
                <w:bCs/>
                <w:sz w:val="20"/>
                <w:szCs w:val="20"/>
              </w:rPr>
              <w:t>), XI (</w:t>
            </w:r>
            <w:r w:rsidRPr="008C2425">
              <w:rPr>
                <w:rFonts w:asciiTheme="majorHAnsi" w:hAnsiTheme="majorHAnsi"/>
                <w:sz w:val="20"/>
                <w:szCs w:val="20"/>
              </w:rPr>
              <w:t xml:space="preserve">Right to the preservation of health and to wellbeing) </w:t>
            </w:r>
            <w:r w:rsidRPr="008C2425">
              <w:rPr>
                <w:rFonts w:asciiTheme="majorHAnsi" w:hAnsiTheme="majorHAnsi"/>
                <w:bCs/>
                <w:sz w:val="20"/>
                <w:szCs w:val="20"/>
              </w:rPr>
              <w:t>and XVIII (</w:t>
            </w:r>
            <w:r w:rsidRPr="008C2425">
              <w:rPr>
                <w:rFonts w:asciiTheme="majorHAnsi" w:hAnsiTheme="majorHAnsi"/>
                <w:sz w:val="20"/>
                <w:szCs w:val="20"/>
              </w:rPr>
              <w:t>Right to a fair trial</w:t>
            </w:r>
            <w:r w:rsidRPr="008C2425">
              <w:rPr>
                <w:rFonts w:asciiTheme="majorHAnsi" w:hAnsiTheme="majorHAnsi"/>
                <w:bCs/>
                <w:sz w:val="20"/>
                <w:szCs w:val="20"/>
              </w:rPr>
              <w:t>) of the American Declaration of Rights and Duties of Men</w:t>
            </w:r>
            <w:r w:rsidRPr="008C2425">
              <w:rPr>
                <w:rStyle w:val="FootnoteReference"/>
                <w:rFonts w:asciiTheme="majorHAnsi" w:hAnsiTheme="majorHAnsi"/>
                <w:bCs/>
                <w:sz w:val="20"/>
                <w:szCs w:val="20"/>
              </w:rPr>
              <w:footnoteReference w:id="5"/>
            </w:r>
          </w:p>
        </w:tc>
      </w:tr>
    </w:tbl>
    <w:p w14:paraId="006E8D49" w14:textId="1C646C41" w:rsidR="00F621C3" w:rsidRPr="008C2425" w:rsidRDefault="00F621C3" w:rsidP="00F621C3">
      <w:pPr>
        <w:spacing w:before="240" w:after="240"/>
        <w:ind w:firstLine="720"/>
        <w:jc w:val="both"/>
        <w:rPr>
          <w:rFonts w:asciiTheme="majorHAnsi" w:hAnsiTheme="majorHAnsi"/>
          <w:b/>
          <w:bCs/>
          <w:sz w:val="20"/>
          <w:szCs w:val="20"/>
        </w:rPr>
      </w:pPr>
      <w:r w:rsidRPr="008C2425">
        <w:rPr>
          <w:rFonts w:asciiTheme="majorHAnsi" w:hAnsiTheme="majorHAnsi"/>
          <w:b/>
          <w:bCs/>
          <w:sz w:val="20"/>
          <w:szCs w:val="20"/>
        </w:rPr>
        <w:t>II.</w:t>
      </w:r>
      <w:r w:rsidRPr="008C2425">
        <w:rPr>
          <w:rFonts w:asciiTheme="majorHAnsi" w:hAnsiTheme="majorHAnsi"/>
          <w:b/>
          <w:bCs/>
          <w:sz w:val="20"/>
          <w:szCs w:val="20"/>
        </w:rPr>
        <w:tab/>
        <w:t>PROCE</w:t>
      </w:r>
      <w:r w:rsidR="00321AFD" w:rsidRPr="008C2425">
        <w:rPr>
          <w:rFonts w:asciiTheme="majorHAnsi" w:hAnsiTheme="majorHAnsi"/>
          <w:b/>
          <w:bCs/>
          <w:sz w:val="20"/>
          <w:szCs w:val="20"/>
        </w:rPr>
        <w:t>EDINGS</w:t>
      </w:r>
      <w:r w:rsidRPr="008C2425">
        <w:rPr>
          <w:rFonts w:asciiTheme="majorHAnsi" w:hAnsiTheme="majorHAnsi"/>
          <w:b/>
          <w:bCs/>
          <w:sz w:val="20"/>
          <w:szCs w:val="20"/>
        </w:rPr>
        <w:t xml:space="preserve"> BEFORE THE IACHR</w:t>
      </w:r>
      <w:r w:rsidR="00653EA6" w:rsidRPr="008C2425">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C2425"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8C2425" w:rsidRDefault="00B06BB7" w:rsidP="00B06BB7">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Filing of the petition</w:t>
            </w:r>
            <w:r w:rsidR="00F621C3" w:rsidRPr="008C2425">
              <w:rPr>
                <w:rFonts w:asciiTheme="majorHAnsi" w:hAnsiTheme="majorHAnsi"/>
                <w:b/>
                <w:bCs/>
                <w:color w:val="FFFFFF" w:themeColor="background1"/>
                <w:sz w:val="20"/>
                <w:szCs w:val="20"/>
              </w:rPr>
              <w:t>:</w:t>
            </w:r>
          </w:p>
        </w:tc>
        <w:tc>
          <w:tcPr>
            <w:tcW w:w="5670" w:type="dxa"/>
            <w:vAlign w:val="center"/>
          </w:tcPr>
          <w:p w14:paraId="1C0C3DE2" w14:textId="716F767E" w:rsidR="00F621C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June 8, 2012</w:t>
            </w:r>
          </w:p>
        </w:tc>
      </w:tr>
      <w:tr w:rsidR="00F621C3" w:rsidRPr="008C2425"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8C2425" w:rsidRDefault="00B06BB7" w:rsidP="00B06BB7">
            <w:pPr>
              <w:jc w:val="center"/>
              <w:rPr>
                <w:rFonts w:asciiTheme="majorHAnsi" w:hAnsiTheme="majorHAnsi"/>
                <w:b/>
                <w:bCs/>
                <w:color w:val="FFFFFF" w:themeColor="background1"/>
                <w:sz w:val="20"/>
                <w:szCs w:val="20"/>
              </w:rPr>
            </w:pPr>
            <w:r w:rsidRPr="008C2425">
              <w:rPr>
                <w:rFonts w:asciiTheme="majorHAnsi" w:hAnsiTheme="majorHAnsi"/>
                <w:b/>
                <w:color w:val="FFFFFF" w:themeColor="background1"/>
                <w:sz w:val="20"/>
                <w:szCs w:val="20"/>
              </w:rPr>
              <w:t>Notification of the petition to</w:t>
            </w:r>
            <w:r w:rsidR="00F621C3" w:rsidRPr="008C2425">
              <w:rPr>
                <w:rFonts w:asciiTheme="majorHAnsi" w:hAnsiTheme="majorHAnsi"/>
                <w:b/>
                <w:color w:val="FFFFFF" w:themeColor="background1"/>
                <w:sz w:val="20"/>
                <w:szCs w:val="20"/>
              </w:rPr>
              <w:t xml:space="preserve"> the State:</w:t>
            </w:r>
          </w:p>
        </w:tc>
        <w:tc>
          <w:tcPr>
            <w:tcW w:w="5670" w:type="dxa"/>
            <w:vAlign w:val="center"/>
          </w:tcPr>
          <w:p w14:paraId="22ADBFFE" w14:textId="5A310487" w:rsidR="00F621C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May 10, 2016</w:t>
            </w:r>
          </w:p>
        </w:tc>
      </w:tr>
      <w:tr w:rsidR="00F621C3" w:rsidRPr="008C2425"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8C2425" w:rsidRDefault="00F621C3" w:rsidP="009163FC">
            <w:pPr>
              <w:jc w:val="center"/>
              <w:rPr>
                <w:rFonts w:asciiTheme="majorHAnsi" w:hAnsiTheme="majorHAnsi"/>
                <w:b/>
                <w:bCs/>
                <w:color w:val="FFFFFF" w:themeColor="background1"/>
                <w:sz w:val="20"/>
                <w:szCs w:val="20"/>
              </w:rPr>
            </w:pPr>
            <w:r w:rsidRPr="008C2425">
              <w:rPr>
                <w:rFonts w:asciiTheme="majorHAnsi" w:hAnsiTheme="majorHAnsi"/>
                <w:b/>
                <w:color w:val="FFFFFF" w:themeColor="background1"/>
                <w:sz w:val="20"/>
                <w:szCs w:val="20"/>
              </w:rPr>
              <w:t>State’s first response:</w:t>
            </w:r>
          </w:p>
        </w:tc>
        <w:tc>
          <w:tcPr>
            <w:tcW w:w="5670" w:type="dxa"/>
            <w:vAlign w:val="center"/>
          </w:tcPr>
          <w:p w14:paraId="19C5DA57" w14:textId="47CA07CD" w:rsidR="00F621C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February 10, 2017</w:t>
            </w:r>
          </w:p>
        </w:tc>
      </w:tr>
      <w:tr w:rsidR="003771A3" w:rsidRPr="008C2425"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8C2425" w:rsidRDefault="003771A3" w:rsidP="0023351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Additional observations from the petition</w:t>
            </w:r>
            <w:r w:rsidR="0023351C" w:rsidRPr="008C2425">
              <w:rPr>
                <w:rFonts w:asciiTheme="majorHAnsi" w:hAnsiTheme="majorHAnsi"/>
                <w:b/>
                <w:bCs/>
                <w:color w:val="FFFFFF" w:themeColor="background1"/>
                <w:sz w:val="20"/>
                <w:szCs w:val="20"/>
              </w:rPr>
              <w:t>er</w:t>
            </w:r>
            <w:r w:rsidRPr="008C2425">
              <w:rPr>
                <w:rFonts w:asciiTheme="majorHAnsi" w:hAnsiTheme="majorHAnsi"/>
                <w:b/>
                <w:bCs/>
                <w:color w:val="FFFFFF" w:themeColor="background1"/>
                <w:sz w:val="20"/>
                <w:szCs w:val="20"/>
              </w:rPr>
              <w:t>:</w:t>
            </w:r>
          </w:p>
        </w:tc>
        <w:tc>
          <w:tcPr>
            <w:tcW w:w="5670" w:type="dxa"/>
            <w:vAlign w:val="center"/>
          </w:tcPr>
          <w:p w14:paraId="2A863ACD" w14:textId="0562F0FC" w:rsidR="003771A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February 26, 2018</w:t>
            </w:r>
          </w:p>
        </w:tc>
      </w:tr>
    </w:tbl>
    <w:p w14:paraId="7F88B361" w14:textId="77777777" w:rsidR="00F621C3" w:rsidRPr="008C2425" w:rsidRDefault="00F621C3" w:rsidP="00F621C3">
      <w:pPr>
        <w:spacing w:before="240" w:after="240"/>
        <w:ind w:firstLine="720"/>
        <w:jc w:val="both"/>
        <w:rPr>
          <w:rFonts w:asciiTheme="majorHAnsi" w:hAnsiTheme="majorHAnsi"/>
          <w:b/>
          <w:bCs/>
          <w:sz w:val="20"/>
          <w:szCs w:val="20"/>
        </w:rPr>
      </w:pPr>
      <w:r w:rsidRPr="008C2425">
        <w:rPr>
          <w:rFonts w:asciiTheme="majorHAnsi" w:hAnsiTheme="majorHAnsi"/>
          <w:b/>
          <w:bCs/>
          <w:sz w:val="20"/>
          <w:szCs w:val="20"/>
        </w:rPr>
        <w:t xml:space="preserve">III. </w:t>
      </w:r>
      <w:r w:rsidRPr="008C242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8C242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8C2425" w:rsidRDefault="00F621C3" w:rsidP="009163FC">
            <w:pPr>
              <w:jc w:val="center"/>
              <w:rPr>
                <w:rFonts w:asciiTheme="majorHAnsi" w:hAnsiTheme="majorHAnsi"/>
                <w:b/>
                <w:bCs/>
                <w:i/>
                <w:color w:val="FFFFFF" w:themeColor="background1"/>
                <w:sz w:val="20"/>
                <w:szCs w:val="20"/>
              </w:rPr>
            </w:pPr>
            <w:r w:rsidRPr="008C2425">
              <w:rPr>
                <w:rFonts w:asciiTheme="majorHAnsi" w:hAnsiTheme="majorHAnsi"/>
                <w:b/>
                <w:bCs/>
                <w:color w:val="FFFFFF" w:themeColor="background1"/>
                <w:sz w:val="20"/>
                <w:szCs w:val="20"/>
              </w:rPr>
              <w:t>Competence</w:t>
            </w:r>
            <w:r w:rsidRPr="008C2425">
              <w:rPr>
                <w:rFonts w:asciiTheme="majorHAnsi" w:hAnsiTheme="majorHAnsi"/>
                <w:b/>
                <w:bCs/>
                <w:i/>
                <w:color w:val="FFFFFF" w:themeColor="background1"/>
                <w:sz w:val="20"/>
                <w:szCs w:val="20"/>
              </w:rPr>
              <w:t xml:space="preserve"> </w:t>
            </w:r>
            <w:proofErr w:type="spellStart"/>
            <w:r w:rsidRPr="008C2425">
              <w:rPr>
                <w:rFonts w:asciiTheme="majorHAnsi" w:hAnsiTheme="majorHAnsi"/>
                <w:b/>
                <w:bCs/>
                <w:i/>
                <w:color w:val="FFFFFF" w:themeColor="background1"/>
                <w:sz w:val="20"/>
                <w:szCs w:val="20"/>
              </w:rPr>
              <w:t>Ratione</w:t>
            </w:r>
            <w:proofErr w:type="spellEnd"/>
            <w:r w:rsidRPr="008C2425">
              <w:rPr>
                <w:rFonts w:asciiTheme="majorHAnsi" w:hAnsiTheme="majorHAnsi"/>
                <w:b/>
                <w:bCs/>
                <w:i/>
                <w:color w:val="FFFFFF" w:themeColor="background1"/>
                <w:sz w:val="20"/>
                <w:szCs w:val="20"/>
              </w:rPr>
              <w:t xml:space="preserve"> personae:</w:t>
            </w:r>
          </w:p>
        </w:tc>
        <w:tc>
          <w:tcPr>
            <w:tcW w:w="5670" w:type="dxa"/>
            <w:vAlign w:val="center"/>
          </w:tcPr>
          <w:p w14:paraId="237A8D0C" w14:textId="218C5B09" w:rsidR="00F621C3" w:rsidRPr="008C2425" w:rsidRDefault="009F73FB" w:rsidP="009163FC">
            <w:pPr>
              <w:rPr>
                <w:rFonts w:asciiTheme="majorHAnsi" w:hAnsiTheme="majorHAnsi"/>
                <w:bCs/>
                <w:sz w:val="20"/>
                <w:szCs w:val="20"/>
              </w:rPr>
            </w:pPr>
            <w:r w:rsidRPr="008C2425">
              <w:rPr>
                <w:rFonts w:asciiTheme="majorHAnsi" w:hAnsiTheme="majorHAnsi"/>
                <w:bCs/>
                <w:sz w:val="20"/>
                <w:szCs w:val="20"/>
              </w:rPr>
              <w:t>Yes</w:t>
            </w:r>
          </w:p>
        </w:tc>
      </w:tr>
      <w:tr w:rsidR="00F621C3" w:rsidRPr="008C242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8C2425" w:rsidRDefault="00F621C3" w:rsidP="009163F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Competence</w:t>
            </w:r>
            <w:r w:rsidRPr="008C2425">
              <w:rPr>
                <w:rFonts w:asciiTheme="majorHAnsi" w:hAnsiTheme="majorHAnsi"/>
                <w:b/>
                <w:bCs/>
                <w:i/>
                <w:color w:val="FFFFFF" w:themeColor="background1"/>
                <w:sz w:val="20"/>
                <w:szCs w:val="20"/>
              </w:rPr>
              <w:t xml:space="preserve"> </w:t>
            </w:r>
            <w:proofErr w:type="spellStart"/>
            <w:r w:rsidRPr="008C2425">
              <w:rPr>
                <w:rFonts w:asciiTheme="majorHAnsi" w:hAnsiTheme="majorHAnsi"/>
                <w:b/>
                <w:bCs/>
                <w:i/>
                <w:color w:val="FFFFFF" w:themeColor="background1"/>
                <w:sz w:val="20"/>
                <w:szCs w:val="20"/>
              </w:rPr>
              <w:t>Ratione</w:t>
            </w:r>
            <w:proofErr w:type="spellEnd"/>
            <w:r w:rsidRPr="008C2425">
              <w:rPr>
                <w:rFonts w:asciiTheme="majorHAnsi" w:hAnsiTheme="majorHAnsi"/>
                <w:b/>
                <w:bCs/>
                <w:i/>
                <w:color w:val="FFFFFF" w:themeColor="background1"/>
                <w:sz w:val="20"/>
                <w:szCs w:val="20"/>
              </w:rPr>
              <w:t xml:space="preserve"> loci</w:t>
            </w:r>
            <w:r w:rsidRPr="008C2425">
              <w:rPr>
                <w:rFonts w:asciiTheme="majorHAnsi" w:hAnsiTheme="majorHAnsi"/>
                <w:b/>
                <w:bCs/>
                <w:color w:val="FFFFFF" w:themeColor="background1"/>
                <w:sz w:val="20"/>
                <w:szCs w:val="20"/>
              </w:rPr>
              <w:t>:</w:t>
            </w:r>
          </w:p>
        </w:tc>
        <w:tc>
          <w:tcPr>
            <w:tcW w:w="5670" w:type="dxa"/>
            <w:vAlign w:val="center"/>
          </w:tcPr>
          <w:p w14:paraId="48257424" w14:textId="61571595" w:rsidR="00F621C3" w:rsidRPr="008C2425" w:rsidRDefault="009F73FB" w:rsidP="009163FC">
            <w:pPr>
              <w:rPr>
                <w:rFonts w:asciiTheme="majorHAnsi" w:hAnsiTheme="majorHAnsi"/>
                <w:bCs/>
                <w:sz w:val="20"/>
                <w:szCs w:val="20"/>
              </w:rPr>
            </w:pPr>
            <w:r w:rsidRPr="008C2425">
              <w:rPr>
                <w:rFonts w:asciiTheme="majorHAnsi" w:hAnsiTheme="majorHAnsi"/>
                <w:bCs/>
                <w:sz w:val="20"/>
                <w:szCs w:val="20"/>
              </w:rPr>
              <w:t>Yes</w:t>
            </w:r>
          </w:p>
        </w:tc>
      </w:tr>
      <w:tr w:rsidR="00F621C3" w:rsidRPr="008C242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8C2425" w:rsidRDefault="00F621C3" w:rsidP="009163F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Competence</w:t>
            </w:r>
            <w:r w:rsidRPr="008C2425">
              <w:rPr>
                <w:rFonts w:asciiTheme="majorHAnsi" w:hAnsiTheme="majorHAnsi"/>
                <w:b/>
                <w:bCs/>
                <w:i/>
                <w:color w:val="FFFFFF" w:themeColor="background1"/>
                <w:sz w:val="20"/>
                <w:szCs w:val="20"/>
              </w:rPr>
              <w:t xml:space="preserve"> </w:t>
            </w:r>
            <w:proofErr w:type="spellStart"/>
            <w:r w:rsidRPr="008C2425">
              <w:rPr>
                <w:rFonts w:asciiTheme="majorHAnsi" w:hAnsiTheme="majorHAnsi"/>
                <w:b/>
                <w:bCs/>
                <w:i/>
                <w:color w:val="FFFFFF" w:themeColor="background1"/>
                <w:sz w:val="20"/>
                <w:szCs w:val="20"/>
              </w:rPr>
              <w:t>Ratione</w:t>
            </w:r>
            <w:proofErr w:type="spellEnd"/>
            <w:r w:rsidRPr="008C2425">
              <w:rPr>
                <w:rFonts w:asciiTheme="majorHAnsi" w:hAnsiTheme="majorHAnsi"/>
                <w:b/>
                <w:bCs/>
                <w:i/>
                <w:color w:val="FFFFFF" w:themeColor="background1"/>
                <w:sz w:val="20"/>
                <w:szCs w:val="20"/>
              </w:rPr>
              <w:t xml:space="preserve"> </w:t>
            </w:r>
            <w:proofErr w:type="spellStart"/>
            <w:r w:rsidRPr="008C2425">
              <w:rPr>
                <w:rFonts w:asciiTheme="majorHAnsi" w:hAnsiTheme="majorHAnsi"/>
                <w:b/>
                <w:bCs/>
                <w:i/>
                <w:color w:val="FFFFFF" w:themeColor="background1"/>
                <w:sz w:val="20"/>
                <w:szCs w:val="20"/>
              </w:rPr>
              <w:t>temporis</w:t>
            </w:r>
            <w:proofErr w:type="spellEnd"/>
            <w:r w:rsidRPr="008C2425">
              <w:rPr>
                <w:rFonts w:asciiTheme="majorHAnsi" w:hAnsiTheme="majorHAnsi"/>
                <w:b/>
                <w:bCs/>
                <w:color w:val="FFFFFF" w:themeColor="background1"/>
                <w:sz w:val="20"/>
                <w:szCs w:val="20"/>
              </w:rPr>
              <w:t>:</w:t>
            </w:r>
          </w:p>
        </w:tc>
        <w:tc>
          <w:tcPr>
            <w:tcW w:w="5670" w:type="dxa"/>
            <w:vAlign w:val="center"/>
          </w:tcPr>
          <w:p w14:paraId="74B3F783" w14:textId="142E5EC2" w:rsidR="00F621C3" w:rsidRPr="008C2425" w:rsidRDefault="009F73FB" w:rsidP="009163FC">
            <w:pPr>
              <w:rPr>
                <w:rFonts w:asciiTheme="majorHAnsi" w:hAnsiTheme="majorHAnsi"/>
                <w:bCs/>
                <w:sz w:val="20"/>
                <w:szCs w:val="20"/>
              </w:rPr>
            </w:pPr>
            <w:r w:rsidRPr="008C2425">
              <w:rPr>
                <w:rFonts w:asciiTheme="majorHAnsi" w:hAnsiTheme="majorHAnsi"/>
                <w:bCs/>
                <w:sz w:val="20"/>
                <w:szCs w:val="20"/>
              </w:rPr>
              <w:t>Yes</w:t>
            </w:r>
          </w:p>
        </w:tc>
      </w:tr>
      <w:tr w:rsidR="00F621C3" w:rsidRPr="008C242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8C2425" w:rsidRDefault="00F621C3" w:rsidP="009163F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Competence</w:t>
            </w:r>
            <w:r w:rsidRPr="008C2425">
              <w:rPr>
                <w:rFonts w:asciiTheme="majorHAnsi" w:hAnsiTheme="majorHAnsi"/>
                <w:b/>
                <w:bCs/>
                <w:i/>
                <w:color w:val="FFFFFF" w:themeColor="background1"/>
                <w:sz w:val="20"/>
                <w:szCs w:val="20"/>
              </w:rPr>
              <w:t xml:space="preserve"> </w:t>
            </w:r>
            <w:proofErr w:type="spellStart"/>
            <w:r w:rsidRPr="008C2425">
              <w:rPr>
                <w:rFonts w:asciiTheme="majorHAnsi" w:hAnsiTheme="majorHAnsi"/>
                <w:b/>
                <w:bCs/>
                <w:i/>
                <w:color w:val="FFFFFF" w:themeColor="background1"/>
                <w:sz w:val="20"/>
                <w:szCs w:val="20"/>
              </w:rPr>
              <w:t>Ratione</w:t>
            </w:r>
            <w:proofErr w:type="spellEnd"/>
            <w:r w:rsidRPr="008C2425">
              <w:rPr>
                <w:rFonts w:asciiTheme="majorHAnsi" w:hAnsiTheme="majorHAnsi"/>
                <w:b/>
                <w:bCs/>
                <w:i/>
                <w:color w:val="FFFFFF" w:themeColor="background1"/>
                <w:sz w:val="20"/>
                <w:szCs w:val="20"/>
              </w:rPr>
              <w:t xml:space="preserve"> </w:t>
            </w:r>
            <w:proofErr w:type="spellStart"/>
            <w:r w:rsidRPr="008C2425">
              <w:rPr>
                <w:rFonts w:asciiTheme="majorHAnsi" w:hAnsiTheme="majorHAnsi"/>
                <w:b/>
                <w:bCs/>
                <w:i/>
                <w:color w:val="FFFFFF" w:themeColor="background1"/>
                <w:sz w:val="20"/>
                <w:szCs w:val="20"/>
              </w:rPr>
              <w:t>materiae</w:t>
            </w:r>
            <w:proofErr w:type="spellEnd"/>
            <w:r w:rsidRPr="008C2425">
              <w:rPr>
                <w:rFonts w:asciiTheme="majorHAnsi" w:hAnsiTheme="majorHAnsi"/>
                <w:b/>
                <w:bCs/>
                <w:color w:val="FFFFFF" w:themeColor="background1"/>
                <w:sz w:val="20"/>
                <w:szCs w:val="20"/>
              </w:rPr>
              <w:t>:</w:t>
            </w:r>
          </w:p>
        </w:tc>
        <w:tc>
          <w:tcPr>
            <w:tcW w:w="5670" w:type="dxa"/>
            <w:vAlign w:val="center"/>
          </w:tcPr>
          <w:p w14:paraId="64B3F199" w14:textId="51F5F385" w:rsidR="00F621C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Yes, American Convention (deposit of instrument on August 21, 1990)</w:t>
            </w:r>
          </w:p>
        </w:tc>
      </w:tr>
    </w:tbl>
    <w:p w14:paraId="0408D4CD" w14:textId="54A61356" w:rsidR="00F621C3" w:rsidRPr="008C2425" w:rsidRDefault="00F621C3" w:rsidP="00F621C3">
      <w:pPr>
        <w:spacing w:before="240" w:after="240"/>
        <w:ind w:firstLine="720"/>
        <w:jc w:val="both"/>
        <w:rPr>
          <w:rFonts w:asciiTheme="majorHAnsi" w:hAnsiTheme="majorHAnsi"/>
          <w:b/>
          <w:bCs/>
          <w:sz w:val="20"/>
          <w:szCs w:val="20"/>
        </w:rPr>
      </w:pPr>
      <w:r w:rsidRPr="008C2425">
        <w:rPr>
          <w:rFonts w:asciiTheme="majorHAnsi" w:hAnsiTheme="majorHAnsi"/>
          <w:b/>
          <w:bCs/>
          <w:sz w:val="20"/>
          <w:szCs w:val="20"/>
        </w:rPr>
        <w:t xml:space="preserve">IV. </w:t>
      </w:r>
      <w:r w:rsidRPr="008C2425">
        <w:rPr>
          <w:rFonts w:asciiTheme="majorHAnsi" w:hAnsiTheme="majorHAnsi"/>
          <w:b/>
          <w:bCs/>
          <w:sz w:val="20"/>
          <w:szCs w:val="20"/>
        </w:rPr>
        <w:tab/>
        <w:t xml:space="preserve">DUPLICATION OF PROCEDURES AND INTERNATIONAL </w:t>
      </w:r>
      <w:r w:rsidRPr="008C2425">
        <w:rPr>
          <w:rFonts w:asciiTheme="majorHAnsi" w:hAnsiTheme="majorHAnsi"/>
          <w:b/>
          <w:bCs/>
          <w:i/>
          <w:sz w:val="20"/>
          <w:szCs w:val="20"/>
        </w:rPr>
        <w:t>RES JUDICATA</w:t>
      </w:r>
      <w:r w:rsidRPr="008C242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8C2425" w14:paraId="4091A423" w14:textId="77777777" w:rsidTr="009F73FB">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8C2425" w:rsidRDefault="00F621C3" w:rsidP="009163F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 xml:space="preserve">Duplication of procedures and International </w:t>
            </w:r>
            <w:r w:rsidRPr="008C2425">
              <w:rPr>
                <w:rFonts w:asciiTheme="majorHAnsi" w:hAnsiTheme="majorHAnsi"/>
                <w:b/>
                <w:bCs/>
                <w:i/>
                <w:color w:val="FFFFFF" w:themeColor="background1"/>
                <w:sz w:val="20"/>
                <w:szCs w:val="20"/>
              </w:rPr>
              <w:t>res judicata</w:t>
            </w:r>
            <w:r w:rsidRPr="008C2425">
              <w:rPr>
                <w:rFonts w:asciiTheme="majorHAnsi" w:hAnsiTheme="majorHAnsi"/>
                <w:b/>
                <w:bCs/>
                <w:color w:val="FFFFFF" w:themeColor="background1"/>
                <w:sz w:val="20"/>
                <w:szCs w:val="20"/>
              </w:rPr>
              <w:t>:</w:t>
            </w:r>
          </w:p>
        </w:tc>
        <w:tc>
          <w:tcPr>
            <w:tcW w:w="5592" w:type="dxa"/>
            <w:vAlign w:val="center"/>
          </w:tcPr>
          <w:p w14:paraId="4773CD23" w14:textId="71FE152B" w:rsidR="00F621C3" w:rsidRPr="008C2425" w:rsidRDefault="009F73FB" w:rsidP="009163FC">
            <w:pPr>
              <w:jc w:val="both"/>
              <w:rPr>
                <w:rFonts w:asciiTheme="majorHAnsi" w:hAnsiTheme="majorHAnsi"/>
                <w:bCs/>
                <w:sz w:val="20"/>
                <w:szCs w:val="20"/>
              </w:rPr>
            </w:pPr>
            <w:r w:rsidRPr="008C2425">
              <w:rPr>
                <w:rFonts w:asciiTheme="majorHAnsi" w:hAnsiTheme="majorHAnsi"/>
                <w:bCs/>
                <w:sz w:val="20"/>
                <w:szCs w:val="20"/>
              </w:rPr>
              <w:t>No</w:t>
            </w:r>
          </w:p>
        </w:tc>
      </w:tr>
      <w:tr w:rsidR="00F621C3" w:rsidRPr="008C2425" w14:paraId="24B3B5A9" w14:textId="77777777" w:rsidTr="009F73FB">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8C2425" w:rsidRDefault="00F621C3" w:rsidP="009163FC">
            <w:pPr>
              <w:jc w:val="center"/>
              <w:rPr>
                <w:rFonts w:asciiTheme="majorHAnsi" w:hAnsiTheme="majorHAnsi"/>
                <w:b/>
                <w:bCs/>
                <w:i/>
                <w:color w:val="FFFFFF" w:themeColor="background1"/>
                <w:sz w:val="20"/>
                <w:szCs w:val="20"/>
              </w:rPr>
            </w:pPr>
            <w:r w:rsidRPr="008C2425">
              <w:rPr>
                <w:rFonts w:asciiTheme="majorHAnsi" w:hAnsiTheme="majorHAnsi"/>
                <w:b/>
                <w:bCs/>
                <w:color w:val="FFFFFF" w:themeColor="background1"/>
                <w:sz w:val="20"/>
                <w:szCs w:val="20"/>
              </w:rPr>
              <w:t>Rights declared admissible</w:t>
            </w:r>
          </w:p>
        </w:tc>
        <w:tc>
          <w:tcPr>
            <w:tcW w:w="5592" w:type="dxa"/>
            <w:vAlign w:val="center"/>
          </w:tcPr>
          <w:p w14:paraId="33BE4040" w14:textId="221EED87" w:rsidR="00F621C3" w:rsidRPr="008C2425" w:rsidRDefault="009F73FB" w:rsidP="009163FC">
            <w:pPr>
              <w:jc w:val="both"/>
              <w:rPr>
                <w:rFonts w:asciiTheme="majorHAnsi" w:hAnsiTheme="majorHAnsi"/>
                <w:bCs/>
                <w:sz w:val="20"/>
                <w:szCs w:val="20"/>
              </w:rPr>
            </w:pPr>
            <w:r w:rsidRPr="008C2425">
              <w:rPr>
                <w:rFonts w:asciiTheme="majorHAnsi" w:hAnsiTheme="majorHAnsi"/>
                <w:bCs/>
                <w:sz w:val="19"/>
                <w:szCs w:val="19"/>
              </w:rPr>
              <w:t>Articles 4 (right to life), 5 (personal integrity), 8 (judicial guarantees), 17 ( protection of the family), 19 (rights of the child),  25 (judicial protection) and 26 (economic, social and cultural rights) of the American Convention on Human Rights in relation to article 1.1 (obligation to respect) and 2 (duty to adopt domestic legislation)</w:t>
            </w:r>
          </w:p>
        </w:tc>
      </w:tr>
      <w:tr w:rsidR="00F621C3" w:rsidRPr="008C2425" w14:paraId="4DFB74FC" w14:textId="77777777" w:rsidTr="009F73FB">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8C2425" w:rsidRDefault="00F621C3" w:rsidP="009163F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Exhaustion of domestic remedies or applicability of an exception to the rule:</w:t>
            </w:r>
          </w:p>
        </w:tc>
        <w:tc>
          <w:tcPr>
            <w:tcW w:w="5592" w:type="dxa"/>
            <w:vAlign w:val="center"/>
          </w:tcPr>
          <w:p w14:paraId="2A98CE44" w14:textId="77777777" w:rsidR="00F621C3" w:rsidRPr="008C2425" w:rsidRDefault="00F621C3" w:rsidP="009163FC">
            <w:pPr>
              <w:rPr>
                <w:rFonts w:asciiTheme="majorHAnsi" w:hAnsiTheme="majorHAnsi"/>
                <w:bCs/>
                <w:sz w:val="20"/>
                <w:szCs w:val="20"/>
              </w:rPr>
            </w:pPr>
          </w:p>
          <w:p w14:paraId="432DC56B" w14:textId="6C3CA2E7" w:rsidR="00F621C3" w:rsidRPr="008C2425" w:rsidRDefault="009F73FB" w:rsidP="009163FC">
            <w:pPr>
              <w:rPr>
                <w:rFonts w:asciiTheme="majorHAnsi" w:hAnsiTheme="majorHAnsi"/>
                <w:bCs/>
                <w:sz w:val="20"/>
                <w:szCs w:val="20"/>
              </w:rPr>
            </w:pPr>
            <w:r w:rsidRPr="008C2425">
              <w:rPr>
                <w:rFonts w:asciiTheme="majorHAnsi" w:hAnsiTheme="majorHAnsi"/>
                <w:bCs/>
                <w:sz w:val="19"/>
                <w:szCs w:val="19"/>
              </w:rPr>
              <w:t>Yes, December 9, 2011</w:t>
            </w:r>
          </w:p>
        </w:tc>
      </w:tr>
      <w:tr w:rsidR="00F621C3" w:rsidRPr="008C2425" w14:paraId="6D900199" w14:textId="77777777" w:rsidTr="009F73FB">
        <w:trPr>
          <w:cantSplit/>
        </w:trPr>
        <w:tc>
          <w:tcPr>
            <w:tcW w:w="3650" w:type="dxa"/>
            <w:tcBorders>
              <w:top w:val="single" w:sz="6" w:space="0" w:color="auto"/>
              <w:bottom w:val="single" w:sz="6" w:space="0" w:color="auto"/>
            </w:tcBorders>
            <w:shd w:val="clear" w:color="auto" w:fill="67AE3C"/>
            <w:vAlign w:val="center"/>
          </w:tcPr>
          <w:p w14:paraId="42C3BC97" w14:textId="77777777" w:rsidR="00F621C3" w:rsidRPr="008C2425" w:rsidRDefault="00F621C3" w:rsidP="009163FC">
            <w:pPr>
              <w:jc w:val="center"/>
              <w:rPr>
                <w:rFonts w:asciiTheme="majorHAnsi" w:hAnsiTheme="majorHAnsi"/>
                <w:b/>
                <w:bCs/>
                <w:color w:val="FFFFFF" w:themeColor="background1"/>
                <w:sz w:val="20"/>
                <w:szCs w:val="20"/>
              </w:rPr>
            </w:pPr>
            <w:r w:rsidRPr="008C2425">
              <w:rPr>
                <w:rFonts w:asciiTheme="majorHAnsi" w:hAnsiTheme="majorHAnsi"/>
                <w:b/>
                <w:bCs/>
                <w:color w:val="FFFFFF" w:themeColor="background1"/>
                <w:sz w:val="20"/>
                <w:szCs w:val="20"/>
              </w:rPr>
              <w:t>Timeliness of the petition:</w:t>
            </w:r>
          </w:p>
        </w:tc>
        <w:tc>
          <w:tcPr>
            <w:tcW w:w="5592" w:type="dxa"/>
            <w:vAlign w:val="center"/>
          </w:tcPr>
          <w:p w14:paraId="6A26CCE9" w14:textId="430FFEF1" w:rsidR="00F621C3" w:rsidRPr="008C2425" w:rsidRDefault="009F73FB" w:rsidP="009163FC">
            <w:pPr>
              <w:rPr>
                <w:rFonts w:asciiTheme="majorHAnsi" w:hAnsiTheme="majorHAnsi"/>
                <w:bCs/>
                <w:sz w:val="20"/>
                <w:szCs w:val="20"/>
              </w:rPr>
            </w:pPr>
            <w:r w:rsidRPr="008C2425">
              <w:rPr>
                <w:rFonts w:asciiTheme="majorHAnsi" w:hAnsiTheme="majorHAnsi"/>
                <w:bCs/>
                <w:sz w:val="19"/>
                <w:szCs w:val="19"/>
              </w:rPr>
              <w:t>Yes, June 8, 2012</w:t>
            </w:r>
          </w:p>
        </w:tc>
      </w:tr>
    </w:tbl>
    <w:p w14:paraId="20D17B10" w14:textId="77777777" w:rsidR="009F73FB" w:rsidRPr="008C2425" w:rsidRDefault="009F73FB" w:rsidP="009F73FB">
      <w:pPr>
        <w:pStyle w:val="ListParagraph"/>
        <w:numPr>
          <w:ilvl w:val="0"/>
          <w:numId w:val="106"/>
        </w:numPr>
        <w:spacing w:before="120" w:after="120"/>
        <w:jc w:val="both"/>
        <w:rPr>
          <w:rFonts w:asciiTheme="majorHAnsi" w:eastAsia="Arial Unicode MS" w:hAnsiTheme="majorHAnsi"/>
          <w:b/>
          <w:sz w:val="20"/>
          <w:szCs w:val="20"/>
        </w:rPr>
      </w:pPr>
      <w:r w:rsidRPr="008C2425">
        <w:rPr>
          <w:rFonts w:asciiTheme="majorHAnsi" w:eastAsia="Arial Unicode MS" w:hAnsiTheme="majorHAnsi"/>
          <w:b/>
          <w:sz w:val="20"/>
          <w:szCs w:val="20"/>
        </w:rPr>
        <w:t>SUMMARY OF ALLEGED FACTS</w:t>
      </w:r>
    </w:p>
    <w:p w14:paraId="1F6AD27B" w14:textId="77777777" w:rsidR="009F73FB" w:rsidRPr="008C2425" w:rsidRDefault="009F73FB" w:rsidP="009F73FB">
      <w:pPr>
        <w:numPr>
          <w:ilvl w:val="0"/>
          <w:numId w:val="105"/>
        </w:numPr>
        <w:suppressAutoHyphens/>
        <w:spacing w:after="120"/>
        <w:jc w:val="both"/>
        <w:rPr>
          <w:rFonts w:asciiTheme="majorHAnsi" w:eastAsia="Cambria" w:hAnsiTheme="majorHAnsi" w:cs="Cambria"/>
          <w:sz w:val="20"/>
          <w:szCs w:val="20"/>
          <w:u w:color="000000"/>
          <w:lang w:eastAsia="es-ES"/>
        </w:rPr>
      </w:pPr>
      <w:r w:rsidRPr="008C2425">
        <w:rPr>
          <w:rFonts w:asciiTheme="majorHAnsi" w:eastAsia="Cambria" w:hAnsiTheme="majorHAnsi" w:cs="Cambria"/>
          <w:sz w:val="20"/>
          <w:szCs w:val="20"/>
          <w:u w:color="000000"/>
          <w:lang w:eastAsia="es-ES"/>
        </w:rPr>
        <w:lastRenderedPageBreak/>
        <w:t xml:space="preserve">Carlos Hardy Vergara </w:t>
      </w:r>
      <w:proofErr w:type="spellStart"/>
      <w:r w:rsidRPr="008C2425">
        <w:rPr>
          <w:rFonts w:asciiTheme="majorHAnsi" w:eastAsia="Cambria" w:hAnsiTheme="majorHAnsi" w:cs="Cambria"/>
          <w:sz w:val="20"/>
          <w:szCs w:val="20"/>
          <w:u w:color="000000"/>
          <w:lang w:eastAsia="es-ES"/>
        </w:rPr>
        <w:t>Wistuba</w:t>
      </w:r>
      <w:proofErr w:type="spellEnd"/>
      <w:r w:rsidRPr="008C2425">
        <w:rPr>
          <w:rFonts w:asciiTheme="majorHAnsi" w:eastAsia="Cambria" w:hAnsiTheme="majorHAnsi" w:cs="Cambria"/>
          <w:sz w:val="20"/>
          <w:szCs w:val="20"/>
          <w:u w:color="000000"/>
          <w:lang w:eastAsia="es-ES"/>
        </w:rPr>
        <w:t xml:space="preserve"> (hereinafter “the petitioner”) denounces alleged violations of the human rights of Constanza Soledad Sánchez </w:t>
      </w:r>
      <w:proofErr w:type="spellStart"/>
      <w:r w:rsidRPr="008C2425">
        <w:rPr>
          <w:rFonts w:asciiTheme="majorHAnsi" w:eastAsia="Cambria" w:hAnsiTheme="majorHAnsi" w:cs="Cambria"/>
          <w:sz w:val="20"/>
          <w:szCs w:val="20"/>
          <w:u w:color="000000"/>
          <w:lang w:eastAsia="es-ES"/>
        </w:rPr>
        <w:t>Astete</w:t>
      </w:r>
      <w:proofErr w:type="spellEnd"/>
      <w:r w:rsidRPr="008C2425">
        <w:rPr>
          <w:rFonts w:asciiTheme="majorHAnsi" w:eastAsia="Cambria" w:hAnsiTheme="majorHAnsi" w:cs="Cambria"/>
          <w:sz w:val="20"/>
          <w:szCs w:val="20"/>
          <w:u w:color="000000"/>
          <w:lang w:eastAsia="es-ES"/>
        </w:rPr>
        <w:t xml:space="preserve"> whose death attributes to medical malpractice of state agents; as well as to the rights of her parents Ana </w:t>
      </w:r>
      <w:proofErr w:type="spellStart"/>
      <w:r w:rsidRPr="008C2425">
        <w:rPr>
          <w:rFonts w:asciiTheme="majorHAnsi" w:eastAsia="Cambria" w:hAnsiTheme="majorHAnsi" w:cs="Cambria"/>
          <w:sz w:val="20"/>
          <w:szCs w:val="20"/>
          <w:u w:color="000000"/>
          <w:lang w:eastAsia="es-ES"/>
        </w:rPr>
        <w:t>Verónica</w:t>
      </w:r>
      <w:proofErr w:type="spellEnd"/>
      <w:r w:rsidRPr="008C2425">
        <w:rPr>
          <w:rFonts w:asciiTheme="majorHAnsi" w:eastAsia="Cambria" w:hAnsiTheme="majorHAnsi" w:cs="Cambria"/>
          <w:sz w:val="20"/>
          <w:szCs w:val="20"/>
          <w:u w:color="000000"/>
          <w:lang w:eastAsia="es-ES"/>
        </w:rPr>
        <w:t xml:space="preserve"> </w:t>
      </w:r>
      <w:proofErr w:type="spellStart"/>
      <w:r w:rsidRPr="008C2425">
        <w:rPr>
          <w:rFonts w:asciiTheme="majorHAnsi" w:eastAsia="Cambria" w:hAnsiTheme="majorHAnsi" w:cs="Cambria"/>
          <w:sz w:val="20"/>
          <w:szCs w:val="20"/>
          <w:u w:color="000000"/>
          <w:lang w:eastAsia="es-ES"/>
        </w:rPr>
        <w:t>Astete</w:t>
      </w:r>
      <w:proofErr w:type="spellEnd"/>
      <w:r w:rsidRPr="008C2425">
        <w:rPr>
          <w:rFonts w:asciiTheme="majorHAnsi" w:eastAsia="Cambria" w:hAnsiTheme="majorHAnsi" w:cs="Cambria"/>
          <w:sz w:val="20"/>
          <w:szCs w:val="20"/>
          <w:u w:color="000000"/>
          <w:lang w:eastAsia="es-ES"/>
        </w:rPr>
        <w:t xml:space="preserve"> Ortiz and Carlos </w:t>
      </w:r>
      <w:proofErr w:type="spellStart"/>
      <w:r w:rsidRPr="008C2425">
        <w:rPr>
          <w:rFonts w:asciiTheme="majorHAnsi" w:eastAsia="Cambria" w:hAnsiTheme="majorHAnsi" w:cs="Cambria"/>
          <w:sz w:val="20"/>
          <w:szCs w:val="20"/>
          <w:u w:color="000000"/>
          <w:lang w:eastAsia="es-ES"/>
        </w:rPr>
        <w:t>Iván</w:t>
      </w:r>
      <w:proofErr w:type="spellEnd"/>
      <w:r w:rsidRPr="008C2425">
        <w:rPr>
          <w:rFonts w:asciiTheme="majorHAnsi" w:eastAsia="Cambria" w:hAnsiTheme="majorHAnsi" w:cs="Cambria"/>
          <w:sz w:val="20"/>
          <w:szCs w:val="20"/>
          <w:u w:color="000000"/>
          <w:lang w:eastAsia="es-ES"/>
        </w:rPr>
        <w:t xml:space="preserve"> Sánchez </w:t>
      </w:r>
      <w:proofErr w:type="spellStart"/>
      <w:r w:rsidRPr="008C2425">
        <w:rPr>
          <w:rFonts w:asciiTheme="majorHAnsi" w:eastAsia="Cambria" w:hAnsiTheme="majorHAnsi" w:cs="Cambria"/>
          <w:sz w:val="20"/>
          <w:szCs w:val="20"/>
          <w:u w:color="000000"/>
          <w:lang w:eastAsia="es-ES"/>
        </w:rPr>
        <w:t>Vásquez</w:t>
      </w:r>
      <w:proofErr w:type="spellEnd"/>
      <w:r w:rsidRPr="008C2425">
        <w:rPr>
          <w:rFonts w:asciiTheme="majorHAnsi" w:eastAsia="Cambria" w:hAnsiTheme="majorHAnsi" w:cs="Cambria"/>
          <w:sz w:val="20"/>
          <w:szCs w:val="20"/>
          <w:u w:color="000000"/>
          <w:lang w:eastAsia="es-ES"/>
        </w:rPr>
        <w:t>, whom he alleges were denied due process in order to illegitimately deprive them of the compensation that, as he considers, the State owes them for being responsible for the death of their daughter .</w:t>
      </w:r>
    </w:p>
    <w:p w14:paraId="60197EF7" w14:textId="77777777" w:rsidR="009F73FB" w:rsidRPr="008C2425" w:rsidRDefault="009F73FB" w:rsidP="009F73FB">
      <w:pPr>
        <w:numPr>
          <w:ilvl w:val="0"/>
          <w:numId w:val="105"/>
        </w:numPr>
        <w:suppressAutoHyphens/>
        <w:spacing w:after="120"/>
        <w:jc w:val="both"/>
        <w:rPr>
          <w:rFonts w:asciiTheme="majorHAnsi" w:hAnsiTheme="majorHAnsi"/>
        </w:rPr>
      </w:pPr>
      <w:r w:rsidRPr="008C2425">
        <w:rPr>
          <w:rFonts w:asciiTheme="majorHAnsi" w:eastAsia="Cambria" w:hAnsiTheme="majorHAnsi" w:cs="Cambria"/>
          <w:sz w:val="20"/>
          <w:szCs w:val="20"/>
          <w:u w:color="000000"/>
          <w:lang w:eastAsia="es-ES"/>
        </w:rPr>
        <w:t xml:space="preserve">2. The petitioner reports that the girl Sánchez </w:t>
      </w:r>
      <w:proofErr w:type="spellStart"/>
      <w:r w:rsidRPr="008C2425">
        <w:rPr>
          <w:rFonts w:asciiTheme="majorHAnsi" w:eastAsia="Cambria" w:hAnsiTheme="majorHAnsi" w:cs="Cambria"/>
          <w:sz w:val="20"/>
          <w:szCs w:val="20"/>
          <w:u w:color="000000"/>
          <w:lang w:eastAsia="es-ES"/>
        </w:rPr>
        <w:t>Astete</w:t>
      </w:r>
      <w:proofErr w:type="spellEnd"/>
      <w:r w:rsidRPr="008C2425">
        <w:rPr>
          <w:rFonts w:asciiTheme="majorHAnsi" w:eastAsia="Cambria" w:hAnsiTheme="majorHAnsi" w:cs="Cambria"/>
          <w:sz w:val="20"/>
          <w:szCs w:val="20"/>
          <w:u w:color="000000"/>
          <w:lang w:eastAsia="es-ES"/>
        </w:rPr>
        <w:t xml:space="preserve"> was born on March 23, 1998 and entered the Luis </w:t>
      </w:r>
      <w:proofErr w:type="spellStart"/>
      <w:r w:rsidRPr="008C2425">
        <w:rPr>
          <w:rFonts w:asciiTheme="majorHAnsi" w:eastAsia="Cambria" w:hAnsiTheme="majorHAnsi" w:cs="Cambria"/>
          <w:sz w:val="20"/>
          <w:szCs w:val="20"/>
          <w:u w:color="000000"/>
          <w:lang w:eastAsia="es-ES"/>
        </w:rPr>
        <w:t>Calvo</w:t>
      </w:r>
      <w:proofErr w:type="spellEnd"/>
      <w:r w:rsidRPr="008C2425">
        <w:rPr>
          <w:rFonts w:asciiTheme="majorHAnsi" w:eastAsia="Cambria" w:hAnsiTheme="majorHAnsi" w:cs="Cambria"/>
          <w:sz w:val="20"/>
          <w:szCs w:val="20"/>
          <w:u w:color="000000"/>
          <w:lang w:eastAsia="es-ES"/>
        </w:rPr>
        <w:t xml:space="preserve"> </w:t>
      </w:r>
      <w:proofErr w:type="spellStart"/>
      <w:r w:rsidRPr="008C2425">
        <w:rPr>
          <w:rFonts w:asciiTheme="majorHAnsi" w:eastAsia="Cambria" w:hAnsiTheme="majorHAnsi" w:cs="Cambria"/>
          <w:sz w:val="20"/>
          <w:szCs w:val="20"/>
          <w:u w:color="000000"/>
          <w:lang w:eastAsia="es-ES"/>
        </w:rPr>
        <w:t>Mackenna</w:t>
      </w:r>
      <w:proofErr w:type="spellEnd"/>
      <w:r w:rsidRPr="008C2425">
        <w:rPr>
          <w:rFonts w:asciiTheme="majorHAnsi" w:eastAsia="Cambria" w:hAnsiTheme="majorHAnsi" w:cs="Cambria"/>
          <w:sz w:val="20"/>
          <w:szCs w:val="20"/>
          <w:u w:color="000000"/>
          <w:lang w:eastAsia="es-ES"/>
        </w:rPr>
        <w:t xml:space="preserve"> public hospital on April 1, 1998 (hereinafter “the hospital”) where she was treated and had surgery for severe heart failure. He indicates that, in the days after the surgery, the girl was transferred to other hospital services after suffering other medical complications such as </w:t>
      </w:r>
      <w:proofErr w:type="spellStart"/>
      <w:r w:rsidRPr="008C2425">
        <w:rPr>
          <w:rFonts w:asciiTheme="majorHAnsi" w:eastAsia="Cambria" w:hAnsiTheme="majorHAnsi" w:cs="Cambria"/>
          <w:sz w:val="20"/>
          <w:szCs w:val="20"/>
          <w:u w:color="000000"/>
          <w:lang w:eastAsia="es-ES"/>
        </w:rPr>
        <w:t>Hischapsprung's</w:t>
      </w:r>
      <w:proofErr w:type="spellEnd"/>
      <w:r w:rsidRPr="008C2425">
        <w:rPr>
          <w:rFonts w:asciiTheme="majorHAnsi" w:eastAsia="Cambria" w:hAnsiTheme="majorHAnsi" w:cs="Cambria"/>
          <w:sz w:val="20"/>
          <w:szCs w:val="20"/>
          <w:u w:color="000000"/>
          <w:lang w:eastAsia="es-ES"/>
        </w:rPr>
        <w:t xml:space="preserve"> disease, swallowing disorders and Down syndrome. He points out that in August 1998, the girl was in the special treatment unit of the hospital when her parents detected that the girl was suffering from severe pain and an appreciable inflammation at first sight on her right leg, to which the medical team showed no concern and could not explain its cause. He alleges that after a week of unsuccessfully requesting that the girl be treated for the problem in her right leg, on August 18, 1998, she appeared with her leg plastered as a result of a fracture that she suffered in the hospital and whose cause could not be explained by hospital authorities.</w:t>
      </w:r>
    </w:p>
    <w:p w14:paraId="4D28B21B" w14:textId="77777777" w:rsidR="009F73FB" w:rsidRPr="008C2425" w:rsidRDefault="009F73FB" w:rsidP="009F73FB">
      <w:pPr>
        <w:numPr>
          <w:ilvl w:val="0"/>
          <w:numId w:val="105"/>
        </w:numPr>
        <w:suppressAutoHyphens/>
        <w:spacing w:after="120"/>
        <w:jc w:val="both"/>
        <w:rPr>
          <w:rFonts w:asciiTheme="majorHAnsi" w:hAnsiTheme="majorHAnsi"/>
        </w:rPr>
      </w:pPr>
      <w:r w:rsidRPr="008C2425">
        <w:rPr>
          <w:rFonts w:asciiTheme="majorHAnsi" w:eastAsia="Cambria" w:hAnsiTheme="majorHAnsi" w:cs="Cambria"/>
          <w:sz w:val="20"/>
          <w:szCs w:val="20"/>
          <w:u w:color="000000"/>
          <w:lang w:eastAsia="es-ES"/>
        </w:rPr>
        <w:t>He indicates that, at the request of the parents, the hospital authorities initiated an administrative summary on September 10, 1998 to determine responsibilities for the fracture. He alleges that, after seven months had elapsed without any results from the hospital’s investigation, the parents went to the Comptroller General's Office and requested an investigation over the reason for this delay. He notes that on May 3, 1999, the Comptroller's Office responded that the summary initiated in the hospital remained open. He argues that, at the time of the presentation of his petition, neither the hospital nor the Comptroller's investigations had produced any results after fourteen years.</w:t>
      </w:r>
    </w:p>
    <w:p w14:paraId="2D4590A0" w14:textId="77777777" w:rsidR="009F73FB" w:rsidRPr="008C2425" w:rsidRDefault="009F73FB" w:rsidP="009F73FB">
      <w:pPr>
        <w:numPr>
          <w:ilvl w:val="0"/>
          <w:numId w:val="105"/>
        </w:numPr>
        <w:suppressAutoHyphens/>
        <w:spacing w:after="120"/>
        <w:jc w:val="both"/>
        <w:rPr>
          <w:rFonts w:asciiTheme="majorHAnsi" w:hAnsiTheme="majorHAnsi"/>
        </w:rPr>
      </w:pPr>
      <w:r w:rsidRPr="008C2425">
        <w:rPr>
          <w:rFonts w:asciiTheme="majorHAnsi" w:eastAsia="Cambria" w:hAnsiTheme="majorHAnsi" w:cs="Cambria"/>
          <w:sz w:val="20"/>
          <w:szCs w:val="20"/>
          <w:u w:color="000000"/>
          <w:lang w:eastAsia="es-ES"/>
        </w:rPr>
        <w:t xml:space="preserve">He alleges that, as a result of their complaints against the hospital, the doctors of the special care units pressured the parents of the girl Sánchez </w:t>
      </w:r>
      <w:proofErr w:type="spellStart"/>
      <w:r w:rsidRPr="008C2425">
        <w:rPr>
          <w:rFonts w:asciiTheme="majorHAnsi" w:eastAsia="Cambria" w:hAnsiTheme="majorHAnsi" w:cs="Cambria"/>
          <w:sz w:val="20"/>
          <w:szCs w:val="20"/>
          <w:u w:color="000000"/>
          <w:lang w:eastAsia="es-ES"/>
        </w:rPr>
        <w:t>Astete</w:t>
      </w:r>
      <w:proofErr w:type="spellEnd"/>
      <w:r w:rsidRPr="008C2425">
        <w:rPr>
          <w:rFonts w:asciiTheme="majorHAnsi" w:eastAsia="Cambria" w:hAnsiTheme="majorHAnsi" w:cs="Cambria"/>
          <w:sz w:val="20"/>
          <w:szCs w:val="20"/>
          <w:u w:color="000000"/>
          <w:lang w:eastAsia="es-ES"/>
        </w:rPr>
        <w:t xml:space="preserve"> to withdraw her from the hospital.</w:t>
      </w:r>
      <w:r w:rsidRPr="008C2425">
        <w:rPr>
          <w:rStyle w:val="FootnoteReference"/>
          <w:rFonts w:asciiTheme="majorHAnsi" w:eastAsia="Cambria" w:hAnsiTheme="majorHAnsi" w:cs="Cambria"/>
          <w:sz w:val="20"/>
          <w:szCs w:val="20"/>
          <w:u w:color="000000"/>
          <w:lang w:eastAsia="es-ES"/>
        </w:rPr>
        <w:footnoteReference w:id="7"/>
      </w:r>
      <w:r w:rsidRPr="008C2425">
        <w:rPr>
          <w:rFonts w:asciiTheme="majorHAnsi" w:eastAsia="Cambria" w:hAnsiTheme="majorHAnsi" w:cs="Cambria"/>
          <w:sz w:val="20"/>
          <w:szCs w:val="20"/>
          <w:u w:color="000000"/>
          <w:lang w:eastAsia="es-ES"/>
        </w:rPr>
        <w:t xml:space="preserve"> He notes that on October 8, 1998, the parents were informed that their daughter was discharged from the hospital and, despite being opposed to it as conditions were far from ideal, they were forced to remove the girl from the hospital, as the hospital gave them no alternative. He indicates that on the next day, October 9, 1998, the girl had to be re-admitted to the emergency department of the same hospital where she remained in a state of extreme gravity until she died due to cardiogenic shock on November 5, 1998.</w:t>
      </w:r>
    </w:p>
    <w:p w14:paraId="60CA034B" w14:textId="77777777" w:rsidR="009F73FB" w:rsidRPr="008C2425" w:rsidRDefault="009F73FB" w:rsidP="009F73FB">
      <w:pPr>
        <w:numPr>
          <w:ilvl w:val="0"/>
          <w:numId w:val="105"/>
        </w:numPr>
        <w:suppressAutoHyphens/>
        <w:spacing w:after="120"/>
        <w:jc w:val="both"/>
        <w:rPr>
          <w:rFonts w:asciiTheme="majorHAnsi" w:hAnsiTheme="majorHAnsi"/>
        </w:rPr>
      </w:pPr>
      <w:r w:rsidRPr="008C2425">
        <w:rPr>
          <w:rFonts w:asciiTheme="majorHAnsi" w:eastAsia="Cambria" w:hAnsiTheme="majorHAnsi" w:cs="Cambria"/>
          <w:sz w:val="20"/>
          <w:szCs w:val="20"/>
          <w:u w:color="000000"/>
          <w:lang w:eastAsia="es-ES"/>
        </w:rPr>
        <w:t>On May 18, 2000, the parents filed a claim for damages for the death of their daughter against the hospital and the Chilean Treasury. On March 13, 2006, the 27th Civil Court of Santiago issued a first instance sentence jointly condemning the defendants to pay the plaintiffs two hundred and fifty million pesos</w:t>
      </w:r>
      <w:r w:rsidRPr="008C2425">
        <w:rPr>
          <w:rStyle w:val="FootnoteReference"/>
          <w:rFonts w:asciiTheme="majorHAnsi" w:eastAsia="Cambria" w:hAnsiTheme="majorHAnsi" w:cs="Cambria"/>
          <w:sz w:val="20"/>
          <w:szCs w:val="20"/>
          <w:u w:color="000000"/>
          <w:lang w:eastAsia="es-ES"/>
        </w:rPr>
        <w:footnoteReference w:id="8"/>
      </w:r>
      <w:r w:rsidRPr="008C2425">
        <w:rPr>
          <w:rFonts w:asciiTheme="majorHAnsi" w:eastAsia="Cambria" w:hAnsiTheme="majorHAnsi" w:cs="Cambria"/>
          <w:sz w:val="20"/>
          <w:szCs w:val="20"/>
          <w:u w:color="000000"/>
          <w:lang w:eastAsia="es-ES"/>
        </w:rPr>
        <w:t xml:space="preserve"> for moral damages resulting from the death of their daughter under the hospital's fault. The court considered that the discharge of the girl was not prudent and that the defendants could not prove that it was justified. The tribunal stressed that she was released to the care of her parents who had no capacity to attend to her well and that they were given “cryptic and unintelligible indications”. In the process, the Chilean Treasury objected that it could not be held responsible for acts of the hospital because it was dependent on the Metropolitan Health Service (hereinafter “SMP), a decentralized entity that by law had its own legal status and its own assets independent from those of the central administration. However, the Court considered that the Treasury was jointly and severally responsible because the SMP belonged to the Ministry of Health and, according to Decree with Force of Law 19.653 of November 17, 2001, the State was responsible for the damages caused by the organs of the administration, including the Ministry of Health and its dependents.</w:t>
      </w:r>
    </w:p>
    <w:p w14:paraId="40ED44CA" w14:textId="77777777" w:rsidR="009F73FB" w:rsidRPr="008C2425" w:rsidRDefault="009F73FB" w:rsidP="009F73FB">
      <w:pPr>
        <w:numPr>
          <w:ilvl w:val="0"/>
          <w:numId w:val="105"/>
        </w:numPr>
        <w:suppressAutoHyphens/>
        <w:spacing w:after="120"/>
        <w:jc w:val="both"/>
        <w:rPr>
          <w:rFonts w:asciiTheme="majorHAnsi" w:hAnsiTheme="majorHAnsi"/>
        </w:rPr>
      </w:pPr>
      <w:r w:rsidRPr="008C2425">
        <w:rPr>
          <w:rFonts w:asciiTheme="majorHAnsi" w:eastAsia="Cambria" w:hAnsiTheme="majorHAnsi" w:cs="Cambria"/>
          <w:sz w:val="20"/>
          <w:szCs w:val="20"/>
          <w:u w:color="000000"/>
          <w:lang w:eastAsia="es-ES"/>
        </w:rPr>
        <w:t xml:space="preserve">Both the hospital and the Treasury appealed the decision of first instance. On June 2, 2006, the Santiago Court of Appeals declared the appeal filed by the Chilean Treasury void as it did not present itself within the established deadline. The petitioner maintains that with this declaration the judgment of first instance reached the degree of res judicata in the part referring to the conviction against the treasury. Then, on May 19, 2009, a consultation process was decreed to review the decision issued in the first instance against the Treasury. The petitioner considers that this action was inadmissible and illegal because the consultation is a </w:t>
      </w:r>
      <w:r w:rsidRPr="008C2425">
        <w:rPr>
          <w:rFonts w:asciiTheme="majorHAnsi" w:eastAsia="Cambria" w:hAnsiTheme="majorHAnsi" w:cs="Cambria"/>
          <w:sz w:val="20"/>
          <w:szCs w:val="20"/>
          <w:u w:color="000000"/>
          <w:lang w:eastAsia="es-ES"/>
        </w:rPr>
        <w:lastRenderedPageBreak/>
        <w:t xml:space="preserve">process that occurs when the Treasury is condemned and does not appeal, not in a case in which it appealed and the appeal was declared void. On August 7, 2009, the Court of Appeals issued a decision revoking the decision of first instance and leaving the parents of the girl Sánchez </w:t>
      </w:r>
      <w:proofErr w:type="spellStart"/>
      <w:r w:rsidRPr="008C2425">
        <w:rPr>
          <w:rFonts w:asciiTheme="majorHAnsi" w:eastAsia="Cambria" w:hAnsiTheme="majorHAnsi" w:cs="Cambria"/>
          <w:sz w:val="20"/>
          <w:szCs w:val="20"/>
          <w:u w:color="000000"/>
          <w:lang w:eastAsia="es-ES"/>
        </w:rPr>
        <w:t>Astete</w:t>
      </w:r>
      <w:proofErr w:type="spellEnd"/>
      <w:r w:rsidRPr="008C2425">
        <w:rPr>
          <w:rFonts w:asciiTheme="majorHAnsi" w:eastAsia="Cambria" w:hAnsiTheme="majorHAnsi" w:cs="Cambria"/>
          <w:sz w:val="20"/>
          <w:szCs w:val="20"/>
          <w:u w:color="000000"/>
          <w:lang w:eastAsia="es-ES"/>
        </w:rPr>
        <w:t xml:space="preserve"> without compensation. The Court of Appeals considered that neither the hospital nor the Treasury had passive legitimacy to be liable for the alleged damages. In the case of the hospital because it did not have legal status or its own assets and instead had to be represented by the SMP who was not formally notified of the lawsuit;</w:t>
      </w:r>
      <w:r w:rsidRPr="008C2425">
        <w:rPr>
          <w:rStyle w:val="FootnoteReference"/>
          <w:rFonts w:asciiTheme="majorHAnsi" w:eastAsia="Cambria" w:hAnsiTheme="majorHAnsi" w:cs="Cambria"/>
          <w:sz w:val="20"/>
          <w:szCs w:val="20"/>
          <w:u w:color="000000"/>
          <w:lang w:eastAsia="es-ES"/>
        </w:rPr>
        <w:footnoteReference w:id="9"/>
      </w:r>
      <w:r w:rsidRPr="008C2425">
        <w:rPr>
          <w:rFonts w:asciiTheme="majorHAnsi" w:eastAsia="Cambria" w:hAnsiTheme="majorHAnsi" w:cs="Cambria"/>
          <w:sz w:val="20"/>
          <w:szCs w:val="20"/>
          <w:u w:color="000000"/>
          <w:lang w:eastAsia="es-ES"/>
        </w:rPr>
        <w:t xml:space="preserve"> and in the case of the Treasury because its responsibility was not compromised by the actions of a decentralized entity with its own personality and assets such as the SMP. Against this decision, the girl’s parents filed cassation remedies on the form and on the merits both of which were rejected by the Supreme Court of Justice on December 9, 2011.</w:t>
      </w:r>
    </w:p>
    <w:p w14:paraId="6974CC7A" w14:textId="77777777" w:rsidR="009F73FB" w:rsidRPr="008C2425" w:rsidRDefault="009F73FB" w:rsidP="009F73FB">
      <w:pPr>
        <w:numPr>
          <w:ilvl w:val="0"/>
          <w:numId w:val="105"/>
        </w:numPr>
        <w:suppressAutoHyphens/>
        <w:spacing w:after="120"/>
        <w:jc w:val="both"/>
        <w:rPr>
          <w:rFonts w:asciiTheme="majorHAnsi" w:hAnsiTheme="majorHAnsi"/>
          <w:sz w:val="20"/>
          <w:szCs w:val="20"/>
        </w:rPr>
      </w:pPr>
      <w:r w:rsidRPr="008C2425">
        <w:rPr>
          <w:rFonts w:asciiTheme="majorHAnsi" w:eastAsia="Cambria" w:hAnsiTheme="majorHAnsi" w:cs="Cambria"/>
          <w:sz w:val="20"/>
          <w:szCs w:val="20"/>
          <w:u w:color="000000"/>
          <w:lang w:eastAsia="es-ES"/>
        </w:rPr>
        <w:t>The petitioner considers that the State has left unpunished a situation of medical malpractice that resulted in the death of a girl and denied compensation to her parents, in violation of the American Convention. It also alleges that the State violated the right to equality before the law because, in the process of compensation, the parties were not treated with equity but instead the Treasury was privileged as a resolution was reviewed and reformed to favor it despite the fact that its appeal had been declared vacant as a result of its breach of the procedural deadlines.</w:t>
      </w:r>
      <w:r w:rsidRPr="008C2425">
        <w:rPr>
          <w:rStyle w:val="FootnoteReference"/>
          <w:rFonts w:asciiTheme="majorHAnsi" w:eastAsia="Cambria" w:hAnsiTheme="majorHAnsi" w:cs="Cambria"/>
          <w:sz w:val="20"/>
          <w:szCs w:val="20"/>
          <w:u w:color="000000"/>
          <w:lang w:eastAsia="es-ES"/>
        </w:rPr>
        <w:footnoteReference w:id="10"/>
      </w:r>
      <w:r w:rsidRPr="008C2425">
        <w:rPr>
          <w:rFonts w:asciiTheme="majorHAnsi" w:eastAsia="Cambria" w:hAnsiTheme="majorHAnsi" w:cs="Cambria"/>
          <w:sz w:val="20"/>
          <w:szCs w:val="20"/>
          <w:u w:color="000000"/>
          <w:lang w:eastAsia="es-ES"/>
        </w:rPr>
        <w:t xml:space="preserve"> It also considers that the duration of 11 years from the filing of the claim for damages until the final judgment of cassation does not conform to the parameters of the reasonable time. It also emphasizes that neither the Court of Appeals of Santiago nor the Supreme Court of Justice analyzed or pronounced themselves on the existence or not of medical negligence, or the responsibility or lack thereof of the State in the death of the girl.</w:t>
      </w:r>
    </w:p>
    <w:p w14:paraId="40D54F05" w14:textId="77777777" w:rsidR="009F73FB" w:rsidRPr="008C2425" w:rsidRDefault="009F73FB" w:rsidP="009F73FB">
      <w:pPr>
        <w:pStyle w:val="ListParagraph"/>
        <w:numPr>
          <w:ilvl w:val="0"/>
          <w:numId w:val="105"/>
        </w:numPr>
        <w:suppressAutoHyphens/>
        <w:spacing w:after="120"/>
        <w:jc w:val="both"/>
        <w:rPr>
          <w:rFonts w:asciiTheme="majorHAnsi" w:hAnsiTheme="majorHAnsi"/>
          <w:sz w:val="20"/>
          <w:szCs w:val="20"/>
        </w:rPr>
      </w:pPr>
      <w:r w:rsidRPr="008C2425">
        <w:rPr>
          <w:rFonts w:asciiTheme="majorHAnsi" w:hAnsiTheme="majorHAnsi"/>
          <w:sz w:val="20"/>
          <w:szCs w:val="20"/>
        </w:rPr>
        <w:t xml:space="preserve">The State, for its part, considers that the Commission lacks competence </w:t>
      </w:r>
      <w:proofErr w:type="spellStart"/>
      <w:r w:rsidRPr="008C2425">
        <w:rPr>
          <w:rFonts w:asciiTheme="majorHAnsi" w:hAnsiTheme="majorHAnsi"/>
          <w:sz w:val="20"/>
          <w:szCs w:val="20"/>
        </w:rPr>
        <w:t>ratione</w:t>
      </w:r>
      <w:proofErr w:type="spellEnd"/>
      <w:r w:rsidRPr="008C2425">
        <w:rPr>
          <w:rFonts w:asciiTheme="majorHAnsi" w:hAnsiTheme="majorHAnsi"/>
          <w:sz w:val="20"/>
          <w:szCs w:val="20"/>
        </w:rPr>
        <w:t xml:space="preserve"> </w:t>
      </w:r>
      <w:proofErr w:type="spellStart"/>
      <w:r w:rsidRPr="008C2425">
        <w:rPr>
          <w:rFonts w:asciiTheme="majorHAnsi" w:hAnsiTheme="majorHAnsi"/>
          <w:sz w:val="20"/>
          <w:szCs w:val="20"/>
        </w:rPr>
        <w:t>materiae</w:t>
      </w:r>
      <w:proofErr w:type="spellEnd"/>
      <w:r w:rsidRPr="008C2425">
        <w:rPr>
          <w:rFonts w:asciiTheme="majorHAnsi" w:hAnsiTheme="majorHAnsi"/>
          <w:sz w:val="20"/>
          <w:szCs w:val="20"/>
        </w:rPr>
        <w:t xml:space="preserve"> to hear the petition and that it must be declared inadmissible on the basis of Article 47 (b) of the American Convention. It claims that the petitioner's goal is for the Commission to act improperly as a fourth instance to review a domestic decision because of the mere fact that it did not give rise to what was requested by the petitioners. It highlights that the petitioner had access to all the resources existing in the legal system of the State and that there were no violations of due process.</w:t>
      </w:r>
    </w:p>
    <w:p w14:paraId="52453F78" w14:textId="77777777" w:rsidR="009F73FB" w:rsidRPr="008C2425" w:rsidRDefault="009F73FB" w:rsidP="009F73FB">
      <w:pPr>
        <w:pStyle w:val="ListParagraph"/>
        <w:suppressAutoHyphens/>
        <w:spacing w:after="120"/>
        <w:jc w:val="both"/>
        <w:rPr>
          <w:rFonts w:asciiTheme="majorHAnsi" w:hAnsiTheme="majorHAnsi"/>
          <w:sz w:val="20"/>
          <w:szCs w:val="20"/>
        </w:rPr>
      </w:pPr>
    </w:p>
    <w:p w14:paraId="45A0B177" w14:textId="77777777" w:rsidR="009F73FB" w:rsidRPr="008C2425" w:rsidRDefault="009F73FB" w:rsidP="009F73FB">
      <w:pPr>
        <w:pStyle w:val="ListParagraph"/>
        <w:numPr>
          <w:ilvl w:val="0"/>
          <w:numId w:val="106"/>
        </w:numPr>
        <w:suppressAutoHyphens/>
        <w:spacing w:after="120"/>
        <w:jc w:val="both"/>
        <w:rPr>
          <w:rFonts w:asciiTheme="majorHAnsi" w:hAnsiTheme="majorHAnsi"/>
          <w:sz w:val="20"/>
          <w:szCs w:val="20"/>
        </w:rPr>
      </w:pPr>
      <w:r w:rsidRPr="008C2425">
        <w:rPr>
          <w:rFonts w:asciiTheme="majorHAnsi" w:hAnsiTheme="majorHAnsi"/>
          <w:b/>
          <w:bCs/>
          <w:sz w:val="20"/>
          <w:szCs w:val="20"/>
        </w:rPr>
        <w:t xml:space="preserve">EXHAUSTION OF LOCAL REMEDIES AND TIMELINESS OF THE PETITION </w:t>
      </w:r>
    </w:p>
    <w:p w14:paraId="40C4F806" w14:textId="77777777" w:rsidR="009F73FB" w:rsidRPr="008C2425" w:rsidRDefault="009F73FB" w:rsidP="009F73FB">
      <w:pPr>
        <w:pStyle w:val="ListParagraph"/>
        <w:numPr>
          <w:ilvl w:val="0"/>
          <w:numId w:val="105"/>
        </w:numPr>
        <w:suppressAutoHyphens/>
        <w:spacing w:after="120"/>
        <w:jc w:val="both"/>
        <w:rPr>
          <w:rFonts w:asciiTheme="majorHAnsi" w:hAnsiTheme="majorHAnsi"/>
          <w:sz w:val="20"/>
          <w:szCs w:val="20"/>
        </w:rPr>
      </w:pPr>
      <w:r w:rsidRPr="008C2425">
        <w:rPr>
          <w:rFonts w:asciiTheme="majorHAnsi" w:hAnsiTheme="majorHAnsi"/>
          <w:sz w:val="20"/>
          <w:szCs w:val="20"/>
        </w:rPr>
        <w:t>The petitioner has alleged that the domestic remedies were exhausted with the ruling of the Supreme Court of Justice through which the appeals filed by the petitioner were rejected. The State has not made reference to additional local remedies that have not been exhausted and that could be suitable for the claims of the petitioner to be handled at the domestic level. For these reasons, and given that the aforementioned judgment was issued on December 9, 2011 and the petition filed on June 8, 2012, the Commission concludes that this petition complies with the requirements of article 46.1 (a) and (b) of the American Convention.</w:t>
      </w:r>
    </w:p>
    <w:p w14:paraId="5F6BD731" w14:textId="77777777" w:rsidR="009F73FB" w:rsidRPr="008C2425" w:rsidRDefault="009F73FB" w:rsidP="009F73FB">
      <w:pPr>
        <w:pStyle w:val="ListParagraph"/>
        <w:suppressAutoHyphens/>
        <w:spacing w:after="120"/>
        <w:jc w:val="both"/>
        <w:rPr>
          <w:rFonts w:asciiTheme="majorHAnsi" w:hAnsiTheme="majorHAnsi"/>
          <w:sz w:val="20"/>
          <w:szCs w:val="20"/>
        </w:rPr>
      </w:pPr>
    </w:p>
    <w:p w14:paraId="472B6AE9" w14:textId="77777777" w:rsidR="009F73FB" w:rsidRPr="008C2425" w:rsidRDefault="009F73FB" w:rsidP="009F73FB">
      <w:pPr>
        <w:pStyle w:val="ListParagraph"/>
        <w:numPr>
          <w:ilvl w:val="0"/>
          <w:numId w:val="106"/>
        </w:numPr>
        <w:suppressAutoHyphens/>
        <w:spacing w:after="120"/>
        <w:jc w:val="both"/>
        <w:rPr>
          <w:rFonts w:asciiTheme="majorHAnsi" w:hAnsiTheme="majorHAnsi"/>
          <w:b/>
          <w:bCs/>
          <w:sz w:val="20"/>
          <w:szCs w:val="20"/>
        </w:rPr>
      </w:pPr>
      <w:r w:rsidRPr="008C2425">
        <w:rPr>
          <w:rFonts w:asciiTheme="majorHAnsi" w:hAnsiTheme="majorHAnsi"/>
          <w:b/>
          <w:bCs/>
          <w:sz w:val="20"/>
          <w:szCs w:val="20"/>
        </w:rPr>
        <w:t>COLORABLE CLAIM</w:t>
      </w:r>
    </w:p>
    <w:p w14:paraId="67B14D00" w14:textId="77777777" w:rsidR="009F73FB" w:rsidRPr="008C2425" w:rsidRDefault="009F73FB" w:rsidP="009F73FB">
      <w:pPr>
        <w:pStyle w:val="ListParagraph"/>
        <w:numPr>
          <w:ilvl w:val="0"/>
          <w:numId w:val="105"/>
        </w:numPr>
        <w:suppressAutoHyphens/>
        <w:spacing w:after="120"/>
        <w:jc w:val="both"/>
        <w:rPr>
          <w:rFonts w:asciiTheme="majorHAnsi" w:hAnsiTheme="majorHAnsi"/>
          <w:bCs/>
          <w:sz w:val="20"/>
          <w:szCs w:val="20"/>
        </w:rPr>
      </w:pPr>
      <w:r w:rsidRPr="008C2425">
        <w:rPr>
          <w:rFonts w:asciiTheme="majorHAnsi" w:hAnsiTheme="majorHAnsi"/>
          <w:bCs/>
          <w:sz w:val="20"/>
          <w:szCs w:val="20"/>
        </w:rPr>
        <w:t>Regarding the State's allegations over the fourth instance formula, the Commission recognizes that it is not competent to review the rulings issued by national courts that act in the sphere of their jurisdiction and apply due process and judicial guarantees. However, it reiterates that within the framework of its mandate it is competent to declare a petition admissible and to rule on the merits when it refers to internal processes that could violate rights guaranteed by the American Convention.</w:t>
      </w:r>
    </w:p>
    <w:p w14:paraId="17E3E978" w14:textId="77777777" w:rsidR="009F73FB" w:rsidRPr="008C2425" w:rsidRDefault="009F73FB" w:rsidP="009F73FB">
      <w:pPr>
        <w:pStyle w:val="ListParagraph"/>
        <w:numPr>
          <w:ilvl w:val="0"/>
          <w:numId w:val="105"/>
        </w:numPr>
        <w:suppressAutoHyphens/>
        <w:spacing w:after="120"/>
        <w:jc w:val="both"/>
        <w:rPr>
          <w:rFonts w:asciiTheme="majorHAnsi" w:hAnsiTheme="majorHAnsi"/>
          <w:bCs/>
          <w:sz w:val="20"/>
          <w:szCs w:val="20"/>
        </w:rPr>
      </w:pPr>
      <w:r w:rsidRPr="008C2425">
        <w:rPr>
          <w:rFonts w:asciiTheme="majorHAnsi" w:hAnsiTheme="majorHAnsi"/>
          <w:bCs/>
          <w:sz w:val="20"/>
          <w:szCs w:val="20"/>
        </w:rPr>
        <w:t xml:space="preserve">In the present case, the Commission observes that the petitioner's allegations refer to the possible responsibility of the State in the injuries and death of a girl; and a possible violation of the reasonable period of time in an administrative investigation and in a civil compensation process for damages. The Commission considers that these arguments are not manifestly unfounded and require a substantive study </w:t>
      </w:r>
      <w:r w:rsidRPr="008C2425">
        <w:rPr>
          <w:rFonts w:asciiTheme="majorHAnsi" w:hAnsiTheme="majorHAnsi"/>
          <w:bCs/>
          <w:sz w:val="20"/>
          <w:szCs w:val="20"/>
        </w:rPr>
        <w:lastRenderedPageBreak/>
        <w:t>because the alleged, if verified as true, could make a colorable claim for violations of articles 4 (life), 5 (personal integrity), 8 (judicial guarantees), 17 (protection of the family), 19 (rights of the child), 25 (judicial protection) and 26 (economic, social and cultural rights) of the American Convention in relation to its articles 1.1. (</w:t>
      </w:r>
      <w:proofErr w:type="gramStart"/>
      <w:r w:rsidRPr="008C2425">
        <w:rPr>
          <w:rFonts w:asciiTheme="majorHAnsi" w:hAnsiTheme="majorHAnsi"/>
          <w:bCs/>
          <w:sz w:val="20"/>
          <w:szCs w:val="20"/>
        </w:rPr>
        <w:t>obligation</w:t>
      </w:r>
      <w:proofErr w:type="gramEnd"/>
      <w:r w:rsidRPr="008C2425">
        <w:rPr>
          <w:rFonts w:asciiTheme="majorHAnsi" w:hAnsiTheme="majorHAnsi"/>
          <w:bCs/>
          <w:sz w:val="20"/>
          <w:szCs w:val="20"/>
        </w:rPr>
        <w:t xml:space="preserve"> to respect rights) and 2 (domestic legal effects). The Commission will also examine, at the merits stage, the allegations that a domestic court acted without jurisdiction to revoke a sentence that was unfavorable to the State; as well as whether the domestic determinations regarding the responsibility of the State by act of its decentralized entities contravene the Inter-American standards on international responsibility of the States.</w:t>
      </w:r>
      <w:r w:rsidRPr="008C2425">
        <w:rPr>
          <w:rStyle w:val="FootnoteReference"/>
          <w:rFonts w:asciiTheme="majorHAnsi" w:hAnsiTheme="majorHAnsi"/>
          <w:bCs/>
          <w:sz w:val="20"/>
          <w:szCs w:val="20"/>
        </w:rPr>
        <w:footnoteReference w:id="11"/>
      </w:r>
    </w:p>
    <w:p w14:paraId="1D806CB9" w14:textId="77777777" w:rsidR="009F73FB" w:rsidRPr="008C2425" w:rsidRDefault="009F73FB" w:rsidP="009F73FB">
      <w:pPr>
        <w:pStyle w:val="ListParagraph"/>
        <w:numPr>
          <w:ilvl w:val="0"/>
          <w:numId w:val="105"/>
        </w:numPr>
        <w:suppressAutoHyphens/>
        <w:spacing w:after="120"/>
        <w:jc w:val="both"/>
        <w:rPr>
          <w:rFonts w:asciiTheme="majorHAnsi" w:hAnsiTheme="majorHAnsi"/>
          <w:bCs/>
          <w:sz w:val="20"/>
          <w:szCs w:val="20"/>
        </w:rPr>
      </w:pPr>
      <w:r w:rsidRPr="008C2425">
        <w:rPr>
          <w:rFonts w:asciiTheme="majorHAnsi" w:hAnsiTheme="majorHAnsi"/>
          <w:bCs/>
          <w:sz w:val="20"/>
          <w:szCs w:val="20"/>
        </w:rPr>
        <w:t>Regarding the alleged violations of Article 24 of the American Convention, the Commission considers that the petitioner has not provided arguments or support that would allow it to conclude, even prima facie, its possible violation.</w:t>
      </w:r>
    </w:p>
    <w:p w14:paraId="62D7BDA9" w14:textId="77777777" w:rsidR="009F73FB" w:rsidRPr="008C2425" w:rsidRDefault="009F73FB" w:rsidP="009F73FB">
      <w:pPr>
        <w:pStyle w:val="ListParagraph"/>
        <w:numPr>
          <w:ilvl w:val="0"/>
          <w:numId w:val="105"/>
        </w:numPr>
        <w:suppressAutoHyphens/>
        <w:spacing w:after="120"/>
        <w:jc w:val="both"/>
        <w:rPr>
          <w:rFonts w:asciiTheme="majorHAnsi" w:hAnsiTheme="majorHAnsi"/>
          <w:bCs/>
          <w:sz w:val="20"/>
          <w:szCs w:val="20"/>
        </w:rPr>
      </w:pPr>
      <w:r w:rsidRPr="008C2425">
        <w:rPr>
          <w:rFonts w:asciiTheme="majorHAnsi" w:hAnsiTheme="majorHAnsi"/>
          <w:bCs/>
          <w:sz w:val="20"/>
          <w:szCs w:val="20"/>
        </w:rPr>
        <w:t>With respect to the alleged violations of Articles I, II, VI, XI and XVIII of the American Declaration, the Inter-American Commission has previously established that, once the American Convention enters into force in relation to a State, it and not the Declaration becomes the primary source of law applicable by the Commission, provided that the petition refers to the alleged violation of identical rights in both instruments and is not a situation of continued violation. In the present case, the Commission considers that the alleged violations of the American Declaration do not escape the scope of protection of Articles 4, 5, 8, 17, 24, 25 and 26 of the American Convention. Therefore, the Commission will examine these allegations in the light of the American Convention.</w:t>
      </w:r>
    </w:p>
    <w:p w14:paraId="0993EF0A" w14:textId="77777777" w:rsidR="009F73FB" w:rsidRPr="008C2425" w:rsidRDefault="009F73FB" w:rsidP="009F73FB">
      <w:pPr>
        <w:pStyle w:val="ListParagraph"/>
        <w:suppressAutoHyphens/>
        <w:spacing w:after="120"/>
        <w:jc w:val="both"/>
        <w:rPr>
          <w:rFonts w:asciiTheme="majorHAnsi" w:hAnsiTheme="majorHAnsi"/>
          <w:bCs/>
          <w:sz w:val="20"/>
          <w:szCs w:val="20"/>
        </w:rPr>
      </w:pPr>
      <w:r w:rsidRPr="008C2425">
        <w:rPr>
          <w:rFonts w:asciiTheme="majorHAnsi" w:eastAsia="Arial Unicode MS" w:hAnsiTheme="majorHAnsi"/>
          <w:b/>
          <w:bCs/>
          <w:sz w:val="20"/>
          <w:szCs w:val="20"/>
        </w:rPr>
        <w:t xml:space="preserve">VIII. </w:t>
      </w:r>
      <w:r w:rsidRPr="008C2425">
        <w:rPr>
          <w:rFonts w:asciiTheme="majorHAnsi" w:eastAsia="Arial Unicode MS" w:hAnsiTheme="majorHAnsi"/>
          <w:b/>
          <w:bCs/>
          <w:sz w:val="20"/>
          <w:szCs w:val="20"/>
        </w:rPr>
        <w:tab/>
        <w:t>DECISION</w:t>
      </w:r>
    </w:p>
    <w:p w14:paraId="0B4602AA" w14:textId="77777777" w:rsidR="009F73FB" w:rsidRPr="008C2425" w:rsidRDefault="009F73FB" w:rsidP="008C2425">
      <w:pPr>
        <w:pStyle w:val="ListParagraph"/>
        <w:numPr>
          <w:ilvl w:val="0"/>
          <w:numId w:val="107"/>
        </w:numPr>
        <w:suppressAutoHyphens/>
        <w:spacing w:after="120"/>
        <w:ind w:left="0" w:firstLine="720"/>
        <w:jc w:val="both"/>
        <w:rPr>
          <w:rFonts w:asciiTheme="majorHAnsi" w:eastAsia="Arial Unicode MS" w:hAnsiTheme="majorHAnsi"/>
          <w:sz w:val="20"/>
          <w:szCs w:val="20"/>
        </w:rPr>
      </w:pPr>
      <w:r w:rsidRPr="008C2425">
        <w:rPr>
          <w:rFonts w:asciiTheme="majorHAnsi" w:eastAsia="Arial Unicode MS" w:hAnsiTheme="majorHAnsi"/>
          <w:sz w:val="20"/>
          <w:szCs w:val="20"/>
        </w:rPr>
        <w:t xml:space="preserve">To find the instant petition admissible in relation to Articles 4, 5, 8, 17, 19, 25 and 26 of the </w:t>
      </w:r>
      <w:r w:rsidRPr="008C2425">
        <w:rPr>
          <w:rFonts w:asciiTheme="majorHAnsi" w:eastAsia="Arial Unicode MS" w:hAnsiTheme="majorHAnsi"/>
          <w:bCs/>
          <w:sz w:val="20"/>
          <w:szCs w:val="20"/>
        </w:rPr>
        <w:t>American Convention, in accordance with articles 1.1 and 2; and</w:t>
      </w:r>
    </w:p>
    <w:p w14:paraId="17E0F7CC" w14:textId="77777777" w:rsidR="009F73FB" w:rsidRPr="008C2425" w:rsidRDefault="009F73FB" w:rsidP="008C2425">
      <w:pPr>
        <w:numPr>
          <w:ilvl w:val="0"/>
          <w:numId w:val="107"/>
        </w:numPr>
        <w:suppressAutoHyphens/>
        <w:spacing w:after="120"/>
        <w:ind w:left="0" w:firstLine="720"/>
        <w:jc w:val="both"/>
        <w:rPr>
          <w:rFonts w:asciiTheme="majorHAnsi" w:hAnsiTheme="majorHAnsi"/>
          <w:sz w:val="20"/>
          <w:szCs w:val="20"/>
        </w:rPr>
      </w:pPr>
      <w:r w:rsidRPr="008C2425">
        <w:rPr>
          <w:rFonts w:asciiTheme="majorHAnsi" w:hAnsiTheme="majorHAnsi"/>
          <w:bCs/>
          <w:sz w:val="20"/>
          <w:szCs w:val="20"/>
        </w:rPr>
        <w:t>To find the instant petition inadmissible in relation to article 24 of the American Convention; and</w:t>
      </w:r>
    </w:p>
    <w:p w14:paraId="2C8EFDE4" w14:textId="77777777" w:rsidR="009F73FB" w:rsidRPr="008C2425" w:rsidRDefault="009F73FB" w:rsidP="008C2425">
      <w:pPr>
        <w:numPr>
          <w:ilvl w:val="0"/>
          <w:numId w:val="107"/>
        </w:numPr>
        <w:suppressAutoHyphens/>
        <w:spacing w:after="120"/>
        <w:ind w:left="0" w:firstLine="720"/>
        <w:jc w:val="both"/>
        <w:rPr>
          <w:rFonts w:asciiTheme="majorHAnsi" w:hAnsiTheme="majorHAnsi"/>
          <w:sz w:val="20"/>
          <w:szCs w:val="20"/>
        </w:rPr>
      </w:pPr>
      <w:r w:rsidRPr="008C2425">
        <w:rPr>
          <w:rFonts w:asciiTheme="majorHAnsi" w:hAnsiTheme="majorHAnsi"/>
          <w:sz w:val="20"/>
          <w:szCs w:val="20"/>
        </w:rPr>
        <w:t xml:space="preserve">To notify the parties of the decision; to continue with the analysis on the merits and to publish this decision </w:t>
      </w:r>
      <w:r w:rsidRPr="008C2425">
        <w:rPr>
          <w:rFonts w:asciiTheme="majorHAnsi" w:eastAsia="Times New Roman" w:hAnsiTheme="majorHAnsi"/>
          <w:sz w:val="20"/>
          <w:szCs w:val="20"/>
        </w:rPr>
        <w:t>and to include it in its Annual Report to the General Assembly of the Organization of American States.</w:t>
      </w:r>
    </w:p>
    <w:p w14:paraId="3478D4C3" w14:textId="751DFBB9" w:rsidR="009F73FB" w:rsidRPr="008C2425" w:rsidRDefault="009F73FB" w:rsidP="008C2425">
      <w:pPr>
        <w:suppressAutoHyphens/>
        <w:ind w:firstLine="720"/>
        <w:jc w:val="both"/>
        <w:rPr>
          <w:rFonts w:asciiTheme="majorHAnsi" w:hAnsiTheme="majorHAnsi"/>
          <w:spacing w:val="-2"/>
          <w:sz w:val="20"/>
        </w:rPr>
      </w:pPr>
      <w:r w:rsidRPr="008C2425">
        <w:rPr>
          <w:rFonts w:asciiTheme="majorHAnsi" w:hAnsiTheme="majorHAnsi"/>
          <w:spacing w:val="-2"/>
          <w:sz w:val="20"/>
        </w:rPr>
        <w:t>Approved by the Inter-American Commission on Human Rights on the 6</w:t>
      </w:r>
      <w:r w:rsidRPr="008C2425">
        <w:rPr>
          <w:rFonts w:asciiTheme="majorHAnsi" w:hAnsiTheme="majorHAnsi"/>
          <w:spacing w:val="-2"/>
          <w:sz w:val="20"/>
          <w:vertAlign w:val="superscript"/>
        </w:rPr>
        <w:t>th</w:t>
      </w:r>
      <w:r w:rsidRPr="008C2425">
        <w:rPr>
          <w:rFonts w:asciiTheme="majorHAnsi" w:hAnsiTheme="majorHAnsi"/>
          <w:spacing w:val="-2"/>
          <w:sz w:val="20"/>
        </w:rPr>
        <w:t xml:space="preserve"> day of the </w:t>
      </w:r>
      <w:r w:rsidR="00690D5D">
        <w:rPr>
          <w:rFonts w:asciiTheme="majorHAnsi" w:hAnsiTheme="majorHAnsi"/>
          <w:spacing w:val="-2"/>
          <w:sz w:val="20"/>
        </w:rPr>
        <w:t xml:space="preserve">month of </w:t>
      </w:r>
      <w:bookmarkStart w:id="0" w:name="_GoBack"/>
      <w:bookmarkEnd w:id="0"/>
      <w:r w:rsidRPr="008C2425">
        <w:rPr>
          <w:rFonts w:asciiTheme="majorHAnsi" w:hAnsiTheme="majorHAnsi"/>
          <w:spacing w:val="-2"/>
          <w:sz w:val="20"/>
        </w:rPr>
        <w:t xml:space="preserve">December, 2019. (Signed):  </w:t>
      </w:r>
      <w:r w:rsidRPr="008C2425">
        <w:rPr>
          <w:rFonts w:asciiTheme="majorHAnsi" w:hAnsiTheme="majorHAnsi" w:cs="Arial"/>
          <w:noProof/>
          <w:spacing w:val="-2"/>
          <w:sz w:val="20"/>
        </w:rPr>
        <w:t xml:space="preserve">Esmeralda E. Arosemena Bernal de Troitiño, </w:t>
      </w:r>
      <w:r w:rsidRPr="008C2425">
        <w:rPr>
          <w:rFonts w:asciiTheme="majorHAnsi" w:hAnsiTheme="majorHAnsi"/>
          <w:sz w:val="20"/>
        </w:rPr>
        <w:t xml:space="preserve">President; </w:t>
      </w:r>
      <w:r w:rsidRPr="008C2425">
        <w:rPr>
          <w:rFonts w:asciiTheme="majorHAnsi" w:hAnsiTheme="majorHAnsi" w:cs="Arial"/>
          <w:noProof/>
          <w:spacing w:val="-2"/>
          <w:sz w:val="20"/>
        </w:rPr>
        <w:t xml:space="preserve">Joel Hernández, </w:t>
      </w:r>
      <w:r w:rsidRPr="008C2425">
        <w:rPr>
          <w:rFonts w:asciiTheme="majorHAnsi" w:hAnsiTheme="majorHAnsi"/>
          <w:spacing w:val="-2"/>
          <w:sz w:val="20"/>
        </w:rPr>
        <w:t>First Vice President;</w:t>
      </w:r>
      <w:r w:rsidRPr="008C2425">
        <w:rPr>
          <w:rFonts w:asciiTheme="majorHAnsi" w:hAnsiTheme="majorHAnsi" w:cs="Arial"/>
          <w:noProof/>
          <w:spacing w:val="-2"/>
          <w:sz w:val="20"/>
        </w:rPr>
        <w:t xml:space="preserve"> Margarette May Macaulay, Francisco José Eguiguren, Luis Ernesto Vargas Silva, and Flávia Piovesan, </w:t>
      </w:r>
      <w:r w:rsidRPr="008C2425">
        <w:rPr>
          <w:rFonts w:asciiTheme="majorHAnsi" w:hAnsiTheme="majorHAnsi"/>
          <w:spacing w:val="-2"/>
          <w:sz w:val="20"/>
        </w:rPr>
        <w:t>Commissioners.</w:t>
      </w:r>
    </w:p>
    <w:p w14:paraId="04AED0D3" w14:textId="77777777" w:rsidR="009F73FB" w:rsidRPr="008C2425" w:rsidRDefault="009F73FB" w:rsidP="009F73FB">
      <w:pPr>
        <w:suppressAutoHyphens/>
        <w:spacing w:after="120"/>
        <w:jc w:val="both"/>
        <w:rPr>
          <w:rFonts w:asciiTheme="majorHAnsi" w:hAnsiTheme="majorHAnsi"/>
          <w:sz w:val="20"/>
          <w:szCs w:val="20"/>
        </w:rPr>
      </w:pPr>
    </w:p>
    <w:sectPr w:rsidR="009F73FB" w:rsidRPr="008C242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FE16B" w14:textId="77777777" w:rsidR="00454A03" w:rsidRDefault="00454A03" w:rsidP="00036A8A">
      <w:r>
        <w:separator/>
      </w:r>
    </w:p>
  </w:endnote>
  <w:endnote w:type="continuationSeparator" w:id="0">
    <w:p w14:paraId="06D9F6BA" w14:textId="77777777" w:rsidR="00454A03" w:rsidRDefault="00454A0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4867" w14:textId="77777777" w:rsidR="00B272F5" w:rsidRDefault="00B27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90D5D">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1EDE" w14:textId="77777777" w:rsidR="00454A03" w:rsidRPr="00036A8A" w:rsidRDefault="00454A0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5C9D575" w14:textId="77777777" w:rsidR="00454A03" w:rsidRPr="00036A8A" w:rsidRDefault="00454A03" w:rsidP="00036A8A">
      <w:pPr>
        <w:rPr>
          <w:rFonts w:asciiTheme="majorHAnsi" w:hAnsiTheme="majorHAnsi"/>
          <w:sz w:val="16"/>
          <w:szCs w:val="16"/>
        </w:rPr>
      </w:pPr>
      <w:r w:rsidRPr="00036A8A">
        <w:rPr>
          <w:rFonts w:asciiTheme="majorHAnsi" w:hAnsiTheme="majorHAnsi"/>
          <w:sz w:val="16"/>
          <w:szCs w:val="16"/>
        </w:rPr>
        <w:separator/>
      </w:r>
    </w:p>
    <w:p w14:paraId="3B0ED660" w14:textId="77777777" w:rsidR="00454A03" w:rsidRPr="00036A8A" w:rsidRDefault="00454A0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B28F531" w14:textId="77777777" w:rsidR="00454A03" w:rsidRPr="0093441A" w:rsidRDefault="00454A0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C04C17A" w14:textId="77777777" w:rsidR="009F73FB" w:rsidRPr="003A0ED1" w:rsidRDefault="009F73FB" w:rsidP="009F73FB">
      <w:pPr>
        <w:pStyle w:val="FootnoteText"/>
        <w:ind w:firstLine="720"/>
        <w:jc w:val="both"/>
        <w:rPr>
          <w:rFonts w:ascii="Cambria" w:hAnsi="Cambria"/>
          <w:sz w:val="16"/>
          <w:szCs w:val="16"/>
          <w:lang w:val="es-PA"/>
        </w:rPr>
      </w:pPr>
      <w:r w:rsidRPr="003A0ED1">
        <w:rPr>
          <w:rStyle w:val="FootnoteReference"/>
          <w:rFonts w:ascii="Cambria" w:hAnsi="Cambria"/>
          <w:sz w:val="16"/>
          <w:szCs w:val="16"/>
        </w:rPr>
        <w:footnoteRef/>
      </w:r>
      <w:r w:rsidRPr="003A0ED1">
        <w:rPr>
          <w:rFonts w:ascii="Cambria" w:hAnsi="Cambria"/>
          <w:sz w:val="16"/>
          <w:szCs w:val="16"/>
          <w:lang w:val="es-PA"/>
        </w:rPr>
        <w:t xml:space="preserve"> Ana Verónica </w:t>
      </w:r>
      <w:proofErr w:type="spellStart"/>
      <w:r w:rsidRPr="003A0ED1">
        <w:rPr>
          <w:rFonts w:ascii="Cambria" w:hAnsi="Cambria"/>
          <w:sz w:val="16"/>
          <w:szCs w:val="16"/>
          <w:lang w:val="es-PA"/>
        </w:rPr>
        <w:t>Astete</w:t>
      </w:r>
      <w:proofErr w:type="spellEnd"/>
      <w:r w:rsidRPr="003A0ED1">
        <w:rPr>
          <w:rFonts w:ascii="Cambria" w:hAnsi="Cambria"/>
          <w:sz w:val="16"/>
          <w:szCs w:val="16"/>
          <w:lang w:val="es-PA"/>
        </w:rPr>
        <w:t xml:space="preserve"> Ortiz y Carlos Iván Sánchez Vásquez.</w:t>
      </w:r>
    </w:p>
  </w:footnote>
  <w:footnote w:id="3">
    <w:p w14:paraId="7719A5A7" w14:textId="77777777" w:rsidR="009F73FB" w:rsidRPr="008956FA" w:rsidRDefault="009F73FB" w:rsidP="009F73FB">
      <w:pPr>
        <w:pStyle w:val="FootnoteText"/>
        <w:ind w:firstLine="720"/>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Based on article 17.2.</w:t>
      </w:r>
      <w:proofErr w:type="spellStart"/>
      <w:r w:rsidRPr="008956FA">
        <w:rPr>
          <w:rFonts w:ascii="Cambria" w:hAnsi="Cambria"/>
          <w:sz w:val="16"/>
          <w:szCs w:val="16"/>
        </w:rPr>
        <w:t>a</w:t>
      </w:r>
      <w:proofErr w:type="spellEnd"/>
      <w:r w:rsidRPr="008956FA">
        <w:rPr>
          <w:rFonts w:ascii="Cambria" w:hAnsi="Cambria"/>
          <w:sz w:val="16"/>
          <w:szCs w:val="16"/>
        </w:rPr>
        <w:t xml:space="preserve"> of the Rules of procedure of the Commission, Commissioner </w:t>
      </w:r>
      <w:r w:rsidRPr="008956FA">
        <w:rPr>
          <w:rFonts w:ascii="Cambria" w:hAnsi="Cambria"/>
          <w:color w:val="auto"/>
          <w:sz w:val="16"/>
          <w:szCs w:val="16"/>
        </w:rPr>
        <w:t>Antonia Urrejola Noguera</w:t>
      </w:r>
      <w:r w:rsidRPr="008956FA">
        <w:rPr>
          <w:rFonts w:ascii="Cambria" w:hAnsi="Cambria"/>
          <w:sz w:val="16"/>
          <w:szCs w:val="16"/>
        </w:rPr>
        <w:t>, a Chilean national, did not participate in the debate or decision of this matter.</w:t>
      </w:r>
    </w:p>
  </w:footnote>
  <w:footnote w:id="4">
    <w:p w14:paraId="19DB3DA9" w14:textId="77777777" w:rsidR="009F73FB" w:rsidRPr="008956FA" w:rsidRDefault="009F73FB" w:rsidP="009F73FB">
      <w:pPr>
        <w:pStyle w:val="FootnoteText"/>
        <w:ind w:left="720"/>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Hereinafter the “Convention” or the “American Convention”</w:t>
      </w:r>
    </w:p>
  </w:footnote>
  <w:footnote w:id="5">
    <w:p w14:paraId="0AD94EBF" w14:textId="77777777" w:rsidR="009F73FB" w:rsidRPr="008956FA" w:rsidRDefault="009F73FB" w:rsidP="009F73FB">
      <w:pPr>
        <w:pStyle w:val="FootnoteText"/>
        <w:ind w:firstLine="720"/>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w:t>
      </w:r>
      <w:r>
        <w:rPr>
          <w:rFonts w:ascii="Cambria" w:hAnsi="Cambria"/>
          <w:sz w:val="16"/>
          <w:szCs w:val="16"/>
        </w:rPr>
        <w:t>Hereinafter “American Declaration”.</w:t>
      </w:r>
    </w:p>
  </w:footnote>
  <w:footnote w:id="6">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7A54273A" w14:textId="77777777" w:rsidR="009F73FB" w:rsidRPr="005F6F15" w:rsidRDefault="009F73FB" w:rsidP="009F73FB">
      <w:pPr>
        <w:pStyle w:val="FootnoteText"/>
        <w:rPr>
          <w:rFonts w:ascii="Cambria" w:hAnsi="Cambria"/>
          <w:sz w:val="16"/>
          <w:szCs w:val="16"/>
        </w:rPr>
      </w:pPr>
      <w:r w:rsidRPr="005F6F15">
        <w:rPr>
          <w:rStyle w:val="FootnoteReference"/>
          <w:rFonts w:ascii="Cambria" w:hAnsi="Cambria"/>
          <w:sz w:val="16"/>
          <w:szCs w:val="16"/>
        </w:rPr>
        <w:footnoteRef/>
      </w:r>
      <w:r w:rsidRPr="005F6F15">
        <w:rPr>
          <w:rFonts w:ascii="Cambria" w:hAnsi="Cambria"/>
          <w:sz w:val="16"/>
          <w:szCs w:val="16"/>
        </w:rPr>
        <w:t xml:space="preserve"> He alleged that on September 28, 1998 the parents left a note on the grievances book of the hospital on the pressure they were receiving to take the girl home.</w:t>
      </w:r>
    </w:p>
  </w:footnote>
  <w:footnote w:id="8">
    <w:p w14:paraId="0971D9E1" w14:textId="77777777" w:rsidR="009F73FB" w:rsidRDefault="009F73FB" w:rsidP="009F73FB">
      <w:pPr>
        <w:pStyle w:val="FootnoteText"/>
      </w:pPr>
      <w:r w:rsidRPr="005F6F15">
        <w:rPr>
          <w:rStyle w:val="FootnoteReference"/>
          <w:rFonts w:ascii="Cambria" w:hAnsi="Cambria"/>
          <w:sz w:val="16"/>
          <w:szCs w:val="16"/>
        </w:rPr>
        <w:footnoteRef/>
      </w:r>
      <w:r w:rsidRPr="005F6F15">
        <w:rPr>
          <w:rFonts w:ascii="Cambria" w:hAnsi="Cambria"/>
          <w:sz w:val="16"/>
          <w:szCs w:val="16"/>
        </w:rPr>
        <w:t xml:space="preserve"> Based on the petitioner this will equal to U$D484.983.000 at the moment of filing this claim.</w:t>
      </w:r>
    </w:p>
  </w:footnote>
  <w:footnote w:id="9">
    <w:p w14:paraId="6FC03F50" w14:textId="77777777" w:rsidR="009F73FB" w:rsidRPr="005F6F15" w:rsidRDefault="009F73FB" w:rsidP="009F73FB">
      <w:pPr>
        <w:pStyle w:val="FootnoteText"/>
        <w:rPr>
          <w:rFonts w:ascii="Cambria" w:hAnsi="Cambria"/>
          <w:sz w:val="16"/>
          <w:szCs w:val="16"/>
        </w:rPr>
      </w:pPr>
      <w:r w:rsidRPr="005F6F15">
        <w:rPr>
          <w:rStyle w:val="FootnoteReference"/>
          <w:rFonts w:ascii="Cambria" w:hAnsi="Cambria"/>
          <w:sz w:val="16"/>
          <w:szCs w:val="16"/>
        </w:rPr>
        <w:footnoteRef/>
      </w:r>
      <w:r w:rsidRPr="005F6F15">
        <w:rPr>
          <w:rFonts w:ascii="Cambria" w:hAnsi="Cambria"/>
          <w:sz w:val="16"/>
          <w:szCs w:val="16"/>
        </w:rPr>
        <w:t xml:space="preserve"> During the process of first instance, the Director of the Hospital warned of this circumstance, but the court considered that this was done outside the legal </w:t>
      </w:r>
      <w:r>
        <w:rPr>
          <w:rFonts w:ascii="Cambria" w:hAnsi="Cambria"/>
          <w:sz w:val="16"/>
          <w:szCs w:val="16"/>
        </w:rPr>
        <w:t>deadline</w:t>
      </w:r>
      <w:r w:rsidRPr="005F6F15">
        <w:rPr>
          <w:rFonts w:ascii="Cambria" w:hAnsi="Cambria"/>
          <w:sz w:val="16"/>
          <w:szCs w:val="16"/>
        </w:rPr>
        <w:t xml:space="preserve"> to take charge of the demand. In the second instance, the petitioner alleged that the possible </w:t>
      </w:r>
      <w:r>
        <w:rPr>
          <w:rFonts w:ascii="Cambria" w:hAnsi="Cambria"/>
          <w:sz w:val="16"/>
          <w:szCs w:val="16"/>
        </w:rPr>
        <w:t xml:space="preserve">defect </w:t>
      </w:r>
      <w:r w:rsidRPr="005F6F15">
        <w:rPr>
          <w:rFonts w:ascii="Cambria" w:hAnsi="Cambria"/>
          <w:sz w:val="16"/>
          <w:szCs w:val="16"/>
        </w:rPr>
        <w:t xml:space="preserve">caused by the lack of location to the SMP would be validated because the opposing party did not allege the </w:t>
      </w:r>
      <w:r>
        <w:rPr>
          <w:rFonts w:ascii="Cambria" w:hAnsi="Cambria"/>
          <w:sz w:val="16"/>
          <w:szCs w:val="16"/>
        </w:rPr>
        <w:t>defect</w:t>
      </w:r>
      <w:r w:rsidRPr="005F6F15">
        <w:rPr>
          <w:rFonts w:ascii="Cambria" w:hAnsi="Cambria"/>
          <w:sz w:val="16"/>
          <w:szCs w:val="16"/>
        </w:rPr>
        <w:t xml:space="preserve"> in a timely manner during the first instance.</w:t>
      </w:r>
    </w:p>
  </w:footnote>
  <w:footnote w:id="10">
    <w:p w14:paraId="3D49D134" w14:textId="77777777" w:rsidR="009F73FB" w:rsidRPr="005F6F15" w:rsidRDefault="009F73FB" w:rsidP="009F73FB">
      <w:pPr>
        <w:pStyle w:val="FootnoteText"/>
        <w:rPr>
          <w:rFonts w:ascii="Cambria" w:hAnsi="Cambria"/>
          <w:sz w:val="16"/>
          <w:szCs w:val="16"/>
        </w:rPr>
      </w:pPr>
      <w:r w:rsidRPr="005F6F15">
        <w:rPr>
          <w:rStyle w:val="FootnoteReference"/>
          <w:rFonts w:ascii="Cambria" w:hAnsi="Cambria"/>
          <w:sz w:val="16"/>
          <w:szCs w:val="16"/>
        </w:rPr>
        <w:footnoteRef/>
      </w:r>
      <w:r w:rsidRPr="005F6F15">
        <w:rPr>
          <w:rFonts w:ascii="Cambria" w:hAnsi="Cambria"/>
          <w:sz w:val="16"/>
          <w:szCs w:val="16"/>
        </w:rPr>
        <w:t xml:space="preserve"> In the appeal stage, the petitioner also alleged that the second instance decision had ignored the legal provisions for which the State was responsible for the damages caused by the administrative bodies, including the Ministry of Health and its dependents.</w:t>
      </w:r>
    </w:p>
  </w:footnote>
  <w:footnote w:id="11">
    <w:p w14:paraId="53EB9C85" w14:textId="77777777" w:rsidR="009F73FB" w:rsidRPr="005F6F15" w:rsidRDefault="009F73FB" w:rsidP="009F73FB">
      <w:pPr>
        <w:pStyle w:val="FootnoteText"/>
        <w:rPr>
          <w:rFonts w:ascii="Cambria" w:hAnsi="Cambria"/>
          <w:sz w:val="16"/>
          <w:szCs w:val="16"/>
        </w:rPr>
      </w:pPr>
      <w:r w:rsidRPr="005F6F15">
        <w:rPr>
          <w:rStyle w:val="FootnoteReference"/>
          <w:rFonts w:ascii="Cambria" w:hAnsi="Cambria"/>
          <w:sz w:val="16"/>
          <w:szCs w:val="16"/>
        </w:rPr>
        <w:footnoteRef/>
      </w:r>
      <w:r w:rsidRPr="005F6F15">
        <w:rPr>
          <w:rFonts w:ascii="Cambria" w:hAnsi="Cambria"/>
          <w:sz w:val="16"/>
          <w:szCs w:val="16"/>
        </w:rPr>
        <w:t xml:space="preserve"> See amongst other precedents IACHR, Report No. 142/17. </w:t>
      </w:r>
      <w:proofErr w:type="spellStart"/>
      <w:r w:rsidRPr="005F6F15">
        <w:rPr>
          <w:rFonts w:ascii="Cambria" w:hAnsi="Cambria"/>
          <w:sz w:val="16"/>
          <w:szCs w:val="16"/>
          <w:lang w:val="es-ES"/>
        </w:rPr>
        <w:t>Admissibility</w:t>
      </w:r>
      <w:proofErr w:type="spellEnd"/>
      <w:r w:rsidRPr="005F6F15">
        <w:rPr>
          <w:rFonts w:ascii="Cambria" w:hAnsi="Cambria"/>
          <w:sz w:val="16"/>
          <w:szCs w:val="16"/>
          <w:lang w:val="es-ES"/>
        </w:rPr>
        <w:t xml:space="preserve">, Esperanza Guadalupe </w:t>
      </w:r>
      <w:proofErr w:type="spellStart"/>
      <w:r w:rsidRPr="005F6F15">
        <w:rPr>
          <w:rFonts w:ascii="Cambria" w:hAnsi="Cambria"/>
          <w:sz w:val="16"/>
          <w:szCs w:val="16"/>
          <w:lang w:val="es-ES"/>
        </w:rPr>
        <w:t>Llori</w:t>
      </w:r>
      <w:proofErr w:type="spellEnd"/>
      <w:r w:rsidRPr="005F6F15">
        <w:rPr>
          <w:rFonts w:ascii="Cambria" w:hAnsi="Cambria"/>
          <w:sz w:val="16"/>
          <w:szCs w:val="16"/>
          <w:lang w:val="es-ES"/>
        </w:rPr>
        <w:t xml:space="preserve"> Abarca. </w:t>
      </w:r>
      <w:r w:rsidRPr="003368B9">
        <w:rPr>
          <w:rFonts w:ascii="Cambria" w:hAnsi="Cambria"/>
          <w:sz w:val="16"/>
          <w:szCs w:val="16"/>
          <w:lang w:val="es-PA"/>
        </w:rPr>
        <w:t xml:space="preserve">Ecuador. </w:t>
      </w:r>
      <w:r w:rsidRPr="005F6F15">
        <w:rPr>
          <w:rFonts w:ascii="Cambria" w:hAnsi="Cambria"/>
          <w:sz w:val="16"/>
          <w:szCs w:val="16"/>
        </w:rPr>
        <w:t>October 23, 2017,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54A0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A6B8" w14:textId="77777777" w:rsidR="00B272F5" w:rsidRDefault="00B27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6F4E11"/>
    <w:multiLevelType w:val="hybridMultilevel"/>
    <w:tmpl w:val="B54A5286"/>
    <w:lvl w:ilvl="0" w:tplc="BEDA6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3"/>
  </w:num>
  <w:num w:numId="93">
    <w:abstractNumId w:val="64"/>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0"/>
  </w:num>
  <w:num w:numId="107">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4237"/>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4162B1"/>
    <w:rsid w:val="004165C2"/>
    <w:rsid w:val="00450A4A"/>
    <w:rsid w:val="00454A03"/>
    <w:rsid w:val="004666FB"/>
    <w:rsid w:val="00466D0B"/>
    <w:rsid w:val="00467B7E"/>
    <w:rsid w:val="0049419D"/>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90D5D"/>
    <w:rsid w:val="006A17D2"/>
    <w:rsid w:val="006A73E6"/>
    <w:rsid w:val="006B2D5C"/>
    <w:rsid w:val="006C4EB1"/>
    <w:rsid w:val="006D4707"/>
    <w:rsid w:val="006E0166"/>
    <w:rsid w:val="006E7B34"/>
    <w:rsid w:val="00701B24"/>
    <w:rsid w:val="0071495F"/>
    <w:rsid w:val="00717DD9"/>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97E12"/>
    <w:rsid w:val="008C2425"/>
    <w:rsid w:val="008D43BA"/>
    <w:rsid w:val="008E3759"/>
    <w:rsid w:val="009041DC"/>
    <w:rsid w:val="009104B4"/>
    <w:rsid w:val="009228DA"/>
    <w:rsid w:val="00925FCD"/>
    <w:rsid w:val="0093441A"/>
    <w:rsid w:val="00954BF7"/>
    <w:rsid w:val="0096706E"/>
    <w:rsid w:val="00981FBA"/>
    <w:rsid w:val="009B381B"/>
    <w:rsid w:val="009D7611"/>
    <w:rsid w:val="009E53DE"/>
    <w:rsid w:val="009E566A"/>
    <w:rsid w:val="009F73FB"/>
    <w:rsid w:val="00A12DBC"/>
    <w:rsid w:val="00A43458"/>
    <w:rsid w:val="00A528D1"/>
    <w:rsid w:val="00A66BE5"/>
    <w:rsid w:val="00AD37C1"/>
    <w:rsid w:val="00AE66EC"/>
    <w:rsid w:val="00AE6F91"/>
    <w:rsid w:val="00AF5571"/>
    <w:rsid w:val="00B06BB7"/>
    <w:rsid w:val="00B167E9"/>
    <w:rsid w:val="00B179ED"/>
    <w:rsid w:val="00B272F5"/>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4108B1"/>
    <w:rsid w:val="00733948"/>
    <w:rsid w:val="00912A1F"/>
    <w:rsid w:val="009920DF"/>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AD38-0AA7-4D67-AC15-0A4C566C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11614</Characters>
  <Application>Microsoft Office Word</Application>
  <DocSecurity>0</DocSecurity>
  <Lines>247</Lines>
  <Paragraphs>78</Paragraphs>
  <ScaleCrop>false</ScaleCrop>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139/19</dc:title>
  <dc:creator/>
  <cp:lastModifiedBy/>
  <cp:revision>1</cp:revision>
  <dcterms:created xsi:type="dcterms:W3CDTF">2020-05-12T15:55:00Z</dcterms:created>
  <dcterms:modified xsi:type="dcterms:W3CDTF">2020-05-13T14:14:00Z</dcterms:modified>
</cp:coreProperties>
</file>