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07E6F" w:rsidRDefault="00D306D1" w:rsidP="00627C9F">
      <w:pPr>
        <w:jc w:val="both"/>
        <w:rPr>
          <w:rFonts w:asciiTheme="majorHAnsi" w:hAnsiTheme="majorHAnsi" w:cs="Univers"/>
          <w:b/>
          <w:bCs/>
          <w:sz w:val="22"/>
          <w:szCs w:val="22"/>
        </w:rPr>
      </w:pPr>
      <w:r w:rsidRPr="00707E6F">
        <w:rPr>
          <w:rFonts w:asciiTheme="majorHAnsi" w:hAnsiTheme="majorHAnsi"/>
          <w:noProof/>
          <w:sz w:val="22"/>
          <w:szCs w:val="22"/>
          <w:lang w:bidi="ar-SA"/>
        </w:rPr>
        <mc:AlternateContent>
          <mc:Choice Requires="wps">
            <w:drawing>
              <wp:anchor distT="0" distB="0" distL="114300" distR="114300" simplePos="0" relativeHeight="251661311" behindDoc="0" locked="0" layoutInCell="1" allowOverlap="1" wp14:anchorId="010EB71A" wp14:editId="2C930EF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E65D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Pr="00707E6F">
        <w:rPr>
          <w:rFonts w:asciiTheme="majorHAnsi" w:hAnsiTheme="majorHAnsi"/>
          <w:noProof/>
          <w:sz w:val="22"/>
          <w:szCs w:val="22"/>
          <w:lang w:bidi="ar-SA"/>
        </w:rPr>
        <mc:AlternateContent>
          <mc:Choice Requires="wps">
            <w:drawing>
              <wp:anchor distT="0" distB="0" distL="114300" distR="114300" simplePos="0" relativeHeight="251673600" behindDoc="0" locked="0" layoutInCell="1" allowOverlap="1" wp14:anchorId="20B26A71" wp14:editId="77AA45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4F7C25" w:rsidP="00AE5488">
                            <w:r>
                              <w:rPr>
                                <w:noProof/>
                                <w:lang w:bidi="ar-SA"/>
                              </w:rPr>
                              <w:drawing>
                                <wp:inline distT="0" distB="0" distL="0" distR="0" wp14:anchorId="53281A02" wp14:editId="447AA59A">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26A7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4F7C25" w:rsidP="00AE5488">
                      <w:r>
                        <w:rPr>
                          <w:noProof/>
                          <w:lang w:bidi="ar-SA"/>
                        </w:rPr>
                        <w:drawing>
                          <wp:inline distT="0" distB="0" distL="0" distR="0" wp14:anchorId="53281A02" wp14:editId="447AA59A">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040C3A" w:rsidRPr="00707E6F" w:rsidRDefault="00040C3A" w:rsidP="00040C3A">
      <w:pPr>
        <w:tabs>
          <w:tab w:val="center" w:pos="5400"/>
        </w:tabs>
        <w:suppressAutoHyphens/>
        <w:jc w:val="both"/>
        <w:rPr>
          <w:rFonts w:asciiTheme="majorHAnsi" w:hAnsiTheme="majorHAnsi"/>
          <w:sz w:val="22"/>
          <w:szCs w:val="22"/>
        </w:rPr>
      </w:pPr>
    </w:p>
    <w:p w:rsidR="00040C3A" w:rsidRPr="00707E6F" w:rsidRDefault="00040C3A" w:rsidP="00040C3A">
      <w:pPr>
        <w:tabs>
          <w:tab w:val="center" w:pos="5400"/>
        </w:tabs>
        <w:suppressAutoHyphens/>
        <w:jc w:val="both"/>
        <w:rPr>
          <w:rFonts w:asciiTheme="majorHAnsi" w:hAnsiTheme="majorHAnsi"/>
          <w:sz w:val="22"/>
          <w:szCs w:val="22"/>
        </w:rPr>
      </w:pPr>
    </w:p>
    <w:p w:rsidR="005128E4" w:rsidRPr="00707E6F" w:rsidRDefault="005128E4" w:rsidP="00040C3A">
      <w:pPr>
        <w:tabs>
          <w:tab w:val="center" w:pos="5400"/>
        </w:tabs>
        <w:suppressAutoHyphens/>
        <w:rPr>
          <w:rFonts w:asciiTheme="majorHAnsi" w:hAnsiTheme="majorHAnsi"/>
          <w:sz w:val="22"/>
          <w:szCs w:val="22"/>
        </w:rPr>
      </w:pPr>
    </w:p>
    <w:p w:rsidR="005128E4" w:rsidRPr="00707E6F" w:rsidRDefault="005128E4" w:rsidP="00040C3A">
      <w:pPr>
        <w:tabs>
          <w:tab w:val="center" w:pos="5400"/>
        </w:tabs>
        <w:suppressAutoHyphens/>
        <w:rPr>
          <w:rFonts w:asciiTheme="majorHAnsi" w:hAnsiTheme="majorHAnsi"/>
          <w:sz w:val="22"/>
          <w:szCs w:val="22"/>
        </w:rPr>
      </w:pPr>
    </w:p>
    <w:p w:rsidR="005128E4" w:rsidRPr="00707E6F" w:rsidRDefault="005128E4" w:rsidP="00040C3A">
      <w:pPr>
        <w:tabs>
          <w:tab w:val="center" w:pos="5400"/>
        </w:tabs>
        <w:suppressAutoHyphens/>
        <w:rPr>
          <w:rFonts w:asciiTheme="majorHAnsi" w:hAnsiTheme="majorHAnsi"/>
          <w:sz w:val="22"/>
          <w:szCs w:val="22"/>
        </w:rPr>
      </w:pPr>
    </w:p>
    <w:p w:rsidR="00040C3A" w:rsidRPr="00707E6F" w:rsidRDefault="00040C3A" w:rsidP="005128E4">
      <w:pPr>
        <w:tabs>
          <w:tab w:val="center" w:pos="5400"/>
        </w:tabs>
        <w:suppressAutoHyphens/>
        <w:jc w:val="center"/>
        <w:rPr>
          <w:rFonts w:asciiTheme="majorHAnsi" w:hAnsiTheme="majorHAnsi"/>
          <w:sz w:val="22"/>
          <w:szCs w:val="22"/>
        </w:rPr>
      </w:pPr>
    </w:p>
    <w:p w:rsidR="00040C3A" w:rsidRPr="00707E6F" w:rsidRDefault="00040C3A" w:rsidP="005128E4">
      <w:pPr>
        <w:tabs>
          <w:tab w:val="center" w:pos="5400"/>
        </w:tabs>
        <w:suppressAutoHyphens/>
        <w:jc w:val="center"/>
        <w:rPr>
          <w:rFonts w:asciiTheme="majorHAnsi" w:hAnsiTheme="majorHAnsi"/>
          <w:sz w:val="22"/>
          <w:szCs w:val="22"/>
        </w:rPr>
      </w:pPr>
    </w:p>
    <w:p w:rsidR="005B52B0" w:rsidRPr="00707E6F" w:rsidRDefault="005B52B0" w:rsidP="005128E4">
      <w:pPr>
        <w:tabs>
          <w:tab w:val="center" w:pos="5400"/>
        </w:tabs>
        <w:suppressAutoHyphens/>
        <w:jc w:val="center"/>
        <w:rPr>
          <w:rFonts w:asciiTheme="majorHAnsi" w:hAnsiTheme="majorHAnsi"/>
          <w:sz w:val="22"/>
          <w:szCs w:val="22"/>
        </w:rPr>
      </w:pPr>
    </w:p>
    <w:p w:rsidR="005B52B0" w:rsidRPr="00707E6F" w:rsidRDefault="005B52B0" w:rsidP="005128E4">
      <w:pPr>
        <w:tabs>
          <w:tab w:val="center" w:pos="5400"/>
        </w:tabs>
        <w:suppressAutoHyphens/>
        <w:jc w:val="center"/>
        <w:rPr>
          <w:rFonts w:asciiTheme="majorHAnsi" w:hAnsiTheme="majorHAnsi"/>
          <w:sz w:val="22"/>
          <w:szCs w:val="22"/>
        </w:rPr>
      </w:pPr>
    </w:p>
    <w:p w:rsidR="005B52B0" w:rsidRPr="00707E6F" w:rsidRDefault="005B52B0" w:rsidP="005128E4">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040C3A" w:rsidRPr="00707E6F" w:rsidRDefault="003D3BC2" w:rsidP="00040C3A">
      <w:pPr>
        <w:tabs>
          <w:tab w:val="center" w:pos="5400"/>
        </w:tabs>
        <w:suppressAutoHyphens/>
        <w:jc w:val="center"/>
        <w:rPr>
          <w:rFonts w:asciiTheme="majorHAnsi" w:hAnsiTheme="majorHAnsi"/>
          <w:sz w:val="22"/>
          <w:szCs w:val="22"/>
        </w:rPr>
      </w:pPr>
      <w:r w:rsidRPr="00707E6F">
        <w:rPr>
          <w:rFonts w:asciiTheme="majorHAnsi" w:hAnsiTheme="majorHAnsi"/>
          <w:noProof/>
          <w:sz w:val="22"/>
          <w:szCs w:val="22"/>
          <w:lang w:bidi="ar-SA"/>
        </w:rPr>
        <mc:AlternateContent>
          <mc:Choice Requires="wps">
            <w:drawing>
              <wp:anchor distT="0" distB="0" distL="114300" distR="114300" simplePos="0" relativeHeight="251669504" behindDoc="0" locked="0" layoutInCell="1" allowOverlap="1" wp14:anchorId="5A3A57BF" wp14:editId="0B451AA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7665A8" w:rsidRDefault="005F6F4A"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w:t>
                            </w:r>
                            <w:r w:rsidR="00DA2224">
                              <w:rPr>
                                <w:rFonts w:asciiTheme="majorHAnsi" w:hAnsiTheme="majorHAnsi"/>
                                <w:b/>
                                <w:color w:val="0D0D0D" w:themeColor="text1" w:themeTint="F2"/>
                                <w:sz w:val="36"/>
                              </w:rPr>
                              <w:t xml:space="preserve">. </w:t>
                            </w:r>
                            <w:r>
                              <w:rPr>
                                <w:rFonts w:asciiTheme="majorHAnsi" w:hAnsiTheme="majorHAnsi"/>
                                <w:b/>
                                <w:color w:val="0D0D0D" w:themeColor="text1" w:themeTint="F2"/>
                                <w:sz w:val="36"/>
                              </w:rPr>
                              <w:t>228</w:t>
                            </w:r>
                            <w:r w:rsidR="00DA2224">
                              <w:rPr>
                                <w:rFonts w:asciiTheme="majorHAnsi" w:hAnsiTheme="majorHAnsi"/>
                                <w:b/>
                                <w:color w:val="0D0D0D" w:themeColor="text1" w:themeTint="F2"/>
                                <w:sz w:val="36"/>
                              </w:rPr>
                              <w:t>/19</w:t>
                            </w:r>
                          </w:p>
                          <w:p w:rsidR="007B05C4" w:rsidRPr="00DA2224" w:rsidRDefault="00DA2224"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1056-10 </w:t>
                            </w:r>
                          </w:p>
                          <w:p w:rsidR="00CD046C" w:rsidRPr="00DA2224" w:rsidRDefault="00DA2224"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rsidR="008F1912" w:rsidRPr="00DA2224" w:rsidRDefault="008F1912" w:rsidP="00997BC5">
                            <w:pPr>
                              <w:spacing w:line="276" w:lineRule="auto"/>
                              <w:rPr>
                                <w:rFonts w:asciiTheme="majorHAnsi" w:hAnsiTheme="majorHAnsi" w:cs="Arial"/>
                                <w:color w:val="0D0D0D" w:themeColor="text1" w:themeTint="F2"/>
                                <w:szCs w:val="22"/>
                              </w:rPr>
                            </w:pPr>
                            <w:bookmarkStart w:id="0" w:name="_ftnref1"/>
                          </w:p>
                          <w:bookmarkEnd w:id="0"/>
                          <w:p w:rsidR="00970AF2" w:rsidRPr="008C4263" w:rsidRDefault="00970AF2" w:rsidP="00997BC5">
                            <w:pPr>
                              <w:spacing w:line="276" w:lineRule="auto"/>
                              <w:rPr>
                                <w:rFonts w:asciiTheme="majorHAnsi" w:hAnsiTheme="majorHAnsi" w:cs="Arial"/>
                                <w:color w:val="0D0D0D" w:themeColor="text1" w:themeTint="F2"/>
                                <w:szCs w:val="22"/>
                                <w:lang w:val="pt-BR"/>
                              </w:rPr>
                            </w:pPr>
                            <w:r w:rsidRPr="008C4263">
                              <w:rPr>
                                <w:rFonts w:asciiTheme="majorHAnsi" w:hAnsiTheme="majorHAnsi"/>
                                <w:color w:val="0D0D0D" w:themeColor="text1" w:themeTint="F2"/>
                                <w:lang w:val="pt-BR"/>
                              </w:rPr>
                              <w:t xml:space="preserve">BRIGIDO IBANHES AND ELISANGELA DOS SANTOS DE SOUZA IBANHES </w:t>
                            </w:r>
                          </w:p>
                          <w:p w:rsidR="005B52B0" w:rsidRPr="007665A8" w:rsidRDefault="006A20E7"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BRAZIL</w:t>
                            </w:r>
                          </w:p>
                          <w:p w:rsidR="005B52B0" w:rsidRPr="007665A8"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57B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7665A8" w:rsidRDefault="005F6F4A"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w:t>
                      </w:r>
                      <w:r w:rsidR="00DA2224">
                        <w:rPr>
                          <w:rFonts w:asciiTheme="majorHAnsi" w:hAnsiTheme="majorHAnsi"/>
                          <w:b/>
                          <w:color w:val="0D0D0D" w:themeColor="text1" w:themeTint="F2"/>
                          <w:sz w:val="36"/>
                        </w:rPr>
                        <w:t xml:space="preserve">. </w:t>
                      </w:r>
                      <w:r>
                        <w:rPr>
                          <w:rFonts w:asciiTheme="majorHAnsi" w:hAnsiTheme="majorHAnsi"/>
                          <w:b/>
                          <w:color w:val="0D0D0D" w:themeColor="text1" w:themeTint="F2"/>
                          <w:sz w:val="36"/>
                        </w:rPr>
                        <w:t>228</w:t>
                      </w:r>
                      <w:r w:rsidR="00DA2224">
                        <w:rPr>
                          <w:rFonts w:asciiTheme="majorHAnsi" w:hAnsiTheme="majorHAnsi"/>
                          <w:b/>
                          <w:color w:val="0D0D0D" w:themeColor="text1" w:themeTint="F2"/>
                          <w:sz w:val="36"/>
                        </w:rPr>
                        <w:t>/19</w:t>
                      </w:r>
                    </w:p>
                    <w:p w:rsidR="007B05C4" w:rsidRPr="00DA2224" w:rsidRDefault="00DA2224"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1056-10 </w:t>
                      </w:r>
                    </w:p>
                    <w:p w:rsidR="00CD046C" w:rsidRPr="00DA2224" w:rsidRDefault="00DA2224"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rsidR="008F1912" w:rsidRPr="00DA2224" w:rsidRDefault="008F1912" w:rsidP="00997BC5">
                      <w:pPr>
                        <w:spacing w:line="276" w:lineRule="auto"/>
                        <w:rPr>
                          <w:rFonts w:asciiTheme="majorHAnsi" w:hAnsiTheme="majorHAnsi" w:cs="Arial"/>
                          <w:color w:val="0D0D0D" w:themeColor="text1" w:themeTint="F2"/>
                          <w:szCs w:val="22"/>
                        </w:rPr>
                      </w:pPr>
                      <w:bookmarkStart w:id="1" w:name="_ftnref1"/>
                    </w:p>
                    <w:bookmarkEnd w:id="1"/>
                    <w:p w:rsidR="00970AF2" w:rsidRPr="008C4263" w:rsidRDefault="00970AF2" w:rsidP="00997BC5">
                      <w:pPr>
                        <w:spacing w:line="276" w:lineRule="auto"/>
                        <w:rPr>
                          <w:rFonts w:asciiTheme="majorHAnsi" w:hAnsiTheme="majorHAnsi" w:cs="Arial"/>
                          <w:color w:val="0D0D0D" w:themeColor="text1" w:themeTint="F2"/>
                          <w:szCs w:val="22"/>
                          <w:lang w:val="pt-BR"/>
                        </w:rPr>
                      </w:pPr>
                      <w:r w:rsidRPr="008C4263">
                        <w:rPr>
                          <w:rFonts w:asciiTheme="majorHAnsi" w:hAnsiTheme="majorHAnsi"/>
                          <w:color w:val="0D0D0D" w:themeColor="text1" w:themeTint="F2"/>
                          <w:lang w:val="pt-BR"/>
                        </w:rPr>
                        <w:t xml:space="preserve">BRIGIDO IBANHES AND ELISANGELA DOS SANTOS DE SOUZA IBANHES </w:t>
                      </w:r>
                    </w:p>
                    <w:p w:rsidR="005B52B0" w:rsidRPr="007665A8" w:rsidRDefault="006A20E7"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BRAZIL</w:t>
                      </w:r>
                    </w:p>
                    <w:p w:rsidR="005B52B0" w:rsidRPr="007665A8" w:rsidRDefault="005B52B0" w:rsidP="007A5817">
                      <w:pPr>
                        <w:rPr>
                          <w:color w:val="0D0D0D" w:themeColor="text1" w:themeTint="F2"/>
                        </w:rPr>
                      </w:pPr>
                    </w:p>
                  </w:txbxContent>
                </v:textbox>
              </v:shape>
            </w:pict>
          </mc:Fallback>
        </mc:AlternateContent>
      </w:r>
      <w:r w:rsidRPr="00707E6F">
        <w:rPr>
          <w:rFonts w:asciiTheme="majorHAnsi" w:hAnsiTheme="majorHAnsi"/>
          <w:noProof/>
          <w:sz w:val="22"/>
          <w:szCs w:val="22"/>
          <w:lang w:bidi="ar-SA"/>
        </w:rPr>
        <mc:AlternateContent>
          <mc:Choice Requires="wps">
            <w:drawing>
              <wp:anchor distT="0" distB="0" distL="114300" distR="114300" simplePos="0" relativeHeight="251671552" behindDoc="0" locked="0" layoutInCell="1" allowOverlap="1" wp14:anchorId="751CFB9E" wp14:editId="73EDD30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F7C25" w:rsidRDefault="00834D49" w:rsidP="007A5817">
                            <w:pPr>
                              <w:spacing w:line="276" w:lineRule="auto"/>
                              <w:jc w:val="right"/>
                              <w:rPr>
                                <w:rFonts w:asciiTheme="minorHAnsi" w:hAnsiTheme="minorHAnsi"/>
                                <w:color w:val="FFFFFF" w:themeColor="background1"/>
                                <w:sz w:val="22"/>
                                <w:lang w:val="pt-BR"/>
                              </w:rPr>
                            </w:pPr>
                            <w:r w:rsidRPr="004F7C25">
                              <w:rPr>
                                <w:rFonts w:asciiTheme="minorHAnsi" w:hAnsiTheme="minorHAnsi"/>
                                <w:color w:val="FFFFFF" w:themeColor="background1"/>
                                <w:sz w:val="22"/>
                                <w:lang w:val="pt-BR"/>
                              </w:rPr>
                              <w:t>OEA/Ser.L/V/II.</w:t>
                            </w:r>
                          </w:p>
                          <w:p w:rsidR="00627C9F" w:rsidRPr="004F7C25" w:rsidRDefault="00627C9F" w:rsidP="007A5817">
                            <w:pPr>
                              <w:spacing w:line="276" w:lineRule="auto"/>
                              <w:jc w:val="right"/>
                              <w:rPr>
                                <w:rFonts w:asciiTheme="minorHAnsi" w:hAnsiTheme="minorHAnsi"/>
                                <w:color w:val="FFFFFF" w:themeColor="background1"/>
                                <w:sz w:val="22"/>
                                <w:lang w:val="pt-BR"/>
                              </w:rPr>
                            </w:pPr>
                            <w:r w:rsidRPr="004F7C25">
                              <w:rPr>
                                <w:rFonts w:asciiTheme="minorHAnsi" w:hAnsiTheme="minorHAnsi"/>
                                <w:color w:val="FFFFFF" w:themeColor="background1"/>
                                <w:sz w:val="22"/>
                                <w:lang w:val="pt-BR"/>
                              </w:rPr>
                              <w:t xml:space="preserve">Doc. </w:t>
                            </w:r>
                            <w:r w:rsidR="005F6F4A">
                              <w:rPr>
                                <w:rFonts w:asciiTheme="minorHAnsi" w:hAnsiTheme="minorHAnsi"/>
                                <w:color w:val="FFFFFF" w:themeColor="background1"/>
                                <w:sz w:val="22"/>
                                <w:lang w:val="pt-BR"/>
                              </w:rPr>
                              <w:t>255</w:t>
                            </w:r>
                          </w:p>
                          <w:p w:rsidR="00627C9F" w:rsidRPr="004F7C25" w:rsidRDefault="005F6F4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December</w:t>
                            </w:r>
                            <w:r w:rsidR="00C60254">
                              <w:rPr>
                                <w:rFonts w:asciiTheme="minorHAnsi" w:hAnsiTheme="minorHAnsi"/>
                                <w:color w:val="FFFFFF" w:themeColor="background1"/>
                                <w:sz w:val="22"/>
                              </w:rPr>
                              <w:t xml:space="preserve"> </w:t>
                            </w:r>
                            <w:bookmarkStart w:id="2" w:name="_GoBack"/>
                            <w:bookmarkEnd w:id="2"/>
                            <w:r w:rsidR="00627C9F" w:rsidRPr="004F7C25">
                              <w:rPr>
                                <w:rFonts w:asciiTheme="minorHAnsi" w:hAnsiTheme="minorHAnsi"/>
                                <w:color w:val="FFFFFF" w:themeColor="background1"/>
                                <w:sz w:val="22"/>
                              </w:rPr>
                              <w:t>2019</w:t>
                            </w:r>
                          </w:p>
                          <w:p w:rsidR="00627C9F" w:rsidRPr="004F7C25" w:rsidRDefault="00E0340B" w:rsidP="007A5817">
                            <w:pPr>
                              <w:spacing w:line="276" w:lineRule="auto"/>
                              <w:jc w:val="right"/>
                              <w:rPr>
                                <w:rFonts w:asciiTheme="minorHAnsi" w:hAnsiTheme="minorHAnsi"/>
                                <w:color w:val="FFFFFF" w:themeColor="background1"/>
                                <w:sz w:val="22"/>
                              </w:rPr>
                            </w:pPr>
                            <w:r w:rsidRPr="004F7C25">
                              <w:rPr>
                                <w:rFonts w:asciiTheme="minorHAnsi" w:hAnsiTheme="minorHAnsi"/>
                                <w:color w:val="FFFFFF" w:themeColor="background1"/>
                                <w:sz w:val="22"/>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FB9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F7C25" w:rsidRDefault="00834D49" w:rsidP="007A5817">
                      <w:pPr>
                        <w:spacing w:line="276" w:lineRule="auto"/>
                        <w:jc w:val="right"/>
                        <w:rPr>
                          <w:rFonts w:asciiTheme="minorHAnsi" w:hAnsiTheme="minorHAnsi"/>
                          <w:color w:val="FFFFFF" w:themeColor="background1"/>
                          <w:sz w:val="22"/>
                          <w:lang w:val="pt-BR"/>
                        </w:rPr>
                      </w:pPr>
                      <w:r w:rsidRPr="004F7C25">
                        <w:rPr>
                          <w:rFonts w:asciiTheme="minorHAnsi" w:hAnsiTheme="minorHAnsi"/>
                          <w:color w:val="FFFFFF" w:themeColor="background1"/>
                          <w:sz w:val="22"/>
                          <w:lang w:val="pt-BR"/>
                        </w:rPr>
                        <w:t>OEA/Ser.L/V/II.</w:t>
                      </w:r>
                    </w:p>
                    <w:p w:rsidR="00627C9F" w:rsidRPr="004F7C25" w:rsidRDefault="00627C9F" w:rsidP="007A5817">
                      <w:pPr>
                        <w:spacing w:line="276" w:lineRule="auto"/>
                        <w:jc w:val="right"/>
                        <w:rPr>
                          <w:rFonts w:asciiTheme="minorHAnsi" w:hAnsiTheme="minorHAnsi"/>
                          <w:color w:val="FFFFFF" w:themeColor="background1"/>
                          <w:sz w:val="22"/>
                          <w:lang w:val="pt-BR"/>
                        </w:rPr>
                      </w:pPr>
                      <w:r w:rsidRPr="004F7C25">
                        <w:rPr>
                          <w:rFonts w:asciiTheme="minorHAnsi" w:hAnsiTheme="minorHAnsi"/>
                          <w:color w:val="FFFFFF" w:themeColor="background1"/>
                          <w:sz w:val="22"/>
                          <w:lang w:val="pt-BR"/>
                        </w:rPr>
                        <w:t xml:space="preserve">Doc. </w:t>
                      </w:r>
                      <w:r w:rsidR="005F6F4A">
                        <w:rPr>
                          <w:rFonts w:asciiTheme="minorHAnsi" w:hAnsiTheme="minorHAnsi"/>
                          <w:color w:val="FFFFFF" w:themeColor="background1"/>
                          <w:sz w:val="22"/>
                          <w:lang w:val="pt-BR"/>
                        </w:rPr>
                        <w:t>255</w:t>
                      </w:r>
                    </w:p>
                    <w:p w:rsidR="00627C9F" w:rsidRPr="004F7C25" w:rsidRDefault="005F6F4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December</w:t>
                      </w:r>
                      <w:r w:rsidR="00C60254">
                        <w:rPr>
                          <w:rFonts w:asciiTheme="minorHAnsi" w:hAnsiTheme="minorHAnsi"/>
                          <w:color w:val="FFFFFF" w:themeColor="background1"/>
                          <w:sz w:val="22"/>
                        </w:rPr>
                        <w:t xml:space="preserve"> </w:t>
                      </w:r>
                      <w:bookmarkStart w:id="3" w:name="_GoBack"/>
                      <w:bookmarkEnd w:id="3"/>
                      <w:r w:rsidR="00627C9F" w:rsidRPr="004F7C25">
                        <w:rPr>
                          <w:rFonts w:asciiTheme="minorHAnsi" w:hAnsiTheme="minorHAnsi"/>
                          <w:color w:val="FFFFFF" w:themeColor="background1"/>
                          <w:sz w:val="22"/>
                        </w:rPr>
                        <w:t>2019</w:t>
                      </w:r>
                    </w:p>
                    <w:p w:rsidR="00627C9F" w:rsidRPr="004F7C25" w:rsidRDefault="00E0340B" w:rsidP="007A5817">
                      <w:pPr>
                        <w:spacing w:line="276" w:lineRule="auto"/>
                        <w:jc w:val="right"/>
                        <w:rPr>
                          <w:rFonts w:asciiTheme="minorHAnsi" w:hAnsiTheme="minorHAnsi"/>
                          <w:color w:val="FFFFFF" w:themeColor="background1"/>
                          <w:sz w:val="22"/>
                        </w:rPr>
                      </w:pPr>
                      <w:r w:rsidRPr="004F7C25">
                        <w:rPr>
                          <w:rFonts w:asciiTheme="minorHAnsi" w:hAnsiTheme="minorHAnsi"/>
                          <w:color w:val="FFFFFF" w:themeColor="background1"/>
                          <w:sz w:val="22"/>
                        </w:rPr>
                        <w:t>Original:  Portuguese</w:t>
                      </w:r>
                    </w:p>
                  </w:txbxContent>
                </v:textbox>
              </v:shape>
            </w:pict>
          </mc:Fallback>
        </mc:AlternateContent>
      </w:r>
    </w:p>
    <w:p w:rsidR="00040C3A" w:rsidRPr="00707E6F" w:rsidRDefault="00040C3A" w:rsidP="00040C3A">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cs="Arial"/>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5128E4" w:rsidRPr="00707E6F" w:rsidRDefault="005128E4" w:rsidP="00040C3A">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5128E4" w:rsidRPr="00707E6F" w:rsidRDefault="005128E4" w:rsidP="00040C3A">
      <w:pPr>
        <w:tabs>
          <w:tab w:val="center" w:pos="5400"/>
        </w:tabs>
        <w:suppressAutoHyphens/>
        <w:jc w:val="center"/>
        <w:rPr>
          <w:rFonts w:asciiTheme="majorHAnsi" w:hAnsiTheme="majorHAnsi"/>
          <w:sz w:val="22"/>
          <w:szCs w:val="22"/>
        </w:rPr>
      </w:pPr>
    </w:p>
    <w:p w:rsidR="005128E4" w:rsidRPr="00707E6F" w:rsidRDefault="005128E4" w:rsidP="00040C3A">
      <w:pPr>
        <w:tabs>
          <w:tab w:val="center" w:pos="5400"/>
        </w:tabs>
        <w:suppressAutoHyphens/>
        <w:jc w:val="center"/>
        <w:rPr>
          <w:rFonts w:asciiTheme="majorHAnsi" w:hAnsiTheme="majorHAnsi"/>
          <w:sz w:val="22"/>
          <w:szCs w:val="22"/>
        </w:rPr>
      </w:pPr>
    </w:p>
    <w:p w:rsidR="005128E4" w:rsidRPr="00707E6F" w:rsidRDefault="005128E4" w:rsidP="00040C3A">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040C3A" w:rsidRPr="00707E6F" w:rsidRDefault="00040C3A" w:rsidP="00040C3A">
      <w:pPr>
        <w:tabs>
          <w:tab w:val="center" w:pos="5400"/>
        </w:tabs>
        <w:suppressAutoHyphens/>
        <w:jc w:val="center"/>
        <w:rPr>
          <w:rFonts w:asciiTheme="majorHAnsi" w:hAnsiTheme="majorHAnsi"/>
          <w:sz w:val="22"/>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90270B" w:rsidP="00040C3A">
      <w:pPr>
        <w:tabs>
          <w:tab w:val="center" w:pos="5400"/>
        </w:tabs>
        <w:suppressAutoHyphens/>
        <w:jc w:val="center"/>
        <w:rPr>
          <w:rFonts w:asciiTheme="majorHAnsi" w:hAnsiTheme="majorHAnsi"/>
          <w:sz w:val="18"/>
          <w:szCs w:val="22"/>
        </w:rPr>
      </w:pPr>
      <w:r w:rsidRPr="00707E6F">
        <w:rPr>
          <w:rFonts w:asciiTheme="majorHAnsi" w:hAnsiTheme="majorHAnsi"/>
          <w:noProof/>
          <w:sz w:val="22"/>
          <w:szCs w:val="22"/>
          <w:lang w:bidi="ar-SA"/>
        </w:rPr>
        <mc:AlternateContent>
          <mc:Choice Requires="wps">
            <w:drawing>
              <wp:anchor distT="0" distB="0" distL="114300" distR="114300" simplePos="0" relativeHeight="251670528" behindDoc="0" locked="0" layoutInCell="1" allowOverlap="1" wp14:anchorId="05C4E240" wp14:editId="6D2861B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5F6F4A">
                              <w:rPr>
                                <w:rFonts w:asciiTheme="majorHAnsi" w:hAnsiTheme="majorHAnsi"/>
                                <w:color w:val="0D0D0D" w:themeColor="text1" w:themeTint="F2"/>
                                <w:sz w:val="18"/>
                              </w:rPr>
                              <w:t>December 31</w:t>
                            </w:r>
                            <w:r>
                              <w:rPr>
                                <w:rFonts w:asciiTheme="majorHAnsi" w:hAnsiTheme="majorHAnsi"/>
                                <w:color w:val="0D0D0D" w:themeColor="text1" w:themeTint="F2"/>
                                <w:sz w:val="18"/>
                              </w:rPr>
                              <w:t>, 2019</w:t>
                            </w:r>
                          </w:p>
                          <w:p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rPr>
                            </w:pPr>
                          </w:p>
                          <w:p w:rsidR="005B52B0" w:rsidRPr="0038709A"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E24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5F6F4A">
                        <w:rPr>
                          <w:rFonts w:asciiTheme="majorHAnsi" w:hAnsiTheme="majorHAnsi"/>
                          <w:color w:val="0D0D0D" w:themeColor="text1" w:themeTint="F2"/>
                          <w:sz w:val="18"/>
                        </w:rPr>
                        <w:t>December 31</w:t>
                      </w:r>
                      <w:r>
                        <w:rPr>
                          <w:rFonts w:asciiTheme="majorHAnsi" w:hAnsiTheme="majorHAnsi"/>
                          <w:color w:val="0D0D0D" w:themeColor="text1" w:themeTint="F2"/>
                          <w:sz w:val="18"/>
                        </w:rPr>
                        <w:t>, 2019</w:t>
                      </w:r>
                    </w:p>
                    <w:p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rPr>
                      </w:pPr>
                    </w:p>
                    <w:p w:rsidR="005B52B0" w:rsidRPr="0038709A"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A50FCF" w:rsidP="00040C3A">
      <w:pPr>
        <w:tabs>
          <w:tab w:val="center" w:pos="5400"/>
        </w:tabs>
        <w:suppressAutoHyphens/>
        <w:jc w:val="center"/>
        <w:rPr>
          <w:rFonts w:asciiTheme="majorHAnsi" w:hAnsiTheme="majorHAnsi"/>
          <w:sz w:val="18"/>
          <w:szCs w:val="22"/>
        </w:rPr>
      </w:pPr>
    </w:p>
    <w:p w:rsidR="00A50FCF" w:rsidRPr="00707E6F" w:rsidRDefault="0090270B" w:rsidP="00040C3A">
      <w:pPr>
        <w:tabs>
          <w:tab w:val="center" w:pos="5400"/>
        </w:tabs>
        <w:suppressAutoHyphens/>
        <w:jc w:val="center"/>
        <w:rPr>
          <w:rFonts w:asciiTheme="majorHAnsi" w:hAnsiTheme="majorHAnsi"/>
          <w:sz w:val="18"/>
          <w:szCs w:val="22"/>
        </w:rPr>
      </w:pPr>
      <w:r w:rsidRPr="00707E6F">
        <w:rPr>
          <w:rFonts w:asciiTheme="majorHAnsi" w:hAnsiTheme="majorHAnsi"/>
          <w:noProof/>
          <w:sz w:val="18"/>
          <w:szCs w:val="22"/>
          <w:lang w:bidi="ar-SA"/>
        </w:rPr>
        <mc:AlternateContent>
          <mc:Choice Requires="wps">
            <w:drawing>
              <wp:anchor distT="0" distB="0" distL="114300" distR="114300" simplePos="0" relativeHeight="251678720" behindDoc="0" locked="0" layoutInCell="1" allowOverlap="1" wp14:anchorId="413A0A6A" wp14:editId="6AAE694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38709A"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5F6F4A">
                              <w:rPr>
                                <w:rFonts w:asciiTheme="majorHAnsi" w:hAnsiTheme="majorHAnsi"/>
                                <w:color w:val="595959" w:themeColor="text1" w:themeTint="A6"/>
                                <w:sz w:val="18"/>
                              </w:rPr>
                              <w:t xml:space="preserve">228/19, </w:t>
                            </w:r>
                            <w:r w:rsidRPr="00FF56D3">
                              <w:rPr>
                                <w:rFonts w:asciiTheme="majorHAnsi" w:hAnsiTheme="majorHAnsi"/>
                                <w:color w:val="595959" w:themeColor="text1" w:themeTint="A6"/>
                                <w:sz w:val="18"/>
                              </w:rPr>
                              <w:t xml:space="preserve">Petition 1056-10 Admissibility. </w:t>
                            </w:r>
                            <w:r w:rsidRPr="008C4263">
                              <w:rPr>
                                <w:rFonts w:asciiTheme="majorHAnsi" w:hAnsiTheme="majorHAnsi"/>
                                <w:color w:val="595959" w:themeColor="text1" w:themeTint="A6"/>
                                <w:sz w:val="18"/>
                                <w:lang w:val="pt-BR"/>
                              </w:rPr>
                              <w:t xml:space="preserve">Brígido Ibanhes and Elisangela dos Santos de Souza Ibanhes. </w:t>
                            </w:r>
                            <w:r w:rsidRPr="00FF56D3">
                              <w:rPr>
                                <w:rFonts w:asciiTheme="majorHAnsi" w:hAnsiTheme="majorHAnsi"/>
                                <w:color w:val="595959" w:themeColor="text1" w:themeTint="A6"/>
                                <w:sz w:val="18"/>
                                <w:lang w:val="pt-BR"/>
                              </w:rPr>
                              <w:t xml:space="preserve">Brazil. </w:t>
                            </w:r>
                            <w:r w:rsidR="005F6F4A">
                              <w:rPr>
                                <w:rFonts w:asciiTheme="majorHAnsi" w:hAnsiTheme="majorHAnsi"/>
                                <w:color w:val="595959" w:themeColor="text1" w:themeTint="A6"/>
                                <w:sz w:val="18"/>
                              </w:rPr>
                              <w:t>December 31,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A0A6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38709A"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5F6F4A">
                        <w:rPr>
                          <w:rFonts w:asciiTheme="majorHAnsi" w:hAnsiTheme="majorHAnsi"/>
                          <w:color w:val="595959" w:themeColor="text1" w:themeTint="A6"/>
                          <w:sz w:val="18"/>
                        </w:rPr>
                        <w:t xml:space="preserve">228/19, </w:t>
                      </w:r>
                      <w:r w:rsidRPr="00FF56D3">
                        <w:rPr>
                          <w:rFonts w:asciiTheme="majorHAnsi" w:hAnsiTheme="majorHAnsi"/>
                          <w:color w:val="595959" w:themeColor="text1" w:themeTint="A6"/>
                          <w:sz w:val="18"/>
                        </w:rPr>
                        <w:t xml:space="preserve">Petition 1056-10 Admissibility. </w:t>
                      </w:r>
                      <w:r w:rsidRPr="008C4263">
                        <w:rPr>
                          <w:rFonts w:asciiTheme="majorHAnsi" w:hAnsiTheme="majorHAnsi"/>
                          <w:color w:val="595959" w:themeColor="text1" w:themeTint="A6"/>
                          <w:sz w:val="18"/>
                          <w:lang w:val="pt-BR"/>
                        </w:rPr>
                        <w:t xml:space="preserve">Brígido Ibanhes and Elisangela dos Santos de Souza Ibanhes. </w:t>
                      </w:r>
                      <w:r w:rsidRPr="00FF56D3">
                        <w:rPr>
                          <w:rFonts w:asciiTheme="majorHAnsi" w:hAnsiTheme="majorHAnsi"/>
                          <w:color w:val="595959" w:themeColor="text1" w:themeTint="A6"/>
                          <w:sz w:val="18"/>
                          <w:lang w:val="pt-BR"/>
                        </w:rPr>
                        <w:t xml:space="preserve">Brazil. </w:t>
                      </w:r>
                      <w:r w:rsidR="005F6F4A">
                        <w:rPr>
                          <w:rFonts w:asciiTheme="majorHAnsi" w:hAnsiTheme="majorHAnsi"/>
                          <w:color w:val="595959" w:themeColor="text1" w:themeTint="A6"/>
                          <w:sz w:val="18"/>
                        </w:rPr>
                        <w:t>December 31, 2019.</w:t>
                      </w:r>
                    </w:p>
                  </w:txbxContent>
                </v:textbox>
              </v:shape>
            </w:pict>
          </mc:Fallback>
        </mc:AlternateContent>
      </w:r>
    </w:p>
    <w:p w:rsidR="00A50FCF" w:rsidRPr="00707E6F" w:rsidRDefault="00A50FCF" w:rsidP="00040C3A">
      <w:pPr>
        <w:tabs>
          <w:tab w:val="center" w:pos="5400"/>
        </w:tabs>
        <w:suppressAutoHyphens/>
        <w:jc w:val="center"/>
        <w:rPr>
          <w:rFonts w:asciiTheme="majorHAnsi" w:hAnsiTheme="majorHAnsi"/>
          <w:sz w:val="18"/>
          <w:szCs w:val="22"/>
        </w:rPr>
      </w:pPr>
    </w:p>
    <w:p w:rsidR="0090270B" w:rsidRPr="00707E6F" w:rsidRDefault="00D306D1" w:rsidP="005516A1">
      <w:pPr>
        <w:tabs>
          <w:tab w:val="center" w:pos="5400"/>
        </w:tabs>
        <w:suppressAutoHyphens/>
        <w:jc w:val="center"/>
        <w:rPr>
          <w:rFonts w:asciiTheme="majorHAnsi" w:hAnsiTheme="majorHAnsi"/>
          <w:b/>
          <w:sz w:val="20"/>
        </w:rPr>
      </w:pPr>
      <w:r w:rsidRPr="00707E6F">
        <w:rPr>
          <w:rFonts w:asciiTheme="majorHAnsi" w:hAnsiTheme="majorHAnsi"/>
          <w:noProof/>
          <w:sz w:val="18"/>
          <w:szCs w:val="22"/>
          <w:lang w:bidi="ar-SA"/>
        </w:rPr>
        <mc:AlternateContent>
          <mc:Choice Requires="wps">
            <w:drawing>
              <wp:anchor distT="0" distB="0" distL="114300" distR="114300" simplePos="0" relativeHeight="251680768" behindDoc="0" locked="0" layoutInCell="1" allowOverlap="1" wp14:anchorId="4009FB1F" wp14:editId="59F3B9C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Pr>
                                <w:noProof/>
                                <w:color w:val="FFFFFF" w:themeColor="background1"/>
                                <w:lang w:bidi="ar-SA"/>
                                <w14:textFill>
                                  <w14:noFill/>
                                </w14:textFill>
                              </w:rPr>
                              <w:drawing>
                                <wp:inline distT="0" distB="0" distL="0" distR="0" wp14:anchorId="50EEBA2C" wp14:editId="716907A4">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FB1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Pr>
                          <w:noProof/>
                          <w:color w:val="FFFFFF" w:themeColor="background1"/>
                          <w:lang w:bidi="ar-SA"/>
                          <w14:textFill>
                            <w14:noFill/>
                          </w14:textFill>
                        </w:rPr>
                        <w:drawing>
                          <wp:inline distT="0" distB="0" distL="0" distR="0" wp14:anchorId="50EEBA2C" wp14:editId="716907A4">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707E6F">
        <w:rPr>
          <w:rFonts w:asciiTheme="majorHAnsi" w:hAnsiTheme="majorHAnsi"/>
          <w:noProof/>
          <w:sz w:val="22"/>
          <w:szCs w:val="22"/>
          <w:lang w:bidi="ar-SA"/>
        </w:rPr>
        <mc:AlternateContent>
          <mc:Choice Requires="wps">
            <w:drawing>
              <wp:anchor distT="0" distB="0" distL="114300" distR="114300" simplePos="0" relativeHeight="251682816" behindDoc="0" locked="0" layoutInCell="1" allowOverlap="1" wp14:anchorId="762B58F0" wp14:editId="77FFF8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F7C25" w:rsidRDefault="00D306D1" w:rsidP="00D306D1">
                            <w:pPr>
                              <w:jc w:val="center"/>
                              <w:rPr>
                                <w:rFonts w:asciiTheme="minorHAnsi" w:hAnsiTheme="minorHAnsi"/>
                                <w:b/>
                                <w:color w:val="FFFFFF" w:themeColor="background1"/>
                              </w:rPr>
                            </w:pPr>
                            <w:r w:rsidRPr="004F7C25">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58F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F7C25" w:rsidRDefault="00D306D1" w:rsidP="00D306D1">
                      <w:pPr>
                        <w:jc w:val="center"/>
                        <w:rPr>
                          <w:rFonts w:asciiTheme="minorHAnsi" w:hAnsiTheme="minorHAnsi"/>
                          <w:b/>
                          <w:color w:val="FFFFFF" w:themeColor="background1"/>
                        </w:rPr>
                      </w:pPr>
                      <w:r w:rsidRPr="004F7C25">
                        <w:rPr>
                          <w:rFonts w:asciiTheme="minorHAnsi" w:hAnsiTheme="minorHAnsi"/>
                          <w:b/>
                          <w:color w:val="FFFFFF" w:themeColor="background1"/>
                        </w:rPr>
                        <w:t>www.cidh.org</w:t>
                      </w:r>
                    </w:p>
                  </w:txbxContent>
                </v:textbox>
              </v:shape>
            </w:pict>
          </mc:Fallback>
        </mc:AlternateContent>
      </w:r>
    </w:p>
    <w:p w:rsidR="0070697F" w:rsidRPr="00707E6F" w:rsidRDefault="004A6A54" w:rsidP="005516A1">
      <w:pPr>
        <w:tabs>
          <w:tab w:val="center" w:pos="5400"/>
        </w:tabs>
        <w:suppressAutoHyphens/>
        <w:jc w:val="center"/>
        <w:rPr>
          <w:rFonts w:asciiTheme="majorHAnsi" w:hAnsiTheme="majorHAnsi"/>
          <w:b/>
          <w:sz w:val="20"/>
        </w:rPr>
        <w:sectPr w:rsidR="0070697F" w:rsidRPr="00707E6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07E6F">
        <w:tab/>
      </w:r>
    </w:p>
    <w:p w:rsidR="003239B8" w:rsidRPr="00707E6F" w:rsidRDefault="00A37F2E" w:rsidP="004A6A54">
      <w:pPr>
        <w:spacing w:after="240"/>
        <w:ind w:firstLine="720"/>
        <w:jc w:val="both"/>
        <w:rPr>
          <w:rFonts w:asciiTheme="majorHAnsi" w:hAnsiTheme="majorHAnsi"/>
          <w:b/>
          <w:bCs/>
          <w:sz w:val="20"/>
          <w:szCs w:val="20"/>
        </w:rPr>
      </w:pPr>
      <w:r w:rsidRPr="00707E6F">
        <w:rPr>
          <w:rFonts w:asciiTheme="majorHAnsi" w:hAnsiTheme="majorHAnsi"/>
          <w:b/>
          <w:sz w:val="20"/>
        </w:rPr>
        <w:lastRenderedPageBreak/>
        <w:t>I.</w:t>
      </w:r>
      <w:r w:rsidRPr="00707E6F">
        <w:tab/>
      </w:r>
      <w:r w:rsidRPr="00707E6F">
        <w:rPr>
          <w:rFonts w:asciiTheme="majorHAnsi" w:hAnsiTheme="majorHAnsi"/>
          <w:b/>
          <w:sz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87149" w:rsidTr="004F7C25">
        <w:tc>
          <w:tcPr>
            <w:tcW w:w="3600" w:type="dxa"/>
            <w:tcBorders>
              <w:top w:val="single" w:sz="4" w:space="0" w:color="auto"/>
              <w:bottom w:val="single" w:sz="6" w:space="0" w:color="auto"/>
            </w:tcBorders>
            <w:shd w:val="clear" w:color="auto" w:fill="67AE3C"/>
            <w:vAlign w:val="center"/>
          </w:tcPr>
          <w:p w:rsidR="003239B8" w:rsidRPr="00707E6F" w:rsidRDefault="00A37F2E" w:rsidP="00AC1BC8">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Petitioners:</w:t>
            </w:r>
          </w:p>
        </w:tc>
        <w:tc>
          <w:tcPr>
            <w:tcW w:w="5760" w:type="dxa"/>
            <w:vAlign w:val="center"/>
          </w:tcPr>
          <w:p w:rsidR="003239B8" w:rsidRPr="00707E6F" w:rsidRDefault="0012544E" w:rsidP="00AC1BC8">
            <w:pPr>
              <w:jc w:val="both"/>
              <w:rPr>
                <w:rFonts w:asciiTheme="majorHAnsi" w:hAnsiTheme="majorHAnsi"/>
                <w:bCs/>
                <w:sz w:val="20"/>
                <w:szCs w:val="20"/>
                <w:lang w:val="pt-BR"/>
              </w:rPr>
            </w:pPr>
            <w:r w:rsidRPr="00707E6F">
              <w:rPr>
                <w:rFonts w:asciiTheme="majorHAnsi" w:hAnsiTheme="majorHAnsi"/>
                <w:sz w:val="20"/>
                <w:lang w:val="pt-BR"/>
              </w:rPr>
              <w:t>Brígido Ibanhes and Elisangela dos Santos de Souza Ibanhes.</w:t>
            </w:r>
          </w:p>
        </w:tc>
      </w:tr>
      <w:tr w:rsidR="003239B8" w:rsidRPr="00A87149" w:rsidTr="004F7C25">
        <w:tc>
          <w:tcPr>
            <w:tcW w:w="3600" w:type="dxa"/>
            <w:tcBorders>
              <w:top w:val="single" w:sz="6" w:space="0" w:color="auto"/>
              <w:bottom w:val="single" w:sz="6" w:space="0" w:color="auto"/>
            </w:tcBorders>
            <w:shd w:val="clear" w:color="auto" w:fill="67AE3C"/>
            <w:vAlign w:val="center"/>
          </w:tcPr>
          <w:p w:rsidR="003239B8" w:rsidRPr="00707E6F" w:rsidRDefault="00A37F2E" w:rsidP="00AC1BC8">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Alleged victims:</w:t>
            </w:r>
          </w:p>
        </w:tc>
        <w:tc>
          <w:tcPr>
            <w:tcW w:w="5760" w:type="dxa"/>
            <w:vAlign w:val="center"/>
          </w:tcPr>
          <w:p w:rsidR="003239B8" w:rsidRPr="00707E6F" w:rsidRDefault="0012544E" w:rsidP="00AC1BC8">
            <w:pPr>
              <w:jc w:val="both"/>
              <w:rPr>
                <w:rFonts w:asciiTheme="majorHAnsi" w:hAnsiTheme="majorHAnsi"/>
                <w:bCs/>
                <w:sz w:val="20"/>
                <w:szCs w:val="20"/>
                <w:lang w:val="pt-BR"/>
              </w:rPr>
            </w:pPr>
            <w:r w:rsidRPr="00707E6F">
              <w:rPr>
                <w:rFonts w:asciiTheme="majorHAnsi" w:hAnsiTheme="majorHAnsi"/>
                <w:sz w:val="20"/>
                <w:lang w:val="pt-BR"/>
              </w:rPr>
              <w:t>Brígido Ibanhes and Elisangela dos Santos de Souza Ibanhes.</w:t>
            </w:r>
          </w:p>
        </w:tc>
      </w:tr>
      <w:tr w:rsidR="003239B8" w:rsidRPr="00707E6F" w:rsidTr="004F7C25">
        <w:tc>
          <w:tcPr>
            <w:tcW w:w="3600" w:type="dxa"/>
            <w:tcBorders>
              <w:top w:val="single" w:sz="6" w:space="0" w:color="auto"/>
              <w:bottom w:val="single" w:sz="6" w:space="0" w:color="auto"/>
            </w:tcBorders>
            <w:shd w:val="clear" w:color="auto" w:fill="67AE3C"/>
            <w:vAlign w:val="center"/>
          </w:tcPr>
          <w:p w:rsidR="003239B8" w:rsidRPr="00707E6F" w:rsidRDefault="003239B8" w:rsidP="00AC1BC8">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State denounced:</w:t>
            </w:r>
          </w:p>
        </w:tc>
        <w:tc>
          <w:tcPr>
            <w:tcW w:w="5760" w:type="dxa"/>
            <w:vAlign w:val="center"/>
          </w:tcPr>
          <w:p w:rsidR="003239B8" w:rsidRPr="00707E6F" w:rsidRDefault="006A20E7" w:rsidP="00AC1BC8">
            <w:pPr>
              <w:jc w:val="both"/>
              <w:rPr>
                <w:rFonts w:asciiTheme="majorHAnsi" w:hAnsiTheme="majorHAnsi"/>
                <w:bCs/>
                <w:sz w:val="20"/>
                <w:szCs w:val="20"/>
              </w:rPr>
            </w:pPr>
            <w:r w:rsidRPr="00707E6F">
              <w:rPr>
                <w:rFonts w:asciiTheme="majorHAnsi" w:hAnsiTheme="majorHAnsi"/>
                <w:sz w:val="20"/>
              </w:rPr>
              <w:t>Brazil</w:t>
            </w:r>
            <w:r w:rsidRPr="00707E6F">
              <w:rPr>
                <w:rStyle w:val="FootnoteReference"/>
                <w:rFonts w:asciiTheme="majorHAnsi" w:hAnsiTheme="majorHAnsi"/>
                <w:sz w:val="20"/>
              </w:rPr>
              <w:footnoteReference w:id="2"/>
            </w:r>
          </w:p>
        </w:tc>
      </w:tr>
      <w:tr w:rsidR="00223A29" w:rsidRPr="00707E6F" w:rsidTr="004F7C25">
        <w:tc>
          <w:tcPr>
            <w:tcW w:w="3600" w:type="dxa"/>
            <w:tcBorders>
              <w:top w:val="single" w:sz="6" w:space="0" w:color="auto"/>
              <w:bottom w:val="single" w:sz="6" w:space="0" w:color="auto"/>
            </w:tcBorders>
            <w:shd w:val="clear" w:color="auto" w:fill="67AE3C"/>
            <w:vAlign w:val="center"/>
          </w:tcPr>
          <w:p w:rsidR="00223A29" w:rsidRPr="00707E6F" w:rsidRDefault="001B3A00" w:rsidP="007665A8">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Rights invoked:</w:t>
            </w:r>
          </w:p>
        </w:tc>
        <w:tc>
          <w:tcPr>
            <w:tcW w:w="5760" w:type="dxa"/>
            <w:vAlign w:val="center"/>
          </w:tcPr>
          <w:p w:rsidR="00223A29" w:rsidRPr="00707E6F" w:rsidRDefault="00F243F1" w:rsidP="00E65A1D">
            <w:pPr>
              <w:jc w:val="both"/>
              <w:rPr>
                <w:rFonts w:asciiTheme="majorHAnsi" w:hAnsiTheme="majorHAnsi"/>
                <w:bCs/>
                <w:sz w:val="20"/>
                <w:szCs w:val="20"/>
              </w:rPr>
            </w:pPr>
            <w:r w:rsidRPr="00707E6F">
              <w:rPr>
                <w:rFonts w:asciiTheme="majorHAnsi" w:hAnsiTheme="majorHAnsi"/>
                <w:sz w:val="20"/>
              </w:rPr>
              <w:t>Unspecified</w:t>
            </w:r>
            <w:r w:rsidRPr="00707E6F">
              <w:rPr>
                <w:rStyle w:val="FootnoteReference"/>
                <w:rFonts w:asciiTheme="majorHAnsi" w:hAnsiTheme="majorHAnsi"/>
                <w:sz w:val="20"/>
              </w:rPr>
              <w:footnoteReference w:id="3"/>
            </w:r>
          </w:p>
        </w:tc>
      </w:tr>
    </w:tbl>
    <w:p w:rsidR="003239B8" w:rsidRPr="00707E6F" w:rsidRDefault="00A37F2E" w:rsidP="003239B8">
      <w:pPr>
        <w:spacing w:before="240" w:after="240"/>
        <w:ind w:firstLine="720"/>
        <w:jc w:val="both"/>
        <w:rPr>
          <w:rFonts w:asciiTheme="majorHAnsi" w:hAnsiTheme="majorHAnsi"/>
          <w:b/>
          <w:bCs/>
          <w:sz w:val="20"/>
          <w:szCs w:val="20"/>
        </w:rPr>
      </w:pPr>
      <w:r w:rsidRPr="00707E6F">
        <w:rPr>
          <w:rFonts w:asciiTheme="majorHAnsi" w:hAnsiTheme="majorHAnsi"/>
          <w:b/>
          <w:sz w:val="20"/>
        </w:rPr>
        <w:t>II</w:t>
      </w:r>
      <w:r w:rsidRPr="00707E6F">
        <w:tab/>
      </w:r>
      <w:r w:rsidRPr="00707E6F">
        <w:rPr>
          <w:rFonts w:asciiTheme="majorHAnsi" w:hAnsiTheme="majorHAnsi"/>
          <w:b/>
          <w:sz w:val="20"/>
        </w:rPr>
        <w:t>PROCEDURE BEFORE THE IACHR</w:t>
      </w:r>
      <w:r w:rsidRPr="00707E6F">
        <w:rPr>
          <w:rStyle w:val="FootnoteReference"/>
          <w:rFonts w:asciiTheme="majorHAnsi" w:hAnsiTheme="majorHAnsi"/>
          <w:b/>
          <w:sz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07E6F" w:rsidTr="004F7C25">
        <w:tc>
          <w:tcPr>
            <w:tcW w:w="3600" w:type="dxa"/>
            <w:tcBorders>
              <w:top w:val="single" w:sz="6" w:space="0" w:color="auto"/>
              <w:bottom w:val="single" w:sz="6" w:space="0" w:color="auto"/>
            </w:tcBorders>
            <w:shd w:val="clear" w:color="auto" w:fill="67AE3C"/>
            <w:vAlign w:val="center"/>
          </w:tcPr>
          <w:p w:rsidR="004C2312" w:rsidRPr="00707E6F" w:rsidRDefault="00A37F2E" w:rsidP="004A6A54">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Filing of the petition:</w:t>
            </w:r>
          </w:p>
        </w:tc>
        <w:tc>
          <w:tcPr>
            <w:tcW w:w="5760" w:type="dxa"/>
            <w:vAlign w:val="center"/>
          </w:tcPr>
          <w:p w:rsidR="004C2312" w:rsidRPr="00707E6F" w:rsidRDefault="00590307" w:rsidP="00AC1BC8">
            <w:pPr>
              <w:jc w:val="both"/>
              <w:rPr>
                <w:rFonts w:asciiTheme="majorHAnsi" w:hAnsiTheme="majorHAnsi"/>
                <w:bCs/>
                <w:sz w:val="20"/>
                <w:szCs w:val="20"/>
              </w:rPr>
            </w:pPr>
            <w:r w:rsidRPr="00707E6F">
              <w:rPr>
                <w:rFonts w:asciiTheme="majorHAnsi" w:hAnsiTheme="majorHAnsi"/>
                <w:sz w:val="20"/>
              </w:rPr>
              <w:t>July 22, 2010</w:t>
            </w:r>
          </w:p>
        </w:tc>
      </w:tr>
      <w:tr w:rsidR="001E49E7" w:rsidRPr="00707E6F" w:rsidTr="004F7C25">
        <w:tc>
          <w:tcPr>
            <w:tcW w:w="3600" w:type="dxa"/>
            <w:tcBorders>
              <w:top w:val="single" w:sz="6" w:space="0" w:color="auto"/>
              <w:bottom w:val="single" w:sz="6" w:space="0" w:color="auto"/>
            </w:tcBorders>
            <w:shd w:val="clear" w:color="auto" w:fill="67AE3C"/>
            <w:vAlign w:val="center"/>
          </w:tcPr>
          <w:p w:rsidR="001E49E7" w:rsidRPr="00707E6F" w:rsidRDefault="00A37F2E" w:rsidP="001E49E7">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Additional information received at the initial review stage:</w:t>
            </w:r>
          </w:p>
        </w:tc>
        <w:tc>
          <w:tcPr>
            <w:tcW w:w="5760" w:type="dxa"/>
            <w:vAlign w:val="center"/>
          </w:tcPr>
          <w:p w:rsidR="001E49E7" w:rsidRPr="00707E6F" w:rsidRDefault="00E55C56" w:rsidP="0043697D">
            <w:pPr>
              <w:jc w:val="both"/>
              <w:rPr>
                <w:rFonts w:asciiTheme="majorHAnsi" w:hAnsiTheme="majorHAnsi"/>
                <w:bCs/>
                <w:color w:val="FFFFFF" w:themeColor="background1"/>
                <w:sz w:val="20"/>
                <w:szCs w:val="20"/>
              </w:rPr>
            </w:pPr>
            <w:r w:rsidRPr="00707E6F">
              <w:rPr>
                <w:rFonts w:asciiTheme="majorHAnsi" w:hAnsiTheme="majorHAnsi"/>
                <w:sz w:val="20"/>
              </w:rPr>
              <w:t>November 29, 2010; October 11, 2011; December 4, 2012; October 25, 2013.</w:t>
            </w:r>
          </w:p>
        </w:tc>
      </w:tr>
      <w:tr w:rsidR="004C2312" w:rsidRPr="00707E6F" w:rsidTr="004F7C25">
        <w:tc>
          <w:tcPr>
            <w:tcW w:w="3600" w:type="dxa"/>
            <w:tcBorders>
              <w:top w:val="single" w:sz="6" w:space="0" w:color="auto"/>
              <w:bottom w:val="single" w:sz="6" w:space="0" w:color="auto"/>
            </w:tcBorders>
            <w:shd w:val="clear" w:color="auto" w:fill="67AE3C"/>
            <w:vAlign w:val="center"/>
          </w:tcPr>
          <w:p w:rsidR="004C2312" w:rsidRPr="00707E6F" w:rsidRDefault="004A6A54" w:rsidP="00A37F2E">
            <w:pPr>
              <w:jc w:val="center"/>
              <w:rPr>
                <w:rFonts w:asciiTheme="majorHAnsi" w:hAnsiTheme="majorHAnsi"/>
                <w:b/>
                <w:color w:val="FFFFFF" w:themeColor="background1"/>
                <w:sz w:val="20"/>
                <w:szCs w:val="20"/>
              </w:rPr>
            </w:pPr>
            <w:r w:rsidRPr="00707E6F">
              <w:rPr>
                <w:rFonts w:asciiTheme="majorHAnsi" w:hAnsiTheme="majorHAnsi"/>
                <w:b/>
                <w:color w:val="FFFFFF" w:themeColor="background1"/>
                <w:sz w:val="20"/>
              </w:rPr>
              <w:t>Notification of the petition to the State:</w:t>
            </w:r>
          </w:p>
        </w:tc>
        <w:tc>
          <w:tcPr>
            <w:tcW w:w="5760" w:type="dxa"/>
            <w:vAlign w:val="center"/>
          </w:tcPr>
          <w:p w:rsidR="004C2312" w:rsidRPr="00707E6F" w:rsidRDefault="00590307" w:rsidP="00AC1BC8">
            <w:pPr>
              <w:jc w:val="both"/>
              <w:rPr>
                <w:rFonts w:asciiTheme="majorHAnsi" w:hAnsiTheme="majorHAnsi"/>
                <w:bCs/>
                <w:sz w:val="20"/>
                <w:szCs w:val="20"/>
              </w:rPr>
            </w:pPr>
            <w:r w:rsidRPr="00707E6F">
              <w:rPr>
                <w:rFonts w:asciiTheme="majorHAnsi" w:hAnsiTheme="majorHAnsi"/>
                <w:sz w:val="20"/>
              </w:rPr>
              <w:t>March 2, 2015</w:t>
            </w:r>
          </w:p>
        </w:tc>
      </w:tr>
      <w:tr w:rsidR="004C2312" w:rsidRPr="00707E6F" w:rsidTr="004F7C25">
        <w:tc>
          <w:tcPr>
            <w:tcW w:w="3600" w:type="dxa"/>
            <w:tcBorders>
              <w:top w:val="single" w:sz="6" w:space="0" w:color="auto"/>
              <w:bottom w:val="single" w:sz="6" w:space="0" w:color="auto"/>
            </w:tcBorders>
            <w:shd w:val="clear" w:color="auto" w:fill="67AE3C"/>
            <w:vAlign w:val="center"/>
          </w:tcPr>
          <w:p w:rsidR="004C2312" w:rsidRPr="00707E6F" w:rsidRDefault="004A6A54" w:rsidP="004A6A54">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State's first response:</w:t>
            </w:r>
          </w:p>
        </w:tc>
        <w:tc>
          <w:tcPr>
            <w:tcW w:w="5760" w:type="dxa"/>
            <w:vAlign w:val="center"/>
          </w:tcPr>
          <w:p w:rsidR="004C2312" w:rsidRPr="00707E6F" w:rsidRDefault="00E75C59" w:rsidP="00AC1BC8">
            <w:pPr>
              <w:jc w:val="both"/>
              <w:rPr>
                <w:rFonts w:asciiTheme="majorHAnsi" w:hAnsiTheme="majorHAnsi"/>
                <w:bCs/>
                <w:sz w:val="20"/>
                <w:szCs w:val="20"/>
              </w:rPr>
            </w:pPr>
            <w:r w:rsidRPr="00707E6F">
              <w:rPr>
                <w:rFonts w:asciiTheme="majorHAnsi" w:hAnsiTheme="majorHAnsi"/>
                <w:sz w:val="20"/>
              </w:rPr>
              <w:t>July 22, 2015</w:t>
            </w:r>
          </w:p>
        </w:tc>
      </w:tr>
      <w:tr w:rsidR="004C2312" w:rsidRPr="00707E6F" w:rsidTr="004F7C25">
        <w:tc>
          <w:tcPr>
            <w:tcW w:w="3600" w:type="dxa"/>
            <w:tcBorders>
              <w:top w:val="single" w:sz="6" w:space="0" w:color="auto"/>
              <w:bottom w:val="single" w:sz="6" w:space="0" w:color="auto"/>
            </w:tcBorders>
            <w:shd w:val="clear" w:color="auto" w:fill="67AE3C"/>
            <w:vAlign w:val="center"/>
          </w:tcPr>
          <w:p w:rsidR="004C2312" w:rsidRPr="00707E6F" w:rsidRDefault="00A37F2E" w:rsidP="008E3BFE">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Additional observations from the petitioners:</w:t>
            </w:r>
          </w:p>
        </w:tc>
        <w:tc>
          <w:tcPr>
            <w:tcW w:w="5760" w:type="dxa"/>
            <w:vAlign w:val="center"/>
          </w:tcPr>
          <w:p w:rsidR="004C2312" w:rsidRPr="00707E6F" w:rsidRDefault="0043697D" w:rsidP="008C4263">
            <w:pPr>
              <w:jc w:val="both"/>
              <w:rPr>
                <w:rFonts w:asciiTheme="majorHAnsi" w:hAnsiTheme="majorHAnsi"/>
                <w:bCs/>
                <w:sz w:val="20"/>
                <w:szCs w:val="20"/>
              </w:rPr>
            </w:pPr>
            <w:r w:rsidRPr="00707E6F">
              <w:rPr>
                <w:rFonts w:asciiTheme="majorHAnsi" w:hAnsiTheme="majorHAnsi"/>
                <w:sz w:val="20"/>
              </w:rPr>
              <w:t>September 14, 2015; January 6 and 18, March 25 and 29, April 4, 2016; January 17, 2019</w:t>
            </w:r>
            <w:r w:rsidR="008C4263" w:rsidRPr="00707E6F">
              <w:rPr>
                <w:rFonts w:asciiTheme="majorHAnsi" w:hAnsiTheme="majorHAnsi"/>
                <w:sz w:val="20"/>
              </w:rPr>
              <w:t>; December 8, 2019</w:t>
            </w:r>
          </w:p>
        </w:tc>
      </w:tr>
      <w:tr w:rsidR="004C2312" w:rsidRPr="00707E6F" w:rsidTr="004F7C25">
        <w:tc>
          <w:tcPr>
            <w:tcW w:w="3600" w:type="dxa"/>
            <w:tcBorders>
              <w:top w:val="single" w:sz="6" w:space="0" w:color="auto"/>
              <w:bottom w:val="single" w:sz="6" w:space="0" w:color="auto"/>
            </w:tcBorders>
            <w:shd w:val="clear" w:color="auto" w:fill="67AE3C"/>
            <w:vAlign w:val="center"/>
          </w:tcPr>
          <w:p w:rsidR="004C2312" w:rsidRPr="00707E6F" w:rsidRDefault="00A37F2E" w:rsidP="008E3BFE">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Additional observations from the State:</w:t>
            </w:r>
          </w:p>
        </w:tc>
        <w:tc>
          <w:tcPr>
            <w:tcW w:w="5760" w:type="dxa"/>
            <w:vAlign w:val="center"/>
          </w:tcPr>
          <w:p w:rsidR="004C2312" w:rsidRPr="00707E6F" w:rsidRDefault="00F243F1" w:rsidP="00AC1BC8">
            <w:pPr>
              <w:jc w:val="both"/>
              <w:rPr>
                <w:rFonts w:asciiTheme="majorHAnsi" w:hAnsiTheme="majorHAnsi"/>
                <w:bCs/>
                <w:sz w:val="20"/>
                <w:szCs w:val="20"/>
              </w:rPr>
            </w:pPr>
            <w:r w:rsidRPr="00707E6F">
              <w:rPr>
                <w:rFonts w:asciiTheme="majorHAnsi" w:hAnsiTheme="majorHAnsi"/>
                <w:sz w:val="20"/>
              </w:rPr>
              <w:t>July 2, 2018</w:t>
            </w:r>
          </w:p>
        </w:tc>
      </w:tr>
    </w:tbl>
    <w:p w:rsidR="003239B8" w:rsidRPr="00707E6F" w:rsidRDefault="00D358AF" w:rsidP="003239B8">
      <w:pPr>
        <w:spacing w:before="240" w:after="240"/>
        <w:ind w:firstLine="720"/>
        <w:jc w:val="both"/>
        <w:rPr>
          <w:rFonts w:asciiTheme="majorHAnsi" w:hAnsiTheme="majorHAnsi"/>
          <w:b/>
          <w:bCs/>
          <w:sz w:val="20"/>
          <w:szCs w:val="20"/>
        </w:rPr>
      </w:pPr>
      <w:r w:rsidRPr="00707E6F">
        <w:rPr>
          <w:rFonts w:asciiTheme="majorHAnsi" w:hAnsiTheme="majorHAnsi"/>
          <w:b/>
          <w:sz w:val="20"/>
        </w:rPr>
        <w:t xml:space="preserve">III. </w:t>
      </w:r>
      <w:r w:rsidRPr="00707E6F">
        <w:tab/>
      </w:r>
      <w:r w:rsidRPr="00707E6F">
        <w:rPr>
          <w:rFonts w:asciiTheme="majorHAnsi" w:hAnsiTheme="majorHAnsi"/>
          <w:b/>
          <w:sz w:val="20"/>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07E6F" w:rsidTr="004F7C25">
        <w:trPr>
          <w:cantSplit/>
        </w:trPr>
        <w:tc>
          <w:tcPr>
            <w:tcW w:w="3600" w:type="dxa"/>
            <w:tcBorders>
              <w:top w:val="single" w:sz="4" w:space="0" w:color="auto"/>
              <w:bottom w:val="single" w:sz="6" w:space="0" w:color="auto"/>
            </w:tcBorders>
            <w:shd w:val="clear" w:color="auto" w:fill="67AE3C"/>
            <w:vAlign w:val="center"/>
          </w:tcPr>
          <w:p w:rsidR="003239B8" w:rsidRPr="00707E6F" w:rsidRDefault="00D21316" w:rsidP="00AC1BC8">
            <w:pPr>
              <w:jc w:val="center"/>
              <w:rPr>
                <w:rFonts w:asciiTheme="majorHAnsi" w:hAnsiTheme="majorHAnsi"/>
                <w:b/>
                <w:bCs/>
                <w:i/>
                <w:color w:val="FFFFFF" w:themeColor="background1"/>
                <w:sz w:val="20"/>
                <w:szCs w:val="20"/>
              </w:rPr>
            </w:pPr>
            <w:r w:rsidRPr="00707E6F">
              <w:rPr>
                <w:rFonts w:asciiTheme="majorHAnsi" w:hAnsiTheme="majorHAnsi"/>
                <w:b/>
                <w:color w:val="FFFFFF" w:themeColor="background1"/>
                <w:sz w:val="20"/>
              </w:rPr>
              <w:t>Competence</w:t>
            </w:r>
            <w:r w:rsidRPr="00707E6F">
              <w:rPr>
                <w:rFonts w:asciiTheme="majorHAnsi" w:hAnsiTheme="majorHAnsi"/>
                <w:b/>
                <w:i/>
                <w:color w:val="FFFFFF" w:themeColor="background1"/>
                <w:sz w:val="20"/>
              </w:rPr>
              <w:t xml:space="preserve"> Ratione personae:</w:t>
            </w:r>
          </w:p>
        </w:tc>
        <w:tc>
          <w:tcPr>
            <w:tcW w:w="5760" w:type="dxa"/>
            <w:vAlign w:val="center"/>
          </w:tcPr>
          <w:p w:rsidR="003239B8" w:rsidRPr="00707E6F" w:rsidRDefault="00F243F1" w:rsidP="00AC1BC8">
            <w:pPr>
              <w:rPr>
                <w:rFonts w:asciiTheme="majorHAnsi" w:hAnsiTheme="majorHAnsi"/>
                <w:bCs/>
                <w:sz w:val="20"/>
                <w:szCs w:val="20"/>
              </w:rPr>
            </w:pPr>
            <w:r w:rsidRPr="00707E6F">
              <w:rPr>
                <w:rFonts w:asciiTheme="majorHAnsi" w:hAnsiTheme="majorHAnsi"/>
                <w:sz w:val="20"/>
              </w:rPr>
              <w:t>Yes</w:t>
            </w:r>
          </w:p>
        </w:tc>
      </w:tr>
      <w:tr w:rsidR="003239B8" w:rsidRPr="00707E6F" w:rsidTr="004F7C25">
        <w:trPr>
          <w:cantSplit/>
        </w:trPr>
        <w:tc>
          <w:tcPr>
            <w:tcW w:w="3600" w:type="dxa"/>
            <w:tcBorders>
              <w:top w:val="single" w:sz="6" w:space="0" w:color="auto"/>
              <w:bottom w:val="single" w:sz="6" w:space="0" w:color="auto"/>
            </w:tcBorders>
            <w:shd w:val="clear" w:color="auto" w:fill="67AE3C"/>
            <w:vAlign w:val="center"/>
          </w:tcPr>
          <w:p w:rsidR="003239B8" w:rsidRPr="00707E6F" w:rsidRDefault="00D21316" w:rsidP="00AC1BC8">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Competence</w:t>
            </w:r>
            <w:r w:rsidRPr="00707E6F">
              <w:rPr>
                <w:rFonts w:asciiTheme="majorHAnsi" w:hAnsiTheme="majorHAnsi"/>
                <w:b/>
                <w:i/>
                <w:color w:val="FFFFFF" w:themeColor="background1"/>
                <w:sz w:val="20"/>
              </w:rPr>
              <w:t xml:space="preserve"> Ratione loci</w:t>
            </w:r>
            <w:r w:rsidRPr="00707E6F">
              <w:rPr>
                <w:rFonts w:asciiTheme="majorHAnsi" w:hAnsiTheme="majorHAnsi"/>
                <w:b/>
                <w:color w:val="FFFFFF" w:themeColor="background1"/>
                <w:sz w:val="20"/>
              </w:rPr>
              <w:t>:</w:t>
            </w:r>
          </w:p>
        </w:tc>
        <w:tc>
          <w:tcPr>
            <w:tcW w:w="5760" w:type="dxa"/>
            <w:vAlign w:val="center"/>
          </w:tcPr>
          <w:p w:rsidR="003239B8" w:rsidRPr="00707E6F" w:rsidRDefault="00F243F1" w:rsidP="00AC1BC8">
            <w:pPr>
              <w:rPr>
                <w:rFonts w:asciiTheme="majorHAnsi" w:hAnsiTheme="majorHAnsi"/>
                <w:bCs/>
                <w:sz w:val="20"/>
                <w:szCs w:val="20"/>
              </w:rPr>
            </w:pPr>
            <w:r w:rsidRPr="00707E6F">
              <w:rPr>
                <w:rFonts w:asciiTheme="majorHAnsi" w:hAnsiTheme="majorHAnsi"/>
                <w:sz w:val="20"/>
              </w:rPr>
              <w:t>Yes</w:t>
            </w:r>
          </w:p>
        </w:tc>
      </w:tr>
      <w:tr w:rsidR="003239B8" w:rsidRPr="00707E6F" w:rsidTr="004F7C25">
        <w:trPr>
          <w:cantSplit/>
        </w:trPr>
        <w:tc>
          <w:tcPr>
            <w:tcW w:w="3600" w:type="dxa"/>
            <w:tcBorders>
              <w:top w:val="single" w:sz="6" w:space="0" w:color="auto"/>
              <w:bottom w:val="single" w:sz="6" w:space="0" w:color="auto"/>
            </w:tcBorders>
            <w:shd w:val="clear" w:color="auto" w:fill="67AE3C"/>
            <w:vAlign w:val="center"/>
          </w:tcPr>
          <w:p w:rsidR="003239B8" w:rsidRPr="00707E6F" w:rsidRDefault="00D21316" w:rsidP="00AC1BC8">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Competence</w:t>
            </w:r>
            <w:r w:rsidRPr="00707E6F">
              <w:rPr>
                <w:rFonts w:asciiTheme="majorHAnsi" w:hAnsiTheme="majorHAnsi"/>
                <w:b/>
                <w:i/>
                <w:color w:val="FFFFFF" w:themeColor="background1"/>
                <w:sz w:val="20"/>
              </w:rPr>
              <w:t xml:space="preserve"> Ratione temporis</w:t>
            </w:r>
            <w:r w:rsidRPr="00707E6F">
              <w:rPr>
                <w:rFonts w:asciiTheme="majorHAnsi" w:hAnsiTheme="majorHAnsi"/>
                <w:b/>
                <w:color w:val="FFFFFF" w:themeColor="background1"/>
                <w:sz w:val="20"/>
              </w:rPr>
              <w:t>:</w:t>
            </w:r>
          </w:p>
        </w:tc>
        <w:tc>
          <w:tcPr>
            <w:tcW w:w="5760" w:type="dxa"/>
            <w:vAlign w:val="center"/>
          </w:tcPr>
          <w:p w:rsidR="003239B8" w:rsidRPr="00707E6F" w:rsidRDefault="00F243F1" w:rsidP="00AC1BC8">
            <w:pPr>
              <w:rPr>
                <w:rFonts w:asciiTheme="majorHAnsi" w:hAnsiTheme="majorHAnsi"/>
                <w:bCs/>
                <w:sz w:val="20"/>
                <w:szCs w:val="20"/>
              </w:rPr>
            </w:pPr>
            <w:r w:rsidRPr="00707E6F">
              <w:rPr>
                <w:rFonts w:asciiTheme="majorHAnsi" w:hAnsiTheme="majorHAnsi"/>
                <w:sz w:val="20"/>
              </w:rPr>
              <w:t>Yes</w:t>
            </w:r>
          </w:p>
        </w:tc>
      </w:tr>
      <w:tr w:rsidR="003239B8" w:rsidRPr="00707E6F" w:rsidTr="004F7C25">
        <w:trPr>
          <w:cantSplit/>
        </w:trPr>
        <w:tc>
          <w:tcPr>
            <w:tcW w:w="3600" w:type="dxa"/>
            <w:tcBorders>
              <w:top w:val="single" w:sz="6" w:space="0" w:color="auto"/>
              <w:bottom w:val="single" w:sz="6" w:space="0" w:color="auto"/>
            </w:tcBorders>
            <w:shd w:val="clear" w:color="auto" w:fill="67AE3C"/>
            <w:vAlign w:val="center"/>
          </w:tcPr>
          <w:p w:rsidR="003239B8" w:rsidRPr="00707E6F" w:rsidRDefault="00D21316" w:rsidP="00AC1BC8">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Competence</w:t>
            </w:r>
            <w:r w:rsidRPr="00707E6F">
              <w:rPr>
                <w:rFonts w:asciiTheme="majorHAnsi" w:hAnsiTheme="majorHAnsi"/>
                <w:b/>
                <w:i/>
                <w:color w:val="FFFFFF" w:themeColor="background1"/>
                <w:sz w:val="20"/>
              </w:rPr>
              <w:t xml:space="preserve"> Ratione materiae</w:t>
            </w:r>
            <w:r w:rsidRPr="00707E6F">
              <w:rPr>
                <w:rFonts w:asciiTheme="majorHAnsi" w:hAnsiTheme="majorHAnsi"/>
                <w:b/>
                <w:color w:val="FFFFFF" w:themeColor="background1"/>
                <w:sz w:val="20"/>
              </w:rPr>
              <w:t>:</w:t>
            </w:r>
          </w:p>
        </w:tc>
        <w:tc>
          <w:tcPr>
            <w:tcW w:w="5760" w:type="dxa"/>
            <w:vAlign w:val="center"/>
          </w:tcPr>
          <w:p w:rsidR="003239B8" w:rsidRPr="00707E6F" w:rsidRDefault="00E65A1D" w:rsidP="00AC1BC8">
            <w:pPr>
              <w:jc w:val="both"/>
              <w:rPr>
                <w:rFonts w:asciiTheme="majorHAnsi" w:hAnsiTheme="majorHAnsi"/>
                <w:bCs/>
                <w:sz w:val="20"/>
                <w:szCs w:val="20"/>
              </w:rPr>
            </w:pPr>
            <w:r w:rsidRPr="00707E6F">
              <w:rPr>
                <w:rFonts w:asciiTheme="majorHAnsi" w:hAnsiTheme="majorHAnsi"/>
                <w:sz w:val="20"/>
              </w:rPr>
              <w:t>Yes, American Convention on Human Rights</w:t>
            </w:r>
            <w:r w:rsidRPr="00707E6F">
              <w:rPr>
                <w:rStyle w:val="FootnoteReference"/>
                <w:rFonts w:asciiTheme="majorHAnsi" w:hAnsiTheme="majorHAnsi"/>
                <w:sz w:val="20"/>
              </w:rPr>
              <w:footnoteReference w:id="5"/>
            </w:r>
            <w:r w:rsidRPr="00707E6F">
              <w:rPr>
                <w:rFonts w:asciiTheme="majorHAnsi" w:hAnsiTheme="majorHAnsi"/>
                <w:sz w:val="20"/>
              </w:rPr>
              <w:t xml:space="preserve"> (instrument adopted on September 25, 1992)</w:t>
            </w:r>
          </w:p>
        </w:tc>
      </w:tr>
    </w:tbl>
    <w:p w:rsidR="003239B8" w:rsidRPr="00707E6F" w:rsidRDefault="003239B8" w:rsidP="003239B8">
      <w:pPr>
        <w:spacing w:before="240" w:after="240"/>
        <w:ind w:firstLine="720"/>
        <w:jc w:val="both"/>
        <w:rPr>
          <w:rFonts w:asciiTheme="majorHAnsi" w:hAnsiTheme="majorHAnsi"/>
          <w:b/>
          <w:bCs/>
          <w:sz w:val="20"/>
          <w:szCs w:val="20"/>
        </w:rPr>
      </w:pPr>
      <w:r w:rsidRPr="00707E6F">
        <w:rPr>
          <w:rFonts w:asciiTheme="majorHAnsi" w:hAnsiTheme="majorHAnsi"/>
          <w:b/>
          <w:sz w:val="20"/>
        </w:rPr>
        <w:t xml:space="preserve">IV. </w:t>
      </w:r>
      <w:r w:rsidRPr="00707E6F">
        <w:tab/>
      </w:r>
      <w:r w:rsidRPr="00707E6F">
        <w:rPr>
          <w:rFonts w:asciiTheme="majorHAnsi" w:hAnsiTheme="majorHAnsi"/>
          <w:b/>
          <w:sz w:val="20"/>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07E6F" w:rsidTr="004F7C25">
        <w:trPr>
          <w:cantSplit/>
        </w:trPr>
        <w:tc>
          <w:tcPr>
            <w:tcW w:w="3600" w:type="dxa"/>
            <w:tcBorders>
              <w:top w:val="single" w:sz="4" w:space="0" w:color="auto"/>
              <w:bottom w:val="single" w:sz="6" w:space="0" w:color="auto"/>
            </w:tcBorders>
            <w:shd w:val="clear" w:color="auto" w:fill="67AE3C"/>
            <w:vAlign w:val="center"/>
          </w:tcPr>
          <w:p w:rsidR="00EE00E9" w:rsidRPr="00707E6F" w:rsidRDefault="00D21316" w:rsidP="00AC1BC8">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 xml:space="preserve">Duplication of procedures and international </w:t>
            </w:r>
            <w:r w:rsidRPr="00707E6F">
              <w:rPr>
                <w:rFonts w:asciiTheme="majorHAnsi" w:hAnsiTheme="majorHAnsi"/>
                <w:b/>
                <w:i/>
                <w:color w:val="FFFFFF" w:themeColor="background1"/>
                <w:sz w:val="20"/>
              </w:rPr>
              <w:t>res judicata</w:t>
            </w:r>
          </w:p>
        </w:tc>
        <w:tc>
          <w:tcPr>
            <w:tcW w:w="5760" w:type="dxa"/>
            <w:vAlign w:val="center"/>
          </w:tcPr>
          <w:p w:rsidR="00EE00E9" w:rsidRPr="00707E6F" w:rsidRDefault="00F243F1" w:rsidP="00AC1BC8">
            <w:pPr>
              <w:jc w:val="both"/>
              <w:rPr>
                <w:rFonts w:asciiTheme="majorHAnsi" w:hAnsiTheme="majorHAnsi"/>
                <w:bCs/>
                <w:sz w:val="20"/>
                <w:szCs w:val="20"/>
              </w:rPr>
            </w:pPr>
            <w:r w:rsidRPr="00707E6F">
              <w:rPr>
                <w:rFonts w:asciiTheme="majorHAnsi" w:hAnsiTheme="majorHAnsi"/>
                <w:sz w:val="20"/>
              </w:rPr>
              <w:t>No</w:t>
            </w:r>
          </w:p>
        </w:tc>
      </w:tr>
      <w:tr w:rsidR="003239B8" w:rsidRPr="00707E6F" w:rsidTr="004F7C25">
        <w:trPr>
          <w:cantSplit/>
        </w:trPr>
        <w:tc>
          <w:tcPr>
            <w:tcW w:w="3600" w:type="dxa"/>
            <w:tcBorders>
              <w:top w:val="single" w:sz="4" w:space="0" w:color="auto"/>
              <w:bottom w:val="single" w:sz="6" w:space="0" w:color="auto"/>
            </w:tcBorders>
            <w:shd w:val="clear" w:color="auto" w:fill="67AE3C"/>
            <w:vAlign w:val="center"/>
          </w:tcPr>
          <w:p w:rsidR="003239B8" w:rsidRPr="00707E6F" w:rsidRDefault="00D21316" w:rsidP="00D21316">
            <w:pPr>
              <w:jc w:val="center"/>
              <w:rPr>
                <w:rFonts w:asciiTheme="majorHAnsi" w:hAnsiTheme="majorHAnsi"/>
                <w:b/>
                <w:bCs/>
                <w:i/>
                <w:color w:val="FFFFFF" w:themeColor="background1"/>
                <w:sz w:val="20"/>
                <w:szCs w:val="20"/>
              </w:rPr>
            </w:pPr>
            <w:r w:rsidRPr="00707E6F">
              <w:rPr>
                <w:rFonts w:asciiTheme="majorHAnsi" w:hAnsiTheme="majorHAnsi"/>
                <w:b/>
                <w:color w:val="FFFFFF" w:themeColor="background1"/>
                <w:sz w:val="20"/>
              </w:rPr>
              <w:t>Rights declared admissible:</w:t>
            </w:r>
          </w:p>
        </w:tc>
        <w:tc>
          <w:tcPr>
            <w:tcW w:w="5760" w:type="dxa"/>
            <w:vAlign w:val="center"/>
          </w:tcPr>
          <w:p w:rsidR="003239B8" w:rsidRPr="00707E6F" w:rsidRDefault="00241A99" w:rsidP="00AC1BC8">
            <w:pPr>
              <w:jc w:val="both"/>
              <w:rPr>
                <w:rFonts w:asciiTheme="majorHAnsi" w:hAnsiTheme="majorHAnsi"/>
                <w:bCs/>
                <w:sz w:val="20"/>
                <w:szCs w:val="20"/>
              </w:rPr>
            </w:pPr>
            <w:r w:rsidRPr="00707E6F">
              <w:rPr>
                <w:rFonts w:asciiTheme="majorHAnsi" w:hAnsiTheme="majorHAnsi"/>
                <w:sz w:val="20"/>
              </w:rPr>
              <w:t>Articles 5 (personal integrity), 8 (judicial guarantees), 13 (freedom of thought and expression), and 25 (judicial protection) of the American Convention, all in conjunction with Article 1.1 thereof.</w:t>
            </w:r>
          </w:p>
        </w:tc>
      </w:tr>
      <w:tr w:rsidR="003239B8" w:rsidRPr="00707E6F" w:rsidTr="004F7C25">
        <w:trPr>
          <w:cantSplit/>
        </w:trPr>
        <w:tc>
          <w:tcPr>
            <w:tcW w:w="3600" w:type="dxa"/>
            <w:tcBorders>
              <w:top w:val="single" w:sz="6" w:space="0" w:color="auto"/>
              <w:bottom w:val="single" w:sz="6" w:space="0" w:color="auto"/>
            </w:tcBorders>
            <w:shd w:val="clear" w:color="auto" w:fill="67AE3C"/>
            <w:vAlign w:val="center"/>
          </w:tcPr>
          <w:p w:rsidR="003239B8" w:rsidRPr="00707E6F" w:rsidRDefault="00D21316" w:rsidP="00D21316">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Exhaustion of domestic remedies or applicability of an exception to the rule:</w:t>
            </w:r>
          </w:p>
        </w:tc>
        <w:tc>
          <w:tcPr>
            <w:tcW w:w="5760" w:type="dxa"/>
            <w:vAlign w:val="center"/>
          </w:tcPr>
          <w:p w:rsidR="003239B8" w:rsidRPr="00707E6F" w:rsidRDefault="002E4CCE" w:rsidP="00FA4B13">
            <w:pPr>
              <w:rPr>
                <w:rFonts w:asciiTheme="majorHAnsi" w:hAnsiTheme="majorHAnsi"/>
                <w:bCs/>
                <w:sz w:val="20"/>
                <w:szCs w:val="20"/>
              </w:rPr>
            </w:pPr>
            <w:r w:rsidRPr="00707E6F">
              <w:rPr>
                <w:rFonts w:asciiTheme="majorHAnsi" w:hAnsiTheme="majorHAnsi"/>
                <w:sz w:val="20"/>
              </w:rPr>
              <w:t>Yes</w:t>
            </w:r>
          </w:p>
        </w:tc>
      </w:tr>
      <w:tr w:rsidR="003239B8" w:rsidRPr="00707E6F" w:rsidTr="004F7C25">
        <w:trPr>
          <w:cantSplit/>
        </w:trPr>
        <w:tc>
          <w:tcPr>
            <w:tcW w:w="3600" w:type="dxa"/>
            <w:tcBorders>
              <w:top w:val="single" w:sz="6" w:space="0" w:color="auto"/>
              <w:bottom w:val="single" w:sz="6" w:space="0" w:color="auto"/>
            </w:tcBorders>
            <w:shd w:val="clear" w:color="auto" w:fill="67AE3C"/>
            <w:vAlign w:val="center"/>
          </w:tcPr>
          <w:p w:rsidR="003239B8" w:rsidRPr="00707E6F" w:rsidRDefault="00D21316" w:rsidP="00AC1BC8">
            <w:pPr>
              <w:jc w:val="center"/>
              <w:rPr>
                <w:rFonts w:asciiTheme="majorHAnsi" w:hAnsiTheme="majorHAnsi"/>
                <w:b/>
                <w:bCs/>
                <w:color w:val="FFFFFF" w:themeColor="background1"/>
                <w:sz w:val="20"/>
                <w:szCs w:val="20"/>
              </w:rPr>
            </w:pPr>
            <w:r w:rsidRPr="00707E6F">
              <w:rPr>
                <w:rFonts w:asciiTheme="majorHAnsi" w:hAnsiTheme="majorHAnsi"/>
                <w:b/>
                <w:color w:val="FFFFFF" w:themeColor="background1"/>
                <w:sz w:val="20"/>
              </w:rPr>
              <w:t>Timeliness of the petition:</w:t>
            </w:r>
          </w:p>
        </w:tc>
        <w:tc>
          <w:tcPr>
            <w:tcW w:w="5760" w:type="dxa"/>
            <w:vAlign w:val="center"/>
          </w:tcPr>
          <w:p w:rsidR="003239B8" w:rsidRPr="00707E6F" w:rsidRDefault="002E4CCE" w:rsidP="002E4CCE">
            <w:pPr>
              <w:rPr>
                <w:rFonts w:asciiTheme="majorHAnsi" w:hAnsiTheme="majorHAnsi"/>
                <w:bCs/>
                <w:sz w:val="20"/>
                <w:szCs w:val="20"/>
              </w:rPr>
            </w:pPr>
            <w:r w:rsidRPr="00707E6F">
              <w:rPr>
                <w:rFonts w:asciiTheme="majorHAnsi" w:hAnsiTheme="majorHAnsi"/>
                <w:sz w:val="20"/>
              </w:rPr>
              <w:t>Yes, October 16, 2012</w:t>
            </w:r>
          </w:p>
        </w:tc>
      </w:tr>
    </w:tbl>
    <w:p w:rsidR="003239B8" w:rsidRPr="00707E6F" w:rsidRDefault="00223A29" w:rsidP="003239B8">
      <w:pPr>
        <w:spacing w:before="240" w:after="240"/>
        <w:ind w:firstLine="720"/>
        <w:jc w:val="both"/>
        <w:rPr>
          <w:rFonts w:asciiTheme="majorHAnsi" w:hAnsiTheme="majorHAnsi"/>
          <w:b/>
          <w:sz w:val="20"/>
          <w:szCs w:val="20"/>
        </w:rPr>
      </w:pPr>
      <w:r w:rsidRPr="00707E6F">
        <w:rPr>
          <w:rFonts w:asciiTheme="majorHAnsi" w:hAnsiTheme="majorHAnsi"/>
          <w:b/>
          <w:sz w:val="20"/>
        </w:rPr>
        <w:t xml:space="preserve">V. </w:t>
      </w:r>
      <w:r w:rsidRPr="00707E6F">
        <w:tab/>
      </w:r>
      <w:r w:rsidRPr="00707E6F">
        <w:rPr>
          <w:rFonts w:asciiTheme="majorHAnsi" w:hAnsiTheme="majorHAnsi"/>
          <w:b/>
          <w:sz w:val="20"/>
        </w:rPr>
        <w:t xml:space="preserve">ALLEGED FACTS </w:t>
      </w:r>
    </w:p>
    <w:p w:rsidR="0059120E" w:rsidRPr="00707E6F" w:rsidRDefault="00D0698F" w:rsidP="005912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Brígido Ibanhes (hereinafter “Mr. Ibanhes”) states that he is a writer and human rights defender, and a person who has been actively engaged in combating corruption in the state of Mato Grosso do Sul (hereinafter "MS") since the 1970s, when he worked for Banco do Brasil. He states that in the course of his life he has published various literary works depicting corruption, police</w:t>
      </w:r>
      <w:r w:rsidR="00AE6453" w:rsidRPr="00707E6F">
        <w:rPr>
          <w:rFonts w:asciiTheme="majorHAnsi" w:hAnsiTheme="majorHAnsi"/>
          <w:sz w:val="20"/>
        </w:rPr>
        <w:t xml:space="preserve"> links</w:t>
      </w:r>
      <w:r w:rsidRPr="00707E6F">
        <w:rPr>
          <w:rFonts w:asciiTheme="majorHAnsi" w:hAnsiTheme="majorHAnsi"/>
          <w:sz w:val="20"/>
        </w:rPr>
        <w:t xml:space="preserve">, and human rights violations in </w:t>
      </w:r>
      <w:r w:rsidRPr="00707E6F">
        <w:rPr>
          <w:rFonts w:asciiTheme="majorHAnsi" w:hAnsiTheme="majorHAnsi"/>
          <w:sz w:val="20"/>
        </w:rPr>
        <w:lastRenderedPageBreak/>
        <w:t>the Grande Dourados region in MS. He maintains that, as a result of those activities and of his affiliation with the Partido Democrático Trabalhista (hereinafter “PDT”) during the dictatorship, he</w:t>
      </w:r>
      <w:r w:rsidR="00AE6453" w:rsidRPr="00707E6F">
        <w:rPr>
          <w:rFonts w:asciiTheme="majorHAnsi" w:hAnsiTheme="majorHAnsi"/>
          <w:sz w:val="20"/>
        </w:rPr>
        <w:t xml:space="preserve"> </w:t>
      </w:r>
      <w:r w:rsidRPr="00707E6F">
        <w:rPr>
          <w:rFonts w:asciiTheme="majorHAnsi" w:hAnsiTheme="majorHAnsi"/>
          <w:sz w:val="20"/>
        </w:rPr>
        <w:t>has for decades been the victim of threats and attacks, without the State ever diligently investigating the facts or identifying and punishing the perpetrators.</w:t>
      </w:r>
    </w:p>
    <w:p w:rsidR="00132621" w:rsidRPr="00707E6F" w:rsidRDefault="0059120E" w:rsidP="005912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First, he points out that in 1973, he competed for and won a job in Banco do Brasil and was granted job security as a member of the bank employees' trade union. While working as an auditor of the Bank's agrarian investments, he reported a number of money laundering and corruption schemes relating to the bank and local landowners. On October 4, 1993, owing to those reports and his active part in combating corruption, he was allegedly summarily and unjustly dismissed, despite the job stability to which he was entitled at the time as a member of the trade union.</w:t>
      </w:r>
      <w:r w:rsidRPr="00707E6F">
        <w:rPr>
          <w:rFonts w:asciiTheme="majorHAnsi" w:hAnsiTheme="majorHAnsi"/>
          <w:color w:val="C00000"/>
          <w:sz w:val="20"/>
        </w:rPr>
        <w:t xml:space="preserve"> </w:t>
      </w:r>
      <w:r w:rsidRPr="00707E6F">
        <w:rPr>
          <w:rFonts w:asciiTheme="majorHAnsi" w:hAnsiTheme="majorHAnsi"/>
          <w:sz w:val="20"/>
        </w:rPr>
        <w:t xml:space="preserve">He then filed a suit for compensation against Banco do </w:t>
      </w:r>
      <w:r w:rsidR="00A9303E" w:rsidRPr="00707E6F">
        <w:rPr>
          <w:rFonts w:asciiTheme="majorHAnsi" w:hAnsiTheme="majorHAnsi"/>
          <w:sz w:val="20"/>
        </w:rPr>
        <w:t>Brasil in</w:t>
      </w:r>
      <w:r w:rsidRPr="00707E6F">
        <w:rPr>
          <w:rFonts w:asciiTheme="majorHAnsi" w:hAnsiTheme="majorHAnsi"/>
          <w:sz w:val="20"/>
        </w:rPr>
        <w:t xml:space="preserve"> 1999, requesting that he be reinstated, annulment of the dismissal, payment for the difference in wages, and recognition of material and non-material damages. He claims, however, that all his appeals were denied because of the denunciations he had filed, terminating the proceedings. Mr. Ibanhes maintains that the State acted via Banco do Brasil in retaliation for his acts, given the involvement of influential landowners in the Bank's policy and agricultural investments in the region.</w:t>
      </w:r>
    </w:p>
    <w:p w:rsidR="006C455B" w:rsidRPr="00707E6F" w:rsidRDefault="00806097" w:rsidP="004365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On May 14, 2006, a makeshift bomb was allegedly tossed at his home, injuring both him and his wife, Elisangela dos Santos de Souza Ibanhes (hereinafter “Mrs. Ibanhes”). On that occasion, neighbors came to their aid and they reported the incident to the Fire Brigade. Mr. Ibanhes maintains that even after months of treatment, his wife and he still suffered from the sequels of the burns to their bodies. Mr. Ibanhes indicates that those responsible for tossing the bomb allegedly took advantage of a moment of panic in the town of Dourados triggered by a riot at a local prison and attacks on police stations. In that context, he argues that the State was guilty of omiss</w:t>
      </w:r>
      <w:r w:rsidR="00AE6453" w:rsidRPr="00707E6F">
        <w:rPr>
          <w:rFonts w:asciiTheme="majorHAnsi" w:hAnsiTheme="majorHAnsi"/>
          <w:sz w:val="20"/>
        </w:rPr>
        <w:t>ion, because the police</w:t>
      </w:r>
      <w:r w:rsidRPr="00707E6F">
        <w:rPr>
          <w:rFonts w:asciiTheme="majorHAnsi" w:hAnsiTheme="majorHAnsi"/>
          <w:sz w:val="20"/>
        </w:rPr>
        <w:t xml:space="preserve"> failed to comply with its duty to patrol the streets and, rather, had left the population unprotected and vulnerable.</w:t>
      </w:r>
    </w:p>
    <w:p w:rsidR="00EB29F0" w:rsidRPr="00707E6F" w:rsidRDefault="006C455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As regards the attack, a police inquiry was reportedly initiated on May 31, 2006 and, according to Mr. Ibanhes, never achieved any definitive findings. Due to the delays in the investigation, in 2012, he filed a complaint for lack of activity (</w:t>
      </w:r>
      <w:r w:rsidRPr="00707E6F">
        <w:rPr>
          <w:rFonts w:asciiTheme="majorHAnsi" w:hAnsiTheme="majorHAnsi"/>
          <w:i/>
          <w:sz w:val="20"/>
        </w:rPr>
        <w:t>Inércia</w:t>
      </w:r>
      <w:r w:rsidRPr="00707E6F">
        <w:rPr>
          <w:rFonts w:asciiTheme="majorHAnsi" w:hAnsiTheme="majorHAnsi"/>
          <w:sz w:val="20"/>
        </w:rPr>
        <w:t>) or Failure to Meet Deadlines before the National Council of the Public Prosecutors' Office. That body maintained that the police inquiry and the complaint had been shelved for lack of substantiation of good cause for criminal proceedings. He had then resorted to the Federal Public Prosecutors' Office (hereinafter "MPF"), and had asked that the Federal Police investigate the facts, due to an alleged lack of impartiality on the part of the state authorities. According to the petitioner, that request had been ignored.</w:t>
      </w:r>
    </w:p>
    <w:p w:rsidR="00207513" w:rsidRPr="00707E6F" w:rsidRDefault="006C455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Mr. Ibanhes also filed a suit for compensation against the State of Mato Grosso do Sul in 2007. Nevertheless, all bodies had reportedly rejected his claims, including a Special Appeal (hereinafter "REsp") rejected by the Court of Justice in 2009. He states that, for lack of information regarding the cas</w:t>
      </w:r>
      <w:r w:rsidR="00AE6453" w:rsidRPr="00707E6F">
        <w:rPr>
          <w:rFonts w:asciiTheme="majorHAnsi" w:hAnsiTheme="majorHAnsi"/>
          <w:sz w:val="20"/>
        </w:rPr>
        <w:t>e on the Court's website, he</w:t>
      </w:r>
      <w:r w:rsidRPr="00707E6F">
        <w:rPr>
          <w:rFonts w:asciiTheme="majorHAnsi" w:hAnsiTheme="majorHAnsi"/>
          <w:sz w:val="20"/>
        </w:rPr>
        <w:t xml:space="preserve"> missed the deadline for filing a bill of review appeal </w:t>
      </w:r>
      <w:r w:rsidR="008C4263" w:rsidRPr="00707E6F">
        <w:rPr>
          <w:rFonts w:asciiTheme="majorHAnsi" w:hAnsiTheme="majorHAnsi"/>
          <w:sz w:val="20"/>
        </w:rPr>
        <w:t>(</w:t>
      </w:r>
      <w:r w:rsidR="008C4263" w:rsidRPr="00707E6F">
        <w:rPr>
          <w:rFonts w:asciiTheme="majorHAnsi" w:hAnsiTheme="majorHAnsi"/>
          <w:i/>
          <w:sz w:val="20"/>
        </w:rPr>
        <w:t>Agravo de Instrumento</w:t>
      </w:r>
      <w:r w:rsidR="008C4263" w:rsidRPr="00707E6F">
        <w:rPr>
          <w:rFonts w:asciiTheme="majorHAnsi" w:hAnsiTheme="majorHAnsi"/>
          <w:sz w:val="20"/>
        </w:rPr>
        <w:t xml:space="preserve">) </w:t>
      </w:r>
      <w:r w:rsidRPr="00707E6F">
        <w:rPr>
          <w:rFonts w:asciiTheme="majorHAnsi" w:hAnsiTheme="majorHAnsi"/>
          <w:sz w:val="20"/>
        </w:rPr>
        <w:t xml:space="preserve">against the ruling </w:t>
      </w:r>
      <w:r w:rsidR="00AE6453" w:rsidRPr="00707E6F">
        <w:rPr>
          <w:rFonts w:asciiTheme="majorHAnsi" w:hAnsiTheme="majorHAnsi"/>
          <w:sz w:val="20"/>
        </w:rPr>
        <w:t xml:space="preserve">that </w:t>
      </w:r>
      <w:r w:rsidRPr="00707E6F">
        <w:rPr>
          <w:rFonts w:asciiTheme="majorHAnsi" w:hAnsiTheme="majorHAnsi"/>
          <w:sz w:val="20"/>
        </w:rPr>
        <w:t xml:space="preserve">rejected the REsp. As a last judicial resort, Mr. Ibanhes had turned to the National Council of Justice (hereinafter "CNJ") to report suspicion of one of the judges allegedly involved in the acts of corruption that Mr. </w:t>
      </w:r>
      <w:r w:rsidR="00A9303E" w:rsidRPr="00707E6F">
        <w:rPr>
          <w:rFonts w:asciiTheme="majorHAnsi" w:hAnsiTheme="majorHAnsi"/>
          <w:sz w:val="20"/>
        </w:rPr>
        <w:t>Ibanhes denounced</w:t>
      </w:r>
      <w:r w:rsidRPr="00707E6F">
        <w:rPr>
          <w:rFonts w:asciiTheme="majorHAnsi" w:hAnsiTheme="majorHAnsi"/>
          <w:sz w:val="20"/>
        </w:rPr>
        <w:t>. However, the petitioner alleges that once again his request was shelved. He then turned to the Special Secretariat for Human Rights of the Office of the President of the Republic, a body that, he said, never replied to his letters. He had asked to be included in the National Program to Protect Human Rights Defenders (hereinafter "Protection of Defenders Program), but his request had been denied.</w:t>
      </w:r>
    </w:p>
    <w:p w:rsidR="002F1CD8" w:rsidRPr="00707E6F" w:rsidRDefault="008C4263" w:rsidP="00013F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 xml:space="preserve">Additionally, </w:t>
      </w:r>
      <w:r w:rsidR="00187E98" w:rsidRPr="00707E6F">
        <w:rPr>
          <w:rFonts w:asciiTheme="majorHAnsi" w:hAnsiTheme="majorHAnsi"/>
          <w:sz w:val="20"/>
        </w:rPr>
        <w:t xml:space="preserve">Mr. Ibanhes further stresses that he was a victim of political persecution by the Dictatorship because of his work as a human rights defender and membership of the PDT. In 2004, he filed a petition with the Amnesty Commission of the Ministry of Justice to be recognized as eligible for political amnesty. Nevertheless, he alleges that the proceeding has been archived pending a decision on a request for review. Finally, the petitioner maintains that the injuries caused by the bomb attack have led to a medical recommendation that he undergo heart surgery to remedy complications arising from the burns he suffered during that attack. That procedure would, however, have to be carried out in a specialized public hospital in São Paulo: a request he had filed with the Office of the General Manager of the Unified Health System. He </w:t>
      </w:r>
      <w:r w:rsidR="00187E98" w:rsidRPr="00707E6F">
        <w:rPr>
          <w:rFonts w:asciiTheme="majorHAnsi" w:hAnsiTheme="majorHAnsi"/>
          <w:sz w:val="20"/>
        </w:rPr>
        <w:lastRenderedPageBreak/>
        <w:t>emphasizes that he has been requesting Federal or State Government assistance to enable him to undergo that procedure, to no avail.</w:t>
      </w:r>
    </w:p>
    <w:p w:rsidR="00BD368A" w:rsidRPr="00707E6F" w:rsidRDefault="008709AF" w:rsidP="00D71F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 xml:space="preserve">Initially, the State maintains that a policy inquiry was initiated in 2006, following news of a fire at the home of the alleged victims and that, once the police stage had concluded, the file on the case had been forwarded to the State Justice system. On July 31, 2012, given that no conclusive evidence had been obtained regarding those responsible, the inquiry had been archived by court order, in line with the position, in the same vein, taken by the Public Prosecutors' Office. The State stresses, nonetheless, that the shelving of the case is not final and the inquiry could resume if new evidence is submitted. The State adds that the alleged victim does not meet the requirements for inclusion in the Defenders Protection Program, which is why his request had been denied on April 27, 2011. It also points out that, on June 8, 2015, the Secretariat for Justice and Public Safety of the State of Mato Grosso do Sul had presented a map of threats and an analysis of risks that could potentially affect Mr. Ibanhes. It concluded that "no crime had been committed against the aforementioned person in the past nine years and there was no concrete fact indicating that he had been, or could potentially have been, the victim of any crime in the past 9 years," </w:t>
      </w:r>
    </w:p>
    <w:p w:rsidR="009D79D7" w:rsidRPr="00707E6F" w:rsidRDefault="00F976B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 xml:space="preserve">Regarding the suit for compensation against Banco do Brasil, the State asserts that it was ruled inadmissible in a court </w:t>
      </w:r>
      <w:r w:rsidR="007346CF" w:rsidRPr="00707E6F">
        <w:rPr>
          <w:rFonts w:asciiTheme="majorHAnsi" w:hAnsiTheme="majorHAnsi"/>
          <w:sz w:val="20"/>
        </w:rPr>
        <w:t>o</w:t>
      </w:r>
      <w:r w:rsidRPr="00707E6F">
        <w:rPr>
          <w:rFonts w:asciiTheme="majorHAnsi" w:hAnsiTheme="majorHAnsi"/>
          <w:sz w:val="20"/>
        </w:rPr>
        <w:t>f first instance on August 21, 2002, because it was deemed that Mr. Ibanhes had not produced sufficient evidence to corroborate his allegations and that the financial institution was entitled to dismiss any employee without just cause. The appeal filed by Mr. Ibanhes had been judged inadmissible on August 3, 2006, a decision that became</w:t>
      </w:r>
      <w:r w:rsidRPr="00707E6F">
        <w:rPr>
          <w:rFonts w:asciiTheme="majorHAnsi" w:hAnsiTheme="majorHAnsi"/>
          <w:i/>
          <w:sz w:val="20"/>
        </w:rPr>
        <w:t xml:space="preserve"> res judicata</w:t>
      </w:r>
      <w:r w:rsidRPr="00707E6F">
        <w:rPr>
          <w:rFonts w:asciiTheme="majorHAnsi" w:hAnsiTheme="majorHAnsi"/>
          <w:sz w:val="20"/>
        </w:rPr>
        <w:t xml:space="preserve"> (final) on September 11, 2006.</w:t>
      </w:r>
    </w:p>
    <w:p w:rsidR="00412A95" w:rsidRPr="00707E6F" w:rsidRDefault="00412A9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 xml:space="preserve">The State further maintains on </w:t>
      </w:r>
      <w:r w:rsidR="00A9303E" w:rsidRPr="00707E6F">
        <w:rPr>
          <w:rFonts w:asciiTheme="majorHAnsi" w:hAnsiTheme="majorHAnsi"/>
          <w:sz w:val="20"/>
        </w:rPr>
        <w:t>May 24</w:t>
      </w:r>
      <w:r w:rsidRPr="00707E6F">
        <w:rPr>
          <w:rFonts w:asciiTheme="majorHAnsi" w:hAnsiTheme="majorHAnsi"/>
          <w:sz w:val="20"/>
        </w:rPr>
        <w:t>, 2007, a court examined the action against the State of Mato Grosso do Sul for compensation for material and immaterial damages. On October 18, 2007, the suit was declared inadmissible by a first-instance court. The alleged victims filed an appeal with the Court of Justice (</w:t>
      </w:r>
      <w:r w:rsidRPr="00707E6F">
        <w:rPr>
          <w:rFonts w:asciiTheme="majorHAnsi" w:hAnsiTheme="majorHAnsi"/>
          <w:i/>
          <w:sz w:val="20"/>
        </w:rPr>
        <w:t>Tribunal de Justiça</w:t>
      </w:r>
      <w:r w:rsidRPr="00707E6F">
        <w:rPr>
          <w:rFonts w:asciiTheme="majorHAnsi" w:hAnsiTheme="majorHAnsi"/>
          <w:sz w:val="20"/>
        </w:rPr>
        <w:t>), which upheld the lower court's ruling on June 23, 2009. Subsequently, the State points out that the alleged victims filed a REsp for their case to be heard by the Higher Court of Justice. That appeal was declared inadmissible on September 2, 2009. The State maintains that the alleged victims could have filed a bill of review appeal (</w:t>
      </w:r>
      <w:r w:rsidRPr="00707E6F">
        <w:rPr>
          <w:rFonts w:asciiTheme="majorHAnsi" w:hAnsiTheme="majorHAnsi"/>
          <w:i/>
          <w:sz w:val="20"/>
        </w:rPr>
        <w:t>Agravo de Instrumento</w:t>
      </w:r>
      <w:r w:rsidRPr="00707E6F">
        <w:rPr>
          <w:rFonts w:asciiTheme="majorHAnsi" w:hAnsiTheme="majorHAnsi"/>
          <w:sz w:val="20"/>
        </w:rPr>
        <w:t>) against that ruling. However, the procedural deadline for so doing had expired on September 18, 2009, with</w:t>
      </w:r>
      <w:r w:rsidR="007346CF" w:rsidRPr="00707E6F">
        <w:rPr>
          <w:rFonts w:asciiTheme="majorHAnsi" w:hAnsiTheme="majorHAnsi"/>
          <w:sz w:val="20"/>
        </w:rPr>
        <w:t>out</w:t>
      </w:r>
      <w:r w:rsidRPr="00707E6F">
        <w:rPr>
          <w:rFonts w:asciiTheme="majorHAnsi" w:hAnsiTheme="majorHAnsi"/>
          <w:sz w:val="20"/>
        </w:rPr>
        <w:t xml:space="preserve"> such an appeal being filed. The State also maintains that the motion filed with the CNJ was shelved,</w:t>
      </w:r>
      <w:r w:rsidR="007346CF" w:rsidRPr="00707E6F">
        <w:rPr>
          <w:rFonts w:asciiTheme="majorHAnsi" w:hAnsiTheme="majorHAnsi"/>
          <w:sz w:val="20"/>
        </w:rPr>
        <w:t xml:space="preserve"> </w:t>
      </w:r>
      <w:r w:rsidRPr="00707E6F">
        <w:rPr>
          <w:rFonts w:asciiTheme="majorHAnsi" w:hAnsiTheme="majorHAnsi"/>
          <w:sz w:val="20"/>
        </w:rPr>
        <w:t>because that body is not the appropriate organ for amending judicial rulings.</w:t>
      </w:r>
    </w:p>
    <w:p w:rsidR="0081310B" w:rsidRPr="00707E6F" w:rsidRDefault="0081310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Finally, the State claims that the alleged victims</w:t>
      </w:r>
      <w:r w:rsidR="008C4263" w:rsidRPr="00707E6F">
        <w:rPr>
          <w:rFonts w:asciiTheme="majorHAnsi" w:hAnsiTheme="majorHAnsi"/>
          <w:sz w:val="20"/>
        </w:rPr>
        <w:t xml:space="preserve">, in their additional observations, </w:t>
      </w:r>
      <w:r w:rsidRPr="00707E6F">
        <w:rPr>
          <w:rFonts w:asciiTheme="majorHAnsi" w:hAnsiTheme="majorHAnsi"/>
          <w:sz w:val="20"/>
        </w:rPr>
        <w:t>presented facts at odds with and different from those contained in the petition initially submitted to the Commission</w:t>
      </w:r>
      <w:r w:rsidR="008C4263" w:rsidRPr="00707E6F">
        <w:rPr>
          <w:rFonts w:asciiTheme="majorHAnsi" w:hAnsiTheme="majorHAnsi"/>
          <w:sz w:val="20"/>
        </w:rPr>
        <w:t xml:space="preserve">, such as the need for the operation of the heart; the fact that Mr. Ibanhes` </w:t>
      </w:r>
      <w:r w:rsidR="008C4263" w:rsidRPr="00707E6F">
        <w:rPr>
          <w:rFonts w:asciiTheme="majorHAnsi" w:hAnsiTheme="majorHAnsi"/>
          <w:sz w:val="20"/>
          <w:szCs w:val="20"/>
        </w:rPr>
        <w:t>“Silvino Jaques, O Último dos Bandoleiros”</w:t>
      </w:r>
      <w:r w:rsidR="000E38E8" w:rsidRPr="00707E6F">
        <w:rPr>
          <w:rFonts w:asciiTheme="majorHAnsi" w:hAnsiTheme="majorHAnsi"/>
          <w:sz w:val="20"/>
          <w:szCs w:val="20"/>
        </w:rPr>
        <w:t xml:space="preserve"> was</w:t>
      </w:r>
      <w:r w:rsidR="006437C8" w:rsidRPr="00707E6F">
        <w:rPr>
          <w:rFonts w:asciiTheme="majorHAnsi" w:hAnsiTheme="majorHAnsi"/>
          <w:sz w:val="20"/>
          <w:szCs w:val="20"/>
        </w:rPr>
        <w:t xml:space="preserve"> censored and that there would be an excessive delay in the examination of his process before the Amnesty Comission</w:t>
      </w:r>
      <w:r w:rsidRPr="00707E6F">
        <w:rPr>
          <w:rFonts w:asciiTheme="majorHAnsi" w:hAnsiTheme="majorHAnsi"/>
          <w:sz w:val="20"/>
        </w:rPr>
        <w:t>. Consequently, there being no temporal or spatial connection between the alleged violations, the State requests that the facts be analyzed in separate petitions.</w:t>
      </w:r>
    </w:p>
    <w:p w:rsidR="003239B8" w:rsidRPr="00707E6F" w:rsidRDefault="003239B8" w:rsidP="003239B8">
      <w:pPr>
        <w:spacing w:before="240" w:after="240"/>
        <w:ind w:firstLine="720"/>
        <w:jc w:val="both"/>
        <w:rPr>
          <w:rFonts w:asciiTheme="majorHAnsi" w:hAnsiTheme="majorHAnsi"/>
          <w:sz w:val="20"/>
          <w:szCs w:val="20"/>
        </w:rPr>
      </w:pPr>
      <w:r w:rsidRPr="00707E6F">
        <w:rPr>
          <w:rFonts w:asciiTheme="majorHAnsi" w:hAnsiTheme="majorHAnsi"/>
          <w:b/>
          <w:color w:val="000000"/>
          <w:sz w:val="20"/>
          <w:u w:color="000000"/>
        </w:rPr>
        <w:t>VI.</w:t>
      </w:r>
      <w:r w:rsidRPr="00707E6F">
        <w:tab/>
      </w:r>
      <w:r w:rsidRPr="00707E6F">
        <w:rPr>
          <w:rFonts w:asciiTheme="majorHAnsi" w:hAnsiTheme="majorHAnsi"/>
          <w:b/>
          <w:sz w:val="20"/>
        </w:rPr>
        <w:t>ANALYSIS OF EXHAUSTION OF DOMESTIC REMEDIES AND TIMELINESS OF THE PETITION</w:t>
      </w:r>
      <w:r w:rsidRPr="00707E6F">
        <w:rPr>
          <w:rFonts w:asciiTheme="majorHAnsi" w:hAnsiTheme="majorHAnsi"/>
          <w:b/>
          <w:color w:val="000000"/>
          <w:sz w:val="20"/>
          <w:u w:color="000000"/>
        </w:rPr>
        <w:t xml:space="preserve"> </w:t>
      </w:r>
    </w:p>
    <w:p w:rsidR="003239B8" w:rsidRPr="00707E6F" w:rsidRDefault="0010697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The alleged victims maintain that those responsible for the attack were never effectively investigated and charged. They point out that domestic remedies were exhausted with respect to the two compensation proceedings: against the state of Mato Grosso do Sul and against Banco do Brasil; in addition to the request to be included in the Defenders Protection Program and attempts to contact the Secretariat for Human Rights. Regarding proceedings before the Amnesty Commission, the alleged victims indicated that there was unwarranted delay in reviewing the decision handed down in 2011. In short, they claim that the facts are connected and constitute a State reprisal against Mr. Ibanhes for his actions as a human rights defender.</w:t>
      </w:r>
    </w:p>
    <w:p w:rsidR="00BE0963" w:rsidRPr="00707E6F" w:rsidRDefault="00B6080C"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7E6F">
        <w:rPr>
          <w:rFonts w:asciiTheme="majorHAnsi" w:hAnsiTheme="majorHAnsi"/>
          <w:sz w:val="20"/>
        </w:rPr>
        <w:t>The State, on the other hand, indicates that domestic remedies were not exhausted in relation to the action for compensation brought against the state of Mato Grosso do Sul in connection with the facts surrounding the bomb attack, given that the alleged victim did not file a bill of review appeal (</w:t>
      </w:r>
      <w:r w:rsidRPr="00707E6F">
        <w:rPr>
          <w:rFonts w:asciiTheme="majorHAnsi" w:hAnsiTheme="majorHAnsi"/>
          <w:i/>
          <w:sz w:val="20"/>
        </w:rPr>
        <w:t xml:space="preserve">Agravo de </w:t>
      </w:r>
      <w:r w:rsidRPr="00707E6F">
        <w:rPr>
          <w:rFonts w:asciiTheme="majorHAnsi" w:hAnsiTheme="majorHAnsi"/>
          <w:i/>
          <w:sz w:val="20"/>
        </w:rPr>
        <w:lastRenderedPageBreak/>
        <w:t>Instrumento</w:t>
      </w:r>
      <w:r w:rsidRPr="00707E6F">
        <w:rPr>
          <w:rFonts w:asciiTheme="majorHAnsi" w:hAnsiTheme="majorHAnsi"/>
          <w:sz w:val="20"/>
        </w:rPr>
        <w:t>) against the ruling of the Court of Justice (</w:t>
      </w:r>
      <w:r w:rsidRPr="00707E6F">
        <w:rPr>
          <w:rFonts w:asciiTheme="majorHAnsi" w:hAnsiTheme="majorHAnsi"/>
          <w:i/>
          <w:sz w:val="20"/>
        </w:rPr>
        <w:t>Tribunal de Justiça</w:t>
      </w:r>
      <w:r w:rsidRPr="00707E6F">
        <w:rPr>
          <w:rFonts w:asciiTheme="majorHAnsi" w:hAnsiTheme="majorHAnsi"/>
          <w:sz w:val="20"/>
        </w:rPr>
        <w:t xml:space="preserve">) that did not admit the Special Appeal. In the same vein, the State maintains that the alleged victim did not appeal the decision of the Court of Justice that refused to admit the petition in the action brought </w:t>
      </w:r>
      <w:r w:rsidR="00A9303E" w:rsidRPr="00707E6F">
        <w:rPr>
          <w:rFonts w:asciiTheme="majorHAnsi" w:hAnsiTheme="majorHAnsi"/>
          <w:sz w:val="20"/>
        </w:rPr>
        <w:t>against Banco</w:t>
      </w:r>
      <w:r w:rsidRPr="00707E6F">
        <w:rPr>
          <w:rFonts w:asciiTheme="majorHAnsi" w:hAnsiTheme="majorHAnsi"/>
          <w:sz w:val="20"/>
        </w:rPr>
        <w:t xml:space="preserve"> do </w:t>
      </w:r>
      <w:r w:rsidR="00A9303E" w:rsidRPr="00707E6F">
        <w:rPr>
          <w:rFonts w:asciiTheme="majorHAnsi" w:hAnsiTheme="majorHAnsi"/>
          <w:sz w:val="20"/>
        </w:rPr>
        <w:t>Brasil on</w:t>
      </w:r>
      <w:r w:rsidRPr="00707E6F">
        <w:rPr>
          <w:rFonts w:asciiTheme="majorHAnsi" w:hAnsiTheme="majorHAnsi"/>
          <w:sz w:val="20"/>
        </w:rPr>
        <w:t xml:space="preserve"> August 25, 2006. It points out that the arguments before the Commission regarding that action missed the six months deadline. Moreover, the State argues that remedies relating to the proceedings before the Amnesty Commission were not exhausted and explains that said proceedings were administrative, not </w:t>
      </w:r>
      <w:r w:rsidR="00A9303E" w:rsidRPr="00707E6F">
        <w:rPr>
          <w:rFonts w:asciiTheme="majorHAnsi" w:hAnsiTheme="majorHAnsi"/>
          <w:sz w:val="20"/>
        </w:rPr>
        <w:t>judicial</w:t>
      </w:r>
      <w:r w:rsidRPr="00707E6F">
        <w:rPr>
          <w:rFonts w:asciiTheme="majorHAnsi" w:hAnsiTheme="majorHAnsi"/>
          <w:sz w:val="20"/>
        </w:rPr>
        <w:t>, whereby the former did not exclude the latter. Contrary to the alleged victim's argument, the State maintains that on September 11, 2015 a ruling was issued on the petition to review the decision handed down in those proceedings, when the decision to shelve the case was upheld.   In addition, the State argues that the alleged victim could have resorted to a judicial action to review the administrative decision of the Amnesty Commission and did not do so. Finally, as regards the surgical procedure, the State points out that no application was filed by the alleged victim to secure access to that health care service.</w:t>
      </w:r>
    </w:p>
    <w:p w:rsidR="00BE0963" w:rsidRPr="00707E6F" w:rsidRDefault="005448CA"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rPr>
      </w:pPr>
      <w:r w:rsidRPr="00707E6F">
        <w:rPr>
          <w:rFonts w:asciiTheme="majorHAnsi" w:hAnsiTheme="majorHAnsi"/>
          <w:sz w:val="20"/>
        </w:rPr>
        <w:t xml:space="preserve">The Commission deems it appropriate first to pronounce on the State's request to split the petition. On this matter, the Commission has previously established that Article 29.4 of its Rules of Procedure does not require that the facts, victims, and alleged violations referred to in a petition be strictly interconnected in time and place in order to be joined and processed in a single case. The Commission has already processed individual cases involving innumerable alleged victims </w:t>
      </w:r>
      <w:r w:rsidR="00A9303E" w:rsidRPr="00707E6F">
        <w:rPr>
          <w:rFonts w:asciiTheme="majorHAnsi" w:hAnsiTheme="majorHAnsi"/>
          <w:sz w:val="20"/>
        </w:rPr>
        <w:t>claiming violations</w:t>
      </w:r>
      <w:r w:rsidRPr="00707E6F">
        <w:rPr>
          <w:rFonts w:asciiTheme="majorHAnsi" w:hAnsiTheme="majorHAnsi"/>
          <w:sz w:val="20"/>
        </w:rPr>
        <w:t xml:space="preserve"> committed at different times and places </w:t>
      </w:r>
      <w:r w:rsidR="00A9303E" w:rsidRPr="00707E6F">
        <w:rPr>
          <w:rFonts w:asciiTheme="majorHAnsi" w:hAnsiTheme="majorHAnsi"/>
          <w:sz w:val="20"/>
        </w:rPr>
        <w:t>but supposedly</w:t>
      </w:r>
      <w:r w:rsidRPr="00707E6F">
        <w:rPr>
          <w:rFonts w:asciiTheme="majorHAnsi" w:hAnsiTheme="majorHAnsi"/>
          <w:sz w:val="20"/>
        </w:rPr>
        <w:t xml:space="preserve"> stemming from the same origin, such as the application of legal provisions or the existence of one and the same pattern or practice.</w:t>
      </w:r>
      <w:r w:rsidR="00235041" w:rsidRPr="00707E6F">
        <w:rPr>
          <w:rStyle w:val="FootnoteReference"/>
          <w:rFonts w:asciiTheme="majorHAnsi" w:hAnsiTheme="majorHAnsi"/>
          <w:sz w:val="20"/>
          <w:szCs w:val="20"/>
        </w:rPr>
        <w:t xml:space="preserve"> </w:t>
      </w:r>
      <w:r w:rsidR="00235041" w:rsidRPr="00707E6F">
        <w:rPr>
          <w:rStyle w:val="FootnoteReference"/>
          <w:rFonts w:asciiTheme="majorHAnsi" w:hAnsiTheme="majorHAnsi"/>
          <w:sz w:val="20"/>
          <w:szCs w:val="20"/>
          <w:lang w:val="pt-BR"/>
        </w:rPr>
        <w:footnoteReference w:id="6"/>
      </w:r>
      <w:r w:rsidRPr="00707E6F">
        <w:rPr>
          <w:rFonts w:asciiTheme="majorHAnsi" w:hAnsiTheme="majorHAnsi"/>
          <w:sz w:val="20"/>
        </w:rPr>
        <w:t xml:space="preserve"> The facts alleged in the instant petition refer to failure to investigate and charge the perpetrators of the attack on Mr. Ibanhes and his wife, an alleged lack of impartiality on the part of judicial authorities</w:t>
      </w:r>
      <w:r w:rsidR="007346CF" w:rsidRPr="00707E6F">
        <w:rPr>
          <w:rFonts w:asciiTheme="majorHAnsi" w:hAnsiTheme="majorHAnsi"/>
          <w:sz w:val="20"/>
        </w:rPr>
        <w:t>,</w:t>
      </w:r>
      <w:r w:rsidRPr="00707E6F">
        <w:rPr>
          <w:rFonts w:asciiTheme="majorHAnsi" w:hAnsiTheme="majorHAnsi"/>
          <w:sz w:val="20"/>
        </w:rPr>
        <w:t xml:space="preserve"> and alleged ineffectiveness of the investigations. Therefore, the Commission concludes that, based on the information provided, the facts may be connected as each being consequences of Mr. Ibanhes' denunciations of corruption, and that Article 29.4 of the Rules of Procedure does not apply in this case.</w:t>
      </w:r>
    </w:p>
    <w:p w:rsidR="00BE0963" w:rsidRPr="00707E6F" w:rsidRDefault="00270839"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rPr>
      </w:pPr>
      <w:r w:rsidRPr="00707E6F">
        <w:rPr>
          <w:rFonts w:asciiTheme="majorHAnsi" w:hAnsiTheme="majorHAnsi"/>
          <w:sz w:val="20"/>
        </w:rPr>
        <w:t xml:space="preserve">The Commission observes that in situations such as this, involving potential violation of personal integrity, the remedies that have to be taken into account for admissibility of the petition purposes are those relating to the criminal </w:t>
      </w:r>
      <w:r w:rsidR="00A9303E" w:rsidRPr="00707E6F">
        <w:rPr>
          <w:rFonts w:asciiTheme="majorHAnsi" w:hAnsiTheme="majorHAnsi"/>
          <w:sz w:val="20"/>
        </w:rPr>
        <w:t>investigation</w:t>
      </w:r>
      <w:r w:rsidRPr="00707E6F">
        <w:rPr>
          <w:rFonts w:asciiTheme="majorHAnsi" w:hAnsiTheme="majorHAnsi"/>
          <w:sz w:val="20"/>
        </w:rPr>
        <w:t xml:space="preserve"> and punishment of the perpetrators.</w:t>
      </w:r>
      <w:r w:rsidRPr="00707E6F">
        <w:rPr>
          <w:vertAlign w:val="superscript"/>
        </w:rPr>
        <w:footnoteReference w:id="7"/>
      </w:r>
      <w:r w:rsidRPr="00707E6F">
        <w:rPr>
          <w:rFonts w:asciiTheme="majorHAnsi" w:hAnsiTheme="majorHAnsi"/>
          <w:sz w:val="20"/>
        </w:rPr>
        <w:t xml:space="preserve"> In short, in cases such as this, that fact that the alleged victims did or did not have recourse to civil jurisdiction to seek pecuniary compensation is not a determining factor for analysis of the exhaustion of domestic remedies.</w:t>
      </w:r>
      <w:r w:rsidRPr="00707E6F">
        <w:rPr>
          <w:vertAlign w:val="superscript"/>
        </w:rPr>
        <w:footnoteReference w:id="8"/>
      </w:r>
      <w:r w:rsidRPr="00707E6F">
        <w:rPr>
          <w:rFonts w:asciiTheme="majorHAnsi" w:hAnsiTheme="majorHAnsi"/>
          <w:sz w:val="20"/>
        </w:rPr>
        <w:t xml:space="preserve"> In light of the above, the Commission considers that domestic remedies were exhausted with the ruling handed down on October 16, 2012, archiving the police investigation into the attack on the alleged victims. Finally, the Commission stresses that the date taken into consideration for the purposes of the requirement set forth in Article 46.1.b of the American Convention is the date corresponding to the analysis of admissibility stage, not the date on which the alleged victims filed the petition. Similarly, given the context and characteristics of this petition, the Commission considers that it was filed within a reasonable period of time and that the admissibility requirement in Article 46.1.b of the American Convention regarding the timeliness of the filing of the petition should be considered met.</w:t>
      </w:r>
    </w:p>
    <w:p w:rsidR="003239B8" w:rsidRPr="00707E6F" w:rsidRDefault="006964A1" w:rsidP="00BE09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rPr>
      </w:pPr>
      <w:r w:rsidRPr="00707E6F">
        <w:rPr>
          <w:rFonts w:asciiTheme="majorHAnsi" w:hAnsiTheme="majorHAnsi"/>
          <w:sz w:val="20"/>
        </w:rPr>
        <w:t xml:space="preserve"> </w:t>
      </w:r>
      <w:r w:rsidRPr="00707E6F">
        <w:rPr>
          <w:rFonts w:asciiTheme="majorHAnsi" w:hAnsiTheme="majorHAnsi"/>
          <w:b/>
          <w:sz w:val="20"/>
        </w:rPr>
        <w:t>VII.</w:t>
      </w:r>
      <w:r w:rsidRPr="00707E6F">
        <w:tab/>
      </w:r>
      <w:r w:rsidRPr="00707E6F">
        <w:rPr>
          <w:rFonts w:asciiTheme="majorHAnsi" w:hAnsiTheme="majorHAnsi"/>
          <w:b/>
          <w:sz w:val="20"/>
        </w:rPr>
        <w:t>ANALYSIS OF COLORABLE CLAIM</w:t>
      </w:r>
    </w:p>
    <w:p w:rsidR="00BE0963" w:rsidRPr="00707E6F" w:rsidRDefault="00455678" w:rsidP="004556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707E6F">
        <w:rPr>
          <w:rFonts w:asciiTheme="majorHAnsi" w:hAnsiTheme="majorHAnsi"/>
          <w:sz w:val="20"/>
        </w:rPr>
        <w:t xml:space="preserve">The Commission observes that the petitioner has submitted allegations of threats and persecutions against the alleged victims and lack of effective judicial protection and investigation of such facts. In view of the elements presented by the parties and the nature of the matter brought to their attention, the IACHR considers that such facts are not manifestly unfounded and could characterize </w:t>
      </w:r>
      <w:r w:rsidR="00AB0171" w:rsidRPr="00707E6F">
        <w:rPr>
          <w:rFonts w:asciiTheme="majorHAnsi" w:hAnsiTheme="majorHAnsi"/>
          <w:sz w:val="20"/>
        </w:rPr>
        <w:t>possible violations of Articles 5 (personal integrity), 8 (judicial guarantees), 13 (freedom of thought and expression), and 25 (judicial protection) of the American Convention, all in conjunction with Article 1.1 thereof.</w:t>
      </w:r>
    </w:p>
    <w:p w:rsidR="00BE0963" w:rsidRPr="00707E6F" w:rsidRDefault="006964A1"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707E6F">
        <w:rPr>
          <w:rFonts w:asciiTheme="majorHAnsi" w:hAnsiTheme="majorHAnsi"/>
          <w:sz w:val="20"/>
        </w:rPr>
        <w:lastRenderedPageBreak/>
        <w:t xml:space="preserve">Finally, regarding the Universal Declaration of Human Rights, the IACHR lacks competence </w:t>
      </w:r>
      <w:r w:rsidRPr="00707E6F">
        <w:rPr>
          <w:rFonts w:asciiTheme="majorHAnsi" w:hAnsiTheme="majorHAnsi"/>
          <w:i/>
          <w:sz w:val="20"/>
        </w:rPr>
        <w:t>ratione materiae</w:t>
      </w:r>
      <w:r w:rsidRPr="00707E6F">
        <w:rPr>
          <w:rFonts w:asciiTheme="majorHAnsi" w:hAnsiTheme="majorHAnsi"/>
          <w:sz w:val="20"/>
        </w:rPr>
        <w:t xml:space="preserve"> to pronounce on violations of rights upheld in treaties outside the inter-American system, even though it may resort to patterns established in other treaties in order to interpret the provisions of the Convention pursuant to Article 29 of the Convention.</w:t>
      </w:r>
      <w:r w:rsidRPr="00707E6F">
        <w:rPr>
          <w:rStyle w:val="FootnoteReference"/>
          <w:rFonts w:asciiTheme="majorHAnsi" w:hAnsiTheme="majorHAnsi"/>
          <w:sz w:val="20"/>
        </w:rPr>
        <w:footnoteReference w:id="9"/>
      </w:r>
    </w:p>
    <w:p w:rsidR="003239B8" w:rsidRPr="005F6F4A" w:rsidRDefault="003239B8" w:rsidP="00BE09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5F6F4A">
        <w:rPr>
          <w:rFonts w:asciiTheme="majorHAnsi" w:hAnsiTheme="majorHAnsi"/>
          <w:b/>
          <w:sz w:val="20"/>
          <w:szCs w:val="20"/>
        </w:rPr>
        <w:t xml:space="preserve">VIII. </w:t>
      </w:r>
      <w:r w:rsidRPr="005F6F4A">
        <w:rPr>
          <w:rFonts w:asciiTheme="majorHAnsi" w:hAnsiTheme="majorHAnsi"/>
          <w:sz w:val="20"/>
          <w:szCs w:val="20"/>
        </w:rPr>
        <w:tab/>
      </w:r>
      <w:r w:rsidRPr="005F6F4A">
        <w:rPr>
          <w:rFonts w:asciiTheme="majorHAnsi" w:hAnsiTheme="majorHAnsi"/>
          <w:b/>
          <w:sz w:val="20"/>
          <w:szCs w:val="20"/>
        </w:rPr>
        <w:t>DECISION</w:t>
      </w:r>
    </w:p>
    <w:p w:rsidR="000419AD" w:rsidRPr="005F6F4A"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F6F4A">
        <w:rPr>
          <w:rFonts w:asciiTheme="majorHAnsi" w:hAnsiTheme="majorHAnsi"/>
          <w:sz w:val="20"/>
          <w:szCs w:val="20"/>
        </w:rPr>
        <w:t xml:space="preserve">To find the instant petition admissible in relation to Articles 5, 8, 13, and 25 of the American Convention, in conjunction with Article 1.1 thereof; </w:t>
      </w:r>
    </w:p>
    <w:p w:rsidR="00722C9F" w:rsidRPr="005F6F4A"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F6F4A">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5F6F4A" w:rsidRPr="005F6F4A" w:rsidRDefault="005F6F4A" w:rsidP="005F6F4A">
      <w:pPr>
        <w:suppressAutoHyphens/>
        <w:ind w:firstLine="720"/>
        <w:jc w:val="both"/>
        <w:rPr>
          <w:rFonts w:asciiTheme="majorHAnsi" w:hAnsiTheme="majorHAnsi"/>
          <w:spacing w:val="-2"/>
          <w:sz w:val="20"/>
          <w:szCs w:val="20"/>
        </w:rPr>
      </w:pPr>
      <w:r w:rsidRPr="005F6F4A">
        <w:rPr>
          <w:rFonts w:asciiTheme="majorHAnsi" w:hAnsiTheme="majorHAnsi"/>
          <w:spacing w:val="-2"/>
          <w:sz w:val="20"/>
          <w:szCs w:val="20"/>
        </w:rPr>
        <w:t xml:space="preserve">Approved by the Inter-American Commission on Human Rights on the </w:t>
      </w:r>
      <w:r>
        <w:rPr>
          <w:rFonts w:asciiTheme="majorHAnsi" w:hAnsiTheme="majorHAnsi"/>
          <w:spacing w:val="-2"/>
          <w:sz w:val="20"/>
          <w:szCs w:val="20"/>
        </w:rPr>
        <w:t>31</w:t>
      </w:r>
      <w:r w:rsidRPr="005F6F4A">
        <w:rPr>
          <w:rFonts w:asciiTheme="majorHAnsi" w:hAnsiTheme="majorHAnsi"/>
          <w:spacing w:val="-2"/>
          <w:sz w:val="20"/>
          <w:szCs w:val="20"/>
          <w:vertAlign w:val="superscript"/>
        </w:rPr>
        <w:t>th</w:t>
      </w:r>
      <w:r w:rsidRPr="005F6F4A">
        <w:rPr>
          <w:rFonts w:asciiTheme="majorHAnsi" w:hAnsiTheme="majorHAnsi"/>
          <w:spacing w:val="-2"/>
          <w:sz w:val="20"/>
          <w:szCs w:val="20"/>
        </w:rPr>
        <w:t xml:space="preserve"> day of the </w:t>
      </w:r>
      <w:r w:rsidR="00A87149">
        <w:rPr>
          <w:rFonts w:asciiTheme="majorHAnsi" w:hAnsiTheme="majorHAnsi"/>
          <w:spacing w:val="-2"/>
          <w:sz w:val="20"/>
          <w:szCs w:val="20"/>
        </w:rPr>
        <w:t xml:space="preserve">month of </w:t>
      </w:r>
      <w:r w:rsidRPr="005F6F4A">
        <w:rPr>
          <w:rFonts w:asciiTheme="majorHAnsi" w:hAnsiTheme="majorHAnsi"/>
          <w:spacing w:val="-2"/>
          <w:sz w:val="20"/>
          <w:szCs w:val="20"/>
        </w:rPr>
        <w:t xml:space="preserve">December, 2019. (Signed):  </w:t>
      </w:r>
      <w:r w:rsidRPr="005F6F4A">
        <w:rPr>
          <w:rFonts w:asciiTheme="majorHAnsi" w:hAnsiTheme="majorHAnsi" w:cs="Arial"/>
          <w:noProof/>
          <w:spacing w:val="-2"/>
          <w:sz w:val="20"/>
          <w:szCs w:val="20"/>
        </w:rPr>
        <w:t xml:space="preserve">Esmeralda E. Arosemena Bernal de Troitiño, </w:t>
      </w:r>
      <w:r w:rsidRPr="005F6F4A">
        <w:rPr>
          <w:rFonts w:asciiTheme="majorHAnsi" w:hAnsiTheme="majorHAnsi"/>
          <w:sz w:val="20"/>
          <w:szCs w:val="20"/>
        </w:rPr>
        <w:t xml:space="preserve">President; </w:t>
      </w:r>
      <w:r w:rsidRPr="005F6F4A">
        <w:rPr>
          <w:rFonts w:asciiTheme="majorHAnsi" w:hAnsiTheme="majorHAnsi" w:cs="Arial"/>
          <w:noProof/>
          <w:spacing w:val="-2"/>
          <w:sz w:val="20"/>
          <w:szCs w:val="20"/>
        </w:rPr>
        <w:t xml:space="preserve">Joel Hernández, </w:t>
      </w:r>
      <w:r w:rsidRPr="005F6F4A">
        <w:rPr>
          <w:rFonts w:asciiTheme="majorHAnsi" w:hAnsiTheme="majorHAnsi"/>
          <w:spacing w:val="-2"/>
          <w:sz w:val="20"/>
          <w:szCs w:val="20"/>
        </w:rPr>
        <w:t>First Vice President;</w:t>
      </w:r>
      <w:r w:rsidRPr="005F6F4A">
        <w:rPr>
          <w:rFonts w:asciiTheme="majorHAnsi" w:hAnsiTheme="majorHAnsi" w:cs="Arial"/>
          <w:noProof/>
          <w:spacing w:val="-2"/>
          <w:sz w:val="20"/>
          <w:szCs w:val="20"/>
        </w:rPr>
        <w:t xml:space="preserve"> Antonia Urrejola, Second Vice President; Margarette May Macaulay, Francisco José Eguiguren,</w:t>
      </w:r>
      <w:r>
        <w:rPr>
          <w:rFonts w:asciiTheme="majorHAnsi" w:hAnsiTheme="majorHAnsi" w:cs="Arial"/>
          <w:noProof/>
          <w:spacing w:val="-2"/>
          <w:sz w:val="20"/>
          <w:szCs w:val="20"/>
        </w:rPr>
        <w:t xml:space="preserve"> and Luis Ernesto Vargas Silva</w:t>
      </w:r>
      <w:r w:rsidRPr="005F6F4A">
        <w:rPr>
          <w:rFonts w:asciiTheme="majorHAnsi" w:hAnsiTheme="majorHAnsi"/>
          <w:spacing w:val="-2"/>
          <w:sz w:val="20"/>
          <w:szCs w:val="20"/>
        </w:rPr>
        <w:t>.</w:t>
      </w:r>
    </w:p>
    <w:p w:rsidR="005F6F4A" w:rsidRPr="005F6F4A" w:rsidRDefault="005F6F4A" w:rsidP="005F6F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5F6F4A" w:rsidRPr="005F6F4A"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D1745" w16cid:durableId="20924771"/>
  <w16cid:commentId w16cid:paraId="13C4711B" w16cid:durableId="209247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38" w:rsidRDefault="00D84738">
      <w:r>
        <w:separator/>
      </w:r>
    </w:p>
  </w:endnote>
  <w:endnote w:type="continuationSeparator" w:id="0">
    <w:p w:rsidR="00D84738" w:rsidRDefault="00D8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1F" w:rsidRDefault="00F04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60254">
          <w:rPr>
            <w:noProof/>
            <w:sz w:val="16"/>
            <w:szCs w:val="22"/>
          </w:rPr>
          <w:t>2</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38" w:rsidRPr="000F35ED" w:rsidRDefault="00D8473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84738" w:rsidRPr="000F35ED" w:rsidRDefault="00D84738" w:rsidP="000F35ED">
      <w:pPr>
        <w:rPr>
          <w:rFonts w:asciiTheme="majorHAnsi" w:hAnsiTheme="majorHAnsi"/>
          <w:sz w:val="16"/>
          <w:szCs w:val="16"/>
        </w:rPr>
      </w:pPr>
      <w:r w:rsidRPr="000F35ED">
        <w:rPr>
          <w:rFonts w:asciiTheme="majorHAnsi" w:hAnsiTheme="majorHAnsi"/>
          <w:sz w:val="16"/>
          <w:szCs w:val="16"/>
        </w:rPr>
        <w:separator/>
      </w:r>
    </w:p>
    <w:p w:rsidR="00D84738" w:rsidRPr="000F35ED" w:rsidRDefault="00D84738" w:rsidP="000F35ED">
      <w:pPr>
        <w:pStyle w:val="Footer"/>
        <w:rPr>
          <w:rFonts w:asciiTheme="majorHAnsi" w:hAnsiTheme="majorHAnsi"/>
          <w:sz w:val="16"/>
          <w:szCs w:val="16"/>
        </w:rPr>
      </w:pPr>
      <w:r>
        <w:rPr>
          <w:rFonts w:asciiTheme="majorHAnsi" w:hAnsiTheme="majorHAnsi"/>
          <w:sz w:val="16"/>
          <w:szCs w:val="16"/>
        </w:rPr>
        <w:t>[… cont.]</w:t>
      </w:r>
    </w:p>
  </w:footnote>
  <w:footnote w:type="continuationNotice" w:id="1">
    <w:p w:rsidR="00D84738" w:rsidRPr="000F35ED" w:rsidRDefault="00D84738" w:rsidP="000F35ED">
      <w:pPr>
        <w:jc w:val="right"/>
        <w:rPr>
          <w:rFonts w:asciiTheme="majorHAnsi" w:hAnsiTheme="majorHAnsi"/>
          <w:sz w:val="16"/>
          <w:szCs w:val="16"/>
          <w:lang w:val="es-ES"/>
        </w:rPr>
      </w:pPr>
      <w:r>
        <w:rPr>
          <w:rFonts w:asciiTheme="majorHAnsi" w:hAnsiTheme="majorHAnsi"/>
          <w:sz w:val="16"/>
          <w:szCs w:val="16"/>
          <w:lang w:val="es-ES"/>
        </w:rPr>
        <w:t>[cont.]</w:t>
      </w:r>
    </w:p>
  </w:footnote>
  <w:footnote w:id="2">
    <w:p w:rsidR="004A6A54" w:rsidRPr="008C4263" w:rsidRDefault="004A6A54" w:rsidP="006731A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Pursuant to Article 17.2 of the Rules of Procedure of the Commission, Commissioner Flavia Piovesan, a Brazilian national, did not participate in the discussion or decision of this case.</w:t>
      </w:r>
    </w:p>
  </w:footnote>
  <w:footnote w:id="3">
    <w:p w:rsidR="00E65A1D" w:rsidRPr="008C4263" w:rsidRDefault="00E65A1D" w:rsidP="006731A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The alleged victims merely list articles of the Universal Declaration of Human Rights.</w:t>
      </w:r>
    </w:p>
  </w:footnote>
  <w:footnote w:id="4">
    <w:p w:rsidR="008E3BFE" w:rsidRPr="008C4263" w:rsidRDefault="008E3BFE" w:rsidP="006731A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All observations were duly relayed between the Parties.</w:t>
      </w:r>
    </w:p>
  </w:footnote>
  <w:footnote w:id="5">
    <w:p w:rsidR="006731A1" w:rsidRPr="008C4263" w:rsidRDefault="006731A1" w:rsidP="006731A1">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Hereinafter "American Convention" or "Convention".</w:t>
      </w:r>
    </w:p>
  </w:footnote>
  <w:footnote w:id="6">
    <w:p w:rsidR="00235041" w:rsidRPr="00F805EC" w:rsidRDefault="00235041" w:rsidP="00235041">
      <w:pPr>
        <w:pStyle w:val="FootnoteText"/>
        <w:jc w:val="both"/>
      </w:pPr>
      <w:r w:rsidRPr="00707E6F">
        <w:rPr>
          <w:rStyle w:val="FootnoteReference"/>
        </w:rPr>
        <w:footnoteRef/>
      </w:r>
      <w:r w:rsidRPr="00707E6F">
        <w:t xml:space="preserve"> </w:t>
      </w:r>
      <w:r w:rsidRPr="00707E6F">
        <w:rPr>
          <w:rFonts w:ascii="Cambria" w:hAnsi="Cambria"/>
          <w:sz w:val="16"/>
          <w:szCs w:val="16"/>
        </w:rPr>
        <w:t>CIDH, Report No. 113/17.</w:t>
      </w:r>
      <w:r w:rsidRPr="00707E6F">
        <w:rPr>
          <w:rFonts w:asciiTheme="majorHAnsi" w:hAnsiTheme="majorHAnsi"/>
          <w:color w:val="auto"/>
          <w:sz w:val="16"/>
          <w:szCs w:val="16"/>
        </w:rPr>
        <w:t xml:space="preserve"> Petition</w:t>
      </w:r>
      <w:r w:rsidRPr="00707E6F">
        <w:rPr>
          <w:rFonts w:ascii="Cambria" w:hAnsi="Cambria"/>
          <w:sz w:val="16"/>
          <w:szCs w:val="16"/>
        </w:rPr>
        <w:t xml:space="preserve"> 1141-07. Admisibility Alfredo Manuel Martínez Meza and others. Colombia. September 7, 2017, par. 2 y 3.</w:t>
      </w:r>
    </w:p>
  </w:footnote>
  <w:footnote w:id="7">
    <w:p w:rsidR="000D67CE" w:rsidRPr="00A87149" w:rsidRDefault="000D67CE" w:rsidP="006731A1">
      <w:pPr>
        <w:pStyle w:val="FootnoteText"/>
        <w:jc w:val="both"/>
        <w:rPr>
          <w:rFonts w:asciiTheme="majorHAnsi" w:hAnsiTheme="majorHAnsi"/>
          <w:color w:val="auto"/>
          <w:sz w:val="16"/>
          <w:szCs w:val="16"/>
          <w:lang w:val="es-US"/>
        </w:rPr>
      </w:pPr>
      <w:r>
        <w:rPr>
          <w:rStyle w:val="FootnoteReference"/>
          <w:rFonts w:asciiTheme="majorHAnsi" w:hAnsiTheme="majorHAnsi"/>
          <w:color w:val="auto"/>
          <w:sz w:val="16"/>
        </w:rPr>
        <w:footnoteRef/>
      </w:r>
      <w:r>
        <w:rPr>
          <w:rFonts w:asciiTheme="majorHAnsi" w:hAnsiTheme="majorHAnsi"/>
          <w:color w:val="auto"/>
          <w:sz w:val="16"/>
        </w:rPr>
        <w:t xml:space="preserve"> IACHR, Report No.72/18. Petition 1131-08 Admissibility. </w:t>
      </w:r>
      <w:r w:rsidRPr="005F6F4A">
        <w:rPr>
          <w:rFonts w:asciiTheme="majorHAnsi" w:hAnsiTheme="majorHAnsi"/>
          <w:color w:val="auto"/>
          <w:sz w:val="16"/>
          <w:lang w:val="es-US"/>
        </w:rPr>
        <w:t xml:space="preserve">Moisés de Jesús Hernández Pintoand family. </w:t>
      </w:r>
      <w:r w:rsidRPr="00A87149">
        <w:rPr>
          <w:rFonts w:asciiTheme="majorHAnsi" w:hAnsiTheme="majorHAnsi"/>
          <w:color w:val="auto"/>
          <w:sz w:val="16"/>
          <w:lang w:val="es-US"/>
        </w:rPr>
        <w:t>Guatemala. June 20, 2018, par. 10.</w:t>
      </w:r>
    </w:p>
  </w:footnote>
  <w:footnote w:id="8">
    <w:p w:rsidR="000D67CE" w:rsidRPr="00A87149" w:rsidRDefault="000D67CE" w:rsidP="006731A1">
      <w:pPr>
        <w:pStyle w:val="FootnoteText"/>
        <w:jc w:val="both"/>
        <w:rPr>
          <w:rFonts w:asciiTheme="majorHAnsi" w:hAnsiTheme="majorHAnsi"/>
          <w:color w:val="auto"/>
          <w:sz w:val="16"/>
          <w:szCs w:val="16"/>
          <w:lang w:val="es-US"/>
        </w:rPr>
      </w:pPr>
      <w:r>
        <w:rPr>
          <w:rStyle w:val="FootnoteReference"/>
          <w:rFonts w:asciiTheme="majorHAnsi" w:hAnsiTheme="majorHAnsi"/>
          <w:color w:val="auto"/>
          <w:sz w:val="16"/>
        </w:rPr>
        <w:footnoteRef/>
      </w:r>
      <w:r w:rsidRPr="00A87149">
        <w:rPr>
          <w:rFonts w:asciiTheme="majorHAnsi" w:hAnsiTheme="majorHAnsi"/>
          <w:color w:val="auto"/>
          <w:sz w:val="16"/>
          <w:lang w:val="es-US"/>
        </w:rPr>
        <w:t xml:space="preserve"> IACHR, Report No.105/17</w:t>
      </w:r>
      <w:r w:rsidRPr="00A87149">
        <w:rPr>
          <w:lang w:val="es-US"/>
        </w:rPr>
        <w:t>.</w:t>
      </w:r>
      <w:r w:rsidRPr="00A87149">
        <w:rPr>
          <w:rFonts w:asciiTheme="majorHAnsi" w:hAnsiTheme="majorHAnsi"/>
          <w:color w:val="auto"/>
          <w:sz w:val="16"/>
          <w:lang w:val="es-US"/>
        </w:rPr>
        <w:t xml:space="preserve"> Petition 798-07 Admissibility. David Valderrama Opazo et al. Chile September 7, 2017, par. 11.</w:t>
      </w:r>
    </w:p>
  </w:footnote>
  <w:footnote w:id="9">
    <w:p w:rsidR="006964A1" w:rsidRPr="00BE0963" w:rsidRDefault="006964A1" w:rsidP="006964A1">
      <w:pPr>
        <w:pStyle w:val="FootnoteText"/>
        <w:jc w:val="both"/>
        <w:rPr>
          <w:rFonts w:ascii="Cambria" w:hAnsi="Cambria"/>
          <w:sz w:val="16"/>
          <w:szCs w:val="16"/>
          <w:lang w:val="pt-BR"/>
        </w:rPr>
      </w:pPr>
      <w:r>
        <w:rPr>
          <w:rStyle w:val="FootnoteReference"/>
          <w:rFonts w:ascii="Cambria" w:hAnsi="Cambria"/>
          <w:sz w:val="16"/>
        </w:rPr>
        <w:footnoteRef/>
      </w:r>
      <w:r w:rsidRPr="00A87149">
        <w:rPr>
          <w:rFonts w:ascii="Cambria" w:hAnsi="Cambria"/>
          <w:sz w:val="16"/>
          <w:lang w:val="es-US"/>
        </w:rPr>
        <w:t xml:space="preserve"> IACHR. Report No. 26/17,</w:t>
      </w:r>
      <w:r w:rsidRPr="00A87149">
        <w:rPr>
          <w:rFonts w:asciiTheme="majorHAnsi" w:hAnsiTheme="majorHAnsi"/>
          <w:color w:val="auto"/>
          <w:sz w:val="16"/>
          <w:lang w:val="es-US"/>
        </w:rPr>
        <w:t xml:space="preserve"> Petition </w:t>
      </w:r>
      <w:r w:rsidRPr="00A87149">
        <w:rPr>
          <w:rFonts w:ascii="Cambria" w:hAnsi="Cambria"/>
          <w:sz w:val="16"/>
          <w:lang w:val="es-US"/>
        </w:rPr>
        <w:t xml:space="preserve">1208-08. </w:t>
      </w:r>
      <w:r>
        <w:rPr>
          <w:rFonts w:ascii="Cambria" w:hAnsi="Cambria"/>
          <w:sz w:val="16"/>
        </w:rPr>
        <w:t xml:space="preserve">Admissibility. William Olaya Moreno and family. Colombia.  March 18, 2017, par.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AC1BC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43" w:rsidRDefault="00442B43" w:rsidP="00442B43">
    <w:pPr>
      <w:pStyle w:val="Header"/>
      <w:tabs>
        <w:tab w:val="clear" w:pos="4320"/>
        <w:tab w:val="clear" w:pos="8640"/>
      </w:tabs>
      <w:jc w:val="center"/>
      <w:rPr>
        <w:sz w:val="22"/>
        <w:szCs w:val="22"/>
      </w:rPr>
    </w:pPr>
    <w:r>
      <w:rPr>
        <w:noProof/>
        <w:sz w:val="22"/>
        <w:szCs w:val="22"/>
        <w:lang w:bidi="ar-SA"/>
      </w:rPr>
      <w:drawing>
        <wp:inline distT="0" distB="0" distL="0" distR="0" wp14:anchorId="07830F3E" wp14:editId="49EC721F">
          <wp:extent cx="2209800" cy="117396"/>
          <wp:effectExtent l="0" t="0" r="0" b="0"/>
          <wp:docPr id="3" name="Picture 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84738" w:rsidP="00A50FCF">
    <w:pPr>
      <w:pStyle w:val="Header"/>
      <w:tabs>
        <w:tab w:val="clear" w:pos="4320"/>
        <w:tab w:val="clear" w:pos="8640"/>
      </w:tabs>
      <w:jc w:val="center"/>
      <w:rPr>
        <w:sz w:val="22"/>
        <w:szCs w:val="22"/>
      </w:rPr>
    </w:pPr>
    <w:r>
      <w:rPr>
        <w:noProof/>
        <w:sz w:val="22"/>
        <w:szCs w:val="22"/>
        <w:bdr w:val="nil"/>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1F" w:rsidRDefault="00F04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536F674"/>
    <w:lvl w:ilvl="0" w:tplc="843A140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8FAEkt9IMtAAAA"/>
  </w:docVars>
  <w:rsids>
    <w:rsidRoot w:val="006B2D5C"/>
    <w:rsid w:val="0000036F"/>
    <w:rsid w:val="00000CDA"/>
    <w:rsid w:val="00006E1F"/>
    <w:rsid w:val="000070D7"/>
    <w:rsid w:val="0001077F"/>
    <w:rsid w:val="00011FFE"/>
    <w:rsid w:val="00012FBC"/>
    <w:rsid w:val="00013F86"/>
    <w:rsid w:val="0001788C"/>
    <w:rsid w:val="00020088"/>
    <w:rsid w:val="000337EF"/>
    <w:rsid w:val="00037A24"/>
    <w:rsid w:val="00040C3A"/>
    <w:rsid w:val="000419AD"/>
    <w:rsid w:val="000433C9"/>
    <w:rsid w:val="00044D36"/>
    <w:rsid w:val="000502FC"/>
    <w:rsid w:val="00054882"/>
    <w:rsid w:val="000716C5"/>
    <w:rsid w:val="00075E23"/>
    <w:rsid w:val="0009220C"/>
    <w:rsid w:val="0009344A"/>
    <w:rsid w:val="000A392E"/>
    <w:rsid w:val="000A575F"/>
    <w:rsid w:val="000C7AB1"/>
    <w:rsid w:val="000D10DB"/>
    <w:rsid w:val="000D67CE"/>
    <w:rsid w:val="000E38E8"/>
    <w:rsid w:val="000E5EB5"/>
    <w:rsid w:val="000F17ED"/>
    <w:rsid w:val="000F35ED"/>
    <w:rsid w:val="00106975"/>
    <w:rsid w:val="00107131"/>
    <w:rsid w:val="0010736F"/>
    <w:rsid w:val="0011093E"/>
    <w:rsid w:val="00113F73"/>
    <w:rsid w:val="00121CC2"/>
    <w:rsid w:val="0012544E"/>
    <w:rsid w:val="00126384"/>
    <w:rsid w:val="00132621"/>
    <w:rsid w:val="00133EE5"/>
    <w:rsid w:val="00153357"/>
    <w:rsid w:val="00154538"/>
    <w:rsid w:val="00167A34"/>
    <w:rsid w:val="00186097"/>
    <w:rsid w:val="00187E98"/>
    <w:rsid w:val="00190843"/>
    <w:rsid w:val="00191188"/>
    <w:rsid w:val="001A7870"/>
    <w:rsid w:val="001B3A00"/>
    <w:rsid w:val="001B4ED3"/>
    <w:rsid w:val="001C1B41"/>
    <w:rsid w:val="001D0A9D"/>
    <w:rsid w:val="001D313E"/>
    <w:rsid w:val="001D65EF"/>
    <w:rsid w:val="001D774B"/>
    <w:rsid w:val="001E49E7"/>
    <w:rsid w:val="001F2FBF"/>
    <w:rsid w:val="001F7201"/>
    <w:rsid w:val="002019B9"/>
    <w:rsid w:val="00207513"/>
    <w:rsid w:val="0020784E"/>
    <w:rsid w:val="00223A29"/>
    <w:rsid w:val="002250A3"/>
    <w:rsid w:val="0022736D"/>
    <w:rsid w:val="00235041"/>
    <w:rsid w:val="00235217"/>
    <w:rsid w:val="0023596A"/>
    <w:rsid w:val="00236E46"/>
    <w:rsid w:val="002402D1"/>
    <w:rsid w:val="00241A99"/>
    <w:rsid w:val="00246AA7"/>
    <w:rsid w:val="00246D1F"/>
    <w:rsid w:val="00247403"/>
    <w:rsid w:val="00247542"/>
    <w:rsid w:val="00262F35"/>
    <w:rsid w:val="0026644D"/>
    <w:rsid w:val="00266B61"/>
    <w:rsid w:val="00267005"/>
    <w:rsid w:val="0026712A"/>
    <w:rsid w:val="002704DB"/>
    <w:rsid w:val="00270839"/>
    <w:rsid w:val="002A0AAE"/>
    <w:rsid w:val="002A175A"/>
    <w:rsid w:val="002A5820"/>
    <w:rsid w:val="002B2D6C"/>
    <w:rsid w:val="002D0139"/>
    <w:rsid w:val="002D2B26"/>
    <w:rsid w:val="002D7EA2"/>
    <w:rsid w:val="002E0F97"/>
    <w:rsid w:val="002E187C"/>
    <w:rsid w:val="002E3645"/>
    <w:rsid w:val="002E4CCE"/>
    <w:rsid w:val="002E5477"/>
    <w:rsid w:val="002F1CD8"/>
    <w:rsid w:val="002F1DC0"/>
    <w:rsid w:val="002F3C91"/>
    <w:rsid w:val="00302733"/>
    <w:rsid w:val="00314078"/>
    <w:rsid w:val="0031535D"/>
    <w:rsid w:val="003158F9"/>
    <w:rsid w:val="003239B8"/>
    <w:rsid w:val="00324026"/>
    <w:rsid w:val="0033169F"/>
    <w:rsid w:val="00344268"/>
    <w:rsid w:val="00344977"/>
    <w:rsid w:val="003449BC"/>
    <w:rsid w:val="00346C95"/>
    <w:rsid w:val="00356185"/>
    <w:rsid w:val="00360380"/>
    <w:rsid w:val="003747F4"/>
    <w:rsid w:val="0037519E"/>
    <w:rsid w:val="00386CF0"/>
    <w:rsid w:val="0038709A"/>
    <w:rsid w:val="003A49B3"/>
    <w:rsid w:val="003B70FB"/>
    <w:rsid w:val="003C0EA5"/>
    <w:rsid w:val="003C2955"/>
    <w:rsid w:val="003C676B"/>
    <w:rsid w:val="003D3BC2"/>
    <w:rsid w:val="003D3DBA"/>
    <w:rsid w:val="003E6CA1"/>
    <w:rsid w:val="003F24F5"/>
    <w:rsid w:val="003F5070"/>
    <w:rsid w:val="003F7C39"/>
    <w:rsid w:val="00402390"/>
    <w:rsid w:val="004065A8"/>
    <w:rsid w:val="00412A95"/>
    <w:rsid w:val="004165C2"/>
    <w:rsid w:val="00420AE0"/>
    <w:rsid w:val="00423F2F"/>
    <w:rsid w:val="0042577D"/>
    <w:rsid w:val="00427AA6"/>
    <w:rsid w:val="0043697D"/>
    <w:rsid w:val="00441ECB"/>
    <w:rsid w:val="00442B43"/>
    <w:rsid w:val="00445193"/>
    <w:rsid w:val="00455678"/>
    <w:rsid w:val="00462C1B"/>
    <w:rsid w:val="00467B7E"/>
    <w:rsid w:val="004735D6"/>
    <w:rsid w:val="00473BB4"/>
    <w:rsid w:val="00476B0A"/>
    <w:rsid w:val="00477592"/>
    <w:rsid w:val="00486F1C"/>
    <w:rsid w:val="004935FE"/>
    <w:rsid w:val="0049419D"/>
    <w:rsid w:val="00495982"/>
    <w:rsid w:val="00497E16"/>
    <w:rsid w:val="004A1084"/>
    <w:rsid w:val="004A3078"/>
    <w:rsid w:val="004A6425"/>
    <w:rsid w:val="004A6A54"/>
    <w:rsid w:val="004C20D2"/>
    <w:rsid w:val="004C2312"/>
    <w:rsid w:val="004C36B5"/>
    <w:rsid w:val="004C4B62"/>
    <w:rsid w:val="004C54C9"/>
    <w:rsid w:val="004C69F3"/>
    <w:rsid w:val="004D3406"/>
    <w:rsid w:val="004D4ABA"/>
    <w:rsid w:val="004D6025"/>
    <w:rsid w:val="004E2649"/>
    <w:rsid w:val="004E3577"/>
    <w:rsid w:val="004E5918"/>
    <w:rsid w:val="004E7F98"/>
    <w:rsid w:val="004F7C25"/>
    <w:rsid w:val="00501399"/>
    <w:rsid w:val="0050633D"/>
    <w:rsid w:val="00507BC4"/>
    <w:rsid w:val="005128E4"/>
    <w:rsid w:val="005133DB"/>
    <w:rsid w:val="0052502E"/>
    <w:rsid w:val="00525560"/>
    <w:rsid w:val="005344F5"/>
    <w:rsid w:val="00535860"/>
    <w:rsid w:val="00536FBF"/>
    <w:rsid w:val="005448CA"/>
    <w:rsid w:val="00544C49"/>
    <w:rsid w:val="00544F56"/>
    <w:rsid w:val="005516A1"/>
    <w:rsid w:val="0055374A"/>
    <w:rsid w:val="00563557"/>
    <w:rsid w:val="0057402A"/>
    <w:rsid w:val="005771D0"/>
    <w:rsid w:val="00582F07"/>
    <w:rsid w:val="0058316F"/>
    <w:rsid w:val="00590307"/>
    <w:rsid w:val="0059120E"/>
    <w:rsid w:val="0059191A"/>
    <w:rsid w:val="005921FF"/>
    <w:rsid w:val="0059232C"/>
    <w:rsid w:val="005A24ED"/>
    <w:rsid w:val="005A6D0E"/>
    <w:rsid w:val="005B52B0"/>
    <w:rsid w:val="005B6806"/>
    <w:rsid w:val="005C4225"/>
    <w:rsid w:val="005C75FA"/>
    <w:rsid w:val="005D4B40"/>
    <w:rsid w:val="005D4B73"/>
    <w:rsid w:val="005E25FA"/>
    <w:rsid w:val="005F0DAD"/>
    <w:rsid w:val="005F0F33"/>
    <w:rsid w:val="005F6F4A"/>
    <w:rsid w:val="00600DEB"/>
    <w:rsid w:val="00602B70"/>
    <w:rsid w:val="00606ECD"/>
    <w:rsid w:val="006076FB"/>
    <w:rsid w:val="00623205"/>
    <w:rsid w:val="00624D3F"/>
    <w:rsid w:val="00627C9F"/>
    <w:rsid w:val="006311E9"/>
    <w:rsid w:val="00632354"/>
    <w:rsid w:val="00642810"/>
    <w:rsid w:val="006437C8"/>
    <w:rsid w:val="00643ED3"/>
    <w:rsid w:val="00652333"/>
    <w:rsid w:val="0067111D"/>
    <w:rsid w:val="006731A1"/>
    <w:rsid w:val="006756D8"/>
    <w:rsid w:val="0068009E"/>
    <w:rsid w:val="00692219"/>
    <w:rsid w:val="006964A1"/>
    <w:rsid w:val="006A17D2"/>
    <w:rsid w:val="006A20E7"/>
    <w:rsid w:val="006A73E6"/>
    <w:rsid w:val="006B2D5C"/>
    <w:rsid w:val="006B5EE6"/>
    <w:rsid w:val="006C455B"/>
    <w:rsid w:val="006C4EB1"/>
    <w:rsid w:val="006D1B8B"/>
    <w:rsid w:val="006E0166"/>
    <w:rsid w:val="006E4528"/>
    <w:rsid w:val="006E7B34"/>
    <w:rsid w:val="006F37A5"/>
    <w:rsid w:val="0070697F"/>
    <w:rsid w:val="00707E6F"/>
    <w:rsid w:val="00711F05"/>
    <w:rsid w:val="0072199C"/>
    <w:rsid w:val="00722C9F"/>
    <w:rsid w:val="007253B8"/>
    <w:rsid w:val="007346CF"/>
    <w:rsid w:val="0073741F"/>
    <w:rsid w:val="007425AA"/>
    <w:rsid w:val="00756D7E"/>
    <w:rsid w:val="0076643F"/>
    <w:rsid w:val="007665A8"/>
    <w:rsid w:val="00767862"/>
    <w:rsid w:val="0077496E"/>
    <w:rsid w:val="00777F63"/>
    <w:rsid w:val="0078395A"/>
    <w:rsid w:val="00791779"/>
    <w:rsid w:val="007A5817"/>
    <w:rsid w:val="007A6353"/>
    <w:rsid w:val="007B05C4"/>
    <w:rsid w:val="007B60E9"/>
    <w:rsid w:val="007B6CC3"/>
    <w:rsid w:val="007B76D3"/>
    <w:rsid w:val="007C3334"/>
    <w:rsid w:val="007D03AD"/>
    <w:rsid w:val="007D2B98"/>
    <w:rsid w:val="007E21BC"/>
    <w:rsid w:val="007E7C82"/>
    <w:rsid w:val="007F0209"/>
    <w:rsid w:val="007F076B"/>
    <w:rsid w:val="007F588D"/>
    <w:rsid w:val="00803F1C"/>
    <w:rsid w:val="0080600E"/>
    <w:rsid w:val="00806097"/>
    <w:rsid w:val="0081310B"/>
    <w:rsid w:val="00817612"/>
    <w:rsid w:val="008204C6"/>
    <w:rsid w:val="00820FA4"/>
    <w:rsid w:val="0082644D"/>
    <w:rsid w:val="008338A4"/>
    <w:rsid w:val="00834D49"/>
    <w:rsid w:val="00837C45"/>
    <w:rsid w:val="00844730"/>
    <w:rsid w:val="008457C2"/>
    <w:rsid w:val="00850715"/>
    <w:rsid w:val="0085524A"/>
    <w:rsid w:val="00856044"/>
    <w:rsid w:val="00857A82"/>
    <w:rsid w:val="008709AF"/>
    <w:rsid w:val="00873836"/>
    <w:rsid w:val="00875E8C"/>
    <w:rsid w:val="00885737"/>
    <w:rsid w:val="00885BE9"/>
    <w:rsid w:val="00890650"/>
    <w:rsid w:val="00897E12"/>
    <w:rsid w:val="008A7E0F"/>
    <w:rsid w:val="008B12F5"/>
    <w:rsid w:val="008B20E8"/>
    <w:rsid w:val="008C4263"/>
    <w:rsid w:val="008D2468"/>
    <w:rsid w:val="008D768D"/>
    <w:rsid w:val="008E3759"/>
    <w:rsid w:val="008E3BFE"/>
    <w:rsid w:val="008F1912"/>
    <w:rsid w:val="0090270B"/>
    <w:rsid w:val="009041DC"/>
    <w:rsid w:val="0091122D"/>
    <w:rsid w:val="00913B85"/>
    <w:rsid w:val="009146A2"/>
    <w:rsid w:val="00917B5A"/>
    <w:rsid w:val="00920A58"/>
    <w:rsid w:val="00920A8C"/>
    <w:rsid w:val="00934841"/>
    <w:rsid w:val="00934A2C"/>
    <w:rsid w:val="00946B3C"/>
    <w:rsid w:val="00953487"/>
    <w:rsid w:val="00962936"/>
    <w:rsid w:val="00966A2F"/>
    <w:rsid w:val="0096706E"/>
    <w:rsid w:val="00970AF2"/>
    <w:rsid w:val="00974491"/>
    <w:rsid w:val="00975C4E"/>
    <w:rsid w:val="00981FBA"/>
    <w:rsid w:val="00997BC5"/>
    <w:rsid w:val="009A4479"/>
    <w:rsid w:val="009A4F41"/>
    <w:rsid w:val="009B381B"/>
    <w:rsid w:val="009D1753"/>
    <w:rsid w:val="009D7611"/>
    <w:rsid w:val="009D79D7"/>
    <w:rsid w:val="009E0B61"/>
    <w:rsid w:val="009E53DE"/>
    <w:rsid w:val="009E773C"/>
    <w:rsid w:val="00A11212"/>
    <w:rsid w:val="00A11E44"/>
    <w:rsid w:val="00A20200"/>
    <w:rsid w:val="00A31EA7"/>
    <w:rsid w:val="00A328B3"/>
    <w:rsid w:val="00A37F2E"/>
    <w:rsid w:val="00A42760"/>
    <w:rsid w:val="00A50FCF"/>
    <w:rsid w:val="00A528D1"/>
    <w:rsid w:val="00A53003"/>
    <w:rsid w:val="00A5576A"/>
    <w:rsid w:val="00A610CD"/>
    <w:rsid w:val="00A63A51"/>
    <w:rsid w:val="00A7223F"/>
    <w:rsid w:val="00A758AA"/>
    <w:rsid w:val="00A75CC3"/>
    <w:rsid w:val="00A8027E"/>
    <w:rsid w:val="00A87149"/>
    <w:rsid w:val="00A9055A"/>
    <w:rsid w:val="00A9303E"/>
    <w:rsid w:val="00AA09A2"/>
    <w:rsid w:val="00AA55A8"/>
    <w:rsid w:val="00AA5B6F"/>
    <w:rsid w:val="00AA7996"/>
    <w:rsid w:val="00AB0171"/>
    <w:rsid w:val="00AC19CB"/>
    <w:rsid w:val="00AC1BC8"/>
    <w:rsid w:val="00AC4A6A"/>
    <w:rsid w:val="00AE5488"/>
    <w:rsid w:val="00AE6453"/>
    <w:rsid w:val="00AE6F91"/>
    <w:rsid w:val="00AF5571"/>
    <w:rsid w:val="00B05B23"/>
    <w:rsid w:val="00B07341"/>
    <w:rsid w:val="00B25760"/>
    <w:rsid w:val="00B30539"/>
    <w:rsid w:val="00B314DB"/>
    <w:rsid w:val="00B361F2"/>
    <w:rsid w:val="00B3718B"/>
    <w:rsid w:val="00B4632A"/>
    <w:rsid w:val="00B51266"/>
    <w:rsid w:val="00B530F1"/>
    <w:rsid w:val="00B6080C"/>
    <w:rsid w:val="00B65569"/>
    <w:rsid w:val="00B66BC4"/>
    <w:rsid w:val="00B75D71"/>
    <w:rsid w:val="00B77445"/>
    <w:rsid w:val="00B80D77"/>
    <w:rsid w:val="00B96DA3"/>
    <w:rsid w:val="00BA276C"/>
    <w:rsid w:val="00BA551B"/>
    <w:rsid w:val="00BB24CC"/>
    <w:rsid w:val="00BB306F"/>
    <w:rsid w:val="00BD368A"/>
    <w:rsid w:val="00BD4B89"/>
    <w:rsid w:val="00BD5922"/>
    <w:rsid w:val="00BE0963"/>
    <w:rsid w:val="00BF02CB"/>
    <w:rsid w:val="00BF6FD8"/>
    <w:rsid w:val="00C03680"/>
    <w:rsid w:val="00C0488C"/>
    <w:rsid w:val="00C054DF"/>
    <w:rsid w:val="00C11BEF"/>
    <w:rsid w:val="00C21762"/>
    <w:rsid w:val="00C21FEF"/>
    <w:rsid w:val="00C24543"/>
    <w:rsid w:val="00C256A2"/>
    <w:rsid w:val="00C33565"/>
    <w:rsid w:val="00C347E5"/>
    <w:rsid w:val="00C51515"/>
    <w:rsid w:val="00C5660B"/>
    <w:rsid w:val="00C56703"/>
    <w:rsid w:val="00C60254"/>
    <w:rsid w:val="00C66B72"/>
    <w:rsid w:val="00C845E1"/>
    <w:rsid w:val="00C87AC4"/>
    <w:rsid w:val="00C9567A"/>
    <w:rsid w:val="00CB212D"/>
    <w:rsid w:val="00CB2660"/>
    <w:rsid w:val="00CC5E90"/>
    <w:rsid w:val="00CD046C"/>
    <w:rsid w:val="00CE076C"/>
    <w:rsid w:val="00CE0884"/>
    <w:rsid w:val="00CE5199"/>
    <w:rsid w:val="00CE66D5"/>
    <w:rsid w:val="00CF51EC"/>
    <w:rsid w:val="00CF613D"/>
    <w:rsid w:val="00CF637A"/>
    <w:rsid w:val="00D059DE"/>
    <w:rsid w:val="00D05ABD"/>
    <w:rsid w:val="00D0698F"/>
    <w:rsid w:val="00D12C53"/>
    <w:rsid w:val="00D13FCE"/>
    <w:rsid w:val="00D21316"/>
    <w:rsid w:val="00D269E7"/>
    <w:rsid w:val="00D306D1"/>
    <w:rsid w:val="00D30800"/>
    <w:rsid w:val="00D33845"/>
    <w:rsid w:val="00D34786"/>
    <w:rsid w:val="00D358AF"/>
    <w:rsid w:val="00D37BFC"/>
    <w:rsid w:val="00D47A8E"/>
    <w:rsid w:val="00D5148F"/>
    <w:rsid w:val="00D52D14"/>
    <w:rsid w:val="00D53890"/>
    <w:rsid w:val="00D712D3"/>
    <w:rsid w:val="00D71422"/>
    <w:rsid w:val="00D71F6B"/>
    <w:rsid w:val="00D72DC6"/>
    <w:rsid w:val="00D7558D"/>
    <w:rsid w:val="00D77537"/>
    <w:rsid w:val="00D81D92"/>
    <w:rsid w:val="00D84738"/>
    <w:rsid w:val="00D876F9"/>
    <w:rsid w:val="00D9168B"/>
    <w:rsid w:val="00D97FDC"/>
    <w:rsid w:val="00DA2224"/>
    <w:rsid w:val="00DA7B5F"/>
    <w:rsid w:val="00DC11E7"/>
    <w:rsid w:val="00DC7023"/>
    <w:rsid w:val="00DC769A"/>
    <w:rsid w:val="00DD3D86"/>
    <w:rsid w:val="00DD4AD2"/>
    <w:rsid w:val="00DF1EC4"/>
    <w:rsid w:val="00DF3920"/>
    <w:rsid w:val="00E0340B"/>
    <w:rsid w:val="00E04A90"/>
    <w:rsid w:val="00E0551F"/>
    <w:rsid w:val="00E0716B"/>
    <w:rsid w:val="00E15B15"/>
    <w:rsid w:val="00E17F2E"/>
    <w:rsid w:val="00E219C7"/>
    <w:rsid w:val="00E25CAF"/>
    <w:rsid w:val="00E357DD"/>
    <w:rsid w:val="00E4118C"/>
    <w:rsid w:val="00E43157"/>
    <w:rsid w:val="00E4468C"/>
    <w:rsid w:val="00E45A3B"/>
    <w:rsid w:val="00E461CE"/>
    <w:rsid w:val="00E55C56"/>
    <w:rsid w:val="00E56462"/>
    <w:rsid w:val="00E5731F"/>
    <w:rsid w:val="00E640E0"/>
    <w:rsid w:val="00E649E7"/>
    <w:rsid w:val="00E65A1D"/>
    <w:rsid w:val="00E720CA"/>
    <w:rsid w:val="00E75C59"/>
    <w:rsid w:val="00E76471"/>
    <w:rsid w:val="00E76528"/>
    <w:rsid w:val="00E84825"/>
    <w:rsid w:val="00E84EB5"/>
    <w:rsid w:val="00E85662"/>
    <w:rsid w:val="00E8789F"/>
    <w:rsid w:val="00E97245"/>
    <w:rsid w:val="00E97B71"/>
    <w:rsid w:val="00EA3D34"/>
    <w:rsid w:val="00EB29F0"/>
    <w:rsid w:val="00EB454D"/>
    <w:rsid w:val="00ED25F7"/>
    <w:rsid w:val="00ED549D"/>
    <w:rsid w:val="00ED76BE"/>
    <w:rsid w:val="00EE00E9"/>
    <w:rsid w:val="00EF19A2"/>
    <w:rsid w:val="00EF2AF2"/>
    <w:rsid w:val="00EF619B"/>
    <w:rsid w:val="00EF7A23"/>
    <w:rsid w:val="00F00B55"/>
    <w:rsid w:val="00F01927"/>
    <w:rsid w:val="00F02AD1"/>
    <w:rsid w:val="00F0471F"/>
    <w:rsid w:val="00F06E7C"/>
    <w:rsid w:val="00F243F1"/>
    <w:rsid w:val="00F253CC"/>
    <w:rsid w:val="00F30B26"/>
    <w:rsid w:val="00F37106"/>
    <w:rsid w:val="00F519CF"/>
    <w:rsid w:val="00F56BA5"/>
    <w:rsid w:val="00F60E22"/>
    <w:rsid w:val="00F7173D"/>
    <w:rsid w:val="00F805EC"/>
    <w:rsid w:val="00F81395"/>
    <w:rsid w:val="00F81BB8"/>
    <w:rsid w:val="00F917D1"/>
    <w:rsid w:val="00F9653B"/>
    <w:rsid w:val="00F976B7"/>
    <w:rsid w:val="00FA4B13"/>
    <w:rsid w:val="00FA5C79"/>
    <w:rsid w:val="00FB4062"/>
    <w:rsid w:val="00FB62CF"/>
    <w:rsid w:val="00FD3C3B"/>
    <w:rsid w:val="00FD5213"/>
    <w:rsid w:val="00FE07DD"/>
    <w:rsid w:val="00FE412A"/>
    <w:rsid w:val="00FE6B45"/>
    <w:rsid w:val="00FE7E42"/>
    <w:rsid w:val="00FF38F6"/>
    <w:rsid w:val="00FF3ADE"/>
    <w:rsid w:val="00FF55F3"/>
    <w:rsid w:val="00FF56D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479"/>
    <w:rPr>
      <w:sz w:val="16"/>
      <w:szCs w:val="16"/>
    </w:rPr>
  </w:style>
  <w:style w:type="paragraph" w:styleId="CommentText">
    <w:name w:val="annotation text"/>
    <w:basedOn w:val="Normal"/>
    <w:link w:val="CommentTextChar"/>
    <w:uiPriority w:val="99"/>
    <w:semiHidden/>
    <w:unhideWhenUsed/>
    <w:rsid w:val="009A4479"/>
    <w:rPr>
      <w:sz w:val="20"/>
      <w:szCs w:val="20"/>
    </w:rPr>
  </w:style>
  <w:style w:type="character" w:customStyle="1" w:styleId="CommentTextChar">
    <w:name w:val="Comment Text Char"/>
    <w:basedOn w:val="DefaultParagraphFont"/>
    <w:link w:val="CommentText"/>
    <w:uiPriority w:val="99"/>
    <w:semiHidden/>
    <w:rsid w:val="009A4479"/>
    <w:rPr>
      <w:lang w:val="en-US" w:eastAsia="en-US"/>
    </w:rPr>
  </w:style>
  <w:style w:type="paragraph" w:styleId="CommentSubject">
    <w:name w:val="annotation subject"/>
    <w:basedOn w:val="CommentText"/>
    <w:next w:val="CommentText"/>
    <w:link w:val="CommentSubjectChar"/>
    <w:uiPriority w:val="99"/>
    <w:semiHidden/>
    <w:unhideWhenUsed/>
    <w:rsid w:val="009A4479"/>
    <w:rPr>
      <w:b/>
      <w:bCs/>
    </w:rPr>
  </w:style>
  <w:style w:type="character" w:customStyle="1" w:styleId="CommentSubjectChar">
    <w:name w:val="Comment Subject Char"/>
    <w:basedOn w:val="CommentTextChar"/>
    <w:link w:val="CommentSubject"/>
    <w:uiPriority w:val="99"/>
    <w:semiHidden/>
    <w:rsid w:val="009A4479"/>
    <w:rPr>
      <w:b/>
      <w:bCs/>
      <w:lang w:val="en-US" w:eastAsia="en-US"/>
    </w:rPr>
  </w:style>
  <w:style w:type="paragraph" w:styleId="HTMLPreformatted">
    <w:name w:val="HTML Preformatted"/>
    <w:basedOn w:val="Normal"/>
    <w:link w:val="HTMLPreformattedChar"/>
    <w:uiPriority w:val="99"/>
    <w:semiHidden/>
    <w:unhideWhenUsed/>
    <w:rsid w:val="008C426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pt-BR" w:eastAsia="pt-BR" w:bidi="ar-SA"/>
    </w:rPr>
  </w:style>
  <w:style w:type="character" w:customStyle="1" w:styleId="HTMLPreformattedChar">
    <w:name w:val="HTML Preformatted Char"/>
    <w:basedOn w:val="DefaultParagraphFont"/>
    <w:link w:val="HTMLPreformatted"/>
    <w:uiPriority w:val="99"/>
    <w:semiHidden/>
    <w:rsid w:val="008C4263"/>
    <w:rPr>
      <w:rFonts w:ascii="Courier New" w:eastAsia="Times New Roman" w:hAnsi="Courier New" w:cs="Courier New"/>
      <w:bdr w:val="none" w:sz="0" w:space="0" w:color="auto"/>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492">
      <w:bodyDiv w:val="1"/>
      <w:marLeft w:val="0"/>
      <w:marRight w:val="0"/>
      <w:marTop w:val="0"/>
      <w:marBottom w:val="0"/>
      <w:divBdr>
        <w:top w:val="none" w:sz="0" w:space="0" w:color="auto"/>
        <w:left w:val="none" w:sz="0" w:space="0" w:color="auto"/>
        <w:bottom w:val="none" w:sz="0" w:space="0" w:color="auto"/>
        <w:right w:val="none" w:sz="0" w:space="0" w:color="auto"/>
      </w:divBdr>
    </w:div>
    <w:div w:id="582032560">
      <w:bodyDiv w:val="1"/>
      <w:marLeft w:val="0"/>
      <w:marRight w:val="0"/>
      <w:marTop w:val="0"/>
      <w:marBottom w:val="0"/>
      <w:divBdr>
        <w:top w:val="none" w:sz="0" w:space="0" w:color="auto"/>
        <w:left w:val="none" w:sz="0" w:space="0" w:color="auto"/>
        <w:bottom w:val="none" w:sz="0" w:space="0" w:color="auto"/>
        <w:right w:val="none" w:sz="0" w:space="0" w:color="auto"/>
      </w:divBdr>
    </w:div>
    <w:div w:id="986977745">
      <w:bodyDiv w:val="1"/>
      <w:marLeft w:val="0"/>
      <w:marRight w:val="0"/>
      <w:marTop w:val="0"/>
      <w:marBottom w:val="0"/>
      <w:divBdr>
        <w:top w:val="none" w:sz="0" w:space="0" w:color="auto"/>
        <w:left w:val="none" w:sz="0" w:space="0" w:color="auto"/>
        <w:bottom w:val="none" w:sz="0" w:space="0" w:color="auto"/>
        <w:right w:val="none" w:sz="0" w:space="0" w:color="auto"/>
      </w:divBdr>
    </w:div>
    <w:div w:id="1006442660">
      <w:bodyDiv w:val="1"/>
      <w:marLeft w:val="0"/>
      <w:marRight w:val="0"/>
      <w:marTop w:val="0"/>
      <w:marBottom w:val="0"/>
      <w:divBdr>
        <w:top w:val="none" w:sz="0" w:space="0" w:color="auto"/>
        <w:left w:val="none" w:sz="0" w:space="0" w:color="auto"/>
        <w:bottom w:val="none" w:sz="0" w:space="0" w:color="auto"/>
        <w:right w:val="none" w:sz="0" w:space="0" w:color="auto"/>
      </w:divBdr>
    </w:div>
    <w:div w:id="1526989971">
      <w:bodyDiv w:val="1"/>
      <w:marLeft w:val="0"/>
      <w:marRight w:val="0"/>
      <w:marTop w:val="0"/>
      <w:marBottom w:val="0"/>
      <w:divBdr>
        <w:top w:val="none" w:sz="0" w:space="0" w:color="auto"/>
        <w:left w:val="none" w:sz="0" w:space="0" w:color="auto"/>
        <w:bottom w:val="none" w:sz="0" w:space="0" w:color="auto"/>
        <w:right w:val="none" w:sz="0" w:space="0" w:color="auto"/>
      </w:divBdr>
    </w:div>
    <w:div w:id="171862659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AC40-29D3-4CD1-9410-C3D6855F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2759</Words>
  <Characters>14408</Characters>
  <Application>Microsoft Office Word</Application>
  <DocSecurity>0</DocSecurity>
  <Lines>266</Lines>
  <Paragraphs>74</Paragraphs>
  <ScaleCrop>false</ScaleCrop>
  <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228/19</dc:title>
  <dc:creator/>
  <cp:lastModifiedBy/>
  <cp:revision>1</cp:revision>
  <dcterms:created xsi:type="dcterms:W3CDTF">2020-05-12T15:18:00Z</dcterms:created>
  <dcterms:modified xsi:type="dcterms:W3CDTF">2020-05-13T18:09:00Z</dcterms:modified>
</cp:coreProperties>
</file>