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3FDF" w:rsidRPr="00AF4ADF" w:rsidRDefault="008D3475" w:rsidP="0044786A">
      <w:pPr>
        <w:jc w:val="both"/>
        <w:rPr>
          <w:rFonts w:ascii="Cambria" w:hAnsi="Cambria" w:cs="Cambria"/>
          <w:b/>
          <w:bCs/>
          <w:sz w:val="22"/>
          <w:szCs w:val="22"/>
          <w:lang w:val="en-US"/>
        </w:rPr>
      </w:pPr>
      <w:r>
        <w:rPr>
          <w:noProof/>
          <w:lang w:val="en-US"/>
        </w:rPr>
        <mc:AlternateContent>
          <mc:Choice Requires="wps">
            <w:drawing>
              <wp:anchor distT="0" distB="0" distL="114300" distR="114300" simplePos="0" relativeHeight="251654656" behindDoc="0" locked="0" layoutInCell="1" allowOverlap="1">
                <wp:simplePos x="0" y="0"/>
                <wp:positionH relativeFrom="column">
                  <wp:posOffset>-415925</wp:posOffset>
                </wp:positionH>
                <wp:positionV relativeFrom="paragraph">
                  <wp:posOffset>-356870</wp:posOffset>
                </wp:positionV>
                <wp:extent cx="1558925" cy="8977630"/>
                <wp:effectExtent l="3175"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8977630"/>
                        </a:xfrm>
                        <a:prstGeom prst="rect">
                          <a:avLst/>
                        </a:prstGeom>
                        <a:solidFill>
                          <a:srgbClr val="67AE3C"/>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2.75pt;margin-top:-28.1pt;width:122.75pt;height:70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" fillcolor="#67ae3c" stroked="f" strokeweight="2pt"/>
            </w:pict>
          </mc:Fallback>
        </mc:AlternateContent>
      </w:r>
      <w:r>
        <w:rPr>
          <w:noProof/>
          <w:lang w:val="en-US"/>
        </w:rPr>
        <mc:AlternateContent>
          <mc:Choice Requires="wps">
            <w:drawing>
              <wp:anchor distT="0" distB="0" distL="114300" distR="114300" simplePos="0" relativeHeight="251653632" behindDoc="0" locked="0" layoutInCell="1" allowOverlap="1">
                <wp:simplePos x="0" y="0"/>
                <wp:positionH relativeFrom="column">
                  <wp:posOffset>1434465</wp:posOffset>
                </wp:positionH>
                <wp:positionV relativeFrom="paragraph">
                  <wp:posOffset>-271780</wp:posOffset>
                </wp:positionV>
                <wp:extent cx="5248275" cy="902335"/>
                <wp:effectExtent l="0" t="4445"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3FDF" w:rsidRPr="0044786A" w:rsidRDefault="00983FDF" w:rsidP="00106B52">
                            <w:pPr>
                              <w:jc w:val="both"/>
                              <w:rPr>
                                <w:noProof/>
                                <w:lang w:val="en-US"/>
                              </w:rPr>
                            </w:pPr>
                            <w:r w:rsidRPr="0044786A">
                              <w:rPr>
                                <w:noProof/>
                                <w:lang w:val="en-US"/>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2.95pt;margin-top:-21.4pt;width:413.25pt;height:7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" filled="f" stroked="f" strokeweight=".5pt">
                <v:textbox>
                  <w:txbxContent>
                    <w:p w:rsidR="00983FDF" w:rsidRPr="0044786A" w:rsidRDefault="00983FDF" w:rsidP="00106B52">
                      <w:pPr>
                        <w:jc w:val="both"/>
                        <w:rPr>
                          <w:noProof/>
                          <w:lang w:val="en-US"/>
                        </w:rPr>
                      </w:pPr>
                      <w:r w:rsidRPr="0044786A">
                        <w:rPr>
                          <w:noProof/>
                          <w:lang w:val="en-US"/>
                        </w:rPr>
                        <w:tab/>
                        <w:t xml:space="preserve"> </w:t>
                      </w:r>
                    </w:p>
                  </w:txbxContent>
                </v:textbox>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1282065</wp:posOffset>
                </wp:positionH>
                <wp:positionV relativeFrom="paragraph">
                  <wp:posOffset>-424180</wp:posOffset>
                </wp:positionV>
                <wp:extent cx="5248275" cy="90233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3FDF" w:rsidRPr="0044786A" w:rsidRDefault="00983FDF" w:rsidP="0044786A">
                            <w:pPr>
                              <w:rPr>
                                <w:noProof/>
                                <w:lang w:val="en-US"/>
                              </w:rPr>
                            </w:pPr>
                            <w:r w:rsidRPr="0044786A">
                              <w:rPr>
                                <w:noProof/>
                                <w:lang w:val="en-US"/>
                              </w:rPr>
                              <w:tab/>
                              <w:t xml:space="preserve"> </w:t>
                            </w:r>
                            <w:r w:rsidR="008D3475">
                              <w:rPr>
                                <w:noProof/>
                                <w:lang w:val="en-US"/>
                              </w:rPr>
                              <w:drawing>
                                <wp:inline distT="0" distB="0" distL="0" distR="0">
                                  <wp:extent cx="2519045" cy="48323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00.95pt;margin-top:-33.4pt;width:413.25pt;height:7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yS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iX8s&#10;krgCAADBBQAADgAAAAAAAAAAAAAAAAAuAgAAZHJzL2Uyb0RvYy54bWxQSwECLQAUAAYACAAAACEA&#10;N1wogOIAAAALAQAADwAAAAAAAAAAAAAAAAASBQAAZHJzL2Rvd25yZXYueG1sUEsFBgAAAAAEAAQA&#10;8wAAACEGAAAAAA==&#10;" filled="f" stroked="f" strokeweight=".5pt">
                <v:textbox>
                  <w:txbxContent>
                    <w:p w:rsidR="00983FDF" w:rsidRPr="0044786A" w:rsidRDefault="00983FDF" w:rsidP="0044786A">
                      <w:pPr>
                        <w:rPr>
                          <w:noProof/>
                          <w:lang w:val="en-US"/>
                        </w:rPr>
                      </w:pPr>
                      <w:r w:rsidRPr="0044786A">
                        <w:rPr>
                          <w:noProof/>
                          <w:lang w:val="en-US"/>
                        </w:rPr>
                        <w:tab/>
                        <w:t xml:space="preserve"> </w:t>
                      </w:r>
                      <w:r w:rsidR="008D3475">
                        <w:rPr>
                          <w:noProof/>
                          <w:lang w:val="en-US"/>
                        </w:rPr>
                        <w:drawing>
                          <wp:inline distT="0" distB="0" distL="0" distR="0">
                            <wp:extent cx="2519045" cy="48323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p>
                  </w:txbxContent>
                </v:textbox>
              </v:shape>
            </w:pict>
          </mc:Fallback>
        </mc:AlternateContent>
      </w:r>
    </w:p>
    <w:p w:rsidR="00983FDF" w:rsidRPr="00AF4ADF" w:rsidRDefault="00983FDF" w:rsidP="0044786A">
      <w:pPr>
        <w:tabs>
          <w:tab w:val="center" w:pos="5400"/>
        </w:tabs>
        <w:suppressAutoHyphens/>
        <w:jc w:val="both"/>
        <w:rPr>
          <w:rFonts w:ascii="Cambria" w:hAnsi="Cambria" w:cs="Cambria"/>
          <w:sz w:val="22"/>
          <w:szCs w:val="22"/>
          <w:lang w:val="en-US"/>
        </w:rPr>
      </w:pPr>
    </w:p>
    <w:p w:rsidR="00983FDF" w:rsidRPr="00AF4ADF" w:rsidRDefault="00983FDF" w:rsidP="0044786A">
      <w:pPr>
        <w:tabs>
          <w:tab w:val="center" w:pos="5400"/>
        </w:tabs>
        <w:suppressAutoHyphens/>
        <w:jc w:val="both"/>
        <w:rPr>
          <w:rFonts w:ascii="Cambria" w:hAnsi="Cambria" w:cs="Cambria"/>
          <w:sz w:val="22"/>
          <w:szCs w:val="22"/>
          <w:lang w:val="en-US"/>
        </w:rPr>
      </w:pPr>
    </w:p>
    <w:p w:rsidR="00983FDF" w:rsidRPr="00AF4ADF" w:rsidRDefault="00983FDF" w:rsidP="0044786A">
      <w:pPr>
        <w:tabs>
          <w:tab w:val="center" w:pos="5400"/>
        </w:tabs>
        <w:suppressAutoHyphens/>
        <w:rPr>
          <w:rFonts w:ascii="Cambria" w:hAnsi="Cambria" w:cs="Cambria"/>
          <w:sz w:val="22"/>
          <w:szCs w:val="22"/>
          <w:lang w:val="en-US"/>
        </w:rPr>
      </w:pPr>
    </w:p>
    <w:p w:rsidR="00983FDF" w:rsidRPr="00AF4ADF" w:rsidRDefault="00983FDF" w:rsidP="0044786A">
      <w:pPr>
        <w:tabs>
          <w:tab w:val="center" w:pos="5400"/>
        </w:tabs>
        <w:suppressAutoHyphens/>
        <w:rPr>
          <w:rFonts w:ascii="Cambria" w:hAnsi="Cambria" w:cs="Cambria"/>
          <w:sz w:val="22"/>
          <w:szCs w:val="22"/>
          <w:lang w:val="en-US"/>
        </w:rPr>
      </w:pPr>
    </w:p>
    <w:p w:rsidR="00983FDF" w:rsidRPr="00AF4ADF" w:rsidRDefault="00983FDF" w:rsidP="0044786A">
      <w:pPr>
        <w:tabs>
          <w:tab w:val="center" w:pos="5400"/>
        </w:tabs>
        <w:suppressAutoHyphens/>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8D3475" w:rsidP="0044786A">
      <w:pPr>
        <w:tabs>
          <w:tab w:val="center" w:pos="5400"/>
        </w:tabs>
        <w:suppressAutoHyphens/>
        <w:jc w:val="center"/>
        <w:rPr>
          <w:rFonts w:ascii="Cambria" w:hAnsi="Cambria" w:cs="Cambria"/>
          <w:sz w:val="22"/>
          <w:szCs w:val="22"/>
          <w:lang w:val="en-US"/>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1352550</wp:posOffset>
                </wp:positionH>
                <wp:positionV relativeFrom="paragraph">
                  <wp:posOffset>107315</wp:posOffset>
                </wp:positionV>
                <wp:extent cx="4441190" cy="2181225"/>
                <wp:effectExtent l="0" t="0" r="0" b="190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3FDF" w:rsidRPr="0044786A" w:rsidRDefault="00983FDF" w:rsidP="0044786A">
                            <w:pPr>
                              <w:spacing w:line="276" w:lineRule="auto"/>
                              <w:rPr>
                                <w:rFonts w:ascii="Cambria" w:hAnsi="Cambria" w:cs="Cambria"/>
                                <w:b/>
                                <w:bCs/>
                                <w:noProof/>
                                <w:color w:val="0D0D0D"/>
                                <w:sz w:val="36"/>
                                <w:szCs w:val="36"/>
                                <w:lang w:val="en-US"/>
                              </w:rPr>
                            </w:pPr>
                            <w:r w:rsidRPr="0044786A">
                              <w:rPr>
                                <w:rFonts w:ascii="Cambria" w:hAnsi="Cambria" w:cs="Cambria"/>
                                <w:b/>
                                <w:bCs/>
                                <w:noProof/>
                                <w:color w:val="0D0D0D"/>
                                <w:sz w:val="36"/>
                                <w:szCs w:val="36"/>
                                <w:lang w:val="en-US"/>
                              </w:rPr>
                              <w:t>REPORT No</w:t>
                            </w:r>
                            <w:r w:rsidR="00730A15">
                              <w:rPr>
                                <w:rFonts w:ascii="Cambria" w:hAnsi="Cambria" w:cs="Cambria"/>
                                <w:b/>
                                <w:bCs/>
                                <w:noProof/>
                                <w:color w:val="0D0D0D"/>
                                <w:sz w:val="36"/>
                                <w:szCs w:val="36"/>
                                <w:lang w:val="en-US"/>
                              </w:rPr>
                              <w:t xml:space="preserve">.  </w:t>
                            </w:r>
                            <w:r w:rsidR="00146956">
                              <w:rPr>
                                <w:rFonts w:ascii="Cambria" w:hAnsi="Cambria" w:cs="Cambria"/>
                                <w:b/>
                                <w:bCs/>
                                <w:noProof/>
                                <w:color w:val="0D0D0D"/>
                                <w:sz w:val="36"/>
                                <w:szCs w:val="36"/>
                                <w:lang w:val="en-US"/>
                              </w:rPr>
                              <w:t>30</w:t>
                            </w:r>
                            <w:r w:rsidRPr="0044786A">
                              <w:rPr>
                                <w:rFonts w:ascii="Cambria" w:hAnsi="Cambria" w:cs="Cambria"/>
                                <w:b/>
                                <w:bCs/>
                                <w:noProof/>
                                <w:color w:val="0D0D0D"/>
                                <w:sz w:val="36"/>
                                <w:szCs w:val="36"/>
                                <w:lang w:val="en-US"/>
                              </w:rPr>
                              <w:t>/17</w:t>
                            </w:r>
                          </w:p>
                          <w:p w:rsidR="00983FDF" w:rsidRPr="0044786A" w:rsidRDefault="00983FDF" w:rsidP="0044786A">
                            <w:pPr>
                              <w:spacing w:line="276" w:lineRule="auto"/>
                              <w:rPr>
                                <w:rFonts w:ascii="Cambria" w:hAnsi="Cambria" w:cs="Cambria"/>
                                <w:b/>
                                <w:bCs/>
                                <w:noProof/>
                                <w:color w:val="0D0D0D"/>
                                <w:sz w:val="36"/>
                                <w:szCs w:val="36"/>
                                <w:lang w:val="en-US"/>
                              </w:rPr>
                            </w:pPr>
                            <w:r w:rsidRPr="0044786A">
                              <w:rPr>
                                <w:rFonts w:ascii="Cambria" w:hAnsi="Cambria" w:cs="Cambria"/>
                                <w:b/>
                                <w:bCs/>
                                <w:noProof/>
                                <w:color w:val="0D0D0D"/>
                                <w:sz w:val="36"/>
                                <w:szCs w:val="36"/>
                                <w:lang w:val="en-US"/>
                              </w:rPr>
                              <w:t xml:space="preserve">PETITION </w:t>
                            </w:r>
                            <w:r w:rsidR="008D3475">
                              <w:rPr>
                                <w:rFonts w:ascii="Cambria" w:hAnsi="Cambria" w:cs="Cambria"/>
                                <w:b/>
                                <w:bCs/>
                                <w:noProof/>
                                <w:color w:val="0D0D0D"/>
                                <w:sz w:val="36"/>
                                <w:szCs w:val="36"/>
                                <w:lang w:val="en-US"/>
                              </w:rPr>
                              <w:t>1118</w:t>
                            </w:r>
                            <w:r w:rsidRPr="0044786A">
                              <w:rPr>
                                <w:rFonts w:ascii="Cambria" w:hAnsi="Cambria" w:cs="Cambria"/>
                                <w:b/>
                                <w:bCs/>
                                <w:noProof/>
                                <w:color w:val="0D0D0D"/>
                                <w:sz w:val="36"/>
                                <w:szCs w:val="36"/>
                                <w:lang w:val="en-US"/>
                              </w:rPr>
                              <w:t>-11</w:t>
                            </w:r>
                            <w:r w:rsidRPr="0044786A">
                              <w:rPr>
                                <w:rFonts w:ascii="Cambria" w:hAnsi="Cambria" w:cs="Cambria"/>
                                <w:noProof/>
                                <w:color w:val="0D0D0D"/>
                                <w:sz w:val="36"/>
                                <w:szCs w:val="36"/>
                                <w:lang w:val="en-US"/>
                              </w:rPr>
                              <w:t xml:space="preserve"> </w:t>
                            </w:r>
                          </w:p>
                          <w:p w:rsidR="00983FDF" w:rsidRPr="0044786A" w:rsidRDefault="00983FDF" w:rsidP="0044786A">
                            <w:pPr>
                              <w:spacing w:line="276" w:lineRule="auto"/>
                              <w:rPr>
                                <w:rFonts w:ascii="Cambria" w:hAnsi="Cambria" w:cs="Cambria"/>
                                <w:noProof/>
                                <w:lang w:val="en-US"/>
                              </w:rPr>
                            </w:pPr>
                            <w:r w:rsidRPr="0044786A">
                              <w:rPr>
                                <w:rFonts w:ascii="Cambria" w:hAnsi="Cambria" w:cs="Cambria"/>
                                <w:noProof/>
                                <w:lang w:val="en-US"/>
                              </w:rPr>
                              <w:t xml:space="preserve">REPORT ON ADMISSIBILITY </w:t>
                            </w:r>
                          </w:p>
                          <w:p w:rsidR="00983FDF" w:rsidRPr="0044786A" w:rsidRDefault="00983FDF" w:rsidP="0044786A">
                            <w:pPr>
                              <w:spacing w:line="276" w:lineRule="auto"/>
                              <w:rPr>
                                <w:rFonts w:ascii="Cambria" w:hAnsi="Cambria" w:cs="Cambria"/>
                                <w:noProof/>
                                <w:color w:val="0D0D0D"/>
                                <w:lang w:val="en-US"/>
                              </w:rPr>
                            </w:pPr>
                            <w:bookmarkStart w:id="1" w:name="_ftnref1"/>
                          </w:p>
                          <w:bookmarkEnd w:id="1"/>
                          <w:p w:rsidR="008D3475" w:rsidRPr="008D3475" w:rsidRDefault="008D3475" w:rsidP="008D3475">
                            <w:pPr>
                              <w:spacing w:line="276" w:lineRule="auto"/>
                              <w:rPr>
                                <w:rFonts w:ascii="Cambria" w:hAnsi="Cambria" w:cs="Arial"/>
                                <w:color w:val="0D0D0D"/>
                                <w:szCs w:val="22"/>
                              </w:rPr>
                            </w:pPr>
                            <w:r w:rsidRPr="008D3475">
                              <w:rPr>
                                <w:rFonts w:ascii="Cambria" w:hAnsi="Cambria" w:cs="Arial"/>
                                <w:color w:val="0D0D0D"/>
                                <w:szCs w:val="22"/>
                              </w:rPr>
                              <w:t>MAYA Q’EQCHI’ AGUA CALIENTE COMMUNITY</w:t>
                            </w:r>
                          </w:p>
                          <w:p w:rsidR="008D3475" w:rsidRPr="008D3475" w:rsidRDefault="008D3475" w:rsidP="008D3475">
                            <w:pPr>
                              <w:spacing w:line="276" w:lineRule="auto"/>
                              <w:rPr>
                                <w:rFonts w:ascii="Cambria" w:hAnsi="Cambria" w:cs="Arial"/>
                                <w:color w:val="0D0D0D"/>
                                <w:szCs w:val="22"/>
                              </w:rPr>
                            </w:pPr>
                            <w:r w:rsidRPr="008D3475">
                              <w:rPr>
                                <w:rFonts w:ascii="Cambria" w:hAnsi="Cambria" w:cs="Arial"/>
                                <w:color w:val="0D0D0D"/>
                                <w:szCs w:val="22"/>
                              </w:rPr>
                              <w:t>GUATEMALA</w:t>
                            </w:r>
                          </w:p>
                          <w:p w:rsidR="00983FDF" w:rsidRPr="008D3475" w:rsidRDefault="00983FDF" w:rsidP="0044786A">
                            <w:pPr>
                              <w:rPr>
                                <w:noProof/>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06.5pt;margin-top:8.45pt;width:349.7pt;height:1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XugIAAME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" filled="f" stroked="f" strokeweight=".5pt">
                <v:textbox>
                  <w:txbxContent>
                    <w:p w:rsidR="00983FDF" w:rsidRPr="0044786A" w:rsidRDefault="00983FDF" w:rsidP="0044786A">
                      <w:pPr>
                        <w:spacing w:line="276" w:lineRule="auto"/>
                        <w:rPr>
                          <w:rFonts w:ascii="Cambria" w:hAnsi="Cambria" w:cs="Cambria"/>
                          <w:b/>
                          <w:bCs/>
                          <w:noProof/>
                          <w:color w:val="0D0D0D"/>
                          <w:sz w:val="36"/>
                          <w:szCs w:val="36"/>
                          <w:lang w:val="en-US"/>
                        </w:rPr>
                      </w:pPr>
                      <w:r w:rsidRPr="0044786A">
                        <w:rPr>
                          <w:rFonts w:ascii="Cambria" w:hAnsi="Cambria" w:cs="Cambria"/>
                          <w:b/>
                          <w:bCs/>
                          <w:noProof/>
                          <w:color w:val="0D0D0D"/>
                          <w:sz w:val="36"/>
                          <w:szCs w:val="36"/>
                          <w:lang w:val="en-US"/>
                        </w:rPr>
                        <w:t>REPORT No</w:t>
                      </w:r>
                      <w:r w:rsidR="00730A15">
                        <w:rPr>
                          <w:rFonts w:ascii="Cambria" w:hAnsi="Cambria" w:cs="Cambria"/>
                          <w:b/>
                          <w:bCs/>
                          <w:noProof/>
                          <w:color w:val="0D0D0D"/>
                          <w:sz w:val="36"/>
                          <w:szCs w:val="36"/>
                          <w:lang w:val="en-US"/>
                        </w:rPr>
                        <w:t xml:space="preserve">.  </w:t>
                      </w:r>
                      <w:r w:rsidR="00146956">
                        <w:rPr>
                          <w:rFonts w:ascii="Cambria" w:hAnsi="Cambria" w:cs="Cambria"/>
                          <w:b/>
                          <w:bCs/>
                          <w:noProof/>
                          <w:color w:val="0D0D0D"/>
                          <w:sz w:val="36"/>
                          <w:szCs w:val="36"/>
                          <w:lang w:val="en-US"/>
                        </w:rPr>
                        <w:t>30</w:t>
                      </w:r>
                      <w:r w:rsidRPr="0044786A">
                        <w:rPr>
                          <w:rFonts w:ascii="Cambria" w:hAnsi="Cambria" w:cs="Cambria"/>
                          <w:b/>
                          <w:bCs/>
                          <w:noProof/>
                          <w:color w:val="0D0D0D"/>
                          <w:sz w:val="36"/>
                          <w:szCs w:val="36"/>
                          <w:lang w:val="en-US"/>
                        </w:rPr>
                        <w:t>/</w:t>
                      </w:r>
                      <w:bookmarkStart w:id="2" w:name="_GoBack"/>
                      <w:bookmarkEnd w:id="2"/>
                      <w:r w:rsidRPr="0044786A">
                        <w:rPr>
                          <w:rFonts w:ascii="Cambria" w:hAnsi="Cambria" w:cs="Cambria"/>
                          <w:b/>
                          <w:bCs/>
                          <w:noProof/>
                          <w:color w:val="0D0D0D"/>
                          <w:sz w:val="36"/>
                          <w:szCs w:val="36"/>
                          <w:lang w:val="en-US"/>
                        </w:rPr>
                        <w:t>17</w:t>
                      </w:r>
                    </w:p>
                    <w:p w:rsidR="00983FDF" w:rsidRPr="0044786A" w:rsidRDefault="00983FDF" w:rsidP="0044786A">
                      <w:pPr>
                        <w:spacing w:line="276" w:lineRule="auto"/>
                        <w:rPr>
                          <w:rFonts w:ascii="Cambria" w:hAnsi="Cambria" w:cs="Cambria"/>
                          <w:b/>
                          <w:bCs/>
                          <w:noProof/>
                          <w:color w:val="0D0D0D"/>
                          <w:sz w:val="36"/>
                          <w:szCs w:val="36"/>
                          <w:lang w:val="en-US"/>
                        </w:rPr>
                      </w:pPr>
                      <w:r w:rsidRPr="0044786A">
                        <w:rPr>
                          <w:rFonts w:ascii="Cambria" w:hAnsi="Cambria" w:cs="Cambria"/>
                          <w:b/>
                          <w:bCs/>
                          <w:noProof/>
                          <w:color w:val="0D0D0D"/>
                          <w:sz w:val="36"/>
                          <w:szCs w:val="36"/>
                          <w:lang w:val="en-US"/>
                        </w:rPr>
                        <w:t xml:space="preserve">PETITION </w:t>
                      </w:r>
                      <w:r w:rsidR="008D3475">
                        <w:rPr>
                          <w:rFonts w:ascii="Cambria" w:hAnsi="Cambria" w:cs="Cambria"/>
                          <w:b/>
                          <w:bCs/>
                          <w:noProof/>
                          <w:color w:val="0D0D0D"/>
                          <w:sz w:val="36"/>
                          <w:szCs w:val="36"/>
                          <w:lang w:val="en-US"/>
                        </w:rPr>
                        <w:t>1118</w:t>
                      </w:r>
                      <w:r w:rsidRPr="0044786A">
                        <w:rPr>
                          <w:rFonts w:ascii="Cambria" w:hAnsi="Cambria" w:cs="Cambria"/>
                          <w:b/>
                          <w:bCs/>
                          <w:noProof/>
                          <w:color w:val="0D0D0D"/>
                          <w:sz w:val="36"/>
                          <w:szCs w:val="36"/>
                          <w:lang w:val="en-US"/>
                        </w:rPr>
                        <w:t>-11</w:t>
                      </w:r>
                      <w:r w:rsidRPr="0044786A">
                        <w:rPr>
                          <w:rFonts w:ascii="Cambria" w:hAnsi="Cambria" w:cs="Cambria"/>
                          <w:noProof/>
                          <w:color w:val="0D0D0D"/>
                          <w:sz w:val="36"/>
                          <w:szCs w:val="36"/>
                          <w:lang w:val="en-US"/>
                        </w:rPr>
                        <w:t xml:space="preserve"> </w:t>
                      </w:r>
                    </w:p>
                    <w:p w:rsidR="00983FDF" w:rsidRPr="0044786A" w:rsidRDefault="00983FDF" w:rsidP="0044786A">
                      <w:pPr>
                        <w:spacing w:line="276" w:lineRule="auto"/>
                        <w:rPr>
                          <w:rFonts w:ascii="Cambria" w:hAnsi="Cambria" w:cs="Cambria"/>
                          <w:noProof/>
                          <w:lang w:val="en-US"/>
                        </w:rPr>
                      </w:pPr>
                      <w:r w:rsidRPr="0044786A">
                        <w:rPr>
                          <w:rFonts w:ascii="Cambria" w:hAnsi="Cambria" w:cs="Cambria"/>
                          <w:noProof/>
                          <w:lang w:val="en-US"/>
                        </w:rPr>
                        <w:t xml:space="preserve">REPORT ON ADMISSIBILITY </w:t>
                      </w:r>
                    </w:p>
                    <w:p w:rsidR="00983FDF" w:rsidRPr="0044786A" w:rsidRDefault="00983FDF" w:rsidP="0044786A">
                      <w:pPr>
                        <w:spacing w:line="276" w:lineRule="auto"/>
                        <w:rPr>
                          <w:rFonts w:ascii="Cambria" w:hAnsi="Cambria" w:cs="Cambria"/>
                          <w:noProof/>
                          <w:color w:val="0D0D0D"/>
                          <w:lang w:val="en-US"/>
                        </w:rPr>
                      </w:pPr>
                      <w:bookmarkStart w:id="3" w:name="_ftnref1"/>
                    </w:p>
                    <w:bookmarkEnd w:id="3"/>
                    <w:p w:rsidR="008D3475" w:rsidRPr="008D3475" w:rsidRDefault="008D3475" w:rsidP="008D3475">
                      <w:pPr>
                        <w:spacing w:line="276" w:lineRule="auto"/>
                        <w:rPr>
                          <w:rFonts w:ascii="Cambria" w:hAnsi="Cambria" w:cs="Arial"/>
                          <w:color w:val="0D0D0D"/>
                          <w:szCs w:val="22"/>
                        </w:rPr>
                      </w:pPr>
                      <w:r w:rsidRPr="008D3475">
                        <w:rPr>
                          <w:rFonts w:ascii="Cambria" w:hAnsi="Cambria" w:cs="Arial"/>
                          <w:color w:val="0D0D0D"/>
                          <w:szCs w:val="22"/>
                        </w:rPr>
                        <w:t>MAYA Q’EQCHI’ AGUA CALIENTE COMMUNITY</w:t>
                      </w:r>
                    </w:p>
                    <w:p w:rsidR="008D3475" w:rsidRPr="008D3475" w:rsidRDefault="008D3475" w:rsidP="008D3475">
                      <w:pPr>
                        <w:spacing w:line="276" w:lineRule="auto"/>
                        <w:rPr>
                          <w:rFonts w:ascii="Cambria" w:hAnsi="Cambria" w:cs="Arial"/>
                          <w:color w:val="0D0D0D"/>
                          <w:szCs w:val="22"/>
                        </w:rPr>
                      </w:pPr>
                      <w:r w:rsidRPr="008D3475">
                        <w:rPr>
                          <w:rFonts w:ascii="Cambria" w:hAnsi="Cambria" w:cs="Arial"/>
                          <w:color w:val="0D0D0D"/>
                          <w:szCs w:val="22"/>
                        </w:rPr>
                        <w:t>GUATEMALA</w:t>
                      </w:r>
                    </w:p>
                    <w:p w:rsidR="00983FDF" w:rsidRPr="008D3475" w:rsidRDefault="00983FDF" w:rsidP="0044786A">
                      <w:pPr>
                        <w:rPr>
                          <w:noProof/>
                          <w:color w:val="0D0D0D"/>
                        </w:rPr>
                      </w:pP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3FDF" w:rsidRPr="00BC5DD0" w:rsidRDefault="00983FDF" w:rsidP="0044786A">
                            <w:pPr>
                              <w:spacing w:line="276" w:lineRule="auto"/>
                              <w:jc w:val="right"/>
                              <w:rPr>
                                <w:rFonts w:ascii="Calibri" w:hAnsi="Calibri" w:cs="Calibri"/>
                                <w:noProof/>
                                <w:color w:val="FFFFFF" w:themeColor="background1"/>
                                <w:sz w:val="22"/>
                                <w:szCs w:val="22"/>
                                <w:lang w:val="pt-BR"/>
                              </w:rPr>
                            </w:pPr>
                            <w:r w:rsidRPr="00BC5DD0">
                              <w:rPr>
                                <w:rFonts w:ascii="Calibri" w:hAnsi="Calibri" w:cs="Calibri"/>
                                <w:noProof/>
                                <w:color w:val="FFFFFF" w:themeColor="background1"/>
                                <w:sz w:val="22"/>
                                <w:szCs w:val="22"/>
                                <w:lang w:val="pt-BR"/>
                              </w:rPr>
                              <w:t>OEA/Ser.L/V/II.16</w:t>
                            </w:r>
                            <w:r w:rsidR="00C74253" w:rsidRPr="00BC5DD0">
                              <w:rPr>
                                <w:rFonts w:ascii="Calibri" w:hAnsi="Calibri" w:cs="Calibri"/>
                                <w:noProof/>
                                <w:color w:val="FFFFFF" w:themeColor="background1"/>
                                <w:sz w:val="22"/>
                                <w:szCs w:val="22"/>
                                <w:lang w:val="pt-BR"/>
                              </w:rPr>
                              <w:t>1</w:t>
                            </w:r>
                          </w:p>
                          <w:p w:rsidR="00983FDF" w:rsidRPr="00560F3A" w:rsidRDefault="00983FDF" w:rsidP="0044786A">
                            <w:pPr>
                              <w:spacing w:line="276" w:lineRule="auto"/>
                              <w:jc w:val="right"/>
                              <w:rPr>
                                <w:rFonts w:ascii="Calibri" w:hAnsi="Calibri" w:cs="Calibri"/>
                                <w:noProof/>
                                <w:color w:val="FFFFFF" w:themeColor="background1"/>
                                <w:sz w:val="22"/>
                                <w:szCs w:val="22"/>
                                <w:lang w:val="en-US"/>
                              </w:rPr>
                            </w:pPr>
                            <w:r w:rsidRPr="00BC5DD0">
                              <w:rPr>
                                <w:rFonts w:ascii="Calibri" w:hAnsi="Calibri" w:cs="Calibri"/>
                                <w:noProof/>
                                <w:color w:val="FFFFFF" w:themeColor="background1"/>
                                <w:sz w:val="22"/>
                                <w:szCs w:val="22"/>
                                <w:lang w:val="pt-BR"/>
                              </w:rPr>
                              <w:t>Doc</w:t>
                            </w:r>
                            <w:r w:rsidR="00C74253" w:rsidRPr="00BC5DD0">
                              <w:rPr>
                                <w:rFonts w:ascii="Calibri" w:hAnsi="Calibri" w:cs="Calibri"/>
                                <w:noProof/>
                                <w:color w:val="FFFFFF" w:themeColor="background1"/>
                                <w:sz w:val="22"/>
                                <w:szCs w:val="22"/>
                                <w:lang w:val="pt-BR"/>
                              </w:rPr>
                              <w:t xml:space="preserve">.  </w:t>
                            </w:r>
                            <w:r w:rsidR="00C74253" w:rsidRPr="00560F3A">
                              <w:rPr>
                                <w:rFonts w:ascii="Calibri" w:hAnsi="Calibri" w:cs="Calibri"/>
                                <w:noProof/>
                                <w:color w:val="FFFFFF" w:themeColor="background1"/>
                                <w:sz w:val="22"/>
                                <w:szCs w:val="22"/>
                                <w:lang w:val="en-US"/>
                              </w:rPr>
                              <w:t>37</w:t>
                            </w:r>
                          </w:p>
                          <w:p w:rsidR="00983FDF" w:rsidRPr="00560F3A" w:rsidRDefault="00C74253" w:rsidP="0044786A">
                            <w:pPr>
                              <w:spacing w:line="276" w:lineRule="auto"/>
                              <w:jc w:val="right"/>
                              <w:rPr>
                                <w:rFonts w:ascii="Calibri" w:hAnsi="Calibri" w:cs="Calibri"/>
                                <w:noProof/>
                                <w:color w:val="FFFFFF" w:themeColor="background1"/>
                                <w:sz w:val="22"/>
                                <w:szCs w:val="22"/>
                                <w:lang w:val="en-US"/>
                              </w:rPr>
                            </w:pPr>
                            <w:r w:rsidRPr="00560F3A">
                              <w:rPr>
                                <w:rFonts w:ascii="Calibri" w:hAnsi="Calibri" w:cs="Calibri"/>
                                <w:noProof/>
                                <w:color w:val="FFFFFF" w:themeColor="background1"/>
                                <w:sz w:val="22"/>
                                <w:szCs w:val="22"/>
                                <w:lang w:val="en-US"/>
                              </w:rPr>
                              <w:t>18 March</w:t>
                            </w:r>
                            <w:r w:rsidR="00983FDF" w:rsidRPr="00560F3A">
                              <w:rPr>
                                <w:rFonts w:ascii="Calibri" w:hAnsi="Calibri" w:cs="Calibri"/>
                                <w:noProof/>
                                <w:color w:val="FFFFFF" w:themeColor="background1"/>
                                <w:sz w:val="22"/>
                                <w:szCs w:val="22"/>
                                <w:lang w:val="en-US"/>
                              </w:rPr>
                              <w:t xml:space="preserve"> 201</w:t>
                            </w:r>
                            <w:r w:rsidRPr="00560F3A">
                              <w:rPr>
                                <w:rFonts w:ascii="Calibri" w:hAnsi="Calibri" w:cs="Calibri"/>
                                <w:noProof/>
                                <w:color w:val="FFFFFF" w:themeColor="background1"/>
                                <w:sz w:val="22"/>
                                <w:szCs w:val="22"/>
                                <w:lang w:val="en-US"/>
                              </w:rPr>
                              <w:t>7</w:t>
                            </w:r>
                          </w:p>
                          <w:p w:rsidR="00983FDF" w:rsidRPr="00560F3A" w:rsidRDefault="00983FDF" w:rsidP="0044786A">
                            <w:pPr>
                              <w:spacing w:line="276" w:lineRule="auto"/>
                              <w:jc w:val="right"/>
                              <w:rPr>
                                <w:rFonts w:ascii="Calibri" w:hAnsi="Calibri" w:cs="Calibri"/>
                                <w:noProof/>
                                <w:color w:val="FFFFFF" w:themeColor="background1"/>
                                <w:sz w:val="22"/>
                                <w:szCs w:val="22"/>
                                <w:lang w:val="en-US"/>
                              </w:rPr>
                            </w:pPr>
                            <w:r w:rsidRPr="00560F3A">
                              <w:rPr>
                                <w:rFonts w:ascii="Calibri" w:hAnsi="Calibri" w:cs="Calibri"/>
                                <w:noProof/>
                                <w:color w:val="FFFFFF" w:themeColor="background1"/>
                                <w:sz w:val="22"/>
                                <w:szCs w:val="22"/>
                                <w:lang w:val="en-US"/>
                              </w:rPr>
                              <w:t xml:space="preserve">Original: </w:t>
                            </w:r>
                            <w:r w:rsidR="00730A15" w:rsidRPr="00560F3A">
                              <w:rPr>
                                <w:rFonts w:asciiTheme="minorHAnsi" w:hAnsiTheme="minorHAnsi"/>
                                <w:noProof/>
                                <w:color w:val="FFFFFF" w:themeColor="background1"/>
                                <w:lang w:val="en-US"/>
                              </w:rPr>
                              <w:t>Spanish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7pt;margin-top:12.95pt;width:109.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tuAIAAME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" filled="f" stroked="f" strokeweight=".5pt">
                <v:textbox>
                  <w:txbxContent>
                    <w:p w:rsidR="00983FDF" w:rsidRPr="00560F3A" w:rsidRDefault="00983FDF" w:rsidP="0044786A">
                      <w:pPr>
                        <w:spacing w:line="276" w:lineRule="auto"/>
                        <w:jc w:val="right"/>
                        <w:rPr>
                          <w:rFonts w:ascii="Calibri" w:hAnsi="Calibri" w:cs="Calibri"/>
                          <w:noProof/>
                          <w:color w:val="FFFFFF" w:themeColor="background1"/>
                          <w:sz w:val="22"/>
                          <w:szCs w:val="22"/>
                          <w:lang w:val="en-US"/>
                        </w:rPr>
                      </w:pPr>
                      <w:r w:rsidRPr="00560F3A">
                        <w:rPr>
                          <w:rFonts w:ascii="Calibri" w:hAnsi="Calibri" w:cs="Calibri"/>
                          <w:noProof/>
                          <w:color w:val="FFFFFF" w:themeColor="background1"/>
                          <w:sz w:val="22"/>
                          <w:szCs w:val="22"/>
                          <w:lang w:val="en-US"/>
                        </w:rPr>
                        <w:t>OEA/Ser.L/V/II.16</w:t>
                      </w:r>
                      <w:r w:rsidR="00C74253" w:rsidRPr="00560F3A">
                        <w:rPr>
                          <w:rFonts w:ascii="Calibri" w:hAnsi="Calibri" w:cs="Calibri"/>
                          <w:noProof/>
                          <w:color w:val="FFFFFF" w:themeColor="background1"/>
                          <w:sz w:val="22"/>
                          <w:szCs w:val="22"/>
                          <w:lang w:val="en-US"/>
                        </w:rPr>
                        <w:t>1</w:t>
                      </w:r>
                    </w:p>
                    <w:p w:rsidR="00983FDF" w:rsidRPr="00560F3A" w:rsidRDefault="00983FDF" w:rsidP="0044786A">
                      <w:pPr>
                        <w:spacing w:line="276" w:lineRule="auto"/>
                        <w:jc w:val="right"/>
                        <w:rPr>
                          <w:rFonts w:ascii="Calibri" w:hAnsi="Calibri" w:cs="Calibri"/>
                          <w:noProof/>
                          <w:color w:val="FFFFFF" w:themeColor="background1"/>
                          <w:sz w:val="22"/>
                          <w:szCs w:val="22"/>
                          <w:lang w:val="en-US"/>
                        </w:rPr>
                      </w:pPr>
                      <w:r w:rsidRPr="00560F3A">
                        <w:rPr>
                          <w:rFonts w:ascii="Calibri" w:hAnsi="Calibri" w:cs="Calibri"/>
                          <w:noProof/>
                          <w:color w:val="FFFFFF" w:themeColor="background1"/>
                          <w:sz w:val="22"/>
                          <w:szCs w:val="22"/>
                          <w:lang w:val="en-US"/>
                        </w:rPr>
                        <w:t>Doc</w:t>
                      </w:r>
                      <w:r w:rsidR="00C74253" w:rsidRPr="00560F3A">
                        <w:rPr>
                          <w:rFonts w:ascii="Calibri" w:hAnsi="Calibri" w:cs="Calibri"/>
                          <w:noProof/>
                          <w:color w:val="FFFFFF" w:themeColor="background1"/>
                          <w:sz w:val="22"/>
                          <w:szCs w:val="22"/>
                          <w:lang w:val="en-US"/>
                        </w:rPr>
                        <w:t>.  37</w:t>
                      </w:r>
                    </w:p>
                    <w:p w:rsidR="00983FDF" w:rsidRPr="00560F3A" w:rsidRDefault="00C74253" w:rsidP="0044786A">
                      <w:pPr>
                        <w:spacing w:line="276" w:lineRule="auto"/>
                        <w:jc w:val="right"/>
                        <w:rPr>
                          <w:rFonts w:ascii="Calibri" w:hAnsi="Calibri" w:cs="Calibri"/>
                          <w:noProof/>
                          <w:color w:val="FFFFFF" w:themeColor="background1"/>
                          <w:sz w:val="22"/>
                          <w:szCs w:val="22"/>
                          <w:lang w:val="en-US"/>
                        </w:rPr>
                      </w:pPr>
                      <w:r w:rsidRPr="00560F3A">
                        <w:rPr>
                          <w:rFonts w:ascii="Calibri" w:hAnsi="Calibri" w:cs="Calibri"/>
                          <w:noProof/>
                          <w:color w:val="FFFFFF" w:themeColor="background1"/>
                          <w:sz w:val="22"/>
                          <w:szCs w:val="22"/>
                          <w:lang w:val="en-US"/>
                        </w:rPr>
                        <w:t>18 March</w:t>
                      </w:r>
                      <w:r w:rsidR="00983FDF" w:rsidRPr="00560F3A">
                        <w:rPr>
                          <w:rFonts w:ascii="Calibri" w:hAnsi="Calibri" w:cs="Calibri"/>
                          <w:noProof/>
                          <w:color w:val="FFFFFF" w:themeColor="background1"/>
                          <w:sz w:val="22"/>
                          <w:szCs w:val="22"/>
                          <w:lang w:val="en-US"/>
                        </w:rPr>
                        <w:t xml:space="preserve"> 201</w:t>
                      </w:r>
                      <w:r w:rsidRPr="00560F3A">
                        <w:rPr>
                          <w:rFonts w:ascii="Calibri" w:hAnsi="Calibri" w:cs="Calibri"/>
                          <w:noProof/>
                          <w:color w:val="FFFFFF" w:themeColor="background1"/>
                          <w:sz w:val="22"/>
                          <w:szCs w:val="22"/>
                          <w:lang w:val="en-US"/>
                        </w:rPr>
                        <w:t>7</w:t>
                      </w:r>
                    </w:p>
                    <w:p w:rsidR="00983FDF" w:rsidRPr="00560F3A" w:rsidRDefault="00983FDF" w:rsidP="0044786A">
                      <w:pPr>
                        <w:spacing w:line="276" w:lineRule="auto"/>
                        <w:jc w:val="right"/>
                        <w:rPr>
                          <w:rFonts w:ascii="Calibri" w:hAnsi="Calibri" w:cs="Calibri"/>
                          <w:noProof/>
                          <w:color w:val="FFFFFF" w:themeColor="background1"/>
                          <w:sz w:val="22"/>
                          <w:szCs w:val="22"/>
                          <w:lang w:val="en-US"/>
                        </w:rPr>
                      </w:pPr>
                      <w:r w:rsidRPr="00560F3A">
                        <w:rPr>
                          <w:rFonts w:ascii="Calibri" w:hAnsi="Calibri" w:cs="Calibri"/>
                          <w:noProof/>
                          <w:color w:val="FFFFFF" w:themeColor="background1"/>
                          <w:sz w:val="22"/>
                          <w:szCs w:val="22"/>
                          <w:lang w:val="en-US"/>
                        </w:rPr>
                        <w:t xml:space="preserve">Original: </w:t>
                      </w:r>
                      <w:r w:rsidR="00730A15" w:rsidRPr="00560F3A">
                        <w:rPr>
                          <w:rFonts w:asciiTheme="minorHAnsi" w:hAnsiTheme="minorHAnsi"/>
                          <w:noProof/>
                          <w:color w:val="FFFFFF" w:themeColor="background1"/>
                          <w:lang w:val="en-US"/>
                        </w:rPr>
                        <w:t>Spanish</w:t>
                      </w:r>
                    </w:p>
                  </w:txbxContent>
                </v:textbox>
              </v:shape>
            </w:pict>
          </mc:Fallback>
        </mc:AlternateContent>
      </w: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22"/>
          <w:szCs w:val="22"/>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8D3475" w:rsidP="0044786A">
      <w:pPr>
        <w:tabs>
          <w:tab w:val="center" w:pos="5400"/>
        </w:tabs>
        <w:suppressAutoHyphens/>
        <w:jc w:val="center"/>
        <w:rPr>
          <w:rFonts w:ascii="Cambria" w:hAnsi="Cambria" w:cs="Cambria"/>
          <w:sz w:val="18"/>
          <w:szCs w:val="18"/>
          <w:lang w:val="en-US"/>
        </w:rPr>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1341755</wp:posOffset>
                </wp:positionH>
                <wp:positionV relativeFrom="paragraph">
                  <wp:posOffset>22860</wp:posOffset>
                </wp:positionV>
                <wp:extent cx="4933950" cy="664845"/>
                <wp:effectExtent l="0" t="0" r="127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75E" w:rsidRPr="0062675E" w:rsidRDefault="0062675E" w:rsidP="0062675E">
                            <w:pPr>
                              <w:tabs>
                                <w:tab w:val="center" w:pos="5400"/>
                              </w:tabs>
                              <w:suppressAutoHyphens/>
                              <w:spacing w:before="60"/>
                              <w:rPr>
                                <w:rFonts w:ascii="Cambria" w:hAnsi="Cambria" w:cs="Univers"/>
                                <w:color w:val="0D0D0D"/>
                                <w:sz w:val="18"/>
                                <w:szCs w:val="20"/>
                                <w:lang w:val="en-US"/>
                              </w:rPr>
                            </w:pPr>
                            <w:r w:rsidRPr="0062675E">
                              <w:rPr>
                                <w:rFonts w:ascii="Cambria" w:hAnsi="Cambria"/>
                                <w:color w:val="0D0D0D"/>
                                <w:sz w:val="18"/>
                                <w:szCs w:val="20"/>
                                <w:lang w:val="en-US"/>
                              </w:rPr>
                              <w:t>Approved by the Commission at its session No</w:t>
                            </w:r>
                            <w:r w:rsidR="00560F3A">
                              <w:rPr>
                                <w:rFonts w:ascii="Cambria" w:hAnsi="Cambria"/>
                                <w:color w:val="0D0D0D"/>
                                <w:sz w:val="18"/>
                                <w:szCs w:val="20"/>
                                <w:lang w:val="en-US"/>
                              </w:rPr>
                              <w:t xml:space="preserve">.  </w:t>
                            </w:r>
                            <w:r w:rsidR="00C74253">
                              <w:rPr>
                                <w:rFonts w:ascii="Cambria" w:hAnsi="Cambria"/>
                                <w:color w:val="0D0D0D"/>
                                <w:sz w:val="18"/>
                                <w:szCs w:val="20"/>
                                <w:lang w:val="en-US"/>
                              </w:rPr>
                              <w:t>2077</w:t>
                            </w:r>
                            <w:r w:rsidRPr="0062675E">
                              <w:rPr>
                                <w:rFonts w:ascii="Cambria" w:hAnsi="Cambria"/>
                                <w:color w:val="0D0D0D"/>
                                <w:sz w:val="18"/>
                                <w:szCs w:val="20"/>
                                <w:lang w:val="en-US"/>
                              </w:rPr>
                              <w:t xml:space="preserve">  held on </w:t>
                            </w:r>
                            <w:r w:rsidR="00C74253">
                              <w:rPr>
                                <w:rFonts w:ascii="Cambria" w:hAnsi="Cambria"/>
                                <w:color w:val="0D0D0D"/>
                                <w:sz w:val="18"/>
                                <w:szCs w:val="20"/>
                                <w:lang w:val="en-US"/>
                              </w:rPr>
                              <w:t>March</w:t>
                            </w:r>
                            <w:r w:rsidRPr="0062675E">
                              <w:rPr>
                                <w:rFonts w:ascii="Cambria" w:hAnsi="Cambria"/>
                                <w:color w:val="0D0D0D"/>
                                <w:sz w:val="18"/>
                                <w:szCs w:val="20"/>
                                <w:lang w:val="en-US"/>
                              </w:rPr>
                              <w:t>,</w:t>
                            </w:r>
                            <w:r w:rsidR="00C74253">
                              <w:rPr>
                                <w:rFonts w:ascii="Cambria" w:hAnsi="Cambria"/>
                                <w:color w:val="0D0D0D"/>
                                <w:sz w:val="18"/>
                                <w:szCs w:val="20"/>
                                <w:lang w:val="en-US"/>
                              </w:rPr>
                              <w:t xml:space="preserve"> 18</w:t>
                            </w:r>
                            <w:r w:rsidRPr="0062675E">
                              <w:rPr>
                                <w:rFonts w:ascii="Cambria" w:hAnsi="Cambria"/>
                                <w:color w:val="0D0D0D"/>
                                <w:sz w:val="18"/>
                                <w:szCs w:val="20"/>
                                <w:lang w:val="en-US"/>
                              </w:rPr>
                              <w:t xml:space="preserve"> 2017</w:t>
                            </w:r>
                            <w:r w:rsidR="0037731A">
                              <w:rPr>
                                <w:rFonts w:ascii="Cambria" w:hAnsi="Cambria"/>
                                <w:color w:val="0D0D0D"/>
                                <w:sz w:val="18"/>
                                <w:szCs w:val="20"/>
                                <w:lang w:val="en-US"/>
                              </w:rPr>
                              <w:t>.</w:t>
                            </w:r>
                            <w:r w:rsidRPr="0062675E">
                              <w:rPr>
                                <w:rFonts w:ascii="Cambria" w:hAnsi="Cambria"/>
                                <w:color w:val="0D0D0D"/>
                                <w:sz w:val="18"/>
                                <w:szCs w:val="20"/>
                                <w:lang w:val="en-US"/>
                              </w:rPr>
                              <w:br/>
                            </w:r>
                            <w:r w:rsidR="00C74253">
                              <w:rPr>
                                <w:rFonts w:ascii="Cambria" w:hAnsi="Cambria" w:cs="Univers"/>
                                <w:color w:val="0D0D0D"/>
                                <w:sz w:val="18"/>
                                <w:szCs w:val="20"/>
                                <w:lang w:val="en-US"/>
                              </w:rPr>
                              <w:t>161</w:t>
                            </w:r>
                            <w:r w:rsidRPr="0062675E">
                              <w:rPr>
                                <w:rFonts w:ascii="Cambria" w:hAnsi="Cambria" w:cs="Univers"/>
                                <w:sz w:val="18"/>
                                <w:szCs w:val="20"/>
                                <w:vertAlign w:val="superscript"/>
                                <w:lang w:val="en-US"/>
                              </w:rPr>
                              <w:t>th</w:t>
                            </w:r>
                            <w:r w:rsidRPr="0062675E">
                              <w:rPr>
                                <w:rFonts w:ascii="Cambria" w:hAnsi="Cambria" w:cs="Univers"/>
                                <w:color w:val="0D0D0D"/>
                                <w:sz w:val="18"/>
                                <w:szCs w:val="20"/>
                                <w:lang w:val="en-US"/>
                              </w:rPr>
                              <w:t xml:space="preserve"> Regular Period of Sessions</w:t>
                            </w:r>
                            <w:r w:rsidR="0037731A">
                              <w:rPr>
                                <w:rFonts w:ascii="Cambria" w:hAnsi="Cambria" w:cs="Univers"/>
                                <w:color w:val="0D0D0D"/>
                                <w:sz w:val="18"/>
                                <w:szCs w:val="20"/>
                                <w:lang w:val="en-US"/>
                              </w:rPr>
                              <w:t>.</w:t>
                            </w:r>
                          </w:p>
                          <w:p w:rsidR="00983FDF" w:rsidRPr="0044786A" w:rsidRDefault="00983FDF" w:rsidP="0044786A">
                            <w:pPr>
                              <w:tabs>
                                <w:tab w:val="center" w:pos="5400"/>
                              </w:tabs>
                              <w:suppressAutoHyphens/>
                              <w:spacing w:before="60"/>
                              <w:rPr>
                                <w:noProof/>
                                <w:color w:val="808080"/>
                                <w:lang w:val="en-US"/>
                              </w:rPr>
                            </w:pPr>
                          </w:p>
                          <w:p w:rsidR="00983FDF" w:rsidRPr="0044786A" w:rsidRDefault="00983FDF" w:rsidP="0044786A">
                            <w:pPr>
                              <w:tabs>
                                <w:tab w:val="center" w:pos="5400"/>
                              </w:tabs>
                              <w:suppressAutoHyphens/>
                              <w:spacing w:before="60"/>
                              <w:rPr>
                                <w:rFonts w:ascii="Calibri" w:hAnsi="Calibri" w:cs="Calibri"/>
                                <w:noProof/>
                                <w:color w:val="0D0D0D"/>
                                <w:sz w:val="20"/>
                                <w:szCs w:val="20"/>
                                <w:lang w:val="en-US"/>
                              </w:rPr>
                            </w:pPr>
                          </w:p>
                          <w:p w:rsidR="00983FDF" w:rsidRPr="0044786A" w:rsidRDefault="00983FDF" w:rsidP="0044786A">
                            <w:pPr>
                              <w:tabs>
                                <w:tab w:val="center" w:pos="5400"/>
                              </w:tabs>
                              <w:suppressAutoHyphens/>
                              <w:spacing w:before="60"/>
                              <w:rPr>
                                <w:rFonts w:ascii="Calibri" w:hAnsi="Calibri" w:cs="Calibri"/>
                                <w:noProof/>
                                <w:color w:val="FFFFFF"/>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105.65pt;margin-top:1.8pt;width:388.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REtwIAAMA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" filled="f" stroked="f" strokeweight=".5pt">
                <v:textbox>
                  <w:txbxContent>
                    <w:p w:rsidR="0062675E" w:rsidRPr="0062675E" w:rsidRDefault="0062675E" w:rsidP="0062675E">
                      <w:pPr>
                        <w:tabs>
                          <w:tab w:val="center" w:pos="5400"/>
                        </w:tabs>
                        <w:suppressAutoHyphens/>
                        <w:spacing w:before="60"/>
                        <w:rPr>
                          <w:rFonts w:ascii="Cambria" w:hAnsi="Cambria" w:cs="Univers"/>
                          <w:color w:val="0D0D0D"/>
                          <w:sz w:val="18"/>
                          <w:szCs w:val="20"/>
                          <w:lang w:val="en-US"/>
                        </w:rPr>
                      </w:pPr>
                      <w:r w:rsidRPr="0062675E">
                        <w:rPr>
                          <w:rFonts w:ascii="Cambria" w:hAnsi="Cambria"/>
                          <w:color w:val="0D0D0D"/>
                          <w:sz w:val="18"/>
                          <w:szCs w:val="20"/>
                          <w:lang w:val="en-US"/>
                        </w:rPr>
                        <w:t>Approved by the Commission at its session No</w:t>
                      </w:r>
                      <w:r w:rsidR="00560F3A">
                        <w:rPr>
                          <w:rFonts w:ascii="Cambria" w:hAnsi="Cambria"/>
                          <w:color w:val="0D0D0D"/>
                          <w:sz w:val="18"/>
                          <w:szCs w:val="20"/>
                          <w:lang w:val="en-US"/>
                        </w:rPr>
                        <w:t xml:space="preserve">.  </w:t>
                      </w:r>
                      <w:r w:rsidR="00C74253">
                        <w:rPr>
                          <w:rFonts w:ascii="Cambria" w:hAnsi="Cambria"/>
                          <w:color w:val="0D0D0D"/>
                          <w:sz w:val="18"/>
                          <w:szCs w:val="20"/>
                          <w:lang w:val="en-US"/>
                        </w:rPr>
                        <w:t>2077</w:t>
                      </w:r>
                      <w:r w:rsidRPr="0062675E">
                        <w:rPr>
                          <w:rFonts w:ascii="Cambria" w:hAnsi="Cambria"/>
                          <w:color w:val="0D0D0D"/>
                          <w:sz w:val="18"/>
                          <w:szCs w:val="20"/>
                          <w:lang w:val="en-US"/>
                        </w:rPr>
                        <w:t xml:space="preserve">  held on </w:t>
                      </w:r>
                      <w:r w:rsidR="00C74253">
                        <w:rPr>
                          <w:rFonts w:ascii="Cambria" w:hAnsi="Cambria"/>
                          <w:color w:val="0D0D0D"/>
                          <w:sz w:val="18"/>
                          <w:szCs w:val="20"/>
                          <w:lang w:val="en-US"/>
                        </w:rPr>
                        <w:t>March</w:t>
                      </w:r>
                      <w:r w:rsidRPr="0062675E">
                        <w:rPr>
                          <w:rFonts w:ascii="Cambria" w:hAnsi="Cambria"/>
                          <w:color w:val="0D0D0D"/>
                          <w:sz w:val="18"/>
                          <w:szCs w:val="20"/>
                          <w:lang w:val="en-US"/>
                        </w:rPr>
                        <w:t>,</w:t>
                      </w:r>
                      <w:r w:rsidR="00C74253">
                        <w:rPr>
                          <w:rFonts w:ascii="Cambria" w:hAnsi="Cambria"/>
                          <w:color w:val="0D0D0D"/>
                          <w:sz w:val="18"/>
                          <w:szCs w:val="20"/>
                          <w:lang w:val="en-US"/>
                        </w:rPr>
                        <w:t xml:space="preserve"> 18</w:t>
                      </w:r>
                      <w:r w:rsidRPr="0062675E">
                        <w:rPr>
                          <w:rFonts w:ascii="Cambria" w:hAnsi="Cambria"/>
                          <w:color w:val="0D0D0D"/>
                          <w:sz w:val="18"/>
                          <w:szCs w:val="20"/>
                          <w:lang w:val="en-US"/>
                        </w:rPr>
                        <w:t xml:space="preserve"> 2017</w:t>
                      </w:r>
                      <w:r w:rsidR="0037731A">
                        <w:rPr>
                          <w:rFonts w:ascii="Cambria" w:hAnsi="Cambria"/>
                          <w:color w:val="0D0D0D"/>
                          <w:sz w:val="18"/>
                          <w:szCs w:val="20"/>
                          <w:lang w:val="en-US"/>
                        </w:rPr>
                        <w:t>.</w:t>
                      </w:r>
                      <w:r w:rsidRPr="0062675E">
                        <w:rPr>
                          <w:rFonts w:ascii="Cambria" w:hAnsi="Cambria"/>
                          <w:color w:val="0D0D0D"/>
                          <w:sz w:val="18"/>
                          <w:szCs w:val="20"/>
                          <w:lang w:val="en-US"/>
                        </w:rPr>
                        <w:br/>
                      </w:r>
                      <w:r w:rsidR="00C74253">
                        <w:rPr>
                          <w:rFonts w:ascii="Cambria" w:hAnsi="Cambria" w:cs="Univers"/>
                          <w:color w:val="0D0D0D"/>
                          <w:sz w:val="18"/>
                          <w:szCs w:val="20"/>
                          <w:lang w:val="en-US"/>
                        </w:rPr>
                        <w:t>161</w:t>
                      </w:r>
                      <w:r w:rsidRPr="0062675E">
                        <w:rPr>
                          <w:rFonts w:ascii="Cambria" w:hAnsi="Cambria" w:cs="Univers"/>
                          <w:sz w:val="18"/>
                          <w:szCs w:val="20"/>
                          <w:vertAlign w:val="superscript"/>
                          <w:lang w:val="en-US"/>
                        </w:rPr>
                        <w:t>th</w:t>
                      </w:r>
                      <w:r w:rsidRPr="0062675E">
                        <w:rPr>
                          <w:rFonts w:ascii="Cambria" w:hAnsi="Cambria" w:cs="Univers"/>
                          <w:color w:val="0D0D0D"/>
                          <w:sz w:val="18"/>
                          <w:szCs w:val="20"/>
                          <w:lang w:val="en-US"/>
                        </w:rPr>
                        <w:t xml:space="preserve"> Regular Period of Sessions</w:t>
                      </w:r>
                      <w:r w:rsidR="0037731A">
                        <w:rPr>
                          <w:rFonts w:ascii="Cambria" w:hAnsi="Cambria" w:cs="Univers"/>
                          <w:color w:val="0D0D0D"/>
                          <w:sz w:val="18"/>
                          <w:szCs w:val="20"/>
                          <w:lang w:val="en-US"/>
                        </w:rPr>
                        <w:t>.</w:t>
                      </w:r>
                    </w:p>
                    <w:p w:rsidR="00983FDF" w:rsidRPr="0044786A" w:rsidRDefault="00983FDF" w:rsidP="0044786A">
                      <w:pPr>
                        <w:tabs>
                          <w:tab w:val="center" w:pos="5400"/>
                        </w:tabs>
                        <w:suppressAutoHyphens/>
                        <w:spacing w:before="60"/>
                        <w:rPr>
                          <w:noProof/>
                          <w:color w:val="808080"/>
                          <w:lang w:val="en-US"/>
                        </w:rPr>
                      </w:pPr>
                    </w:p>
                    <w:p w:rsidR="00983FDF" w:rsidRPr="0044786A" w:rsidRDefault="00983FDF" w:rsidP="0044786A">
                      <w:pPr>
                        <w:tabs>
                          <w:tab w:val="center" w:pos="5400"/>
                        </w:tabs>
                        <w:suppressAutoHyphens/>
                        <w:spacing w:before="60"/>
                        <w:rPr>
                          <w:rFonts w:ascii="Calibri" w:hAnsi="Calibri" w:cs="Calibri"/>
                          <w:noProof/>
                          <w:color w:val="0D0D0D"/>
                          <w:sz w:val="20"/>
                          <w:szCs w:val="20"/>
                          <w:lang w:val="en-US"/>
                        </w:rPr>
                      </w:pPr>
                    </w:p>
                    <w:p w:rsidR="00983FDF" w:rsidRPr="0044786A" w:rsidRDefault="00983FDF" w:rsidP="0044786A">
                      <w:pPr>
                        <w:tabs>
                          <w:tab w:val="center" w:pos="5400"/>
                        </w:tabs>
                        <w:suppressAutoHyphens/>
                        <w:spacing w:before="60"/>
                        <w:rPr>
                          <w:rFonts w:ascii="Calibri" w:hAnsi="Calibri" w:cs="Calibri"/>
                          <w:noProof/>
                          <w:color w:val="FFFFFF"/>
                          <w:sz w:val="16"/>
                          <w:szCs w:val="16"/>
                          <w:lang w:val="en-US"/>
                        </w:rPr>
                      </w:pPr>
                    </w:p>
                  </w:txbxContent>
                </v:textbox>
              </v:shape>
            </w:pict>
          </mc:Fallback>
        </mc:AlternateContent>
      </w: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8D3475" w:rsidP="0044786A">
      <w:pPr>
        <w:tabs>
          <w:tab w:val="center" w:pos="5400"/>
        </w:tabs>
        <w:suppressAutoHyphens/>
        <w:jc w:val="center"/>
        <w:rPr>
          <w:rFonts w:ascii="Cambria" w:hAnsi="Cambria" w:cs="Cambria"/>
          <w:sz w:val="18"/>
          <w:szCs w:val="18"/>
          <w:lang w:val="en-US"/>
        </w:rP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1333500</wp:posOffset>
                </wp:positionH>
                <wp:positionV relativeFrom="paragraph">
                  <wp:posOffset>5715</wp:posOffset>
                </wp:positionV>
                <wp:extent cx="4943475" cy="657225"/>
                <wp:effectExtent l="0" t="3175"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3FDF" w:rsidRPr="0044786A" w:rsidRDefault="00983FDF" w:rsidP="0044786A">
                            <w:pPr>
                              <w:spacing w:line="276" w:lineRule="auto"/>
                              <w:rPr>
                                <w:rFonts w:ascii="Cambria" w:hAnsi="Cambria" w:cs="Cambria"/>
                                <w:noProof/>
                                <w:color w:val="595959"/>
                                <w:sz w:val="18"/>
                                <w:szCs w:val="18"/>
                                <w:lang w:val="en-US"/>
                              </w:rPr>
                            </w:pPr>
                            <w:r w:rsidRPr="0044786A">
                              <w:rPr>
                                <w:rFonts w:ascii="Cambria" w:hAnsi="Cambria" w:cs="Cambria"/>
                                <w:b/>
                                <w:bCs/>
                                <w:noProof/>
                                <w:color w:val="595959"/>
                                <w:sz w:val="18"/>
                                <w:szCs w:val="18"/>
                                <w:lang w:val="en-US"/>
                              </w:rPr>
                              <w:t xml:space="preserve">Cite as: </w:t>
                            </w:r>
                            <w:r w:rsidRPr="0044786A">
                              <w:rPr>
                                <w:rFonts w:ascii="Cambria" w:hAnsi="Cambria" w:cs="Cambria"/>
                                <w:noProof/>
                                <w:color w:val="595959"/>
                                <w:sz w:val="18"/>
                                <w:szCs w:val="18"/>
                                <w:lang w:val="en-US"/>
                              </w:rPr>
                              <w:t>IACHR, Report No</w:t>
                            </w:r>
                            <w:r w:rsidR="00730A15">
                              <w:rPr>
                                <w:rFonts w:ascii="Cambria" w:hAnsi="Cambria" w:cs="Cambria"/>
                                <w:noProof/>
                                <w:color w:val="595959"/>
                                <w:sz w:val="18"/>
                                <w:szCs w:val="18"/>
                                <w:lang w:val="en-US"/>
                              </w:rPr>
                              <w:t xml:space="preserve">.  </w:t>
                            </w:r>
                            <w:r w:rsidR="00560F3A">
                              <w:rPr>
                                <w:rFonts w:ascii="Cambria" w:hAnsi="Cambria" w:cs="Cambria"/>
                                <w:noProof/>
                                <w:color w:val="595959"/>
                                <w:sz w:val="18"/>
                                <w:szCs w:val="18"/>
                                <w:lang w:val="en-US"/>
                              </w:rPr>
                              <w:t xml:space="preserve">30/17. </w:t>
                            </w:r>
                            <w:r w:rsidR="008D3475" w:rsidRPr="008D3475">
                              <w:rPr>
                                <w:rFonts w:ascii="Cambria" w:hAnsi="Cambria" w:cs="Cambria"/>
                                <w:noProof/>
                                <w:color w:val="595959"/>
                                <w:sz w:val="18"/>
                                <w:szCs w:val="18"/>
                                <w:lang w:val="en"/>
                              </w:rPr>
                              <w:t>Petition 1118-11</w:t>
                            </w:r>
                            <w:r w:rsidR="00730A15">
                              <w:rPr>
                                <w:rFonts w:ascii="Cambria" w:hAnsi="Cambria" w:cs="Cambria"/>
                                <w:noProof/>
                                <w:color w:val="595959"/>
                                <w:sz w:val="18"/>
                                <w:szCs w:val="18"/>
                                <w:lang w:val="en"/>
                              </w:rPr>
                              <w:t xml:space="preserve">.  </w:t>
                            </w:r>
                            <w:r w:rsidR="008D3475" w:rsidRPr="008D3475">
                              <w:rPr>
                                <w:rFonts w:ascii="Cambria" w:hAnsi="Cambria" w:cs="Cambria"/>
                                <w:noProof/>
                                <w:color w:val="595959"/>
                                <w:sz w:val="18"/>
                                <w:szCs w:val="18"/>
                                <w:lang w:val="en"/>
                              </w:rPr>
                              <w:t>Admissibility</w:t>
                            </w:r>
                            <w:r w:rsidR="00730A15">
                              <w:rPr>
                                <w:rFonts w:ascii="Cambria" w:hAnsi="Cambria" w:cs="Cambria"/>
                                <w:noProof/>
                                <w:color w:val="595959"/>
                                <w:sz w:val="18"/>
                                <w:szCs w:val="18"/>
                                <w:lang w:val="en"/>
                              </w:rPr>
                              <w:t xml:space="preserve">.  </w:t>
                            </w:r>
                            <w:r w:rsidR="008D3475" w:rsidRPr="008D3475">
                              <w:rPr>
                                <w:rFonts w:ascii="Cambria" w:hAnsi="Cambria" w:cs="Cambria"/>
                                <w:noProof/>
                                <w:color w:val="595959"/>
                                <w:sz w:val="18"/>
                                <w:szCs w:val="18"/>
                                <w:lang w:val="en"/>
                              </w:rPr>
                              <w:t>Maya Q’eqchi’ Agua Caliente Community</w:t>
                            </w:r>
                            <w:r w:rsidR="00730A15">
                              <w:rPr>
                                <w:rFonts w:ascii="Cambria" w:hAnsi="Cambria" w:cs="Cambria"/>
                                <w:noProof/>
                                <w:color w:val="595959"/>
                                <w:sz w:val="18"/>
                                <w:szCs w:val="18"/>
                                <w:lang w:val="en"/>
                              </w:rPr>
                              <w:t xml:space="preserve">.  </w:t>
                            </w:r>
                            <w:r w:rsidR="008D3475" w:rsidRPr="008D3475">
                              <w:rPr>
                                <w:rFonts w:ascii="Cambria" w:hAnsi="Cambria" w:cs="Cambria"/>
                                <w:noProof/>
                                <w:color w:val="595959"/>
                                <w:sz w:val="18"/>
                                <w:szCs w:val="18"/>
                                <w:lang w:val="en"/>
                              </w:rPr>
                              <w:t>Guatemala</w:t>
                            </w:r>
                            <w:r w:rsidR="00560F3A">
                              <w:rPr>
                                <w:rFonts w:ascii="Cambria" w:hAnsi="Cambria" w:cs="Cambria"/>
                                <w:noProof/>
                                <w:color w:val="595959"/>
                                <w:sz w:val="18"/>
                                <w:szCs w:val="18"/>
                                <w:lang w:val="en"/>
                              </w:rPr>
                              <w:t>.  March 18, 2017</w:t>
                            </w:r>
                            <w:r w:rsidR="008D3475" w:rsidRPr="008D3475">
                              <w:rPr>
                                <w:rFonts w:ascii="Cambria" w:hAnsi="Cambria" w:cs="Cambria"/>
                                <w:noProof/>
                                <w:color w:val="595959"/>
                                <w:sz w:val="18"/>
                                <w:szCs w:val="18"/>
                                <w:lang w:val="e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05pt;margin-top:.45pt;width:389.2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3tw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HI/9d7cC&#10;AADBBQAADgAAAAAAAAAAAAAAAAAuAgAAZHJzL2Uyb0RvYy54bWxQSwECLQAUAAYACAAAACEAso/Y&#10;1uAAAAAIAQAADwAAAAAAAAAAAAAAAAARBQAAZHJzL2Rvd25yZXYueG1sUEsFBgAAAAAEAAQA8wAA&#10;AB4GAAAAAA==&#10;" filled="f" stroked="f" strokeweight=".5pt">
                <v:textbox>
                  <w:txbxContent>
                    <w:p w:rsidR="00983FDF" w:rsidRPr="0044786A" w:rsidRDefault="00983FDF" w:rsidP="0044786A">
                      <w:pPr>
                        <w:spacing w:line="276" w:lineRule="auto"/>
                        <w:rPr>
                          <w:rFonts w:ascii="Cambria" w:hAnsi="Cambria" w:cs="Cambria"/>
                          <w:noProof/>
                          <w:color w:val="595959"/>
                          <w:sz w:val="18"/>
                          <w:szCs w:val="18"/>
                          <w:lang w:val="en-US"/>
                        </w:rPr>
                      </w:pPr>
                      <w:r w:rsidRPr="0044786A">
                        <w:rPr>
                          <w:rFonts w:ascii="Cambria" w:hAnsi="Cambria" w:cs="Cambria"/>
                          <w:b/>
                          <w:bCs/>
                          <w:noProof/>
                          <w:color w:val="595959"/>
                          <w:sz w:val="18"/>
                          <w:szCs w:val="18"/>
                          <w:lang w:val="en-US"/>
                        </w:rPr>
                        <w:t xml:space="preserve">Cite as: </w:t>
                      </w:r>
                      <w:r w:rsidRPr="0044786A">
                        <w:rPr>
                          <w:rFonts w:ascii="Cambria" w:hAnsi="Cambria" w:cs="Cambria"/>
                          <w:noProof/>
                          <w:color w:val="595959"/>
                          <w:sz w:val="18"/>
                          <w:szCs w:val="18"/>
                          <w:lang w:val="en-US"/>
                        </w:rPr>
                        <w:t>IACHR, Report No</w:t>
                      </w:r>
                      <w:r w:rsidR="00730A15">
                        <w:rPr>
                          <w:rFonts w:ascii="Cambria" w:hAnsi="Cambria" w:cs="Cambria"/>
                          <w:noProof/>
                          <w:color w:val="595959"/>
                          <w:sz w:val="18"/>
                          <w:szCs w:val="18"/>
                          <w:lang w:val="en-US"/>
                        </w:rPr>
                        <w:t xml:space="preserve">.  </w:t>
                      </w:r>
                      <w:r w:rsidR="00560F3A">
                        <w:rPr>
                          <w:rFonts w:ascii="Cambria" w:hAnsi="Cambria" w:cs="Cambria"/>
                          <w:noProof/>
                          <w:color w:val="595959"/>
                          <w:sz w:val="18"/>
                          <w:szCs w:val="18"/>
                          <w:lang w:val="en-US"/>
                        </w:rPr>
                        <w:t xml:space="preserve">30/17. </w:t>
                      </w:r>
                      <w:r w:rsidR="008D3475" w:rsidRPr="008D3475">
                        <w:rPr>
                          <w:rFonts w:ascii="Cambria" w:hAnsi="Cambria" w:cs="Cambria"/>
                          <w:noProof/>
                          <w:color w:val="595959"/>
                          <w:sz w:val="18"/>
                          <w:szCs w:val="18"/>
                          <w:lang w:val="en"/>
                        </w:rPr>
                        <w:t>Petition 1118-11</w:t>
                      </w:r>
                      <w:r w:rsidR="00730A15">
                        <w:rPr>
                          <w:rFonts w:ascii="Cambria" w:hAnsi="Cambria" w:cs="Cambria"/>
                          <w:noProof/>
                          <w:color w:val="595959"/>
                          <w:sz w:val="18"/>
                          <w:szCs w:val="18"/>
                          <w:lang w:val="en"/>
                        </w:rPr>
                        <w:t xml:space="preserve">.  </w:t>
                      </w:r>
                      <w:r w:rsidR="008D3475" w:rsidRPr="008D3475">
                        <w:rPr>
                          <w:rFonts w:ascii="Cambria" w:hAnsi="Cambria" w:cs="Cambria"/>
                          <w:noProof/>
                          <w:color w:val="595959"/>
                          <w:sz w:val="18"/>
                          <w:szCs w:val="18"/>
                          <w:lang w:val="en"/>
                        </w:rPr>
                        <w:t>Admissibility</w:t>
                      </w:r>
                      <w:r w:rsidR="00730A15">
                        <w:rPr>
                          <w:rFonts w:ascii="Cambria" w:hAnsi="Cambria" w:cs="Cambria"/>
                          <w:noProof/>
                          <w:color w:val="595959"/>
                          <w:sz w:val="18"/>
                          <w:szCs w:val="18"/>
                          <w:lang w:val="en"/>
                        </w:rPr>
                        <w:t xml:space="preserve">.  </w:t>
                      </w:r>
                      <w:r w:rsidR="008D3475" w:rsidRPr="008D3475">
                        <w:rPr>
                          <w:rFonts w:ascii="Cambria" w:hAnsi="Cambria" w:cs="Cambria"/>
                          <w:noProof/>
                          <w:color w:val="595959"/>
                          <w:sz w:val="18"/>
                          <w:szCs w:val="18"/>
                          <w:lang w:val="en"/>
                        </w:rPr>
                        <w:t>Maya Q’eqchi’ Agua Caliente Community</w:t>
                      </w:r>
                      <w:r w:rsidR="00730A15">
                        <w:rPr>
                          <w:rFonts w:ascii="Cambria" w:hAnsi="Cambria" w:cs="Cambria"/>
                          <w:noProof/>
                          <w:color w:val="595959"/>
                          <w:sz w:val="18"/>
                          <w:szCs w:val="18"/>
                          <w:lang w:val="en"/>
                        </w:rPr>
                        <w:t xml:space="preserve">.  </w:t>
                      </w:r>
                      <w:r w:rsidR="008D3475" w:rsidRPr="008D3475">
                        <w:rPr>
                          <w:rFonts w:ascii="Cambria" w:hAnsi="Cambria" w:cs="Cambria"/>
                          <w:noProof/>
                          <w:color w:val="595959"/>
                          <w:sz w:val="18"/>
                          <w:szCs w:val="18"/>
                          <w:lang w:val="en"/>
                        </w:rPr>
                        <w:t>Guatemala</w:t>
                      </w:r>
                      <w:r w:rsidR="00560F3A">
                        <w:rPr>
                          <w:rFonts w:ascii="Cambria" w:hAnsi="Cambria" w:cs="Cambria"/>
                          <w:noProof/>
                          <w:color w:val="595959"/>
                          <w:sz w:val="18"/>
                          <w:szCs w:val="18"/>
                          <w:lang w:val="en"/>
                        </w:rPr>
                        <w:t>.  March 18, 2017</w:t>
                      </w:r>
                      <w:r w:rsidR="008D3475" w:rsidRPr="008D3475">
                        <w:rPr>
                          <w:rFonts w:ascii="Cambria" w:hAnsi="Cambria" w:cs="Cambria"/>
                          <w:noProof/>
                          <w:color w:val="595959"/>
                          <w:sz w:val="18"/>
                          <w:szCs w:val="18"/>
                          <w:lang w:val="en"/>
                        </w:rPr>
                        <w:t>.</w:t>
                      </w:r>
                    </w:p>
                  </w:txbxContent>
                </v:textbox>
              </v:shape>
            </w:pict>
          </mc:Fallback>
        </mc:AlternateContent>
      </w:r>
    </w:p>
    <w:p w:rsidR="00983FDF" w:rsidRPr="00AF4ADF" w:rsidRDefault="00983FDF" w:rsidP="0044786A">
      <w:pPr>
        <w:tabs>
          <w:tab w:val="center" w:pos="5400"/>
        </w:tabs>
        <w:suppressAutoHyphens/>
        <w:jc w:val="center"/>
        <w:rPr>
          <w:rFonts w:ascii="Cambria" w:hAnsi="Cambria" w:cs="Cambria"/>
          <w:sz w:val="18"/>
          <w:szCs w:val="18"/>
          <w:lang w:val="en-US"/>
        </w:rPr>
      </w:pPr>
    </w:p>
    <w:p w:rsidR="00983FDF" w:rsidRPr="00AF4ADF" w:rsidRDefault="008D3475" w:rsidP="0044786A">
      <w:pPr>
        <w:tabs>
          <w:tab w:val="center" w:pos="5400"/>
        </w:tabs>
        <w:suppressAutoHyphens/>
        <w:jc w:val="center"/>
        <w:rPr>
          <w:rFonts w:ascii="Cambria" w:hAnsi="Cambria" w:cs="Cambria"/>
          <w:b/>
          <w:bCs/>
          <w:sz w:val="20"/>
          <w:szCs w:val="20"/>
          <w:lang w:val="en-US"/>
        </w:rP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1143000</wp:posOffset>
                </wp:positionH>
                <wp:positionV relativeFrom="paragraph">
                  <wp:posOffset>715645</wp:posOffset>
                </wp:positionV>
                <wp:extent cx="1943100" cy="8001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3FDF" w:rsidRPr="0044786A" w:rsidRDefault="00730A15" w:rsidP="001E5F17">
                            <w:pPr>
                              <w:tabs>
                                <w:tab w:val="center" w:pos="5400"/>
                              </w:tabs>
                              <w:suppressAutoHyphens/>
                              <w:spacing w:before="60"/>
                              <w:rPr>
                                <w:noProof/>
                                <w:color w:val="808080"/>
                                <w:lang w:val="en-US"/>
                              </w:rPr>
                            </w:pPr>
                            <w:r>
                              <w:rPr>
                                <w:noProof/>
                                <w:color w:val="808080"/>
                                <w:lang w:val="en-US"/>
                              </w:rPr>
                              <w:t xml:space="preserve">.  </w:t>
                            </w:r>
                            <w:r w:rsidR="00E77C4C">
                              <w:rPr>
                                <w:noProof/>
                                <w:color w:val="808080"/>
                                <w:lang w:val="en-US"/>
                              </w:rPr>
                              <w:t xml:space="preserve"> </w:t>
                            </w:r>
                            <w:r w:rsidR="008D3475">
                              <w:rPr>
                                <w:noProof/>
                                <w:lang w:val="en-US"/>
                              </w:rPr>
                              <w:drawing>
                                <wp:inline distT="0" distB="0" distL="0" distR="0">
                                  <wp:extent cx="1095375" cy="3708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370840"/>
                                          </a:xfrm>
                                          <a:prstGeom prst="rect">
                                            <a:avLst/>
                                          </a:prstGeom>
                                          <a:noFill/>
                                          <a:ln>
                                            <a:noFill/>
                                          </a:ln>
                                        </pic:spPr>
                                      </pic:pic>
                                    </a:graphicData>
                                  </a:graphic>
                                </wp:inline>
                              </w:drawing>
                            </w:r>
                          </w:p>
                          <w:p w:rsidR="00983FDF" w:rsidRPr="0044786A" w:rsidRDefault="00983FDF" w:rsidP="001E5F17">
                            <w:pPr>
                              <w:tabs>
                                <w:tab w:val="center" w:pos="5400"/>
                              </w:tabs>
                              <w:suppressAutoHyphens/>
                              <w:spacing w:before="60"/>
                              <w:rPr>
                                <w:rFonts w:ascii="Calibri" w:hAnsi="Calibri" w:cs="Calibri"/>
                                <w:noProof/>
                                <w:color w:val="0D0D0D"/>
                                <w:sz w:val="20"/>
                                <w:szCs w:val="20"/>
                                <w:lang w:val="en-US"/>
                              </w:rPr>
                            </w:pPr>
                          </w:p>
                          <w:p w:rsidR="00983FDF" w:rsidRPr="0044786A" w:rsidRDefault="00983FDF" w:rsidP="001E5F17">
                            <w:pPr>
                              <w:tabs>
                                <w:tab w:val="center" w:pos="5400"/>
                              </w:tabs>
                              <w:suppressAutoHyphens/>
                              <w:spacing w:before="60"/>
                              <w:rPr>
                                <w:rFonts w:ascii="Calibri" w:hAnsi="Calibri" w:cs="Calibri"/>
                                <w:noProof/>
                                <w:color w:val="FFFFFF"/>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90pt;margin-top:56.35pt;width:153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" filled="f" stroked="f" strokeweight=".5pt">
                <v:textbox>
                  <w:txbxContent>
                    <w:p w:rsidR="00983FDF" w:rsidRPr="0044786A" w:rsidRDefault="00730A15" w:rsidP="001E5F17">
                      <w:pPr>
                        <w:tabs>
                          <w:tab w:val="center" w:pos="5400"/>
                        </w:tabs>
                        <w:suppressAutoHyphens/>
                        <w:spacing w:before="60"/>
                        <w:rPr>
                          <w:noProof/>
                          <w:color w:val="808080"/>
                          <w:lang w:val="en-US"/>
                        </w:rPr>
                      </w:pPr>
                      <w:r>
                        <w:rPr>
                          <w:noProof/>
                          <w:color w:val="808080"/>
                          <w:lang w:val="en-US"/>
                        </w:rPr>
                        <w:t xml:space="preserve">.  </w:t>
                      </w:r>
                      <w:r w:rsidR="00E77C4C">
                        <w:rPr>
                          <w:noProof/>
                          <w:color w:val="808080"/>
                          <w:lang w:val="en-US"/>
                        </w:rPr>
                        <w:t xml:space="preserve"> </w:t>
                      </w:r>
                      <w:r w:rsidR="008D3475">
                        <w:rPr>
                          <w:noProof/>
                          <w:lang w:val="en-US"/>
                        </w:rPr>
                        <w:drawing>
                          <wp:inline distT="0" distB="0" distL="0" distR="0">
                            <wp:extent cx="1095375" cy="3708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370840"/>
                                    </a:xfrm>
                                    <a:prstGeom prst="rect">
                                      <a:avLst/>
                                    </a:prstGeom>
                                    <a:noFill/>
                                    <a:ln>
                                      <a:noFill/>
                                    </a:ln>
                                  </pic:spPr>
                                </pic:pic>
                              </a:graphicData>
                            </a:graphic>
                          </wp:inline>
                        </w:drawing>
                      </w:r>
                    </w:p>
                    <w:p w:rsidR="00983FDF" w:rsidRPr="0044786A" w:rsidRDefault="00983FDF" w:rsidP="001E5F17">
                      <w:pPr>
                        <w:tabs>
                          <w:tab w:val="center" w:pos="5400"/>
                        </w:tabs>
                        <w:suppressAutoHyphens/>
                        <w:spacing w:before="60"/>
                        <w:rPr>
                          <w:rFonts w:ascii="Calibri" w:hAnsi="Calibri" w:cs="Calibri"/>
                          <w:noProof/>
                          <w:color w:val="0D0D0D"/>
                          <w:sz w:val="20"/>
                          <w:szCs w:val="20"/>
                          <w:lang w:val="en-US"/>
                        </w:rPr>
                      </w:pPr>
                    </w:p>
                    <w:p w:rsidR="00983FDF" w:rsidRPr="0044786A" w:rsidRDefault="00983FDF" w:rsidP="001E5F17">
                      <w:pPr>
                        <w:tabs>
                          <w:tab w:val="center" w:pos="5400"/>
                        </w:tabs>
                        <w:suppressAutoHyphens/>
                        <w:spacing w:before="60"/>
                        <w:rPr>
                          <w:rFonts w:ascii="Calibri" w:hAnsi="Calibri" w:cs="Calibri"/>
                          <w:noProof/>
                          <w:color w:val="FFFFFF"/>
                          <w:sz w:val="16"/>
                          <w:szCs w:val="16"/>
                          <w:lang w:val="en-US"/>
                        </w:rPr>
                      </w:pPr>
                    </w:p>
                  </w:txbxContent>
                </v:textbox>
              </v:shape>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-272415</wp:posOffset>
                </wp:positionH>
                <wp:positionV relativeFrom="paragraph">
                  <wp:posOffset>915035</wp:posOffset>
                </wp:positionV>
                <wp:extent cx="1181100" cy="332740"/>
                <wp:effectExtent l="381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83FDF" w:rsidRPr="0044786A" w:rsidRDefault="00983FDF" w:rsidP="0044786A">
                            <w:pPr>
                              <w:jc w:val="center"/>
                              <w:rPr>
                                <w:rFonts w:ascii="Calibri" w:hAnsi="Calibri" w:cs="Calibri"/>
                                <w:b/>
                                <w:bCs/>
                                <w:noProof/>
                                <w:color w:val="FFFFFF"/>
                                <w:lang w:val="en-US"/>
                              </w:rPr>
                            </w:pPr>
                            <w:r w:rsidRPr="0044786A">
                              <w:rPr>
                                <w:rFonts w:ascii="Calibri" w:hAnsi="Calibri" w:cs="Calibri"/>
                                <w:b/>
                                <w:bCs/>
                                <w:noProof/>
                                <w:color w:val="FFFFFF"/>
                                <w:lang w:val="en-US"/>
                              </w:rPr>
                              <w:t>www.cidh.org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1.45pt;margin-top:72.0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E7u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" filled="f" stroked="f" strokeweight=".5pt">
                <v:textbox>
                  <w:txbxContent>
                    <w:p w:rsidR="00983FDF" w:rsidRPr="0044786A" w:rsidRDefault="00983FDF" w:rsidP="0044786A">
                      <w:pPr>
                        <w:jc w:val="center"/>
                        <w:rPr>
                          <w:rFonts w:ascii="Calibri" w:hAnsi="Calibri" w:cs="Calibri"/>
                          <w:b/>
                          <w:bCs/>
                          <w:noProof/>
                          <w:color w:val="FFFFFF"/>
                          <w:lang w:val="en-US"/>
                        </w:rPr>
                      </w:pPr>
                      <w:r w:rsidRPr="0044786A">
                        <w:rPr>
                          <w:rFonts w:ascii="Calibri" w:hAnsi="Calibri" w:cs="Calibri"/>
                          <w:b/>
                          <w:bCs/>
                          <w:noProof/>
                          <w:color w:val="FFFFFF"/>
                          <w:lang w:val="en-US"/>
                        </w:rPr>
                        <w:t>www.cidh.org</w:t>
                      </w:r>
                    </w:p>
                  </w:txbxContent>
                </v:textbox>
              </v:shape>
            </w:pict>
          </mc:Fallback>
        </mc:AlternateContent>
      </w:r>
    </w:p>
    <w:p w:rsidR="00983FDF" w:rsidRPr="00AF4ADF" w:rsidRDefault="00983FDF" w:rsidP="0044786A">
      <w:pPr>
        <w:tabs>
          <w:tab w:val="center" w:pos="5400"/>
        </w:tabs>
        <w:suppressAutoHyphens/>
        <w:jc w:val="center"/>
        <w:rPr>
          <w:rFonts w:ascii="Cambria" w:hAnsi="Cambria" w:cs="Cambria"/>
          <w:b/>
          <w:bCs/>
          <w:sz w:val="20"/>
          <w:szCs w:val="20"/>
          <w:lang w:val="en-US"/>
        </w:rPr>
        <w:sectPr w:rsidR="00983FDF" w:rsidRPr="00AF4AD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983FDF" w:rsidRPr="00AF4ADF" w:rsidRDefault="00983FDF" w:rsidP="0044786A">
      <w:pPr>
        <w:tabs>
          <w:tab w:val="center" w:pos="5400"/>
        </w:tabs>
        <w:suppressAutoHyphens/>
        <w:spacing w:line="276" w:lineRule="auto"/>
        <w:jc w:val="center"/>
        <w:rPr>
          <w:rFonts w:ascii="Cambria" w:hAnsi="Cambria" w:cs="Cambria"/>
          <w:b/>
          <w:bCs/>
          <w:sz w:val="18"/>
          <w:szCs w:val="18"/>
          <w:lang w:val="en-US"/>
        </w:rPr>
      </w:pPr>
      <w:r w:rsidRPr="00AF4ADF">
        <w:rPr>
          <w:rFonts w:ascii="Cambria" w:hAnsi="Cambria" w:cs="Cambria"/>
          <w:b/>
          <w:bCs/>
          <w:sz w:val="18"/>
          <w:szCs w:val="18"/>
          <w:lang w:val="en-US"/>
        </w:rPr>
        <w:lastRenderedPageBreak/>
        <w:t>REPORT No</w:t>
      </w:r>
      <w:r w:rsidR="00730A15">
        <w:rPr>
          <w:rFonts w:ascii="Cambria" w:hAnsi="Cambria" w:cs="Cambria"/>
          <w:b/>
          <w:bCs/>
          <w:sz w:val="18"/>
          <w:szCs w:val="18"/>
          <w:lang w:val="en-US"/>
        </w:rPr>
        <w:t xml:space="preserve">.  </w:t>
      </w:r>
      <w:r w:rsidR="00560F3A">
        <w:rPr>
          <w:rFonts w:ascii="Cambria" w:hAnsi="Cambria" w:cs="Cambria"/>
          <w:b/>
          <w:bCs/>
          <w:sz w:val="18"/>
          <w:szCs w:val="18"/>
          <w:lang w:val="en-US"/>
        </w:rPr>
        <w:t>30</w:t>
      </w:r>
      <w:r w:rsidRPr="00AF4ADF">
        <w:rPr>
          <w:rFonts w:ascii="Cambria" w:hAnsi="Cambria" w:cs="Cambria"/>
          <w:b/>
          <w:bCs/>
          <w:sz w:val="18"/>
          <w:szCs w:val="18"/>
          <w:lang w:val="en-US"/>
        </w:rPr>
        <w:t>/17</w:t>
      </w:r>
    </w:p>
    <w:p w:rsidR="008D3475" w:rsidRPr="008D3475" w:rsidRDefault="008D3475" w:rsidP="008D3475">
      <w:pPr>
        <w:tabs>
          <w:tab w:val="center" w:pos="5400"/>
        </w:tabs>
        <w:suppressAutoHyphens/>
        <w:spacing w:line="276" w:lineRule="auto"/>
        <w:jc w:val="center"/>
        <w:rPr>
          <w:rFonts w:ascii="Cambria" w:hAnsi="Cambria"/>
          <w:b/>
          <w:sz w:val="18"/>
          <w:szCs w:val="20"/>
          <w:lang w:val="en-US"/>
        </w:rPr>
      </w:pPr>
      <w:r w:rsidRPr="008D3475">
        <w:rPr>
          <w:rFonts w:ascii="Cambria" w:hAnsi="Cambria"/>
          <w:b/>
          <w:bCs/>
          <w:sz w:val="18"/>
          <w:szCs w:val="20"/>
          <w:lang w:val="en"/>
        </w:rPr>
        <w:t>PETITION 1118-11</w:t>
      </w:r>
    </w:p>
    <w:p w:rsidR="008D3475" w:rsidRPr="008D3475" w:rsidRDefault="008D3475" w:rsidP="008D3475">
      <w:pPr>
        <w:tabs>
          <w:tab w:val="center" w:pos="5400"/>
        </w:tabs>
        <w:suppressAutoHyphens/>
        <w:spacing w:line="276" w:lineRule="auto"/>
        <w:jc w:val="center"/>
        <w:rPr>
          <w:rFonts w:ascii="Cambria" w:hAnsi="Cambria"/>
          <w:sz w:val="18"/>
          <w:szCs w:val="20"/>
          <w:lang w:val="en-US"/>
        </w:rPr>
      </w:pPr>
      <w:r w:rsidRPr="008D3475">
        <w:rPr>
          <w:rFonts w:ascii="Cambria" w:hAnsi="Cambria"/>
          <w:sz w:val="18"/>
          <w:szCs w:val="20"/>
          <w:lang w:val="en"/>
        </w:rPr>
        <w:t>REPORT ON ADMISSIBILITY</w:t>
      </w:r>
    </w:p>
    <w:p w:rsidR="008D3475" w:rsidRPr="00BC5DD0" w:rsidRDefault="008D3475" w:rsidP="008D3475">
      <w:pPr>
        <w:tabs>
          <w:tab w:val="center" w:pos="5400"/>
        </w:tabs>
        <w:suppressAutoHyphens/>
        <w:spacing w:line="276" w:lineRule="auto"/>
        <w:jc w:val="center"/>
        <w:rPr>
          <w:rFonts w:ascii="Cambria" w:hAnsi="Cambria"/>
          <w:sz w:val="18"/>
          <w:szCs w:val="20"/>
        </w:rPr>
      </w:pPr>
      <w:r w:rsidRPr="00BC5DD0">
        <w:rPr>
          <w:rFonts w:ascii="Cambria" w:hAnsi="Cambria"/>
          <w:sz w:val="18"/>
          <w:szCs w:val="20"/>
        </w:rPr>
        <w:t>MAYA Q’EQCHI’ AGUA CALIENTE COMMUNITY</w:t>
      </w:r>
    </w:p>
    <w:p w:rsidR="008D3475" w:rsidRPr="008D3475" w:rsidRDefault="008D3475" w:rsidP="008D3475">
      <w:pPr>
        <w:tabs>
          <w:tab w:val="center" w:pos="5400"/>
        </w:tabs>
        <w:suppressAutoHyphens/>
        <w:spacing w:line="276" w:lineRule="auto"/>
        <w:jc w:val="center"/>
        <w:rPr>
          <w:rFonts w:ascii="Cambria" w:hAnsi="Cambria"/>
          <w:sz w:val="18"/>
          <w:szCs w:val="20"/>
        </w:rPr>
      </w:pPr>
      <w:r w:rsidRPr="00730A15">
        <w:rPr>
          <w:rFonts w:ascii="Cambria" w:hAnsi="Cambria"/>
          <w:sz w:val="18"/>
          <w:szCs w:val="18"/>
        </w:rPr>
        <w:t>GUATEMALA</w:t>
      </w:r>
    </w:p>
    <w:p w:rsidR="008D3475" w:rsidRPr="008D3475" w:rsidRDefault="00560F3A" w:rsidP="008D3475">
      <w:pPr>
        <w:tabs>
          <w:tab w:val="center" w:pos="5400"/>
        </w:tabs>
        <w:suppressAutoHyphens/>
        <w:spacing w:line="276" w:lineRule="auto"/>
        <w:jc w:val="center"/>
        <w:rPr>
          <w:rFonts w:ascii="Cambria" w:hAnsi="Cambria"/>
          <w:sz w:val="18"/>
          <w:szCs w:val="20"/>
          <w:lang w:val="en-US"/>
        </w:rPr>
      </w:pPr>
      <w:r>
        <w:rPr>
          <w:rFonts w:ascii="Cambria" w:hAnsi="Cambria"/>
          <w:sz w:val="18"/>
          <w:szCs w:val="20"/>
          <w:lang w:val="en-US"/>
        </w:rPr>
        <w:t>MARCH 18, 2017</w:t>
      </w:r>
    </w:p>
    <w:p w:rsidR="008D3475" w:rsidRPr="00CC0E89" w:rsidRDefault="008D3475" w:rsidP="008D3475">
      <w:pPr>
        <w:tabs>
          <w:tab w:val="center" w:pos="5400"/>
        </w:tabs>
        <w:suppressAutoHyphens/>
        <w:spacing w:line="276" w:lineRule="auto"/>
        <w:jc w:val="center"/>
        <w:rPr>
          <w:rFonts w:ascii="Cambria" w:hAnsi="Cambria"/>
          <w:sz w:val="20"/>
          <w:szCs w:val="20"/>
          <w:lang w:val="en-US"/>
        </w:rPr>
      </w:pPr>
    </w:p>
    <w:p w:rsidR="00CC0E89" w:rsidRPr="00CC0E89" w:rsidRDefault="00CC0E89" w:rsidP="008D3475">
      <w:pPr>
        <w:tabs>
          <w:tab w:val="center" w:pos="5400"/>
        </w:tabs>
        <w:suppressAutoHyphens/>
        <w:spacing w:line="276" w:lineRule="auto"/>
        <w:jc w:val="center"/>
        <w:rPr>
          <w:rFonts w:ascii="Cambria" w:hAnsi="Cambria"/>
          <w:sz w:val="20"/>
          <w:szCs w:val="20"/>
          <w:lang w:val="en-US"/>
        </w:rPr>
      </w:pPr>
    </w:p>
    <w:p w:rsidR="008D3475" w:rsidRPr="008D3475" w:rsidRDefault="008D3475" w:rsidP="008D3475">
      <w:pPr>
        <w:spacing w:after="240"/>
        <w:ind w:firstLine="720"/>
        <w:jc w:val="both"/>
        <w:rPr>
          <w:rFonts w:ascii="Cambria" w:hAnsi="Cambria"/>
          <w:b/>
          <w:bCs/>
          <w:sz w:val="20"/>
          <w:szCs w:val="20"/>
        </w:rPr>
      </w:pPr>
      <w:r w:rsidRPr="008D3475">
        <w:rPr>
          <w:rFonts w:ascii="Cambria" w:hAnsi="Cambria"/>
          <w:b/>
          <w:bCs/>
          <w:sz w:val="20"/>
          <w:szCs w:val="20"/>
          <w:lang w:val="en"/>
        </w:rPr>
        <w:t>I.</w:t>
      </w:r>
      <w:r w:rsidRPr="008D3475">
        <w:rPr>
          <w:rFonts w:ascii="Cambria" w:hAnsi="Cambria"/>
          <w:b/>
          <w:bCs/>
          <w:sz w:val="20"/>
          <w:szCs w:val="20"/>
          <w:lang w:val="en"/>
        </w:rPr>
        <w:tab/>
        <w:t>SUMMARY</w:t>
      </w:r>
    </w:p>
    <w:p w:rsidR="008D3475" w:rsidRPr="00B73C96" w:rsidRDefault="008D3475" w:rsidP="008D3475">
      <w:pPr>
        <w:numPr>
          <w:ilvl w:val="0"/>
          <w:numId w:val="55"/>
        </w:numPr>
        <w:suppressAutoHyphens/>
        <w:spacing w:after="240"/>
        <w:jc w:val="both"/>
        <w:rPr>
          <w:rFonts w:ascii="Cambria" w:hAnsi="Cambria"/>
          <w:sz w:val="20"/>
          <w:szCs w:val="20"/>
          <w:lang w:val="en-US"/>
        </w:rPr>
      </w:pPr>
      <w:r>
        <w:rPr>
          <w:rFonts w:ascii="Cambria" w:hAnsi="Cambria"/>
          <w:sz w:val="20"/>
          <w:szCs w:val="20"/>
          <w:lang w:val="en"/>
        </w:rPr>
        <w:t>On August 19, 2011, the Inter-American Commission on Human Rights (hereinafter "the Inter-American Commission," "the Commission,” or “the IACHR”) received a petition submitted by the Indian Law Resource Center, the Maya Q’eqchí’ Agua Caliente Community, and Rodrigo Tot (hereinafter "the petitioners") against Guatemala (hereinafter "Guatemala" or "the State")</w:t>
      </w:r>
      <w:r w:rsidR="00730A15">
        <w:rPr>
          <w:rFonts w:ascii="Cambria" w:hAnsi="Cambria"/>
          <w:sz w:val="20"/>
          <w:szCs w:val="20"/>
          <w:lang w:val="en"/>
        </w:rPr>
        <w:t xml:space="preserve">.  </w:t>
      </w:r>
      <w:r>
        <w:rPr>
          <w:rFonts w:ascii="Cambria" w:hAnsi="Cambria"/>
          <w:sz w:val="20"/>
          <w:szCs w:val="20"/>
          <w:lang w:val="en"/>
        </w:rPr>
        <w:t>The petition was filed in representation of the Q’eqchi’ Mayan community in Agua Caliente (hereinafter "the alleged victim").</w:t>
      </w:r>
    </w:p>
    <w:p w:rsidR="008D3475" w:rsidRPr="00730A1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 xml:space="preserve">The petitioners argue that Guatemala violated the collective property rights to land and natural resources and the right to self-determination and self-governance of the </w:t>
      </w:r>
      <w:r w:rsidRPr="00730A15">
        <w:rPr>
          <w:rFonts w:ascii="Cambria" w:hAnsi="Cambria"/>
          <w:sz w:val="20"/>
          <w:szCs w:val="20"/>
          <w:lang w:val="en"/>
        </w:rPr>
        <w:t>Q’eqchi’ Mayan community in Agua Caliente</w:t>
      </w:r>
      <w:r w:rsidR="00730A15">
        <w:rPr>
          <w:rFonts w:ascii="Cambria" w:hAnsi="Cambria"/>
          <w:sz w:val="20"/>
          <w:szCs w:val="20"/>
          <w:lang w:val="en"/>
        </w:rPr>
        <w:t xml:space="preserve"> </w:t>
      </w:r>
      <w:r w:rsidRPr="00730A15">
        <w:rPr>
          <w:rFonts w:ascii="Cambria" w:hAnsi="Cambria"/>
          <w:sz w:val="20"/>
          <w:szCs w:val="20"/>
          <w:lang w:val="en"/>
        </w:rPr>
        <w:t>due to the lack of a special law recognizing these rights</w:t>
      </w:r>
      <w:r w:rsidR="00730A15" w:rsidRPr="00730A15">
        <w:rPr>
          <w:rFonts w:ascii="Cambria" w:hAnsi="Cambria"/>
          <w:sz w:val="20"/>
          <w:szCs w:val="20"/>
          <w:lang w:val="en"/>
        </w:rPr>
        <w:t xml:space="preserve">.  </w:t>
      </w:r>
      <w:r w:rsidRPr="00730A15">
        <w:rPr>
          <w:rFonts w:ascii="Cambria" w:hAnsi="Cambria"/>
          <w:sz w:val="20"/>
          <w:szCs w:val="20"/>
          <w:lang w:val="en"/>
        </w:rPr>
        <w:t>They allege that existing laws have failed to recognize these rights and omitted the participation of indigenous peoples from processes and procedures regulating the adjudication of their lands, mineral exploitation on their territories, and approval of environmental impact studies for mining projects</w:t>
      </w:r>
      <w:r w:rsidR="00730A15" w:rsidRPr="00730A15">
        <w:rPr>
          <w:rFonts w:ascii="Cambria" w:hAnsi="Cambria"/>
          <w:sz w:val="20"/>
          <w:szCs w:val="20"/>
          <w:lang w:val="en"/>
        </w:rPr>
        <w:t xml:space="preserve">.  </w:t>
      </w:r>
    </w:p>
    <w:p w:rsidR="008D3475" w:rsidRPr="008D3475" w:rsidRDefault="008D3475" w:rsidP="008D3475">
      <w:pPr>
        <w:numPr>
          <w:ilvl w:val="0"/>
          <w:numId w:val="55"/>
        </w:numPr>
        <w:suppressAutoHyphens/>
        <w:spacing w:after="240"/>
        <w:jc w:val="both"/>
        <w:rPr>
          <w:rFonts w:ascii="Cambria" w:eastAsia="SimSun" w:hAnsi="Cambria"/>
          <w:sz w:val="20"/>
          <w:szCs w:val="20"/>
          <w:lang w:val="en-US"/>
        </w:rPr>
      </w:pPr>
      <w:r w:rsidRPr="00730A15">
        <w:rPr>
          <w:rFonts w:ascii="Cambria" w:hAnsi="Cambria"/>
          <w:sz w:val="20"/>
          <w:szCs w:val="20"/>
          <w:lang w:val="en"/>
        </w:rPr>
        <w:t>For its part, the State indicates that the individual and collective rights of indigenous peoples and communities are constitutionally guaranteed, and that measures of judicial protection are in place to protect their economic, social, cultural, and environmental interests</w:t>
      </w:r>
      <w:r w:rsidR="00730A15" w:rsidRPr="00730A15">
        <w:rPr>
          <w:rFonts w:ascii="Cambria" w:hAnsi="Cambria"/>
          <w:sz w:val="20"/>
          <w:szCs w:val="20"/>
          <w:lang w:val="en"/>
        </w:rPr>
        <w:t xml:space="preserve">.  </w:t>
      </w:r>
      <w:r w:rsidRPr="00730A15">
        <w:rPr>
          <w:rFonts w:ascii="Cambria" w:hAnsi="Cambria"/>
          <w:sz w:val="20"/>
          <w:szCs w:val="20"/>
          <w:lang w:val="en"/>
        </w:rPr>
        <w:t>It maintains</w:t>
      </w:r>
      <w:r w:rsidRPr="008D3475">
        <w:rPr>
          <w:rFonts w:ascii="Cambria" w:hAnsi="Cambria"/>
          <w:sz w:val="20"/>
          <w:szCs w:val="20"/>
          <w:lang w:val="en"/>
        </w:rPr>
        <w:t xml:space="preserve"> that “the State is the only one that can dispose of its properties and has the authority to grant mining licenses</w:t>
      </w:r>
      <w:r w:rsidR="00730A15">
        <w:rPr>
          <w:rFonts w:ascii="Cambria" w:hAnsi="Cambria"/>
          <w:sz w:val="20"/>
          <w:szCs w:val="20"/>
          <w:lang w:val="en"/>
        </w:rPr>
        <w:t xml:space="preserve">.  </w:t>
      </w:r>
      <w:r w:rsidRPr="008D3475">
        <w:rPr>
          <w:rFonts w:ascii="Cambria" w:hAnsi="Cambria"/>
          <w:sz w:val="20"/>
          <w:szCs w:val="20"/>
          <w:lang w:val="en"/>
        </w:rPr>
        <w:t>It can therefore decide, pursuant to the laws regulating the subject, to grant mining concessions."</w:t>
      </w:r>
      <w:r w:rsidR="009804E7">
        <w:rPr>
          <w:rFonts w:ascii="Cambria" w:hAnsi="Cambria"/>
          <w:sz w:val="20"/>
          <w:szCs w:val="20"/>
          <w:lang w:val="en"/>
        </w:rPr>
        <w:t xml:space="preserve"> </w:t>
      </w:r>
      <w:r w:rsidRPr="008D3475">
        <w:rPr>
          <w:rFonts w:ascii="Cambria" w:hAnsi="Cambria"/>
          <w:sz w:val="20"/>
          <w:szCs w:val="20"/>
          <w:lang w:val="en"/>
        </w:rPr>
        <w:t xml:space="preserve"> In addition, it argues that the alleged victims have not exhausted domestic remedies for titling their lands and opposing the mining project.</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Without prejudging the merits of the petition, after analyzing the pleadings of the parties</w:t>
      </w:r>
      <w:r w:rsidRPr="008D3475">
        <w:rPr>
          <w:rFonts w:ascii="Cambria" w:hAnsi="Cambria"/>
          <w:color w:val="FF0000"/>
          <w:sz w:val="20"/>
          <w:szCs w:val="20"/>
          <w:lang w:val="en"/>
        </w:rPr>
        <w:t xml:space="preserve"> </w:t>
      </w:r>
      <w:r w:rsidRPr="008D3475">
        <w:rPr>
          <w:rFonts w:ascii="Cambria" w:hAnsi="Cambria"/>
          <w:sz w:val="20"/>
          <w:szCs w:val="20"/>
          <w:lang w:val="en"/>
        </w:rPr>
        <w:t>and pursuant to t</w:t>
      </w:r>
      <w:r w:rsidR="00BC5DD0">
        <w:rPr>
          <w:rFonts w:ascii="Cambria" w:hAnsi="Cambria"/>
          <w:sz w:val="20"/>
          <w:szCs w:val="20"/>
          <w:lang w:val="en"/>
        </w:rPr>
        <w:t>he requirements established in A</w:t>
      </w:r>
      <w:r w:rsidRPr="008D3475">
        <w:rPr>
          <w:rFonts w:ascii="Cambria" w:hAnsi="Cambria"/>
          <w:sz w:val="20"/>
          <w:szCs w:val="20"/>
          <w:lang w:val="en"/>
        </w:rPr>
        <w:t>rticles 46 and 47 of the American Convention on Human Rights (hereinafter "the American Conven</w:t>
      </w:r>
      <w:r w:rsidR="00BC5DD0">
        <w:rPr>
          <w:rFonts w:ascii="Cambria" w:hAnsi="Cambria"/>
          <w:sz w:val="20"/>
          <w:szCs w:val="20"/>
          <w:lang w:val="en"/>
        </w:rPr>
        <w:t>tion" or "the Convention") and A</w:t>
      </w:r>
      <w:r w:rsidRPr="008D3475">
        <w:rPr>
          <w:rFonts w:ascii="Cambria" w:hAnsi="Cambria"/>
          <w:sz w:val="20"/>
          <w:szCs w:val="20"/>
          <w:lang w:val="en"/>
        </w:rPr>
        <w:t>rticles 31 through 34 of the Rules of Procedure of the IACHR, (hereinafter the “Rules of Procedure”), the Commission decides to declare this petition admissible regarding the alleged violati</w:t>
      </w:r>
      <w:r w:rsidR="00BC5DD0">
        <w:rPr>
          <w:rFonts w:ascii="Cambria" w:hAnsi="Cambria"/>
          <w:sz w:val="20"/>
          <w:szCs w:val="20"/>
          <w:lang w:val="en"/>
        </w:rPr>
        <w:t>ons of the rights enshrined in A</w:t>
      </w:r>
      <w:r w:rsidRPr="008D3475">
        <w:rPr>
          <w:rFonts w:ascii="Cambria" w:hAnsi="Cambria"/>
          <w:sz w:val="20"/>
          <w:szCs w:val="20"/>
          <w:lang w:val="en"/>
        </w:rPr>
        <w:t>rticles 3 (right to juridical personality) 8 (</w:t>
      </w:r>
      <w:r w:rsidR="009804E7">
        <w:rPr>
          <w:rFonts w:ascii="Cambria" w:hAnsi="Cambria"/>
          <w:sz w:val="20"/>
          <w:szCs w:val="20"/>
          <w:lang w:val="en"/>
        </w:rPr>
        <w:t xml:space="preserve">right to a </w:t>
      </w:r>
      <w:r w:rsidRPr="008D3475">
        <w:rPr>
          <w:rFonts w:ascii="Cambria" w:hAnsi="Cambria"/>
          <w:sz w:val="20"/>
          <w:szCs w:val="20"/>
          <w:lang w:val="en"/>
        </w:rPr>
        <w:t>fair trial), 21 (</w:t>
      </w:r>
      <w:r w:rsidR="009804E7">
        <w:rPr>
          <w:rFonts w:ascii="Cambria" w:hAnsi="Cambria"/>
          <w:sz w:val="20"/>
          <w:szCs w:val="20"/>
          <w:lang w:val="en"/>
        </w:rPr>
        <w:t>right to</w:t>
      </w:r>
      <w:r w:rsidRPr="008D3475">
        <w:rPr>
          <w:rFonts w:ascii="Cambria" w:hAnsi="Cambria"/>
          <w:sz w:val="20"/>
          <w:szCs w:val="20"/>
          <w:lang w:val="en"/>
        </w:rPr>
        <w:t xml:space="preserve"> property), 24 (</w:t>
      </w:r>
      <w:r w:rsidR="009804E7">
        <w:rPr>
          <w:rFonts w:ascii="Cambria" w:hAnsi="Cambria"/>
          <w:sz w:val="20"/>
          <w:szCs w:val="20"/>
          <w:lang w:val="en"/>
        </w:rPr>
        <w:t xml:space="preserve">right to </w:t>
      </w:r>
      <w:r w:rsidRPr="008D3475">
        <w:rPr>
          <w:rFonts w:ascii="Cambria" w:hAnsi="Cambria"/>
          <w:sz w:val="20"/>
          <w:szCs w:val="20"/>
          <w:lang w:val="en"/>
        </w:rPr>
        <w:t>equal protection), and 25 (</w:t>
      </w:r>
      <w:r w:rsidR="009804E7">
        <w:rPr>
          <w:rFonts w:ascii="Cambria" w:hAnsi="Cambria"/>
          <w:sz w:val="20"/>
          <w:szCs w:val="20"/>
          <w:lang w:val="en"/>
        </w:rPr>
        <w:t xml:space="preserve">right ti </w:t>
      </w:r>
      <w:r w:rsidRPr="008D3475">
        <w:rPr>
          <w:rFonts w:ascii="Cambria" w:hAnsi="Cambria"/>
          <w:sz w:val="20"/>
          <w:szCs w:val="20"/>
          <w:lang w:val="en"/>
        </w:rPr>
        <w:t>judicial protection) of the American Convention</w:t>
      </w:r>
      <w:r w:rsidR="00BC5DD0">
        <w:rPr>
          <w:rFonts w:ascii="Cambria" w:hAnsi="Cambria"/>
          <w:sz w:val="20"/>
          <w:szCs w:val="20"/>
          <w:lang w:val="en"/>
        </w:rPr>
        <w:t>, in connection with A</w:t>
      </w:r>
      <w:r w:rsidR="009804E7">
        <w:rPr>
          <w:rFonts w:ascii="Cambria" w:hAnsi="Cambria"/>
          <w:sz w:val="20"/>
          <w:szCs w:val="20"/>
          <w:lang w:val="en"/>
        </w:rPr>
        <w:t>rticles 1</w:t>
      </w:r>
      <w:r w:rsidR="00AA650A">
        <w:rPr>
          <w:rFonts w:ascii="Cambria" w:hAnsi="Cambria"/>
          <w:sz w:val="20"/>
          <w:szCs w:val="20"/>
          <w:lang w:val="en"/>
        </w:rPr>
        <w:t>(</w:t>
      </w:r>
      <w:r w:rsidRPr="008D3475">
        <w:rPr>
          <w:rFonts w:ascii="Cambria" w:hAnsi="Cambria"/>
          <w:sz w:val="20"/>
          <w:szCs w:val="20"/>
          <w:lang w:val="en"/>
        </w:rPr>
        <w:t>1</w:t>
      </w:r>
      <w:r w:rsidR="00AA650A">
        <w:rPr>
          <w:rFonts w:ascii="Cambria" w:hAnsi="Cambria"/>
          <w:sz w:val="20"/>
          <w:szCs w:val="20"/>
          <w:lang w:val="en"/>
        </w:rPr>
        <w:t>)</w:t>
      </w:r>
      <w:r w:rsidRPr="008D3475">
        <w:rPr>
          <w:rFonts w:ascii="Cambria" w:hAnsi="Cambria"/>
          <w:sz w:val="20"/>
          <w:szCs w:val="20"/>
          <w:lang w:val="en"/>
        </w:rPr>
        <w:t xml:space="preserve"> (obligation to respect rights) and 2 (duties to adopt provisions in domestic law) of the </w:t>
      </w:r>
      <w:r w:rsidR="009804E7">
        <w:rPr>
          <w:rFonts w:ascii="Cambria" w:hAnsi="Cambria"/>
          <w:sz w:val="20"/>
          <w:szCs w:val="20"/>
          <w:lang w:val="en"/>
        </w:rPr>
        <w:t>same instrument</w:t>
      </w:r>
      <w:r w:rsidR="00730A15">
        <w:rPr>
          <w:rFonts w:ascii="Cambria" w:hAnsi="Cambria"/>
          <w:sz w:val="20"/>
          <w:szCs w:val="20"/>
          <w:lang w:val="en"/>
        </w:rPr>
        <w:t xml:space="preserve">.  </w:t>
      </w:r>
      <w:r w:rsidRPr="008D3475">
        <w:rPr>
          <w:rFonts w:ascii="Cambria" w:hAnsi="Cambria"/>
          <w:sz w:val="20"/>
          <w:szCs w:val="20"/>
          <w:lang w:val="en"/>
        </w:rPr>
        <w:t>The Commission also decides to notify the parties of this decision, to publish it, and to include it in its Annual Report to the General Assembly of the Organization of American States.</w:t>
      </w:r>
    </w:p>
    <w:p w:rsidR="008D3475" w:rsidRPr="009804E7" w:rsidRDefault="009804E7" w:rsidP="008D3475">
      <w:pPr>
        <w:spacing w:after="240"/>
        <w:ind w:firstLine="720"/>
        <w:jc w:val="both"/>
        <w:rPr>
          <w:rFonts w:ascii="Cambria" w:hAnsi="Cambria"/>
          <w:b/>
          <w:bCs/>
          <w:sz w:val="20"/>
          <w:szCs w:val="20"/>
          <w:lang w:val="en-US"/>
        </w:rPr>
      </w:pPr>
      <w:r>
        <w:rPr>
          <w:rFonts w:ascii="Cambria" w:hAnsi="Cambria"/>
          <w:b/>
          <w:bCs/>
          <w:sz w:val="20"/>
          <w:szCs w:val="20"/>
          <w:lang w:val="en"/>
        </w:rPr>
        <w:t>II.</w:t>
      </w:r>
      <w:r>
        <w:rPr>
          <w:rFonts w:ascii="Cambria" w:hAnsi="Cambria"/>
          <w:b/>
          <w:bCs/>
          <w:sz w:val="20"/>
          <w:szCs w:val="20"/>
          <w:lang w:val="en"/>
        </w:rPr>
        <w:tab/>
        <w:t>PROCEED</w:t>
      </w:r>
      <w:r w:rsidR="008D3475" w:rsidRPr="008D3475">
        <w:rPr>
          <w:rFonts w:ascii="Cambria" w:hAnsi="Cambria"/>
          <w:b/>
          <w:bCs/>
          <w:sz w:val="20"/>
          <w:szCs w:val="20"/>
          <w:lang w:val="en"/>
        </w:rPr>
        <w:t>INGS BEFORE THE IACHR</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 xml:space="preserve">The IACHR received a petition on August 19, 2011, and on February 5, 2015, it forwarded a copy of pertinent parts to the State, giving it three months to submit its comments, </w:t>
      </w:r>
      <w:r>
        <w:rPr>
          <w:rFonts w:ascii="Cambria" w:hAnsi="Cambria"/>
          <w:sz w:val="20"/>
          <w:szCs w:val="20"/>
          <w:lang w:val="en"/>
        </w:rPr>
        <w:t>based on Article 30(3) of its Rules of Procedure</w:t>
      </w:r>
      <w:r w:rsidR="00730A15">
        <w:rPr>
          <w:rFonts w:ascii="Cambria" w:hAnsi="Cambria"/>
          <w:sz w:val="20"/>
          <w:szCs w:val="20"/>
          <w:lang w:val="en"/>
        </w:rPr>
        <w:t xml:space="preserve">.  </w:t>
      </w:r>
      <w:r w:rsidRPr="008D3475">
        <w:rPr>
          <w:rFonts w:ascii="Cambria" w:hAnsi="Cambria"/>
          <w:sz w:val="20"/>
          <w:szCs w:val="20"/>
          <w:lang w:val="en"/>
        </w:rPr>
        <w:t>On May 7, 2015, the State’s response was received</w:t>
      </w:r>
      <w:r w:rsidR="00730A15">
        <w:rPr>
          <w:rFonts w:ascii="Cambria" w:hAnsi="Cambria"/>
          <w:sz w:val="20"/>
          <w:szCs w:val="20"/>
          <w:lang w:val="en"/>
        </w:rPr>
        <w:t xml:space="preserve">.  </w:t>
      </w:r>
      <w:r w:rsidRPr="008D3475">
        <w:rPr>
          <w:rFonts w:ascii="Cambria" w:hAnsi="Cambria"/>
          <w:color w:val="000000"/>
          <w:sz w:val="20"/>
          <w:szCs w:val="20"/>
          <w:lang w:val="en"/>
        </w:rPr>
        <w:t xml:space="preserve">The response was forwarded </w:t>
      </w:r>
      <w:r w:rsidRPr="008D3475">
        <w:rPr>
          <w:rFonts w:ascii="Cambria" w:hAnsi="Cambria"/>
          <w:sz w:val="20"/>
          <w:szCs w:val="20"/>
          <w:lang w:val="en"/>
        </w:rPr>
        <w:t>to the petitioners</w:t>
      </w:r>
      <w:r w:rsidRPr="008D3475">
        <w:rPr>
          <w:rFonts w:ascii="Cambria" w:hAnsi="Cambria"/>
          <w:color w:val="000000"/>
          <w:sz w:val="20"/>
          <w:szCs w:val="20"/>
          <w:lang w:val="en"/>
        </w:rPr>
        <w:t xml:space="preserve"> on June 4, 2015</w:t>
      </w:r>
      <w:r w:rsidRPr="008D3475">
        <w:rPr>
          <w:rFonts w:ascii="Cambria" w:hAnsi="Cambria"/>
          <w:sz w:val="20"/>
          <w:szCs w:val="20"/>
          <w:lang w:val="en"/>
        </w:rPr>
        <w:t>.</w:t>
      </w:r>
    </w:p>
    <w:p w:rsidR="008D3475" w:rsidRPr="008D3475" w:rsidRDefault="008D3475" w:rsidP="008D3475">
      <w:pPr>
        <w:numPr>
          <w:ilvl w:val="0"/>
          <w:numId w:val="55"/>
        </w:numPr>
        <w:spacing w:after="240"/>
        <w:jc w:val="both"/>
        <w:rPr>
          <w:rFonts w:ascii="Cambria" w:hAnsi="Cambria"/>
          <w:sz w:val="20"/>
          <w:szCs w:val="20"/>
        </w:rPr>
      </w:pPr>
      <w:r w:rsidRPr="008D3475">
        <w:rPr>
          <w:rFonts w:ascii="Cambria" w:hAnsi="Cambria"/>
          <w:color w:val="000000"/>
          <w:sz w:val="20"/>
          <w:szCs w:val="20"/>
          <w:lang w:val="en"/>
        </w:rPr>
        <w:t xml:space="preserve">The petitioners submitted additional comments on </w:t>
      </w:r>
      <w:r w:rsidRPr="008D3475">
        <w:rPr>
          <w:rFonts w:ascii="Cambria" w:hAnsi="Cambria"/>
          <w:sz w:val="20"/>
          <w:szCs w:val="20"/>
          <w:lang w:val="en"/>
        </w:rPr>
        <w:t>August 22 and 23, 2011; April 17, 2012; and November 11, 2013</w:t>
      </w:r>
      <w:r w:rsidR="00730A15">
        <w:rPr>
          <w:rFonts w:ascii="Cambria" w:hAnsi="Cambria"/>
          <w:sz w:val="20"/>
          <w:szCs w:val="20"/>
          <w:lang w:val="en"/>
        </w:rPr>
        <w:t xml:space="preserve">.  </w:t>
      </w:r>
      <w:r w:rsidRPr="008D3475">
        <w:rPr>
          <w:rFonts w:ascii="Cambria" w:hAnsi="Cambria"/>
          <w:sz w:val="20"/>
          <w:szCs w:val="20"/>
          <w:lang w:val="en"/>
        </w:rPr>
        <w:t>These comments were duly forwarded to the State.</w:t>
      </w:r>
    </w:p>
    <w:p w:rsidR="008D3475" w:rsidRPr="008D3475" w:rsidRDefault="008D3475" w:rsidP="008D3475">
      <w:pPr>
        <w:spacing w:after="240"/>
        <w:ind w:firstLine="720"/>
        <w:jc w:val="both"/>
        <w:rPr>
          <w:rFonts w:ascii="Cambria" w:hAnsi="Cambria"/>
          <w:b/>
          <w:sz w:val="20"/>
          <w:szCs w:val="20"/>
        </w:rPr>
      </w:pPr>
    </w:p>
    <w:p w:rsidR="008D3475" w:rsidRPr="008D3475" w:rsidRDefault="008D3475" w:rsidP="008D3475">
      <w:pPr>
        <w:spacing w:after="240"/>
        <w:ind w:firstLine="720"/>
        <w:jc w:val="both"/>
        <w:rPr>
          <w:rFonts w:ascii="Cambria" w:hAnsi="Cambria"/>
          <w:b/>
          <w:sz w:val="20"/>
          <w:szCs w:val="20"/>
        </w:rPr>
      </w:pPr>
    </w:p>
    <w:p w:rsidR="008D3475" w:rsidRPr="008D3475" w:rsidRDefault="008D3475" w:rsidP="008D3475">
      <w:pPr>
        <w:spacing w:after="240"/>
        <w:ind w:firstLine="720"/>
        <w:jc w:val="both"/>
        <w:rPr>
          <w:rFonts w:ascii="Cambria" w:hAnsi="Cambria"/>
          <w:b/>
          <w:sz w:val="20"/>
          <w:szCs w:val="20"/>
        </w:rPr>
      </w:pPr>
      <w:r w:rsidRPr="008D3475">
        <w:rPr>
          <w:rFonts w:ascii="Cambria" w:hAnsi="Cambria"/>
          <w:b/>
          <w:bCs/>
          <w:sz w:val="20"/>
          <w:szCs w:val="20"/>
          <w:lang w:val="en"/>
        </w:rPr>
        <w:lastRenderedPageBreak/>
        <w:t xml:space="preserve">Precautionary measures </w:t>
      </w:r>
    </w:p>
    <w:p w:rsidR="008D3475" w:rsidRPr="008D3475" w:rsidRDefault="008D3475" w:rsidP="008D3475">
      <w:pPr>
        <w:numPr>
          <w:ilvl w:val="0"/>
          <w:numId w:val="55"/>
        </w:numPr>
        <w:suppressAutoHyphens/>
        <w:spacing w:after="240"/>
        <w:jc w:val="both"/>
        <w:rPr>
          <w:rFonts w:ascii="Cambria" w:hAnsi="Cambria"/>
          <w:b/>
          <w:sz w:val="20"/>
          <w:szCs w:val="20"/>
          <w:lang w:val="en-US"/>
        </w:rPr>
      </w:pPr>
      <w:r w:rsidRPr="008D3475">
        <w:rPr>
          <w:rFonts w:ascii="Cambria" w:hAnsi="Cambria"/>
          <w:sz w:val="20"/>
          <w:szCs w:val="20"/>
          <w:lang w:val="en"/>
        </w:rPr>
        <w:t xml:space="preserve">The IACHR recorded a request for precautionary measures in conjunction with this petition, as the petitioners initially alleged the existence of a grave situation that could cause irreparable damage to members of the Agua Caliente Community, Rodrigo Tot, and </w:t>
      </w:r>
      <w:r w:rsidRPr="00506E0C">
        <w:rPr>
          <w:rFonts w:ascii="Cambria" w:hAnsi="Cambria"/>
          <w:sz w:val="20"/>
          <w:szCs w:val="20"/>
          <w:lang w:val="en"/>
        </w:rPr>
        <w:t>Carlos Antonio Pop Ac</w:t>
      </w:r>
      <w:r w:rsidR="00730A15">
        <w:rPr>
          <w:rFonts w:ascii="Cambria" w:hAnsi="Cambria"/>
          <w:sz w:val="20"/>
          <w:szCs w:val="20"/>
          <w:lang w:val="en"/>
        </w:rPr>
        <w:t xml:space="preserve">.  </w:t>
      </w:r>
      <w:r w:rsidRPr="008D3475">
        <w:rPr>
          <w:rFonts w:ascii="Cambria" w:hAnsi="Cambria"/>
          <w:sz w:val="20"/>
          <w:szCs w:val="20"/>
          <w:lang w:val="en"/>
        </w:rPr>
        <w:t>On October 17, 2012, the IACHR granted precautionary measures to guarantee the lives and personal integrity of Carlos Antonio Pop Ac, Rodrigo Tot, and their families</w:t>
      </w:r>
      <w:r w:rsidR="00730A15">
        <w:rPr>
          <w:rFonts w:ascii="Cambria" w:hAnsi="Cambria"/>
          <w:sz w:val="20"/>
          <w:szCs w:val="20"/>
          <w:lang w:val="en"/>
        </w:rPr>
        <w:t xml:space="preserve">.  </w:t>
      </w:r>
      <w:r w:rsidRPr="008D3475">
        <w:rPr>
          <w:rFonts w:ascii="Cambria" w:hAnsi="Cambria"/>
          <w:sz w:val="20"/>
          <w:szCs w:val="20"/>
          <w:lang w:val="en"/>
        </w:rPr>
        <w:t>Since then, both parties have provided the IACHR with updated information on several occasions.</w:t>
      </w:r>
      <w:r w:rsidRPr="008D3475">
        <w:rPr>
          <w:rFonts w:ascii="Cambria" w:hAnsi="Cambria"/>
          <w:sz w:val="20"/>
          <w:szCs w:val="20"/>
          <w:vertAlign w:val="superscript"/>
          <w:lang w:val="en"/>
        </w:rPr>
        <w:footnoteReference w:id="1"/>
      </w:r>
      <w:r w:rsidRPr="008D3475">
        <w:rPr>
          <w:rFonts w:ascii="Cambria" w:hAnsi="Cambria"/>
          <w:sz w:val="20"/>
          <w:szCs w:val="20"/>
          <w:lang w:val="en"/>
        </w:rPr>
        <w:t xml:space="preserve"> </w:t>
      </w:r>
      <w:r w:rsidR="00506E0C">
        <w:rPr>
          <w:rFonts w:ascii="Cambria" w:hAnsi="Cambria"/>
          <w:sz w:val="20"/>
          <w:szCs w:val="20"/>
          <w:lang w:val="en"/>
        </w:rPr>
        <w:t xml:space="preserve"> </w:t>
      </w:r>
      <w:r w:rsidRPr="008D3475">
        <w:rPr>
          <w:rFonts w:ascii="Cambria" w:hAnsi="Cambria"/>
          <w:sz w:val="20"/>
          <w:szCs w:val="20"/>
          <w:lang w:val="en"/>
        </w:rPr>
        <w:t>In analyzing this petition, the IACHR notes that it will take into account the information provided during the precautionary measures procedure.</w:t>
      </w:r>
    </w:p>
    <w:p w:rsidR="008D3475" w:rsidRPr="008D3475" w:rsidRDefault="008D3475" w:rsidP="008D3475">
      <w:pPr>
        <w:spacing w:after="240"/>
        <w:ind w:firstLine="720"/>
        <w:jc w:val="both"/>
        <w:rPr>
          <w:rFonts w:ascii="Cambria" w:hAnsi="Cambria"/>
          <w:b/>
          <w:bCs/>
          <w:sz w:val="20"/>
          <w:szCs w:val="20"/>
          <w:lang w:val="en-US"/>
        </w:rPr>
      </w:pPr>
      <w:r w:rsidRPr="008D3475">
        <w:rPr>
          <w:rFonts w:ascii="Cambria" w:hAnsi="Cambria"/>
          <w:b/>
          <w:bCs/>
          <w:sz w:val="20"/>
          <w:szCs w:val="20"/>
          <w:lang w:val="en"/>
        </w:rPr>
        <w:t>III.</w:t>
      </w:r>
      <w:r w:rsidRPr="008D3475">
        <w:rPr>
          <w:rFonts w:ascii="Cambria" w:hAnsi="Cambria"/>
          <w:b/>
          <w:bCs/>
          <w:sz w:val="20"/>
          <w:szCs w:val="20"/>
          <w:lang w:val="en"/>
        </w:rPr>
        <w:tab/>
        <w:t>POSITION OF THE PARTIES</w:t>
      </w:r>
      <w:r w:rsidRPr="008D3475">
        <w:rPr>
          <w:rFonts w:ascii="Cambria" w:hAnsi="Cambria"/>
          <w:b/>
          <w:bCs/>
          <w:color w:val="FF0000"/>
          <w:sz w:val="20"/>
          <w:szCs w:val="20"/>
          <w:lang w:val="en"/>
        </w:rPr>
        <w:t xml:space="preserve"> </w:t>
      </w:r>
    </w:p>
    <w:p w:rsidR="008D3475" w:rsidRPr="008D3475" w:rsidRDefault="008D3475" w:rsidP="008D3475">
      <w:pPr>
        <w:suppressAutoHyphens/>
        <w:spacing w:after="240"/>
        <w:ind w:firstLine="720"/>
        <w:jc w:val="both"/>
        <w:rPr>
          <w:rFonts w:ascii="Cambria" w:hAnsi="Cambria"/>
          <w:b/>
          <w:bCs/>
          <w:sz w:val="20"/>
          <w:szCs w:val="20"/>
          <w:lang w:val="en-US"/>
        </w:rPr>
      </w:pPr>
      <w:r w:rsidRPr="008D3475">
        <w:rPr>
          <w:rFonts w:ascii="Cambria" w:hAnsi="Cambria"/>
          <w:b/>
          <w:bCs/>
          <w:sz w:val="20"/>
          <w:szCs w:val="20"/>
          <w:lang w:val="en"/>
        </w:rPr>
        <w:t>A.</w:t>
      </w:r>
      <w:r w:rsidRPr="008D3475">
        <w:rPr>
          <w:rFonts w:ascii="Cambria" w:hAnsi="Cambria"/>
          <w:b/>
          <w:bCs/>
          <w:sz w:val="20"/>
          <w:szCs w:val="20"/>
          <w:lang w:val="en"/>
        </w:rPr>
        <w:tab/>
        <w:t>Positions of the petitioners</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The petitioners allege that the Q’eqchi’ Mayan community in Agua Caliente, also known as the “Agua Caliente Lot 9 Community,” is part of the greater Mayan nation and located in the municipality of El Estor, Izabal Department, territory that it has possessed for more than two centuries and with which it maintains a special relationship of a spiritual, cultural, and material nature</w:t>
      </w:r>
      <w:r w:rsidR="00730A15">
        <w:rPr>
          <w:rFonts w:ascii="Cambria" w:hAnsi="Cambria" w:cs="Arial"/>
          <w:sz w:val="20"/>
          <w:szCs w:val="20"/>
          <w:lang w:val="en"/>
        </w:rPr>
        <w:t xml:space="preserve">.  </w:t>
      </w:r>
      <w:r w:rsidRPr="008D3475">
        <w:rPr>
          <w:rFonts w:ascii="Cambria" w:hAnsi="Cambria" w:cs="Arial"/>
          <w:sz w:val="20"/>
          <w:szCs w:val="20"/>
          <w:lang w:val="en"/>
        </w:rPr>
        <w:t>They state that it is one of the most isolated communities within the mining area, located at the top of a mountain.</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They state that the majority of its members only speak q'eqchi’ and share the same spiritual, cultural, and social values</w:t>
      </w:r>
      <w:r w:rsidR="00730A15">
        <w:rPr>
          <w:rFonts w:ascii="Cambria" w:hAnsi="Cambria" w:cs="Arial"/>
          <w:sz w:val="20"/>
          <w:szCs w:val="20"/>
          <w:lang w:val="en"/>
        </w:rPr>
        <w:t xml:space="preserve">.  </w:t>
      </w:r>
      <w:r w:rsidRPr="008D3475">
        <w:rPr>
          <w:rFonts w:ascii="Cambria" w:hAnsi="Cambria" w:cs="Arial"/>
          <w:sz w:val="20"/>
          <w:szCs w:val="20"/>
          <w:lang w:val="en"/>
        </w:rPr>
        <w:t>They note that the community has its own system for making decisions and is organized under self-determined sociopolitical structures</w:t>
      </w:r>
      <w:r w:rsidR="00730A15">
        <w:rPr>
          <w:rFonts w:ascii="Cambria" w:hAnsi="Cambria" w:cs="Arial"/>
          <w:sz w:val="20"/>
          <w:szCs w:val="20"/>
          <w:lang w:val="en"/>
        </w:rPr>
        <w:t xml:space="preserve">.  </w:t>
      </w:r>
      <w:r w:rsidRPr="008D3475">
        <w:rPr>
          <w:rFonts w:ascii="Cambria" w:hAnsi="Cambria" w:cs="Arial"/>
          <w:sz w:val="20"/>
          <w:szCs w:val="20"/>
          <w:lang w:val="en"/>
        </w:rPr>
        <w:t>Its leader and representative is Rodrigo Tot, president of the Pro-Improvement Committee created by the community to conduct the administrative management of its lands</w:t>
      </w:r>
      <w:r w:rsidR="00730A15">
        <w:rPr>
          <w:rFonts w:ascii="Cambria" w:hAnsi="Cambria" w:cs="Arial"/>
          <w:sz w:val="20"/>
          <w:szCs w:val="20"/>
          <w:lang w:val="en"/>
        </w:rPr>
        <w:t xml:space="preserve">.  </w:t>
      </w:r>
    </w:p>
    <w:p w:rsidR="008D3475" w:rsidRPr="008D3475" w:rsidRDefault="008D3475" w:rsidP="008D3475">
      <w:pPr>
        <w:suppressAutoHyphens/>
        <w:spacing w:after="240"/>
        <w:ind w:left="720"/>
        <w:jc w:val="both"/>
        <w:rPr>
          <w:rFonts w:ascii="Cambria" w:hAnsi="Cambria" w:cs="Arial"/>
          <w:i/>
          <w:sz w:val="20"/>
          <w:szCs w:val="20"/>
        </w:rPr>
      </w:pPr>
      <w:r w:rsidRPr="008D3475">
        <w:rPr>
          <w:rFonts w:ascii="Cambria" w:hAnsi="Cambria" w:cs="Arial"/>
          <w:i/>
          <w:iCs/>
          <w:sz w:val="20"/>
          <w:szCs w:val="20"/>
          <w:lang w:val="en"/>
        </w:rPr>
        <w:t>Land titling procedure</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The petitioners state that the laws and policies of the agrarian reform consider the indigenous community as "landless peasants" and its territory as "lands apt for agricultural exploitation" under the concept of "collective agrarian heritage,” without recognizing the community’s indigenous nature</w:t>
      </w:r>
      <w:r w:rsidR="00730A15">
        <w:rPr>
          <w:rFonts w:ascii="Cambria" w:hAnsi="Cambria" w:cs="Arial"/>
          <w:sz w:val="20"/>
          <w:szCs w:val="20"/>
          <w:lang w:val="en"/>
        </w:rPr>
        <w:t xml:space="preserve">.  </w:t>
      </w:r>
    </w:p>
    <w:p w:rsidR="008D3475" w:rsidRPr="008D3475" w:rsidRDefault="00506E0C" w:rsidP="008D3475">
      <w:pPr>
        <w:numPr>
          <w:ilvl w:val="0"/>
          <w:numId w:val="55"/>
        </w:numPr>
        <w:suppressAutoHyphens/>
        <w:spacing w:after="240"/>
        <w:jc w:val="both"/>
        <w:rPr>
          <w:rFonts w:ascii="Cambria" w:hAnsi="Cambria" w:cs="Arial"/>
          <w:sz w:val="20"/>
          <w:szCs w:val="20"/>
          <w:lang w:val="en-US"/>
        </w:rPr>
      </w:pPr>
      <w:r>
        <w:rPr>
          <w:rFonts w:ascii="Cambria" w:hAnsi="Cambria" w:cs="Arial"/>
          <w:sz w:val="20"/>
          <w:szCs w:val="20"/>
          <w:lang w:val="en"/>
        </w:rPr>
        <w:t>They claim</w:t>
      </w:r>
      <w:r w:rsidR="008D3475" w:rsidRPr="008D3475">
        <w:rPr>
          <w:rFonts w:ascii="Cambria" w:hAnsi="Cambria" w:cs="Arial"/>
          <w:sz w:val="20"/>
          <w:szCs w:val="20"/>
          <w:lang w:val="en"/>
        </w:rPr>
        <w:t xml:space="preserve"> that on October 17, 1972, the Agrarian Transformation Act was adopted, creating the National Institute for Agrarian Transformation (Instituto Nacional de Transformación Agraria, INTA) and regulating the land titling procedure it established, requiring both indigenous and nonindigenous communities to pay a certain amount of money to receive title to the lands</w:t>
      </w:r>
      <w:r w:rsidR="00730A15">
        <w:rPr>
          <w:rFonts w:ascii="Cambria" w:hAnsi="Cambria" w:cs="Arial"/>
          <w:sz w:val="20"/>
          <w:szCs w:val="20"/>
          <w:lang w:val="en"/>
        </w:rPr>
        <w:t xml:space="preserve">.  </w:t>
      </w:r>
      <w:r w:rsidR="008D3475" w:rsidRPr="008D3475">
        <w:rPr>
          <w:rFonts w:ascii="Cambria" w:hAnsi="Cambria" w:cs="Arial"/>
          <w:sz w:val="20"/>
          <w:szCs w:val="20"/>
          <w:lang w:val="en"/>
        </w:rPr>
        <w:t xml:space="preserve">They note that the Community began the land titling procedure before the INTA in 1974, and on February 25, 1985, a provisional land title was granted to recognizing the right to coownership of its 64 members individually, under the concept of "Collective Agrarian </w:t>
      </w:r>
      <w:r>
        <w:rPr>
          <w:rFonts w:ascii="Cambria" w:hAnsi="Cambria" w:cs="Arial"/>
          <w:sz w:val="20"/>
          <w:szCs w:val="20"/>
          <w:lang w:val="en"/>
        </w:rPr>
        <w:t>Property</w:t>
      </w:r>
      <w:r w:rsidR="008D3475" w:rsidRPr="008D3475">
        <w:rPr>
          <w:rFonts w:ascii="Cambria" w:hAnsi="Cambria" w:cs="Arial"/>
          <w:sz w:val="20"/>
          <w:szCs w:val="20"/>
          <w:lang w:val="en"/>
        </w:rPr>
        <w:t>.”</w:t>
      </w:r>
      <w:r>
        <w:rPr>
          <w:rFonts w:ascii="Cambria" w:hAnsi="Cambria" w:cs="Arial"/>
          <w:sz w:val="20"/>
          <w:szCs w:val="20"/>
          <w:lang w:val="en"/>
        </w:rPr>
        <w:t xml:space="preserve"> </w:t>
      </w:r>
      <w:r w:rsidR="008D3475" w:rsidRPr="008D3475">
        <w:rPr>
          <w:rFonts w:ascii="Cambria" w:hAnsi="Cambria" w:cs="Arial"/>
          <w:sz w:val="20"/>
          <w:szCs w:val="20"/>
          <w:lang w:val="en"/>
        </w:rPr>
        <w:t xml:space="preserve"> They state that on July 18, 1998, the General Property Registry was informed that a number of pages had been removed from the Registry Book, including Page 96 of Book 21 containing the registration of the community’s lands</w:t>
      </w:r>
      <w:r w:rsidR="00730A15">
        <w:rPr>
          <w:rFonts w:ascii="Cambria" w:hAnsi="Cambria" w:cs="Arial"/>
          <w:sz w:val="20"/>
          <w:szCs w:val="20"/>
          <w:lang w:val="en"/>
        </w:rPr>
        <w:t xml:space="preserve">.  </w:t>
      </w:r>
      <w:r w:rsidR="008D3475" w:rsidRPr="008D3475">
        <w:rPr>
          <w:rFonts w:ascii="Cambria" w:hAnsi="Cambria" w:cs="Arial"/>
          <w:sz w:val="20"/>
          <w:szCs w:val="20"/>
          <w:lang w:val="en"/>
        </w:rPr>
        <w:t>They allege that these pages have not been replaced, preventing the lands from being properly titled.</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Regarding this, they stated that on May 13, 1999, the Land Fund Act (FONTIERRAS) was approved to finalize the procedures pending before the INTA</w:t>
      </w:r>
      <w:r w:rsidR="00730A15">
        <w:rPr>
          <w:rFonts w:ascii="Cambria" w:hAnsi="Cambria" w:cs="Arial"/>
          <w:sz w:val="20"/>
          <w:szCs w:val="20"/>
          <w:lang w:val="en"/>
        </w:rPr>
        <w:t xml:space="preserve">.  </w:t>
      </w:r>
      <w:r w:rsidRPr="008D3475">
        <w:rPr>
          <w:rFonts w:ascii="Cambria" w:hAnsi="Cambria" w:cs="Arial"/>
          <w:sz w:val="20"/>
          <w:szCs w:val="20"/>
          <w:lang w:val="en"/>
        </w:rPr>
        <w:t>On July 18, 2002, the community made its final payment to FONTIERRAS, thereby complying with all the requirements for official recognition of its ownership rights over the land</w:t>
      </w:r>
      <w:r w:rsidR="00730A15">
        <w:rPr>
          <w:rFonts w:ascii="Cambria" w:hAnsi="Cambria" w:cs="Arial"/>
          <w:sz w:val="20"/>
          <w:szCs w:val="20"/>
          <w:lang w:val="en"/>
        </w:rPr>
        <w:t xml:space="preserve">.  </w:t>
      </w:r>
      <w:r w:rsidRPr="008D3475">
        <w:rPr>
          <w:rFonts w:ascii="Cambria" w:hAnsi="Cambria" w:cs="Arial"/>
          <w:sz w:val="20"/>
          <w:szCs w:val="20"/>
          <w:lang w:val="en"/>
        </w:rPr>
        <w:t>However, they allege that FONTIERRAS did not grant the title and required them to launch a voluntary judicial process to have the pages replaced</w:t>
      </w:r>
      <w:r w:rsidR="00730A15">
        <w:rPr>
          <w:rFonts w:ascii="Cambria" w:hAnsi="Cambria" w:cs="Arial"/>
          <w:sz w:val="20"/>
          <w:szCs w:val="20"/>
          <w:lang w:val="en"/>
        </w:rPr>
        <w:t xml:space="preserve">.  </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lastRenderedPageBreak/>
        <w:t>The petitioners state that from 2004 to 2007, the community launched procedures three times before first instance civil courts to replace the pages, but had no success</w:t>
      </w:r>
      <w:r w:rsidR="00730A15">
        <w:rPr>
          <w:rFonts w:ascii="Cambria" w:hAnsi="Cambria" w:cs="Arial"/>
          <w:sz w:val="20"/>
          <w:szCs w:val="20"/>
          <w:lang w:val="en"/>
        </w:rPr>
        <w:t xml:space="preserve">.  </w:t>
      </w:r>
      <w:r w:rsidRPr="008D3475">
        <w:rPr>
          <w:rFonts w:ascii="Cambria" w:hAnsi="Cambria" w:cs="Arial"/>
          <w:sz w:val="20"/>
          <w:szCs w:val="20"/>
          <w:lang w:val="en"/>
        </w:rPr>
        <w:t>According to the authorities, this was not the proper remedy, or the document they were using to accredit representation was not legible</w:t>
      </w:r>
      <w:r w:rsidR="00730A15">
        <w:rPr>
          <w:rFonts w:ascii="Cambria" w:hAnsi="Cambria" w:cs="Arial"/>
          <w:sz w:val="20"/>
          <w:szCs w:val="20"/>
          <w:lang w:val="en"/>
        </w:rPr>
        <w:t xml:space="preserve">.  </w:t>
      </w:r>
      <w:r w:rsidRPr="008D3475">
        <w:rPr>
          <w:rFonts w:ascii="Cambria" w:hAnsi="Cambria" w:cs="Arial"/>
          <w:sz w:val="20"/>
          <w:szCs w:val="20"/>
          <w:lang w:val="en"/>
        </w:rPr>
        <w:t xml:space="preserve">They </w:t>
      </w:r>
      <w:r w:rsidR="009E0E84">
        <w:rPr>
          <w:rFonts w:ascii="Cambria" w:hAnsi="Cambria" w:cs="Arial"/>
          <w:sz w:val="20"/>
          <w:szCs w:val="20"/>
          <w:lang w:val="en"/>
        </w:rPr>
        <w:t>submit</w:t>
      </w:r>
      <w:r w:rsidRPr="008D3475">
        <w:rPr>
          <w:rFonts w:ascii="Cambria" w:hAnsi="Cambria" w:cs="Arial"/>
          <w:sz w:val="20"/>
          <w:szCs w:val="20"/>
          <w:lang w:val="en"/>
        </w:rPr>
        <w:t xml:space="preserve"> that on January 12, 2009, the community sought a writ of protection before the Civil and Commercial Appellate Court against the general director of FONTIERRAS for having required the community to act to replace the missing page</w:t>
      </w:r>
      <w:r w:rsidR="00730A15">
        <w:rPr>
          <w:rFonts w:ascii="Cambria" w:hAnsi="Cambria" w:cs="Arial"/>
          <w:sz w:val="20"/>
          <w:szCs w:val="20"/>
          <w:lang w:val="en"/>
        </w:rPr>
        <w:t xml:space="preserve">.  </w:t>
      </w:r>
      <w:r w:rsidRPr="008D3475">
        <w:rPr>
          <w:rFonts w:ascii="Cambria" w:hAnsi="Cambria" w:cs="Arial"/>
          <w:sz w:val="20"/>
          <w:szCs w:val="20"/>
          <w:lang w:val="en"/>
        </w:rPr>
        <w:t xml:space="preserve">The writ of protection was rejected and in response to the community’s appeal, on February 8, 2011, the Constitutional Court overturned the decision and ordered the authority in question to “request replacement of the corresponding page and pursue all actions, effects, remedies and obtain and propose suitable evidentiary measures until the court order to replace the registry page has been complied with.” </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The petitioners state that according to the Constitutional Court, although Agua Caliente has not received final title, it is understood that it will be identical in nature and content to the provisional title granted in 1985, which does not recognize the collective right of indigenous peoples to full control over the land and its natural resources</w:t>
      </w:r>
      <w:r w:rsidR="00730A15">
        <w:rPr>
          <w:rFonts w:ascii="Cambria" w:hAnsi="Cambria" w:cs="Arial"/>
          <w:sz w:val="20"/>
          <w:szCs w:val="20"/>
          <w:lang w:val="en"/>
        </w:rPr>
        <w:t xml:space="preserve">.  </w:t>
      </w:r>
      <w:r w:rsidRPr="008D3475">
        <w:rPr>
          <w:rFonts w:ascii="Cambria" w:hAnsi="Cambria" w:cs="Arial"/>
          <w:sz w:val="20"/>
          <w:szCs w:val="20"/>
          <w:lang w:val="en"/>
        </w:rPr>
        <w:t>They state that the titling procedure is delayed and ineffective, as Agua Caliente began the procedures before INTA in 1974 and more than 35 years later it still has not received final title even though it has complied with all the requirements established by law, including full payment of a certain amount of the value of the land</w:t>
      </w:r>
      <w:r w:rsidR="00730A15">
        <w:rPr>
          <w:rFonts w:ascii="Cambria" w:hAnsi="Cambria" w:cs="Arial"/>
          <w:sz w:val="20"/>
          <w:szCs w:val="20"/>
          <w:lang w:val="en"/>
        </w:rPr>
        <w:t xml:space="preserve">.  </w:t>
      </w:r>
      <w:r w:rsidRPr="008D3475">
        <w:rPr>
          <w:rFonts w:ascii="Cambria" w:hAnsi="Cambria" w:cs="Arial"/>
          <w:sz w:val="20"/>
          <w:szCs w:val="20"/>
          <w:lang w:val="en"/>
        </w:rPr>
        <w:t>They also add that the law’s procedures and requirements do not meet the needs and capacities of indigenous communities because the administrative procedures must be carried out in Spanish in Guatemala City, not in the native tongue of the indigenous communities or in the place where they live</w:t>
      </w:r>
      <w:r w:rsidR="00730A15">
        <w:rPr>
          <w:rFonts w:ascii="Cambria" w:hAnsi="Cambria" w:cs="Arial"/>
          <w:sz w:val="20"/>
          <w:szCs w:val="20"/>
          <w:lang w:val="en"/>
        </w:rPr>
        <w:t xml:space="preserve">.  </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They state that the rule of prior exhaustion of domestic remedies does not apply to Agua Caliente’s right to collective control of its natural resources and the right to self-determination and self-governance because there is no legal proceeding under domestic law for establishing these collective rights for indigenous peoples</w:t>
      </w:r>
      <w:r w:rsidR="00730A15">
        <w:rPr>
          <w:rFonts w:ascii="Cambria" w:hAnsi="Cambria" w:cs="Arial"/>
          <w:sz w:val="20"/>
          <w:szCs w:val="20"/>
          <w:lang w:val="en"/>
        </w:rPr>
        <w:t xml:space="preserve">.  </w:t>
      </w:r>
      <w:r w:rsidRPr="008D3475">
        <w:rPr>
          <w:rFonts w:ascii="Cambria" w:hAnsi="Cambria" w:cs="Arial"/>
          <w:sz w:val="20"/>
          <w:szCs w:val="20"/>
          <w:lang w:val="en"/>
        </w:rPr>
        <w:t>Finally, they allege discriminatory treatment at the hands of FONTIERRAS, as in 2006, another community called “Agua Caliente Sexan” asked that agency to replace pages missing from the General Property Registry so title to their lands could be issued</w:t>
      </w:r>
      <w:r w:rsidR="00730A15">
        <w:rPr>
          <w:rFonts w:ascii="Cambria" w:hAnsi="Cambria" w:cs="Arial"/>
          <w:sz w:val="20"/>
          <w:szCs w:val="20"/>
          <w:lang w:val="en"/>
        </w:rPr>
        <w:t xml:space="preserve">.  </w:t>
      </w:r>
      <w:r w:rsidRPr="008D3475">
        <w:rPr>
          <w:rFonts w:ascii="Cambria" w:hAnsi="Cambria" w:cs="Arial"/>
          <w:sz w:val="20"/>
          <w:szCs w:val="20"/>
          <w:lang w:val="en"/>
        </w:rPr>
        <w:t>In that case, FONTIERRAS acted without delay and was able to replace the pages without requiring the community to take any action.</w:t>
      </w:r>
    </w:p>
    <w:p w:rsidR="008D3475" w:rsidRPr="008D3475" w:rsidRDefault="008D3475" w:rsidP="008D3475">
      <w:pPr>
        <w:suppressAutoHyphens/>
        <w:spacing w:after="240"/>
        <w:ind w:left="720"/>
        <w:jc w:val="both"/>
        <w:rPr>
          <w:rFonts w:ascii="Cambria" w:hAnsi="Cambria" w:cs="Arial"/>
          <w:i/>
          <w:sz w:val="20"/>
          <w:szCs w:val="20"/>
        </w:rPr>
      </w:pPr>
      <w:r w:rsidRPr="008D3475">
        <w:rPr>
          <w:rFonts w:ascii="Cambria" w:hAnsi="Cambria" w:cs="Arial"/>
          <w:i/>
          <w:iCs/>
          <w:sz w:val="20"/>
          <w:szCs w:val="20"/>
          <w:lang w:val="en"/>
        </w:rPr>
        <w:t>Granting of mining license</w:t>
      </w:r>
    </w:p>
    <w:p w:rsidR="008D3475" w:rsidRPr="008D3475" w:rsidRDefault="009E0E84" w:rsidP="008D3475">
      <w:pPr>
        <w:numPr>
          <w:ilvl w:val="0"/>
          <w:numId w:val="55"/>
        </w:numPr>
        <w:suppressAutoHyphens/>
        <w:spacing w:after="240"/>
        <w:jc w:val="both"/>
        <w:rPr>
          <w:rFonts w:ascii="Cambria" w:hAnsi="Cambria" w:cs="Arial"/>
          <w:sz w:val="20"/>
          <w:szCs w:val="20"/>
          <w:lang w:val="en-US"/>
        </w:rPr>
      </w:pPr>
      <w:r>
        <w:rPr>
          <w:rFonts w:ascii="Cambria" w:hAnsi="Cambria" w:cs="Arial"/>
          <w:sz w:val="20"/>
          <w:szCs w:val="20"/>
          <w:lang w:val="en"/>
        </w:rPr>
        <w:t>The petitioners indicate</w:t>
      </w:r>
      <w:r w:rsidR="008D3475" w:rsidRPr="008D3475">
        <w:rPr>
          <w:rFonts w:ascii="Cambria" w:hAnsi="Cambria" w:cs="Arial"/>
          <w:sz w:val="20"/>
          <w:szCs w:val="20"/>
          <w:lang w:val="en"/>
        </w:rPr>
        <w:t xml:space="preserve"> that on December 13, 2004, the Ministry of Energy and Mining granted a three-year exploration license to mining company EXMIBAL to explore for a variety of minerals on land belonging to 16 Q’eqchi’ Mayan communities—including Agua Caliente—for a project called “Phoenix.” </w:t>
      </w:r>
      <w:r>
        <w:rPr>
          <w:rFonts w:ascii="Cambria" w:hAnsi="Cambria" w:cs="Arial"/>
          <w:sz w:val="20"/>
          <w:szCs w:val="20"/>
          <w:lang w:val="en"/>
        </w:rPr>
        <w:t xml:space="preserve"> </w:t>
      </w:r>
      <w:r w:rsidR="008D3475" w:rsidRPr="008D3475">
        <w:rPr>
          <w:rFonts w:ascii="Cambria" w:hAnsi="Cambria" w:cs="Arial"/>
          <w:sz w:val="20"/>
          <w:szCs w:val="20"/>
          <w:lang w:val="en"/>
        </w:rPr>
        <w:t>The petitioners allege that the license was granted illegally, without prior consultation and without the consent of the communities affected</w:t>
      </w:r>
      <w:r w:rsidR="00730A15">
        <w:rPr>
          <w:rFonts w:ascii="Cambria" w:hAnsi="Cambria" w:cs="Arial"/>
          <w:sz w:val="20"/>
          <w:szCs w:val="20"/>
          <w:lang w:val="en"/>
        </w:rPr>
        <w:t xml:space="preserve">.  </w:t>
      </w:r>
      <w:r w:rsidR="008D3475" w:rsidRPr="008D3475">
        <w:rPr>
          <w:rFonts w:ascii="Cambria" w:hAnsi="Cambria" w:cs="Arial"/>
          <w:sz w:val="20"/>
          <w:szCs w:val="20"/>
          <w:lang w:val="en"/>
        </w:rPr>
        <w:t>Because of this lack of recognition and lack of transparency in the public participation process (among other reasons) the Q’eqchi’ communities met in a community assembly and decided to oppose the Phoenix project.</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They state that in 2005, EXMIBAL transferred the rights of the license to the Compañía Guatemalteca de Níquel (CGN), and at the beginning of 2006, the CGN filed an environmental impact study on the Phoenix project with the Ministry of the Environment and Natural Resources (MARN)</w:t>
      </w:r>
      <w:r w:rsidR="00730A15">
        <w:rPr>
          <w:rFonts w:ascii="Cambria" w:hAnsi="Cambria" w:cs="Arial"/>
          <w:sz w:val="20"/>
          <w:szCs w:val="20"/>
          <w:lang w:val="en"/>
        </w:rPr>
        <w:t xml:space="preserve">.  </w:t>
      </w:r>
      <w:r w:rsidRPr="008D3475">
        <w:rPr>
          <w:rFonts w:ascii="Cambria" w:hAnsi="Cambria" w:cs="Arial"/>
          <w:sz w:val="20"/>
          <w:szCs w:val="20"/>
          <w:lang w:val="en"/>
        </w:rPr>
        <w:t>The petitioners state that according to the Regulations on Environmental Evaluation, Oversight, and Monitoring, the ministry must inform potentially affected communities of the study by publishing it in a newspaper so they can make comments or oppose it should they decide to</w:t>
      </w:r>
      <w:r w:rsidR="00730A15">
        <w:rPr>
          <w:rFonts w:ascii="Cambria" w:hAnsi="Cambria" w:cs="Arial"/>
          <w:sz w:val="20"/>
          <w:szCs w:val="20"/>
          <w:lang w:val="en"/>
        </w:rPr>
        <w:t xml:space="preserve">.  </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They state that the MARN resolution approving the environmental impact study did not mention any of the comments submitted by the Q’eqchi indigenous communities and organizations opposing the project even though they were filed on time and in the proper format</w:t>
      </w:r>
      <w:r w:rsidR="00730A15">
        <w:rPr>
          <w:rFonts w:ascii="Cambria" w:hAnsi="Cambria" w:cs="Arial"/>
          <w:sz w:val="20"/>
          <w:szCs w:val="20"/>
          <w:lang w:val="en"/>
        </w:rPr>
        <w:t xml:space="preserve">.  </w:t>
      </w:r>
      <w:r w:rsidRPr="008D3475">
        <w:rPr>
          <w:rFonts w:ascii="Cambria" w:hAnsi="Cambria" w:cs="Arial"/>
          <w:sz w:val="20"/>
          <w:szCs w:val="20"/>
          <w:lang w:val="en"/>
        </w:rPr>
        <w:t xml:space="preserve">They added that they submitted two reports signed by the representatives of more than nine Q’eqchi’ Mayan communities and by the Office of the Q’eqchi’ Ombudsman rejecting the project based on its environmental effects on the forests and water resources, especially Lake Izabal, a water source on which the communities depend for their </w:t>
      </w:r>
      <w:r w:rsidR="00AA650A">
        <w:rPr>
          <w:rFonts w:ascii="Cambria" w:hAnsi="Cambria" w:cs="Arial"/>
          <w:sz w:val="20"/>
          <w:szCs w:val="20"/>
          <w:lang w:val="en"/>
        </w:rPr>
        <w:t>livelihood</w:t>
      </w:r>
      <w:r w:rsidR="00730A15">
        <w:rPr>
          <w:rFonts w:ascii="Cambria" w:hAnsi="Cambria" w:cs="Arial"/>
          <w:sz w:val="20"/>
          <w:szCs w:val="20"/>
          <w:lang w:val="en"/>
        </w:rPr>
        <w:t xml:space="preserve">.  </w:t>
      </w:r>
      <w:r w:rsidRPr="008D3475">
        <w:rPr>
          <w:rFonts w:ascii="Cambria" w:hAnsi="Cambria" w:cs="Arial"/>
          <w:sz w:val="20"/>
          <w:szCs w:val="20"/>
          <w:lang w:val="en"/>
        </w:rPr>
        <w:t>They allege that this omission constitutes an act of discrimination that violates the right to participation and consultation of all the affected communities</w:t>
      </w:r>
      <w:r w:rsidR="00730A15">
        <w:rPr>
          <w:rFonts w:ascii="Cambria" w:hAnsi="Cambria" w:cs="Arial"/>
          <w:sz w:val="20"/>
          <w:szCs w:val="20"/>
          <w:lang w:val="en"/>
        </w:rPr>
        <w:t xml:space="preserve">.  </w:t>
      </w:r>
      <w:r w:rsidRPr="008D3475">
        <w:rPr>
          <w:rFonts w:ascii="Cambria" w:hAnsi="Cambria" w:cs="Arial"/>
          <w:sz w:val="20"/>
          <w:szCs w:val="20"/>
          <w:lang w:val="en"/>
        </w:rPr>
        <w:t xml:space="preserve">They maintain that the study was not made available in the </w:t>
      </w:r>
      <w:r w:rsidRPr="008D3475">
        <w:rPr>
          <w:rFonts w:ascii="Cambria" w:hAnsi="Cambria" w:cs="Arial"/>
          <w:sz w:val="20"/>
          <w:szCs w:val="20"/>
          <w:lang w:val="en"/>
        </w:rPr>
        <w:lastRenderedPageBreak/>
        <w:t>Q’eqchi’ language despite the fact that the majority of the communities do not speak Spanish, and that the newspaper that published it does not circulate in the area where the communities reside</w:t>
      </w:r>
      <w:r w:rsidR="00730A15">
        <w:rPr>
          <w:rFonts w:ascii="Cambria" w:hAnsi="Cambria" w:cs="Arial"/>
          <w:sz w:val="20"/>
          <w:szCs w:val="20"/>
          <w:lang w:val="en"/>
        </w:rPr>
        <w:t xml:space="preserve">.  </w:t>
      </w:r>
    </w:p>
    <w:p w:rsidR="008D3475" w:rsidRPr="008D3475" w:rsidRDefault="00AA650A" w:rsidP="008D3475">
      <w:pPr>
        <w:numPr>
          <w:ilvl w:val="0"/>
          <w:numId w:val="55"/>
        </w:numPr>
        <w:suppressAutoHyphens/>
        <w:spacing w:after="240"/>
        <w:jc w:val="both"/>
        <w:rPr>
          <w:rFonts w:ascii="Cambria" w:hAnsi="Cambria" w:cs="Arial"/>
          <w:sz w:val="20"/>
          <w:szCs w:val="20"/>
          <w:lang w:val="en-US"/>
        </w:rPr>
      </w:pPr>
      <w:r>
        <w:rPr>
          <w:rFonts w:ascii="Cambria" w:hAnsi="Cambria" w:cs="Arial"/>
          <w:sz w:val="20"/>
          <w:szCs w:val="20"/>
          <w:lang w:val="en"/>
        </w:rPr>
        <w:t>The petitioners state</w:t>
      </w:r>
      <w:r w:rsidR="008D3475" w:rsidRPr="008D3475">
        <w:rPr>
          <w:rFonts w:ascii="Cambria" w:hAnsi="Cambria" w:cs="Arial"/>
          <w:sz w:val="20"/>
          <w:szCs w:val="20"/>
          <w:lang w:val="en"/>
        </w:rPr>
        <w:t xml:space="preserve"> that on January 13, 2006, environmental and indigenous organizations filed a writ of protection against the MARN before the Civil and Commercial Appellate Court questioning the study and highlighting the lack of prior consultation and the fact that information about the study was neither circulated in the area of the affected communities nor made available in the indigenous language</w:t>
      </w:r>
      <w:r w:rsidR="00730A15">
        <w:rPr>
          <w:rFonts w:ascii="Cambria" w:hAnsi="Cambria" w:cs="Arial"/>
          <w:sz w:val="20"/>
          <w:szCs w:val="20"/>
          <w:lang w:val="en"/>
        </w:rPr>
        <w:t xml:space="preserve">.  </w:t>
      </w:r>
      <w:r w:rsidR="008D3475" w:rsidRPr="008D3475">
        <w:rPr>
          <w:rFonts w:ascii="Cambria" w:hAnsi="Cambria" w:cs="Arial"/>
          <w:sz w:val="20"/>
          <w:szCs w:val="20"/>
          <w:lang w:val="en"/>
        </w:rPr>
        <w:t>On April 17, 2006, the MARN granted the CGN an exploitation license for a term of 25 years under which the company holding it is required to begin work to exploit the deposit within 12 months</w:t>
      </w:r>
      <w:r w:rsidR="00730A15">
        <w:rPr>
          <w:rFonts w:ascii="Cambria" w:hAnsi="Cambria" w:cs="Arial"/>
          <w:sz w:val="20"/>
          <w:szCs w:val="20"/>
          <w:lang w:val="en"/>
        </w:rPr>
        <w:t xml:space="preserve">.  </w:t>
      </w:r>
      <w:r w:rsidR="008D3475" w:rsidRPr="008D3475">
        <w:rPr>
          <w:rFonts w:ascii="Cambria" w:hAnsi="Cambria" w:cs="Arial"/>
          <w:sz w:val="20"/>
          <w:szCs w:val="20"/>
          <w:lang w:val="en"/>
        </w:rPr>
        <w:t>They indicate that on November</w:t>
      </w:r>
      <w:r>
        <w:rPr>
          <w:rFonts w:ascii="Cambria" w:hAnsi="Cambria" w:cs="Arial"/>
          <w:sz w:val="20"/>
          <w:szCs w:val="20"/>
          <w:lang w:val="en"/>
        </w:rPr>
        <w:t> </w:t>
      </w:r>
      <w:r w:rsidR="008D3475" w:rsidRPr="008D3475">
        <w:rPr>
          <w:rFonts w:ascii="Cambria" w:hAnsi="Cambria" w:cs="Arial"/>
          <w:sz w:val="20"/>
          <w:szCs w:val="20"/>
          <w:lang w:val="en"/>
        </w:rPr>
        <w:t>27, 2006, the presiding Civil and Mercantile Appellate Court of the Constitutional Court of Protection granted the writ of protection requested and ordered the ministry to resolve the lack of participation of the communities affected in a revised environmental impact study</w:t>
      </w:r>
      <w:r w:rsidR="00730A15">
        <w:rPr>
          <w:rFonts w:ascii="Cambria" w:hAnsi="Cambria" w:cs="Arial"/>
          <w:sz w:val="20"/>
          <w:szCs w:val="20"/>
          <w:lang w:val="en"/>
        </w:rPr>
        <w:t xml:space="preserve">.  </w:t>
      </w:r>
      <w:r w:rsidR="008D3475" w:rsidRPr="008D3475">
        <w:rPr>
          <w:rFonts w:ascii="Cambria" w:hAnsi="Cambria" w:cs="Arial"/>
          <w:sz w:val="20"/>
          <w:szCs w:val="20"/>
          <w:lang w:val="en"/>
        </w:rPr>
        <w:t xml:space="preserve"> </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In sum, the petitioners allege that Guatemala violated their rights to collective control of the lands and natural resources and the indigenous peoples’ rights to self-determination and self-governance in relation to the obligation to respect rights and the duty to adopt provisions and domestic law due to the lack of a law recogniz</w:t>
      </w:r>
      <w:r w:rsidR="00BC5DD0">
        <w:rPr>
          <w:rFonts w:ascii="Cambria" w:hAnsi="Cambria" w:cs="Arial"/>
          <w:sz w:val="20"/>
          <w:szCs w:val="20"/>
          <w:lang w:val="en"/>
        </w:rPr>
        <w:t>ing those rights, enshrined in A</w:t>
      </w:r>
      <w:r w:rsidRPr="008D3475">
        <w:rPr>
          <w:rFonts w:ascii="Cambria" w:hAnsi="Cambria" w:cs="Arial"/>
          <w:sz w:val="20"/>
          <w:szCs w:val="20"/>
          <w:lang w:val="en"/>
        </w:rPr>
        <w:t xml:space="preserve">rticle 8, 21, and 25, in conjunction with </w:t>
      </w:r>
      <w:r w:rsidR="00BC5DD0">
        <w:rPr>
          <w:rFonts w:ascii="Cambria" w:hAnsi="Cambria" w:cs="Arial"/>
          <w:sz w:val="20"/>
          <w:szCs w:val="20"/>
          <w:lang w:val="en"/>
        </w:rPr>
        <w:t>A</w:t>
      </w:r>
      <w:r w:rsidRPr="008D3475">
        <w:rPr>
          <w:rFonts w:ascii="Cambria" w:hAnsi="Cambria" w:cs="Arial"/>
          <w:sz w:val="20"/>
          <w:szCs w:val="20"/>
          <w:lang w:val="en"/>
        </w:rPr>
        <w:t>rticles 1(1) and 2 of the Convention</w:t>
      </w:r>
      <w:r w:rsidR="00730A15">
        <w:rPr>
          <w:rFonts w:ascii="Cambria" w:hAnsi="Cambria" w:cs="Arial"/>
          <w:sz w:val="20"/>
          <w:szCs w:val="20"/>
          <w:lang w:val="en"/>
        </w:rPr>
        <w:t xml:space="preserve">.  </w:t>
      </w:r>
      <w:r w:rsidRPr="008D3475">
        <w:rPr>
          <w:rFonts w:ascii="Cambria" w:hAnsi="Cambria" w:cs="Arial"/>
          <w:sz w:val="20"/>
          <w:szCs w:val="20"/>
          <w:lang w:val="en"/>
        </w:rPr>
        <w:t>They allege that existing laws have failed to recognize these rights and omitted the participation of indigenous peoples from processes and procedures regulating the adjudication of their lands, mineral exploitation on their territories, and approval of environmental and social impact studies for mining projects presented by proponents of mining projects.</w:t>
      </w:r>
    </w:p>
    <w:p w:rsidR="008D3475" w:rsidRPr="008D3475" w:rsidRDefault="008D3475" w:rsidP="008D3475">
      <w:pPr>
        <w:spacing w:after="240"/>
        <w:ind w:firstLine="720"/>
        <w:jc w:val="both"/>
        <w:rPr>
          <w:rFonts w:ascii="Cambria" w:hAnsi="Cambria"/>
          <w:b/>
          <w:bCs/>
          <w:sz w:val="20"/>
          <w:szCs w:val="20"/>
          <w:lang w:val="en-US"/>
        </w:rPr>
      </w:pPr>
      <w:r w:rsidRPr="008D3475">
        <w:rPr>
          <w:rFonts w:ascii="Cambria" w:hAnsi="Cambria"/>
          <w:b/>
          <w:bCs/>
          <w:sz w:val="20"/>
          <w:szCs w:val="20"/>
          <w:lang w:val="en"/>
        </w:rPr>
        <w:t>B.</w:t>
      </w:r>
      <w:r w:rsidRPr="008D3475">
        <w:rPr>
          <w:rFonts w:ascii="Cambria" w:hAnsi="Cambria"/>
          <w:b/>
          <w:bCs/>
          <w:sz w:val="20"/>
          <w:szCs w:val="20"/>
          <w:lang w:val="en"/>
        </w:rPr>
        <w:tab/>
        <w:t>Position of the State</w:t>
      </w:r>
      <w:r w:rsidRPr="008D3475">
        <w:rPr>
          <w:rFonts w:ascii="Cambria" w:hAnsi="Cambria"/>
          <w:sz w:val="20"/>
          <w:szCs w:val="20"/>
          <w:lang w:val="en"/>
        </w:rPr>
        <w:t xml:space="preserve"> </w:t>
      </w:r>
    </w:p>
    <w:p w:rsidR="008D3475" w:rsidRPr="008D3475" w:rsidRDefault="008D3475" w:rsidP="008D3475">
      <w:pPr>
        <w:spacing w:after="240"/>
        <w:ind w:left="720"/>
        <w:jc w:val="both"/>
        <w:rPr>
          <w:rFonts w:ascii="Cambria" w:hAnsi="Cambria"/>
          <w:i/>
          <w:sz w:val="20"/>
          <w:szCs w:val="20"/>
          <w:lang w:val="en-US"/>
        </w:rPr>
      </w:pPr>
      <w:r w:rsidRPr="008D3475">
        <w:rPr>
          <w:rFonts w:ascii="Cambria" w:hAnsi="Cambria"/>
          <w:i/>
          <w:iCs/>
          <w:sz w:val="20"/>
          <w:szCs w:val="20"/>
          <w:lang w:val="en"/>
        </w:rPr>
        <w:t>Land titling procedure</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 xml:space="preserve">The State alleges that the INTA, through Agreement 11-85 of February 25, 1985, ruled pro indiviso as Collective Agrarian </w:t>
      </w:r>
      <w:r w:rsidR="00AA650A">
        <w:rPr>
          <w:rFonts w:ascii="Cambria" w:hAnsi="Cambria"/>
          <w:sz w:val="20"/>
          <w:szCs w:val="20"/>
          <w:lang w:val="en"/>
        </w:rPr>
        <w:t>Property</w:t>
      </w:r>
      <w:r w:rsidRPr="008D3475">
        <w:rPr>
          <w:rFonts w:ascii="Cambria" w:hAnsi="Cambria"/>
          <w:sz w:val="20"/>
          <w:szCs w:val="20"/>
          <w:lang w:val="en"/>
        </w:rPr>
        <w:t xml:space="preserve"> in favor of the 64 peasants comprising the Agua Caliente Lot 9 community, a plot registered with the General Property Registry under number 1381 of page 96, book 21 North Group, for a price of 32,490.35 quetzales</w:t>
      </w:r>
      <w:r w:rsidR="00730A15">
        <w:rPr>
          <w:rFonts w:ascii="Cambria" w:hAnsi="Cambria"/>
          <w:sz w:val="20"/>
          <w:szCs w:val="20"/>
          <w:lang w:val="en"/>
        </w:rPr>
        <w:t xml:space="preserve">.  </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 xml:space="preserve">According to the document provided by the State, the Family Collective Agrarian </w:t>
      </w:r>
      <w:r w:rsidR="00482645">
        <w:rPr>
          <w:rFonts w:ascii="Cambria" w:hAnsi="Cambria"/>
          <w:sz w:val="20"/>
          <w:szCs w:val="20"/>
          <w:lang w:val="en"/>
        </w:rPr>
        <w:t>Property</w:t>
      </w:r>
      <w:r w:rsidRPr="008D3475">
        <w:rPr>
          <w:rFonts w:ascii="Cambria" w:hAnsi="Cambria"/>
          <w:sz w:val="20"/>
          <w:szCs w:val="20"/>
          <w:lang w:val="en"/>
        </w:rPr>
        <w:t xml:space="preserve"> adjudication proceedings were concluded in favor of the 64 members of the community, and the next step was to grant the public adjudication instrument to them</w:t>
      </w:r>
      <w:r w:rsidR="00730A15">
        <w:rPr>
          <w:rFonts w:ascii="Cambria" w:hAnsi="Cambria"/>
          <w:sz w:val="20"/>
          <w:szCs w:val="20"/>
          <w:lang w:val="en"/>
        </w:rPr>
        <w:t xml:space="preserve">.  </w:t>
      </w:r>
      <w:r w:rsidRPr="008D3475">
        <w:rPr>
          <w:rFonts w:ascii="Cambria" w:hAnsi="Cambria"/>
          <w:sz w:val="20"/>
          <w:szCs w:val="20"/>
          <w:lang w:val="en"/>
        </w:rPr>
        <w:t>However, the book with the page registering the real property rights to the farm, page 96, was not found</w:t>
      </w:r>
      <w:r w:rsidR="00730A15">
        <w:rPr>
          <w:rFonts w:ascii="Cambria" w:hAnsi="Cambria"/>
          <w:sz w:val="20"/>
          <w:szCs w:val="20"/>
          <w:lang w:val="en"/>
        </w:rPr>
        <w:t xml:space="preserve">.  </w:t>
      </w:r>
      <w:r w:rsidRPr="008D3475">
        <w:rPr>
          <w:rFonts w:ascii="Cambria" w:hAnsi="Cambria"/>
          <w:sz w:val="20"/>
          <w:szCs w:val="20"/>
          <w:lang w:val="en"/>
        </w:rPr>
        <w:t>It indicates that on July 17, 1998, the Registry filed the complaint received by the staff of the Registry Reform stating that when physically reviewing the books, it found pages missing, including from Book 21 of the North Group</w:t>
      </w:r>
      <w:r w:rsidR="00730A15">
        <w:rPr>
          <w:rFonts w:ascii="Cambria" w:hAnsi="Cambria"/>
          <w:sz w:val="20"/>
          <w:szCs w:val="20"/>
          <w:lang w:val="en"/>
        </w:rPr>
        <w:t xml:space="preserve">.  </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According to the documentation provided by the State, on August 5, 2011, FONTIERRAS appeared before the Eighth Civil Trial Court to begin “Voluntary Steps to Replace Pages and Entries Registering Real Property Rights,” and on May 16, 2012, the court ruled in its favor and authorize the General Property Registrar of the Central Zone to proceed to replace registries 1, 5, and 6 of page 96</w:t>
      </w:r>
      <w:r w:rsidR="00730A15">
        <w:rPr>
          <w:rFonts w:ascii="Cambria" w:hAnsi="Cambria"/>
          <w:sz w:val="20"/>
          <w:szCs w:val="20"/>
          <w:lang w:val="en"/>
        </w:rPr>
        <w:t xml:space="preserve">.  </w:t>
      </w:r>
      <w:r w:rsidRPr="008D3475">
        <w:rPr>
          <w:rFonts w:ascii="Cambria" w:hAnsi="Cambria"/>
          <w:sz w:val="20"/>
          <w:szCs w:val="20"/>
          <w:lang w:val="en"/>
        </w:rPr>
        <w:t>According to the final entry, the plot was registered as belonging to the State</w:t>
      </w:r>
      <w:r w:rsidR="00730A15">
        <w:rPr>
          <w:rFonts w:ascii="Cambria" w:hAnsi="Cambria"/>
          <w:sz w:val="20"/>
          <w:szCs w:val="20"/>
          <w:lang w:val="en"/>
        </w:rPr>
        <w:t xml:space="preserve">.  </w:t>
      </w:r>
      <w:r w:rsidRPr="008D3475">
        <w:rPr>
          <w:rFonts w:ascii="Cambria" w:hAnsi="Cambria"/>
          <w:sz w:val="20"/>
          <w:szCs w:val="20"/>
          <w:lang w:val="en"/>
        </w:rPr>
        <w:t>The State indicates that on June 22, 2012, the Registry suspended the registration because it was not certain that entries 2, 3, and 4 of the page were replaced, and therefore, the successive tract could not be proven.</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It indicates that on April 24, 2013, the Registry ordered the investigations to obtain the successive tract of the registry entry of the plot be exhausted</w:t>
      </w:r>
      <w:r w:rsidR="00730A15">
        <w:rPr>
          <w:rFonts w:ascii="Cambria" w:hAnsi="Cambria"/>
          <w:sz w:val="20"/>
          <w:szCs w:val="20"/>
          <w:lang w:val="en"/>
        </w:rPr>
        <w:t xml:space="preserve">.  </w:t>
      </w:r>
      <w:r w:rsidRPr="008D3475">
        <w:rPr>
          <w:rFonts w:ascii="Cambria" w:hAnsi="Cambria"/>
          <w:sz w:val="20"/>
          <w:szCs w:val="20"/>
          <w:lang w:val="en"/>
        </w:rPr>
        <w:t>They went to the Directorate of State Property in the Department of Public Finances to obtain a photocopy of the entry from the year 1953</w:t>
      </w:r>
      <w:r w:rsidR="00730A15">
        <w:rPr>
          <w:rFonts w:ascii="Cambria" w:hAnsi="Cambria"/>
          <w:sz w:val="20"/>
          <w:szCs w:val="20"/>
          <w:lang w:val="en"/>
        </w:rPr>
        <w:t xml:space="preserve">.  </w:t>
      </w:r>
      <w:r w:rsidRPr="008D3475">
        <w:rPr>
          <w:rFonts w:ascii="Cambria" w:hAnsi="Cambria"/>
          <w:sz w:val="20"/>
          <w:szCs w:val="20"/>
          <w:lang w:val="en"/>
        </w:rPr>
        <w:t>Research was also performed in the Property Registry Archive and the General Archive of Central America, confirming that neither place had documentation on the plot</w:t>
      </w:r>
      <w:r w:rsidR="00730A15">
        <w:rPr>
          <w:rFonts w:ascii="Cambria" w:hAnsi="Cambria"/>
          <w:sz w:val="20"/>
          <w:szCs w:val="20"/>
          <w:lang w:val="en"/>
        </w:rPr>
        <w:t xml:space="preserve">.  </w:t>
      </w:r>
      <w:r w:rsidRPr="008D3475">
        <w:rPr>
          <w:rFonts w:ascii="Cambria" w:hAnsi="Cambria"/>
          <w:sz w:val="20"/>
          <w:szCs w:val="20"/>
          <w:lang w:val="en"/>
        </w:rPr>
        <w:t xml:space="preserve">The State concludes that </w:t>
      </w:r>
      <w:r w:rsidRPr="00AA650A">
        <w:rPr>
          <w:rFonts w:ascii="Cambria" w:hAnsi="Cambria"/>
          <w:sz w:val="20"/>
          <w:szCs w:val="20"/>
          <w:lang w:val="en"/>
        </w:rPr>
        <w:t>FONTIERRAS</w:t>
      </w:r>
      <w:r w:rsidR="00AA650A">
        <w:rPr>
          <w:rFonts w:ascii="Cambria" w:hAnsi="Cambria"/>
          <w:sz w:val="20"/>
          <w:szCs w:val="20"/>
          <w:lang w:val="en"/>
        </w:rPr>
        <w:t xml:space="preserve"> </w:t>
      </w:r>
      <w:r w:rsidRPr="008D3475">
        <w:rPr>
          <w:rFonts w:ascii="Cambria" w:hAnsi="Cambria"/>
          <w:sz w:val="20"/>
          <w:szCs w:val="20"/>
          <w:lang w:val="en"/>
        </w:rPr>
        <w:t>acted effectively in its attempts to replace the page and entry of the original registration of ownership of real property rights over the plot.</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lastRenderedPageBreak/>
        <w:t>The State argues that the individual and collective rights of indigenous peoples and communities are constitutionally guaranteed, and that measures of judicial protection are in place to protect their economic, social, cultural, and environmental interests</w:t>
      </w:r>
      <w:r w:rsidR="00730A15">
        <w:rPr>
          <w:rFonts w:ascii="Cambria" w:hAnsi="Cambria"/>
          <w:sz w:val="20"/>
          <w:szCs w:val="20"/>
          <w:lang w:val="en"/>
        </w:rPr>
        <w:t xml:space="preserve">.  </w:t>
      </w:r>
      <w:r w:rsidRPr="008D3475">
        <w:rPr>
          <w:rFonts w:ascii="Cambria" w:hAnsi="Cambria"/>
          <w:sz w:val="20"/>
          <w:szCs w:val="20"/>
          <w:lang w:val="en"/>
        </w:rPr>
        <w:t>However, it adds that there is still no legislation specifically protecting community land or the land of indigenous communities with title and recognition of ancestral possession</w:t>
      </w:r>
      <w:r w:rsidR="00730A15">
        <w:rPr>
          <w:rFonts w:ascii="Cambria" w:hAnsi="Cambria"/>
          <w:sz w:val="20"/>
          <w:szCs w:val="20"/>
          <w:lang w:val="en"/>
        </w:rPr>
        <w:t xml:space="preserve">.  </w:t>
      </w:r>
      <w:r w:rsidRPr="008D3475">
        <w:rPr>
          <w:rFonts w:ascii="Cambria" w:hAnsi="Cambria"/>
          <w:sz w:val="20"/>
          <w:szCs w:val="20"/>
          <w:lang w:val="en"/>
        </w:rPr>
        <w:t>The regularization process thus ensures the existence, value, use, and enjoyment of their real property until it is delimited, demarcated, and titled.</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The State notes that on March 31, 1995, it signed the Agreement on Identity and the Rights of Indigenous Peoples, and in 1996 it ratified ILO Convention 169</w:t>
      </w:r>
      <w:r w:rsidR="00730A15">
        <w:rPr>
          <w:rFonts w:ascii="Cambria" w:hAnsi="Cambria"/>
          <w:sz w:val="20"/>
          <w:szCs w:val="20"/>
          <w:lang w:val="en"/>
        </w:rPr>
        <w:t xml:space="preserve">.  </w:t>
      </w:r>
      <w:r w:rsidRPr="008D3475">
        <w:rPr>
          <w:rFonts w:ascii="Cambria" w:hAnsi="Cambria"/>
          <w:sz w:val="20"/>
          <w:szCs w:val="20"/>
          <w:lang w:val="en"/>
        </w:rPr>
        <w:t>Also, it notes that the Political Constitution recognizes in Chapter II, Section 3 the rights of indigenous communities</w:t>
      </w:r>
      <w:r w:rsidR="00730A15">
        <w:rPr>
          <w:rFonts w:ascii="Cambria" w:hAnsi="Cambria"/>
          <w:sz w:val="20"/>
          <w:szCs w:val="20"/>
          <w:lang w:val="en"/>
        </w:rPr>
        <w:t xml:space="preserve">.  </w:t>
      </w:r>
      <w:r w:rsidRPr="008D3475">
        <w:rPr>
          <w:rFonts w:ascii="Cambria" w:hAnsi="Cambria"/>
          <w:sz w:val="20"/>
          <w:szCs w:val="20"/>
          <w:lang w:val="en"/>
        </w:rPr>
        <w:t>It also indicates that the Land Fund Act regulates the practical matters of access to land for the comprehensive and sustainable development of indigenous peoples, the regularization of the process is to adjudicate State lands, the development of sustainable agrarian communities, and the strengthening of institutions to meet the aspirations of society and comply with the law.</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With regard to the requirements of exhaustion of domestic remedies, the State notes that the petitioners did not launch a special sentence execution proceeding under its obligation to act—that is, it did not take legal action to comply with the order issued by a competent authority to replace the missing page</w:t>
      </w:r>
      <w:r w:rsidR="00730A15">
        <w:rPr>
          <w:rFonts w:ascii="Cambria" w:hAnsi="Cambria"/>
          <w:sz w:val="20"/>
          <w:szCs w:val="20"/>
          <w:lang w:val="en"/>
        </w:rPr>
        <w:t xml:space="preserve">.  </w:t>
      </w:r>
      <w:r w:rsidRPr="008D3475">
        <w:rPr>
          <w:rFonts w:ascii="Cambria" w:hAnsi="Cambria"/>
          <w:sz w:val="20"/>
          <w:szCs w:val="20"/>
          <w:lang w:val="en"/>
        </w:rPr>
        <w:t>It alleges that given FONTIERRAS’ failure to register their property, the petitioners have the legal authority to take action before the country’s jurisdictional bodies to press their claim and establish the corresponding responsibility for the alleged violation of the community’s rights</w:t>
      </w:r>
      <w:r w:rsidR="00730A15">
        <w:rPr>
          <w:rFonts w:ascii="Cambria" w:hAnsi="Cambria"/>
          <w:sz w:val="20"/>
          <w:szCs w:val="20"/>
          <w:lang w:val="en"/>
        </w:rPr>
        <w:t xml:space="preserve">.  </w:t>
      </w:r>
      <w:r w:rsidRPr="008D3475">
        <w:rPr>
          <w:rFonts w:ascii="Cambria" w:hAnsi="Cambria"/>
          <w:sz w:val="20"/>
          <w:szCs w:val="20"/>
          <w:lang w:val="en"/>
        </w:rPr>
        <w:t>It also adds that they could bring a civil suit for reparation of damages through the ordinary courts, as provided for in Article 96 of the Civil and Mercantile Procedural Code, which would seek to establish whether damages took place and, if so, establish the corresponding compensation</w:t>
      </w:r>
      <w:r w:rsidR="00730A15">
        <w:rPr>
          <w:rFonts w:ascii="Cambria" w:hAnsi="Cambria"/>
          <w:sz w:val="20"/>
          <w:szCs w:val="20"/>
          <w:lang w:val="en"/>
        </w:rPr>
        <w:t xml:space="preserve">.  </w:t>
      </w:r>
    </w:p>
    <w:p w:rsidR="008D3475" w:rsidRPr="008D3475" w:rsidRDefault="008D3475" w:rsidP="008D3475">
      <w:pPr>
        <w:spacing w:after="240"/>
        <w:ind w:left="720"/>
        <w:jc w:val="both"/>
        <w:rPr>
          <w:rFonts w:ascii="Cambria" w:hAnsi="Cambria"/>
          <w:i/>
          <w:sz w:val="20"/>
          <w:szCs w:val="20"/>
        </w:rPr>
      </w:pPr>
      <w:r w:rsidRPr="008D3475">
        <w:rPr>
          <w:rFonts w:ascii="Cambria" w:hAnsi="Cambria"/>
          <w:i/>
          <w:iCs/>
          <w:sz w:val="20"/>
          <w:szCs w:val="20"/>
          <w:lang w:val="en"/>
        </w:rPr>
        <w:t>Granting of mining license</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The State indicates that on November 3, 2005, the announcement was published in Spanish and q’eqchí’ indicating that the complete case file on the environmental impact study of the CGN mining project was in the MARN’s offices and the offices of the Izabal departmental offices, and that it would be available to those interested in making observations, comments, and expressing opposition from November 4 to December 1, 2005</w:t>
      </w:r>
      <w:r w:rsidR="00730A15">
        <w:rPr>
          <w:rFonts w:ascii="Cambria" w:hAnsi="Cambria"/>
          <w:sz w:val="20"/>
          <w:szCs w:val="20"/>
          <w:lang w:val="en"/>
        </w:rPr>
        <w:t xml:space="preserve">.  </w:t>
      </w:r>
      <w:r w:rsidRPr="008D3475">
        <w:rPr>
          <w:rFonts w:ascii="Cambria" w:hAnsi="Cambria"/>
          <w:sz w:val="20"/>
          <w:szCs w:val="20"/>
          <w:lang w:val="en"/>
        </w:rPr>
        <w:t>It adds that the organizations Fundación Defensores de la Naturaleza, FUNDAECO, Asociación Estoreña para el Desarrollo Integral, and Asociación Amigos del Lago, provided their opinions, which were taken into account in the resolution that approved the study</w:t>
      </w:r>
      <w:r w:rsidR="00730A15">
        <w:rPr>
          <w:rFonts w:ascii="Cambria" w:hAnsi="Cambria"/>
          <w:sz w:val="20"/>
          <w:szCs w:val="20"/>
          <w:lang w:val="en"/>
        </w:rPr>
        <w:t xml:space="preserve">.  </w:t>
      </w:r>
      <w:r w:rsidRPr="008D3475">
        <w:rPr>
          <w:rFonts w:ascii="Cambria" w:hAnsi="Cambria"/>
          <w:sz w:val="20"/>
          <w:szCs w:val="20"/>
          <w:lang w:val="en"/>
        </w:rPr>
        <w:t>It indicates that in 2007, a study was submitted to "Update and Expand the Nickel Processing Plant of the Phoenix Mining Project, El Estor, Izabal,” which was approved via resolution N° 1311_2007/ECM/LP</w:t>
      </w:r>
      <w:r w:rsidR="00730A15">
        <w:rPr>
          <w:rFonts w:ascii="Cambria" w:hAnsi="Cambria"/>
          <w:sz w:val="20"/>
          <w:szCs w:val="20"/>
          <w:lang w:val="en"/>
        </w:rPr>
        <w:t xml:space="preserve">.  </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 xml:space="preserve">With regard to prior consultation, the State maintains that </w:t>
      </w:r>
      <w:r w:rsidR="00BC5DD0">
        <w:rPr>
          <w:rFonts w:ascii="Cambria" w:hAnsi="Cambria"/>
          <w:sz w:val="20"/>
          <w:szCs w:val="20"/>
          <w:lang w:val="en"/>
        </w:rPr>
        <w:t>A</w:t>
      </w:r>
      <w:r w:rsidRPr="008D3475">
        <w:rPr>
          <w:rFonts w:ascii="Cambria" w:hAnsi="Cambria"/>
          <w:sz w:val="20"/>
          <w:szCs w:val="20"/>
          <w:lang w:val="en"/>
        </w:rPr>
        <w:t>rticles 15 of the Mining Act and 33 of the Regulations on Environmental Evaluation, Oversight, and Monitoring require the environmental impact study be made public prior to granting the exploitation license, and this was done</w:t>
      </w:r>
      <w:r w:rsidR="00730A15">
        <w:rPr>
          <w:rFonts w:ascii="Cambria" w:hAnsi="Cambria"/>
          <w:sz w:val="20"/>
          <w:szCs w:val="20"/>
          <w:lang w:val="en"/>
        </w:rPr>
        <w:t xml:space="preserve">.  </w:t>
      </w:r>
      <w:r w:rsidRPr="008D3475">
        <w:rPr>
          <w:rFonts w:ascii="Cambria" w:hAnsi="Cambria"/>
          <w:sz w:val="20"/>
          <w:szCs w:val="20"/>
          <w:lang w:val="en"/>
        </w:rPr>
        <w:t xml:space="preserve">It indicates that "although this is not the ideal consultation mechanism, according to the [ILO] Convention it does constitute a mechanism for providing prior information so anyone can oppose it should they feel it necessary." </w:t>
      </w:r>
      <w:r w:rsidR="003D3232">
        <w:rPr>
          <w:rFonts w:ascii="Cambria" w:hAnsi="Cambria"/>
          <w:sz w:val="20"/>
          <w:szCs w:val="20"/>
          <w:lang w:val="en"/>
        </w:rPr>
        <w:t xml:space="preserve"> </w:t>
      </w:r>
      <w:r w:rsidRPr="008D3475">
        <w:rPr>
          <w:rFonts w:ascii="Cambria" w:hAnsi="Cambria"/>
          <w:sz w:val="20"/>
          <w:szCs w:val="20"/>
          <w:lang w:val="en"/>
        </w:rPr>
        <w:t>The State argues that the CGN complied with the requirements to grant the license.</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 xml:space="preserve">The State maintains that although the community’s right to oppose the project expired, they have other mechanisms available such as constitutional </w:t>
      </w:r>
      <w:r w:rsidRPr="008D3475">
        <w:rPr>
          <w:rFonts w:ascii="Cambria" w:hAnsi="Cambria"/>
          <w:i/>
          <w:iCs/>
          <w:sz w:val="20"/>
          <w:szCs w:val="20"/>
          <w:lang w:val="en"/>
        </w:rPr>
        <w:t xml:space="preserve">amparo </w:t>
      </w:r>
      <w:r w:rsidRPr="008D3475">
        <w:rPr>
          <w:rFonts w:ascii="Cambria" w:hAnsi="Cambria"/>
          <w:sz w:val="20"/>
          <w:szCs w:val="20"/>
          <w:lang w:val="en"/>
        </w:rPr>
        <w:t>appeals and summary stay of dangerous works through a civil proceeding if they believe there is some threat to collective or common rights</w:t>
      </w:r>
      <w:r w:rsidR="00730A15">
        <w:rPr>
          <w:rFonts w:ascii="Cambria" w:hAnsi="Cambria"/>
          <w:sz w:val="20"/>
          <w:szCs w:val="20"/>
          <w:lang w:val="en"/>
        </w:rPr>
        <w:t xml:space="preserve">.  </w:t>
      </w:r>
      <w:r w:rsidRPr="008D3475">
        <w:rPr>
          <w:rFonts w:ascii="Cambria" w:hAnsi="Cambria"/>
          <w:sz w:val="20"/>
          <w:szCs w:val="20"/>
          <w:lang w:val="en"/>
        </w:rPr>
        <w:t>It also indicates that domestic mechanisms are available for raising opposition should residents be unhappy with the launching of business enterprises in rural areas</w:t>
      </w:r>
      <w:r w:rsidR="00730A15">
        <w:rPr>
          <w:rFonts w:ascii="Cambria" w:hAnsi="Cambria"/>
          <w:sz w:val="20"/>
          <w:szCs w:val="20"/>
          <w:lang w:val="en"/>
        </w:rPr>
        <w:t xml:space="preserve">.  </w:t>
      </w:r>
      <w:r w:rsidRPr="008D3475">
        <w:rPr>
          <w:rFonts w:ascii="Cambria" w:hAnsi="Cambria"/>
          <w:sz w:val="20"/>
          <w:szCs w:val="20"/>
          <w:lang w:val="en"/>
        </w:rPr>
        <w:t>It notes that the Mining Act regulates procedures for raising opposition before the General Mining Directorate, which include filing environmental impact studies and technical reports with the MARN and holding a hearing</w:t>
      </w:r>
      <w:r w:rsidR="00730A15">
        <w:rPr>
          <w:rFonts w:ascii="Cambria" w:hAnsi="Cambria"/>
          <w:sz w:val="20"/>
          <w:szCs w:val="20"/>
          <w:lang w:val="en"/>
        </w:rPr>
        <w:t xml:space="preserve">.  </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 xml:space="preserve">Regarding the failure to publish the environmental impact study, the State indicates that the petitioners can file a complaint alleging disobedience of a public official over the failure to comply with the </w:t>
      </w:r>
      <w:r w:rsidRPr="008D3475">
        <w:rPr>
          <w:rFonts w:ascii="Cambria" w:hAnsi="Cambria"/>
          <w:sz w:val="20"/>
          <w:szCs w:val="20"/>
          <w:lang w:val="en"/>
        </w:rPr>
        <w:lastRenderedPageBreak/>
        <w:t>order to take the community’s participation</w:t>
      </w:r>
      <w:r w:rsidR="00BC5DD0">
        <w:rPr>
          <w:rFonts w:ascii="Cambria" w:hAnsi="Cambria"/>
          <w:sz w:val="20"/>
          <w:szCs w:val="20"/>
          <w:lang w:val="en"/>
        </w:rPr>
        <w:t xml:space="preserve"> into account, in keeping with A</w:t>
      </w:r>
      <w:r w:rsidRPr="008D3475">
        <w:rPr>
          <w:rFonts w:ascii="Cambria" w:hAnsi="Cambria"/>
          <w:sz w:val="20"/>
          <w:szCs w:val="20"/>
          <w:lang w:val="en"/>
        </w:rPr>
        <w:t>rticles 50 through 54, 78, and 185 of the Amparo, Habeas Corpus, and Constitutionality Act.</w:t>
      </w:r>
    </w:p>
    <w:p w:rsidR="008D3475" w:rsidRPr="008D3475" w:rsidRDefault="008D3475" w:rsidP="008D3475">
      <w:pPr>
        <w:numPr>
          <w:ilvl w:val="0"/>
          <w:numId w:val="55"/>
        </w:numPr>
        <w:spacing w:after="240"/>
        <w:jc w:val="both"/>
        <w:rPr>
          <w:rFonts w:ascii="Cambria" w:hAnsi="Cambria"/>
          <w:sz w:val="20"/>
          <w:szCs w:val="20"/>
          <w:lang w:val="en-US"/>
        </w:rPr>
      </w:pPr>
      <w:r w:rsidRPr="008D3475">
        <w:rPr>
          <w:rFonts w:ascii="Cambria" w:hAnsi="Cambria"/>
          <w:sz w:val="20"/>
          <w:szCs w:val="20"/>
          <w:lang w:val="en"/>
        </w:rPr>
        <w:t>It concludes that the State is the only one that can dispose of its properties and has the authority to grant mining licenses</w:t>
      </w:r>
      <w:r w:rsidR="00730A15">
        <w:rPr>
          <w:rFonts w:ascii="Cambria" w:hAnsi="Cambria"/>
          <w:sz w:val="20"/>
          <w:szCs w:val="20"/>
          <w:lang w:val="en"/>
        </w:rPr>
        <w:t xml:space="preserve">.  </w:t>
      </w:r>
      <w:r w:rsidRPr="008D3475">
        <w:rPr>
          <w:rFonts w:ascii="Cambria" w:hAnsi="Cambria"/>
          <w:sz w:val="20"/>
          <w:szCs w:val="20"/>
          <w:lang w:val="en"/>
        </w:rPr>
        <w:t>It can therefore decide, pursuant to the laws regulating the subject, to grant mining concessions, considering that those holding the licenses do not own the properties in question.</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In conclusion, the State contends that, based on the lack of exhaustion of domestic remedies, the petition is inadmissible and asks the IACHR to declare as much.</w:t>
      </w:r>
    </w:p>
    <w:p w:rsidR="008D3475" w:rsidRPr="008D3475" w:rsidRDefault="008D3475" w:rsidP="008D3475">
      <w:pPr>
        <w:spacing w:after="240"/>
        <w:ind w:firstLine="720"/>
        <w:jc w:val="both"/>
        <w:rPr>
          <w:rFonts w:ascii="Cambria" w:hAnsi="Cambria"/>
          <w:b/>
          <w:bCs/>
          <w:sz w:val="20"/>
          <w:szCs w:val="20"/>
          <w:lang w:val="en-US"/>
        </w:rPr>
      </w:pPr>
      <w:r w:rsidRPr="008D3475">
        <w:rPr>
          <w:rFonts w:ascii="Cambria" w:hAnsi="Cambria"/>
          <w:b/>
          <w:bCs/>
          <w:sz w:val="20"/>
          <w:szCs w:val="20"/>
          <w:lang w:val="en"/>
        </w:rPr>
        <w:t>IV.</w:t>
      </w:r>
      <w:r w:rsidRPr="008D3475">
        <w:rPr>
          <w:rFonts w:ascii="Cambria" w:hAnsi="Cambria"/>
          <w:b/>
          <w:bCs/>
          <w:sz w:val="20"/>
          <w:szCs w:val="20"/>
          <w:lang w:val="en"/>
        </w:rPr>
        <w:tab/>
        <w:t>ANALYSIS OF JURISDICTION AND ADMISSIBILITY</w:t>
      </w:r>
    </w:p>
    <w:p w:rsidR="008D3475" w:rsidRPr="008D3475" w:rsidRDefault="008D3475" w:rsidP="008D3475">
      <w:pPr>
        <w:spacing w:after="240"/>
        <w:ind w:firstLine="720"/>
        <w:jc w:val="both"/>
        <w:rPr>
          <w:rFonts w:ascii="Cambria" w:hAnsi="Cambria"/>
          <w:sz w:val="20"/>
          <w:szCs w:val="20"/>
        </w:rPr>
      </w:pPr>
      <w:r w:rsidRPr="008D3475">
        <w:rPr>
          <w:rFonts w:ascii="Cambria" w:hAnsi="Cambria"/>
          <w:b/>
          <w:bCs/>
          <w:sz w:val="20"/>
          <w:szCs w:val="20"/>
          <w:lang w:val="en"/>
        </w:rPr>
        <w:t>A.</w:t>
      </w:r>
      <w:r w:rsidRPr="008D3475">
        <w:rPr>
          <w:rFonts w:ascii="Cambria" w:hAnsi="Cambria"/>
          <w:b/>
          <w:bCs/>
          <w:sz w:val="20"/>
          <w:szCs w:val="20"/>
          <w:lang w:val="en"/>
        </w:rPr>
        <w:tab/>
        <w:t>Jurisdiction</w:t>
      </w:r>
      <w:r w:rsidRPr="008D3475">
        <w:rPr>
          <w:rFonts w:ascii="Cambria" w:hAnsi="Cambria"/>
          <w:sz w:val="20"/>
          <w:szCs w:val="20"/>
          <w:lang w:val="en"/>
        </w:rPr>
        <w:t xml:space="preserve"> </w:t>
      </w:r>
    </w:p>
    <w:p w:rsidR="008D3475" w:rsidRPr="008D3475" w:rsidRDefault="008D3475" w:rsidP="008D3475">
      <w:pPr>
        <w:pStyle w:val="BodyText"/>
        <w:numPr>
          <w:ilvl w:val="0"/>
          <w:numId w:val="55"/>
        </w:numPr>
        <w:suppressAutoHyphens/>
        <w:spacing w:after="240"/>
        <w:jc w:val="both"/>
        <w:rPr>
          <w:rFonts w:ascii="Cambria" w:eastAsia="SimSun" w:hAnsi="Cambria"/>
          <w:sz w:val="20"/>
          <w:szCs w:val="20"/>
          <w:lang w:val="en-US"/>
        </w:rPr>
      </w:pPr>
      <w:r w:rsidRPr="003D3232">
        <w:rPr>
          <w:rStyle w:val="PlaceholderText"/>
          <w:rFonts w:ascii="Cambria" w:eastAsia="SimSun" w:hAnsi="Cambria"/>
          <w:color w:val="auto"/>
          <w:sz w:val="20"/>
          <w:szCs w:val="20"/>
          <w:lang w:val="en"/>
        </w:rPr>
        <w:t>The petitioners are in principle empowered</w:t>
      </w:r>
      <w:r w:rsidR="00BC5DD0">
        <w:rPr>
          <w:rFonts w:ascii="Cambria" w:eastAsia="SimSun" w:hAnsi="Cambria"/>
          <w:sz w:val="20"/>
          <w:szCs w:val="20"/>
          <w:lang w:val="en"/>
        </w:rPr>
        <w:t xml:space="preserve"> by A</w:t>
      </w:r>
      <w:r w:rsidRPr="003D3232">
        <w:rPr>
          <w:rFonts w:ascii="Cambria" w:eastAsia="SimSun" w:hAnsi="Cambria"/>
          <w:sz w:val="20"/>
          <w:szCs w:val="20"/>
          <w:lang w:val="en"/>
        </w:rPr>
        <w:t xml:space="preserve">rticles 44 of the American </w:t>
      </w:r>
      <w:r w:rsidRPr="003D3232">
        <w:rPr>
          <w:rStyle w:val="PlaceholderText"/>
          <w:rFonts w:ascii="Cambria" w:hAnsi="Cambria"/>
          <w:color w:val="auto"/>
          <w:sz w:val="20"/>
          <w:szCs w:val="20"/>
          <w:lang w:val="en"/>
        </w:rPr>
        <w:t xml:space="preserve">Convention </w:t>
      </w:r>
      <w:r w:rsidRPr="003D3232">
        <w:rPr>
          <w:rStyle w:val="PlaceholderText"/>
          <w:rFonts w:ascii="Cambria" w:eastAsia="SimSun" w:hAnsi="Cambria"/>
          <w:color w:val="auto"/>
          <w:sz w:val="20"/>
          <w:szCs w:val="20"/>
          <w:lang w:val="en"/>
        </w:rPr>
        <w:t>and</w:t>
      </w:r>
      <w:r w:rsidRPr="003D3232">
        <w:rPr>
          <w:rStyle w:val="PlaceholderText"/>
          <w:rFonts w:ascii="Cambria" w:hAnsi="Cambria"/>
          <w:color w:val="auto"/>
          <w:sz w:val="20"/>
          <w:szCs w:val="20"/>
          <w:lang w:val="en"/>
        </w:rPr>
        <w:t xml:space="preserve"> 23 of </w:t>
      </w:r>
      <w:r w:rsidRPr="003D3232">
        <w:rPr>
          <w:rFonts w:ascii="Cambria" w:eastAsia="SimSun" w:hAnsi="Cambria"/>
          <w:sz w:val="20"/>
          <w:szCs w:val="20"/>
          <w:lang w:val="en"/>
        </w:rPr>
        <w:t>the Rules of Procedure to submit petitions before the Commission</w:t>
      </w:r>
      <w:r w:rsidR="00730A15" w:rsidRPr="003D3232">
        <w:rPr>
          <w:rFonts w:ascii="Cambria" w:eastAsia="SimSun" w:hAnsi="Cambria"/>
          <w:sz w:val="20"/>
          <w:szCs w:val="20"/>
          <w:lang w:val="en"/>
        </w:rPr>
        <w:t xml:space="preserve">.  </w:t>
      </w:r>
      <w:r w:rsidRPr="003D3232">
        <w:rPr>
          <w:rFonts w:ascii="Cambria" w:eastAsia="SimSun" w:hAnsi="Cambria"/>
          <w:sz w:val="20"/>
          <w:szCs w:val="20"/>
          <w:lang w:val="en"/>
        </w:rPr>
        <w:t xml:space="preserve">The petition indicates an alleged violation of the rights enshrined in the American Convention to the detriment of individual persons whose rights the State of Guatemala committed to respecting and </w:t>
      </w:r>
      <w:r w:rsidRPr="008D3475">
        <w:rPr>
          <w:rFonts w:ascii="Cambria" w:eastAsia="SimSun" w:hAnsi="Cambria"/>
          <w:sz w:val="20"/>
          <w:szCs w:val="20"/>
          <w:lang w:val="en"/>
        </w:rPr>
        <w:t>guaranteeing on May 25, 1978, the date on which it deposited its ratification instrument</w:t>
      </w:r>
      <w:r w:rsidR="00730A15">
        <w:rPr>
          <w:rFonts w:ascii="Cambria" w:eastAsia="SimSun" w:hAnsi="Cambria"/>
          <w:sz w:val="20"/>
          <w:szCs w:val="20"/>
          <w:lang w:val="en"/>
        </w:rPr>
        <w:t xml:space="preserve">.  </w:t>
      </w:r>
      <w:r w:rsidRPr="008D3475">
        <w:rPr>
          <w:rFonts w:ascii="Cambria" w:eastAsia="SimSun" w:hAnsi="Cambria"/>
          <w:sz w:val="20"/>
          <w:szCs w:val="20"/>
          <w:lang w:val="en"/>
        </w:rPr>
        <w:t xml:space="preserve">As a consequence, the Commission has </w:t>
      </w:r>
      <w:r w:rsidRPr="008D3475">
        <w:rPr>
          <w:rFonts w:ascii="Cambria" w:eastAsia="SimSun" w:hAnsi="Cambria"/>
          <w:i/>
          <w:iCs/>
          <w:sz w:val="20"/>
          <w:szCs w:val="20"/>
          <w:lang w:val="en"/>
        </w:rPr>
        <w:t>ratione personae</w:t>
      </w:r>
      <w:r w:rsidRPr="008D3475">
        <w:rPr>
          <w:rFonts w:ascii="Cambria" w:eastAsia="SimSun" w:hAnsi="Cambria"/>
          <w:sz w:val="20"/>
          <w:szCs w:val="20"/>
          <w:lang w:val="en"/>
        </w:rPr>
        <w:t xml:space="preserve"> jurisdiction to examine the petition</w:t>
      </w:r>
      <w:r w:rsidR="00730A15">
        <w:rPr>
          <w:rFonts w:ascii="Cambria" w:eastAsia="SimSun" w:hAnsi="Cambria"/>
          <w:sz w:val="20"/>
          <w:szCs w:val="20"/>
          <w:lang w:val="en"/>
        </w:rPr>
        <w:t xml:space="preserve">.  </w:t>
      </w:r>
      <w:r w:rsidRPr="008D3475">
        <w:rPr>
          <w:rFonts w:ascii="Cambria" w:eastAsia="SimSun" w:hAnsi="Cambria"/>
          <w:sz w:val="20"/>
          <w:szCs w:val="20"/>
          <w:lang w:val="en"/>
        </w:rPr>
        <w:t xml:space="preserve">Likewise, the Commission has </w:t>
      </w:r>
      <w:r w:rsidRPr="008D3475">
        <w:rPr>
          <w:rFonts w:ascii="Cambria" w:eastAsia="SimSun" w:hAnsi="Cambria"/>
          <w:i/>
          <w:iCs/>
          <w:sz w:val="20"/>
          <w:szCs w:val="20"/>
          <w:lang w:val="en"/>
        </w:rPr>
        <w:t>ratione loci</w:t>
      </w:r>
      <w:r w:rsidRPr="008D3475">
        <w:rPr>
          <w:rFonts w:ascii="Cambria" w:eastAsia="SimSun" w:hAnsi="Cambria"/>
          <w:sz w:val="20"/>
          <w:szCs w:val="20"/>
          <w:lang w:val="en"/>
        </w:rPr>
        <w:t xml:space="preserve"> competence to hear the petition insofar as the petition alleges violations of rights that would have taken place within the territory of Guatemala</w:t>
      </w:r>
      <w:r w:rsidR="00730A15">
        <w:rPr>
          <w:rFonts w:ascii="Cambria" w:eastAsia="SimSun" w:hAnsi="Cambria"/>
          <w:sz w:val="20"/>
          <w:szCs w:val="20"/>
          <w:lang w:val="en"/>
        </w:rPr>
        <w:t xml:space="preserve">.  </w:t>
      </w:r>
    </w:p>
    <w:p w:rsidR="008D3475" w:rsidRPr="008D3475" w:rsidRDefault="008D3475" w:rsidP="008D3475">
      <w:pPr>
        <w:pStyle w:val="BodyText"/>
        <w:numPr>
          <w:ilvl w:val="0"/>
          <w:numId w:val="55"/>
        </w:numPr>
        <w:suppressAutoHyphens/>
        <w:spacing w:after="240"/>
        <w:jc w:val="both"/>
        <w:rPr>
          <w:rFonts w:ascii="Cambria" w:eastAsia="SimSun" w:hAnsi="Cambria"/>
          <w:sz w:val="20"/>
          <w:szCs w:val="20"/>
          <w:lang w:val="en-US"/>
        </w:rPr>
      </w:pPr>
      <w:r w:rsidRPr="008D3475">
        <w:rPr>
          <w:rFonts w:ascii="Cambria" w:eastAsia="SimSun" w:hAnsi="Cambria"/>
          <w:sz w:val="20"/>
          <w:szCs w:val="20"/>
          <w:lang w:val="en"/>
        </w:rPr>
        <w:t xml:space="preserve">The Commission has </w:t>
      </w:r>
      <w:r w:rsidRPr="008D3475">
        <w:rPr>
          <w:rFonts w:ascii="Cambria" w:eastAsia="SimSun" w:hAnsi="Cambria"/>
          <w:i/>
          <w:iCs/>
          <w:sz w:val="20"/>
          <w:szCs w:val="20"/>
          <w:lang w:val="en"/>
        </w:rPr>
        <w:t>ratione temporis</w:t>
      </w:r>
      <w:r w:rsidRPr="008D3475">
        <w:rPr>
          <w:rFonts w:ascii="Cambria" w:eastAsia="SimSun" w:hAnsi="Cambria"/>
          <w:sz w:val="20"/>
          <w:szCs w:val="20"/>
          <w:lang w:val="en"/>
        </w:rPr>
        <w:t xml:space="preserve"> competence, as the obligation to respect and guarantee the rights protected by the American Convention was already in force for the State on the date on which the facts alleged in the petition would have taken place</w:t>
      </w:r>
      <w:r w:rsidR="00730A15">
        <w:rPr>
          <w:rFonts w:ascii="Cambria" w:eastAsia="SimSun" w:hAnsi="Cambria"/>
          <w:sz w:val="20"/>
          <w:szCs w:val="20"/>
          <w:lang w:val="en"/>
        </w:rPr>
        <w:t xml:space="preserve">.  </w:t>
      </w:r>
      <w:r w:rsidRPr="008D3475">
        <w:rPr>
          <w:rFonts w:ascii="Cambria" w:eastAsia="SimSun" w:hAnsi="Cambria"/>
          <w:sz w:val="20"/>
          <w:szCs w:val="20"/>
          <w:lang w:val="en"/>
        </w:rPr>
        <w:t xml:space="preserve">Finally, the Commission has </w:t>
      </w:r>
      <w:r w:rsidRPr="008D3475">
        <w:rPr>
          <w:rFonts w:ascii="Cambria" w:eastAsia="SimSun" w:hAnsi="Cambria"/>
          <w:i/>
          <w:iCs/>
          <w:sz w:val="20"/>
          <w:szCs w:val="20"/>
          <w:lang w:val="en"/>
        </w:rPr>
        <w:t>ratione materiae</w:t>
      </w:r>
      <w:r w:rsidRPr="008D3475">
        <w:rPr>
          <w:rFonts w:ascii="Cambria" w:eastAsia="SimSun" w:hAnsi="Cambria"/>
          <w:sz w:val="20"/>
          <w:szCs w:val="20"/>
          <w:lang w:val="en"/>
        </w:rPr>
        <w:t xml:space="preserve"> competence due to the fact that the petition refers to alleged violations of human rights protected under the aforementioned instrument.</w:t>
      </w:r>
    </w:p>
    <w:p w:rsidR="008D3475" w:rsidRPr="008D3475" w:rsidRDefault="008D3475" w:rsidP="008D3475">
      <w:pPr>
        <w:numPr>
          <w:ilvl w:val="0"/>
          <w:numId w:val="56"/>
        </w:numPr>
        <w:spacing w:after="240"/>
        <w:ind w:left="0" w:firstLine="720"/>
        <w:jc w:val="both"/>
        <w:rPr>
          <w:rFonts w:ascii="Cambria" w:hAnsi="Cambria"/>
          <w:b/>
          <w:sz w:val="20"/>
          <w:szCs w:val="20"/>
        </w:rPr>
      </w:pPr>
      <w:r w:rsidRPr="008D3475">
        <w:rPr>
          <w:rFonts w:ascii="Cambria" w:hAnsi="Cambria"/>
          <w:b/>
          <w:bCs/>
          <w:sz w:val="20"/>
          <w:szCs w:val="20"/>
          <w:lang w:val="en"/>
        </w:rPr>
        <w:t>Admissibility requirements</w:t>
      </w:r>
    </w:p>
    <w:p w:rsidR="008D3475" w:rsidRPr="008D3475" w:rsidRDefault="008D3475" w:rsidP="008D3475">
      <w:pPr>
        <w:spacing w:after="240"/>
        <w:ind w:firstLine="720"/>
        <w:jc w:val="both"/>
        <w:rPr>
          <w:rFonts w:ascii="Cambria" w:hAnsi="Cambria"/>
          <w:b/>
          <w:sz w:val="20"/>
          <w:szCs w:val="20"/>
          <w:lang w:val="en-US"/>
        </w:rPr>
      </w:pPr>
      <w:r w:rsidRPr="008D3475">
        <w:rPr>
          <w:rFonts w:ascii="Cambria" w:hAnsi="Cambria"/>
          <w:b/>
          <w:bCs/>
          <w:sz w:val="20"/>
          <w:szCs w:val="20"/>
          <w:lang w:val="en"/>
        </w:rPr>
        <w:t>1.</w:t>
      </w:r>
      <w:r w:rsidRPr="008D3475">
        <w:rPr>
          <w:rFonts w:ascii="Cambria" w:hAnsi="Cambria"/>
          <w:b/>
          <w:bCs/>
          <w:sz w:val="20"/>
          <w:szCs w:val="20"/>
          <w:lang w:val="en"/>
        </w:rPr>
        <w:tab/>
        <w:t>Exhaustion of remedies under domestic law</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Articles 46(1)(a) of the American Convention and 31(1) of the Rules of Procedure require the prior exhaustion of the remedies available in domestic jurisdiction—in keeping with the generally recognized principles of international law—as a requirement for the admission of the claims presented in the petition</w:t>
      </w:r>
      <w:r w:rsidR="00730A15">
        <w:rPr>
          <w:rFonts w:ascii="Cambria" w:hAnsi="Cambria"/>
          <w:sz w:val="20"/>
          <w:szCs w:val="20"/>
          <w:lang w:val="en"/>
        </w:rPr>
        <w:t xml:space="preserve">.  </w:t>
      </w:r>
      <w:r w:rsidRPr="008D3475">
        <w:rPr>
          <w:rFonts w:ascii="Cambria" w:hAnsi="Cambria"/>
          <w:sz w:val="20"/>
          <w:szCs w:val="20"/>
          <w:lang w:val="en"/>
        </w:rPr>
        <w:t>The purpose of this requirement is to allow domestic authorities to hear cases of alleged violations of protected rights and, where appropriate, to resolve the situation before it is brought before an international authority</w:t>
      </w:r>
      <w:r w:rsidR="00730A15">
        <w:rPr>
          <w:rFonts w:ascii="Cambria" w:hAnsi="Cambria"/>
          <w:sz w:val="20"/>
          <w:szCs w:val="20"/>
          <w:lang w:val="en"/>
        </w:rPr>
        <w:t xml:space="preserve">.  </w:t>
      </w:r>
      <w:r w:rsidRPr="008D3475">
        <w:rPr>
          <w:rFonts w:ascii="Cambria" w:hAnsi="Cambria"/>
          <w:sz w:val="20"/>
          <w:szCs w:val="20"/>
          <w:lang w:val="en"/>
        </w:rPr>
        <w:t xml:space="preserve">For their part, </w:t>
      </w:r>
      <w:r w:rsidR="00BC5DD0">
        <w:rPr>
          <w:rFonts w:ascii="Cambria" w:hAnsi="Cambria"/>
          <w:sz w:val="20"/>
          <w:szCs w:val="20"/>
          <w:lang w:val="en"/>
        </w:rPr>
        <w:t>A</w:t>
      </w:r>
      <w:r w:rsidRPr="008D3475">
        <w:rPr>
          <w:rFonts w:ascii="Cambria" w:hAnsi="Cambria"/>
          <w:sz w:val="20"/>
          <w:szCs w:val="20"/>
          <w:lang w:val="en"/>
        </w:rPr>
        <w:t>rticles 46(2) of the Convention and 31(2) of the Rules of Procedure stipulate that the requirement to exhaust domestic remedies is not applicable when i) the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iii) there has been an unjustified delay in the ruling on the aforementioned remedies.</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Regarding the land titling process, the petitioners allege that there is no legal process to establish the collective rights of indigenous peoples</w:t>
      </w:r>
      <w:r w:rsidR="00730A15">
        <w:rPr>
          <w:rFonts w:ascii="Cambria" w:hAnsi="Cambria"/>
          <w:sz w:val="20"/>
          <w:szCs w:val="20"/>
          <w:lang w:val="en"/>
        </w:rPr>
        <w:t xml:space="preserve">.  </w:t>
      </w:r>
      <w:r w:rsidRPr="008D3475">
        <w:rPr>
          <w:rFonts w:ascii="Cambria" w:hAnsi="Cambria"/>
          <w:sz w:val="20"/>
          <w:szCs w:val="20"/>
          <w:lang w:val="en"/>
        </w:rPr>
        <w:t>The State maintains that it provides measures of judicial protection to safeguard the economic, social, cultural, and environmental interests of indigenous communities, but there is still no legislation specifically protecting the land of indigenous communities</w:t>
      </w:r>
      <w:r w:rsidR="00730A15">
        <w:rPr>
          <w:rFonts w:ascii="Cambria" w:hAnsi="Cambria"/>
          <w:sz w:val="20"/>
          <w:szCs w:val="20"/>
          <w:lang w:val="en"/>
        </w:rPr>
        <w:t xml:space="preserve">.  </w:t>
      </w:r>
      <w:r w:rsidRPr="008D3475">
        <w:rPr>
          <w:rFonts w:ascii="Cambria" w:hAnsi="Cambria"/>
          <w:sz w:val="20"/>
          <w:szCs w:val="20"/>
          <w:lang w:val="en"/>
        </w:rPr>
        <w:t>The regularization process thus ensures the existence, value, use, and enjoyment of their land until it is delimited, demarcated, and titled</w:t>
      </w:r>
      <w:r w:rsidR="00730A15">
        <w:rPr>
          <w:rFonts w:ascii="Cambria" w:hAnsi="Cambria"/>
          <w:sz w:val="20"/>
          <w:szCs w:val="20"/>
          <w:lang w:val="en"/>
        </w:rPr>
        <w:t xml:space="preserve">.  </w:t>
      </w:r>
      <w:r w:rsidRPr="008D3475">
        <w:rPr>
          <w:rFonts w:ascii="Cambria" w:hAnsi="Cambria"/>
          <w:sz w:val="20"/>
          <w:szCs w:val="20"/>
          <w:lang w:val="en"/>
        </w:rPr>
        <w:t xml:space="preserve">It also argues that the </w:t>
      </w:r>
      <w:r>
        <w:rPr>
          <w:rFonts w:ascii="Cambria" w:hAnsi="Cambria"/>
          <w:color w:val="000000"/>
          <w:sz w:val="20"/>
          <w:szCs w:val="20"/>
          <w:lang w:val="en"/>
        </w:rPr>
        <w:t>community</w:t>
      </w:r>
      <w:r w:rsidRPr="008D3475">
        <w:rPr>
          <w:rFonts w:ascii="Cambria" w:hAnsi="Cambria"/>
          <w:sz w:val="20"/>
          <w:szCs w:val="20"/>
          <w:lang w:val="en"/>
        </w:rPr>
        <w:t xml:space="preserve"> did not launch a special sentence execution proceeding to replace the missing page nor did it file a civil suit for damages.</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lastRenderedPageBreak/>
        <w:t xml:space="preserve">The Commission recalls that </w:t>
      </w:r>
      <w:r>
        <w:rPr>
          <w:rFonts w:ascii="Cambria" w:hAnsi="Cambria"/>
          <w:color w:val="000000"/>
          <w:sz w:val="20"/>
          <w:szCs w:val="20"/>
          <w:lang w:val="en"/>
        </w:rPr>
        <w:t>the procedures to title indigenous or tribal communal lands must be effective and must allow the affected communities to bring them, not solely private individuals.</w:t>
      </w:r>
      <w:r>
        <w:rPr>
          <w:rStyle w:val="FootnoteReference"/>
          <w:rFonts w:ascii="Cambria" w:hAnsi="Cambria"/>
          <w:color w:val="000000"/>
          <w:sz w:val="20"/>
          <w:szCs w:val="20"/>
          <w:lang w:val="en"/>
        </w:rPr>
        <w:footnoteReference w:id="2"/>
      </w:r>
      <w:r w:rsidR="00C66A73">
        <w:rPr>
          <w:rFonts w:ascii="Cambria" w:hAnsi="Cambria"/>
          <w:color w:val="000000"/>
          <w:sz w:val="20"/>
          <w:szCs w:val="20"/>
          <w:lang w:val="en"/>
        </w:rPr>
        <w:t xml:space="preserve"> </w:t>
      </w:r>
      <w:r>
        <w:rPr>
          <w:rFonts w:ascii="Cambria" w:hAnsi="Cambria"/>
          <w:color w:val="000000"/>
          <w:sz w:val="20"/>
          <w:szCs w:val="20"/>
          <w:lang w:val="en"/>
        </w:rPr>
        <w:t xml:space="preserve"> In that sense, the mere possibility of recognizing rights through certain judicial processes cannot replace the actual recognition of those rights.</w:t>
      </w:r>
      <w:r>
        <w:rPr>
          <w:rStyle w:val="FootnoteReference"/>
          <w:rFonts w:ascii="Cambria" w:hAnsi="Cambria"/>
          <w:color w:val="000000"/>
          <w:sz w:val="20"/>
          <w:szCs w:val="20"/>
          <w:lang w:val="en"/>
        </w:rPr>
        <w:footnoteReference w:id="3"/>
      </w:r>
      <w:r>
        <w:rPr>
          <w:rFonts w:ascii="Cambria" w:hAnsi="Cambria"/>
          <w:color w:val="000000"/>
          <w:sz w:val="20"/>
          <w:szCs w:val="20"/>
          <w:lang w:val="en"/>
        </w:rPr>
        <w:t xml:space="preserve"> </w:t>
      </w:r>
      <w:r w:rsidR="00C66A73">
        <w:rPr>
          <w:rFonts w:ascii="Cambria" w:hAnsi="Cambria"/>
          <w:color w:val="000000"/>
          <w:sz w:val="20"/>
          <w:szCs w:val="20"/>
          <w:lang w:val="en"/>
        </w:rPr>
        <w:t xml:space="preserve"> </w:t>
      </w:r>
      <w:r>
        <w:rPr>
          <w:rFonts w:ascii="Cambria" w:hAnsi="Cambria"/>
          <w:color w:val="000000"/>
          <w:sz w:val="20"/>
          <w:szCs w:val="20"/>
          <w:lang w:val="en"/>
        </w:rPr>
        <w:t xml:space="preserve">It also observes that in this case, the petitioners pursued a number of judicial actions to </w:t>
      </w:r>
      <w:r w:rsidRPr="00C66A73">
        <w:rPr>
          <w:rFonts w:ascii="Cambria" w:hAnsi="Cambria"/>
          <w:color w:val="000000"/>
          <w:sz w:val="20"/>
          <w:szCs w:val="20"/>
          <w:lang w:val="en"/>
        </w:rPr>
        <w:t>replace the missing pages, with no results</w:t>
      </w:r>
      <w:r w:rsidR="00730A15" w:rsidRPr="00C66A73">
        <w:rPr>
          <w:rFonts w:ascii="Cambria" w:hAnsi="Cambria"/>
          <w:color w:val="000000"/>
          <w:sz w:val="20"/>
          <w:szCs w:val="20"/>
          <w:lang w:val="en"/>
        </w:rPr>
        <w:t xml:space="preserve">.  </w:t>
      </w:r>
      <w:r w:rsidRPr="00C66A73">
        <w:rPr>
          <w:rFonts w:ascii="Cambria" w:hAnsi="Cambria"/>
          <w:sz w:val="20"/>
          <w:szCs w:val="20"/>
          <w:lang w:val="en"/>
        </w:rPr>
        <w:t>The Commission therefore concludes that in this case, an exception applies to the requirement of exhausting internal remedies established in Article 46(2)(a) of the American Convention and 31(2)(a) of the Rules of Procedure as regards the titling process for the land of the Agua Caliente Community</w:t>
      </w:r>
      <w:r w:rsidR="00730A15">
        <w:rPr>
          <w:rFonts w:ascii="Cambria" w:hAnsi="Cambria"/>
          <w:sz w:val="20"/>
          <w:szCs w:val="20"/>
          <w:lang w:val="en"/>
        </w:rPr>
        <w:t xml:space="preserve">.  </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sz w:val="20"/>
          <w:szCs w:val="20"/>
          <w:lang w:val="en"/>
        </w:rPr>
        <w:t xml:space="preserve">As far as the granting of the mining license and the environmental impact study, the petitioners hold that on January 13, 2006, environmental and indigenous organizations filed for a writ of </w:t>
      </w:r>
      <w:r w:rsidRPr="008D3475">
        <w:rPr>
          <w:rFonts w:ascii="Cambria" w:hAnsi="Cambria"/>
          <w:i/>
          <w:iCs/>
          <w:sz w:val="20"/>
          <w:szCs w:val="20"/>
          <w:lang w:val="en"/>
        </w:rPr>
        <w:t>amparo</w:t>
      </w:r>
      <w:r w:rsidRPr="008D3475">
        <w:rPr>
          <w:rFonts w:ascii="Cambria" w:hAnsi="Cambria"/>
          <w:sz w:val="20"/>
          <w:szCs w:val="20"/>
          <w:lang w:val="en"/>
        </w:rPr>
        <w:t xml:space="preserve"> against MARN before the Civil and Commercial Appellate Court questioning the study and highlighting the lack of prior consultation and the fact that information on the study was neither circulated in the area of the affected communities nor made available in the indigenous language</w:t>
      </w:r>
      <w:r w:rsidR="00730A15">
        <w:rPr>
          <w:rFonts w:ascii="Cambria" w:hAnsi="Cambria"/>
          <w:sz w:val="20"/>
          <w:szCs w:val="20"/>
          <w:lang w:val="en"/>
        </w:rPr>
        <w:t xml:space="preserve">.  </w:t>
      </w:r>
      <w:r w:rsidRPr="008D3475">
        <w:rPr>
          <w:rFonts w:ascii="Cambria" w:hAnsi="Cambria"/>
          <w:sz w:val="20"/>
          <w:szCs w:val="20"/>
          <w:lang w:val="en"/>
        </w:rPr>
        <w:t>On November 27, 2006, the presiding Civil and Mercantile Appellate Court of the Constitutional Court of Protection granted the writ of protection requested and ordered the ministry to resolve the lack of participation of the communities affected in a revised environmental impact study</w:t>
      </w:r>
      <w:r w:rsidR="00730A15">
        <w:rPr>
          <w:rFonts w:ascii="Cambria" w:hAnsi="Cambria"/>
          <w:sz w:val="20"/>
          <w:szCs w:val="20"/>
          <w:lang w:val="en"/>
        </w:rPr>
        <w:t xml:space="preserve">.  </w:t>
      </w:r>
      <w:r w:rsidRPr="008D3475">
        <w:rPr>
          <w:rFonts w:ascii="Cambria" w:hAnsi="Cambria"/>
          <w:sz w:val="20"/>
          <w:szCs w:val="20"/>
          <w:lang w:val="en"/>
        </w:rPr>
        <w:t xml:space="preserve"> </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 xml:space="preserve">The State maintains that although the community’s right to oppose the project expired, they have other mechanisms available such as constitutional </w:t>
      </w:r>
      <w:r w:rsidRPr="008D3475">
        <w:rPr>
          <w:rFonts w:ascii="Cambria" w:hAnsi="Cambria"/>
          <w:i/>
          <w:iCs/>
          <w:sz w:val="20"/>
          <w:szCs w:val="20"/>
          <w:lang w:val="en"/>
        </w:rPr>
        <w:t>amparo</w:t>
      </w:r>
      <w:r w:rsidRPr="008D3475">
        <w:rPr>
          <w:rFonts w:ascii="Cambria" w:hAnsi="Cambria"/>
          <w:sz w:val="20"/>
          <w:szCs w:val="20"/>
          <w:lang w:val="en"/>
        </w:rPr>
        <w:t xml:space="preserve"> appeals and summary stay of dangerous works through a civil proceeding if they believe there is some threat to collective or common rights</w:t>
      </w:r>
      <w:r w:rsidR="00730A15">
        <w:rPr>
          <w:rFonts w:ascii="Cambria" w:hAnsi="Cambria"/>
          <w:sz w:val="20"/>
          <w:szCs w:val="20"/>
          <w:lang w:val="en"/>
        </w:rPr>
        <w:t xml:space="preserve">.  </w:t>
      </w:r>
      <w:r w:rsidRPr="008D3475">
        <w:rPr>
          <w:rFonts w:ascii="Cambria" w:hAnsi="Cambria"/>
          <w:sz w:val="20"/>
          <w:szCs w:val="20"/>
          <w:lang w:val="en"/>
        </w:rPr>
        <w:t>The State also points to the existence of procedures for raising opposition before the General Mining Directorate, provided for in the Mining Law</w:t>
      </w:r>
      <w:r w:rsidR="00730A15">
        <w:rPr>
          <w:rFonts w:ascii="Cambria" w:hAnsi="Cambria"/>
          <w:sz w:val="20"/>
          <w:szCs w:val="20"/>
          <w:lang w:val="en"/>
        </w:rPr>
        <w:t xml:space="preserve">.  </w:t>
      </w:r>
      <w:r w:rsidRPr="008D3475">
        <w:rPr>
          <w:rFonts w:ascii="Cambria" w:hAnsi="Cambria"/>
          <w:sz w:val="20"/>
          <w:szCs w:val="20"/>
          <w:lang w:val="en"/>
        </w:rPr>
        <w:t>Regarding the failure to publish the environmental impact study, the State indicates that the community can file a complaint alleging disobedience of a public official over the failure to comply with the order to take the community’s participation into account.</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The Commission has indicated with regard to prior consultation that the condition of timeliness means the information must be provided sufficiently in advance of any authorization or beginning of negotiations, taking into account the consultation process and the time required for indigenous communities in question to make decisions</w:t>
      </w:r>
      <w:r w:rsidR="00730A15">
        <w:rPr>
          <w:rFonts w:ascii="Cambria" w:hAnsi="Cambria" w:cs="Arial"/>
          <w:sz w:val="20"/>
          <w:szCs w:val="20"/>
          <w:lang w:val="en"/>
        </w:rPr>
        <w:t xml:space="preserve">.  </w:t>
      </w:r>
      <w:r w:rsidRPr="008D3475">
        <w:rPr>
          <w:rFonts w:ascii="Cambria" w:hAnsi="Cambria" w:cs="Arial"/>
          <w:sz w:val="20"/>
          <w:szCs w:val="20"/>
          <w:lang w:val="en"/>
        </w:rPr>
        <w:t>In this regard, it has also been established that access to relevant information is necessary for accessing judicial remedies, as the lack of information on corporate operations can make it very difficult for affected people or communities to collect the evidence necessary to pursue legal actions</w:t>
      </w:r>
      <w:r w:rsidR="00730A15">
        <w:rPr>
          <w:rFonts w:ascii="Cambria" w:hAnsi="Cambria" w:cs="Arial"/>
          <w:sz w:val="20"/>
          <w:szCs w:val="20"/>
          <w:lang w:val="en"/>
        </w:rPr>
        <w:t xml:space="preserve">.  </w:t>
      </w:r>
      <w:r w:rsidRPr="008D3475">
        <w:rPr>
          <w:rFonts w:ascii="Cambria" w:hAnsi="Cambria" w:cs="Arial"/>
          <w:sz w:val="20"/>
          <w:szCs w:val="20"/>
          <w:lang w:val="en"/>
        </w:rPr>
        <w:t>Thus, a lack of access to or failure to disclose information can harm the right to effective judicial protection.</w:t>
      </w:r>
      <w:r w:rsidRPr="008D3475">
        <w:rPr>
          <w:rStyle w:val="FootnoteReference"/>
          <w:rFonts w:ascii="Cambria" w:hAnsi="Cambria" w:cs="Arial"/>
          <w:sz w:val="20"/>
          <w:szCs w:val="20"/>
          <w:lang w:val="en"/>
        </w:rPr>
        <w:footnoteReference w:id="4"/>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cs="Arial"/>
          <w:sz w:val="20"/>
          <w:szCs w:val="20"/>
          <w:lang w:val="en"/>
        </w:rPr>
        <w:t>Based on the documentation provided by the petitioners, the Commission observes that on December 2, 2005, almost one month after the publication of the study, Gerardo Tzalam Caal filed a complain</w:t>
      </w:r>
      <w:r w:rsidR="00C66A73">
        <w:rPr>
          <w:rFonts w:ascii="Cambria" w:hAnsi="Cambria" w:cs="Arial"/>
          <w:sz w:val="20"/>
          <w:szCs w:val="20"/>
          <w:lang w:val="en"/>
        </w:rPr>
        <w:t>t</w:t>
      </w:r>
      <w:r w:rsidRPr="008D3475">
        <w:rPr>
          <w:rFonts w:ascii="Cambria" w:hAnsi="Cambria" w:cs="Arial"/>
          <w:sz w:val="20"/>
          <w:szCs w:val="20"/>
          <w:lang w:val="en"/>
        </w:rPr>
        <w:t xml:space="preserve"> with MARN alleging that he had not been aware of the existence of the study because the newspaper in which it was published does not circulate in his community</w:t>
      </w:r>
      <w:r w:rsidR="00730A15">
        <w:rPr>
          <w:rFonts w:ascii="Cambria" w:hAnsi="Cambria" w:cs="Arial"/>
          <w:sz w:val="20"/>
          <w:szCs w:val="20"/>
          <w:lang w:val="en"/>
        </w:rPr>
        <w:t xml:space="preserve">.  </w:t>
      </w:r>
      <w:r w:rsidRPr="008D3475">
        <w:rPr>
          <w:rFonts w:ascii="Cambria" w:hAnsi="Cambria" w:cs="Arial"/>
          <w:sz w:val="20"/>
          <w:szCs w:val="20"/>
          <w:lang w:val="en"/>
        </w:rPr>
        <w:t xml:space="preserve">When he failed to receive a response, on January 17, 2006, he filed for a writ of </w:t>
      </w:r>
      <w:r w:rsidRPr="008D3475">
        <w:rPr>
          <w:rFonts w:ascii="Cambria" w:hAnsi="Cambria" w:cs="Arial"/>
          <w:i/>
          <w:iCs/>
          <w:sz w:val="20"/>
          <w:szCs w:val="20"/>
          <w:lang w:val="en"/>
        </w:rPr>
        <w:t>amparo</w:t>
      </w:r>
      <w:r w:rsidRPr="008D3475">
        <w:rPr>
          <w:rFonts w:ascii="Cambria" w:hAnsi="Cambria" w:cs="Arial"/>
          <w:sz w:val="20"/>
          <w:szCs w:val="20"/>
          <w:lang w:val="en"/>
        </w:rPr>
        <w:t xml:space="preserve"> against the general director of MARN</w:t>
      </w:r>
      <w:r w:rsidR="00730A15">
        <w:rPr>
          <w:rFonts w:ascii="Cambria" w:hAnsi="Cambria" w:cs="Arial"/>
          <w:sz w:val="20"/>
          <w:szCs w:val="20"/>
          <w:lang w:val="en"/>
        </w:rPr>
        <w:t xml:space="preserve">.  </w:t>
      </w:r>
      <w:r w:rsidRPr="008D3475">
        <w:rPr>
          <w:rFonts w:ascii="Cambria" w:hAnsi="Cambria" w:cs="Arial"/>
          <w:sz w:val="20"/>
          <w:szCs w:val="20"/>
          <w:lang w:val="en"/>
        </w:rPr>
        <w:t xml:space="preserve">It was granted on November 27, 2006, and MARN general director was ordered to </w:t>
      </w:r>
      <w:r w:rsidR="00860C0A">
        <w:rPr>
          <w:rFonts w:ascii="Cambria" w:hAnsi="Cambria" w:cs="Arial"/>
          <w:sz w:val="20"/>
          <w:szCs w:val="20"/>
          <w:lang w:val="en"/>
        </w:rPr>
        <w:t>notify</w:t>
      </w:r>
      <w:r w:rsidRPr="008D3475">
        <w:rPr>
          <w:rFonts w:ascii="Cambria" w:hAnsi="Cambria" w:cs="Arial"/>
          <w:sz w:val="20"/>
          <w:szCs w:val="20"/>
          <w:lang w:val="en"/>
        </w:rPr>
        <w:t xml:space="preserve"> the November 5, 2006, resolution to not admit the petition filed on December 2, 2005, for being filed </w:t>
      </w:r>
      <w:r w:rsidR="00860C0A">
        <w:rPr>
          <w:rFonts w:ascii="Cambria" w:hAnsi="Cambria" w:cs="Arial"/>
          <w:sz w:val="20"/>
          <w:szCs w:val="20"/>
          <w:lang w:val="en"/>
        </w:rPr>
        <w:t>extemporaneously</w:t>
      </w:r>
      <w:r w:rsidR="00730A15">
        <w:rPr>
          <w:rFonts w:ascii="Cambria" w:hAnsi="Cambria" w:cs="Arial"/>
          <w:sz w:val="20"/>
          <w:szCs w:val="20"/>
          <w:lang w:val="en"/>
        </w:rPr>
        <w:t xml:space="preserve">.  </w:t>
      </w:r>
      <w:r w:rsidRPr="008D3475">
        <w:rPr>
          <w:rFonts w:ascii="Cambria" w:hAnsi="Cambria" w:cs="Arial"/>
          <w:sz w:val="20"/>
          <w:szCs w:val="20"/>
          <w:lang w:val="en"/>
        </w:rPr>
        <w:t>Therefore, according to the information available, the merits of the claim filed by Mr</w:t>
      </w:r>
      <w:r w:rsidR="00730A15">
        <w:rPr>
          <w:rFonts w:ascii="Cambria" w:hAnsi="Cambria" w:cs="Arial"/>
          <w:sz w:val="20"/>
          <w:szCs w:val="20"/>
          <w:lang w:val="en"/>
        </w:rPr>
        <w:t xml:space="preserve">. </w:t>
      </w:r>
      <w:r w:rsidRPr="008D3475">
        <w:rPr>
          <w:rFonts w:ascii="Cambria" w:hAnsi="Cambria" w:cs="Arial"/>
          <w:sz w:val="20"/>
          <w:szCs w:val="20"/>
          <w:lang w:val="en"/>
        </w:rPr>
        <w:t>Tzalam Caal less than one month after the publication of the study were never examined.</w:t>
      </w:r>
    </w:p>
    <w:p w:rsidR="008D3475" w:rsidRPr="008D3475" w:rsidRDefault="008D3475" w:rsidP="008D3475">
      <w:pPr>
        <w:numPr>
          <w:ilvl w:val="0"/>
          <w:numId w:val="55"/>
        </w:numPr>
        <w:suppressAutoHyphens/>
        <w:spacing w:after="240"/>
        <w:jc w:val="both"/>
        <w:rPr>
          <w:rFonts w:ascii="Cambria" w:hAnsi="Cambria" w:cs="Arial"/>
          <w:sz w:val="20"/>
          <w:szCs w:val="20"/>
          <w:lang w:val="en-US"/>
        </w:rPr>
      </w:pPr>
      <w:r w:rsidRPr="008D3475">
        <w:rPr>
          <w:rFonts w:ascii="Cambria" w:hAnsi="Cambria"/>
          <w:sz w:val="20"/>
          <w:szCs w:val="20"/>
          <w:lang w:val="en"/>
        </w:rPr>
        <w:t xml:space="preserve">Regarding the State’s argument that a challenge procedure was enshrined in the Mining Law, the Commission finds that it has not resulted in a remedy that is accessible to the community given that it </w:t>
      </w:r>
      <w:r w:rsidRPr="008D3475">
        <w:rPr>
          <w:rFonts w:ascii="Cambria" w:hAnsi="Cambria"/>
          <w:sz w:val="20"/>
          <w:szCs w:val="20"/>
          <w:lang w:val="en"/>
        </w:rPr>
        <w:lastRenderedPageBreak/>
        <w:t>must be submitted within 30 days and, according to the petitioners, the community did not immediately have access to it</w:t>
      </w:r>
      <w:r w:rsidR="00560F3A">
        <w:rPr>
          <w:rFonts w:ascii="Cambria" w:hAnsi="Cambria"/>
          <w:sz w:val="20"/>
          <w:szCs w:val="20"/>
          <w:lang w:val="en"/>
        </w:rPr>
        <w:t>.</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Taking this into account, the Commission therefore concludes that in this case, an exception applies to the requirement of exhausting internal remedies established in Article 46(2)(b) of the American Convention and 31(2)(b) of the Rules of Procedure.</w:t>
      </w:r>
    </w:p>
    <w:p w:rsidR="008D3475" w:rsidRPr="008D3475" w:rsidRDefault="008D3475" w:rsidP="008D3475">
      <w:pPr>
        <w:numPr>
          <w:ilvl w:val="0"/>
          <w:numId w:val="55"/>
        </w:numPr>
        <w:suppressAutoHyphens/>
        <w:spacing w:after="240"/>
        <w:jc w:val="both"/>
        <w:rPr>
          <w:rFonts w:ascii="Cambria" w:hAnsi="Cambria"/>
          <w:sz w:val="20"/>
          <w:szCs w:val="20"/>
          <w:lang w:val="en-US"/>
        </w:rPr>
      </w:pPr>
      <w:r>
        <w:rPr>
          <w:rFonts w:ascii="Cambria" w:hAnsi="Cambria"/>
          <w:sz w:val="20"/>
          <w:szCs w:val="20"/>
          <w:lang w:val="en"/>
        </w:rPr>
        <w:t>The invocation of exceptions to the rule of exhaustion of domestic remedies set forth in Article 46(2) of the Convention is closely linked to the determination of possible violations of certain rights set forth in the Convention, such as the guarantee of access to justice</w:t>
      </w:r>
      <w:r w:rsidR="00730A15">
        <w:rPr>
          <w:rFonts w:ascii="Cambria" w:hAnsi="Cambria"/>
          <w:sz w:val="20"/>
          <w:szCs w:val="20"/>
          <w:lang w:val="en"/>
        </w:rPr>
        <w:t xml:space="preserve">. </w:t>
      </w:r>
      <w:r>
        <w:rPr>
          <w:rFonts w:ascii="Cambria" w:hAnsi="Cambria"/>
          <w:sz w:val="20"/>
          <w:szCs w:val="20"/>
          <w:lang w:val="en"/>
        </w:rPr>
        <w:t xml:space="preserve"> However, Article 46(2), by its nature and purpose, is a provision whose content is autonomous </w:t>
      </w:r>
      <w:r>
        <w:rPr>
          <w:rFonts w:ascii="Cambria" w:hAnsi="Cambria"/>
          <w:i/>
          <w:iCs/>
          <w:sz w:val="20"/>
          <w:szCs w:val="20"/>
          <w:lang w:val="en"/>
        </w:rPr>
        <w:t xml:space="preserve">vis-a-vis </w:t>
      </w:r>
      <w:r>
        <w:rPr>
          <w:rFonts w:ascii="Cambria" w:hAnsi="Cambria"/>
          <w:sz w:val="20"/>
          <w:szCs w:val="20"/>
          <w:lang w:val="en"/>
        </w:rPr>
        <w:t>the substantive provisions of the Convention</w:t>
      </w:r>
      <w:r w:rsidR="00730A15">
        <w:rPr>
          <w:rFonts w:ascii="Cambria" w:hAnsi="Cambria"/>
          <w:sz w:val="20"/>
          <w:szCs w:val="20"/>
          <w:lang w:val="en"/>
        </w:rPr>
        <w:t xml:space="preserve">. </w:t>
      </w:r>
      <w:r w:rsidR="00860C0A">
        <w:rPr>
          <w:rFonts w:ascii="Cambria" w:hAnsi="Cambria"/>
          <w:sz w:val="20"/>
          <w:szCs w:val="20"/>
          <w:lang w:val="en"/>
        </w:rPr>
        <w:t xml:space="preserve"> </w:t>
      </w:r>
      <w:r>
        <w:rPr>
          <w:rFonts w:ascii="Cambria" w:hAnsi="Cambria"/>
          <w:sz w:val="20"/>
          <w:szCs w:val="20"/>
          <w:lang w:val="en"/>
        </w:rPr>
        <w:t>Therefore, the determination of whether exceptions to the rule of exhaustion of domestic remedies are applicable to the case in question must be carried out prior to and apart from the analysis on the merits of the matter, as it depends on a standard of examination that is different from the one used to det</w:t>
      </w:r>
      <w:r w:rsidR="00BC5DD0">
        <w:rPr>
          <w:rFonts w:ascii="Cambria" w:hAnsi="Cambria"/>
          <w:sz w:val="20"/>
          <w:szCs w:val="20"/>
          <w:lang w:val="en"/>
        </w:rPr>
        <w:t>ermine a possible violation of A</w:t>
      </w:r>
      <w:r>
        <w:rPr>
          <w:rFonts w:ascii="Cambria" w:hAnsi="Cambria"/>
          <w:sz w:val="20"/>
          <w:szCs w:val="20"/>
          <w:lang w:val="en"/>
        </w:rPr>
        <w:t>rticles 8 and 25 of the Convention</w:t>
      </w:r>
      <w:r w:rsidR="00730A15">
        <w:rPr>
          <w:rFonts w:ascii="Cambria" w:hAnsi="Cambria"/>
          <w:sz w:val="20"/>
          <w:szCs w:val="20"/>
          <w:lang w:val="en"/>
        </w:rPr>
        <w:t xml:space="preserve">. </w:t>
      </w:r>
      <w:r>
        <w:rPr>
          <w:rFonts w:ascii="Cambria" w:hAnsi="Cambria"/>
          <w:sz w:val="20"/>
          <w:szCs w:val="20"/>
          <w:lang w:val="en"/>
        </w:rPr>
        <w:t xml:space="preserve"> It should be </w:t>
      </w:r>
      <w:r w:rsidR="00860C0A">
        <w:rPr>
          <w:rFonts w:ascii="Cambria" w:hAnsi="Cambria"/>
          <w:sz w:val="20"/>
          <w:szCs w:val="20"/>
          <w:lang w:val="en"/>
        </w:rPr>
        <w:t>noted</w:t>
      </w:r>
      <w:r>
        <w:rPr>
          <w:rFonts w:ascii="Cambria" w:hAnsi="Cambria"/>
          <w:sz w:val="20"/>
          <w:szCs w:val="20"/>
          <w:lang w:val="en"/>
        </w:rPr>
        <w:t xml:space="preserve"> that the causes and affects preventing the exhaustion of domestic remedies will be analyzed in the report adopted by the Commission on the merits of the dispute in order to establish whether violations of the American Convention have taken place.</w:t>
      </w:r>
    </w:p>
    <w:p w:rsidR="008D3475" w:rsidRPr="008D3475" w:rsidRDefault="008D3475" w:rsidP="008D3475">
      <w:pPr>
        <w:spacing w:after="240"/>
        <w:ind w:firstLine="720"/>
        <w:jc w:val="both"/>
        <w:rPr>
          <w:rFonts w:ascii="Cambria" w:hAnsi="Cambria"/>
          <w:b/>
          <w:sz w:val="20"/>
          <w:szCs w:val="20"/>
        </w:rPr>
      </w:pPr>
      <w:r w:rsidRPr="008D3475">
        <w:rPr>
          <w:rFonts w:ascii="Cambria" w:hAnsi="Cambria"/>
          <w:b/>
          <w:bCs/>
          <w:sz w:val="20"/>
          <w:szCs w:val="20"/>
          <w:lang w:val="en"/>
        </w:rPr>
        <w:t>2.</w:t>
      </w:r>
      <w:r w:rsidRPr="008D3475">
        <w:rPr>
          <w:rFonts w:ascii="Cambria" w:hAnsi="Cambria"/>
          <w:b/>
          <w:bCs/>
          <w:sz w:val="20"/>
          <w:szCs w:val="20"/>
          <w:lang w:val="en"/>
        </w:rPr>
        <w:tab/>
        <w:t>Deadline for submitting the petition</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Articles 46(1)(b) of the American Convention and 32(1) of the Rules of Procedure establish that for a petition to be admissible by the Commission, it must be lodged within a period of six months from the date on which the party alleging violation of his rights was notified of the final judgment</w:t>
      </w:r>
      <w:r w:rsidR="00730A15">
        <w:rPr>
          <w:rFonts w:ascii="Cambria" w:hAnsi="Cambria"/>
          <w:sz w:val="20"/>
          <w:szCs w:val="20"/>
          <w:lang w:val="en"/>
        </w:rPr>
        <w:t xml:space="preserve">.  </w:t>
      </w:r>
      <w:r w:rsidRPr="008D3475">
        <w:rPr>
          <w:rFonts w:ascii="Cambria" w:hAnsi="Cambria"/>
          <w:sz w:val="20"/>
          <w:szCs w:val="20"/>
          <w:lang w:val="en"/>
        </w:rPr>
        <w:t>In the claim under analysis, the IACHR has established that the exception to the exhaustion of domestic remedies applies, pursuant to Article 46(2)(a) and 46(2)(b) of the American Convention and 31(2)(a) and 31(2)(b) of the Rules of Procedure</w:t>
      </w:r>
      <w:r w:rsidR="00730A15">
        <w:rPr>
          <w:rFonts w:ascii="Cambria" w:hAnsi="Cambria"/>
          <w:sz w:val="20"/>
          <w:szCs w:val="20"/>
          <w:lang w:val="en"/>
        </w:rPr>
        <w:t xml:space="preserve">.  </w:t>
      </w:r>
      <w:r w:rsidRPr="008D3475">
        <w:rPr>
          <w:rFonts w:ascii="Cambria" w:hAnsi="Cambria"/>
          <w:sz w:val="20"/>
          <w:szCs w:val="20"/>
          <w:lang w:val="en"/>
        </w:rPr>
        <w:t>In this regard, Article 46(2) of the Convention and 32(2) of the Rules of Procedure establish that in the cases in which the exceptions to the requirement of prior exhaustion of domestic remedies are applicable, the petition shall be presented within a reasonable period of time, as determined by the Commission</w:t>
      </w:r>
      <w:r w:rsidR="00730A15">
        <w:rPr>
          <w:rFonts w:ascii="Cambria" w:hAnsi="Cambria"/>
          <w:sz w:val="20"/>
          <w:szCs w:val="20"/>
          <w:lang w:val="en"/>
        </w:rPr>
        <w:t xml:space="preserve">.  </w:t>
      </w:r>
      <w:r w:rsidRPr="008D3475">
        <w:rPr>
          <w:rFonts w:ascii="Cambria" w:hAnsi="Cambria"/>
          <w:sz w:val="20"/>
          <w:szCs w:val="20"/>
          <w:lang w:val="en"/>
        </w:rPr>
        <w:t>For this purpose, the Commission shall consider the date on which the alleged violation of rights occurred and the circumstances of each case.</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The petition before the IACHR was received on August 19, 2011, and the alleged facts material to the claim began on February 25, 1985, with the granting of a provisional title to members of the Agua Caliente Community</w:t>
      </w:r>
      <w:r w:rsidR="00730A15">
        <w:rPr>
          <w:rFonts w:ascii="Cambria" w:hAnsi="Cambria"/>
          <w:sz w:val="20"/>
          <w:szCs w:val="20"/>
          <w:lang w:val="en"/>
        </w:rPr>
        <w:t xml:space="preserve">.  </w:t>
      </w:r>
      <w:r w:rsidRPr="008D3475">
        <w:rPr>
          <w:rFonts w:ascii="Cambria" w:hAnsi="Cambria"/>
          <w:sz w:val="20"/>
          <w:szCs w:val="20"/>
          <w:lang w:val="en"/>
        </w:rPr>
        <w:t>Those facts continued with the alleged compliance with requirements to receive official recognition of the right to ownership of the land on July 18, 2002,</w:t>
      </w:r>
      <w:r w:rsidRPr="008D3475">
        <w:rPr>
          <w:rFonts w:ascii="Cambria" w:hAnsi="Cambria"/>
          <w:color w:val="FF0000"/>
          <w:sz w:val="20"/>
          <w:szCs w:val="20"/>
          <w:lang w:val="en"/>
        </w:rPr>
        <w:t xml:space="preserve"> </w:t>
      </w:r>
      <w:r w:rsidRPr="008D3475">
        <w:rPr>
          <w:rFonts w:ascii="Cambria" w:hAnsi="Cambria"/>
          <w:sz w:val="20"/>
          <w:szCs w:val="20"/>
          <w:lang w:val="en"/>
        </w:rPr>
        <w:t>the effects of which extend to the present day</w:t>
      </w:r>
      <w:r w:rsidR="00730A15">
        <w:rPr>
          <w:rFonts w:ascii="Cambria" w:hAnsi="Cambria"/>
          <w:sz w:val="20"/>
          <w:szCs w:val="20"/>
          <w:lang w:val="en"/>
        </w:rPr>
        <w:t xml:space="preserve">.  </w:t>
      </w:r>
      <w:r w:rsidRPr="008D3475">
        <w:rPr>
          <w:rFonts w:ascii="Cambria" w:hAnsi="Cambria"/>
          <w:sz w:val="20"/>
          <w:szCs w:val="20"/>
          <w:lang w:val="en"/>
        </w:rPr>
        <w:t>Therefore, in view of the context and the characteristics of this case, the Commission finds that the petition was presented within a reasonable period of time and that the admissibility requirement on the submission deadline is satisfied.</w:t>
      </w:r>
    </w:p>
    <w:p w:rsidR="008D3475" w:rsidRPr="008D3475" w:rsidRDefault="008D3475" w:rsidP="008D3475">
      <w:pPr>
        <w:spacing w:after="240"/>
        <w:ind w:firstLine="720"/>
        <w:jc w:val="both"/>
        <w:rPr>
          <w:rFonts w:ascii="Cambria" w:hAnsi="Cambria"/>
          <w:b/>
          <w:bCs/>
          <w:sz w:val="20"/>
          <w:szCs w:val="20"/>
          <w:lang w:val="en-US"/>
        </w:rPr>
      </w:pPr>
      <w:r w:rsidRPr="008D3475">
        <w:rPr>
          <w:rFonts w:ascii="Cambria" w:hAnsi="Cambria"/>
          <w:b/>
          <w:bCs/>
          <w:sz w:val="20"/>
          <w:szCs w:val="20"/>
          <w:lang w:val="en"/>
        </w:rPr>
        <w:t>3.</w:t>
      </w:r>
      <w:r w:rsidRPr="008D3475">
        <w:rPr>
          <w:rFonts w:ascii="Cambria" w:hAnsi="Cambria"/>
          <w:b/>
          <w:bCs/>
          <w:sz w:val="20"/>
          <w:szCs w:val="20"/>
          <w:lang w:val="en"/>
        </w:rPr>
        <w:tab/>
        <w:t xml:space="preserve">Duplication of international proceedings and international </w:t>
      </w:r>
      <w:r w:rsidRPr="008D3475">
        <w:rPr>
          <w:rFonts w:ascii="Cambria" w:hAnsi="Cambria"/>
          <w:b/>
          <w:bCs/>
          <w:i/>
          <w:iCs/>
          <w:sz w:val="20"/>
          <w:szCs w:val="20"/>
          <w:lang w:val="en"/>
        </w:rPr>
        <w:t>res judicata</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The case file does not indicate that the issue addressed in the petition is pending before any other international proceeding, nor that it repeats a petition that has already been heard by this or any other international body</w:t>
      </w:r>
      <w:r w:rsidR="00730A15">
        <w:rPr>
          <w:rFonts w:ascii="Cambria" w:hAnsi="Cambria"/>
          <w:sz w:val="20"/>
          <w:szCs w:val="20"/>
          <w:lang w:val="en"/>
        </w:rPr>
        <w:t xml:space="preserve">.  </w:t>
      </w:r>
      <w:r w:rsidRPr="008D3475">
        <w:rPr>
          <w:rFonts w:ascii="Cambria" w:hAnsi="Cambria"/>
          <w:sz w:val="20"/>
          <w:szCs w:val="20"/>
          <w:lang w:val="en"/>
        </w:rPr>
        <w:t xml:space="preserve">Accordingly, the grounds for inadmissibility established in </w:t>
      </w:r>
      <w:r w:rsidR="00BC5DD0">
        <w:rPr>
          <w:rFonts w:ascii="Cambria" w:hAnsi="Cambria"/>
          <w:sz w:val="20"/>
          <w:szCs w:val="20"/>
          <w:lang w:val="en"/>
        </w:rPr>
        <w:t>A</w:t>
      </w:r>
      <w:r w:rsidRPr="008D3475">
        <w:rPr>
          <w:rFonts w:ascii="Cambria" w:hAnsi="Cambria"/>
          <w:sz w:val="20"/>
          <w:szCs w:val="20"/>
          <w:lang w:val="en"/>
        </w:rPr>
        <w:t>rticles 46(1)(c) and 47(d) of the Convention and 33(1) and 33(1)(b) of the Rules of Procedure are not applicable.</w:t>
      </w:r>
    </w:p>
    <w:p w:rsidR="008D3475" w:rsidRPr="00CC0E89" w:rsidRDefault="008D3475" w:rsidP="008D3475">
      <w:pPr>
        <w:spacing w:after="240"/>
        <w:ind w:firstLine="720"/>
        <w:jc w:val="both"/>
        <w:rPr>
          <w:rFonts w:ascii="Cambria" w:hAnsi="Cambria"/>
          <w:b/>
          <w:bCs/>
          <w:sz w:val="20"/>
          <w:szCs w:val="20"/>
          <w:lang w:val="en-US"/>
        </w:rPr>
      </w:pPr>
      <w:r w:rsidRPr="008D3475">
        <w:rPr>
          <w:rFonts w:ascii="Cambria" w:hAnsi="Cambria"/>
          <w:b/>
          <w:bCs/>
          <w:sz w:val="20"/>
          <w:szCs w:val="20"/>
          <w:lang w:val="en"/>
        </w:rPr>
        <w:t>4.</w:t>
      </w:r>
      <w:r w:rsidRPr="008D3475">
        <w:rPr>
          <w:rFonts w:ascii="Cambria" w:hAnsi="Cambria"/>
          <w:b/>
          <w:bCs/>
          <w:sz w:val="20"/>
          <w:szCs w:val="20"/>
          <w:lang w:val="en"/>
        </w:rPr>
        <w:tab/>
        <w:t>Characterization of the facts alleged</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For the purposes of admissibility, the Commission must decide if the facts alleged represent a violat</w:t>
      </w:r>
      <w:r w:rsidR="00BC5DD0">
        <w:rPr>
          <w:rFonts w:ascii="Cambria" w:hAnsi="Cambria"/>
          <w:sz w:val="20"/>
          <w:szCs w:val="20"/>
          <w:lang w:val="en"/>
        </w:rPr>
        <w:t>ion of rights as stipulated in A</w:t>
      </w:r>
      <w:r w:rsidRPr="008D3475">
        <w:rPr>
          <w:rFonts w:ascii="Cambria" w:hAnsi="Cambria"/>
          <w:sz w:val="20"/>
          <w:szCs w:val="20"/>
          <w:lang w:val="en"/>
        </w:rPr>
        <w:t xml:space="preserve">rticles 47(b) of the American Convention and 34(a) of the Rules of Procedure, or if the petition is “manifestly groundless” or “obviously out of order,” pursuant to </w:t>
      </w:r>
      <w:r w:rsidR="00BC5DD0">
        <w:rPr>
          <w:rFonts w:ascii="Cambria" w:hAnsi="Cambria"/>
          <w:sz w:val="20"/>
          <w:szCs w:val="20"/>
          <w:lang w:val="en"/>
        </w:rPr>
        <w:t>A</w:t>
      </w:r>
      <w:r w:rsidRPr="008D3475">
        <w:rPr>
          <w:rFonts w:ascii="Cambria" w:hAnsi="Cambria"/>
          <w:sz w:val="20"/>
          <w:szCs w:val="20"/>
          <w:lang w:val="en"/>
        </w:rPr>
        <w:t>rticles 47(c) of the American Convention and 34(b) of the Rules of Procedure</w:t>
      </w:r>
      <w:r w:rsidR="00730A15">
        <w:rPr>
          <w:rFonts w:ascii="Cambria" w:hAnsi="Cambria"/>
          <w:sz w:val="20"/>
          <w:szCs w:val="20"/>
          <w:lang w:val="en"/>
        </w:rPr>
        <w:t xml:space="preserve">.  </w:t>
      </w:r>
      <w:r w:rsidRPr="008D3475">
        <w:rPr>
          <w:rFonts w:ascii="Cambria" w:hAnsi="Cambria"/>
          <w:sz w:val="20"/>
          <w:szCs w:val="20"/>
          <w:lang w:val="en"/>
        </w:rPr>
        <w:t xml:space="preserve">The criteria for analyzing admissibility differs from the criteria used to analyze the merits of the petition, as the Commission only performs a </w:t>
      </w:r>
      <w:r w:rsidRPr="008D3475">
        <w:rPr>
          <w:rFonts w:ascii="Cambria" w:hAnsi="Cambria"/>
          <w:i/>
          <w:iCs/>
          <w:sz w:val="20"/>
          <w:szCs w:val="20"/>
          <w:lang w:val="en"/>
        </w:rPr>
        <w:t>prima facie</w:t>
      </w:r>
      <w:r w:rsidRPr="008D3475">
        <w:rPr>
          <w:rFonts w:ascii="Cambria" w:hAnsi="Cambria"/>
          <w:sz w:val="20"/>
          <w:szCs w:val="20"/>
          <w:lang w:val="en"/>
        </w:rPr>
        <w:t xml:space="preserve"> analysis to determine if petitioners establish that the violation of rights guaranteed by the American </w:t>
      </w:r>
      <w:r w:rsidRPr="008D3475">
        <w:rPr>
          <w:rFonts w:ascii="Cambria" w:hAnsi="Cambria"/>
          <w:sz w:val="20"/>
          <w:szCs w:val="20"/>
          <w:lang w:val="en"/>
        </w:rPr>
        <w:lastRenderedPageBreak/>
        <w:t>Convention on Human Rights is apparent or possible</w:t>
      </w:r>
      <w:r w:rsidR="00730A15">
        <w:rPr>
          <w:rFonts w:ascii="Cambria" w:hAnsi="Cambria"/>
          <w:sz w:val="20"/>
          <w:szCs w:val="20"/>
          <w:lang w:val="en"/>
        </w:rPr>
        <w:t xml:space="preserve">.  </w:t>
      </w:r>
      <w:r w:rsidRPr="008D3475">
        <w:rPr>
          <w:rFonts w:ascii="Cambria" w:hAnsi="Cambria"/>
          <w:sz w:val="20"/>
          <w:szCs w:val="20"/>
          <w:lang w:val="en"/>
        </w:rPr>
        <w:t>This is a summary analysis that does not involve prejudging or issuing a preliminary opinion on the merits of the matter.</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Likewise, the applicable legal instruments do not require the petitioner to identify the specific rights that the State is allegedly violating in the case submitted to the Commission, although the petitioners may do so</w:t>
      </w:r>
      <w:r w:rsidR="00730A15">
        <w:rPr>
          <w:rFonts w:ascii="Cambria" w:hAnsi="Cambria"/>
          <w:sz w:val="20"/>
          <w:szCs w:val="20"/>
          <w:lang w:val="en"/>
        </w:rPr>
        <w:t xml:space="preserve">.  </w:t>
      </w:r>
      <w:r w:rsidRPr="008D3475">
        <w:rPr>
          <w:rFonts w:ascii="Cambria" w:hAnsi="Cambria"/>
          <w:sz w:val="20"/>
          <w:szCs w:val="20"/>
          <w:lang w:val="en"/>
        </w:rPr>
        <w:t>It falls to the Commission, on the basis of the system’s case law, to decide in its admissibility reports which provision of the relevant inter-American instruments is applicable and whose violation could be established if the allegations are proven on the basis of sufficient evidence.</w:t>
      </w:r>
    </w:p>
    <w:p w:rsidR="008D3475" w:rsidRPr="008D3475" w:rsidRDefault="008D3475" w:rsidP="008D3475">
      <w:pPr>
        <w:numPr>
          <w:ilvl w:val="0"/>
          <w:numId w:val="55"/>
        </w:numPr>
        <w:suppressAutoHyphens/>
        <w:spacing w:after="240"/>
        <w:jc w:val="both"/>
        <w:rPr>
          <w:rFonts w:ascii="Cambria" w:eastAsia="SimSun" w:hAnsi="Cambria"/>
          <w:sz w:val="20"/>
          <w:szCs w:val="20"/>
          <w:lang w:val="en-US"/>
        </w:rPr>
      </w:pPr>
      <w:r w:rsidRPr="008D3475">
        <w:rPr>
          <w:rFonts w:ascii="Cambria" w:hAnsi="Cambria"/>
          <w:sz w:val="20"/>
          <w:szCs w:val="20"/>
          <w:lang w:val="en"/>
        </w:rPr>
        <w:t>In sum, the petitioners allege that Guatemala violated their rights to collective ownership of the lands and natural resources and the indigenous peoples’ rights to free determination and self-governance in relation to the obligation to respect rights and the duty to adopt provisions and domestic law due to the lack of a law recognizing those rights</w:t>
      </w:r>
      <w:r w:rsidR="00730A15">
        <w:rPr>
          <w:rFonts w:ascii="Cambria" w:hAnsi="Cambria"/>
          <w:sz w:val="20"/>
          <w:szCs w:val="20"/>
          <w:lang w:val="en"/>
        </w:rPr>
        <w:t xml:space="preserve">.  </w:t>
      </w:r>
      <w:r w:rsidRPr="008D3475">
        <w:rPr>
          <w:rFonts w:ascii="Cambria" w:hAnsi="Cambria"/>
          <w:sz w:val="20"/>
          <w:szCs w:val="20"/>
          <w:lang w:val="en"/>
        </w:rPr>
        <w:t>They also allege that existing laws have omitted the participation of indigenous peoples from processes and procedures regulating the adjudication of their lands, mineral exploitation on their territories, and approval of environmental and social impact studies filed by the proponents of the mining projects</w:t>
      </w:r>
      <w:r w:rsidR="00730A15">
        <w:rPr>
          <w:rFonts w:ascii="Cambria" w:hAnsi="Cambria"/>
          <w:sz w:val="20"/>
          <w:szCs w:val="20"/>
          <w:lang w:val="en"/>
        </w:rPr>
        <w:t xml:space="preserve">.  </w:t>
      </w:r>
    </w:p>
    <w:p w:rsidR="008D3475" w:rsidRPr="008D3475" w:rsidRDefault="008D3475" w:rsidP="008D3475">
      <w:pPr>
        <w:numPr>
          <w:ilvl w:val="0"/>
          <w:numId w:val="55"/>
        </w:numPr>
        <w:suppressAutoHyphens/>
        <w:spacing w:after="240"/>
        <w:jc w:val="both"/>
        <w:rPr>
          <w:rFonts w:ascii="Cambria" w:eastAsia="SimSun" w:hAnsi="Cambria"/>
          <w:sz w:val="20"/>
          <w:szCs w:val="20"/>
          <w:lang w:val="en-US"/>
        </w:rPr>
      </w:pPr>
      <w:r w:rsidRPr="008D3475">
        <w:rPr>
          <w:rFonts w:ascii="Cambria" w:hAnsi="Cambria"/>
          <w:sz w:val="20"/>
          <w:szCs w:val="20"/>
          <w:lang w:val="en"/>
        </w:rPr>
        <w:t>The State holds that the individual and collective rights of indigenous peoples are constitutionally guaranteed, and that measures of judicial protection are in place to protect their economic, social, cultural, and environmental interests</w:t>
      </w:r>
      <w:r w:rsidR="00730A15">
        <w:rPr>
          <w:rFonts w:ascii="Cambria" w:hAnsi="Cambria"/>
          <w:sz w:val="20"/>
          <w:szCs w:val="20"/>
          <w:lang w:val="en"/>
        </w:rPr>
        <w:t xml:space="preserve">.  </w:t>
      </w:r>
      <w:r w:rsidRPr="008D3475">
        <w:rPr>
          <w:rFonts w:ascii="Cambria" w:hAnsi="Cambria"/>
          <w:sz w:val="20"/>
          <w:szCs w:val="20"/>
          <w:lang w:val="en"/>
        </w:rPr>
        <w:t>It maintains that although there is still no legislation specifically protecting the lands of indigenous communities, the regularization process ensures their use and enjoyment of it until it is delimited, demarcated, and titled</w:t>
      </w:r>
      <w:r w:rsidR="00730A15">
        <w:rPr>
          <w:rFonts w:ascii="Cambria" w:hAnsi="Cambria"/>
          <w:sz w:val="20"/>
          <w:szCs w:val="20"/>
          <w:lang w:val="en"/>
        </w:rPr>
        <w:t xml:space="preserve">.  </w:t>
      </w:r>
      <w:r w:rsidRPr="008D3475">
        <w:rPr>
          <w:rFonts w:ascii="Cambria" w:hAnsi="Cambria"/>
          <w:sz w:val="20"/>
          <w:szCs w:val="20"/>
          <w:lang w:val="en"/>
        </w:rPr>
        <w:t>It also expresses that only the State can dispose of its goods and grant mining licenses.</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In view of the elements of fact and law presented by the parties and the nature of the matter under consideration, the IACHR finds that should they be proven, the facts alleged by the petitioner could represent violati</w:t>
      </w:r>
      <w:r w:rsidR="00BC5DD0">
        <w:rPr>
          <w:rFonts w:ascii="Cambria" w:hAnsi="Cambria"/>
          <w:sz w:val="20"/>
          <w:szCs w:val="20"/>
          <w:lang w:val="en"/>
        </w:rPr>
        <w:t>ons to the rights protected in A</w:t>
      </w:r>
      <w:r w:rsidRPr="008D3475">
        <w:rPr>
          <w:rFonts w:ascii="Cambria" w:hAnsi="Cambria"/>
          <w:sz w:val="20"/>
          <w:szCs w:val="20"/>
          <w:lang w:val="en"/>
        </w:rPr>
        <w:t>rticles 3, 8, 21, 24, and 25 of the American C</w:t>
      </w:r>
      <w:r w:rsidR="00BC5DD0">
        <w:rPr>
          <w:rFonts w:ascii="Cambria" w:hAnsi="Cambria"/>
          <w:sz w:val="20"/>
          <w:szCs w:val="20"/>
          <w:lang w:val="en"/>
        </w:rPr>
        <w:t>onvention, in conjunction with A</w:t>
      </w:r>
      <w:r w:rsidRPr="008D3475">
        <w:rPr>
          <w:rFonts w:ascii="Cambria" w:hAnsi="Cambria"/>
          <w:sz w:val="20"/>
          <w:szCs w:val="20"/>
          <w:lang w:val="en"/>
        </w:rPr>
        <w:t>rticles 1(1) and 2 thereof.</w:t>
      </w:r>
    </w:p>
    <w:p w:rsidR="008D3475" w:rsidRPr="008D3475" w:rsidRDefault="008D3475" w:rsidP="008D3475">
      <w:pPr>
        <w:spacing w:after="240"/>
        <w:ind w:firstLine="720"/>
        <w:jc w:val="both"/>
        <w:rPr>
          <w:rFonts w:ascii="Cambria" w:hAnsi="Cambria"/>
          <w:b/>
          <w:bCs/>
          <w:sz w:val="20"/>
          <w:szCs w:val="20"/>
        </w:rPr>
      </w:pPr>
      <w:r w:rsidRPr="008D3475">
        <w:rPr>
          <w:rFonts w:ascii="Cambria" w:hAnsi="Cambria"/>
          <w:b/>
          <w:bCs/>
          <w:sz w:val="20"/>
          <w:szCs w:val="20"/>
          <w:lang w:val="en"/>
        </w:rPr>
        <w:t>V.</w:t>
      </w:r>
      <w:r w:rsidRPr="008D3475">
        <w:rPr>
          <w:rFonts w:ascii="Cambria" w:hAnsi="Cambria"/>
          <w:b/>
          <w:bCs/>
          <w:sz w:val="20"/>
          <w:szCs w:val="20"/>
          <w:lang w:val="en"/>
        </w:rPr>
        <w:tab/>
        <w:t>CONCLUSIONS</w:t>
      </w:r>
    </w:p>
    <w:p w:rsidR="008D3475" w:rsidRPr="008D3475" w:rsidRDefault="008D3475" w:rsidP="008D3475">
      <w:pPr>
        <w:numPr>
          <w:ilvl w:val="0"/>
          <w:numId w:val="55"/>
        </w:numPr>
        <w:suppressAutoHyphens/>
        <w:spacing w:after="240"/>
        <w:jc w:val="both"/>
        <w:rPr>
          <w:rFonts w:ascii="Cambria" w:hAnsi="Cambria"/>
          <w:sz w:val="20"/>
          <w:szCs w:val="20"/>
          <w:lang w:val="en-US"/>
        </w:rPr>
      </w:pPr>
      <w:r w:rsidRPr="008D3475">
        <w:rPr>
          <w:rFonts w:ascii="Cambria" w:hAnsi="Cambria"/>
          <w:sz w:val="20"/>
          <w:szCs w:val="20"/>
          <w:lang w:val="en"/>
        </w:rPr>
        <w:t>Based on the considerations of fact and law described herein and without prejudging the merits of the case, the Inter-American Commission concludes that this petition meets the admissibili</w:t>
      </w:r>
      <w:r w:rsidR="00BC5DD0">
        <w:rPr>
          <w:rFonts w:ascii="Cambria" w:hAnsi="Cambria"/>
          <w:sz w:val="20"/>
          <w:szCs w:val="20"/>
          <w:lang w:val="en"/>
        </w:rPr>
        <w:t>ty requirements established in A</w:t>
      </w:r>
      <w:r w:rsidRPr="008D3475">
        <w:rPr>
          <w:rFonts w:ascii="Cambria" w:hAnsi="Cambria"/>
          <w:sz w:val="20"/>
          <w:szCs w:val="20"/>
          <w:lang w:val="en"/>
        </w:rPr>
        <w:t>rticles 31 through 34 of the Rules of Procedure and 46 and 47 of the American Convention.</w:t>
      </w:r>
    </w:p>
    <w:p w:rsidR="008D3475" w:rsidRPr="008D3475" w:rsidRDefault="008D3475" w:rsidP="008D3475">
      <w:pPr>
        <w:spacing w:after="240"/>
        <w:ind w:firstLine="720"/>
        <w:jc w:val="center"/>
        <w:rPr>
          <w:rFonts w:ascii="Cambria" w:hAnsi="Cambria"/>
          <w:b/>
          <w:bCs/>
          <w:sz w:val="20"/>
          <w:szCs w:val="20"/>
          <w:lang w:val="en-US"/>
        </w:rPr>
      </w:pPr>
      <w:r w:rsidRPr="008D3475">
        <w:rPr>
          <w:rFonts w:ascii="Cambria" w:hAnsi="Cambria"/>
          <w:b/>
          <w:bCs/>
          <w:sz w:val="20"/>
          <w:szCs w:val="20"/>
          <w:lang w:val="en"/>
        </w:rPr>
        <w:t>THE INTER-AMERICAN COMMISSION ON HUMAN RIGHTS</w:t>
      </w:r>
    </w:p>
    <w:p w:rsidR="008D3475" w:rsidRPr="008D3475" w:rsidRDefault="008D3475" w:rsidP="00CC0E89">
      <w:pPr>
        <w:spacing w:after="240"/>
        <w:jc w:val="both"/>
        <w:rPr>
          <w:rFonts w:ascii="Cambria" w:hAnsi="Cambria"/>
          <w:b/>
          <w:bCs/>
          <w:sz w:val="20"/>
          <w:szCs w:val="20"/>
        </w:rPr>
      </w:pPr>
      <w:r w:rsidRPr="008D3475">
        <w:rPr>
          <w:rFonts w:ascii="Cambria" w:hAnsi="Cambria"/>
          <w:b/>
          <w:bCs/>
          <w:sz w:val="20"/>
          <w:szCs w:val="20"/>
          <w:lang w:val="en"/>
        </w:rPr>
        <w:t>DECIDES:</w:t>
      </w:r>
    </w:p>
    <w:p w:rsidR="008D3475" w:rsidRPr="008D3475" w:rsidRDefault="008D3475" w:rsidP="008D3475">
      <w:pPr>
        <w:pStyle w:val="ListParagraph"/>
        <w:numPr>
          <w:ilvl w:val="1"/>
          <w:numId w:val="56"/>
        </w:numPr>
        <w:pBdr>
          <w:top w:val="nil"/>
          <w:left w:val="nil"/>
          <w:bottom w:val="nil"/>
          <w:right w:val="nil"/>
          <w:between w:val="nil"/>
          <w:bar w:val="nil"/>
        </w:pBdr>
        <w:tabs>
          <w:tab w:val="num" w:pos="360"/>
        </w:tabs>
        <w:suppressAutoHyphens/>
        <w:spacing w:after="240"/>
        <w:ind w:left="0" w:firstLine="720"/>
        <w:jc w:val="both"/>
        <w:rPr>
          <w:sz w:val="20"/>
          <w:szCs w:val="20"/>
        </w:rPr>
      </w:pPr>
      <w:r w:rsidRPr="008D3475">
        <w:rPr>
          <w:sz w:val="20"/>
          <w:szCs w:val="20"/>
          <w:lang w:val="en"/>
        </w:rPr>
        <w:t xml:space="preserve">To declare this petition admissible regarding </w:t>
      </w:r>
      <w:r w:rsidR="00BC5DD0">
        <w:rPr>
          <w:sz w:val="20"/>
          <w:szCs w:val="20"/>
          <w:lang w:val="en"/>
        </w:rPr>
        <w:t>A</w:t>
      </w:r>
      <w:r w:rsidRPr="008D3475">
        <w:rPr>
          <w:lang w:val="en"/>
        </w:rPr>
        <w:t>rticles</w:t>
      </w:r>
      <w:r w:rsidRPr="008D3475">
        <w:rPr>
          <w:sz w:val="20"/>
          <w:szCs w:val="20"/>
          <w:lang w:val="en"/>
        </w:rPr>
        <w:t xml:space="preserve"> 3, 8, 21, 24, and 25 of the American C</w:t>
      </w:r>
      <w:r w:rsidR="00BC5DD0">
        <w:rPr>
          <w:sz w:val="20"/>
          <w:szCs w:val="20"/>
          <w:lang w:val="en"/>
        </w:rPr>
        <w:t>onvention, in conjunction with A</w:t>
      </w:r>
      <w:r w:rsidRPr="008D3475">
        <w:rPr>
          <w:sz w:val="20"/>
          <w:szCs w:val="20"/>
          <w:lang w:val="en"/>
        </w:rPr>
        <w:t>rticles 1(1) and 2 of the American Convention on Human Rights.</w:t>
      </w:r>
    </w:p>
    <w:p w:rsidR="008D3475" w:rsidRPr="008D3475" w:rsidRDefault="008D3475" w:rsidP="008D3475">
      <w:pPr>
        <w:pStyle w:val="ListParagraph"/>
        <w:numPr>
          <w:ilvl w:val="1"/>
          <w:numId w:val="56"/>
        </w:numPr>
        <w:pBdr>
          <w:top w:val="nil"/>
          <w:left w:val="nil"/>
          <w:bottom w:val="nil"/>
          <w:right w:val="nil"/>
          <w:between w:val="nil"/>
          <w:bar w:val="nil"/>
        </w:pBdr>
        <w:tabs>
          <w:tab w:val="num" w:pos="360"/>
        </w:tabs>
        <w:suppressAutoHyphens/>
        <w:spacing w:after="240"/>
        <w:ind w:left="0" w:firstLine="720"/>
        <w:jc w:val="both"/>
        <w:rPr>
          <w:sz w:val="20"/>
          <w:szCs w:val="20"/>
        </w:rPr>
      </w:pPr>
      <w:r w:rsidRPr="008D3475">
        <w:rPr>
          <w:sz w:val="20"/>
          <w:szCs w:val="20"/>
          <w:lang w:val="en"/>
        </w:rPr>
        <w:t>To notify the parties of this decision;</w:t>
      </w:r>
    </w:p>
    <w:p w:rsidR="00860C0A" w:rsidRPr="00860C0A" w:rsidRDefault="008D3475" w:rsidP="00860C0A">
      <w:pPr>
        <w:pStyle w:val="ListParagraph"/>
        <w:numPr>
          <w:ilvl w:val="1"/>
          <w:numId w:val="56"/>
        </w:numPr>
        <w:pBdr>
          <w:top w:val="nil"/>
          <w:left w:val="nil"/>
          <w:bottom w:val="nil"/>
          <w:right w:val="nil"/>
          <w:between w:val="nil"/>
          <w:bar w:val="nil"/>
        </w:pBdr>
        <w:tabs>
          <w:tab w:val="num" w:pos="360"/>
        </w:tabs>
        <w:suppressAutoHyphens/>
        <w:spacing w:after="240"/>
        <w:ind w:left="0" w:firstLine="720"/>
        <w:jc w:val="both"/>
        <w:rPr>
          <w:sz w:val="20"/>
          <w:szCs w:val="20"/>
        </w:rPr>
      </w:pPr>
      <w:r w:rsidRPr="008D3475">
        <w:rPr>
          <w:sz w:val="20"/>
          <w:szCs w:val="20"/>
          <w:lang w:val="en"/>
        </w:rPr>
        <w:t>To continue with the analysis of the merits of this matter; and</w:t>
      </w:r>
    </w:p>
    <w:p w:rsidR="00983FDF" w:rsidRPr="00560F3A" w:rsidRDefault="008D3475" w:rsidP="00860C0A">
      <w:pPr>
        <w:pStyle w:val="ListParagraph"/>
        <w:numPr>
          <w:ilvl w:val="1"/>
          <w:numId w:val="56"/>
        </w:numPr>
        <w:pBdr>
          <w:top w:val="nil"/>
          <w:left w:val="nil"/>
          <w:bottom w:val="nil"/>
          <w:right w:val="nil"/>
          <w:between w:val="nil"/>
          <w:bar w:val="nil"/>
        </w:pBdr>
        <w:tabs>
          <w:tab w:val="num" w:pos="360"/>
        </w:tabs>
        <w:suppressAutoHyphens/>
        <w:spacing w:after="240"/>
        <w:ind w:left="0" w:firstLine="720"/>
        <w:jc w:val="both"/>
        <w:rPr>
          <w:sz w:val="20"/>
          <w:szCs w:val="20"/>
        </w:rPr>
      </w:pPr>
      <w:r w:rsidRPr="00860C0A">
        <w:rPr>
          <w:sz w:val="20"/>
          <w:szCs w:val="20"/>
          <w:lang w:val="en"/>
        </w:rPr>
        <w:t>To publish this ruling and include it in its Annual Report to the General Assembly of the Organization of American States.</w:t>
      </w:r>
    </w:p>
    <w:p w:rsidR="00560F3A" w:rsidRPr="00560F3A" w:rsidRDefault="00560F3A" w:rsidP="00560F3A">
      <w:pPr>
        <w:suppressAutoHyphens/>
        <w:ind w:firstLine="720"/>
        <w:jc w:val="both"/>
        <w:rPr>
          <w:rFonts w:ascii="Cambria" w:hAnsi="Cambria"/>
          <w:spacing w:val="-2"/>
          <w:sz w:val="20"/>
          <w:lang w:val="en-US"/>
        </w:rPr>
      </w:pPr>
      <w:r w:rsidRPr="00560F3A">
        <w:rPr>
          <w:rFonts w:ascii="Cambria" w:hAnsi="Cambria"/>
          <w:spacing w:val="-2"/>
          <w:sz w:val="20"/>
          <w:lang w:val="en-US"/>
        </w:rPr>
        <w:t xml:space="preserve">Done and signed in the city of Washington, D.C., on the 18th day of the month of March, 2017. (Signed):  </w:t>
      </w:r>
      <w:r w:rsidRPr="00560F3A">
        <w:rPr>
          <w:rFonts w:ascii="Cambria" w:hAnsi="Cambria" w:cs="Arial"/>
          <w:noProof/>
          <w:spacing w:val="-2"/>
          <w:sz w:val="20"/>
          <w:lang w:val="en-US"/>
        </w:rPr>
        <w:t>Francisco José Eguiguren</w:t>
      </w:r>
      <w:r w:rsidRPr="00560F3A">
        <w:rPr>
          <w:rFonts w:ascii="Cambria" w:hAnsi="Cambria"/>
          <w:spacing w:val="-2"/>
          <w:sz w:val="20"/>
          <w:lang w:val="en-US"/>
        </w:rPr>
        <w:t xml:space="preserve">, </w:t>
      </w:r>
      <w:r w:rsidRPr="00560F3A">
        <w:rPr>
          <w:rFonts w:ascii="Cambria" w:hAnsi="Cambria"/>
          <w:sz w:val="20"/>
          <w:lang w:val="en-US"/>
        </w:rPr>
        <w:t xml:space="preserve">President; </w:t>
      </w:r>
      <w:r w:rsidRPr="00560F3A">
        <w:rPr>
          <w:rFonts w:ascii="Cambria" w:hAnsi="Cambria" w:cs="Arial"/>
          <w:noProof/>
          <w:spacing w:val="-2"/>
          <w:sz w:val="20"/>
          <w:lang w:val="en-US"/>
        </w:rPr>
        <w:t xml:space="preserve">Margarette May Macaulay, </w:t>
      </w:r>
      <w:r w:rsidRPr="00560F3A">
        <w:rPr>
          <w:rFonts w:ascii="Cambria" w:hAnsi="Cambria"/>
          <w:spacing w:val="-2"/>
          <w:sz w:val="20"/>
          <w:lang w:val="en-US"/>
        </w:rPr>
        <w:t>First Vice President;</w:t>
      </w:r>
      <w:r w:rsidRPr="00560F3A">
        <w:rPr>
          <w:rFonts w:ascii="Cambria" w:hAnsi="Cambria" w:cs="Arial"/>
          <w:noProof/>
          <w:spacing w:val="-2"/>
          <w:sz w:val="20"/>
          <w:lang w:val="en-US"/>
        </w:rPr>
        <w:t xml:space="preserve"> Esmeralda E. Arosemena Bernal de Troitiño, Second Vice President, Paulo Vannuchi and James L. Cavallaro, </w:t>
      </w:r>
      <w:r w:rsidRPr="00560F3A">
        <w:rPr>
          <w:rFonts w:ascii="Cambria" w:hAnsi="Cambria"/>
          <w:spacing w:val="-2"/>
          <w:sz w:val="20"/>
          <w:lang w:val="en-US"/>
        </w:rPr>
        <w:t>Commissioners.</w:t>
      </w:r>
    </w:p>
    <w:p w:rsidR="00560F3A" w:rsidRPr="00560F3A" w:rsidRDefault="00560F3A" w:rsidP="00560F3A">
      <w:pPr>
        <w:pBdr>
          <w:top w:val="nil"/>
          <w:left w:val="nil"/>
          <w:bottom w:val="nil"/>
          <w:right w:val="nil"/>
          <w:between w:val="nil"/>
          <w:bar w:val="nil"/>
        </w:pBdr>
        <w:tabs>
          <w:tab w:val="num" w:pos="1800"/>
        </w:tabs>
        <w:suppressAutoHyphens/>
        <w:spacing w:after="240"/>
        <w:jc w:val="both"/>
        <w:rPr>
          <w:sz w:val="20"/>
          <w:szCs w:val="20"/>
          <w:lang w:val="en-US"/>
        </w:rPr>
      </w:pPr>
    </w:p>
    <w:sectPr w:rsidR="00560F3A" w:rsidRPr="00560F3A" w:rsidSect="00934A2C">
      <w:headerReference w:type="default" r:id="rId18"/>
      <w:footerReference w:type="defaul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1F" w:rsidRDefault="00C8251F" w:rsidP="009271B3">
      <w:r>
        <w:separator/>
      </w:r>
    </w:p>
  </w:endnote>
  <w:endnote w:type="continuationSeparator" w:id="0">
    <w:p w:rsidR="00C8251F" w:rsidRDefault="00C8251F" w:rsidP="0092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87" w:rsidRDefault="00723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DF" w:rsidRPr="0044786A" w:rsidRDefault="00983FDF">
    <w:pPr>
      <w:pStyle w:val="Footer"/>
      <w:jc w:val="center"/>
      <w:rPr>
        <w:noProof/>
        <w:sz w:val="16"/>
        <w:szCs w:val="16"/>
      </w:rPr>
    </w:pPr>
    <w:r w:rsidRPr="0044786A">
      <w:rPr>
        <w:noProof/>
        <w:sz w:val="16"/>
        <w:szCs w:val="16"/>
      </w:rPr>
      <w:fldChar w:fldCharType="begin"/>
    </w:r>
    <w:r w:rsidRPr="0044786A">
      <w:rPr>
        <w:noProof/>
        <w:sz w:val="16"/>
        <w:szCs w:val="16"/>
      </w:rPr>
      <w:instrText xml:space="preserve"> PAGE   \* MERGEFORMAT </w:instrText>
    </w:r>
    <w:r w:rsidRPr="0044786A">
      <w:rPr>
        <w:noProof/>
        <w:sz w:val="16"/>
        <w:szCs w:val="16"/>
      </w:rPr>
      <w:fldChar w:fldCharType="separate"/>
    </w:r>
    <w:r w:rsidRPr="0044786A">
      <w:rPr>
        <w:noProof/>
        <w:sz w:val="16"/>
        <w:szCs w:val="16"/>
      </w:rPr>
      <w:t>1</w:t>
    </w:r>
    <w:r w:rsidRPr="0044786A">
      <w:rPr>
        <w:noProof/>
        <w:sz w:val="16"/>
        <w:szCs w:val="16"/>
      </w:rPr>
      <w:fldChar w:fldCharType="end"/>
    </w:r>
  </w:p>
  <w:p w:rsidR="00983FDF" w:rsidRPr="0044786A" w:rsidRDefault="00983FDF">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DF" w:rsidRPr="0044786A" w:rsidRDefault="00983FDF">
    <w:pPr>
      <w:pStyle w:val="Footer"/>
      <w:jc w:val="center"/>
      <w:rPr>
        <w:noProof/>
        <w:sz w:val="16"/>
        <w:szCs w:val="16"/>
      </w:rPr>
    </w:pPr>
  </w:p>
  <w:p w:rsidR="00983FDF" w:rsidRPr="0044786A" w:rsidRDefault="00983FDF">
    <w:pPr>
      <w:pStyle w:val="Foo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DF" w:rsidRPr="0044786A" w:rsidRDefault="00983FDF">
    <w:pPr>
      <w:pStyle w:val="Footer"/>
      <w:jc w:val="center"/>
      <w:rPr>
        <w:noProof/>
        <w:sz w:val="16"/>
        <w:szCs w:val="16"/>
      </w:rPr>
    </w:pPr>
    <w:r w:rsidRPr="0044786A">
      <w:rPr>
        <w:noProof/>
        <w:sz w:val="16"/>
        <w:szCs w:val="16"/>
      </w:rPr>
      <w:fldChar w:fldCharType="begin"/>
    </w:r>
    <w:r w:rsidRPr="0044786A">
      <w:rPr>
        <w:noProof/>
        <w:sz w:val="16"/>
        <w:szCs w:val="16"/>
      </w:rPr>
      <w:instrText xml:space="preserve"> PAGE   \* MERGEFORMAT </w:instrText>
    </w:r>
    <w:r w:rsidRPr="0044786A">
      <w:rPr>
        <w:noProof/>
        <w:sz w:val="16"/>
        <w:szCs w:val="16"/>
      </w:rPr>
      <w:fldChar w:fldCharType="separate"/>
    </w:r>
    <w:r w:rsidR="00723887">
      <w:rPr>
        <w:noProof/>
        <w:sz w:val="16"/>
        <w:szCs w:val="16"/>
      </w:rPr>
      <w:t>1</w:t>
    </w:r>
    <w:r w:rsidRPr="0044786A">
      <w:rPr>
        <w:noProof/>
        <w:sz w:val="16"/>
        <w:szCs w:val="16"/>
      </w:rPr>
      <w:fldChar w:fldCharType="end"/>
    </w:r>
  </w:p>
  <w:p w:rsidR="00983FDF" w:rsidRPr="0044786A" w:rsidRDefault="00983FDF">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1F" w:rsidRPr="0044786A" w:rsidRDefault="00C8251F">
      <w:pPr>
        <w:rPr>
          <w:rFonts w:ascii="Cambria" w:hAnsi="Cambria" w:cs="Cambria"/>
          <w:noProof/>
          <w:sz w:val="16"/>
          <w:szCs w:val="16"/>
          <w:lang w:val="en-US"/>
        </w:rPr>
      </w:pPr>
      <w:r w:rsidRPr="0044786A">
        <w:rPr>
          <w:rFonts w:ascii="Cambria" w:hAnsi="Cambria" w:cs="Cambria"/>
          <w:noProof/>
          <w:sz w:val="16"/>
          <w:szCs w:val="16"/>
          <w:lang w:val="en-US"/>
        </w:rPr>
        <w:separator/>
      </w:r>
    </w:p>
  </w:footnote>
  <w:footnote w:type="continuationSeparator" w:id="0">
    <w:p w:rsidR="00C8251F" w:rsidRPr="0044786A" w:rsidRDefault="00C8251F" w:rsidP="000F35ED">
      <w:pPr>
        <w:rPr>
          <w:rFonts w:ascii="Cambria" w:hAnsi="Cambria" w:cs="Cambria"/>
          <w:noProof/>
          <w:sz w:val="16"/>
          <w:szCs w:val="16"/>
          <w:lang w:val="en-US"/>
        </w:rPr>
      </w:pPr>
      <w:r w:rsidRPr="0044786A">
        <w:rPr>
          <w:rFonts w:ascii="Cambria" w:hAnsi="Cambria" w:cs="Cambria"/>
          <w:noProof/>
          <w:sz w:val="16"/>
          <w:szCs w:val="16"/>
          <w:lang w:val="en-US"/>
        </w:rPr>
        <w:separator/>
      </w:r>
    </w:p>
    <w:p w:rsidR="00C8251F" w:rsidRPr="0044786A" w:rsidRDefault="00C8251F" w:rsidP="000F35ED">
      <w:pPr>
        <w:pStyle w:val="Footer"/>
        <w:rPr>
          <w:noProof/>
          <w:sz w:val="16"/>
          <w:szCs w:val="16"/>
        </w:rPr>
      </w:pPr>
      <w:r w:rsidRPr="0044786A">
        <w:rPr>
          <w:noProof/>
          <w:sz w:val="16"/>
          <w:szCs w:val="16"/>
        </w:rPr>
        <w:t>[… continuación]</w:t>
      </w:r>
    </w:p>
  </w:footnote>
  <w:footnote w:id="1">
    <w:p w:rsidR="008D3475" w:rsidRPr="008D3475" w:rsidRDefault="008D3475" w:rsidP="008D3475">
      <w:pPr>
        <w:pStyle w:val="FootnoteText"/>
        <w:spacing w:before="120"/>
        <w:ind w:firstLine="720"/>
        <w:jc w:val="both"/>
        <w:rPr>
          <w:rFonts w:ascii="Cambria" w:hAnsi="Cambria"/>
          <w:sz w:val="16"/>
          <w:szCs w:val="16"/>
        </w:rPr>
      </w:pPr>
      <w:r w:rsidRPr="008D3475">
        <w:rPr>
          <w:rStyle w:val="FootnoteReference"/>
          <w:rFonts w:ascii="Cambria" w:hAnsi="Cambria"/>
          <w:sz w:val="16"/>
          <w:szCs w:val="16"/>
          <w:lang w:val="en"/>
        </w:rPr>
        <w:footnoteRef/>
      </w:r>
      <w:r w:rsidRPr="008D3475">
        <w:rPr>
          <w:rFonts w:ascii="Cambria" w:hAnsi="Cambria"/>
          <w:sz w:val="16"/>
          <w:szCs w:val="16"/>
          <w:lang w:val="en"/>
        </w:rPr>
        <w:t xml:space="preserve"> The IACHR received comments from the petitioning party on the request for precautionary measures on March 18, June 25, November 11, and December 19, 2013; February 17, 2014; and December 4, 2015</w:t>
      </w:r>
      <w:r w:rsidR="00730A15">
        <w:rPr>
          <w:rFonts w:ascii="Cambria" w:hAnsi="Cambria"/>
          <w:sz w:val="16"/>
          <w:szCs w:val="16"/>
          <w:lang w:val="en"/>
        </w:rPr>
        <w:t xml:space="preserve">.  </w:t>
      </w:r>
      <w:r w:rsidRPr="008D3475">
        <w:rPr>
          <w:rFonts w:ascii="Cambria" w:hAnsi="Cambria"/>
          <w:sz w:val="16"/>
          <w:szCs w:val="16"/>
          <w:lang w:val="en"/>
        </w:rPr>
        <w:t>It also received comments from the State on the request for precautionary measures on December 21, 2012; January 7, March 13, October 2, and December 19, 2013; January 9, April 9, and October 1, 2014; and December 21, 2015</w:t>
      </w:r>
      <w:r w:rsidR="00730A15">
        <w:rPr>
          <w:rFonts w:ascii="Cambria" w:hAnsi="Cambria"/>
          <w:sz w:val="16"/>
          <w:szCs w:val="16"/>
          <w:lang w:val="en"/>
        </w:rPr>
        <w:t xml:space="preserve">.  </w:t>
      </w:r>
      <w:r w:rsidRPr="008D3475">
        <w:rPr>
          <w:rFonts w:ascii="Cambria" w:hAnsi="Cambria"/>
          <w:sz w:val="16"/>
          <w:szCs w:val="16"/>
          <w:lang w:val="en"/>
        </w:rPr>
        <w:t xml:space="preserve"> </w:t>
      </w:r>
    </w:p>
  </w:footnote>
  <w:footnote w:id="2">
    <w:p w:rsidR="008D3475" w:rsidRPr="008D3475" w:rsidRDefault="008D3475" w:rsidP="008D3475">
      <w:pPr>
        <w:pStyle w:val="FootnoteText"/>
        <w:spacing w:before="120"/>
        <w:ind w:firstLine="720"/>
        <w:jc w:val="both"/>
        <w:rPr>
          <w:rFonts w:ascii="Cambria" w:hAnsi="Cambria"/>
          <w:sz w:val="16"/>
          <w:szCs w:val="16"/>
        </w:rPr>
      </w:pPr>
      <w:r w:rsidRPr="008D3475">
        <w:rPr>
          <w:rStyle w:val="FootnoteReference"/>
          <w:rFonts w:ascii="Cambria" w:hAnsi="Cambria"/>
          <w:sz w:val="16"/>
          <w:szCs w:val="16"/>
          <w:lang w:val="en"/>
        </w:rPr>
        <w:footnoteRef/>
      </w:r>
      <w:r w:rsidRPr="008D3475">
        <w:rPr>
          <w:rFonts w:ascii="Cambria" w:hAnsi="Cambria"/>
          <w:sz w:val="16"/>
          <w:szCs w:val="16"/>
          <w:lang w:val="en"/>
        </w:rPr>
        <w:t xml:space="preserve"> IACHR, Indigenous and Tribal Peoples’ Rights over Their Ancestral Lands and Natural Resources: Norms and Jurisprudence of the Inter-American Human Rights System, OEA/Ser.L/V/II.Doc</w:t>
      </w:r>
      <w:r w:rsidR="00730A15">
        <w:rPr>
          <w:rFonts w:ascii="Cambria" w:hAnsi="Cambria"/>
          <w:sz w:val="16"/>
          <w:szCs w:val="16"/>
          <w:lang w:val="en"/>
        </w:rPr>
        <w:t xml:space="preserve">.  </w:t>
      </w:r>
      <w:r w:rsidRPr="008D3475">
        <w:rPr>
          <w:rFonts w:ascii="Cambria" w:hAnsi="Cambria"/>
          <w:sz w:val="16"/>
          <w:szCs w:val="16"/>
          <w:lang w:val="en"/>
        </w:rPr>
        <w:t>56/09, December 30, 2009, para</w:t>
      </w:r>
      <w:r w:rsidR="00730A15">
        <w:rPr>
          <w:rFonts w:ascii="Cambria" w:hAnsi="Cambria"/>
          <w:sz w:val="16"/>
          <w:szCs w:val="16"/>
          <w:lang w:val="en"/>
        </w:rPr>
        <w:t xml:space="preserve">.  </w:t>
      </w:r>
      <w:r w:rsidRPr="008D3475">
        <w:rPr>
          <w:rFonts w:ascii="Cambria" w:hAnsi="Cambria"/>
          <w:sz w:val="16"/>
          <w:szCs w:val="16"/>
          <w:lang w:val="en"/>
        </w:rPr>
        <w:t>365.</w:t>
      </w:r>
    </w:p>
  </w:footnote>
  <w:footnote w:id="3">
    <w:p w:rsidR="008D3475" w:rsidRPr="008D3475" w:rsidRDefault="008D3475" w:rsidP="008D3475">
      <w:pPr>
        <w:pStyle w:val="FootnoteText"/>
        <w:spacing w:before="120"/>
        <w:ind w:firstLine="720"/>
        <w:jc w:val="both"/>
        <w:rPr>
          <w:rFonts w:ascii="Cambria" w:hAnsi="Cambria"/>
          <w:sz w:val="16"/>
          <w:szCs w:val="16"/>
        </w:rPr>
      </w:pPr>
      <w:r w:rsidRPr="008D3475">
        <w:rPr>
          <w:rStyle w:val="FootnoteReference"/>
          <w:rFonts w:ascii="Cambria" w:hAnsi="Cambria"/>
          <w:sz w:val="16"/>
          <w:szCs w:val="16"/>
          <w:lang w:val="en"/>
        </w:rPr>
        <w:footnoteRef/>
      </w:r>
      <w:r w:rsidRPr="008D3475">
        <w:rPr>
          <w:rFonts w:ascii="Cambria" w:hAnsi="Cambria"/>
          <w:sz w:val="16"/>
          <w:szCs w:val="16"/>
          <w:lang w:val="en"/>
        </w:rPr>
        <w:t xml:space="preserve"> IACHR, Indigenous and Tribal Peoples’ Rights over Their Ancestral Lands and Natural Resources: Norms and Jurisprudence of the Inter-American Human Rights System, OEA/Ser.L/V/II.Doc</w:t>
      </w:r>
      <w:r w:rsidR="00730A15">
        <w:rPr>
          <w:rFonts w:ascii="Cambria" w:hAnsi="Cambria"/>
          <w:sz w:val="16"/>
          <w:szCs w:val="16"/>
          <w:lang w:val="en"/>
        </w:rPr>
        <w:t xml:space="preserve">.  </w:t>
      </w:r>
      <w:r w:rsidRPr="008D3475">
        <w:rPr>
          <w:rFonts w:ascii="Cambria" w:hAnsi="Cambria"/>
          <w:sz w:val="16"/>
          <w:szCs w:val="16"/>
          <w:lang w:val="en"/>
        </w:rPr>
        <w:t>56/09, December 30, 2009, para</w:t>
      </w:r>
      <w:r w:rsidR="00730A15">
        <w:rPr>
          <w:rFonts w:ascii="Cambria" w:hAnsi="Cambria"/>
          <w:sz w:val="16"/>
          <w:szCs w:val="16"/>
          <w:lang w:val="en"/>
        </w:rPr>
        <w:t xml:space="preserve">.  </w:t>
      </w:r>
      <w:r w:rsidRPr="008D3475">
        <w:rPr>
          <w:rFonts w:ascii="Cambria" w:hAnsi="Cambria"/>
          <w:sz w:val="16"/>
          <w:szCs w:val="16"/>
          <w:lang w:val="en"/>
        </w:rPr>
        <w:t>85.</w:t>
      </w:r>
    </w:p>
  </w:footnote>
  <w:footnote w:id="4">
    <w:p w:rsidR="008D3475" w:rsidRPr="008D3475" w:rsidRDefault="008D3475" w:rsidP="008D3475">
      <w:pPr>
        <w:pStyle w:val="FootnoteText"/>
        <w:spacing w:before="120"/>
        <w:ind w:firstLine="720"/>
        <w:jc w:val="both"/>
        <w:rPr>
          <w:rFonts w:ascii="Cambria" w:hAnsi="Cambria"/>
          <w:sz w:val="16"/>
          <w:szCs w:val="16"/>
        </w:rPr>
      </w:pPr>
      <w:r w:rsidRPr="008D3475">
        <w:rPr>
          <w:rStyle w:val="FootnoteReference"/>
          <w:rFonts w:ascii="Cambria" w:hAnsi="Cambria"/>
          <w:sz w:val="16"/>
          <w:szCs w:val="16"/>
          <w:lang w:val="en"/>
        </w:rPr>
        <w:footnoteRef/>
      </w:r>
      <w:r w:rsidRPr="008D3475">
        <w:rPr>
          <w:rFonts w:ascii="Cambria" w:hAnsi="Cambria"/>
          <w:sz w:val="16"/>
          <w:szCs w:val="16"/>
          <w:lang w:val="en"/>
        </w:rPr>
        <w:t>IACHR, Indigenous Peoples, Afro-Descendent Communities and Natural Resources: Human Rights Protection in the Context of Extraction, Exploitation, and Development Activities OEA/Ser.L/V/II.Doc</w:t>
      </w:r>
      <w:r w:rsidR="00730A15">
        <w:rPr>
          <w:rFonts w:ascii="Cambria" w:hAnsi="Cambria"/>
          <w:sz w:val="16"/>
          <w:szCs w:val="16"/>
          <w:lang w:val="en"/>
        </w:rPr>
        <w:t xml:space="preserve">.  </w:t>
      </w:r>
      <w:r w:rsidRPr="008D3475">
        <w:rPr>
          <w:rFonts w:ascii="Cambria" w:hAnsi="Cambria"/>
          <w:sz w:val="16"/>
          <w:szCs w:val="16"/>
          <w:lang w:val="en"/>
        </w:rPr>
        <w:t>47/15, December 31, 2015, paras</w:t>
      </w:r>
      <w:r w:rsidR="00730A15">
        <w:rPr>
          <w:rFonts w:ascii="Cambria" w:hAnsi="Cambria"/>
          <w:sz w:val="16"/>
          <w:szCs w:val="16"/>
          <w:lang w:val="en"/>
        </w:rPr>
        <w:t xml:space="preserve">.  </w:t>
      </w:r>
      <w:r w:rsidRPr="008D3475">
        <w:rPr>
          <w:rFonts w:ascii="Cambria" w:hAnsi="Cambria"/>
          <w:sz w:val="16"/>
          <w:szCs w:val="16"/>
          <w:lang w:val="en"/>
        </w:rPr>
        <w:t>108 and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87" w:rsidRDefault="00723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DF" w:rsidRPr="0044786A" w:rsidRDefault="00983FDF" w:rsidP="00A50FCF">
    <w:pPr>
      <w:pStyle w:val="Header"/>
      <w:tabs>
        <w:tab w:val="clear" w:pos="4320"/>
        <w:tab w:val="clear" w:pos="8640"/>
      </w:tabs>
      <w:jc w:val="center"/>
      <w:rPr>
        <w:rFonts w:cs="Times New Roman"/>
        <w:noProof/>
        <w:sz w:val="22"/>
        <w:szCs w:val="22"/>
        <w:lang w:val="en-US"/>
      </w:rPr>
    </w:pPr>
  </w:p>
  <w:p w:rsidR="00983FDF" w:rsidRPr="0044786A" w:rsidRDefault="00C8251F" w:rsidP="00A50FCF">
    <w:pPr>
      <w:pStyle w:val="Header"/>
      <w:tabs>
        <w:tab w:val="clear" w:pos="4320"/>
        <w:tab w:val="clear" w:pos="8640"/>
      </w:tabs>
      <w:jc w:val="center"/>
      <w:rPr>
        <w:rFonts w:cs="Times New Roman"/>
        <w:noProof/>
        <w:sz w:val="22"/>
        <w:szCs w:val="22"/>
        <w:lang w:val="en-US"/>
      </w:rPr>
    </w:pPr>
    <w:r>
      <w:rPr>
        <w:rFonts w:cs="Times New Roman"/>
        <w:noProof/>
        <w:sz w:val="22"/>
        <w:szCs w:val="22"/>
        <w:lang w:val="en-US"/>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87" w:rsidRDefault="007238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DF" w:rsidRPr="0044786A" w:rsidRDefault="008D3475" w:rsidP="00A50FCF">
    <w:pPr>
      <w:pStyle w:val="Header"/>
      <w:tabs>
        <w:tab w:val="clear" w:pos="4320"/>
        <w:tab w:val="clear" w:pos="8640"/>
      </w:tabs>
      <w:jc w:val="center"/>
      <w:rPr>
        <w:rFonts w:cs="Times New Roman"/>
        <w:noProof/>
        <w:sz w:val="22"/>
        <w:szCs w:val="22"/>
        <w:lang w:val="en-US"/>
      </w:rPr>
    </w:pPr>
    <w:r>
      <w:rPr>
        <w:rFonts w:cs="Times New Roman"/>
        <w:noProof/>
        <w:sz w:val="22"/>
        <w:szCs w:val="22"/>
        <w:lang w:val="en-US"/>
      </w:rPr>
      <w:drawing>
        <wp:inline distT="0" distB="0" distL="0" distR="0">
          <wp:extent cx="2130425" cy="112395"/>
          <wp:effectExtent l="0" t="0" r="3175" b="1905"/>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112395"/>
                  </a:xfrm>
                  <a:prstGeom prst="rect">
                    <a:avLst/>
                  </a:prstGeom>
                  <a:noFill/>
                  <a:ln>
                    <a:noFill/>
                  </a:ln>
                </pic:spPr>
              </pic:pic>
            </a:graphicData>
          </a:graphic>
        </wp:inline>
      </w:drawing>
    </w:r>
    <w:r w:rsidR="00C8251F">
      <w:rPr>
        <w:rFonts w:cs="Times New Roman"/>
        <w:noProof/>
        <w:sz w:val="22"/>
        <w:szCs w:val="22"/>
        <w:lang w:val="en-US"/>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firstLine="720"/>
      </w:pPr>
      <w:rPr>
        <w:rFonts w:ascii="Calibri" w:hAnsi="Calibri" w:cs="Calibri" w:hint="default"/>
        <w:b w:val="0"/>
        <w:bCs w:val="0"/>
        <w:i w:val="0"/>
        <w:iCs w:val="0"/>
        <w:color w:val="auto"/>
        <w:sz w:val="20"/>
        <w:szCs w:val="20"/>
      </w:rPr>
    </w:lvl>
    <w:lvl w:ilvl="1">
      <w:start w:val="2"/>
      <w:numFmt w:val="upperRoman"/>
      <w:lvlText w:val="%2."/>
      <w:lvlJc w:val="left"/>
      <w:pPr>
        <w:tabs>
          <w:tab w:val="num" w:pos="2520"/>
        </w:tabs>
        <w:ind w:left="2520" w:hanging="720"/>
      </w:pPr>
      <w:rPr>
        <w:i w:val="0"/>
        <w:iCs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5">
    <w:nsid w:val="0E1D2261"/>
    <w:multiLevelType w:val="hybridMultilevel"/>
    <w:tmpl w:val="C2B645A8"/>
    <w:lvl w:ilvl="0" w:tplc="BF688EB4">
      <w:start w:val="1"/>
      <w:numFmt w:val="decimal"/>
      <w:lvlText w:val="%1."/>
      <w:lvlJc w:val="left"/>
      <w:pPr>
        <w:tabs>
          <w:tab w:val="num" w:pos="720"/>
        </w:tabs>
        <w:ind w:firstLine="720"/>
      </w:pPr>
      <w:rPr>
        <w:rFonts w:hint="default"/>
        <w:i w:val="0"/>
        <w:iCs w:val="0"/>
        <w:vanish w:val="0"/>
        <w:color w:val="auto"/>
      </w:rPr>
    </w:lvl>
    <w:lvl w:ilvl="1" w:tplc="064CCE9C">
      <w:start w:val="1"/>
      <w:numFmt w:val="lowerLetter"/>
      <w:lvlText w:val="%2."/>
      <w:lvlJc w:val="left"/>
      <w:pPr>
        <w:tabs>
          <w:tab w:val="num" w:pos="1440"/>
        </w:tabs>
        <w:ind w:left="1440" w:hanging="360"/>
      </w:pPr>
    </w:lvl>
    <w:lvl w:ilvl="2" w:tplc="D3EC9042">
      <w:start w:val="1"/>
      <w:numFmt w:val="lowerRoman"/>
      <w:lvlText w:val="%3."/>
      <w:lvlJc w:val="right"/>
      <w:pPr>
        <w:tabs>
          <w:tab w:val="num" w:pos="2160"/>
        </w:tabs>
        <w:ind w:left="2160" w:hanging="180"/>
      </w:pPr>
    </w:lvl>
    <w:lvl w:ilvl="3" w:tplc="DA742E22">
      <w:start w:val="1"/>
      <w:numFmt w:val="decimal"/>
      <w:lvlText w:val="%4."/>
      <w:lvlJc w:val="left"/>
      <w:pPr>
        <w:tabs>
          <w:tab w:val="num" w:pos="2880"/>
        </w:tabs>
        <w:ind w:left="2880" w:hanging="360"/>
      </w:pPr>
    </w:lvl>
    <w:lvl w:ilvl="4" w:tplc="2CA8B604">
      <w:start w:val="1"/>
      <w:numFmt w:val="lowerLetter"/>
      <w:lvlText w:val="%5."/>
      <w:lvlJc w:val="left"/>
      <w:pPr>
        <w:tabs>
          <w:tab w:val="num" w:pos="3600"/>
        </w:tabs>
        <w:ind w:left="3600" w:hanging="360"/>
      </w:pPr>
    </w:lvl>
    <w:lvl w:ilvl="5" w:tplc="489283E8">
      <w:start w:val="1"/>
      <w:numFmt w:val="lowerRoman"/>
      <w:lvlText w:val="%6."/>
      <w:lvlJc w:val="right"/>
      <w:pPr>
        <w:tabs>
          <w:tab w:val="num" w:pos="4320"/>
        </w:tabs>
        <w:ind w:left="4320" w:hanging="180"/>
      </w:pPr>
    </w:lvl>
    <w:lvl w:ilvl="6" w:tplc="02305A44">
      <w:start w:val="1"/>
      <w:numFmt w:val="decimal"/>
      <w:lvlText w:val="%7."/>
      <w:lvlJc w:val="left"/>
      <w:pPr>
        <w:tabs>
          <w:tab w:val="num" w:pos="5040"/>
        </w:tabs>
        <w:ind w:left="5040" w:hanging="360"/>
      </w:pPr>
    </w:lvl>
    <w:lvl w:ilvl="7" w:tplc="4DC4BBE8">
      <w:start w:val="1"/>
      <w:numFmt w:val="lowerLetter"/>
      <w:lvlText w:val="%8."/>
      <w:lvlJc w:val="left"/>
      <w:pPr>
        <w:tabs>
          <w:tab w:val="num" w:pos="5760"/>
        </w:tabs>
        <w:ind w:left="5760" w:hanging="360"/>
      </w:pPr>
    </w:lvl>
    <w:lvl w:ilvl="8" w:tplc="2B56C64E">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decimal"/>
      <w:lvlText w:val="%1.%2."/>
      <w:lvlJc w:val="left"/>
      <w:pPr>
        <w:tabs>
          <w:tab w:val="num" w:pos="690"/>
        </w:tabs>
        <w:ind w:left="690" w:hanging="330"/>
      </w:pPr>
      <w:rPr>
        <w:rFonts w:ascii="Calibri" w:eastAsia="Times New Roman" w:hAnsi="Calibri"/>
        <w:b/>
        <w:bCs/>
        <w:color w:val="000000"/>
        <w:position w:val="0"/>
        <w:sz w:val="22"/>
        <w:szCs w:val="22"/>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1">
    <w:nsid w:val="1EC402F6"/>
    <w:multiLevelType w:val="hybridMultilevel"/>
    <w:tmpl w:val="2E642F0C"/>
    <w:lvl w:ilvl="0" w:tplc="4BF0AEB2">
      <w:start w:val="2"/>
      <w:numFmt w:val="upperLetter"/>
      <w:lvlText w:val="%1."/>
      <w:lvlJc w:val="left"/>
      <w:pPr>
        <w:tabs>
          <w:tab w:val="num" w:pos="1440"/>
        </w:tabs>
        <w:ind w:left="1440" w:hanging="720"/>
      </w:pPr>
      <w:rPr>
        <w:rFonts w:hint="default"/>
        <w:vanish w:val="0"/>
      </w:rPr>
    </w:lvl>
    <w:lvl w:ilvl="1" w:tplc="83C0CF5E">
      <w:start w:val="1"/>
      <w:numFmt w:val="decimal"/>
      <w:lvlText w:val="%2."/>
      <w:lvlJc w:val="left"/>
      <w:pPr>
        <w:tabs>
          <w:tab w:val="num" w:pos="1800"/>
        </w:tabs>
        <w:ind w:left="1800" w:hanging="360"/>
      </w:pPr>
      <w:rPr>
        <w:rFonts w:hint="default"/>
        <w:vanish w:val="0"/>
        <w:sz w:val="20"/>
        <w:szCs w:val="20"/>
      </w:rPr>
    </w:lvl>
    <w:lvl w:ilvl="2" w:tplc="815630D0">
      <w:start w:val="1"/>
      <w:numFmt w:val="lowerRoman"/>
      <w:lvlText w:val="%3."/>
      <w:lvlJc w:val="right"/>
      <w:pPr>
        <w:tabs>
          <w:tab w:val="num" w:pos="2520"/>
        </w:tabs>
        <w:ind w:left="2520" w:hanging="180"/>
      </w:pPr>
    </w:lvl>
    <w:lvl w:ilvl="3" w:tplc="12E40B46">
      <w:start w:val="1"/>
      <w:numFmt w:val="decimal"/>
      <w:lvlText w:val="%4."/>
      <w:lvlJc w:val="left"/>
      <w:pPr>
        <w:tabs>
          <w:tab w:val="num" w:pos="3240"/>
        </w:tabs>
        <w:ind w:left="3240" w:hanging="360"/>
      </w:pPr>
    </w:lvl>
    <w:lvl w:ilvl="4" w:tplc="C9925D44">
      <w:start w:val="1"/>
      <w:numFmt w:val="lowerLetter"/>
      <w:lvlText w:val="%5."/>
      <w:lvlJc w:val="left"/>
      <w:pPr>
        <w:tabs>
          <w:tab w:val="num" w:pos="3960"/>
        </w:tabs>
        <w:ind w:left="3960" w:hanging="360"/>
      </w:pPr>
    </w:lvl>
    <w:lvl w:ilvl="5" w:tplc="648E03E0">
      <w:start w:val="1"/>
      <w:numFmt w:val="lowerRoman"/>
      <w:lvlText w:val="%6."/>
      <w:lvlJc w:val="right"/>
      <w:pPr>
        <w:tabs>
          <w:tab w:val="num" w:pos="4680"/>
        </w:tabs>
        <w:ind w:left="4680" w:hanging="180"/>
      </w:pPr>
    </w:lvl>
    <w:lvl w:ilvl="6" w:tplc="1CE25674">
      <w:start w:val="1"/>
      <w:numFmt w:val="decimal"/>
      <w:lvlText w:val="%7."/>
      <w:lvlJc w:val="left"/>
      <w:pPr>
        <w:tabs>
          <w:tab w:val="num" w:pos="5400"/>
        </w:tabs>
        <w:ind w:left="5400" w:hanging="360"/>
      </w:pPr>
    </w:lvl>
    <w:lvl w:ilvl="7" w:tplc="185A7A96">
      <w:start w:val="1"/>
      <w:numFmt w:val="lowerLetter"/>
      <w:lvlText w:val="%8."/>
      <w:lvlJc w:val="left"/>
      <w:pPr>
        <w:tabs>
          <w:tab w:val="num" w:pos="6120"/>
        </w:tabs>
        <w:ind w:left="6120" w:hanging="360"/>
      </w:pPr>
    </w:lvl>
    <w:lvl w:ilvl="8" w:tplc="6346E056">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olor w:val="000000"/>
        <w:position w:val="0"/>
        <w:sz w:val="22"/>
        <w:szCs w:val="22"/>
      </w:rPr>
    </w:lvl>
    <w:lvl w:ilvl="1">
      <w:start w:val="1"/>
      <w:numFmt w:val="lowerLetter"/>
      <w:lvlText w:val="%2."/>
      <w:lvlJc w:val="left"/>
      <w:pPr>
        <w:tabs>
          <w:tab w:val="num" w:pos="1440"/>
        </w:tabs>
        <w:ind w:left="1440" w:hanging="360"/>
      </w:pPr>
      <w:rPr>
        <w:rFonts w:ascii="Trebuchet MS" w:eastAsia="Times New Roman" w:hAnsi="Trebuchet M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color w:val="000000"/>
        <w:position w:val="0"/>
        <w:sz w:val="22"/>
        <w:szCs w:val="22"/>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bullet"/>
      <w:lvlText w:val="•"/>
      <w:lvlJc w:val="left"/>
      <w:pPr>
        <w:tabs>
          <w:tab w:val="num" w:pos="1740"/>
        </w:tabs>
        <w:ind w:left="1740" w:hanging="66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770"/>
        </w:tabs>
        <w:ind w:left="177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495"/>
        </w:tabs>
        <w:ind w:left="2495" w:hanging="271"/>
      </w:pPr>
      <w:rPr>
        <w:rFonts w:ascii="Calibri" w:eastAsia="Times New Roman" w:hAnsi="Calibri"/>
        <w:b/>
        <w:bCs/>
        <w:color w:val="000000"/>
        <w:position w:val="0"/>
        <w:sz w:val="22"/>
        <w:szCs w:val="22"/>
        <w:u w:val="single"/>
      </w:rPr>
    </w:lvl>
    <w:lvl w:ilvl="3">
      <w:start w:val="1"/>
      <w:numFmt w:val="decimal"/>
      <w:lvlText w:val="%4."/>
      <w:lvlJc w:val="left"/>
      <w:pPr>
        <w:tabs>
          <w:tab w:val="num" w:pos="3210"/>
        </w:tabs>
        <w:ind w:left="321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930"/>
        </w:tabs>
        <w:ind w:left="393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655"/>
        </w:tabs>
        <w:ind w:left="465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370"/>
        </w:tabs>
        <w:ind w:left="537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6090"/>
        </w:tabs>
        <w:ind w:left="609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815"/>
        </w:tabs>
        <w:ind w:left="6815" w:hanging="271"/>
      </w:pPr>
      <w:rPr>
        <w:rFonts w:ascii="Calibri" w:eastAsia="Times New Roman" w:hAnsi="Calibri"/>
        <w:b/>
        <w:bCs/>
        <w:color w:val="000000"/>
        <w:position w:val="0"/>
        <w:sz w:val="22"/>
        <w:szCs w:val="22"/>
        <w:u w:val="single"/>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720"/>
        </w:tabs>
        <w:ind w:left="720" w:hanging="360"/>
      </w:pPr>
      <w:rPr>
        <w:rFonts w:ascii="Trebuchet MS" w:eastAsia="Times New Roman" w:hAnsi="Trebuchet MS"/>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b/>
        <w:bCs/>
        <w:color w:val="000000"/>
        <w:position w:val="0"/>
        <w:sz w:val="22"/>
        <w:szCs w:val="22"/>
        <w:u w:val="single"/>
      </w:rPr>
    </w:lvl>
    <w:lvl w:ilvl="1">
      <w:start w:val="2"/>
      <w:numFmt w:val="decimal"/>
      <w:lvlText w:val="%1.%2."/>
      <w:lvlJc w:val="left"/>
      <w:pPr>
        <w:tabs>
          <w:tab w:val="num" w:pos="720"/>
        </w:tabs>
        <w:ind w:left="720" w:hanging="360"/>
      </w:pPr>
      <w:rPr>
        <w:rFonts w:ascii="Trebuchet MS" w:eastAsia="Times New Roman" w:hAnsi="Trebuchet MS"/>
        <w:b/>
        <w:bCs/>
        <w:color w:val="000000"/>
        <w:position w:val="0"/>
        <w:sz w:val="22"/>
        <w:szCs w:val="22"/>
        <w:u w:val="single"/>
      </w:rPr>
    </w:lvl>
    <w:lvl w:ilvl="2">
      <w:start w:val="1"/>
      <w:numFmt w:val="decimal"/>
      <w:lvlText w:val="%1.%2.%3."/>
      <w:lvlJc w:val="left"/>
      <w:pPr>
        <w:tabs>
          <w:tab w:val="num" w:pos="1020"/>
        </w:tabs>
        <w:ind w:left="1020" w:hanging="660"/>
      </w:pPr>
      <w:rPr>
        <w:rFonts w:ascii="Calibri" w:eastAsia="Times New Roman" w:hAnsi="Calibri"/>
        <w:b/>
        <w:bCs/>
        <w:color w:val="000000"/>
        <w:position w:val="0"/>
        <w:sz w:val="22"/>
        <w:szCs w:val="22"/>
        <w:u w:val="single"/>
      </w:rPr>
    </w:lvl>
    <w:lvl w:ilvl="3">
      <w:start w:val="1"/>
      <w:numFmt w:val="decimal"/>
      <w:lvlText w:val="%1.%2.%3.%4."/>
      <w:lvlJc w:val="left"/>
      <w:pPr>
        <w:tabs>
          <w:tab w:val="num" w:pos="1020"/>
        </w:tabs>
        <w:ind w:left="1020" w:hanging="660"/>
      </w:pPr>
      <w:rPr>
        <w:rFonts w:ascii="Calibri" w:eastAsia="Times New Roman" w:hAnsi="Calibri"/>
        <w:b/>
        <w:bCs/>
        <w:color w:val="000000"/>
        <w:position w:val="0"/>
        <w:sz w:val="22"/>
        <w:szCs w:val="22"/>
        <w:u w:val="single"/>
      </w:rPr>
    </w:lvl>
    <w:lvl w:ilvl="4">
      <w:start w:val="1"/>
      <w:numFmt w:val="decimal"/>
      <w:lvlText w:val="%1.%2.%3.%4.%5."/>
      <w:lvlJc w:val="left"/>
      <w:pPr>
        <w:tabs>
          <w:tab w:val="num" w:pos="1350"/>
        </w:tabs>
        <w:ind w:left="1350" w:hanging="990"/>
      </w:pPr>
      <w:rPr>
        <w:rFonts w:ascii="Calibri" w:eastAsia="Times New Roman" w:hAnsi="Calibri"/>
        <w:b/>
        <w:bCs/>
        <w:color w:val="000000"/>
        <w:position w:val="0"/>
        <w:sz w:val="22"/>
        <w:szCs w:val="22"/>
        <w:u w:val="single"/>
      </w:rPr>
    </w:lvl>
    <w:lvl w:ilvl="5">
      <w:start w:val="1"/>
      <w:numFmt w:val="decimal"/>
      <w:lvlText w:val="%1.%2.%3.%4.%5.%6."/>
      <w:lvlJc w:val="left"/>
      <w:pPr>
        <w:tabs>
          <w:tab w:val="num" w:pos="1350"/>
        </w:tabs>
        <w:ind w:left="1350" w:hanging="990"/>
      </w:pPr>
      <w:rPr>
        <w:rFonts w:ascii="Calibri" w:eastAsia="Times New Roman" w:hAnsi="Calibri"/>
        <w:b/>
        <w:bCs/>
        <w:color w:val="000000"/>
        <w:position w:val="0"/>
        <w:sz w:val="22"/>
        <w:szCs w:val="22"/>
        <w:u w:val="single"/>
      </w:rPr>
    </w:lvl>
    <w:lvl w:ilvl="6">
      <w:start w:val="1"/>
      <w:numFmt w:val="decimal"/>
      <w:lvlText w:val="%1.%2.%3.%4.%5.%6.%7."/>
      <w:lvlJc w:val="left"/>
      <w:pPr>
        <w:tabs>
          <w:tab w:val="num" w:pos="1680"/>
        </w:tabs>
        <w:ind w:left="1680" w:hanging="1320"/>
      </w:pPr>
      <w:rPr>
        <w:rFonts w:ascii="Calibri" w:eastAsia="Times New Roman" w:hAnsi="Calibri"/>
        <w:b/>
        <w:bCs/>
        <w:color w:val="000000"/>
        <w:position w:val="0"/>
        <w:sz w:val="22"/>
        <w:szCs w:val="22"/>
        <w:u w:val="single"/>
      </w:rPr>
    </w:lvl>
    <w:lvl w:ilvl="7">
      <w:start w:val="1"/>
      <w:numFmt w:val="decimal"/>
      <w:lvlText w:val="%1.%2.%3.%4.%5.%6.%7.%8."/>
      <w:lvlJc w:val="left"/>
      <w:pPr>
        <w:tabs>
          <w:tab w:val="num" w:pos="1680"/>
        </w:tabs>
        <w:ind w:left="1680" w:hanging="1320"/>
      </w:pPr>
      <w:rPr>
        <w:rFonts w:ascii="Calibri" w:eastAsia="Times New Roman" w:hAnsi="Calibri"/>
        <w:b/>
        <w:bCs/>
        <w:color w:val="000000"/>
        <w:position w:val="0"/>
        <w:sz w:val="22"/>
        <w:szCs w:val="22"/>
        <w:u w:val="single"/>
      </w:rPr>
    </w:lvl>
    <w:lvl w:ilvl="8">
      <w:start w:val="1"/>
      <w:numFmt w:val="decimal"/>
      <w:lvlText w:val="%1.%2.%3.%4.%5.%6.%7.%8.%9."/>
      <w:lvlJc w:val="left"/>
      <w:pPr>
        <w:tabs>
          <w:tab w:val="num" w:pos="2010"/>
        </w:tabs>
        <w:ind w:left="2010" w:hanging="1650"/>
      </w:pPr>
      <w:rPr>
        <w:rFonts w:ascii="Calibri" w:eastAsia="Times New Roman" w:hAnsi="Calibri"/>
        <w:b/>
        <w:bCs/>
        <w:color w:val="000000"/>
        <w:position w:val="0"/>
        <w:sz w:val="22"/>
        <w:szCs w:val="22"/>
        <w:u w:val="single"/>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690"/>
        </w:tabs>
        <w:ind w:left="69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48">
    <w:nsid w:val="70786ED7"/>
    <w:multiLevelType w:val="hybridMultilevel"/>
    <w:tmpl w:val="0004DB54"/>
    <w:lvl w:ilvl="0" w:tplc="DFC8AEB2">
      <w:start w:val="1"/>
      <w:numFmt w:val="upperRoman"/>
      <w:pStyle w:val="Heading1"/>
      <w:lvlText w:val="%1."/>
      <w:lvlJc w:val="left"/>
      <w:pPr>
        <w:ind w:left="720" w:hanging="360"/>
      </w:pPr>
      <w:rPr>
        <w:rFonts w:hint="default"/>
      </w:rPr>
    </w:lvl>
    <w:lvl w:ilvl="1" w:tplc="86364B0A">
      <w:start w:val="1"/>
      <w:numFmt w:val="lowerLetter"/>
      <w:lvlText w:val="%2."/>
      <w:lvlJc w:val="left"/>
      <w:pPr>
        <w:ind w:left="1440" w:hanging="360"/>
      </w:pPr>
    </w:lvl>
    <w:lvl w:ilvl="2" w:tplc="36B8780E">
      <w:start w:val="1"/>
      <w:numFmt w:val="lowerRoman"/>
      <w:lvlText w:val="%3."/>
      <w:lvlJc w:val="right"/>
      <w:pPr>
        <w:ind w:left="2160" w:hanging="180"/>
      </w:pPr>
    </w:lvl>
    <w:lvl w:ilvl="3" w:tplc="1E8AE23C">
      <w:start w:val="1"/>
      <w:numFmt w:val="decimal"/>
      <w:lvlText w:val="%4."/>
      <w:lvlJc w:val="left"/>
      <w:pPr>
        <w:ind w:left="2880" w:hanging="360"/>
      </w:pPr>
    </w:lvl>
    <w:lvl w:ilvl="4" w:tplc="B8FE96E6">
      <w:start w:val="1"/>
      <w:numFmt w:val="lowerLetter"/>
      <w:lvlText w:val="%5."/>
      <w:lvlJc w:val="left"/>
      <w:pPr>
        <w:ind w:left="3600" w:hanging="360"/>
      </w:pPr>
    </w:lvl>
    <w:lvl w:ilvl="5" w:tplc="61FA207A">
      <w:start w:val="1"/>
      <w:numFmt w:val="lowerRoman"/>
      <w:lvlText w:val="%6."/>
      <w:lvlJc w:val="right"/>
      <w:pPr>
        <w:ind w:left="4320" w:hanging="180"/>
      </w:pPr>
    </w:lvl>
    <w:lvl w:ilvl="6" w:tplc="3E464E52">
      <w:start w:val="1"/>
      <w:numFmt w:val="decimal"/>
      <w:lvlText w:val="%7."/>
      <w:lvlJc w:val="left"/>
      <w:pPr>
        <w:ind w:left="5040" w:hanging="360"/>
      </w:pPr>
    </w:lvl>
    <w:lvl w:ilvl="7" w:tplc="19F42540">
      <w:start w:val="1"/>
      <w:numFmt w:val="lowerLetter"/>
      <w:lvlText w:val="%8."/>
      <w:lvlJc w:val="left"/>
      <w:pPr>
        <w:ind w:left="5760" w:hanging="360"/>
      </w:pPr>
    </w:lvl>
    <w:lvl w:ilvl="8" w:tplc="61E024FC">
      <w:start w:val="1"/>
      <w:numFmt w:val="lowerRoman"/>
      <w:lvlText w:val="%9."/>
      <w:lvlJc w:val="right"/>
      <w:pPr>
        <w:ind w:left="6480" w:hanging="180"/>
      </w:pPr>
    </w:lvl>
  </w:abstractNum>
  <w:abstractNum w:abstractNumId="4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bCs/>
        <w:color w:val="000000"/>
        <w:position w:val="0"/>
        <w:sz w:val="24"/>
        <w:szCs w:val="24"/>
      </w:rPr>
    </w:lvl>
    <w:lvl w:ilvl="1">
      <w:start w:val="1"/>
      <w:numFmt w:val="bullet"/>
      <w:lvlText w:val="o"/>
      <w:lvlJc w:val="left"/>
      <w:pPr>
        <w:tabs>
          <w:tab w:val="num" w:pos="1410"/>
        </w:tabs>
        <w:ind w:left="1410" w:hanging="330"/>
      </w:pPr>
      <w:rPr>
        <w:rFonts w:ascii="Calibri" w:eastAsia="Times New Roman" w:hAnsi="Calibri"/>
        <w:b/>
        <w:bCs/>
        <w:color w:val="000000"/>
        <w:position w:val="0"/>
        <w:sz w:val="22"/>
        <w:szCs w:val="22"/>
      </w:rPr>
    </w:lvl>
    <w:lvl w:ilvl="2">
      <w:start w:val="1"/>
      <w:numFmt w:val="bullet"/>
      <w:lvlText w:val="▪"/>
      <w:lvlJc w:val="left"/>
      <w:pPr>
        <w:tabs>
          <w:tab w:val="num" w:pos="2130"/>
        </w:tabs>
        <w:ind w:left="2130" w:hanging="330"/>
      </w:pPr>
      <w:rPr>
        <w:rFonts w:ascii="Calibri" w:eastAsia="Times New Roman" w:hAnsi="Calibri"/>
        <w:b/>
        <w:bCs/>
        <w:color w:val="000000"/>
        <w:position w:val="0"/>
        <w:sz w:val="22"/>
        <w:szCs w:val="22"/>
      </w:rPr>
    </w:lvl>
    <w:lvl w:ilvl="3">
      <w:start w:val="1"/>
      <w:numFmt w:val="bullet"/>
      <w:lvlText w:val="•"/>
      <w:lvlJc w:val="left"/>
      <w:pPr>
        <w:tabs>
          <w:tab w:val="num" w:pos="2850"/>
        </w:tabs>
        <w:ind w:left="2850" w:hanging="330"/>
      </w:pPr>
      <w:rPr>
        <w:rFonts w:ascii="Calibri" w:eastAsia="Times New Roman" w:hAnsi="Calibri"/>
        <w:b/>
        <w:bCs/>
        <w:color w:val="000000"/>
        <w:position w:val="0"/>
        <w:sz w:val="22"/>
        <w:szCs w:val="22"/>
      </w:rPr>
    </w:lvl>
    <w:lvl w:ilvl="4">
      <w:start w:val="1"/>
      <w:numFmt w:val="bullet"/>
      <w:lvlText w:val="o"/>
      <w:lvlJc w:val="left"/>
      <w:pPr>
        <w:tabs>
          <w:tab w:val="num" w:pos="3570"/>
        </w:tabs>
        <w:ind w:left="3570" w:hanging="330"/>
      </w:pPr>
      <w:rPr>
        <w:rFonts w:ascii="Calibri" w:eastAsia="Times New Roman" w:hAnsi="Calibri"/>
        <w:b/>
        <w:bCs/>
        <w:color w:val="000000"/>
        <w:position w:val="0"/>
        <w:sz w:val="22"/>
        <w:szCs w:val="22"/>
      </w:rPr>
    </w:lvl>
    <w:lvl w:ilvl="5">
      <w:start w:val="1"/>
      <w:numFmt w:val="bullet"/>
      <w:lvlText w:val="▪"/>
      <w:lvlJc w:val="left"/>
      <w:pPr>
        <w:tabs>
          <w:tab w:val="num" w:pos="4290"/>
        </w:tabs>
        <w:ind w:left="4290" w:hanging="330"/>
      </w:pPr>
      <w:rPr>
        <w:rFonts w:ascii="Calibri" w:eastAsia="Times New Roman" w:hAnsi="Calibri"/>
        <w:b/>
        <w:bCs/>
        <w:color w:val="000000"/>
        <w:position w:val="0"/>
        <w:sz w:val="22"/>
        <w:szCs w:val="22"/>
      </w:rPr>
    </w:lvl>
    <w:lvl w:ilvl="6">
      <w:start w:val="1"/>
      <w:numFmt w:val="bullet"/>
      <w:lvlText w:val="•"/>
      <w:lvlJc w:val="left"/>
      <w:pPr>
        <w:tabs>
          <w:tab w:val="num" w:pos="5010"/>
        </w:tabs>
        <w:ind w:left="5010" w:hanging="330"/>
      </w:pPr>
      <w:rPr>
        <w:rFonts w:ascii="Calibri" w:eastAsia="Times New Roman" w:hAnsi="Calibri"/>
        <w:b/>
        <w:bCs/>
        <w:color w:val="000000"/>
        <w:position w:val="0"/>
        <w:sz w:val="22"/>
        <w:szCs w:val="22"/>
      </w:rPr>
    </w:lvl>
    <w:lvl w:ilvl="7">
      <w:start w:val="1"/>
      <w:numFmt w:val="bullet"/>
      <w:lvlText w:val="o"/>
      <w:lvlJc w:val="left"/>
      <w:pPr>
        <w:tabs>
          <w:tab w:val="num" w:pos="5730"/>
        </w:tabs>
        <w:ind w:left="5730" w:hanging="330"/>
      </w:pPr>
      <w:rPr>
        <w:rFonts w:ascii="Calibri" w:eastAsia="Times New Roman" w:hAnsi="Calibri"/>
        <w:b/>
        <w:bCs/>
        <w:color w:val="000000"/>
        <w:position w:val="0"/>
        <w:sz w:val="22"/>
        <w:szCs w:val="22"/>
      </w:rPr>
    </w:lvl>
    <w:lvl w:ilvl="8">
      <w:start w:val="1"/>
      <w:numFmt w:val="bullet"/>
      <w:lvlText w:val="▪"/>
      <w:lvlJc w:val="left"/>
      <w:pPr>
        <w:tabs>
          <w:tab w:val="num" w:pos="6450"/>
        </w:tabs>
        <w:ind w:left="6450" w:hanging="330"/>
      </w:pPr>
      <w:rPr>
        <w:rFonts w:ascii="Calibri" w:eastAsia="Times New Roman" w:hAnsi="Calibri"/>
        <w:b/>
        <w:bCs/>
        <w:color w:val="000000"/>
        <w:position w:val="0"/>
        <w:sz w:val="22"/>
        <w:szCs w:val="22"/>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olor w:val="000000"/>
        <w:position w:val="0"/>
        <w:sz w:val="22"/>
        <w:szCs w:val="22"/>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b/>
        <w:bCs/>
        <w:color w:val="000000"/>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b/>
        <w:bCs/>
        <w:color w:val="000000"/>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b/>
        <w:bCs/>
        <w:color w:val="000000"/>
        <w:position w:val="0"/>
        <w:sz w:val="22"/>
        <w:szCs w:val="22"/>
        <w:u w:val="single"/>
      </w:rPr>
    </w:lvl>
    <w:lvl w:ilvl="3">
      <w:start w:val="1"/>
      <w:numFmt w:val="decimal"/>
      <w:lvlText w:val="%4."/>
      <w:lvlJc w:val="left"/>
      <w:pPr>
        <w:tabs>
          <w:tab w:val="num" w:pos="2850"/>
        </w:tabs>
        <w:ind w:left="2850" w:hanging="330"/>
      </w:pPr>
      <w:rPr>
        <w:rFonts w:ascii="Calibri" w:eastAsia="Times New Roman" w:hAnsi="Calibri"/>
        <w:b/>
        <w:bCs/>
        <w:color w:val="000000"/>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b/>
        <w:bCs/>
        <w:color w:val="000000"/>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b/>
        <w:bCs/>
        <w:color w:val="000000"/>
        <w:position w:val="0"/>
        <w:sz w:val="22"/>
        <w:szCs w:val="22"/>
        <w:u w:val="single"/>
      </w:rPr>
    </w:lvl>
    <w:lvl w:ilvl="6">
      <w:start w:val="1"/>
      <w:numFmt w:val="decimal"/>
      <w:lvlText w:val="%7."/>
      <w:lvlJc w:val="left"/>
      <w:pPr>
        <w:tabs>
          <w:tab w:val="num" w:pos="5010"/>
        </w:tabs>
        <w:ind w:left="5010" w:hanging="330"/>
      </w:pPr>
      <w:rPr>
        <w:rFonts w:ascii="Calibri" w:eastAsia="Times New Roman" w:hAnsi="Calibri"/>
        <w:b/>
        <w:bCs/>
        <w:color w:val="000000"/>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b/>
        <w:bCs/>
        <w:color w:val="000000"/>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b/>
        <w:bCs/>
        <w:color w:val="000000"/>
        <w:position w:val="0"/>
        <w:sz w:val="22"/>
        <w:szCs w:val="22"/>
        <w:u w:val="single"/>
      </w:rPr>
    </w:lvl>
  </w:abstractNum>
  <w:num w:numId="1">
    <w:abstractNumId w:val="4"/>
  </w:num>
  <w:num w:numId="2">
    <w:abstractNumId w:val="6"/>
  </w:num>
  <w:num w:numId="3">
    <w:abstractNumId w:val="51"/>
  </w:num>
  <w:num w:numId="4">
    <w:abstractNumId w:val="22"/>
  </w:num>
  <w:num w:numId="5">
    <w:abstractNumId w:val="45"/>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1"/>
  </w:num>
  <w:num w:numId="52">
    <w:abstractNumId w:val="40"/>
  </w:num>
  <w:num w:numId="53">
    <w:abstractNumId w:val="48"/>
  </w:num>
  <w:num w:numId="54">
    <w:abstractNumId w:val="43"/>
  </w:num>
  <w:num w:numId="55">
    <w:abstractNumId w:val="5"/>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B3"/>
    <w:rsid w:val="00012ABE"/>
    <w:rsid w:val="000402D6"/>
    <w:rsid w:val="000F35ED"/>
    <w:rsid w:val="00106B52"/>
    <w:rsid w:val="00141902"/>
    <w:rsid w:val="00146956"/>
    <w:rsid w:val="001A5265"/>
    <w:rsid w:val="001A77D4"/>
    <w:rsid w:val="001E5F17"/>
    <w:rsid w:val="002477B4"/>
    <w:rsid w:val="00277AD8"/>
    <w:rsid w:val="00301F41"/>
    <w:rsid w:val="0037731A"/>
    <w:rsid w:val="003C180F"/>
    <w:rsid w:val="003D3232"/>
    <w:rsid w:val="003E28A6"/>
    <w:rsid w:val="004331FF"/>
    <w:rsid w:val="0044786A"/>
    <w:rsid w:val="00482645"/>
    <w:rsid w:val="005049F7"/>
    <w:rsid w:val="00506E0C"/>
    <w:rsid w:val="00536152"/>
    <w:rsid w:val="00560F3A"/>
    <w:rsid w:val="00586B09"/>
    <w:rsid w:val="005C0B50"/>
    <w:rsid w:val="005C49FB"/>
    <w:rsid w:val="0060781D"/>
    <w:rsid w:val="0062675E"/>
    <w:rsid w:val="0063470D"/>
    <w:rsid w:val="00723887"/>
    <w:rsid w:val="00730A15"/>
    <w:rsid w:val="007B55CA"/>
    <w:rsid w:val="007D4401"/>
    <w:rsid w:val="008136F5"/>
    <w:rsid w:val="00860C0A"/>
    <w:rsid w:val="008752DE"/>
    <w:rsid w:val="008B49DF"/>
    <w:rsid w:val="008B4CE0"/>
    <w:rsid w:val="008D3475"/>
    <w:rsid w:val="008F3416"/>
    <w:rsid w:val="009271B3"/>
    <w:rsid w:val="00934A2C"/>
    <w:rsid w:val="009804E7"/>
    <w:rsid w:val="00983FDF"/>
    <w:rsid w:val="009E0E84"/>
    <w:rsid w:val="00A35CC4"/>
    <w:rsid w:val="00A50FCF"/>
    <w:rsid w:val="00AA650A"/>
    <w:rsid w:val="00AF4ADF"/>
    <w:rsid w:val="00B93038"/>
    <w:rsid w:val="00BC5DD0"/>
    <w:rsid w:val="00BF203A"/>
    <w:rsid w:val="00C054DF"/>
    <w:rsid w:val="00C66A73"/>
    <w:rsid w:val="00C74253"/>
    <w:rsid w:val="00C8251F"/>
    <w:rsid w:val="00CB5E3D"/>
    <w:rsid w:val="00CC0E89"/>
    <w:rsid w:val="00D7418D"/>
    <w:rsid w:val="00D825FF"/>
    <w:rsid w:val="00DE7A18"/>
    <w:rsid w:val="00E23DC4"/>
    <w:rsid w:val="00E77C4C"/>
    <w:rsid w:val="00EB2356"/>
    <w:rsid w:val="00EE3599"/>
    <w:rsid w:val="00F02B62"/>
    <w:rsid w:val="00F30646"/>
    <w:rsid w:val="00F72101"/>
    <w:rsid w:val="00FB5872"/>
    <w:rsid w:val="00FF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0F"/>
    <w:rPr>
      <w:sz w:val="24"/>
      <w:szCs w:val="24"/>
      <w:lang w:val="es-ES"/>
    </w:rPr>
  </w:style>
  <w:style w:type="paragraph" w:styleId="Heading1">
    <w:name w:val="heading 1"/>
    <w:basedOn w:val="Normal"/>
    <w:next w:val="Normal"/>
    <w:link w:val="Heading1Char"/>
    <w:uiPriority w:val="99"/>
    <w:qFormat/>
    <w:rsid w:val="003C180F"/>
    <w:pPr>
      <w:keepNext/>
      <w:keepLines/>
      <w:numPr>
        <w:numId w:val="53"/>
      </w:numPr>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3C180F"/>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3C180F"/>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180F"/>
    <w:rPr>
      <w:rFonts w:ascii="Cambria" w:hAnsi="Cambria" w:cs="Cambria"/>
      <w:b/>
      <w:bCs/>
      <w:color w:val="365F91"/>
      <w:sz w:val="28"/>
      <w:szCs w:val="28"/>
      <w:lang w:val="es-ES" w:eastAsia="en-US"/>
    </w:rPr>
  </w:style>
  <w:style w:type="character" w:customStyle="1" w:styleId="Heading2Char">
    <w:name w:val="Heading 2 Char"/>
    <w:link w:val="Heading2"/>
    <w:uiPriority w:val="99"/>
    <w:locked/>
    <w:rsid w:val="003C180F"/>
    <w:rPr>
      <w:rFonts w:ascii="Arial" w:hAnsi="Arial" w:cs="Arial"/>
      <w:b/>
      <w:bCs/>
      <w:i/>
      <w:iCs/>
      <w:sz w:val="28"/>
      <w:szCs w:val="28"/>
      <w:lang w:val="en-US" w:eastAsia="en-US"/>
    </w:rPr>
  </w:style>
  <w:style w:type="character" w:customStyle="1" w:styleId="Heading3Char">
    <w:name w:val="Heading 3 Char"/>
    <w:link w:val="Heading3"/>
    <w:uiPriority w:val="99"/>
    <w:locked/>
    <w:rsid w:val="003C180F"/>
    <w:rPr>
      <w:rFonts w:ascii="Arial" w:hAnsi="Arial" w:cs="Arial"/>
      <w:b/>
      <w:bCs/>
      <w:sz w:val="26"/>
      <w:szCs w:val="26"/>
      <w:lang w:val="en-US" w:eastAsia="en-US"/>
    </w:rPr>
  </w:style>
  <w:style w:type="character" w:styleId="Hyperlink">
    <w:name w:val="Hyperlink"/>
    <w:uiPriority w:val="99"/>
    <w:rsid w:val="003C180F"/>
    <w:rPr>
      <w:u w:val="single"/>
    </w:rPr>
  </w:style>
  <w:style w:type="paragraph" w:customStyle="1" w:styleId="Cabeceraypie">
    <w:name w:val="Cabecera y pie"/>
    <w:uiPriority w:val="99"/>
    <w:rsid w:val="003C180F"/>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3C180F"/>
    <w:pPr>
      <w:tabs>
        <w:tab w:val="center" w:pos="4513"/>
        <w:tab w:val="right" w:pos="9026"/>
      </w:tabs>
    </w:pPr>
    <w:rPr>
      <w:rFonts w:ascii="Cambria" w:hAnsi="Cambria" w:cs="Cambria"/>
      <w:color w:val="000000"/>
      <w:u w:color="000000"/>
      <w:lang w:val="en-US" w:eastAsia="es-ES"/>
    </w:rPr>
  </w:style>
  <w:style w:type="character" w:customStyle="1" w:styleId="FooterChar">
    <w:name w:val="Footer Char"/>
    <w:link w:val="Footer"/>
    <w:uiPriority w:val="99"/>
    <w:locked/>
    <w:rsid w:val="003C180F"/>
    <w:rPr>
      <w:rFonts w:ascii="Cambria" w:hAnsi="Cambria" w:cs="Cambria"/>
      <w:color w:val="000000"/>
      <w:sz w:val="24"/>
      <w:szCs w:val="24"/>
      <w:u w:color="000000"/>
      <w:lang w:val="en-US" w:eastAsia="es-ES"/>
    </w:rPr>
  </w:style>
  <w:style w:type="paragraph" w:customStyle="1" w:styleId="Cuerpo">
    <w:name w:val="Cuerpo"/>
    <w:uiPriority w:val="99"/>
    <w:rsid w:val="003C180F"/>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3C180F"/>
    <w:pPr>
      <w:ind w:left="2160" w:hanging="720"/>
    </w:pPr>
    <w:rPr>
      <w:rFonts w:eastAsia="Times New Roman"/>
      <w:color w:val="000000"/>
      <w:u w:color="000000"/>
      <w:lang w:val="es-ES_tradnl" w:eastAsia="es-ES"/>
    </w:rPr>
  </w:style>
  <w:style w:type="character" w:customStyle="1" w:styleId="BodyTextIndentChar">
    <w:name w:val="Body Text Indent Char"/>
    <w:link w:val="BodyTextIndent"/>
    <w:uiPriority w:val="99"/>
    <w:semiHidden/>
    <w:locked/>
    <w:rsid w:val="003C180F"/>
    <w:rPr>
      <w:sz w:val="24"/>
      <w:szCs w:val="24"/>
      <w:lang w:val="es-ES"/>
    </w:rPr>
  </w:style>
  <w:style w:type="paragraph" w:styleId="ListParagraph">
    <w:name w:val="List Paragraph"/>
    <w:basedOn w:val="Normal"/>
    <w:uiPriority w:val="34"/>
    <w:qFormat/>
    <w:rsid w:val="003C180F"/>
    <w:pPr>
      <w:ind w:left="720"/>
    </w:pPr>
    <w:rPr>
      <w:rFonts w:ascii="Cambria" w:hAnsi="Cambria" w:cs="Cambria"/>
      <w:color w:val="000000"/>
      <w:u w:color="000000"/>
      <w:lang w:val="en-US"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footnote text"/>
    <w:basedOn w:val="Normal"/>
    <w:link w:val="FootnoteTextChar1"/>
    <w:rsid w:val="003C180F"/>
    <w:rPr>
      <w:rFonts w:ascii="Calibri" w:hAnsi="Calibri" w:cs="Calibri"/>
      <w:color w:val="000000"/>
      <w:sz w:val="20"/>
      <w:szCs w:val="20"/>
      <w:u w:color="000000"/>
      <w:lang w:val="en-US"/>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ocked/>
    <w:rsid w:val="00CB5E3D"/>
    <w:rPr>
      <w:sz w:val="20"/>
      <w:szCs w:val="20"/>
      <w:lang w:val="es-ES"/>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uiPriority w:val="99"/>
    <w:semiHidden/>
    <w:locked/>
    <w:rsid w:val="003C180F"/>
    <w:rPr>
      <w:sz w:val="20"/>
      <w:szCs w:val="20"/>
      <w:lang w:val="es-ES"/>
    </w:rPr>
  </w:style>
  <w:style w:type="paragraph" w:styleId="BalloonText">
    <w:name w:val="Balloon Text"/>
    <w:basedOn w:val="Normal"/>
    <w:link w:val="BalloonTextChar"/>
    <w:uiPriority w:val="99"/>
    <w:semiHidden/>
    <w:rsid w:val="003C180F"/>
    <w:rPr>
      <w:rFonts w:ascii="Tahoma" w:hAnsi="Tahoma" w:cs="Tahoma"/>
      <w:sz w:val="16"/>
      <w:szCs w:val="16"/>
    </w:rPr>
  </w:style>
  <w:style w:type="character" w:customStyle="1" w:styleId="BalloonTextChar">
    <w:name w:val="Balloon Text Char"/>
    <w:link w:val="BalloonText"/>
    <w:uiPriority w:val="99"/>
    <w:semiHidden/>
    <w:locked/>
    <w:rsid w:val="003C180F"/>
    <w:rPr>
      <w:rFonts w:ascii="Tahoma" w:hAnsi="Tahoma" w:cs="Tahoma"/>
      <w:sz w:val="16"/>
      <w:szCs w:val="16"/>
      <w:lang w:val="en-US" w:eastAsia="en-US"/>
    </w:rPr>
  </w:style>
  <w:style w:type="paragraph" w:styleId="Header">
    <w:name w:val="header"/>
    <w:aliases w:val="encabezado"/>
    <w:basedOn w:val="Normal"/>
    <w:link w:val="HeaderChar"/>
    <w:uiPriority w:val="99"/>
    <w:rsid w:val="003C180F"/>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link w:val="Header"/>
    <w:uiPriority w:val="99"/>
    <w:locked/>
    <w:rsid w:val="003C180F"/>
    <w:rPr>
      <w:rFonts w:ascii="Univers" w:hAnsi="Univers" w:cs="Univers"/>
      <w:sz w:val="24"/>
      <w:szCs w:val="24"/>
      <w:lang w:val="en-US" w:eastAsia="en-US"/>
    </w:rPr>
  </w:style>
  <w:style w:type="table" w:styleId="MediumShading1-Accent1">
    <w:name w:val="Medium Shading 1 Accent 1"/>
    <w:basedOn w:val="TableNormal"/>
    <w:uiPriority w:val="99"/>
    <w:rsid w:val="003C180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3C180F"/>
    <w:pPr>
      <w:tabs>
        <w:tab w:val="left" w:pos="1440"/>
        <w:tab w:val="right" w:leader="dot" w:pos="9350"/>
      </w:tabs>
      <w:spacing w:after="100"/>
      <w:ind w:left="1440" w:hanging="720"/>
    </w:pPr>
  </w:style>
  <w:style w:type="paragraph" w:styleId="TOC1">
    <w:name w:val="toc 1"/>
    <w:basedOn w:val="Normal"/>
    <w:next w:val="Normal"/>
    <w:autoRedefine/>
    <w:uiPriority w:val="99"/>
    <w:semiHidden/>
    <w:rsid w:val="003C180F"/>
    <w:pPr>
      <w:spacing w:after="100"/>
    </w:pPr>
    <w:rPr>
      <w:rFonts w:ascii="Calibri" w:hAnsi="Calibri" w:cs="Calibri"/>
      <w:sz w:val="22"/>
      <w:szCs w:val="22"/>
    </w:rPr>
  </w:style>
  <w:style w:type="paragraph" w:styleId="TOC3">
    <w:name w:val="toc 3"/>
    <w:basedOn w:val="Normal"/>
    <w:next w:val="Normal"/>
    <w:autoRedefine/>
    <w:uiPriority w:val="99"/>
    <w:semiHidden/>
    <w:rsid w:val="003C180F"/>
    <w:pPr>
      <w:tabs>
        <w:tab w:val="left" w:pos="880"/>
        <w:tab w:val="right" w:leader="dot" w:pos="9350"/>
      </w:tabs>
      <w:spacing w:after="100"/>
      <w:ind w:left="2160" w:hanging="720"/>
    </w:pPr>
  </w:style>
  <w:style w:type="paragraph" w:styleId="TOC4">
    <w:name w:val="toc 4"/>
    <w:basedOn w:val="Normal"/>
    <w:next w:val="Normal"/>
    <w:autoRedefine/>
    <w:uiPriority w:val="99"/>
    <w:semiHidden/>
    <w:rsid w:val="003C180F"/>
    <w:pPr>
      <w:spacing w:after="100"/>
      <w:ind w:left="720"/>
    </w:pPr>
  </w:style>
  <w:style w:type="character" w:styleId="PageNumber">
    <w:name w:val="page number"/>
    <w:basedOn w:val="DefaultParagraphFont"/>
    <w:uiPriority w:val="99"/>
    <w:rsid w:val="003C180F"/>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uiPriority w:val="99"/>
    <w:rsid w:val="003C180F"/>
    <w:rPr>
      <w:vertAlign w:val="superscript"/>
    </w:rPr>
  </w:style>
  <w:style w:type="paragraph" w:styleId="BodyTextIndent2">
    <w:name w:val="Body Text Indent 2"/>
    <w:basedOn w:val="Normal"/>
    <w:link w:val="BodyTextIndent2Char"/>
    <w:uiPriority w:val="99"/>
    <w:semiHidden/>
    <w:rsid w:val="003C180F"/>
    <w:pPr>
      <w:spacing w:after="120" w:line="480" w:lineRule="auto"/>
      <w:ind w:left="360"/>
    </w:pPr>
  </w:style>
  <w:style w:type="character" w:customStyle="1" w:styleId="BodyTextIndent2Char">
    <w:name w:val="Body Text Indent 2 Char"/>
    <w:link w:val="BodyTextIndent2"/>
    <w:uiPriority w:val="99"/>
    <w:semiHidden/>
    <w:locked/>
    <w:rsid w:val="003C180F"/>
    <w:rPr>
      <w:sz w:val="24"/>
      <w:szCs w:val="24"/>
      <w:lang w:val="en-US" w:eastAsia="en-US"/>
    </w:rPr>
  </w:style>
  <w:style w:type="paragraph" w:styleId="BodyText">
    <w:name w:val="Body Text"/>
    <w:basedOn w:val="Normal"/>
    <w:link w:val="BodyTextChar"/>
    <w:uiPriority w:val="99"/>
    <w:rsid w:val="003C180F"/>
    <w:pPr>
      <w:spacing w:after="120"/>
    </w:pPr>
  </w:style>
  <w:style w:type="character" w:customStyle="1" w:styleId="BodyTextChar">
    <w:name w:val="Body Text Char"/>
    <w:link w:val="BodyText"/>
    <w:uiPriority w:val="99"/>
    <w:locked/>
    <w:rsid w:val="003C180F"/>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3C180F"/>
    <w:rPr>
      <w:rFonts w:ascii="Calibri" w:hAnsi="Calibri" w:cs="Calibri"/>
      <w:color w:val="000000"/>
      <w:u w:color="000000"/>
      <w:lang w:val="en-US"/>
    </w:rPr>
  </w:style>
  <w:style w:type="paragraph" w:customStyle="1" w:styleId="Default">
    <w:name w:val="Default"/>
    <w:link w:val="DefaultChar"/>
    <w:uiPriority w:val="99"/>
    <w:rsid w:val="003C180F"/>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3C180F"/>
    <w:pPr>
      <w:spacing w:before="100" w:beforeAutospacing="1" w:after="100" w:afterAutospacing="1"/>
    </w:pPr>
    <w:rPr>
      <w:rFonts w:eastAsia="Times New Roman"/>
    </w:rPr>
  </w:style>
  <w:style w:type="character" w:customStyle="1" w:styleId="EndnoteTextChar">
    <w:name w:val="Endnote Text Char"/>
    <w:link w:val="EndnoteText"/>
    <w:uiPriority w:val="99"/>
    <w:locked/>
    <w:rsid w:val="003C180F"/>
    <w:rPr>
      <w:rFonts w:eastAsia="Times New Roman"/>
      <w:sz w:val="24"/>
      <w:szCs w:val="24"/>
      <w:lang w:val="en-US" w:eastAsia="en-US"/>
    </w:rPr>
  </w:style>
  <w:style w:type="character" w:customStyle="1" w:styleId="DefaultChar">
    <w:name w:val="Default Char"/>
    <w:link w:val="Default"/>
    <w:uiPriority w:val="99"/>
    <w:locked/>
    <w:rsid w:val="003C180F"/>
    <w:rPr>
      <w:rFonts w:eastAsia="Times New Roman"/>
      <w:color w:val="000000"/>
      <w:sz w:val="22"/>
      <w:szCs w:val="22"/>
      <w:lang w:val="en-US" w:eastAsia="en-US"/>
    </w:rPr>
  </w:style>
  <w:style w:type="character" w:customStyle="1" w:styleId="apple-converted-space">
    <w:name w:val="apple-converted-space"/>
    <w:basedOn w:val="DefaultParagraphFont"/>
    <w:uiPriority w:val="99"/>
    <w:rsid w:val="003C180F"/>
  </w:style>
  <w:style w:type="character" w:styleId="PlaceholderText">
    <w:name w:val="Placeholder Text"/>
    <w:uiPriority w:val="99"/>
    <w:semiHidden/>
    <w:rsid w:val="003C180F"/>
    <w:rPr>
      <w:color w:val="808080"/>
    </w:rPr>
  </w:style>
  <w:style w:type="character" w:styleId="CommentReference">
    <w:name w:val="annotation reference"/>
    <w:uiPriority w:val="99"/>
    <w:semiHidden/>
    <w:rsid w:val="003C180F"/>
    <w:rPr>
      <w:sz w:val="16"/>
      <w:szCs w:val="16"/>
    </w:rPr>
  </w:style>
  <w:style w:type="paragraph" w:styleId="CommentText">
    <w:name w:val="annotation text"/>
    <w:basedOn w:val="Normal"/>
    <w:link w:val="CommentTextChar"/>
    <w:uiPriority w:val="99"/>
    <w:semiHidden/>
    <w:rsid w:val="003C180F"/>
    <w:rPr>
      <w:sz w:val="20"/>
      <w:szCs w:val="20"/>
    </w:rPr>
  </w:style>
  <w:style w:type="character" w:customStyle="1" w:styleId="CommentTextChar">
    <w:name w:val="Comment Text Char"/>
    <w:link w:val="CommentText"/>
    <w:uiPriority w:val="99"/>
    <w:semiHidden/>
    <w:locked/>
    <w:rsid w:val="003C180F"/>
    <w:rPr>
      <w:lang w:val="en-US" w:eastAsia="en-US"/>
    </w:rPr>
  </w:style>
  <w:style w:type="paragraph" w:styleId="CommentSubject">
    <w:name w:val="annotation subject"/>
    <w:basedOn w:val="CommentText"/>
    <w:next w:val="CommentText"/>
    <w:link w:val="CommentSubjectChar"/>
    <w:uiPriority w:val="99"/>
    <w:semiHidden/>
    <w:rsid w:val="003C180F"/>
    <w:rPr>
      <w:b/>
      <w:bCs/>
    </w:rPr>
  </w:style>
  <w:style w:type="character" w:customStyle="1" w:styleId="CommentSubjectChar">
    <w:name w:val="Comment Subject Char"/>
    <w:link w:val="CommentSubject"/>
    <w:uiPriority w:val="99"/>
    <w:semiHidden/>
    <w:locked/>
    <w:rsid w:val="003C180F"/>
    <w:rPr>
      <w:b/>
      <w:bCs/>
      <w:lang w:val="en-US" w:eastAsia="en-US"/>
    </w:rPr>
  </w:style>
  <w:style w:type="character" w:customStyle="1" w:styleId="Style1">
    <w:name w:val="Style1"/>
    <w:uiPriority w:val="1"/>
    <w:rsid w:val="003C180F"/>
    <w:rPr>
      <w:rFonts w:ascii="Cambria" w:hAnsi="Cambria" w:cs="Cambria"/>
      <w:caps/>
      <w:sz w:val="18"/>
      <w:szCs w:val="18"/>
    </w:rPr>
  </w:style>
  <w:style w:type="paragraph" w:customStyle="1" w:styleId="01799FDFE7B6492B80085E7CB9D6953C">
    <w:name w:val="01799FDFE7B6492B80085E7CB9D6953C"/>
    <w:uiPriority w:val="99"/>
    <w:rsid w:val="003C180F"/>
    <w:pPr>
      <w:spacing w:after="200" w:line="276" w:lineRule="auto"/>
    </w:pPr>
    <w:rPr>
      <w:rFonts w:ascii="Calibri" w:eastAsia="Times New Roman" w:hAnsi="Calibri" w:cs="Calibri"/>
      <w:sz w:val="22"/>
      <w:szCs w:val="22"/>
    </w:rPr>
  </w:style>
  <w:style w:type="paragraph" w:styleId="Revision">
    <w:name w:val="Revision"/>
    <w:hidden/>
    <w:uiPriority w:val="99"/>
    <w:semiHidden/>
    <w:rsid w:val="003C180F"/>
    <w:rPr>
      <w:sz w:val="24"/>
      <w:szCs w:val="24"/>
      <w:lang w:val="es-ES"/>
    </w:rPr>
  </w:style>
  <w:style w:type="character" w:customStyle="1" w:styleId="sb8d990e2">
    <w:name w:val="sb8d990e2"/>
    <w:basedOn w:val="DefaultParagraphFont"/>
    <w:uiPriority w:val="99"/>
    <w:rsid w:val="003C180F"/>
  </w:style>
  <w:style w:type="numbering" w:customStyle="1" w:styleId="List16">
    <w:name w:val="List 16"/>
    <w:rsid w:val="00B835D5"/>
    <w:pPr>
      <w:numPr>
        <w:numId w:val="10"/>
      </w:numPr>
    </w:pPr>
  </w:style>
  <w:style w:type="numbering" w:customStyle="1" w:styleId="List36">
    <w:name w:val="List 36"/>
    <w:rsid w:val="00B835D5"/>
    <w:pPr>
      <w:numPr>
        <w:numId w:val="14"/>
      </w:numPr>
    </w:pPr>
  </w:style>
  <w:style w:type="numbering" w:customStyle="1" w:styleId="List25">
    <w:name w:val="List 25"/>
    <w:rsid w:val="00B835D5"/>
    <w:pPr>
      <w:numPr>
        <w:numId w:val="15"/>
      </w:numPr>
    </w:pPr>
  </w:style>
  <w:style w:type="numbering" w:customStyle="1" w:styleId="List1">
    <w:name w:val="List 1"/>
    <w:rsid w:val="00B835D5"/>
    <w:pPr>
      <w:numPr>
        <w:numId w:val="1"/>
      </w:numPr>
    </w:pPr>
  </w:style>
  <w:style w:type="numbering" w:customStyle="1" w:styleId="List41">
    <w:name w:val="List 41"/>
    <w:rsid w:val="00B835D5"/>
    <w:pPr>
      <w:numPr>
        <w:numId w:val="2"/>
      </w:numPr>
    </w:pPr>
  </w:style>
  <w:style w:type="numbering" w:customStyle="1" w:styleId="List11">
    <w:name w:val="List 11"/>
    <w:rsid w:val="00B835D5"/>
    <w:pPr>
      <w:numPr>
        <w:numId w:val="7"/>
      </w:numPr>
    </w:pPr>
  </w:style>
  <w:style w:type="numbering" w:customStyle="1" w:styleId="List15">
    <w:name w:val="List 15"/>
    <w:rsid w:val="00B835D5"/>
    <w:pPr>
      <w:numPr>
        <w:numId w:val="16"/>
      </w:numPr>
    </w:pPr>
  </w:style>
  <w:style w:type="numbering" w:customStyle="1" w:styleId="List14">
    <w:name w:val="List 14"/>
    <w:rsid w:val="00B835D5"/>
    <w:pPr>
      <w:numPr>
        <w:numId w:val="17"/>
      </w:numPr>
    </w:pPr>
  </w:style>
  <w:style w:type="numbering" w:customStyle="1" w:styleId="List23">
    <w:name w:val="List 23"/>
    <w:rsid w:val="00B835D5"/>
    <w:pPr>
      <w:numPr>
        <w:numId w:val="18"/>
      </w:numPr>
    </w:pPr>
  </w:style>
  <w:style w:type="numbering" w:customStyle="1" w:styleId="List19">
    <w:name w:val="List 19"/>
    <w:rsid w:val="00B835D5"/>
    <w:pPr>
      <w:numPr>
        <w:numId w:val="19"/>
      </w:numPr>
    </w:pPr>
  </w:style>
  <w:style w:type="numbering" w:customStyle="1" w:styleId="List45">
    <w:name w:val="List 45"/>
    <w:rsid w:val="00B835D5"/>
    <w:pPr>
      <w:numPr>
        <w:numId w:val="20"/>
      </w:numPr>
    </w:pPr>
  </w:style>
  <w:style w:type="numbering" w:customStyle="1" w:styleId="List40">
    <w:name w:val="List 40"/>
    <w:rsid w:val="00B835D5"/>
    <w:pPr>
      <w:numPr>
        <w:numId w:val="21"/>
      </w:numPr>
    </w:pPr>
  </w:style>
  <w:style w:type="numbering" w:customStyle="1" w:styleId="List9">
    <w:name w:val="List 9"/>
    <w:rsid w:val="00B835D5"/>
    <w:pPr>
      <w:numPr>
        <w:numId w:val="22"/>
      </w:numPr>
    </w:pPr>
  </w:style>
  <w:style w:type="numbering" w:customStyle="1" w:styleId="List43">
    <w:name w:val="List 43"/>
    <w:rsid w:val="00B835D5"/>
    <w:pPr>
      <w:numPr>
        <w:numId w:val="23"/>
      </w:numPr>
    </w:pPr>
  </w:style>
  <w:style w:type="numbering" w:customStyle="1" w:styleId="List46">
    <w:name w:val="List 46"/>
    <w:rsid w:val="00B835D5"/>
    <w:pPr>
      <w:numPr>
        <w:numId w:val="24"/>
      </w:numPr>
    </w:pPr>
  </w:style>
  <w:style w:type="numbering" w:customStyle="1" w:styleId="List35">
    <w:name w:val="List 35"/>
    <w:rsid w:val="00B835D5"/>
    <w:pPr>
      <w:numPr>
        <w:numId w:val="8"/>
      </w:numPr>
    </w:pPr>
  </w:style>
  <w:style w:type="numbering" w:customStyle="1" w:styleId="List17">
    <w:name w:val="List 17"/>
    <w:rsid w:val="00B835D5"/>
    <w:pPr>
      <w:numPr>
        <w:numId w:val="25"/>
      </w:numPr>
    </w:pPr>
  </w:style>
  <w:style w:type="numbering" w:customStyle="1" w:styleId="List33">
    <w:name w:val="List 33"/>
    <w:rsid w:val="00B835D5"/>
    <w:pPr>
      <w:numPr>
        <w:numId w:val="26"/>
      </w:numPr>
    </w:pPr>
  </w:style>
  <w:style w:type="numbering" w:customStyle="1" w:styleId="List31">
    <w:name w:val="List 31"/>
    <w:rsid w:val="00B835D5"/>
    <w:pPr>
      <w:numPr>
        <w:numId w:val="51"/>
      </w:numPr>
    </w:pPr>
  </w:style>
  <w:style w:type="numbering" w:customStyle="1" w:styleId="List7">
    <w:name w:val="List 7"/>
    <w:rsid w:val="00B835D5"/>
    <w:pPr>
      <w:numPr>
        <w:numId w:val="4"/>
      </w:numPr>
    </w:pPr>
  </w:style>
  <w:style w:type="numbering" w:customStyle="1" w:styleId="List18">
    <w:name w:val="List 18"/>
    <w:rsid w:val="00B835D5"/>
    <w:pPr>
      <w:numPr>
        <w:numId w:val="27"/>
      </w:numPr>
    </w:pPr>
  </w:style>
  <w:style w:type="numbering" w:customStyle="1" w:styleId="List22">
    <w:name w:val="List 22"/>
    <w:rsid w:val="00B835D5"/>
    <w:pPr>
      <w:numPr>
        <w:numId w:val="28"/>
      </w:numPr>
    </w:pPr>
  </w:style>
  <w:style w:type="numbering" w:customStyle="1" w:styleId="List47">
    <w:name w:val="List 47"/>
    <w:rsid w:val="00B835D5"/>
    <w:pPr>
      <w:numPr>
        <w:numId w:val="29"/>
      </w:numPr>
    </w:pPr>
  </w:style>
  <w:style w:type="numbering" w:customStyle="1" w:styleId="List28">
    <w:name w:val="List 28"/>
    <w:rsid w:val="00B835D5"/>
    <w:pPr>
      <w:numPr>
        <w:numId w:val="30"/>
      </w:numPr>
    </w:pPr>
  </w:style>
  <w:style w:type="numbering" w:customStyle="1" w:styleId="List10">
    <w:name w:val="List 10"/>
    <w:rsid w:val="00B835D5"/>
    <w:pPr>
      <w:numPr>
        <w:numId w:val="6"/>
      </w:numPr>
    </w:pPr>
  </w:style>
  <w:style w:type="numbering" w:customStyle="1" w:styleId="List0">
    <w:name w:val="List 0"/>
    <w:rsid w:val="00B835D5"/>
    <w:pPr>
      <w:numPr>
        <w:numId w:val="31"/>
      </w:numPr>
    </w:pPr>
  </w:style>
  <w:style w:type="numbering" w:customStyle="1" w:styleId="List30">
    <w:name w:val="List 30"/>
    <w:rsid w:val="00B835D5"/>
    <w:pPr>
      <w:numPr>
        <w:numId w:val="32"/>
      </w:numPr>
    </w:pPr>
  </w:style>
  <w:style w:type="numbering" w:customStyle="1" w:styleId="List511">
    <w:name w:val="List 511"/>
    <w:rsid w:val="00B835D5"/>
    <w:pPr>
      <w:numPr>
        <w:numId w:val="33"/>
      </w:numPr>
    </w:pPr>
  </w:style>
  <w:style w:type="numbering" w:customStyle="1" w:styleId="List29">
    <w:name w:val="List 29"/>
    <w:rsid w:val="00B835D5"/>
    <w:pPr>
      <w:numPr>
        <w:numId w:val="34"/>
      </w:numPr>
    </w:pPr>
  </w:style>
  <w:style w:type="numbering" w:customStyle="1" w:styleId="List38">
    <w:name w:val="List 38"/>
    <w:rsid w:val="00B835D5"/>
    <w:pPr>
      <w:numPr>
        <w:numId w:val="35"/>
      </w:numPr>
    </w:pPr>
  </w:style>
  <w:style w:type="numbering" w:customStyle="1" w:styleId="List12">
    <w:name w:val="List 12"/>
    <w:rsid w:val="00B835D5"/>
    <w:pPr>
      <w:numPr>
        <w:numId w:val="36"/>
      </w:numPr>
    </w:pPr>
  </w:style>
  <w:style w:type="numbering" w:customStyle="1" w:styleId="List50">
    <w:name w:val="List 50"/>
    <w:rsid w:val="00B835D5"/>
    <w:pPr>
      <w:numPr>
        <w:numId w:val="37"/>
      </w:numPr>
    </w:pPr>
  </w:style>
  <w:style w:type="numbering" w:customStyle="1" w:styleId="List211">
    <w:name w:val="List 211"/>
    <w:rsid w:val="00B835D5"/>
    <w:pPr>
      <w:numPr>
        <w:numId w:val="38"/>
      </w:numPr>
    </w:pPr>
  </w:style>
  <w:style w:type="numbering" w:customStyle="1" w:styleId="List34">
    <w:name w:val="List 34"/>
    <w:rsid w:val="00B835D5"/>
    <w:pPr>
      <w:numPr>
        <w:numId w:val="11"/>
      </w:numPr>
    </w:pPr>
  </w:style>
  <w:style w:type="numbering" w:customStyle="1" w:styleId="List42">
    <w:name w:val="List 42"/>
    <w:rsid w:val="00B835D5"/>
    <w:pPr>
      <w:numPr>
        <w:numId w:val="12"/>
      </w:numPr>
    </w:pPr>
  </w:style>
  <w:style w:type="numbering" w:customStyle="1" w:styleId="List49">
    <w:name w:val="List 49"/>
    <w:rsid w:val="00B835D5"/>
    <w:pPr>
      <w:numPr>
        <w:numId w:val="39"/>
      </w:numPr>
    </w:pPr>
  </w:style>
  <w:style w:type="numbering" w:customStyle="1" w:styleId="List44">
    <w:name w:val="List 44"/>
    <w:rsid w:val="00B835D5"/>
    <w:pPr>
      <w:numPr>
        <w:numId w:val="40"/>
      </w:numPr>
    </w:pPr>
  </w:style>
  <w:style w:type="numbering" w:customStyle="1" w:styleId="List21">
    <w:name w:val="List 21"/>
    <w:rsid w:val="00B835D5"/>
    <w:pPr>
      <w:numPr>
        <w:numId w:val="52"/>
      </w:numPr>
    </w:pPr>
  </w:style>
  <w:style w:type="numbering" w:customStyle="1" w:styleId="List52">
    <w:name w:val="List 52"/>
    <w:rsid w:val="00B835D5"/>
    <w:pPr>
      <w:numPr>
        <w:numId w:val="9"/>
      </w:numPr>
    </w:pPr>
  </w:style>
  <w:style w:type="numbering" w:customStyle="1" w:styleId="List24">
    <w:name w:val="List 24"/>
    <w:rsid w:val="00B835D5"/>
    <w:pPr>
      <w:numPr>
        <w:numId w:val="13"/>
      </w:numPr>
    </w:pPr>
  </w:style>
  <w:style w:type="numbering" w:customStyle="1" w:styleId="List51">
    <w:name w:val="List 51"/>
    <w:rsid w:val="00B835D5"/>
    <w:pPr>
      <w:numPr>
        <w:numId w:val="54"/>
      </w:numPr>
    </w:pPr>
  </w:style>
  <w:style w:type="numbering" w:customStyle="1" w:styleId="List27">
    <w:name w:val="List 27"/>
    <w:rsid w:val="00B835D5"/>
    <w:pPr>
      <w:numPr>
        <w:numId w:val="41"/>
      </w:numPr>
    </w:pPr>
  </w:style>
  <w:style w:type="numbering" w:customStyle="1" w:styleId="List8">
    <w:name w:val="List 8"/>
    <w:rsid w:val="00B835D5"/>
    <w:pPr>
      <w:numPr>
        <w:numId w:val="5"/>
      </w:numPr>
    </w:pPr>
  </w:style>
  <w:style w:type="numbering" w:customStyle="1" w:styleId="List13">
    <w:name w:val="List 13"/>
    <w:rsid w:val="00B835D5"/>
    <w:pPr>
      <w:numPr>
        <w:numId w:val="42"/>
      </w:numPr>
    </w:pPr>
  </w:style>
  <w:style w:type="numbering" w:customStyle="1" w:styleId="List20">
    <w:name w:val="List 20"/>
    <w:rsid w:val="00B835D5"/>
    <w:pPr>
      <w:numPr>
        <w:numId w:val="43"/>
      </w:numPr>
    </w:pPr>
  </w:style>
  <w:style w:type="numbering" w:customStyle="1" w:styleId="List411">
    <w:name w:val="List 411"/>
    <w:rsid w:val="00B835D5"/>
    <w:pPr>
      <w:numPr>
        <w:numId w:val="44"/>
      </w:numPr>
    </w:pPr>
  </w:style>
  <w:style w:type="numbering" w:customStyle="1" w:styleId="List311">
    <w:name w:val="List 311"/>
    <w:rsid w:val="00B835D5"/>
    <w:pPr>
      <w:numPr>
        <w:numId w:val="45"/>
      </w:numPr>
    </w:pPr>
  </w:style>
  <w:style w:type="numbering" w:customStyle="1" w:styleId="List6">
    <w:name w:val="List 6"/>
    <w:rsid w:val="00B835D5"/>
    <w:pPr>
      <w:numPr>
        <w:numId w:val="3"/>
      </w:numPr>
    </w:pPr>
  </w:style>
  <w:style w:type="numbering" w:customStyle="1" w:styleId="List39">
    <w:name w:val="List 39"/>
    <w:rsid w:val="00B835D5"/>
    <w:pPr>
      <w:numPr>
        <w:numId w:val="46"/>
      </w:numPr>
    </w:pPr>
  </w:style>
  <w:style w:type="numbering" w:customStyle="1" w:styleId="List37">
    <w:name w:val="List 37"/>
    <w:rsid w:val="00B835D5"/>
    <w:pPr>
      <w:numPr>
        <w:numId w:val="47"/>
      </w:numPr>
    </w:pPr>
  </w:style>
  <w:style w:type="numbering" w:customStyle="1" w:styleId="List32">
    <w:name w:val="List 32"/>
    <w:rsid w:val="00B835D5"/>
    <w:pPr>
      <w:numPr>
        <w:numId w:val="48"/>
      </w:numPr>
    </w:pPr>
  </w:style>
  <w:style w:type="numbering" w:customStyle="1" w:styleId="List26">
    <w:name w:val="List 26"/>
    <w:rsid w:val="00B835D5"/>
    <w:pPr>
      <w:numPr>
        <w:numId w:val="49"/>
      </w:numPr>
    </w:pPr>
  </w:style>
  <w:style w:type="numbering" w:customStyle="1" w:styleId="List48">
    <w:name w:val="List 48"/>
    <w:rsid w:val="00B835D5"/>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0F"/>
    <w:rPr>
      <w:sz w:val="24"/>
      <w:szCs w:val="24"/>
      <w:lang w:val="es-ES"/>
    </w:rPr>
  </w:style>
  <w:style w:type="paragraph" w:styleId="Heading1">
    <w:name w:val="heading 1"/>
    <w:basedOn w:val="Normal"/>
    <w:next w:val="Normal"/>
    <w:link w:val="Heading1Char"/>
    <w:uiPriority w:val="99"/>
    <w:qFormat/>
    <w:rsid w:val="003C180F"/>
    <w:pPr>
      <w:keepNext/>
      <w:keepLines/>
      <w:numPr>
        <w:numId w:val="53"/>
      </w:numPr>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3C180F"/>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3C180F"/>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180F"/>
    <w:rPr>
      <w:rFonts w:ascii="Cambria" w:hAnsi="Cambria" w:cs="Cambria"/>
      <w:b/>
      <w:bCs/>
      <w:color w:val="365F91"/>
      <w:sz w:val="28"/>
      <w:szCs w:val="28"/>
      <w:lang w:val="es-ES" w:eastAsia="en-US"/>
    </w:rPr>
  </w:style>
  <w:style w:type="character" w:customStyle="1" w:styleId="Heading2Char">
    <w:name w:val="Heading 2 Char"/>
    <w:link w:val="Heading2"/>
    <w:uiPriority w:val="99"/>
    <w:locked/>
    <w:rsid w:val="003C180F"/>
    <w:rPr>
      <w:rFonts w:ascii="Arial" w:hAnsi="Arial" w:cs="Arial"/>
      <w:b/>
      <w:bCs/>
      <w:i/>
      <w:iCs/>
      <w:sz w:val="28"/>
      <w:szCs w:val="28"/>
      <w:lang w:val="en-US" w:eastAsia="en-US"/>
    </w:rPr>
  </w:style>
  <w:style w:type="character" w:customStyle="1" w:styleId="Heading3Char">
    <w:name w:val="Heading 3 Char"/>
    <w:link w:val="Heading3"/>
    <w:uiPriority w:val="99"/>
    <w:locked/>
    <w:rsid w:val="003C180F"/>
    <w:rPr>
      <w:rFonts w:ascii="Arial" w:hAnsi="Arial" w:cs="Arial"/>
      <w:b/>
      <w:bCs/>
      <w:sz w:val="26"/>
      <w:szCs w:val="26"/>
      <w:lang w:val="en-US" w:eastAsia="en-US"/>
    </w:rPr>
  </w:style>
  <w:style w:type="character" w:styleId="Hyperlink">
    <w:name w:val="Hyperlink"/>
    <w:uiPriority w:val="99"/>
    <w:rsid w:val="003C180F"/>
    <w:rPr>
      <w:u w:val="single"/>
    </w:rPr>
  </w:style>
  <w:style w:type="paragraph" w:customStyle="1" w:styleId="Cabeceraypie">
    <w:name w:val="Cabecera y pie"/>
    <w:uiPriority w:val="99"/>
    <w:rsid w:val="003C180F"/>
    <w:pPr>
      <w:tabs>
        <w:tab w:val="right" w:pos="9020"/>
      </w:tabs>
    </w:pPr>
    <w:rPr>
      <w:rFonts w:ascii="Helvetica" w:eastAsia="Times New Roman" w:hAnsi="Arial Unicode MS" w:cs="Helvetica"/>
      <w:color w:val="000000"/>
      <w:sz w:val="24"/>
      <w:szCs w:val="24"/>
      <w:lang w:val="es-ES" w:eastAsia="es-ES"/>
    </w:rPr>
  </w:style>
  <w:style w:type="paragraph" w:styleId="Footer">
    <w:name w:val="footer"/>
    <w:basedOn w:val="Normal"/>
    <w:link w:val="FooterChar"/>
    <w:uiPriority w:val="99"/>
    <w:rsid w:val="003C180F"/>
    <w:pPr>
      <w:tabs>
        <w:tab w:val="center" w:pos="4513"/>
        <w:tab w:val="right" w:pos="9026"/>
      </w:tabs>
    </w:pPr>
    <w:rPr>
      <w:rFonts w:ascii="Cambria" w:hAnsi="Cambria" w:cs="Cambria"/>
      <w:color w:val="000000"/>
      <w:u w:color="000000"/>
      <w:lang w:val="en-US" w:eastAsia="es-ES"/>
    </w:rPr>
  </w:style>
  <w:style w:type="character" w:customStyle="1" w:styleId="FooterChar">
    <w:name w:val="Footer Char"/>
    <w:link w:val="Footer"/>
    <w:uiPriority w:val="99"/>
    <w:locked/>
    <w:rsid w:val="003C180F"/>
    <w:rPr>
      <w:rFonts w:ascii="Cambria" w:hAnsi="Cambria" w:cs="Cambria"/>
      <w:color w:val="000000"/>
      <w:sz w:val="24"/>
      <w:szCs w:val="24"/>
      <w:u w:color="000000"/>
      <w:lang w:val="en-US" w:eastAsia="es-ES"/>
    </w:rPr>
  </w:style>
  <w:style w:type="paragraph" w:customStyle="1" w:styleId="Cuerpo">
    <w:name w:val="Cuerpo"/>
    <w:uiPriority w:val="99"/>
    <w:rsid w:val="003C180F"/>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3C180F"/>
    <w:pPr>
      <w:ind w:left="2160" w:hanging="720"/>
    </w:pPr>
    <w:rPr>
      <w:rFonts w:eastAsia="Times New Roman"/>
      <w:color w:val="000000"/>
      <w:u w:color="000000"/>
      <w:lang w:val="es-ES_tradnl" w:eastAsia="es-ES"/>
    </w:rPr>
  </w:style>
  <w:style w:type="character" w:customStyle="1" w:styleId="BodyTextIndentChar">
    <w:name w:val="Body Text Indent Char"/>
    <w:link w:val="BodyTextIndent"/>
    <w:uiPriority w:val="99"/>
    <w:semiHidden/>
    <w:locked/>
    <w:rsid w:val="003C180F"/>
    <w:rPr>
      <w:sz w:val="24"/>
      <w:szCs w:val="24"/>
      <w:lang w:val="es-ES"/>
    </w:rPr>
  </w:style>
  <w:style w:type="paragraph" w:styleId="ListParagraph">
    <w:name w:val="List Paragraph"/>
    <w:basedOn w:val="Normal"/>
    <w:uiPriority w:val="34"/>
    <w:qFormat/>
    <w:rsid w:val="003C180F"/>
    <w:pPr>
      <w:ind w:left="720"/>
    </w:pPr>
    <w:rPr>
      <w:rFonts w:ascii="Cambria" w:hAnsi="Cambria" w:cs="Cambria"/>
      <w:color w:val="000000"/>
      <w:u w:color="000000"/>
      <w:lang w:val="en-US" w:eastAsia="es-ES"/>
    </w:rPr>
  </w:style>
  <w:style w:type="paragraph" w:styleId="FootnoteText">
    <w:name w:val="footnote text"/>
    <w:aliases w:val="Ca,FA Fu,FA Fußnotentext,FA Fuﬂnotentext,Footnote Text Cha,Footnote Text Char Char,Footnote Text Char Char Char,Footnote Text Char Char Char Char,Footnote Text Char Char Char Char Char,Footnote reference,Texto nota pie Car,f,footnote text"/>
    <w:basedOn w:val="Normal"/>
    <w:link w:val="FootnoteTextChar1"/>
    <w:rsid w:val="003C180F"/>
    <w:rPr>
      <w:rFonts w:ascii="Calibri" w:hAnsi="Calibri" w:cs="Calibri"/>
      <w:color w:val="000000"/>
      <w:sz w:val="20"/>
      <w:szCs w:val="20"/>
      <w:u w:color="000000"/>
      <w:lang w:val="en-US"/>
    </w:rPr>
  </w:style>
  <w:style w:type="character" w:customStyle="1" w:styleId="FootnoteTextChar">
    <w:name w:val="Footnote Text Char"/>
    <w:aliases w:val="Ca Char,FA Fu Char,FA Fußnotentext Char,FA Fuﬂnotentext Char,Footnote Text Cha Char,Footnote Text Char Char Char1,Footnote Text Char Char Char Char1,Footnote Text Char Char Char Char Char1,Footnote Text Char Char Char Char Char Char"/>
    <w:locked/>
    <w:rsid w:val="00CB5E3D"/>
    <w:rPr>
      <w:sz w:val="20"/>
      <w:szCs w:val="20"/>
      <w:lang w:val="es-ES"/>
    </w:rPr>
  </w:style>
  <w:style w:type="character" w:customStyle="1" w:styleId="FootnoteTextChar2">
    <w:name w:val="Footnote Text Char2"/>
    <w:aliases w:val="Ca Char2,FA Fu Char2,FA Fußnotentext Char2,FA Fuﬂnotentext Char2,Footnote Text Cha Char2,Footnote Text Char Char Char Char Char Char1,Footnote Text Char Char Char Char Char11,Footnote Text Char Char Char Char11,f Char"/>
    <w:uiPriority w:val="99"/>
    <w:semiHidden/>
    <w:locked/>
    <w:rsid w:val="003C180F"/>
    <w:rPr>
      <w:sz w:val="20"/>
      <w:szCs w:val="20"/>
      <w:lang w:val="es-ES"/>
    </w:rPr>
  </w:style>
  <w:style w:type="paragraph" w:styleId="BalloonText">
    <w:name w:val="Balloon Text"/>
    <w:basedOn w:val="Normal"/>
    <w:link w:val="BalloonTextChar"/>
    <w:uiPriority w:val="99"/>
    <w:semiHidden/>
    <w:rsid w:val="003C180F"/>
    <w:rPr>
      <w:rFonts w:ascii="Tahoma" w:hAnsi="Tahoma" w:cs="Tahoma"/>
      <w:sz w:val="16"/>
      <w:szCs w:val="16"/>
    </w:rPr>
  </w:style>
  <w:style w:type="character" w:customStyle="1" w:styleId="BalloonTextChar">
    <w:name w:val="Balloon Text Char"/>
    <w:link w:val="BalloonText"/>
    <w:uiPriority w:val="99"/>
    <w:semiHidden/>
    <w:locked/>
    <w:rsid w:val="003C180F"/>
    <w:rPr>
      <w:rFonts w:ascii="Tahoma" w:hAnsi="Tahoma" w:cs="Tahoma"/>
      <w:sz w:val="16"/>
      <w:szCs w:val="16"/>
      <w:lang w:val="en-US" w:eastAsia="en-US"/>
    </w:rPr>
  </w:style>
  <w:style w:type="paragraph" w:styleId="Header">
    <w:name w:val="header"/>
    <w:aliases w:val="encabezado"/>
    <w:basedOn w:val="Normal"/>
    <w:link w:val="HeaderChar"/>
    <w:uiPriority w:val="99"/>
    <w:rsid w:val="003C180F"/>
    <w:pPr>
      <w:widowControl w:val="0"/>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link w:val="Header"/>
    <w:uiPriority w:val="99"/>
    <w:locked/>
    <w:rsid w:val="003C180F"/>
    <w:rPr>
      <w:rFonts w:ascii="Univers" w:hAnsi="Univers" w:cs="Univers"/>
      <w:sz w:val="24"/>
      <w:szCs w:val="24"/>
      <w:lang w:val="en-US" w:eastAsia="en-US"/>
    </w:rPr>
  </w:style>
  <w:style w:type="table" w:styleId="MediumShading1-Accent1">
    <w:name w:val="Medium Shading 1 Accent 1"/>
    <w:basedOn w:val="TableNormal"/>
    <w:uiPriority w:val="99"/>
    <w:rsid w:val="003C180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99"/>
    <w:semiHidden/>
    <w:rsid w:val="003C180F"/>
    <w:pPr>
      <w:tabs>
        <w:tab w:val="left" w:pos="1440"/>
        <w:tab w:val="right" w:leader="dot" w:pos="9350"/>
      </w:tabs>
      <w:spacing w:after="100"/>
      <w:ind w:left="1440" w:hanging="720"/>
    </w:pPr>
  </w:style>
  <w:style w:type="paragraph" w:styleId="TOC1">
    <w:name w:val="toc 1"/>
    <w:basedOn w:val="Normal"/>
    <w:next w:val="Normal"/>
    <w:autoRedefine/>
    <w:uiPriority w:val="99"/>
    <w:semiHidden/>
    <w:rsid w:val="003C180F"/>
    <w:pPr>
      <w:spacing w:after="100"/>
    </w:pPr>
    <w:rPr>
      <w:rFonts w:ascii="Calibri" w:hAnsi="Calibri" w:cs="Calibri"/>
      <w:sz w:val="22"/>
      <w:szCs w:val="22"/>
    </w:rPr>
  </w:style>
  <w:style w:type="paragraph" w:styleId="TOC3">
    <w:name w:val="toc 3"/>
    <w:basedOn w:val="Normal"/>
    <w:next w:val="Normal"/>
    <w:autoRedefine/>
    <w:uiPriority w:val="99"/>
    <w:semiHidden/>
    <w:rsid w:val="003C180F"/>
    <w:pPr>
      <w:tabs>
        <w:tab w:val="left" w:pos="880"/>
        <w:tab w:val="right" w:leader="dot" w:pos="9350"/>
      </w:tabs>
      <w:spacing w:after="100"/>
      <w:ind w:left="2160" w:hanging="720"/>
    </w:pPr>
  </w:style>
  <w:style w:type="paragraph" w:styleId="TOC4">
    <w:name w:val="toc 4"/>
    <w:basedOn w:val="Normal"/>
    <w:next w:val="Normal"/>
    <w:autoRedefine/>
    <w:uiPriority w:val="99"/>
    <w:semiHidden/>
    <w:rsid w:val="003C180F"/>
    <w:pPr>
      <w:spacing w:after="100"/>
      <w:ind w:left="720"/>
    </w:pPr>
  </w:style>
  <w:style w:type="character" w:styleId="PageNumber">
    <w:name w:val="page number"/>
    <w:basedOn w:val="DefaultParagraphFont"/>
    <w:uiPriority w:val="99"/>
    <w:rsid w:val="003C180F"/>
  </w:style>
  <w:style w:type="character" w:styleId="FootnoteReference">
    <w:name w:val="footnote reference"/>
    <w:aliases w:val="16 Point,4_G,Appel note de bas de page,BVI fnr,Footnote,Footnote number,Footnote symbol,Footnotes refss,Ref,Ref. de nota al pie.,Superscript 6 Point,Texto de nota al pie,Texto nota al pie,de nota al pie,f1,norm,referencia nota al pie"/>
    <w:uiPriority w:val="99"/>
    <w:rsid w:val="003C180F"/>
    <w:rPr>
      <w:vertAlign w:val="superscript"/>
    </w:rPr>
  </w:style>
  <w:style w:type="paragraph" w:styleId="BodyTextIndent2">
    <w:name w:val="Body Text Indent 2"/>
    <w:basedOn w:val="Normal"/>
    <w:link w:val="BodyTextIndent2Char"/>
    <w:uiPriority w:val="99"/>
    <w:semiHidden/>
    <w:rsid w:val="003C180F"/>
    <w:pPr>
      <w:spacing w:after="120" w:line="480" w:lineRule="auto"/>
      <w:ind w:left="360"/>
    </w:pPr>
  </w:style>
  <w:style w:type="character" w:customStyle="1" w:styleId="BodyTextIndent2Char">
    <w:name w:val="Body Text Indent 2 Char"/>
    <w:link w:val="BodyTextIndent2"/>
    <w:uiPriority w:val="99"/>
    <w:semiHidden/>
    <w:locked/>
    <w:rsid w:val="003C180F"/>
    <w:rPr>
      <w:sz w:val="24"/>
      <w:szCs w:val="24"/>
      <w:lang w:val="en-US" w:eastAsia="en-US"/>
    </w:rPr>
  </w:style>
  <w:style w:type="paragraph" w:styleId="BodyText">
    <w:name w:val="Body Text"/>
    <w:basedOn w:val="Normal"/>
    <w:link w:val="BodyTextChar"/>
    <w:uiPriority w:val="99"/>
    <w:rsid w:val="003C180F"/>
    <w:pPr>
      <w:spacing w:after="120"/>
    </w:pPr>
  </w:style>
  <w:style w:type="character" w:customStyle="1" w:styleId="BodyTextChar">
    <w:name w:val="Body Text Char"/>
    <w:link w:val="BodyText"/>
    <w:uiPriority w:val="99"/>
    <w:locked/>
    <w:rsid w:val="003C180F"/>
    <w:rPr>
      <w:sz w:val="24"/>
      <w:szCs w:val="24"/>
      <w:lang w:val="en-US" w:eastAsia="en-US"/>
    </w:rPr>
  </w:style>
  <w:style w:type="character" w:customStyle="1" w:styleId="FootnoteTextChar1">
    <w:name w:val="Footnote Text Char1"/>
    <w:aliases w:val="Ca Char1,FA Fu Char1,FA Fußnotentext Char1,FA Fuﬂnotentext Char1,Footnote Text Cha Char1,Footnote Text Char Char Char2,Footnote Text Char Char Char Char2,Footnote Text Char Char Char Char Char2,Footnote reference Char,f Char1"/>
    <w:link w:val="FootnoteText"/>
    <w:uiPriority w:val="99"/>
    <w:locked/>
    <w:rsid w:val="003C180F"/>
    <w:rPr>
      <w:rFonts w:ascii="Calibri" w:hAnsi="Calibri" w:cs="Calibri"/>
      <w:color w:val="000000"/>
      <w:u w:color="000000"/>
      <w:lang w:val="en-US"/>
    </w:rPr>
  </w:style>
  <w:style w:type="paragraph" w:customStyle="1" w:styleId="Default">
    <w:name w:val="Default"/>
    <w:link w:val="DefaultChar"/>
    <w:uiPriority w:val="99"/>
    <w:rsid w:val="003C180F"/>
    <w:pPr>
      <w:autoSpaceDE w:val="0"/>
      <w:autoSpaceDN w:val="0"/>
      <w:adjustRightInd w:val="0"/>
    </w:pPr>
    <w:rPr>
      <w:rFonts w:eastAsia="Times New Roman"/>
      <w:color w:val="000000"/>
      <w:sz w:val="24"/>
      <w:szCs w:val="24"/>
    </w:rPr>
  </w:style>
  <w:style w:type="paragraph" w:styleId="EndnoteText">
    <w:name w:val="endnote text"/>
    <w:basedOn w:val="Normal"/>
    <w:link w:val="EndnoteTextChar"/>
    <w:uiPriority w:val="99"/>
    <w:semiHidden/>
    <w:rsid w:val="003C180F"/>
    <w:pPr>
      <w:spacing w:before="100" w:beforeAutospacing="1" w:after="100" w:afterAutospacing="1"/>
    </w:pPr>
    <w:rPr>
      <w:rFonts w:eastAsia="Times New Roman"/>
    </w:rPr>
  </w:style>
  <w:style w:type="character" w:customStyle="1" w:styleId="EndnoteTextChar">
    <w:name w:val="Endnote Text Char"/>
    <w:link w:val="EndnoteText"/>
    <w:uiPriority w:val="99"/>
    <w:locked/>
    <w:rsid w:val="003C180F"/>
    <w:rPr>
      <w:rFonts w:eastAsia="Times New Roman"/>
      <w:sz w:val="24"/>
      <w:szCs w:val="24"/>
      <w:lang w:val="en-US" w:eastAsia="en-US"/>
    </w:rPr>
  </w:style>
  <w:style w:type="character" w:customStyle="1" w:styleId="DefaultChar">
    <w:name w:val="Default Char"/>
    <w:link w:val="Default"/>
    <w:uiPriority w:val="99"/>
    <w:locked/>
    <w:rsid w:val="003C180F"/>
    <w:rPr>
      <w:rFonts w:eastAsia="Times New Roman"/>
      <w:color w:val="000000"/>
      <w:sz w:val="22"/>
      <w:szCs w:val="22"/>
      <w:lang w:val="en-US" w:eastAsia="en-US"/>
    </w:rPr>
  </w:style>
  <w:style w:type="character" w:customStyle="1" w:styleId="apple-converted-space">
    <w:name w:val="apple-converted-space"/>
    <w:basedOn w:val="DefaultParagraphFont"/>
    <w:uiPriority w:val="99"/>
    <w:rsid w:val="003C180F"/>
  </w:style>
  <w:style w:type="character" w:styleId="PlaceholderText">
    <w:name w:val="Placeholder Text"/>
    <w:uiPriority w:val="99"/>
    <w:semiHidden/>
    <w:rsid w:val="003C180F"/>
    <w:rPr>
      <w:color w:val="808080"/>
    </w:rPr>
  </w:style>
  <w:style w:type="character" w:styleId="CommentReference">
    <w:name w:val="annotation reference"/>
    <w:uiPriority w:val="99"/>
    <w:semiHidden/>
    <w:rsid w:val="003C180F"/>
    <w:rPr>
      <w:sz w:val="16"/>
      <w:szCs w:val="16"/>
    </w:rPr>
  </w:style>
  <w:style w:type="paragraph" w:styleId="CommentText">
    <w:name w:val="annotation text"/>
    <w:basedOn w:val="Normal"/>
    <w:link w:val="CommentTextChar"/>
    <w:uiPriority w:val="99"/>
    <w:semiHidden/>
    <w:rsid w:val="003C180F"/>
    <w:rPr>
      <w:sz w:val="20"/>
      <w:szCs w:val="20"/>
    </w:rPr>
  </w:style>
  <w:style w:type="character" w:customStyle="1" w:styleId="CommentTextChar">
    <w:name w:val="Comment Text Char"/>
    <w:link w:val="CommentText"/>
    <w:uiPriority w:val="99"/>
    <w:semiHidden/>
    <w:locked/>
    <w:rsid w:val="003C180F"/>
    <w:rPr>
      <w:lang w:val="en-US" w:eastAsia="en-US"/>
    </w:rPr>
  </w:style>
  <w:style w:type="paragraph" w:styleId="CommentSubject">
    <w:name w:val="annotation subject"/>
    <w:basedOn w:val="CommentText"/>
    <w:next w:val="CommentText"/>
    <w:link w:val="CommentSubjectChar"/>
    <w:uiPriority w:val="99"/>
    <w:semiHidden/>
    <w:rsid w:val="003C180F"/>
    <w:rPr>
      <w:b/>
      <w:bCs/>
    </w:rPr>
  </w:style>
  <w:style w:type="character" w:customStyle="1" w:styleId="CommentSubjectChar">
    <w:name w:val="Comment Subject Char"/>
    <w:link w:val="CommentSubject"/>
    <w:uiPriority w:val="99"/>
    <w:semiHidden/>
    <w:locked/>
    <w:rsid w:val="003C180F"/>
    <w:rPr>
      <w:b/>
      <w:bCs/>
      <w:lang w:val="en-US" w:eastAsia="en-US"/>
    </w:rPr>
  </w:style>
  <w:style w:type="character" w:customStyle="1" w:styleId="Style1">
    <w:name w:val="Style1"/>
    <w:uiPriority w:val="1"/>
    <w:rsid w:val="003C180F"/>
    <w:rPr>
      <w:rFonts w:ascii="Cambria" w:hAnsi="Cambria" w:cs="Cambria"/>
      <w:caps/>
      <w:sz w:val="18"/>
      <w:szCs w:val="18"/>
    </w:rPr>
  </w:style>
  <w:style w:type="paragraph" w:customStyle="1" w:styleId="01799FDFE7B6492B80085E7CB9D6953C">
    <w:name w:val="01799FDFE7B6492B80085E7CB9D6953C"/>
    <w:uiPriority w:val="99"/>
    <w:rsid w:val="003C180F"/>
    <w:pPr>
      <w:spacing w:after="200" w:line="276" w:lineRule="auto"/>
    </w:pPr>
    <w:rPr>
      <w:rFonts w:ascii="Calibri" w:eastAsia="Times New Roman" w:hAnsi="Calibri" w:cs="Calibri"/>
      <w:sz w:val="22"/>
      <w:szCs w:val="22"/>
    </w:rPr>
  </w:style>
  <w:style w:type="paragraph" w:styleId="Revision">
    <w:name w:val="Revision"/>
    <w:hidden/>
    <w:uiPriority w:val="99"/>
    <w:semiHidden/>
    <w:rsid w:val="003C180F"/>
    <w:rPr>
      <w:sz w:val="24"/>
      <w:szCs w:val="24"/>
      <w:lang w:val="es-ES"/>
    </w:rPr>
  </w:style>
  <w:style w:type="character" w:customStyle="1" w:styleId="sb8d990e2">
    <w:name w:val="sb8d990e2"/>
    <w:basedOn w:val="DefaultParagraphFont"/>
    <w:uiPriority w:val="99"/>
    <w:rsid w:val="003C180F"/>
  </w:style>
  <w:style w:type="numbering" w:customStyle="1" w:styleId="List16">
    <w:name w:val="List 16"/>
    <w:rsid w:val="00B835D5"/>
    <w:pPr>
      <w:numPr>
        <w:numId w:val="10"/>
      </w:numPr>
    </w:pPr>
  </w:style>
  <w:style w:type="numbering" w:customStyle="1" w:styleId="List36">
    <w:name w:val="List 36"/>
    <w:rsid w:val="00B835D5"/>
    <w:pPr>
      <w:numPr>
        <w:numId w:val="14"/>
      </w:numPr>
    </w:pPr>
  </w:style>
  <w:style w:type="numbering" w:customStyle="1" w:styleId="List25">
    <w:name w:val="List 25"/>
    <w:rsid w:val="00B835D5"/>
    <w:pPr>
      <w:numPr>
        <w:numId w:val="15"/>
      </w:numPr>
    </w:pPr>
  </w:style>
  <w:style w:type="numbering" w:customStyle="1" w:styleId="List1">
    <w:name w:val="List 1"/>
    <w:rsid w:val="00B835D5"/>
    <w:pPr>
      <w:numPr>
        <w:numId w:val="1"/>
      </w:numPr>
    </w:pPr>
  </w:style>
  <w:style w:type="numbering" w:customStyle="1" w:styleId="List41">
    <w:name w:val="List 41"/>
    <w:rsid w:val="00B835D5"/>
    <w:pPr>
      <w:numPr>
        <w:numId w:val="2"/>
      </w:numPr>
    </w:pPr>
  </w:style>
  <w:style w:type="numbering" w:customStyle="1" w:styleId="List11">
    <w:name w:val="List 11"/>
    <w:rsid w:val="00B835D5"/>
    <w:pPr>
      <w:numPr>
        <w:numId w:val="7"/>
      </w:numPr>
    </w:pPr>
  </w:style>
  <w:style w:type="numbering" w:customStyle="1" w:styleId="List15">
    <w:name w:val="List 15"/>
    <w:rsid w:val="00B835D5"/>
    <w:pPr>
      <w:numPr>
        <w:numId w:val="16"/>
      </w:numPr>
    </w:pPr>
  </w:style>
  <w:style w:type="numbering" w:customStyle="1" w:styleId="List14">
    <w:name w:val="List 14"/>
    <w:rsid w:val="00B835D5"/>
    <w:pPr>
      <w:numPr>
        <w:numId w:val="17"/>
      </w:numPr>
    </w:pPr>
  </w:style>
  <w:style w:type="numbering" w:customStyle="1" w:styleId="List23">
    <w:name w:val="List 23"/>
    <w:rsid w:val="00B835D5"/>
    <w:pPr>
      <w:numPr>
        <w:numId w:val="18"/>
      </w:numPr>
    </w:pPr>
  </w:style>
  <w:style w:type="numbering" w:customStyle="1" w:styleId="List19">
    <w:name w:val="List 19"/>
    <w:rsid w:val="00B835D5"/>
    <w:pPr>
      <w:numPr>
        <w:numId w:val="19"/>
      </w:numPr>
    </w:pPr>
  </w:style>
  <w:style w:type="numbering" w:customStyle="1" w:styleId="List45">
    <w:name w:val="List 45"/>
    <w:rsid w:val="00B835D5"/>
    <w:pPr>
      <w:numPr>
        <w:numId w:val="20"/>
      </w:numPr>
    </w:pPr>
  </w:style>
  <w:style w:type="numbering" w:customStyle="1" w:styleId="List40">
    <w:name w:val="List 40"/>
    <w:rsid w:val="00B835D5"/>
    <w:pPr>
      <w:numPr>
        <w:numId w:val="21"/>
      </w:numPr>
    </w:pPr>
  </w:style>
  <w:style w:type="numbering" w:customStyle="1" w:styleId="List9">
    <w:name w:val="List 9"/>
    <w:rsid w:val="00B835D5"/>
    <w:pPr>
      <w:numPr>
        <w:numId w:val="22"/>
      </w:numPr>
    </w:pPr>
  </w:style>
  <w:style w:type="numbering" w:customStyle="1" w:styleId="List43">
    <w:name w:val="List 43"/>
    <w:rsid w:val="00B835D5"/>
    <w:pPr>
      <w:numPr>
        <w:numId w:val="23"/>
      </w:numPr>
    </w:pPr>
  </w:style>
  <w:style w:type="numbering" w:customStyle="1" w:styleId="List46">
    <w:name w:val="List 46"/>
    <w:rsid w:val="00B835D5"/>
    <w:pPr>
      <w:numPr>
        <w:numId w:val="24"/>
      </w:numPr>
    </w:pPr>
  </w:style>
  <w:style w:type="numbering" w:customStyle="1" w:styleId="List35">
    <w:name w:val="List 35"/>
    <w:rsid w:val="00B835D5"/>
    <w:pPr>
      <w:numPr>
        <w:numId w:val="8"/>
      </w:numPr>
    </w:pPr>
  </w:style>
  <w:style w:type="numbering" w:customStyle="1" w:styleId="List17">
    <w:name w:val="List 17"/>
    <w:rsid w:val="00B835D5"/>
    <w:pPr>
      <w:numPr>
        <w:numId w:val="25"/>
      </w:numPr>
    </w:pPr>
  </w:style>
  <w:style w:type="numbering" w:customStyle="1" w:styleId="List33">
    <w:name w:val="List 33"/>
    <w:rsid w:val="00B835D5"/>
    <w:pPr>
      <w:numPr>
        <w:numId w:val="26"/>
      </w:numPr>
    </w:pPr>
  </w:style>
  <w:style w:type="numbering" w:customStyle="1" w:styleId="List31">
    <w:name w:val="List 31"/>
    <w:rsid w:val="00B835D5"/>
    <w:pPr>
      <w:numPr>
        <w:numId w:val="51"/>
      </w:numPr>
    </w:pPr>
  </w:style>
  <w:style w:type="numbering" w:customStyle="1" w:styleId="List7">
    <w:name w:val="List 7"/>
    <w:rsid w:val="00B835D5"/>
    <w:pPr>
      <w:numPr>
        <w:numId w:val="4"/>
      </w:numPr>
    </w:pPr>
  </w:style>
  <w:style w:type="numbering" w:customStyle="1" w:styleId="List18">
    <w:name w:val="List 18"/>
    <w:rsid w:val="00B835D5"/>
    <w:pPr>
      <w:numPr>
        <w:numId w:val="27"/>
      </w:numPr>
    </w:pPr>
  </w:style>
  <w:style w:type="numbering" w:customStyle="1" w:styleId="List22">
    <w:name w:val="List 22"/>
    <w:rsid w:val="00B835D5"/>
    <w:pPr>
      <w:numPr>
        <w:numId w:val="28"/>
      </w:numPr>
    </w:pPr>
  </w:style>
  <w:style w:type="numbering" w:customStyle="1" w:styleId="List47">
    <w:name w:val="List 47"/>
    <w:rsid w:val="00B835D5"/>
    <w:pPr>
      <w:numPr>
        <w:numId w:val="29"/>
      </w:numPr>
    </w:pPr>
  </w:style>
  <w:style w:type="numbering" w:customStyle="1" w:styleId="List28">
    <w:name w:val="List 28"/>
    <w:rsid w:val="00B835D5"/>
    <w:pPr>
      <w:numPr>
        <w:numId w:val="30"/>
      </w:numPr>
    </w:pPr>
  </w:style>
  <w:style w:type="numbering" w:customStyle="1" w:styleId="List10">
    <w:name w:val="List 10"/>
    <w:rsid w:val="00B835D5"/>
    <w:pPr>
      <w:numPr>
        <w:numId w:val="6"/>
      </w:numPr>
    </w:pPr>
  </w:style>
  <w:style w:type="numbering" w:customStyle="1" w:styleId="List0">
    <w:name w:val="List 0"/>
    <w:rsid w:val="00B835D5"/>
    <w:pPr>
      <w:numPr>
        <w:numId w:val="31"/>
      </w:numPr>
    </w:pPr>
  </w:style>
  <w:style w:type="numbering" w:customStyle="1" w:styleId="List30">
    <w:name w:val="List 30"/>
    <w:rsid w:val="00B835D5"/>
    <w:pPr>
      <w:numPr>
        <w:numId w:val="32"/>
      </w:numPr>
    </w:pPr>
  </w:style>
  <w:style w:type="numbering" w:customStyle="1" w:styleId="List511">
    <w:name w:val="List 511"/>
    <w:rsid w:val="00B835D5"/>
    <w:pPr>
      <w:numPr>
        <w:numId w:val="33"/>
      </w:numPr>
    </w:pPr>
  </w:style>
  <w:style w:type="numbering" w:customStyle="1" w:styleId="List29">
    <w:name w:val="List 29"/>
    <w:rsid w:val="00B835D5"/>
    <w:pPr>
      <w:numPr>
        <w:numId w:val="34"/>
      </w:numPr>
    </w:pPr>
  </w:style>
  <w:style w:type="numbering" w:customStyle="1" w:styleId="List38">
    <w:name w:val="List 38"/>
    <w:rsid w:val="00B835D5"/>
    <w:pPr>
      <w:numPr>
        <w:numId w:val="35"/>
      </w:numPr>
    </w:pPr>
  </w:style>
  <w:style w:type="numbering" w:customStyle="1" w:styleId="List12">
    <w:name w:val="List 12"/>
    <w:rsid w:val="00B835D5"/>
    <w:pPr>
      <w:numPr>
        <w:numId w:val="36"/>
      </w:numPr>
    </w:pPr>
  </w:style>
  <w:style w:type="numbering" w:customStyle="1" w:styleId="List50">
    <w:name w:val="List 50"/>
    <w:rsid w:val="00B835D5"/>
    <w:pPr>
      <w:numPr>
        <w:numId w:val="37"/>
      </w:numPr>
    </w:pPr>
  </w:style>
  <w:style w:type="numbering" w:customStyle="1" w:styleId="List211">
    <w:name w:val="List 211"/>
    <w:rsid w:val="00B835D5"/>
    <w:pPr>
      <w:numPr>
        <w:numId w:val="38"/>
      </w:numPr>
    </w:pPr>
  </w:style>
  <w:style w:type="numbering" w:customStyle="1" w:styleId="List34">
    <w:name w:val="List 34"/>
    <w:rsid w:val="00B835D5"/>
    <w:pPr>
      <w:numPr>
        <w:numId w:val="11"/>
      </w:numPr>
    </w:pPr>
  </w:style>
  <w:style w:type="numbering" w:customStyle="1" w:styleId="List42">
    <w:name w:val="List 42"/>
    <w:rsid w:val="00B835D5"/>
    <w:pPr>
      <w:numPr>
        <w:numId w:val="12"/>
      </w:numPr>
    </w:pPr>
  </w:style>
  <w:style w:type="numbering" w:customStyle="1" w:styleId="List49">
    <w:name w:val="List 49"/>
    <w:rsid w:val="00B835D5"/>
    <w:pPr>
      <w:numPr>
        <w:numId w:val="39"/>
      </w:numPr>
    </w:pPr>
  </w:style>
  <w:style w:type="numbering" w:customStyle="1" w:styleId="List44">
    <w:name w:val="List 44"/>
    <w:rsid w:val="00B835D5"/>
    <w:pPr>
      <w:numPr>
        <w:numId w:val="40"/>
      </w:numPr>
    </w:pPr>
  </w:style>
  <w:style w:type="numbering" w:customStyle="1" w:styleId="List21">
    <w:name w:val="List 21"/>
    <w:rsid w:val="00B835D5"/>
    <w:pPr>
      <w:numPr>
        <w:numId w:val="52"/>
      </w:numPr>
    </w:pPr>
  </w:style>
  <w:style w:type="numbering" w:customStyle="1" w:styleId="List52">
    <w:name w:val="List 52"/>
    <w:rsid w:val="00B835D5"/>
    <w:pPr>
      <w:numPr>
        <w:numId w:val="9"/>
      </w:numPr>
    </w:pPr>
  </w:style>
  <w:style w:type="numbering" w:customStyle="1" w:styleId="List24">
    <w:name w:val="List 24"/>
    <w:rsid w:val="00B835D5"/>
    <w:pPr>
      <w:numPr>
        <w:numId w:val="13"/>
      </w:numPr>
    </w:pPr>
  </w:style>
  <w:style w:type="numbering" w:customStyle="1" w:styleId="List51">
    <w:name w:val="List 51"/>
    <w:rsid w:val="00B835D5"/>
    <w:pPr>
      <w:numPr>
        <w:numId w:val="54"/>
      </w:numPr>
    </w:pPr>
  </w:style>
  <w:style w:type="numbering" w:customStyle="1" w:styleId="List27">
    <w:name w:val="List 27"/>
    <w:rsid w:val="00B835D5"/>
    <w:pPr>
      <w:numPr>
        <w:numId w:val="41"/>
      </w:numPr>
    </w:pPr>
  </w:style>
  <w:style w:type="numbering" w:customStyle="1" w:styleId="List8">
    <w:name w:val="List 8"/>
    <w:rsid w:val="00B835D5"/>
    <w:pPr>
      <w:numPr>
        <w:numId w:val="5"/>
      </w:numPr>
    </w:pPr>
  </w:style>
  <w:style w:type="numbering" w:customStyle="1" w:styleId="List13">
    <w:name w:val="List 13"/>
    <w:rsid w:val="00B835D5"/>
    <w:pPr>
      <w:numPr>
        <w:numId w:val="42"/>
      </w:numPr>
    </w:pPr>
  </w:style>
  <w:style w:type="numbering" w:customStyle="1" w:styleId="List20">
    <w:name w:val="List 20"/>
    <w:rsid w:val="00B835D5"/>
    <w:pPr>
      <w:numPr>
        <w:numId w:val="43"/>
      </w:numPr>
    </w:pPr>
  </w:style>
  <w:style w:type="numbering" w:customStyle="1" w:styleId="List411">
    <w:name w:val="List 411"/>
    <w:rsid w:val="00B835D5"/>
    <w:pPr>
      <w:numPr>
        <w:numId w:val="44"/>
      </w:numPr>
    </w:pPr>
  </w:style>
  <w:style w:type="numbering" w:customStyle="1" w:styleId="List311">
    <w:name w:val="List 311"/>
    <w:rsid w:val="00B835D5"/>
    <w:pPr>
      <w:numPr>
        <w:numId w:val="45"/>
      </w:numPr>
    </w:pPr>
  </w:style>
  <w:style w:type="numbering" w:customStyle="1" w:styleId="List6">
    <w:name w:val="List 6"/>
    <w:rsid w:val="00B835D5"/>
    <w:pPr>
      <w:numPr>
        <w:numId w:val="3"/>
      </w:numPr>
    </w:pPr>
  </w:style>
  <w:style w:type="numbering" w:customStyle="1" w:styleId="List39">
    <w:name w:val="List 39"/>
    <w:rsid w:val="00B835D5"/>
    <w:pPr>
      <w:numPr>
        <w:numId w:val="46"/>
      </w:numPr>
    </w:pPr>
  </w:style>
  <w:style w:type="numbering" w:customStyle="1" w:styleId="List37">
    <w:name w:val="List 37"/>
    <w:rsid w:val="00B835D5"/>
    <w:pPr>
      <w:numPr>
        <w:numId w:val="47"/>
      </w:numPr>
    </w:pPr>
  </w:style>
  <w:style w:type="numbering" w:customStyle="1" w:styleId="List32">
    <w:name w:val="List 32"/>
    <w:rsid w:val="00B835D5"/>
    <w:pPr>
      <w:numPr>
        <w:numId w:val="48"/>
      </w:numPr>
    </w:pPr>
  </w:style>
  <w:style w:type="numbering" w:customStyle="1" w:styleId="List26">
    <w:name w:val="List 26"/>
    <w:rsid w:val="00B835D5"/>
    <w:pPr>
      <w:numPr>
        <w:numId w:val="49"/>
      </w:numPr>
    </w:pPr>
  </w:style>
  <w:style w:type="numbering" w:customStyle="1" w:styleId="List48">
    <w:name w:val="List 48"/>
    <w:rsid w:val="00B835D5"/>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5687</Words>
  <Characters>30318</Characters>
  <Application>Microsoft Office Word</Application>
  <DocSecurity>0</DocSecurity>
  <Lines>705</Lines>
  <Paragraphs>315</Paragraphs>
  <ScaleCrop>false</ScaleCrop>
  <Company/>
  <LinksUpToDate>false</LinksUpToDate>
  <CharactersWithSpaces>35690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30/17</dc:title>
  <dc:creator/>
  <cp:lastModifiedBy/>
  <cp:revision>1</cp:revision>
  <dcterms:created xsi:type="dcterms:W3CDTF">2017-05-01T16:19:00Z</dcterms:created>
  <dcterms:modified xsi:type="dcterms:W3CDTF">2017-05-01T16:19:00Z</dcterms:modified>
</cp:coreProperties>
</file>